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FC2DF" w14:textId="77777777" w:rsidR="00452604" w:rsidRPr="00455CCD" w:rsidRDefault="00452604" w:rsidP="0045260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College campuses and COVID-19 mitigation: clinical and economic value</w:t>
      </w:r>
    </w:p>
    <w:p w14:paraId="5F19F157" w14:textId="584927A7" w:rsidR="00455CCD" w:rsidRDefault="00455CCD" w:rsidP="00455CC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Supplementary </w:t>
      </w:r>
      <w:r w:rsidR="00E802BC">
        <w:rPr>
          <w:rFonts w:ascii="Times New Roman" w:hAnsi="Times New Roman" w:cs="Times New Roman"/>
          <w:b/>
          <w:bCs/>
          <w:sz w:val="24"/>
          <w:szCs w:val="24"/>
        </w:rPr>
        <w:t>Materials</w:t>
      </w:r>
    </w:p>
    <w:p w14:paraId="64E3CFF3" w14:textId="77777777" w:rsidR="00455CCD" w:rsidRPr="005D24A0" w:rsidRDefault="00455CCD" w:rsidP="00455CCD">
      <w:pPr>
        <w:spacing w:line="480" w:lineRule="auto"/>
        <w:jc w:val="center"/>
        <w:rPr>
          <w:rFonts w:ascii="Times New Roman" w:hAnsi="Times New Roman" w:cs="Times New Roman"/>
          <w:sz w:val="24"/>
          <w:szCs w:val="24"/>
        </w:rPr>
      </w:pPr>
    </w:p>
    <w:p w14:paraId="6702BA4B" w14:textId="77777777" w:rsidR="00293F2D" w:rsidRPr="005D24A0" w:rsidRDefault="00293F2D" w:rsidP="00293F2D">
      <w:pPr>
        <w:spacing w:after="0" w:line="480" w:lineRule="auto"/>
        <w:jc w:val="center"/>
        <w:rPr>
          <w:rFonts w:ascii="Times New Roman" w:hAnsi="Times New Roman" w:cs="Times New Roman"/>
          <w:sz w:val="24"/>
          <w:szCs w:val="24"/>
        </w:rPr>
      </w:pPr>
      <w:r w:rsidRPr="566F5920">
        <w:rPr>
          <w:rFonts w:ascii="Times New Roman" w:hAnsi="Times New Roman" w:cs="Times New Roman"/>
          <w:sz w:val="24"/>
          <w:szCs w:val="24"/>
        </w:rPr>
        <w:t xml:space="preserve">Elena Losina, PhD </w:t>
      </w:r>
      <w:r>
        <w:rPr>
          <w:rFonts w:ascii="Times New Roman" w:hAnsi="Times New Roman" w:cs="Times New Roman"/>
          <w:sz w:val="24"/>
          <w:szCs w:val="24"/>
          <w:vertAlign w:val="superscript"/>
        </w:rPr>
        <w:t>1,2,3,4</w:t>
      </w:r>
    </w:p>
    <w:p w14:paraId="6EB1C029" w14:textId="77777777" w:rsidR="00293F2D" w:rsidRPr="005D24A0" w:rsidRDefault="00293F2D" w:rsidP="00293F2D">
      <w:pPr>
        <w:spacing w:after="0" w:line="480" w:lineRule="auto"/>
        <w:jc w:val="center"/>
        <w:rPr>
          <w:rFonts w:ascii="Times New Roman" w:hAnsi="Times New Roman" w:cs="Times New Roman"/>
          <w:sz w:val="24"/>
          <w:szCs w:val="24"/>
        </w:rPr>
      </w:pPr>
      <w:r w:rsidRPr="566F5920">
        <w:rPr>
          <w:rFonts w:ascii="Times New Roman" w:hAnsi="Times New Roman" w:cs="Times New Roman"/>
          <w:sz w:val="24"/>
          <w:szCs w:val="24"/>
        </w:rPr>
        <w:t xml:space="preserve">Valia Leifer, AB </w:t>
      </w:r>
      <w:r>
        <w:rPr>
          <w:rFonts w:ascii="Times New Roman" w:hAnsi="Times New Roman" w:cs="Times New Roman"/>
          <w:sz w:val="24"/>
          <w:szCs w:val="24"/>
          <w:vertAlign w:val="superscript"/>
        </w:rPr>
        <w:t>1,2</w:t>
      </w:r>
    </w:p>
    <w:p w14:paraId="3425DAD5" w14:textId="77777777" w:rsidR="00293F2D" w:rsidRPr="005D24A0" w:rsidRDefault="00293F2D" w:rsidP="00293F2D">
      <w:pPr>
        <w:spacing w:after="0" w:line="480" w:lineRule="auto"/>
        <w:jc w:val="center"/>
        <w:rPr>
          <w:rFonts w:ascii="Times New Roman" w:hAnsi="Times New Roman" w:cs="Times New Roman"/>
          <w:sz w:val="24"/>
          <w:szCs w:val="24"/>
        </w:rPr>
      </w:pPr>
      <w:r w:rsidRPr="566F5920">
        <w:rPr>
          <w:rFonts w:ascii="Times New Roman" w:hAnsi="Times New Roman" w:cs="Times New Roman"/>
          <w:sz w:val="24"/>
          <w:szCs w:val="24"/>
        </w:rPr>
        <w:t xml:space="preserve">Lucia Millham, AB </w:t>
      </w:r>
      <w:r>
        <w:rPr>
          <w:rFonts w:ascii="Times New Roman" w:hAnsi="Times New Roman" w:cs="Times New Roman"/>
          <w:sz w:val="24"/>
          <w:szCs w:val="24"/>
          <w:vertAlign w:val="superscript"/>
        </w:rPr>
        <w:t>3, 5</w:t>
      </w:r>
    </w:p>
    <w:p w14:paraId="2B48F39F" w14:textId="77777777" w:rsidR="00293F2D" w:rsidRPr="005D24A0" w:rsidRDefault="00293F2D" w:rsidP="00293F2D">
      <w:pPr>
        <w:pStyle w:val="paragraph"/>
        <w:spacing w:line="480" w:lineRule="auto"/>
        <w:jc w:val="center"/>
        <w:textAlignment w:val="baseline"/>
        <w:rPr>
          <w:rFonts w:eastAsiaTheme="minorEastAsia"/>
        </w:rPr>
      </w:pPr>
      <w:r w:rsidRPr="4C7F5217">
        <w:rPr>
          <w:rFonts w:eastAsiaTheme="minorEastAsia"/>
        </w:rPr>
        <w:t xml:space="preserve">Christopher Panella, BS </w:t>
      </w:r>
      <w:r>
        <w:rPr>
          <w:rFonts w:eastAsiaTheme="minorEastAsia"/>
          <w:vertAlign w:val="superscript"/>
        </w:rPr>
        <w:t>5</w:t>
      </w:r>
    </w:p>
    <w:p w14:paraId="28B6F73A" w14:textId="77777777" w:rsidR="00293F2D" w:rsidRPr="000E5A2A" w:rsidRDefault="00293F2D" w:rsidP="00293F2D">
      <w:pPr>
        <w:pStyle w:val="paragraph"/>
        <w:spacing w:line="480" w:lineRule="auto"/>
        <w:jc w:val="center"/>
        <w:textAlignment w:val="baseline"/>
        <w:rPr>
          <w:rFonts w:eastAsiaTheme="minorEastAsia"/>
          <w:vertAlign w:val="superscript"/>
        </w:rPr>
      </w:pPr>
      <w:r w:rsidRPr="4C7F5217">
        <w:rPr>
          <w:rFonts w:eastAsiaTheme="minorEastAsia"/>
        </w:rPr>
        <w:t>Emily P. Hyle, MD, MSc</w:t>
      </w:r>
      <w:r w:rsidRPr="4C7F5217">
        <w:rPr>
          <w:rFonts w:eastAsiaTheme="minorEastAsia"/>
          <w:vertAlign w:val="superscript"/>
        </w:rPr>
        <w:t xml:space="preserve"> 3, </w:t>
      </w:r>
      <w:r>
        <w:rPr>
          <w:rFonts w:eastAsiaTheme="minorEastAsia"/>
          <w:vertAlign w:val="superscript"/>
        </w:rPr>
        <w:t>5, 6</w:t>
      </w:r>
    </w:p>
    <w:p w14:paraId="0E372518" w14:textId="77777777" w:rsidR="00293F2D" w:rsidRPr="005D24A0" w:rsidRDefault="00293F2D" w:rsidP="00293F2D">
      <w:pPr>
        <w:pStyle w:val="paragraph"/>
        <w:spacing w:line="480" w:lineRule="auto"/>
        <w:jc w:val="center"/>
        <w:textAlignment w:val="baseline"/>
        <w:rPr>
          <w:rFonts w:eastAsiaTheme="minorEastAsia"/>
        </w:rPr>
      </w:pPr>
      <w:r w:rsidRPr="4C7F5217">
        <w:rPr>
          <w:rFonts w:eastAsiaTheme="minorEastAsia"/>
        </w:rPr>
        <w:t xml:space="preserve">Amir Mohareb, MD </w:t>
      </w:r>
      <w:r>
        <w:rPr>
          <w:rFonts w:eastAsiaTheme="minorEastAsia"/>
          <w:vertAlign w:val="superscript"/>
        </w:rPr>
        <w:t>5, 6</w:t>
      </w:r>
    </w:p>
    <w:p w14:paraId="7496C5F5" w14:textId="77777777" w:rsidR="00293F2D" w:rsidRPr="005D24A0" w:rsidRDefault="00293F2D" w:rsidP="00293F2D">
      <w:pPr>
        <w:pStyle w:val="paragraph"/>
        <w:spacing w:line="480" w:lineRule="auto"/>
        <w:jc w:val="center"/>
        <w:textAlignment w:val="baseline"/>
        <w:rPr>
          <w:rFonts w:eastAsiaTheme="minorHAnsi"/>
        </w:rPr>
      </w:pPr>
      <w:r w:rsidRPr="005D24A0">
        <w:rPr>
          <w:rFonts w:eastAsiaTheme="minorHAnsi"/>
        </w:rPr>
        <w:t>Anne M. Neilan, MD, MPH</w:t>
      </w:r>
      <w:r>
        <w:rPr>
          <w:rFonts w:eastAsiaTheme="minorHAnsi"/>
        </w:rPr>
        <w:t xml:space="preserve"> </w:t>
      </w:r>
      <w:r>
        <w:rPr>
          <w:rFonts w:eastAsiaTheme="minorHAnsi"/>
          <w:vertAlign w:val="superscript"/>
        </w:rPr>
        <w:t>5, 6, 8</w:t>
      </w:r>
    </w:p>
    <w:p w14:paraId="573549B4" w14:textId="77777777" w:rsidR="00293F2D" w:rsidRPr="005D24A0" w:rsidRDefault="00293F2D" w:rsidP="00293F2D">
      <w:pPr>
        <w:pStyle w:val="paragraph"/>
        <w:spacing w:line="480" w:lineRule="auto"/>
        <w:jc w:val="center"/>
        <w:textAlignment w:val="baseline"/>
        <w:rPr>
          <w:rFonts w:eastAsiaTheme="minorHAnsi"/>
        </w:rPr>
      </w:pPr>
      <w:r w:rsidRPr="005D24A0">
        <w:rPr>
          <w:rFonts w:eastAsiaTheme="minorHAnsi"/>
        </w:rPr>
        <w:t>Andrea L. Ciaranello, MD, MPH</w:t>
      </w:r>
      <w:r>
        <w:rPr>
          <w:rFonts w:eastAsiaTheme="minorHAnsi"/>
        </w:rPr>
        <w:t xml:space="preserve"> </w:t>
      </w:r>
      <w:r>
        <w:rPr>
          <w:rFonts w:eastAsiaTheme="minorHAnsi"/>
          <w:vertAlign w:val="superscript"/>
        </w:rPr>
        <w:t>3, 5, 6</w:t>
      </w:r>
    </w:p>
    <w:p w14:paraId="3259686A" w14:textId="77777777" w:rsidR="00293F2D" w:rsidRPr="005D24A0" w:rsidRDefault="00293F2D" w:rsidP="00293F2D">
      <w:pPr>
        <w:spacing w:after="0" w:line="480" w:lineRule="auto"/>
        <w:jc w:val="center"/>
        <w:rPr>
          <w:rFonts w:ascii="Times New Roman" w:hAnsi="Times New Roman" w:cs="Times New Roman"/>
          <w:sz w:val="24"/>
          <w:szCs w:val="24"/>
        </w:rPr>
      </w:pPr>
      <w:r w:rsidRPr="4C7F5217">
        <w:rPr>
          <w:rFonts w:ascii="Times New Roman" w:hAnsi="Times New Roman" w:cs="Times New Roman"/>
          <w:sz w:val="24"/>
          <w:szCs w:val="24"/>
        </w:rPr>
        <w:t>Pooyan Kazemian</w:t>
      </w:r>
      <w:r>
        <w:rPr>
          <w:rFonts w:ascii="Times New Roman" w:hAnsi="Times New Roman" w:cs="Times New Roman"/>
          <w:sz w:val="24"/>
          <w:szCs w:val="24"/>
        </w:rPr>
        <w:t>*</w:t>
      </w:r>
      <w:r w:rsidRPr="4C7F5217">
        <w:rPr>
          <w:rFonts w:ascii="Times New Roman" w:hAnsi="Times New Roman" w:cs="Times New Roman"/>
          <w:sz w:val="24"/>
          <w:szCs w:val="24"/>
        </w:rPr>
        <w:t xml:space="preserve">, PhD </w:t>
      </w:r>
      <w:r>
        <w:rPr>
          <w:rFonts w:ascii="Times New Roman" w:hAnsi="Times New Roman" w:cs="Times New Roman"/>
          <w:sz w:val="24"/>
          <w:szCs w:val="24"/>
          <w:vertAlign w:val="superscript"/>
        </w:rPr>
        <w:t>9</w:t>
      </w:r>
    </w:p>
    <w:p w14:paraId="2B07852C" w14:textId="58A41A86" w:rsidR="00293F2D" w:rsidRDefault="00293F2D" w:rsidP="00293F2D">
      <w:pPr>
        <w:pStyle w:val="paragraph"/>
        <w:spacing w:line="480" w:lineRule="auto"/>
        <w:jc w:val="center"/>
        <w:textAlignment w:val="baseline"/>
        <w:rPr>
          <w:rFonts w:eastAsiaTheme="minorEastAsia"/>
          <w:vertAlign w:val="superscript"/>
        </w:rPr>
      </w:pPr>
      <w:r w:rsidRPr="4C7F5217">
        <w:rPr>
          <w:rFonts w:eastAsiaTheme="minorEastAsia"/>
        </w:rPr>
        <w:t>Kenneth A. Freedberg</w:t>
      </w:r>
      <w:r>
        <w:rPr>
          <w:rFonts w:eastAsiaTheme="minorEastAsia"/>
        </w:rPr>
        <w:t>*</w:t>
      </w:r>
      <w:r w:rsidRPr="4C7F5217">
        <w:rPr>
          <w:rFonts w:eastAsiaTheme="minorEastAsia"/>
        </w:rPr>
        <w:t xml:space="preserve">, MD, MSc </w:t>
      </w:r>
      <w:r w:rsidRPr="4C7F5217">
        <w:rPr>
          <w:rFonts w:eastAsiaTheme="minorEastAsia"/>
          <w:vertAlign w:val="superscript"/>
        </w:rPr>
        <w:t xml:space="preserve"> 3, </w:t>
      </w:r>
      <w:r>
        <w:rPr>
          <w:rFonts w:eastAsiaTheme="minorEastAsia"/>
          <w:vertAlign w:val="superscript"/>
        </w:rPr>
        <w:t>5, 6, 7, 10</w:t>
      </w:r>
    </w:p>
    <w:p w14:paraId="5A8CBA94" w14:textId="77777777" w:rsidR="00293F2D" w:rsidRPr="005D24A0" w:rsidRDefault="00293F2D" w:rsidP="00293F2D">
      <w:pPr>
        <w:pStyle w:val="paragraph"/>
        <w:spacing w:line="480" w:lineRule="auto"/>
        <w:jc w:val="center"/>
        <w:textAlignment w:val="baseline"/>
        <w:rPr>
          <w:rFonts w:eastAsiaTheme="minorEastAsia"/>
        </w:rPr>
      </w:pPr>
    </w:p>
    <w:p w14:paraId="63DEB88C" w14:textId="77777777" w:rsidR="00293F2D" w:rsidRPr="006E44FA" w:rsidRDefault="00293F2D" w:rsidP="00293F2D">
      <w:pPr>
        <w:spacing w:after="0" w:line="480" w:lineRule="auto"/>
        <w:rPr>
          <w:rFonts w:ascii="Times New Roman" w:hAnsi="Times New Roman" w:cs="Times New Roman"/>
          <w:sz w:val="24"/>
          <w:szCs w:val="24"/>
        </w:rPr>
      </w:pPr>
      <w:r w:rsidRPr="006E44FA">
        <w:rPr>
          <w:rFonts w:ascii="Times New Roman" w:hAnsi="Times New Roman" w:cs="Times New Roman"/>
          <w:sz w:val="24"/>
          <w:szCs w:val="24"/>
        </w:rPr>
        <w:t>*</w:t>
      </w:r>
      <w:r>
        <w:rPr>
          <w:rFonts w:ascii="Times New Roman" w:hAnsi="Times New Roman" w:cs="Times New Roman"/>
          <w:sz w:val="24"/>
          <w:szCs w:val="24"/>
        </w:rPr>
        <w:t xml:space="preserve"> Drs. Kazemian and Freedberg contributed equally to this work</w:t>
      </w:r>
    </w:p>
    <w:p w14:paraId="20406B6B" w14:textId="00DC1A06" w:rsidR="00293F2D" w:rsidRPr="005D24A0" w:rsidRDefault="00293F2D" w:rsidP="00293F2D">
      <w:pPr>
        <w:pStyle w:val="paragraph"/>
        <w:spacing w:line="480" w:lineRule="auto"/>
        <w:textAlignment w:val="baseline"/>
        <w:rPr>
          <w:rFonts w:eastAsiaTheme="minorHAnsi"/>
        </w:rPr>
      </w:pPr>
      <w:r w:rsidRPr="005D24A0">
        <w:rPr>
          <w:rFonts w:eastAsiaTheme="minorHAnsi"/>
        </w:rPr>
        <w:t> </w:t>
      </w:r>
    </w:p>
    <w:p w14:paraId="6265B785" w14:textId="7D325721" w:rsidR="00293F2D" w:rsidRPr="005D24A0" w:rsidRDefault="00293F2D" w:rsidP="00293F2D">
      <w:pPr>
        <w:pStyle w:val="paragraph"/>
        <w:spacing w:line="480" w:lineRule="auto"/>
        <w:textAlignment w:val="baseline"/>
        <w:rPr>
          <w:rFonts w:eastAsiaTheme="minorHAnsi"/>
        </w:rPr>
      </w:pPr>
      <w:r w:rsidRPr="005D24A0">
        <w:rPr>
          <w:rFonts w:eastAsiaTheme="minorHAnsi"/>
        </w:rPr>
        <w:t>Affiliations</w:t>
      </w:r>
      <w:r w:rsidR="00181C0D">
        <w:rPr>
          <w:rFonts w:eastAsiaTheme="minorHAnsi"/>
        </w:rPr>
        <w:t>:</w:t>
      </w:r>
    </w:p>
    <w:p w14:paraId="733E4660" w14:textId="77777777" w:rsidR="00293F2D" w:rsidRPr="005D24A0" w:rsidRDefault="00293F2D" w:rsidP="00293F2D">
      <w:pPr>
        <w:pStyle w:val="paragraph"/>
        <w:numPr>
          <w:ilvl w:val="0"/>
          <w:numId w:val="13"/>
        </w:numPr>
        <w:spacing w:line="480" w:lineRule="auto"/>
        <w:textAlignment w:val="baseline"/>
        <w:rPr>
          <w:rFonts w:eastAsiaTheme="minorHAnsi"/>
        </w:rPr>
      </w:pPr>
      <w:r w:rsidRPr="005D24A0">
        <w:rPr>
          <w:rFonts w:eastAsiaTheme="minorHAnsi"/>
        </w:rPr>
        <w:t xml:space="preserve">Policy and Innovation </w:t>
      </w:r>
      <w:proofErr w:type="spellStart"/>
      <w:r w:rsidRPr="005D24A0">
        <w:rPr>
          <w:rFonts w:eastAsiaTheme="minorHAnsi"/>
        </w:rPr>
        <w:t>eValuation</w:t>
      </w:r>
      <w:proofErr w:type="spellEnd"/>
      <w:r w:rsidRPr="005D24A0">
        <w:rPr>
          <w:rFonts w:eastAsiaTheme="minorHAnsi"/>
        </w:rPr>
        <w:t xml:space="preserve"> in Orthopedic Treatments (PIVOT) Center, Department of Orthopedic Surgery, Brigham and Women's Hospital, Boston, MA </w:t>
      </w:r>
    </w:p>
    <w:p w14:paraId="371EC1A5" w14:textId="77777777" w:rsidR="00293F2D" w:rsidRPr="005D24A0" w:rsidRDefault="00293F2D" w:rsidP="00293F2D">
      <w:pPr>
        <w:pStyle w:val="paragraph"/>
        <w:numPr>
          <w:ilvl w:val="0"/>
          <w:numId w:val="13"/>
        </w:numPr>
        <w:spacing w:line="480" w:lineRule="auto"/>
        <w:textAlignment w:val="baseline"/>
        <w:rPr>
          <w:rFonts w:eastAsiaTheme="minorHAnsi"/>
        </w:rPr>
      </w:pPr>
      <w:r w:rsidRPr="005D24A0">
        <w:rPr>
          <w:rFonts w:eastAsiaTheme="minorHAnsi"/>
        </w:rPr>
        <w:t>Orthopedic and Arthritis Center for Outcomes Research (</w:t>
      </w:r>
      <w:proofErr w:type="spellStart"/>
      <w:r w:rsidRPr="005D24A0">
        <w:rPr>
          <w:rFonts w:eastAsiaTheme="minorHAnsi"/>
        </w:rPr>
        <w:t>OrACORe</w:t>
      </w:r>
      <w:proofErr w:type="spellEnd"/>
      <w:r w:rsidRPr="005D24A0">
        <w:rPr>
          <w:rFonts w:eastAsiaTheme="minorHAnsi"/>
        </w:rPr>
        <w:t>), Department of Orthopedic Surgery, Brigham and Women's Hospital, Boston, MA </w:t>
      </w:r>
    </w:p>
    <w:p w14:paraId="31F798A8" w14:textId="77777777" w:rsidR="00293F2D" w:rsidRPr="005D24A0" w:rsidRDefault="00293F2D" w:rsidP="00293F2D">
      <w:pPr>
        <w:pStyle w:val="paragraph"/>
        <w:numPr>
          <w:ilvl w:val="0"/>
          <w:numId w:val="13"/>
        </w:numPr>
        <w:spacing w:line="480" w:lineRule="auto"/>
        <w:textAlignment w:val="baseline"/>
        <w:rPr>
          <w:rFonts w:eastAsiaTheme="minorHAnsi"/>
        </w:rPr>
      </w:pPr>
      <w:r w:rsidRPr="005D24A0">
        <w:rPr>
          <w:rFonts w:eastAsiaTheme="minorHAnsi"/>
        </w:rPr>
        <w:t>Harvard Medical School, Boston, MA </w:t>
      </w:r>
    </w:p>
    <w:p w14:paraId="02A823FA" w14:textId="77777777" w:rsidR="00293F2D" w:rsidRPr="005D24A0" w:rsidRDefault="00293F2D" w:rsidP="00293F2D">
      <w:pPr>
        <w:pStyle w:val="paragraph"/>
        <w:numPr>
          <w:ilvl w:val="0"/>
          <w:numId w:val="13"/>
        </w:numPr>
        <w:spacing w:line="480" w:lineRule="auto"/>
        <w:textAlignment w:val="baseline"/>
        <w:rPr>
          <w:rFonts w:eastAsiaTheme="minorHAnsi"/>
        </w:rPr>
      </w:pPr>
      <w:r w:rsidRPr="005D24A0">
        <w:rPr>
          <w:rFonts w:eastAsiaTheme="minorHAnsi"/>
        </w:rPr>
        <w:t>Department of Biostatistics, Boston University School of Public Health, Boston, MA </w:t>
      </w:r>
    </w:p>
    <w:p w14:paraId="0778D11E" w14:textId="77777777" w:rsidR="00293F2D" w:rsidRPr="005D24A0" w:rsidRDefault="00293F2D" w:rsidP="00293F2D">
      <w:pPr>
        <w:pStyle w:val="paragraph"/>
        <w:numPr>
          <w:ilvl w:val="0"/>
          <w:numId w:val="13"/>
        </w:numPr>
        <w:spacing w:line="480" w:lineRule="auto"/>
        <w:textAlignment w:val="baseline"/>
        <w:rPr>
          <w:rFonts w:eastAsiaTheme="minorHAnsi"/>
        </w:rPr>
      </w:pPr>
      <w:r w:rsidRPr="005D24A0">
        <w:rPr>
          <w:rFonts w:eastAsiaTheme="minorHAnsi"/>
        </w:rPr>
        <w:lastRenderedPageBreak/>
        <w:t>Medical Practice Evaluation Center, Massachusetts General Hospital, Boston, MA </w:t>
      </w:r>
    </w:p>
    <w:p w14:paraId="40FB0E38" w14:textId="77777777" w:rsidR="00293F2D" w:rsidRPr="005D24A0" w:rsidRDefault="00293F2D" w:rsidP="00293F2D">
      <w:pPr>
        <w:pStyle w:val="paragraph"/>
        <w:numPr>
          <w:ilvl w:val="0"/>
          <w:numId w:val="13"/>
        </w:numPr>
        <w:spacing w:line="480" w:lineRule="auto"/>
        <w:textAlignment w:val="baseline"/>
        <w:rPr>
          <w:rFonts w:eastAsiaTheme="minorHAnsi"/>
        </w:rPr>
      </w:pPr>
      <w:r w:rsidRPr="005D24A0">
        <w:rPr>
          <w:rFonts w:eastAsiaTheme="minorHAnsi"/>
        </w:rPr>
        <w:t>Division of Infectious Diseases, Department of Medicine, Massachusetts General Hospital, Boston, MA </w:t>
      </w:r>
    </w:p>
    <w:p w14:paraId="7A5D4C27" w14:textId="77777777" w:rsidR="00293F2D" w:rsidRPr="005D24A0" w:rsidRDefault="00293F2D" w:rsidP="00293F2D">
      <w:pPr>
        <w:pStyle w:val="paragraph"/>
        <w:numPr>
          <w:ilvl w:val="0"/>
          <w:numId w:val="13"/>
        </w:numPr>
        <w:spacing w:line="480" w:lineRule="auto"/>
        <w:textAlignment w:val="baseline"/>
        <w:rPr>
          <w:rFonts w:eastAsiaTheme="minorHAnsi"/>
        </w:rPr>
      </w:pPr>
      <w:r w:rsidRPr="005D24A0">
        <w:rPr>
          <w:rFonts w:eastAsiaTheme="minorHAnsi"/>
        </w:rPr>
        <w:t>Division of General Internal Medicine, Department of Medicine,</w:t>
      </w:r>
      <w:r>
        <w:rPr>
          <w:rFonts w:eastAsiaTheme="minorHAnsi"/>
        </w:rPr>
        <w:t xml:space="preserve"> MGH,</w:t>
      </w:r>
      <w:r w:rsidRPr="005D24A0">
        <w:rPr>
          <w:rFonts w:eastAsiaTheme="minorHAnsi"/>
        </w:rPr>
        <w:t xml:space="preserve"> Boston, MA </w:t>
      </w:r>
    </w:p>
    <w:p w14:paraId="683F7292" w14:textId="77777777" w:rsidR="00293F2D" w:rsidRDefault="00293F2D" w:rsidP="00293F2D">
      <w:pPr>
        <w:pStyle w:val="paragraph"/>
        <w:numPr>
          <w:ilvl w:val="0"/>
          <w:numId w:val="13"/>
        </w:numPr>
        <w:spacing w:line="480" w:lineRule="auto"/>
        <w:textAlignment w:val="baseline"/>
        <w:rPr>
          <w:rFonts w:eastAsiaTheme="minorHAnsi"/>
        </w:rPr>
      </w:pPr>
      <w:r w:rsidRPr="005D24A0">
        <w:rPr>
          <w:rFonts w:eastAsiaTheme="minorHAnsi"/>
        </w:rPr>
        <w:t>Division of General Academic Pediatrics, Department of Pediatrics, Massachusetts General Hospital, Boston, MA </w:t>
      </w:r>
    </w:p>
    <w:p w14:paraId="651B355C" w14:textId="77777777" w:rsidR="00293F2D" w:rsidRDefault="00293F2D" w:rsidP="00293F2D">
      <w:pPr>
        <w:pStyle w:val="paragraph"/>
        <w:numPr>
          <w:ilvl w:val="0"/>
          <w:numId w:val="13"/>
        </w:numPr>
        <w:spacing w:line="480" w:lineRule="auto"/>
        <w:rPr>
          <w:rFonts w:asciiTheme="minorHAnsi" w:eastAsiaTheme="minorEastAsia" w:hAnsiTheme="minorHAnsi" w:cstheme="minorBidi"/>
        </w:rPr>
      </w:pPr>
      <w:r w:rsidRPr="4C7F5217">
        <w:rPr>
          <w:rFonts w:eastAsiaTheme="minorEastAsia"/>
        </w:rPr>
        <w:t xml:space="preserve">Department of Operations, </w:t>
      </w:r>
      <w:proofErr w:type="spellStart"/>
      <w:r w:rsidRPr="4C7F5217">
        <w:rPr>
          <w:rFonts w:eastAsiaTheme="minorEastAsia"/>
        </w:rPr>
        <w:t>Weatherhead</w:t>
      </w:r>
      <w:proofErr w:type="spellEnd"/>
      <w:r w:rsidRPr="4C7F5217">
        <w:rPr>
          <w:rFonts w:eastAsiaTheme="minorEastAsia"/>
        </w:rPr>
        <w:t xml:space="preserve"> School of Management, Case Western Reserve University; Cleveland, OH</w:t>
      </w:r>
    </w:p>
    <w:p w14:paraId="5FDB00F5" w14:textId="77777777" w:rsidR="00293F2D" w:rsidRPr="005D24A0" w:rsidRDefault="00293F2D" w:rsidP="00293F2D">
      <w:pPr>
        <w:pStyle w:val="paragraph"/>
        <w:numPr>
          <w:ilvl w:val="0"/>
          <w:numId w:val="13"/>
        </w:numPr>
        <w:spacing w:line="480" w:lineRule="auto"/>
        <w:textAlignment w:val="baseline"/>
        <w:rPr>
          <w:rFonts w:eastAsiaTheme="minorHAnsi"/>
        </w:rPr>
      </w:pPr>
      <w:r w:rsidRPr="005D24A0">
        <w:rPr>
          <w:rFonts w:eastAsiaTheme="minorHAnsi"/>
        </w:rPr>
        <w:t>Department of Health Policy and Management, Harvard T. H. Chan School of Public Health, Boston, MA </w:t>
      </w:r>
    </w:p>
    <w:p w14:paraId="731BBC90" w14:textId="77777777" w:rsidR="00293F2D" w:rsidRDefault="00293F2D" w:rsidP="00293F2D">
      <w:pPr>
        <w:pStyle w:val="paragraph"/>
        <w:spacing w:line="480" w:lineRule="auto"/>
        <w:textAlignment w:val="baseline"/>
        <w:rPr>
          <w:rFonts w:eastAsiaTheme="minorEastAsia"/>
        </w:rPr>
      </w:pPr>
    </w:p>
    <w:p w14:paraId="6E2D0691" w14:textId="17856260" w:rsidR="00293F2D" w:rsidRPr="005D24A0" w:rsidRDefault="00293F2D" w:rsidP="00293F2D">
      <w:pPr>
        <w:pStyle w:val="paragraph"/>
        <w:spacing w:line="480" w:lineRule="auto"/>
        <w:textAlignment w:val="baseline"/>
        <w:rPr>
          <w:rFonts w:eastAsiaTheme="minorHAnsi"/>
        </w:rPr>
      </w:pPr>
      <w:r w:rsidRPr="005D24A0">
        <w:rPr>
          <w:rFonts w:eastAsiaTheme="minorHAnsi"/>
        </w:rPr>
        <w:t> </w:t>
      </w:r>
    </w:p>
    <w:p w14:paraId="5061D4B9" w14:textId="77777777" w:rsidR="00293F2D" w:rsidRPr="005D24A0" w:rsidRDefault="00293F2D" w:rsidP="00293F2D">
      <w:pPr>
        <w:pStyle w:val="paragraph"/>
        <w:spacing w:line="480" w:lineRule="auto"/>
        <w:textAlignment w:val="baseline"/>
        <w:rPr>
          <w:rFonts w:eastAsiaTheme="minorHAnsi"/>
        </w:rPr>
      </w:pPr>
      <w:r w:rsidRPr="005D24A0">
        <w:rPr>
          <w:rFonts w:eastAsiaTheme="minorHAnsi"/>
        </w:rPr>
        <w:t>Corresponding author: </w:t>
      </w:r>
    </w:p>
    <w:p w14:paraId="542A9459" w14:textId="77777777" w:rsidR="00293F2D" w:rsidRPr="005D24A0" w:rsidRDefault="00293F2D" w:rsidP="00293F2D">
      <w:pPr>
        <w:pStyle w:val="paragraph"/>
        <w:spacing w:line="480" w:lineRule="auto"/>
        <w:textAlignment w:val="baseline"/>
        <w:rPr>
          <w:rFonts w:eastAsiaTheme="minorHAnsi"/>
        </w:rPr>
      </w:pPr>
      <w:r w:rsidRPr="005D24A0">
        <w:rPr>
          <w:rFonts w:eastAsiaTheme="minorHAnsi"/>
        </w:rPr>
        <w:t>Elena Losina</w:t>
      </w:r>
      <w:r>
        <w:rPr>
          <w:rFonts w:eastAsiaTheme="minorHAnsi"/>
        </w:rPr>
        <w:t>, PhD</w:t>
      </w:r>
    </w:p>
    <w:p w14:paraId="0089FDB1" w14:textId="77777777" w:rsidR="00293F2D" w:rsidRPr="005D24A0" w:rsidRDefault="00293F2D" w:rsidP="00293F2D">
      <w:pPr>
        <w:pStyle w:val="paragraph"/>
        <w:spacing w:line="480" w:lineRule="auto"/>
        <w:textAlignment w:val="baseline"/>
        <w:rPr>
          <w:rFonts w:eastAsiaTheme="minorHAnsi"/>
        </w:rPr>
      </w:pPr>
      <w:r w:rsidRPr="005D24A0">
        <w:rPr>
          <w:rFonts w:eastAsiaTheme="minorHAnsi"/>
        </w:rPr>
        <w:t xml:space="preserve">Orthopedic and Arthritis Center for Outcomes Research </w:t>
      </w:r>
    </w:p>
    <w:p w14:paraId="48D61D3B" w14:textId="77777777" w:rsidR="00293F2D" w:rsidRPr="005D24A0" w:rsidRDefault="00293F2D" w:rsidP="00293F2D">
      <w:pPr>
        <w:pStyle w:val="paragraph"/>
        <w:spacing w:line="480" w:lineRule="auto"/>
        <w:textAlignment w:val="baseline"/>
        <w:rPr>
          <w:rFonts w:eastAsiaTheme="minorHAnsi"/>
        </w:rPr>
      </w:pPr>
      <w:r w:rsidRPr="005D24A0">
        <w:rPr>
          <w:rFonts w:eastAsiaTheme="minorHAnsi"/>
        </w:rPr>
        <w:t xml:space="preserve">Brigham and </w:t>
      </w:r>
      <w:proofErr w:type="spellStart"/>
      <w:r w:rsidRPr="005D24A0">
        <w:rPr>
          <w:rFonts w:eastAsiaTheme="minorHAnsi"/>
        </w:rPr>
        <w:t>Womens</w:t>
      </w:r>
      <w:proofErr w:type="spellEnd"/>
      <w:r w:rsidRPr="005D24A0">
        <w:rPr>
          <w:rFonts w:eastAsiaTheme="minorHAnsi"/>
        </w:rPr>
        <w:t xml:space="preserve">’ </w:t>
      </w:r>
      <w:r>
        <w:rPr>
          <w:rFonts w:eastAsiaTheme="minorHAnsi"/>
        </w:rPr>
        <w:t>H</w:t>
      </w:r>
      <w:r w:rsidRPr="005D24A0">
        <w:rPr>
          <w:rFonts w:eastAsiaTheme="minorHAnsi"/>
        </w:rPr>
        <w:t xml:space="preserve">ospital </w:t>
      </w:r>
    </w:p>
    <w:p w14:paraId="592C4789" w14:textId="77777777" w:rsidR="00293F2D" w:rsidRPr="005D24A0" w:rsidRDefault="00293F2D" w:rsidP="00293F2D">
      <w:pPr>
        <w:pStyle w:val="paragraph"/>
        <w:spacing w:line="480" w:lineRule="auto"/>
        <w:textAlignment w:val="baseline"/>
        <w:rPr>
          <w:rFonts w:eastAsiaTheme="minorHAnsi"/>
        </w:rPr>
      </w:pPr>
      <w:r w:rsidRPr="005D24A0">
        <w:rPr>
          <w:rFonts w:eastAsiaTheme="minorHAnsi"/>
        </w:rPr>
        <w:t xml:space="preserve">60 </w:t>
      </w:r>
      <w:proofErr w:type="spellStart"/>
      <w:r w:rsidRPr="005D24A0">
        <w:rPr>
          <w:rFonts w:eastAsiaTheme="minorHAnsi"/>
        </w:rPr>
        <w:t>Fenwood</w:t>
      </w:r>
      <w:proofErr w:type="spellEnd"/>
      <w:r w:rsidRPr="005D24A0">
        <w:rPr>
          <w:rFonts w:eastAsiaTheme="minorHAnsi"/>
        </w:rPr>
        <w:t xml:space="preserve"> Rd, </w:t>
      </w:r>
      <w:r>
        <w:rPr>
          <w:rFonts w:eastAsiaTheme="minorHAnsi"/>
        </w:rPr>
        <w:t>5016</w:t>
      </w:r>
    </w:p>
    <w:p w14:paraId="12C135AE" w14:textId="77777777" w:rsidR="00293F2D" w:rsidRPr="005D24A0" w:rsidRDefault="00293F2D" w:rsidP="00293F2D">
      <w:pPr>
        <w:pStyle w:val="paragraph"/>
        <w:spacing w:line="480" w:lineRule="auto"/>
        <w:textAlignment w:val="baseline"/>
        <w:rPr>
          <w:rFonts w:eastAsiaTheme="minorHAnsi"/>
        </w:rPr>
      </w:pPr>
      <w:r w:rsidRPr="005D24A0">
        <w:rPr>
          <w:rFonts w:eastAsiaTheme="minorHAnsi"/>
        </w:rPr>
        <w:t>Boston, MA, 02115</w:t>
      </w:r>
    </w:p>
    <w:p w14:paraId="1C61EBC7" w14:textId="191B7B79" w:rsidR="0005714A" w:rsidRDefault="0005714A" w:rsidP="00201D2B">
      <w:pPr>
        <w:pStyle w:val="paragraph"/>
        <w:textAlignment w:val="baseline"/>
        <w:rPr>
          <w:rStyle w:val="normaltextrun1"/>
        </w:rPr>
      </w:pPr>
    </w:p>
    <w:p w14:paraId="5A6CC7AE" w14:textId="77777777" w:rsidR="00A55BD0" w:rsidRDefault="00A55BD0">
      <w:pPr>
        <w:rPr>
          <w:rStyle w:val="normaltextrun1"/>
        </w:rPr>
      </w:pPr>
      <w:r>
        <w:rPr>
          <w:rStyle w:val="normaltextrun1"/>
        </w:rPr>
        <w:br w:type="page"/>
      </w:r>
    </w:p>
    <w:p w14:paraId="1A353BE0" w14:textId="293D080C" w:rsidR="00A55BD0" w:rsidRDefault="00552D39" w:rsidP="00A55BD0">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r w:rsidR="00A55BD0">
        <w:rPr>
          <w:rFonts w:ascii="Times New Roman" w:hAnsi="Times New Roman" w:cs="Times New Roman"/>
          <w:b/>
          <w:bCs/>
          <w:sz w:val="24"/>
          <w:szCs w:val="24"/>
        </w:rPr>
        <w:t>:</w:t>
      </w:r>
    </w:p>
    <w:p w14:paraId="0746B5CD" w14:textId="5B68CBC9" w:rsidR="00A55BD0" w:rsidRPr="00D17722" w:rsidRDefault="00A55BD0" w:rsidP="00A55BD0">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Supplemental </w:t>
      </w:r>
      <w:r w:rsidR="005B25A3">
        <w:rPr>
          <w:rFonts w:ascii="Times New Roman" w:hAnsi="Times New Roman" w:cs="Times New Roman"/>
          <w:b/>
          <w:bCs/>
          <w:sz w:val="24"/>
          <w:szCs w:val="24"/>
        </w:rPr>
        <w:t>m</w:t>
      </w:r>
      <w:r>
        <w:rPr>
          <w:rFonts w:ascii="Times New Roman" w:hAnsi="Times New Roman" w:cs="Times New Roman"/>
          <w:b/>
          <w:bCs/>
          <w:sz w:val="24"/>
          <w:szCs w:val="24"/>
        </w:rPr>
        <w:t>ethods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3EB94081" w14:textId="73B3A30B" w:rsidR="00A55BD0" w:rsidRPr="00D17722" w:rsidRDefault="00A55BD0" w:rsidP="00A55BD0">
      <w:pPr>
        <w:spacing w:line="480" w:lineRule="auto"/>
        <w:rPr>
          <w:rFonts w:ascii="Times New Roman" w:hAnsi="Times New Roman" w:cs="Times New Roman"/>
          <w:sz w:val="24"/>
          <w:szCs w:val="24"/>
        </w:rPr>
      </w:pPr>
      <w:r>
        <w:rPr>
          <w:rFonts w:ascii="Times New Roman" w:hAnsi="Times New Roman" w:cs="Times New Roman"/>
          <w:b/>
          <w:bCs/>
          <w:sz w:val="24"/>
          <w:szCs w:val="24"/>
        </w:rPr>
        <w:t>Table S1.</w:t>
      </w:r>
      <w:r w:rsidRPr="00D17722">
        <w:rPr>
          <w:rFonts w:ascii="Times New Roman" w:hAnsi="Times New Roman" w:cs="Times New Roman"/>
          <w:sz w:val="24"/>
          <w:szCs w:val="24"/>
        </w:rPr>
        <w:t xml:space="preserve"> </w:t>
      </w:r>
      <w:r w:rsidRPr="00202600">
        <w:rPr>
          <w:rFonts w:ascii="Times New Roman" w:hAnsi="Times New Roman" w:cs="Times New Roman"/>
          <w:sz w:val="24"/>
          <w:szCs w:val="24"/>
        </w:rPr>
        <w:t>Clinical characteristics of COVID-19 infection in the US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81C0D">
        <w:rPr>
          <w:rFonts w:ascii="Times New Roman" w:hAnsi="Times New Roman" w:cs="Times New Roman"/>
          <w:sz w:val="24"/>
          <w:szCs w:val="24"/>
        </w:rPr>
        <w:t>9</w:t>
      </w:r>
    </w:p>
    <w:p w14:paraId="63EC7631" w14:textId="0C8DA5CF" w:rsidR="00A55BD0" w:rsidRDefault="00A55BD0" w:rsidP="00A55BD0">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Figure S1. </w:t>
      </w:r>
      <w:r w:rsidRPr="00A55BD0">
        <w:rPr>
          <w:rFonts w:ascii="Times New Roman" w:hAnsi="Times New Roman" w:cs="Times New Roman"/>
          <w:sz w:val="24"/>
          <w:szCs w:val="24"/>
        </w:rPr>
        <w:t>Budgetary impact of COVID-19 mitigation strategies, by test cost (USD)</w:t>
      </w:r>
      <w:r>
        <w:rPr>
          <w:rFonts w:ascii="Times New Roman" w:hAnsi="Times New Roman" w:cs="Times New Roman"/>
          <w:sz w:val="24"/>
          <w:szCs w:val="24"/>
        </w:rPr>
        <w:tab/>
        <w:t>1</w:t>
      </w:r>
      <w:r w:rsidR="00181C0D">
        <w:rPr>
          <w:rFonts w:ascii="Times New Roman" w:hAnsi="Times New Roman" w:cs="Times New Roman"/>
          <w:sz w:val="24"/>
          <w:szCs w:val="24"/>
        </w:rPr>
        <w:t>3</w:t>
      </w:r>
    </w:p>
    <w:p w14:paraId="39CF37AD" w14:textId="6538A651" w:rsidR="00CB73F8" w:rsidRPr="00181C0D" w:rsidRDefault="005B25A3" w:rsidP="00181C0D">
      <w:pPr>
        <w:spacing w:line="480" w:lineRule="auto"/>
        <w:rPr>
          <w:rStyle w:val="normaltextrun1"/>
          <w:rFonts w:ascii="Times New Roman" w:hAnsi="Times New Roman" w:cs="Times New Roman"/>
          <w:sz w:val="24"/>
          <w:szCs w:val="24"/>
        </w:rPr>
      </w:pPr>
      <w:r>
        <w:rPr>
          <w:rFonts w:ascii="Times New Roman" w:hAnsi="Times New Roman" w:cs="Times New Roman"/>
          <w:b/>
          <w:bCs/>
          <w:sz w:val="24"/>
          <w:szCs w:val="24"/>
        </w:rPr>
        <w:t>Literature cited</w:t>
      </w:r>
      <w:r w:rsidR="00181C0D">
        <w:rPr>
          <w:rFonts w:ascii="Times New Roman" w:hAnsi="Times New Roman" w:cs="Times New Roman"/>
          <w:sz w:val="24"/>
          <w:szCs w:val="24"/>
        </w:rPr>
        <w:tab/>
      </w:r>
      <w:r w:rsidR="00181C0D">
        <w:rPr>
          <w:rFonts w:ascii="Times New Roman" w:hAnsi="Times New Roman" w:cs="Times New Roman"/>
          <w:sz w:val="24"/>
          <w:szCs w:val="24"/>
        </w:rPr>
        <w:tab/>
      </w:r>
      <w:r w:rsidR="00181C0D">
        <w:rPr>
          <w:rFonts w:ascii="Times New Roman" w:hAnsi="Times New Roman" w:cs="Times New Roman"/>
          <w:sz w:val="24"/>
          <w:szCs w:val="24"/>
        </w:rPr>
        <w:tab/>
      </w:r>
      <w:r w:rsidR="00181C0D">
        <w:rPr>
          <w:rFonts w:ascii="Times New Roman" w:hAnsi="Times New Roman" w:cs="Times New Roman"/>
          <w:sz w:val="24"/>
          <w:szCs w:val="24"/>
        </w:rPr>
        <w:tab/>
      </w:r>
      <w:r w:rsidR="00181C0D">
        <w:rPr>
          <w:rFonts w:ascii="Times New Roman" w:hAnsi="Times New Roman" w:cs="Times New Roman"/>
          <w:sz w:val="24"/>
          <w:szCs w:val="24"/>
        </w:rPr>
        <w:tab/>
      </w:r>
      <w:r w:rsidR="00181C0D">
        <w:rPr>
          <w:rFonts w:ascii="Times New Roman" w:hAnsi="Times New Roman" w:cs="Times New Roman"/>
          <w:sz w:val="24"/>
          <w:szCs w:val="24"/>
        </w:rPr>
        <w:tab/>
      </w:r>
      <w:r w:rsidR="00181C0D">
        <w:rPr>
          <w:rFonts w:ascii="Times New Roman" w:hAnsi="Times New Roman" w:cs="Times New Roman"/>
          <w:sz w:val="24"/>
          <w:szCs w:val="24"/>
        </w:rPr>
        <w:tab/>
      </w:r>
      <w:r w:rsidR="00181C0D">
        <w:rPr>
          <w:rFonts w:ascii="Times New Roman" w:hAnsi="Times New Roman" w:cs="Times New Roman"/>
          <w:sz w:val="24"/>
          <w:szCs w:val="24"/>
        </w:rPr>
        <w:tab/>
      </w:r>
      <w:r w:rsidR="00181C0D">
        <w:rPr>
          <w:rFonts w:ascii="Times New Roman" w:hAnsi="Times New Roman" w:cs="Times New Roman"/>
          <w:sz w:val="24"/>
          <w:szCs w:val="24"/>
        </w:rPr>
        <w:tab/>
      </w:r>
      <w:r w:rsidR="00181C0D">
        <w:rPr>
          <w:rFonts w:ascii="Times New Roman" w:hAnsi="Times New Roman" w:cs="Times New Roman"/>
          <w:sz w:val="24"/>
          <w:szCs w:val="24"/>
        </w:rPr>
        <w:tab/>
        <w:t>18</w:t>
      </w:r>
      <w:r w:rsidR="00642106" w:rsidRPr="7874DDC2">
        <w:rPr>
          <w:rStyle w:val="normaltextrun1"/>
        </w:rPr>
        <w:br w:type="page"/>
      </w:r>
    </w:p>
    <w:p w14:paraId="7F023649" w14:textId="376DAE06" w:rsidR="00E36F77" w:rsidRDefault="005B25A3" w:rsidP="00C13CC0">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Supplemental methods</w:t>
      </w:r>
    </w:p>
    <w:p w14:paraId="545E8A86" w14:textId="05F7659F" w:rsidR="00C13CC0" w:rsidRDefault="00C13CC0" w:rsidP="00C13CC0">
      <w:pPr>
        <w:spacing w:line="360" w:lineRule="auto"/>
        <w:rPr>
          <w:rFonts w:ascii="Times New Roman" w:hAnsi="Times New Roman" w:cs="Times New Roman"/>
          <w:b/>
          <w:bCs/>
          <w:sz w:val="24"/>
          <w:szCs w:val="24"/>
        </w:rPr>
      </w:pPr>
      <w:r w:rsidRPr="7874DDC2">
        <w:rPr>
          <w:rFonts w:ascii="Times New Roman" w:hAnsi="Times New Roman" w:cs="Times New Roman"/>
          <w:b/>
          <w:bCs/>
          <w:sz w:val="24"/>
          <w:szCs w:val="24"/>
        </w:rPr>
        <w:t xml:space="preserve">Heterogeneous </w:t>
      </w:r>
      <w:r w:rsidR="00455CCD">
        <w:rPr>
          <w:rFonts w:ascii="Times New Roman" w:hAnsi="Times New Roman" w:cs="Times New Roman"/>
          <w:b/>
          <w:bCs/>
          <w:sz w:val="24"/>
          <w:szCs w:val="24"/>
        </w:rPr>
        <w:t>m</w:t>
      </w:r>
      <w:r w:rsidRPr="7874DDC2">
        <w:rPr>
          <w:rFonts w:ascii="Times New Roman" w:hAnsi="Times New Roman" w:cs="Times New Roman"/>
          <w:b/>
          <w:bCs/>
          <w:sz w:val="24"/>
          <w:szCs w:val="24"/>
        </w:rPr>
        <w:t>ixing in the CE</w:t>
      </w:r>
      <w:r>
        <w:rPr>
          <w:rFonts w:ascii="Times New Roman" w:hAnsi="Times New Roman" w:cs="Times New Roman"/>
          <w:b/>
          <w:bCs/>
          <w:sz w:val="24"/>
          <w:szCs w:val="24"/>
        </w:rPr>
        <w:t>A</w:t>
      </w:r>
      <w:r w:rsidRPr="7874DDC2">
        <w:rPr>
          <w:rFonts w:ascii="Times New Roman" w:hAnsi="Times New Roman" w:cs="Times New Roman"/>
          <w:b/>
          <w:bCs/>
          <w:sz w:val="24"/>
          <w:szCs w:val="24"/>
        </w:rPr>
        <w:t xml:space="preserve">COV </w:t>
      </w:r>
      <w:r w:rsidR="00455CCD">
        <w:rPr>
          <w:rFonts w:ascii="Times New Roman" w:hAnsi="Times New Roman" w:cs="Times New Roman"/>
          <w:b/>
          <w:bCs/>
          <w:sz w:val="24"/>
          <w:szCs w:val="24"/>
        </w:rPr>
        <w:t>m</w:t>
      </w:r>
      <w:r w:rsidRPr="7874DDC2">
        <w:rPr>
          <w:rFonts w:ascii="Times New Roman" w:hAnsi="Times New Roman" w:cs="Times New Roman"/>
          <w:b/>
          <w:bCs/>
          <w:sz w:val="24"/>
          <w:szCs w:val="24"/>
        </w:rPr>
        <w:t>odel</w:t>
      </w:r>
    </w:p>
    <w:p w14:paraId="49F5135E" w14:textId="5C8A5BD2" w:rsidR="00C13CC0" w:rsidRDefault="00C13CC0" w:rsidP="00C13CC0">
      <w:pPr>
        <w:spacing w:line="360" w:lineRule="auto"/>
        <w:rPr>
          <w:rFonts w:ascii="Times New Roman" w:hAnsi="Times New Roman" w:cs="Times New Roman"/>
          <w:sz w:val="24"/>
          <w:szCs w:val="24"/>
        </w:rPr>
      </w:pPr>
      <w:r w:rsidRPr="7874DDC2">
        <w:rPr>
          <w:rFonts w:ascii="Times New Roman" w:eastAsiaTheme="minorEastAsia" w:hAnsi="Times New Roman" w:cs="Times New Roman"/>
          <w:sz w:val="24"/>
          <w:szCs w:val="24"/>
        </w:rPr>
        <w:t>The</w:t>
      </w:r>
      <w:r>
        <w:rPr>
          <w:rFonts w:ascii="Times New Roman" w:eastAsiaTheme="minorEastAsia" w:hAnsi="Times New Roman" w:cs="Times New Roman"/>
          <w:sz w:val="24"/>
          <w:szCs w:val="24"/>
        </w:rPr>
        <w:t xml:space="preserve"> CEACOV</w:t>
      </w:r>
      <w:r w:rsidRPr="7874DDC2">
        <w:rPr>
          <w:rFonts w:ascii="Times New Roman" w:eastAsiaTheme="minorEastAsia" w:hAnsi="Times New Roman" w:cs="Times New Roman"/>
          <w:sz w:val="24"/>
          <w:szCs w:val="24"/>
        </w:rPr>
        <w:t xml:space="preserve"> model can accommodate</w:t>
      </w:r>
      <w:r>
        <w:rPr>
          <w:rFonts w:ascii="Times New Roman" w:eastAsiaTheme="minorEastAsia" w:hAnsi="Times New Roman" w:cs="Times New Roman"/>
          <w:sz w:val="24"/>
          <w:szCs w:val="24"/>
        </w:rPr>
        <w:t xml:space="preserve"> a user-defined number of </w:t>
      </w:r>
      <w:r w:rsidRPr="7874DDC2">
        <w:rPr>
          <w:rFonts w:ascii="Times New Roman" w:eastAsiaTheme="minorEastAsia" w:hAnsi="Times New Roman" w:cs="Times New Roman"/>
          <w:sz w:val="24"/>
          <w:szCs w:val="24"/>
        </w:rPr>
        <w:t xml:space="preserve">mutually exclusive and collectively exhaustive </w:t>
      </w:r>
      <w:proofErr w:type="spellStart"/>
      <w:r w:rsidRPr="7874DDC2">
        <w:rPr>
          <w:rFonts w:ascii="Times New Roman" w:eastAsiaTheme="minorEastAsia" w:hAnsi="Times New Roman" w:cs="Times New Roman"/>
          <w:sz w:val="24"/>
          <w:szCs w:val="24"/>
        </w:rPr>
        <w:t>subcohorts</w:t>
      </w:r>
      <w:proofErr w:type="spellEnd"/>
      <w:r w:rsidRPr="7874DDC2">
        <w:rPr>
          <w:rFonts w:ascii="Times New Roman" w:eastAsiaTheme="minorEastAsia" w:hAnsi="Times New Roman" w:cs="Times New Roman"/>
          <w:sz w:val="24"/>
          <w:szCs w:val="24"/>
        </w:rPr>
        <w:t>. For the purposes of this analysis</w:t>
      </w:r>
      <w:r>
        <w:rPr>
          <w:rFonts w:ascii="Times New Roman" w:eastAsiaTheme="minorEastAsia" w:hAnsi="Times New Roman" w:cs="Times New Roman"/>
          <w:sz w:val="24"/>
          <w:szCs w:val="24"/>
        </w:rPr>
        <w:t xml:space="preserve"> we consider 3 </w:t>
      </w:r>
      <w:proofErr w:type="spellStart"/>
      <w:r>
        <w:rPr>
          <w:rFonts w:ascii="Times New Roman" w:eastAsiaTheme="minorEastAsia" w:hAnsi="Times New Roman" w:cs="Times New Roman"/>
          <w:sz w:val="24"/>
          <w:szCs w:val="24"/>
        </w:rPr>
        <w:t>subcohorts</w:t>
      </w:r>
      <w:proofErr w:type="spellEnd"/>
      <w:r>
        <w:rPr>
          <w:rFonts w:ascii="Times New Roman" w:eastAsiaTheme="minorEastAsia" w:hAnsi="Times New Roman" w:cs="Times New Roman"/>
          <w:sz w:val="24"/>
          <w:szCs w:val="24"/>
        </w:rPr>
        <w:t>: (1) s</w:t>
      </w:r>
      <w:r w:rsidRPr="7874DDC2">
        <w:rPr>
          <w:rFonts w:ascii="Times New Roman" w:eastAsiaTheme="minorEastAsia" w:hAnsi="Times New Roman" w:cs="Times New Roman"/>
          <w:sz w:val="24"/>
          <w:szCs w:val="24"/>
        </w:rPr>
        <w:t xml:space="preserve">tudents, </w:t>
      </w:r>
      <w:r>
        <w:rPr>
          <w:rFonts w:ascii="Times New Roman" w:eastAsiaTheme="minorEastAsia" w:hAnsi="Times New Roman" w:cs="Times New Roman"/>
          <w:sz w:val="24"/>
          <w:szCs w:val="24"/>
        </w:rPr>
        <w:t xml:space="preserve">(2) </w:t>
      </w:r>
      <w:r w:rsidRPr="7874DDC2">
        <w:rPr>
          <w:rFonts w:ascii="Times New Roman" w:eastAsiaTheme="minorEastAsia" w:hAnsi="Times New Roman" w:cs="Times New Roman"/>
          <w:sz w:val="24"/>
          <w:szCs w:val="24"/>
        </w:rPr>
        <w:t xml:space="preserve">faculty, </w:t>
      </w:r>
      <w:r>
        <w:rPr>
          <w:rFonts w:ascii="Times New Roman" w:eastAsiaTheme="minorEastAsia" w:hAnsi="Times New Roman" w:cs="Times New Roman"/>
          <w:sz w:val="24"/>
          <w:szCs w:val="24"/>
        </w:rPr>
        <w:t xml:space="preserve">and (3) </w:t>
      </w:r>
      <w:r w:rsidRPr="7874DDC2">
        <w:rPr>
          <w:rFonts w:ascii="Times New Roman" w:eastAsiaTheme="minorEastAsia" w:hAnsi="Times New Roman" w:cs="Times New Roman"/>
          <w:sz w:val="24"/>
          <w:szCs w:val="24"/>
        </w:rPr>
        <w:t xml:space="preserve">community. </w:t>
      </w:r>
      <w:r w:rsidRPr="7874DDC2">
        <w:rPr>
          <w:rFonts w:ascii="Times New Roman" w:hAnsi="Times New Roman" w:cs="Times New Roman"/>
          <w:sz w:val="24"/>
          <w:szCs w:val="24"/>
        </w:rPr>
        <w:t>With</w:t>
      </w:r>
      <w:r>
        <w:rPr>
          <w:rFonts w:ascii="Times New Roman" w:hAnsi="Times New Roman" w:cs="Times New Roman"/>
          <w:sz w:val="24"/>
          <w:szCs w:val="24"/>
        </w:rPr>
        <w:t xml:space="preserve"> 3</w:t>
      </w:r>
      <w:r w:rsidRPr="7874DDC2">
        <w:rPr>
          <w:rFonts w:ascii="Times New Roman" w:hAnsi="Times New Roman" w:cs="Times New Roman"/>
          <w:sz w:val="24"/>
          <w:szCs w:val="24"/>
        </w:rPr>
        <w:t xml:space="preserve"> </w:t>
      </w:r>
      <w:proofErr w:type="spellStart"/>
      <w:r w:rsidRPr="7874DDC2">
        <w:rPr>
          <w:rFonts w:ascii="Times New Roman" w:hAnsi="Times New Roman" w:cs="Times New Roman"/>
          <w:sz w:val="24"/>
          <w:szCs w:val="24"/>
        </w:rPr>
        <w:t>subcohorts</w:t>
      </w:r>
      <w:proofErr w:type="spellEnd"/>
      <w:r w:rsidRPr="7874DDC2">
        <w:rPr>
          <w:rFonts w:ascii="Times New Roman" w:hAnsi="Times New Roman" w:cs="Times New Roman"/>
          <w:sz w:val="24"/>
          <w:szCs w:val="24"/>
        </w:rPr>
        <w:t xml:space="preserve">, the contact-hours within and between the </w:t>
      </w:r>
      <w:proofErr w:type="spellStart"/>
      <w:r w:rsidRPr="7874DDC2">
        <w:rPr>
          <w:rFonts w:ascii="Times New Roman" w:hAnsi="Times New Roman" w:cs="Times New Roman"/>
          <w:sz w:val="24"/>
          <w:szCs w:val="24"/>
        </w:rPr>
        <w:t>subcohorts</w:t>
      </w:r>
      <w:proofErr w:type="spellEnd"/>
      <w:r w:rsidRPr="7874DDC2">
        <w:rPr>
          <w:rFonts w:ascii="Times New Roman" w:hAnsi="Times New Roman" w:cs="Times New Roman"/>
          <w:sz w:val="24"/>
          <w:szCs w:val="24"/>
        </w:rPr>
        <w:t xml:space="preserve"> </w:t>
      </w:r>
      <w:r w:rsidR="00C26801">
        <w:rPr>
          <w:rFonts w:ascii="Times New Roman" w:hAnsi="Times New Roman" w:cs="Times New Roman"/>
          <w:sz w:val="24"/>
          <w:szCs w:val="24"/>
        </w:rPr>
        <w:t>are</w:t>
      </w:r>
      <w:r w:rsidRPr="7874DDC2">
        <w:rPr>
          <w:rFonts w:ascii="Times New Roman" w:hAnsi="Times New Roman" w:cs="Times New Roman"/>
          <w:sz w:val="24"/>
          <w:szCs w:val="24"/>
        </w:rPr>
        <w:t xml:space="preserve"> described by the following contact matrix. </w:t>
      </w:r>
    </w:p>
    <w:p w14:paraId="59F4CB13" w14:textId="77777777" w:rsidR="00C13CC0" w:rsidRDefault="00C13CC0" w:rsidP="00C13CC0">
      <w:pPr>
        <w:spacing w:line="360" w:lineRule="auto"/>
        <w:rPr>
          <w:rFonts w:ascii="Times New Roman" w:hAnsi="Times New Roman" w:cs="Times New Roman"/>
          <w:sz w:val="24"/>
          <w:szCs w:val="24"/>
        </w:rPr>
      </w:pPr>
      <m:oMathPara>
        <m:oMath>
          <m:r>
            <w:rPr>
              <w:rFonts w:ascii="Cambria Math" w:hAnsi="Cambria Math" w:cs="Times New Roman"/>
              <w:sz w:val="24"/>
              <w:szCs w:val="24"/>
            </w:rPr>
            <m:t>C=</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11</m:t>
                        </m:r>
                      </m:sub>
                    </m:sSub>
                  </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12</m:t>
                        </m:r>
                      </m:sub>
                    </m:sSub>
                  </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13</m:t>
                        </m:r>
                      </m:sub>
                    </m:sSub>
                  </m:e>
                </m:mr>
                <m:m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21</m:t>
                        </m:r>
                      </m:sub>
                    </m:sSub>
                  </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22</m:t>
                        </m:r>
                      </m:sub>
                    </m:sSub>
                  </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23</m:t>
                        </m:r>
                      </m:sub>
                    </m:sSub>
                  </m:e>
                </m:mr>
                <m:m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31</m:t>
                        </m:r>
                      </m:sub>
                    </m:sSub>
                  </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32</m:t>
                        </m:r>
                      </m:sub>
                    </m:sSub>
                  </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33</m:t>
                        </m:r>
                      </m:sub>
                    </m:sSub>
                  </m:e>
                </m:mr>
              </m:m>
            </m:e>
          </m:d>
        </m:oMath>
      </m:oMathPara>
    </w:p>
    <w:p w14:paraId="1F1F6E26" w14:textId="77777777" w:rsidR="00C13CC0" w:rsidRDefault="00C13CC0" w:rsidP="00C13CC0">
      <w:pPr>
        <w:spacing w:line="360" w:lineRule="auto"/>
        <w:rPr>
          <w:rFonts w:ascii="Times New Roman" w:hAnsi="Times New Roman" w:cs="Times New Roman"/>
          <w:sz w:val="24"/>
          <w:szCs w:val="24"/>
        </w:rPr>
      </w:pPr>
      <w:r w:rsidRPr="7874DDC2">
        <w:rPr>
          <w:rFonts w:ascii="Times New Roman" w:hAnsi="Times New Roman" w:cs="Times New Roman"/>
          <w:sz w:val="24"/>
          <w:szCs w:val="24"/>
        </w:rPr>
        <w:t xml:space="preserve">The per person force of infection is proportional to the contact hours and size of each </w:t>
      </w:r>
      <w:proofErr w:type="spellStart"/>
      <w:r w:rsidRPr="7874DDC2">
        <w:rPr>
          <w:rFonts w:ascii="Times New Roman" w:hAnsi="Times New Roman" w:cs="Times New Roman"/>
          <w:sz w:val="24"/>
          <w:szCs w:val="24"/>
        </w:rPr>
        <w:t>subcohort</w:t>
      </w:r>
      <w:proofErr w:type="spellEnd"/>
      <w:r>
        <w:rPr>
          <w:rFonts w:ascii="Times New Roman" w:hAnsi="Times New Roman" w:cs="Times New Roman"/>
          <w:sz w:val="24"/>
          <w:szCs w:val="24"/>
        </w:rPr>
        <w:t xml:space="preserve"> as well as the force of transmission from infected individuals. We have:</w:t>
      </w:r>
    </w:p>
    <w:p w14:paraId="13D15DE8" w14:textId="77777777" w:rsidR="00C13CC0" w:rsidRDefault="007F0F80" w:rsidP="00C13CC0">
      <w:pPr>
        <w:spacing w:line="36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3</m:t>
              </m:r>
            </m:sup>
            <m:e>
              <m:f>
                <m:fPr>
                  <m:ctrlPr>
                    <w:rPr>
                      <w:rFonts w:ascii="Cambria Math" w:hAnsi="Cambria Math" w:cs="Times New Roman"/>
                      <w:i/>
                      <w:sz w:val="24"/>
                      <w:szCs w:val="24"/>
                    </w:rPr>
                  </m:ctrlPr>
                </m:fPr>
                <m:num>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jk</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j3</m:t>
                              </m:r>
                            </m:sub>
                          </m:sSub>
                        </m:den>
                      </m:f>
                    </m:e>
                  </m:d>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s∈S</m:t>
                      </m:r>
                    </m:sub>
                    <m:sup/>
                    <m:e>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s</m:t>
                          </m:r>
                        </m:sub>
                        <m:sup>
                          <m:r>
                            <w:rPr>
                              <w:rFonts w:ascii="Cambria Math" w:hAnsi="Cambria Math" w:cs="Times New Roman"/>
                              <w:sz w:val="24"/>
                              <w:szCs w:val="24"/>
                            </w:rPr>
                            <m:t>j</m:t>
                          </m:r>
                        </m:sup>
                      </m:sSubSup>
                      <m:d>
                        <m:dPr>
                          <m:ctrlPr>
                            <w:rPr>
                              <w:rFonts w:ascii="Cambria Math" w:hAnsi="Cambria Math" w:cs="Times New Roman"/>
                              <w:i/>
                              <w:sz w:val="24"/>
                              <w:szCs w:val="24"/>
                            </w:rPr>
                          </m:ctrlPr>
                        </m:dPr>
                        <m:e>
                          <m:r>
                            <w:rPr>
                              <w:rFonts w:ascii="Cambria Math" w:hAnsi="Cambria Math" w:cs="Times New Roman"/>
                              <w:sz w:val="24"/>
                              <w:szCs w:val="24"/>
                            </w:rPr>
                            <m:t>t</m:t>
                          </m:r>
                        </m:e>
                      </m:d>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den>
              </m:f>
            </m:e>
          </m:nary>
          <m:r>
            <w:rPr>
              <w:rFonts w:ascii="Cambria Math" w:hAnsi="Cambria Math" w:cs="Times New Roman"/>
              <w:sz w:val="24"/>
              <w:szCs w:val="24"/>
            </w:rPr>
            <m:t xml:space="preserve">        ∀k∈{1,2,3}</m:t>
          </m:r>
        </m:oMath>
      </m:oMathPara>
    </w:p>
    <w:p w14:paraId="620C464D" w14:textId="77777777" w:rsidR="00C13CC0" w:rsidRDefault="00C13CC0" w:rsidP="00C13CC0">
      <w:pPr>
        <w:spacing w:line="360" w:lineRule="auto"/>
        <w:rPr>
          <w:rFonts w:ascii="Times New Roman" w:hAnsi="Times New Roman" w:cs="Times New Roman"/>
          <w:sz w:val="24"/>
          <w:szCs w:val="24"/>
        </w:rPr>
      </w:pPr>
      <w:r>
        <w:rPr>
          <w:rFonts w:ascii="Times New Roman" w:hAnsi="Times New Roman" w:cs="Times New Roman"/>
          <w:sz w:val="24"/>
          <w:szCs w:val="24"/>
        </w:rPr>
        <w:t>in which,</w:t>
      </w:r>
    </w:p>
    <w:p w14:paraId="0BF1DA95" w14:textId="77777777" w:rsidR="00C13CC0" w:rsidRPr="006A4A11" w:rsidRDefault="007F0F80" w:rsidP="00C13CC0">
      <w:pPr>
        <w:pStyle w:val="ListParagraph"/>
        <w:numPr>
          <w:ilvl w:val="0"/>
          <w:numId w:val="12"/>
        </w:num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t</m:t>
            </m:r>
          </m:e>
        </m:d>
      </m:oMath>
      <w:r w:rsidR="00C13CC0">
        <w:rPr>
          <w:rFonts w:ascii="Times New Roman" w:eastAsiaTheme="minorEastAsia" w:hAnsi="Times New Roman" w:cs="Times New Roman"/>
          <w:sz w:val="24"/>
          <w:szCs w:val="24"/>
        </w:rPr>
        <w:t xml:space="preserve"> is the force of infection to each person in subcohort </w:t>
      </w:r>
      <w:r w:rsidR="00C13CC0" w:rsidRPr="005301DE">
        <w:rPr>
          <w:rFonts w:ascii="Times New Roman" w:eastAsiaTheme="minorEastAsia" w:hAnsi="Times New Roman" w:cs="Times New Roman"/>
          <w:i/>
          <w:iCs/>
          <w:sz w:val="24"/>
          <w:szCs w:val="24"/>
        </w:rPr>
        <w:t>k</w:t>
      </w:r>
      <w:r w:rsidR="00C13CC0">
        <w:rPr>
          <w:rFonts w:ascii="Times New Roman" w:eastAsiaTheme="minorEastAsia" w:hAnsi="Times New Roman" w:cs="Times New Roman"/>
          <w:sz w:val="24"/>
          <w:szCs w:val="24"/>
        </w:rPr>
        <w:t xml:space="preserve"> on day </w:t>
      </w:r>
      <w:r w:rsidR="00C13CC0" w:rsidRPr="006A4A11">
        <w:rPr>
          <w:rFonts w:ascii="Times New Roman" w:eastAsiaTheme="minorEastAsia" w:hAnsi="Times New Roman" w:cs="Times New Roman"/>
          <w:i/>
          <w:iCs/>
          <w:sz w:val="24"/>
          <w:szCs w:val="24"/>
        </w:rPr>
        <w:t>t</w:t>
      </w:r>
    </w:p>
    <w:p w14:paraId="585B3B1A" w14:textId="77777777" w:rsidR="00C13CC0" w:rsidRPr="006A4A11" w:rsidRDefault="007F0F80" w:rsidP="00C13CC0">
      <w:pPr>
        <w:pStyle w:val="ListParagraph"/>
        <w:numPr>
          <w:ilvl w:val="0"/>
          <w:numId w:val="12"/>
        </w:numPr>
        <w:spacing w:line="36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s</m:t>
            </m:r>
          </m:sub>
          <m:sup>
            <m:r>
              <w:rPr>
                <w:rFonts w:ascii="Cambria Math" w:hAnsi="Cambria Math" w:cs="Times New Roman"/>
                <w:sz w:val="24"/>
                <w:szCs w:val="24"/>
              </w:rPr>
              <m:t>j</m:t>
            </m:r>
          </m:sup>
        </m:sSubSup>
        <m:r>
          <w:rPr>
            <w:rFonts w:ascii="Cambria Math" w:eastAsiaTheme="minorEastAsia" w:hAnsi="Cambria Math" w:cs="Times New Roman"/>
            <w:sz w:val="24"/>
            <w:szCs w:val="24"/>
          </w:rPr>
          <m:t>(t)</m:t>
        </m:r>
      </m:oMath>
      <w:r w:rsidR="00C13CC0">
        <w:rPr>
          <w:rFonts w:ascii="Times New Roman" w:eastAsiaTheme="minorEastAsia" w:hAnsi="Times New Roman" w:cs="Times New Roman"/>
          <w:sz w:val="24"/>
          <w:szCs w:val="24"/>
        </w:rPr>
        <w:t xml:space="preserve"> is the number of infected individuals in </w:t>
      </w:r>
      <w:proofErr w:type="spellStart"/>
      <w:r w:rsidR="00C13CC0">
        <w:rPr>
          <w:rFonts w:ascii="Times New Roman" w:eastAsiaTheme="minorEastAsia" w:hAnsi="Times New Roman" w:cs="Times New Roman"/>
          <w:sz w:val="24"/>
          <w:szCs w:val="24"/>
        </w:rPr>
        <w:t>subcohort</w:t>
      </w:r>
      <w:proofErr w:type="spellEnd"/>
      <w:r w:rsidR="00C13CC0">
        <w:rPr>
          <w:rFonts w:ascii="Times New Roman" w:eastAsiaTheme="minorEastAsia" w:hAnsi="Times New Roman" w:cs="Times New Roman"/>
          <w:sz w:val="24"/>
          <w:szCs w:val="24"/>
        </w:rPr>
        <w:t xml:space="preserve"> </w:t>
      </w:r>
      <w:r w:rsidR="00C13CC0" w:rsidRPr="009E0692">
        <w:rPr>
          <w:rFonts w:ascii="Times New Roman" w:eastAsiaTheme="minorEastAsia" w:hAnsi="Times New Roman" w:cs="Times New Roman"/>
          <w:i/>
          <w:iCs/>
          <w:sz w:val="24"/>
          <w:szCs w:val="24"/>
        </w:rPr>
        <w:t>j</w:t>
      </w:r>
      <w:r w:rsidR="00C13CC0">
        <w:rPr>
          <w:rFonts w:ascii="Times New Roman" w:eastAsiaTheme="minorEastAsia" w:hAnsi="Times New Roman" w:cs="Times New Roman"/>
          <w:sz w:val="24"/>
          <w:szCs w:val="24"/>
        </w:rPr>
        <w:t xml:space="preserve"> who are in infection </w:t>
      </w:r>
      <w:proofErr w:type="spellStart"/>
      <w:r w:rsidR="00C13CC0">
        <w:rPr>
          <w:rFonts w:ascii="Times New Roman" w:eastAsiaTheme="minorEastAsia" w:hAnsi="Times New Roman" w:cs="Times New Roman"/>
          <w:sz w:val="24"/>
          <w:szCs w:val="24"/>
        </w:rPr>
        <w:t xml:space="preserve">state </w:t>
      </w:r>
      <w:r w:rsidR="00C13CC0" w:rsidRPr="006A4A11">
        <w:rPr>
          <w:rFonts w:ascii="Times New Roman" w:eastAsiaTheme="minorEastAsia" w:hAnsi="Times New Roman" w:cs="Times New Roman"/>
          <w:i/>
          <w:iCs/>
          <w:sz w:val="24"/>
          <w:szCs w:val="24"/>
        </w:rPr>
        <w:t>s</w:t>
      </w:r>
      <w:proofErr w:type="spellEnd"/>
      <w:r w:rsidR="00C13CC0">
        <w:rPr>
          <w:rFonts w:ascii="Times New Roman" w:eastAsiaTheme="minorEastAsia" w:hAnsi="Times New Roman" w:cs="Times New Roman"/>
          <w:sz w:val="24"/>
          <w:szCs w:val="24"/>
        </w:rPr>
        <w:t xml:space="preserve"> on day </w:t>
      </w:r>
      <w:r w:rsidR="00C13CC0" w:rsidRPr="006A4A11">
        <w:rPr>
          <w:rFonts w:ascii="Times New Roman" w:eastAsiaTheme="minorEastAsia" w:hAnsi="Times New Roman" w:cs="Times New Roman"/>
          <w:i/>
          <w:iCs/>
          <w:sz w:val="24"/>
          <w:szCs w:val="24"/>
        </w:rPr>
        <w:t>t</w:t>
      </w:r>
      <w:r w:rsidR="00C13CC0">
        <w:rPr>
          <w:rFonts w:ascii="Times New Roman" w:eastAsiaTheme="minorEastAsia" w:hAnsi="Times New Roman" w:cs="Times New Roman"/>
          <w:sz w:val="24"/>
          <w:szCs w:val="24"/>
        </w:rPr>
        <w:t xml:space="preserve">. The set of infection states, </w:t>
      </w:r>
      <w:r w:rsidR="00C13CC0" w:rsidRPr="00D71655">
        <w:rPr>
          <w:rFonts w:ascii="Times New Roman" w:eastAsiaTheme="minorEastAsia" w:hAnsi="Times New Roman" w:cs="Times New Roman"/>
          <w:i/>
          <w:iCs/>
          <w:sz w:val="24"/>
          <w:szCs w:val="24"/>
        </w:rPr>
        <w:t>S</w:t>
      </w:r>
      <w:r w:rsidR="00C13CC0">
        <w:rPr>
          <w:rFonts w:ascii="Times New Roman" w:eastAsiaTheme="minorEastAsia" w:hAnsi="Times New Roman" w:cs="Times New Roman"/>
          <w:sz w:val="24"/>
          <w:szCs w:val="24"/>
        </w:rPr>
        <w:t xml:space="preserve">, is defined as </w:t>
      </w:r>
      <w:r w:rsidR="00C13CC0" w:rsidRPr="00D71655">
        <w:rPr>
          <w:rFonts w:ascii="Times New Roman" w:eastAsiaTheme="minorEastAsia" w:hAnsi="Times New Roman" w:cs="Times New Roman"/>
          <w:i/>
          <w:iCs/>
          <w:sz w:val="24"/>
          <w:szCs w:val="24"/>
        </w:rPr>
        <w:t>S</w:t>
      </w:r>
      <w:proofErr w:type="gramStart"/>
      <w:r w:rsidR="00C13CC0" w:rsidRPr="00D71655">
        <w:rPr>
          <w:rFonts w:ascii="Times New Roman" w:eastAsiaTheme="minorEastAsia" w:hAnsi="Times New Roman" w:cs="Times New Roman"/>
          <w:i/>
          <w:iCs/>
          <w:sz w:val="24"/>
          <w:szCs w:val="24"/>
        </w:rPr>
        <w:t>={</w:t>
      </w:r>
      <w:proofErr w:type="gramEnd"/>
      <w:r w:rsidR="00C13CC0" w:rsidRPr="00D71655">
        <w:rPr>
          <w:rFonts w:ascii="Times New Roman" w:eastAsiaTheme="minorEastAsia" w:hAnsi="Times New Roman" w:cs="Times New Roman"/>
          <w:i/>
          <w:iCs/>
          <w:sz w:val="24"/>
          <w:szCs w:val="24"/>
        </w:rPr>
        <w:t>asymptomatic, mild/moderate disease, severe disease, critical disease, recuperation}.</w:t>
      </w:r>
      <w:r w:rsidR="00C13CC0">
        <w:rPr>
          <w:rFonts w:ascii="Times New Roman" w:eastAsiaTheme="minorEastAsia" w:hAnsi="Times New Roman" w:cs="Times New Roman"/>
          <w:sz w:val="24"/>
          <w:szCs w:val="24"/>
        </w:rPr>
        <w:t xml:space="preserve"> </w:t>
      </w:r>
    </w:p>
    <w:p w14:paraId="3EF73E65" w14:textId="77777777" w:rsidR="00C13CC0" w:rsidRPr="009E0692" w:rsidRDefault="007F0F80" w:rsidP="00C13CC0">
      <w:pPr>
        <w:pStyle w:val="ListParagraph"/>
        <w:numPr>
          <w:ilvl w:val="0"/>
          <w:numId w:val="12"/>
        </w:num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oMath>
      <w:r w:rsidR="00C13CC0">
        <w:rPr>
          <w:rFonts w:ascii="Times New Roman" w:eastAsiaTheme="minorEastAsia" w:hAnsi="Times New Roman" w:cs="Times New Roman"/>
          <w:sz w:val="24"/>
          <w:szCs w:val="24"/>
        </w:rPr>
        <w:t xml:space="preserve"> is the effective transmission rate from a person in infection state </w:t>
      </w:r>
      <w:r w:rsidR="00C13CC0" w:rsidRPr="006A4A11">
        <w:rPr>
          <w:rFonts w:ascii="Times New Roman" w:eastAsiaTheme="minorEastAsia" w:hAnsi="Times New Roman" w:cs="Times New Roman"/>
          <w:i/>
          <w:iCs/>
          <w:sz w:val="24"/>
          <w:szCs w:val="24"/>
        </w:rPr>
        <w:t>s</w:t>
      </w:r>
    </w:p>
    <w:p w14:paraId="2E217C63" w14:textId="77777777" w:rsidR="00C13CC0" w:rsidRPr="009E0692" w:rsidRDefault="007F0F80" w:rsidP="00C13CC0">
      <w:pPr>
        <w:pStyle w:val="ListParagraph"/>
        <w:numPr>
          <w:ilvl w:val="0"/>
          <w:numId w:val="12"/>
        </w:num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oMath>
      <w:r w:rsidR="00C13CC0">
        <w:rPr>
          <w:rFonts w:ascii="Times New Roman" w:eastAsiaTheme="minorEastAsia" w:hAnsi="Times New Roman" w:cs="Times New Roman"/>
          <w:sz w:val="24"/>
          <w:szCs w:val="24"/>
        </w:rPr>
        <w:t xml:space="preserve"> is the size of subcohort </w:t>
      </w:r>
      <w:r w:rsidR="00C13CC0">
        <w:rPr>
          <w:rFonts w:ascii="Times New Roman" w:eastAsiaTheme="minorEastAsia" w:hAnsi="Times New Roman" w:cs="Times New Roman"/>
          <w:i/>
          <w:iCs/>
          <w:sz w:val="24"/>
          <w:szCs w:val="24"/>
        </w:rPr>
        <w:t>k</w:t>
      </w:r>
    </w:p>
    <w:p w14:paraId="55ADB7AF" w14:textId="384BB357" w:rsidR="00C13CC0" w:rsidRDefault="00C13CC0" w:rsidP="00C13CC0">
      <w:pPr>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In the above formula, </w:t>
      </w:r>
      <m:oMath>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s∈S</m:t>
            </m:r>
          </m:sub>
          <m:sup/>
          <m:e>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s</m:t>
                </m:r>
              </m:sub>
              <m:sup>
                <m:r>
                  <w:rPr>
                    <w:rFonts w:ascii="Cambria Math" w:hAnsi="Cambria Math" w:cs="Times New Roman"/>
                    <w:sz w:val="24"/>
                    <w:szCs w:val="24"/>
                  </w:rPr>
                  <m:t>j</m:t>
                </m:r>
              </m:sup>
            </m:sSubSup>
            <m:d>
              <m:dPr>
                <m:ctrlPr>
                  <w:rPr>
                    <w:rFonts w:ascii="Cambria Math" w:hAnsi="Cambria Math" w:cs="Times New Roman"/>
                    <w:i/>
                    <w:sz w:val="24"/>
                    <w:szCs w:val="24"/>
                  </w:rPr>
                </m:ctrlPr>
              </m:dPr>
              <m:e>
                <m:r>
                  <w:rPr>
                    <w:rFonts w:ascii="Cambria Math" w:hAnsi="Cambria Math" w:cs="Times New Roman"/>
                    <w:sz w:val="24"/>
                    <w:szCs w:val="24"/>
                  </w:rPr>
                  <m:t>t</m:t>
                </m:r>
              </m:e>
            </m:d>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e>
        </m:nary>
      </m:oMath>
      <w:r>
        <w:rPr>
          <w:rFonts w:ascii="Times New Roman" w:eastAsiaTheme="minorEastAsia" w:hAnsi="Times New Roman" w:cs="Times New Roman"/>
          <w:sz w:val="24"/>
          <w:szCs w:val="24"/>
        </w:rPr>
        <w:t xml:space="preserve"> </w:t>
      </w:r>
      <w:r w:rsidRPr="00124CE9">
        <w:rPr>
          <w:rFonts w:ascii="Times New Roman" w:eastAsiaTheme="minorEastAsia" w:hAnsi="Times New Roman" w:cs="Times New Roman"/>
          <w:sz w:val="24"/>
          <w:szCs w:val="24"/>
        </w:rPr>
        <w:t xml:space="preserve">gives the force of transmission from all infected individuals in </w:t>
      </w:r>
      <w:proofErr w:type="spellStart"/>
      <w:r w:rsidRPr="00124CE9">
        <w:rPr>
          <w:rFonts w:ascii="Times New Roman" w:eastAsiaTheme="minorEastAsia" w:hAnsi="Times New Roman" w:cs="Times New Roman"/>
          <w:sz w:val="24"/>
          <w:szCs w:val="24"/>
        </w:rPr>
        <w:t>subcohort</w:t>
      </w:r>
      <w:proofErr w:type="spellEnd"/>
      <w:r w:rsidRPr="00124CE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j</m:t>
        </m:r>
      </m:oMath>
      <w:r>
        <w:rPr>
          <w:rFonts w:ascii="Times New Roman" w:eastAsiaTheme="minorEastAsia" w:hAnsi="Times New Roman" w:cs="Times New Roman"/>
          <w:sz w:val="24"/>
          <w:szCs w:val="24"/>
        </w:rPr>
        <w:t>.</w:t>
      </w:r>
      <w:r w:rsidRPr="00124CE9">
        <w:rPr>
          <w:rFonts w:ascii="Times New Roman" w:eastAsiaTheme="minorEastAsia" w:hAnsi="Times New Roman" w:cs="Times New Roman"/>
          <w:sz w:val="24"/>
          <w:szCs w:val="24"/>
        </w:rPr>
        <w:t xml:space="preserve">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jk</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j3</m:t>
                    </m:r>
                  </m:sub>
                </m:sSub>
              </m:den>
            </m:f>
          </m:e>
        </m:d>
      </m:oMath>
      <w:r w:rsidRPr="00124CE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is the proportion of this </w:t>
      </w:r>
      <w:r w:rsidRPr="00124CE9">
        <w:rPr>
          <w:rFonts w:ascii="Times New Roman" w:eastAsiaTheme="minorEastAsia" w:hAnsi="Times New Roman" w:cs="Times New Roman"/>
          <w:sz w:val="24"/>
          <w:szCs w:val="24"/>
        </w:rPr>
        <w:t>force</w:t>
      </w:r>
      <w:r>
        <w:rPr>
          <w:rFonts w:ascii="Times New Roman" w:eastAsiaTheme="minorEastAsia" w:hAnsi="Times New Roman" w:cs="Times New Roman"/>
          <w:sz w:val="24"/>
          <w:szCs w:val="24"/>
        </w:rPr>
        <w:t xml:space="preserve"> </w:t>
      </w:r>
      <w:r w:rsidRPr="00124CE9">
        <w:rPr>
          <w:rFonts w:ascii="Times New Roman" w:eastAsiaTheme="minorEastAsia" w:hAnsi="Times New Roman" w:cs="Times New Roman"/>
          <w:sz w:val="24"/>
          <w:szCs w:val="24"/>
        </w:rPr>
        <w:t xml:space="preserve">which is directed towards </w:t>
      </w:r>
      <w:proofErr w:type="spellStart"/>
      <w:r w:rsidRPr="00124CE9">
        <w:rPr>
          <w:rFonts w:ascii="Times New Roman" w:eastAsiaTheme="minorEastAsia" w:hAnsi="Times New Roman" w:cs="Times New Roman"/>
          <w:sz w:val="24"/>
          <w:szCs w:val="24"/>
        </w:rPr>
        <w:t>subcohort</w:t>
      </w:r>
      <w:proofErr w:type="spellEnd"/>
      <w:r w:rsidRPr="00124CE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m:t>
        </m:r>
      </m:oMath>
      <w:r w:rsidRPr="00124CE9">
        <w:rPr>
          <w:rFonts w:ascii="Times New Roman" w:eastAsiaTheme="minorEastAsia" w:hAnsi="Times New Roman" w:cs="Times New Roman"/>
          <w:sz w:val="24"/>
          <w:szCs w:val="24"/>
        </w:rPr>
        <w:t xml:space="preserve"> and is divided </w:t>
      </w:r>
      <w:r w:rsidR="00C26801">
        <w:rPr>
          <w:rFonts w:ascii="Times New Roman" w:eastAsiaTheme="minorEastAsia" w:hAnsi="Times New Roman" w:cs="Times New Roman"/>
          <w:sz w:val="24"/>
          <w:szCs w:val="24"/>
        </w:rPr>
        <w:t>among</w:t>
      </w:r>
      <w:r w:rsidRPr="00124CE9">
        <w:rPr>
          <w:rFonts w:ascii="Times New Roman" w:eastAsiaTheme="minorEastAsia" w:hAnsi="Times New Roman" w:cs="Times New Roman"/>
          <w:sz w:val="24"/>
          <w:szCs w:val="24"/>
        </w:rPr>
        <w:t xml:space="preserve"> the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oMath>
      <w:r w:rsidRPr="00124CE9">
        <w:rPr>
          <w:rFonts w:ascii="Times New Roman" w:eastAsiaTheme="minorEastAsia" w:hAnsi="Times New Roman" w:cs="Times New Roman"/>
          <w:sz w:val="24"/>
          <w:szCs w:val="24"/>
        </w:rPr>
        <w:t xml:space="preserve"> members of subcohort </w:t>
      </w:r>
      <m:oMath>
        <m:r>
          <w:rPr>
            <w:rFonts w:ascii="Cambria Math" w:eastAsiaTheme="minorEastAsia" w:hAnsi="Cambria Math" w:cs="Times New Roman"/>
            <w:sz w:val="24"/>
            <w:szCs w:val="24"/>
          </w:rPr>
          <m:t>k</m:t>
        </m:r>
      </m:oMath>
      <w:r w:rsidRPr="00124CE9">
        <w:rPr>
          <w:rFonts w:ascii="Times New Roman" w:eastAsiaTheme="minorEastAsia" w:hAnsi="Times New Roman" w:cs="Times New Roman"/>
          <w:sz w:val="24"/>
          <w:szCs w:val="24"/>
        </w:rPr>
        <w:t>.</w:t>
      </w:r>
    </w:p>
    <w:p w14:paraId="4BAF9E29" w14:textId="77777777" w:rsidR="00A97E02" w:rsidRDefault="00A97E02" w:rsidP="00A97E02">
      <w:pPr>
        <w:spacing w:line="360" w:lineRule="auto"/>
        <w:rPr>
          <w:rFonts w:ascii="Times New Roman" w:hAnsi="Times New Roman" w:cs="Times New Roman"/>
          <w:sz w:val="24"/>
          <w:szCs w:val="24"/>
        </w:rPr>
      </w:pPr>
    </w:p>
    <w:p w14:paraId="7D54DA27" w14:textId="77777777" w:rsidR="00C60724" w:rsidRDefault="00C60724" w:rsidP="00733971">
      <w:pPr>
        <w:pStyle w:val="paragraph"/>
        <w:spacing w:line="480" w:lineRule="auto"/>
        <w:textAlignment w:val="baseline"/>
        <w:rPr>
          <w:b/>
        </w:rPr>
      </w:pPr>
    </w:p>
    <w:p w14:paraId="6DB1C5FC" w14:textId="77777777" w:rsidR="00C60724" w:rsidRDefault="00C60724" w:rsidP="00733971">
      <w:pPr>
        <w:pStyle w:val="paragraph"/>
        <w:spacing w:line="480" w:lineRule="auto"/>
        <w:textAlignment w:val="baseline"/>
        <w:rPr>
          <w:b/>
        </w:rPr>
      </w:pPr>
    </w:p>
    <w:p w14:paraId="054B787E" w14:textId="3B41FDC8" w:rsidR="00733971" w:rsidRPr="00202600" w:rsidRDefault="00733971" w:rsidP="00733971">
      <w:pPr>
        <w:pStyle w:val="paragraph"/>
        <w:spacing w:line="480" w:lineRule="auto"/>
        <w:textAlignment w:val="baseline"/>
        <w:rPr>
          <w:b/>
        </w:rPr>
      </w:pPr>
      <w:r w:rsidRPr="00202600">
        <w:rPr>
          <w:b/>
        </w:rPr>
        <w:lastRenderedPageBreak/>
        <w:t xml:space="preserve">Calibration and </w:t>
      </w:r>
      <w:r w:rsidR="00455CCD">
        <w:rPr>
          <w:b/>
        </w:rPr>
        <w:t>v</w:t>
      </w:r>
      <w:r w:rsidRPr="00202600">
        <w:rPr>
          <w:b/>
        </w:rPr>
        <w:t>alidation of CEACOV</w:t>
      </w:r>
    </w:p>
    <w:p w14:paraId="482FCDF7" w14:textId="512F57AD" w:rsidR="001F6B38" w:rsidRPr="00202600" w:rsidRDefault="00733971" w:rsidP="27D0AE18">
      <w:pPr>
        <w:spacing w:line="480" w:lineRule="auto"/>
        <w:rPr>
          <w:rFonts w:ascii="Times New Roman" w:eastAsia="Times New Roman" w:hAnsi="Times New Roman" w:cs="Times New Roman"/>
          <w:sz w:val="24"/>
          <w:szCs w:val="24"/>
        </w:rPr>
      </w:pPr>
      <w:r w:rsidRPr="7874DDC2">
        <w:rPr>
          <w:rFonts w:ascii="Times New Roman" w:eastAsia="Times New Roman" w:hAnsi="Times New Roman" w:cs="Times New Roman"/>
          <w:sz w:val="24"/>
          <w:szCs w:val="24"/>
        </w:rPr>
        <w:t xml:space="preserve">We </w:t>
      </w:r>
      <w:r w:rsidR="00C60724">
        <w:rPr>
          <w:rFonts w:ascii="Times New Roman" w:eastAsia="Times New Roman" w:hAnsi="Times New Roman" w:cs="Times New Roman"/>
          <w:sz w:val="24"/>
          <w:szCs w:val="24"/>
        </w:rPr>
        <w:t>initialized</w:t>
      </w:r>
      <w:r w:rsidRPr="7874DDC2">
        <w:rPr>
          <w:rFonts w:ascii="Times New Roman" w:eastAsia="Times New Roman" w:hAnsi="Times New Roman" w:cs="Times New Roman"/>
          <w:sz w:val="24"/>
          <w:szCs w:val="24"/>
        </w:rPr>
        <w:t xml:space="preserve"> the model with a cohort of 1 million simulated persons who are meant to represent the 6.9 million </w:t>
      </w:r>
      <w:r w:rsidR="00C26801">
        <w:rPr>
          <w:rFonts w:ascii="Times New Roman" w:eastAsia="Times New Roman" w:hAnsi="Times New Roman" w:cs="Times New Roman"/>
          <w:sz w:val="24"/>
          <w:szCs w:val="24"/>
        </w:rPr>
        <w:t xml:space="preserve">people in the </w:t>
      </w:r>
      <w:r w:rsidRPr="7874DDC2">
        <w:rPr>
          <w:rFonts w:ascii="Times New Roman" w:eastAsia="Times New Roman" w:hAnsi="Times New Roman" w:cs="Times New Roman"/>
          <w:sz w:val="24"/>
          <w:szCs w:val="24"/>
        </w:rPr>
        <w:t>population of Massachusetts (MA) in 2020. Each person’s age category was drawn at model start based on MA age distribution data</w:t>
      </w:r>
      <w:r w:rsidR="00D76C61">
        <w:rPr>
          <w:rFonts w:ascii="Times New Roman" w:eastAsia="Times New Roman" w:hAnsi="Times New Roman" w:cs="Times New Roman"/>
          <w:sz w:val="24"/>
          <w:szCs w:val="24"/>
        </w:rPr>
        <w:t xml:space="preserve"> </w:t>
      </w:r>
      <w:r w:rsidR="0066647F">
        <w:rPr>
          <w:rFonts w:ascii="Times New Roman" w:eastAsia="Times New Roman" w:hAnsi="Times New Roman" w:cs="Times New Roman"/>
          <w:sz w:val="24"/>
          <w:szCs w:val="24"/>
        </w:rPr>
        <w:fldChar w:fldCharType="begin"/>
      </w:r>
      <w:r w:rsidR="00DA615A">
        <w:rPr>
          <w:rFonts w:ascii="Times New Roman" w:eastAsia="Times New Roman" w:hAnsi="Times New Roman" w:cs="Times New Roman"/>
          <w:sz w:val="24"/>
          <w:szCs w:val="24"/>
        </w:rPr>
        <w:instrText xml:space="preserve"> ADDIN ZOTERO_ITEM CSL_CITATION {"citationID":"RXcW0WtU","properties":{"formattedCitation":"(1)","plainCitation":"(1)","noteIndex":0},"citationItems":[{"id":1,"uris":["http://zotero.org/users/local/jMRSEXDw/items/GACVGUFU"],"uri":["http://zotero.org/users/local/jMRSEXDw/items/GACVGUFU"],"itemData":{"id":1,"type":"webpage","abstract":"Census data for Massachusetts (pop. 6,902,149), including age, race, sex, income, poverty, marital status, education and more.","container-title":"Census Reporter","title":"Census profile: Massachusetts","title-short":"Census profile","URL":"http://censusreporter.org/profiles/04000US25-massachusetts/","accessed":{"date-parts":[["2020",8,9]]}}}],"schema":"https://github.com/citation-style-language/schema/raw/master/csl-citation.json"} </w:instrText>
      </w:r>
      <w:r w:rsidR="0066647F">
        <w:rPr>
          <w:rFonts w:ascii="Times New Roman" w:eastAsia="Times New Roman" w:hAnsi="Times New Roman" w:cs="Times New Roman"/>
          <w:sz w:val="24"/>
          <w:szCs w:val="24"/>
        </w:rPr>
        <w:fldChar w:fldCharType="separate"/>
      </w:r>
      <w:r w:rsidR="00DA615A" w:rsidRPr="00DA615A">
        <w:rPr>
          <w:rFonts w:ascii="Times New Roman" w:hAnsi="Times New Roman" w:cs="Times New Roman"/>
          <w:sz w:val="24"/>
        </w:rPr>
        <w:t>(1)</w:t>
      </w:r>
      <w:r w:rsidR="0066647F">
        <w:rPr>
          <w:rFonts w:ascii="Times New Roman" w:eastAsia="Times New Roman" w:hAnsi="Times New Roman" w:cs="Times New Roman"/>
          <w:sz w:val="24"/>
          <w:szCs w:val="24"/>
        </w:rPr>
        <w:fldChar w:fldCharType="end"/>
      </w:r>
      <w:r w:rsidR="00D76C61">
        <w:rPr>
          <w:rFonts w:ascii="Times New Roman" w:eastAsia="Times New Roman" w:hAnsi="Times New Roman" w:cs="Times New Roman"/>
          <w:sz w:val="24"/>
          <w:szCs w:val="24"/>
        </w:rPr>
        <w:t>.</w:t>
      </w:r>
      <w:r w:rsidR="00F25785" w:rsidRPr="7874DDC2">
        <w:rPr>
          <w:rStyle w:val="CommentReference"/>
          <w:rFonts w:ascii="Times New Roman" w:hAnsi="Times New Roman" w:cs="Times New Roman"/>
          <w:sz w:val="24"/>
          <w:szCs w:val="24"/>
          <w:vertAlign w:val="superscript"/>
        </w:rPr>
        <w:t xml:space="preserve"> </w:t>
      </w:r>
      <w:r w:rsidR="002F0878" w:rsidRPr="7874DDC2">
        <w:rPr>
          <w:rFonts w:ascii="Times New Roman" w:eastAsia="Times New Roman" w:hAnsi="Times New Roman" w:cs="Times New Roman"/>
          <w:sz w:val="24"/>
          <w:szCs w:val="24"/>
        </w:rPr>
        <w:t xml:space="preserve">To approximate </w:t>
      </w:r>
      <w:r w:rsidR="00C26801">
        <w:rPr>
          <w:rFonts w:ascii="Times New Roman" w:eastAsia="Times New Roman" w:hAnsi="Times New Roman" w:cs="Times New Roman"/>
          <w:sz w:val="24"/>
          <w:szCs w:val="24"/>
        </w:rPr>
        <w:t xml:space="preserve">the </w:t>
      </w:r>
      <w:r w:rsidR="45CD87B8" w:rsidRPr="7874DDC2">
        <w:rPr>
          <w:rFonts w:ascii="Times New Roman" w:eastAsia="Times New Roman" w:hAnsi="Times New Roman" w:cs="Times New Roman"/>
          <w:sz w:val="24"/>
          <w:szCs w:val="24"/>
        </w:rPr>
        <w:t>prevalence</w:t>
      </w:r>
      <w:r w:rsidR="002F0878" w:rsidRPr="7874DDC2">
        <w:rPr>
          <w:rFonts w:ascii="Times New Roman" w:eastAsia="Times New Roman" w:hAnsi="Times New Roman" w:cs="Times New Roman"/>
          <w:sz w:val="24"/>
          <w:szCs w:val="24"/>
        </w:rPr>
        <w:t xml:space="preserve"> of COVID-19 at the start of the MA epidemic, in </w:t>
      </w:r>
      <w:r w:rsidR="00164060">
        <w:rPr>
          <w:rFonts w:ascii="Times New Roman" w:eastAsia="Times New Roman" w:hAnsi="Times New Roman" w:cs="Times New Roman"/>
          <w:sz w:val="24"/>
          <w:szCs w:val="24"/>
        </w:rPr>
        <w:t>m</w:t>
      </w:r>
      <w:r w:rsidR="002F0878" w:rsidRPr="7874DDC2">
        <w:rPr>
          <w:rFonts w:ascii="Times New Roman" w:eastAsia="Times New Roman" w:hAnsi="Times New Roman" w:cs="Times New Roman"/>
          <w:sz w:val="24"/>
          <w:szCs w:val="24"/>
        </w:rPr>
        <w:t xml:space="preserve">id-March, </w:t>
      </w:r>
      <w:r w:rsidR="00C26801">
        <w:rPr>
          <w:rFonts w:ascii="Times New Roman" w:eastAsia="Times New Roman" w:hAnsi="Times New Roman" w:cs="Times New Roman"/>
          <w:sz w:val="24"/>
          <w:szCs w:val="24"/>
        </w:rPr>
        <w:t xml:space="preserve">2020, the </w:t>
      </w:r>
      <w:r w:rsidR="002F0878" w:rsidRPr="7874DDC2">
        <w:rPr>
          <w:rFonts w:ascii="Times New Roman" w:eastAsia="Times New Roman" w:hAnsi="Times New Roman" w:cs="Times New Roman"/>
          <w:sz w:val="24"/>
          <w:szCs w:val="24"/>
        </w:rPr>
        <w:t>p</w:t>
      </w:r>
      <w:r w:rsidRPr="7874DDC2">
        <w:rPr>
          <w:rFonts w:ascii="Times New Roman" w:eastAsia="Times New Roman" w:hAnsi="Times New Roman" w:cs="Times New Roman"/>
          <w:sz w:val="24"/>
          <w:szCs w:val="24"/>
        </w:rPr>
        <w:t>revalence of COVID-19 at model start was set to 0.14%</w:t>
      </w:r>
      <w:r w:rsidR="00D76C61">
        <w:rPr>
          <w:rFonts w:ascii="Times New Roman" w:eastAsia="Times New Roman" w:hAnsi="Times New Roman" w:cs="Times New Roman"/>
          <w:sz w:val="24"/>
          <w:szCs w:val="24"/>
        </w:rPr>
        <w:t xml:space="preserve"> </w:t>
      </w:r>
      <w:r w:rsidR="006F7AF7">
        <w:rPr>
          <w:rFonts w:ascii="Times New Roman" w:eastAsia="Times New Roman" w:hAnsi="Times New Roman" w:cs="Times New Roman"/>
          <w:sz w:val="24"/>
          <w:szCs w:val="24"/>
        </w:rPr>
        <w:fldChar w:fldCharType="begin"/>
      </w:r>
      <w:r w:rsidR="00DA615A">
        <w:rPr>
          <w:rFonts w:ascii="Times New Roman" w:eastAsia="Times New Roman" w:hAnsi="Times New Roman" w:cs="Times New Roman"/>
          <w:sz w:val="24"/>
          <w:szCs w:val="24"/>
        </w:rPr>
        <w:instrText xml:space="preserve"> ADDIN ZOTERO_ITEM CSL_CITATION {"citationID":"XWvhBI5K","properties":{"formattedCitation":"(2)","plainCitation":"(2)","noteIndex":0},"citationItems":[{"id":3,"uris":["http://zotero.org/users/local/jMRSEXDw/items/VD8D4PI9"],"uri":["http://zotero.org/users/local/jMRSEXDw/items/VD8D4PI9"],"itemData":{"id":3,"type":"report","abstract":"Reports from the Massachusetts Department of Public Health (DPH)","language":"en","title":"Archive of COVID-19 cases in Massachusetts","URL":"https://www.mass.gov/info-details/archive-of-covid-19-cases-in-massachusetts","author":[{"literal":"Massachusetts Department of Public Health"}],"accessed":{"date-parts":[["2020",8,9]]}}}],"schema":"https://github.com/citation-style-language/schema/raw/master/csl-citation.json"} </w:instrText>
      </w:r>
      <w:r w:rsidR="006F7AF7">
        <w:rPr>
          <w:rFonts w:ascii="Times New Roman" w:eastAsia="Times New Roman" w:hAnsi="Times New Roman" w:cs="Times New Roman"/>
          <w:sz w:val="24"/>
          <w:szCs w:val="24"/>
        </w:rPr>
        <w:fldChar w:fldCharType="separate"/>
      </w:r>
      <w:r w:rsidR="00DA615A" w:rsidRPr="00DA615A">
        <w:rPr>
          <w:rFonts w:ascii="Times New Roman" w:hAnsi="Times New Roman" w:cs="Times New Roman"/>
          <w:sz w:val="24"/>
        </w:rPr>
        <w:t>(2)</w:t>
      </w:r>
      <w:r w:rsidR="006F7AF7">
        <w:rPr>
          <w:rFonts w:ascii="Times New Roman" w:eastAsia="Times New Roman" w:hAnsi="Times New Roman" w:cs="Times New Roman"/>
          <w:sz w:val="24"/>
          <w:szCs w:val="24"/>
        </w:rPr>
        <w:fldChar w:fldCharType="end"/>
      </w:r>
      <w:r w:rsidR="00D76C61">
        <w:rPr>
          <w:rFonts w:ascii="Times New Roman" w:eastAsia="Times New Roman" w:hAnsi="Times New Roman" w:cs="Times New Roman"/>
          <w:sz w:val="24"/>
          <w:szCs w:val="24"/>
        </w:rPr>
        <w:t>.</w:t>
      </w:r>
      <w:r w:rsidRPr="7874DDC2">
        <w:rPr>
          <w:rFonts w:ascii="Times New Roman" w:eastAsia="Times New Roman" w:hAnsi="Times New Roman" w:cs="Times New Roman"/>
          <w:sz w:val="24"/>
          <w:szCs w:val="24"/>
        </w:rPr>
        <w:t xml:space="preserve"> We tracked the number of people in each health state over </w:t>
      </w:r>
      <w:r w:rsidR="00757F0E" w:rsidRPr="7874DDC2">
        <w:rPr>
          <w:rFonts w:ascii="Times New Roman" w:eastAsia="Times New Roman" w:hAnsi="Times New Roman" w:cs="Times New Roman"/>
          <w:sz w:val="24"/>
          <w:szCs w:val="24"/>
        </w:rPr>
        <w:t xml:space="preserve">30 days </w:t>
      </w:r>
      <w:r w:rsidR="0091613B" w:rsidRPr="7874DDC2">
        <w:rPr>
          <w:rFonts w:ascii="Times New Roman" w:eastAsia="Times New Roman" w:hAnsi="Times New Roman" w:cs="Times New Roman"/>
          <w:sz w:val="24"/>
          <w:szCs w:val="24"/>
        </w:rPr>
        <w:t xml:space="preserve">for calibration, and 15 days for validation, totaling </w:t>
      </w:r>
      <w:r w:rsidRPr="7874DDC2">
        <w:rPr>
          <w:rFonts w:ascii="Times New Roman" w:eastAsia="Times New Roman" w:hAnsi="Times New Roman" w:cs="Times New Roman"/>
          <w:sz w:val="24"/>
          <w:szCs w:val="24"/>
        </w:rPr>
        <w:t>a 45-day horizon</w:t>
      </w:r>
      <w:r w:rsidR="00D76C61">
        <w:rPr>
          <w:rFonts w:ascii="Times New Roman" w:eastAsia="Times New Roman" w:hAnsi="Times New Roman" w:cs="Times New Roman"/>
          <w:sz w:val="24"/>
          <w:szCs w:val="24"/>
        </w:rPr>
        <w:t xml:space="preserve"> </w:t>
      </w:r>
      <w:r w:rsidR="00FD5BDE">
        <w:rPr>
          <w:rFonts w:ascii="Times New Roman" w:eastAsia="Times New Roman" w:hAnsi="Times New Roman" w:cs="Times New Roman"/>
          <w:sz w:val="24"/>
          <w:szCs w:val="24"/>
        </w:rPr>
        <w:fldChar w:fldCharType="begin"/>
      </w:r>
      <w:r w:rsidR="00DA615A">
        <w:rPr>
          <w:rFonts w:ascii="Times New Roman" w:eastAsia="Times New Roman" w:hAnsi="Times New Roman" w:cs="Times New Roman"/>
          <w:sz w:val="24"/>
          <w:szCs w:val="24"/>
        </w:rPr>
        <w:instrText xml:space="preserve"> ADDIN ZOTERO_ITEM CSL_CITATION {"citationID":"RzrZ9K22","properties":{"formattedCitation":"(3,4)","plainCitation":"(3,4)","noteIndex":0},"citationItems":[{"id":6,"uris":["http://zotero.org/users/local/jMRSEXDw/items/JRRKTVE8"],"uri":["http://zotero.org/users/local/jMRSEXDw/items/JRRKTVE8"],"itemData":{"id":6,"type":"webpage","title":"COVID-19 Dashboard","URL":"https://www.mass.gov/doc/covid-19-dashboard-april-20-2020/download","author":[{"literal":"Massachusetts Department of Public Health"}],"accessed":{"date-parts":[["2020",8,9]]},"issued":{"date-parts":[["2020",4,20]]}}},{"id":7,"uris":["http://zotero.org/users/local/jMRSEXDw/items/QMWLA7FZ"],"uri":["http://zotero.org/users/local/jMRSEXDw/items/QMWLA7FZ"],"itemData":{"id":7,"type":"webpage","container-title":"The New York Times","title":"One-third of all U.S. coronavirus deaths are nursing home residents or workers","URL":"https://www.nytimes.com/interactive/2020/05/09/us/coronavirus-cases-nursing-homes-us.html","author":[{"family":"Yourish","given":"K"},{"family":"Lai","given":"K"},{"family":"Ivory","given":"D"},{"family":"Smith","given":"M"}],"accessed":{"date-parts":[["2020",8,9]]}}}],"schema":"https://github.com/citation-style-language/schema/raw/master/csl-citation.json"} </w:instrText>
      </w:r>
      <w:r w:rsidR="00FD5BDE">
        <w:rPr>
          <w:rFonts w:ascii="Times New Roman" w:eastAsia="Times New Roman" w:hAnsi="Times New Roman" w:cs="Times New Roman"/>
          <w:sz w:val="24"/>
          <w:szCs w:val="24"/>
        </w:rPr>
        <w:fldChar w:fldCharType="separate"/>
      </w:r>
      <w:r w:rsidR="00DA615A" w:rsidRPr="00DA615A">
        <w:rPr>
          <w:rFonts w:ascii="Times New Roman" w:hAnsi="Times New Roman" w:cs="Times New Roman"/>
          <w:sz w:val="24"/>
        </w:rPr>
        <w:t>(3,4)</w:t>
      </w:r>
      <w:r w:rsidR="00FD5BDE">
        <w:rPr>
          <w:rFonts w:ascii="Times New Roman" w:eastAsia="Times New Roman" w:hAnsi="Times New Roman" w:cs="Times New Roman"/>
          <w:sz w:val="24"/>
          <w:szCs w:val="24"/>
        </w:rPr>
        <w:fldChar w:fldCharType="end"/>
      </w:r>
      <w:r w:rsidR="00D76C61">
        <w:rPr>
          <w:rFonts w:ascii="Times New Roman" w:eastAsia="Times New Roman" w:hAnsi="Times New Roman" w:cs="Times New Roman"/>
          <w:sz w:val="24"/>
          <w:szCs w:val="24"/>
        </w:rPr>
        <w:t>.</w:t>
      </w:r>
      <w:r w:rsidR="724093FD" w:rsidRPr="7874DDC2">
        <w:rPr>
          <w:rFonts w:ascii="Times New Roman" w:eastAsia="Times New Roman" w:hAnsi="Times New Roman" w:cs="Times New Roman"/>
          <w:sz w:val="24"/>
          <w:szCs w:val="24"/>
        </w:rPr>
        <w:t xml:space="preserve"> </w:t>
      </w:r>
      <w:r w:rsidRPr="7874DDC2">
        <w:rPr>
          <w:rFonts w:ascii="Times New Roman" w:eastAsia="Times New Roman" w:hAnsi="Times New Roman" w:cs="Times New Roman"/>
          <w:sz w:val="24"/>
          <w:szCs w:val="24"/>
        </w:rPr>
        <w:t>We calibrated transmission</w:t>
      </w:r>
      <w:r w:rsidR="004E2EBE">
        <w:rPr>
          <w:rFonts w:ascii="Times New Roman" w:eastAsia="Times New Roman" w:hAnsi="Times New Roman" w:cs="Times New Roman"/>
          <w:sz w:val="24"/>
          <w:szCs w:val="24"/>
        </w:rPr>
        <w:t xml:space="preserve"> </w:t>
      </w:r>
      <w:r w:rsidRPr="7874DDC2">
        <w:rPr>
          <w:rFonts w:ascii="Times New Roman" w:eastAsia="Times New Roman" w:hAnsi="Times New Roman" w:cs="Times New Roman"/>
          <w:sz w:val="24"/>
          <w:szCs w:val="24"/>
        </w:rPr>
        <w:t>to the</w:t>
      </w:r>
      <w:r w:rsidR="006A7ADD" w:rsidRPr="7874DDC2">
        <w:rPr>
          <w:rFonts w:ascii="Times New Roman" w:eastAsia="Times New Roman" w:hAnsi="Times New Roman" w:cs="Times New Roman"/>
          <w:sz w:val="24"/>
          <w:szCs w:val="24"/>
        </w:rPr>
        <w:t xml:space="preserve"> first 30 days of the</w:t>
      </w:r>
      <w:r w:rsidRPr="7874DDC2">
        <w:rPr>
          <w:rFonts w:ascii="Times New Roman" w:eastAsia="Times New Roman" w:hAnsi="Times New Roman" w:cs="Times New Roman"/>
          <w:sz w:val="24"/>
          <w:szCs w:val="24"/>
        </w:rPr>
        <w:t xml:space="preserve"> COVID-19 epidemic in MA </w:t>
      </w:r>
      <w:r w:rsidR="006A7ADD" w:rsidRPr="7874DDC2">
        <w:rPr>
          <w:rFonts w:ascii="Times New Roman" w:eastAsia="Times New Roman" w:hAnsi="Times New Roman" w:cs="Times New Roman"/>
          <w:sz w:val="24"/>
          <w:szCs w:val="24"/>
        </w:rPr>
        <w:t>(</w:t>
      </w:r>
      <w:r w:rsidRPr="7874DDC2">
        <w:rPr>
          <w:rFonts w:ascii="Times New Roman" w:eastAsia="Times New Roman" w:hAnsi="Times New Roman" w:cs="Times New Roman"/>
          <w:sz w:val="24"/>
          <w:szCs w:val="24"/>
        </w:rPr>
        <w:t>from mid-March to mid-April</w:t>
      </w:r>
      <w:r w:rsidR="00C26801">
        <w:rPr>
          <w:rFonts w:ascii="Times New Roman" w:eastAsia="Times New Roman" w:hAnsi="Times New Roman" w:cs="Times New Roman"/>
          <w:sz w:val="24"/>
          <w:szCs w:val="24"/>
        </w:rPr>
        <w:t>, 2020</w:t>
      </w:r>
      <w:r w:rsidRPr="7874DDC2">
        <w:rPr>
          <w:rFonts w:ascii="Times New Roman" w:eastAsia="Times New Roman" w:hAnsi="Times New Roman" w:cs="Times New Roman"/>
          <w:sz w:val="24"/>
          <w:szCs w:val="24"/>
        </w:rPr>
        <w:t xml:space="preserve">) and used data </w:t>
      </w:r>
      <w:r w:rsidR="006A7ADD" w:rsidRPr="7874DDC2">
        <w:rPr>
          <w:rFonts w:ascii="Times New Roman" w:eastAsia="Times New Roman" w:hAnsi="Times New Roman" w:cs="Times New Roman"/>
          <w:sz w:val="24"/>
          <w:szCs w:val="24"/>
        </w:rPr>
        <w:t>from the</w:t>
      </w:r>
      <w:r w:rsidRPr="7874DDC2">
        <w:rPr>
          <w:rFonts w:ascii="Times New Roman" w:eastAsia="Times New Roman" w:hAnsi="Times New Roman" w:cs="Times New Roman"/>
          <w:sz w:val="24"/>
          <w:szCs w:val="24"/>
        </w:rPr>
        <w:t xml:space="preserve"> remaining 15 days </w:t>
      </w:r>
      <w:r w:rsidR="00C26801">
        <w:rPr>
          <w:rFonts w:ascii="Times New Roman" w:eastAsia="Times New Roman" w:hAnsi="Times New Roman" w:cs="Times New Roman"/>
          <w:sz w:val="24"/>
          <w:szCs w:val="24"/>
        </w:rPr>
        <w:t xml:space="preserve">in April </w:t>
      </w:r>
      <w:r w:rsidR="00C02DEB">
        <w:rPr>
          <w:rFonts w:ascii="Times New Roman" w:eastAsia="Times New Roman" w:hAnsi="Times New Roman" w:cs="Times New Roman"/>
          <w:sz w:val="24"/>
          <w:szCs w:val="24"/>
        </w:rPr>
        <w:t xml:space="preserve">(through 4/30) </w:t>
      </w:r>
      <w:r w:rsidRPr="7874DDC2">
        <w:rPr>
          <w:rFonts w:ascii="Times New Roman" w:eastAsia="Times New Roman" w:hAnsi="Times New Roman" w:cs="Times New Roman"/>
          <w:sz w:val="24"/>
          <w:szCs w:val="24"/>
        </w:rPr>
        <w:t xml:space="preserve">to validate the model. We assumed the reported number of COVID-19-attributable deaths would be close to the actual number of deaths. </w:t>
      </w:r>
      <w:r w:rsidR="006A7ADD" w:rsidRPr="7874DDC2">
        <w:rPr>
          <w:rFonts w:ascii="Times New Roman" w:eastAsia="Times New Roman" w:hAnsi="Times New Roman" w:cs="Times New Roman"/>
          <w:sz w:val="24"/>
          <w:szCs w:val="24"/>
        </w:rPr>
        <w:t>Thus</w:t>
      </w:r>
      <w:r w:rsidRPr="7874DDC2">
        <w:rPr>
          <w:rFonts w:ascii="Times New Roman" w:eastAsia="Times New Roman" w:hAnsi="Times New Roman" w:cs="Times New Roman"/>
          <w:sz w:val="24"/>
          <w:szCs w:val="24"/>
        </w:rPr>
        <w:t xml:space="preserve">, the number of reported COVID-19-attributable deaths was </w:t>
      </w:r>
      <w:r w:rsidR="00C26801">
        <w:rPr>
          <w:rFonts w:ascii="Times New Roman" w:eastAsia="Times New Roman" w:hAnsi="Times New Roman" w:cs="Times New Roman"/>
          <w:sz w:val="24"/>
          <w:szCs w:val="24"/>
        </w:rPr>
        <w:t>the</w:t>
      </w:r>
      <w:r w:rsidRPr="7874DDC2">
        <w:rPr>
          <w:rFonts w:ascii="Times New Roman" w:eastAsia="Times New Roman" w:hAnsi="Times New Roman" w:cs="Times New Roman"/>
          <w:sz w:val="24"/>
          <w:szCs w:val="24"/>
        </w:rPr>
        <w:t xml:space="preserve"> main calibration target. We removed 59% of deaths to account for the deaths occurring in long term care facilities (LTCF) and not in the community. To ensure good model fit, we checked the mean absolute percentage error (MAPE) and the median absolute percentage error (MEDAPE) for modeled and observed </w:t>
      </w:r>
      <w:r w:rsidR="00C26801">
        <w:rPr>
          <w:rFonts w:ascii="Times New Roman" w:eastAsia="Times New Roman" w:hAnsi="Times New Roman" w:cs="Times New Roman"/>
          <w:sz w:val="24"/>
          <w:szCs w:val="24"/>
        </w:rPr>
        <w:t xml:space="preserve">the </w:t>
      </w:r>
      <w:r w:rsidRPr="7874DDC2">
        <w:rPr>
          <w:rFonts w:ascii="Times New Roman" w:eastAsia="Times New Roman" w:hAnsi="Times New Roman" w:cs="Times New Roman"/>
          <w:sz w:val="24"/>
          <w:szCs w:val="24"/>
        </w:rPr>
        <w:t>number of deaths over the validation horizon.</w:t>
      </w:r>
      <w:r w:rsidR="00C45AF0" w:rsidRPr="7874DDC2">
        <w:rPr>
          <w:rFonts w:ascii="Times New Roman" w:eastAsia="Times New Roman" w:hAnsi="Times New Roman" w:cs="Times New Roman"/>
          <w:sz w:val="24"/>
          <w:szCs w:val="24"/>
        </w:rPr>
        <w:t xml:space="preserve"> </w:t>
      </w:r>
    </w:p>
    <w:p w14:paraId="603551D6" w14:textId="5827EACA" w:rsidR="001F6B38" w:rsidRPr="00202600" w:rsidRDefault="001F6B38" w:rsidP="27D0AE18">
      <w:pPr>
        <w:spacing w:line="480" w:lineRule="auto"/>
        <w:rPr>
          <w:rFonts w:ascii="Times New Roman" w:eastAsia="Times New Roman" w:hAnsi="Times New Roman" w:cs="Times New Roman"/>
          <w:b/>
          <w:bCs/>
          <w:sz w:val="24"/>
          <w:szCs w:val="24"/>
        </w:rPr>
      </w:pPr>
    </w:p>
    <w:p w14:paraId="17E36512" w14:textId="36DF6858" w:rsidR="001F6B38" w:rsidRPr="00202600" w:rsidRDefault="48E32537" w:rsidP="27D0AE18">
      <w:pPr>
        <w:spacing w:line="480" w:lineRule="auto"/>
        <w:rPr>
          <w:rFonts w:ascii="Times New Roman" w:eastAsia="Times New Roman" w:hAnsi="Times New Roman" w:cs="Times New Roman"/>
          <w:sz w:val="24"/>
          <w:szCs w:val="24"/>
        </w:rPr>
      </w:pPr>
      <w:r w:rsidRPr="27D0AE18">
        <w:rPr>
          <w:rFonts w:ascii="Times New Roman" w:eastAsia="Times New Roman" w:hAnsi="Times New Roman" w:cs="Times New Roman"/>
          <w:b/>
          <w:bCs/>
          <w:sz w:val="24"/>
          <w:szCs w:val="24"/>
        </w:rPr>
        <w:t>Derivation of infectivity rate</w:t>
      </w:r>
    </w:p>
    <w:p w14:paraId="4C2B32CE" w14:textId="51E7DFF7" w:rsidR="48E32537" w:rsidRDefault="48E32537" w:rsidP="27D0AE18">
      <w:pPr>
        <w:spacing w:line="480" w:lineRule="auto"/>
        <w:rPr>
          <w:rFonts w:ascii="Times New Roman" w:eastAsia="Times New Roman" w:hAnsi="Times New Roman" w:cs="Times New Roman"/>
          <w:sz w:val="24"/>
          <w:szCs w:val="24"/>
        </w:rPr>
      </w:pPr>
      <w:r w:rsidRPr="7874DDC2">
        <w:rPr>
          <w:rFonts w:ascii="Times New Roman" w:eastAsia="Times New Roman" w:hAnsi="Times New Roman" w:cs="Times New Roman"/>
          <w:sz w:val="24"/>
          <w:szCs w:val="24"/>
        </w:rPr>
        <w:t>We derive</w:t>
      </w:r>
      <w:r w:rsidR="1909CBE6" w:rsidRPr="7874DDC2">
        <w:rPr>
          <w:rFonts w:ascii="Times New Roman" w:eastAsia="Times New Roman" w:hAnsi="Times New Roman" w:cs="Times New Roman"/>
          <w:sz w:val="24"/>
          <w:szCs w:val="24"/>
        </w:rPr>
        <w:t>d</w:t>
      </w:r>
      <w:r w:rsidRPr="7874DDC2">
        <w:rPr>
          <w:rFonts w:ascii="Times New Roman" w:eastAsia="Times New Roman" w:hAnsi="Times New Roman" w:cs="Times New Roman"/>
          <w:sz w:val="24"/>
          <w:szCs w:val="24"/>
        </w:rPr>
        <w:t xml:space="preserve"> infectivity/contact-hour from published literature based on the rate of infection among household contacts in Wuhan, China</w:t>
      </w:r>
      <w:r w:rsidR="00C26801">
        <w:rPr>
          <w:rFonts w:ascii="Times New Roman" w:eastAsia="Times New Roman" w:hAnsi="Times New Roman" w:cs="Times New Roman"/>
          <w:sz w:val="24"/>
          <w:szCs w:val="24"/>
        </w:rPr>
        <w:t>,</w:t>
      </w:r>
      <w:r w:rsidRPr="7874DDC2">
        <w:rPr>
          <w:rFonts w:ascii="Times New Roman" w:eastAsia="Times New Roman" w:hAnsi="Times New Roman" w:cs="Times New Roman"/>
          <w:sz w:val="24"/>
          <w:szCs w:val="24"/>
        </w:rPr>
        <w:t xml:space="preserve"> where </w:t>
      </w:r>
      <w:r w:rsidR="39442FE8" w:rsidRPr="7874DDC2">
        <w:rPr>
          <w:rFonts w:ascii="Times New Roman" w:eastAsia="Times New Roman" w:hAnsi="Times New Roman" w:cs="Times New Roman"/>
          <w:sz w:val="24"/>
          <w:szCs w:val="24"/>
        </w:rPr>
        <w:t>h</w:t>
      </w:r>
      <w:r w:rsidRPr="7874DDC2">
        <w:rPr>
          <w:rFonts w:ascii="Times New Roman" w:eastAsia="Times New Roman" w:hAnsi="Times New Roman" w:cs="Times New Roman"/>
          <w:sz w:val="24"/>
          <w:szCs w:val="24"/>
        </w:rPr>
        <w:t>ousehold infection rate range</w:t>
      </w:r>
      <w:r w:rsidR="00C26801">
        <w:rPr>
          <w:rFonts w:ascii="Times New Roman" w:eastAsia="Times New Roman" w:hAnsi="Times New Roman" w:cs="Times New Roman"/>
          <w:sz w:val="24"/>
          <w:szCs w:val="24"/>
        </w:rPr>
        <w:t>d</w:t>
      </w:r>
      <w:r w:rsidRPr="7874DDC2">
        <w:rPr>
          <w:rFonts w:ascii="Times New Roman" w:eastAsia="Times New Roman" w:hAnsi="Times New Roman" w:cs="Times New Roman"/>
          <w:sz w:val="24"/>
          <w:szCs w:val="24"/>
        </w:rPr>
        <w:t xml:space="preserve"> from 28% (spouses) to 17% (other household members)</w:t>
      </w:r>
      <w:r w:rsidR="00E3629E">
        <w:rPr>
          <w:rFonts w:ascii="Times New Roman" w:eastAsia="Times New Roman" w:hAnsi="Times New Roman" w:cs="Times New Roman"/>
          <w:sz w:val="24"/>
          <w:szCs w:val="24"/>
        </w:rPr>
        <w:t xml:space="preserve"> </w:t>
      </w:r>
      <w:r w:rsidR="0010454E">
        <w:rPr>
          <w:rFonts w:ascii="Times New Roman" w:eastAsia="Times New Roman" w:hAnsi="Times New Roman" w:cs="Times New Roman"/>
          <w:sz w:val="24"/>
          <w:szCs w:val="24"/>
        </w:rPr>
        <w:fldChar w:fldCharType="begin"/>
      </w:r>
      <w:r w:rsidR="00DA615A">
        <w:rPr>
          <w:rFonts w:ascii="Times New Roman" w:eastAsia="Times New Roman" w:hAnsi="Times New Roman" w:cs="Times New Roman"/>
          <w:sz w:val="24"/>
          <w:szCs w:val="24"/>
        </w:rPr>
        <w:instrText xml:space="preserve"> ADDIN ZOTERO_ITEM CSL_CITATION {"citationID":"lM7JWkdu","properties":{"formattedCitation":"(5)","plainCitation":"(5)","noteIndex":0},"citationItems":[{"id":77,"uris":["http://zotero.org/users/local/jMRSEXDw/items/M94W64CG"],"uri":["http://zotero.org/users/local/jMRSEXDw/items/M94W64CG"],"itemData":{"id":77,"type":"article-journal","abstract":"BACKGROUND: Since December 2019, SARS-CoV-2 virus has extended to most parts of China with more than 80 thousand cases and to at least 100 countries with more than 60 thousand international cases by March 15, 2020. Here we applied household cohort study to determine the features of household transmission of COVID-19.\nMETHODS: Total 105 index patients and 392 household contacts were enrolled. Both index patients and household members were inspected by SARS-CoV-2 RT-PCR. The information of all recruited people was extracted from medical records and confirmed or supplemented by telephone interviews. The baseline characteristics of index cases and contact patients were described. Secondary attack rates of SARS-CoV-2 to the contact members were computed and the risk factors for transmission within household were estimated.\nRESULTS: Secondary transmission of SARS-CoV-2 developed in 64 of 392 household contacts (16.3%). The secondary attack rate to children was 4% comparing with 17.1% to adults. The secondary attack rate to the contacts within the households with index patients quarantined by themselves since onset of symptoms was 0% comparing with 16.9% to the contacts without index patients quarantined. The secondary attack rate to contacts who were spouses of index cases was 27.8% comparing with 17.3% to other adult members in the households.\nCONCLUSION: The secondary attack rate of SARS-CoV-2 in household is 16.3%. Ages of household contacts and spouse relationship with index case are risk factors for transmission of SARS-CoV-2 within household. Quarantine of index patients at home since onset of symptom is useful to prevent the transmission of SARS-Co-2 within household.","container-title":"Clinical Infectious Diseases: An Official Publication of the Infectious Diseases Society of America","DOI":"10.1093/cid/ciaa450","ISSN":"1537-6591","journalAbbreviation":"Clin. Infect. Dis.","language":"eng","note":"PMID: 32301964\nPMCID: PMC7184465","source":"PubMed","title":"The characteristics of household transmission of COVID-19","author":[{"family":"Li","given":"Wei"},{"family":"Zhang","given":"Bo"},{"family":"Lu","given":"Jianhua"},{"family":"Liu","given":"Shihua"},{"family":"Chang","given":"Zhiqiang"},{"family":"Cao","given":"Peng"},{"family":"Liu","given":"Xinhua"},{"family":"Zhang","given":"Peng"},{"family":"Ling","given":"Yan"},{"family":"Tao","given":"Kaixiong"},{"family":"Chen","given":"Jianying"}],"issued":{"date-parts":[["2020",4,17]]}}}],"schema":"https://github.com/citation-style-language/schema/raw/master/csl-citation.json"} </w:instrText>
      </w:r>
      <w:r w:rsidR="0010454E">
        <w:rPr>
          <w:rFonts w:ascii="Times New Roman" w:eastAsia="Times New Roman" w:hAnsi="Times New Roman" w:cs="Times New Roman"/>
          <w:sz w:val="24"/>
          <w:szCs w:val="24"/>
        </w:rPr>
        <w:fldChar w:fldCharType="separate"/>
      </w:r>
      <w:r w:rsidR="00DA615A" w:rsidRPr="00DA615A">
        <w:rPr>
          <w:rFonts w:ascii="Times New Roman" w:hAnsi="Times New Roman" w:cs="Times New Roman"/>
          <w:sz w:val="24"/>
        </w:rPr>
        <w:t>(5)</w:t>
      </w:r>
      <w:r w:rsidR="0010454E">
        <w:rPr>
          <w:rFonts w:ascii="Times New Roman" w:eastAsia="Times New Roman" w:hAnsi="Times New Roman" w:cs="Times New Roman"/>
          <w:sz w:val="24"/>
          <w:szCs w:val="24"/>
        </w:rPr>
        <w:fldChar w:fldCharType="end"/>
      </w:r>
      <w:r w:rsidR="00E3629E">
        <w:rPr>
          <w:rFonts w:ascii="Times New Roman" w:eastAsia="Times New Roman" w:hAnsi="Times New Roman" w:cs="Times New Roman"/>
          <w:sz w:val="24"/>
          <w:szCs w:val="24"/>
        </w:rPr>
        <w:t>.</w:t>
      </w:r>
      <w:r w:rsidRPr="7874DDC2">
        <w:rPr>
          <w:rFonts w:ascii="Times New Roman" w:eastAsia="Times New Roman" w:hAnsi="Times New Roman" w:cs="Times New Roman"/>
          <w:sz w:val="24"/>
          <w:szCs w:val="24"/>
        </w:rPr>
        <w:t xml:space="preserve"> Using an average household size of 4 </w:t>
      </w:r>
      <w:r w:rsidR="00C60724">
        <w:rPr>
          <w:rFonts w:ascii="Times New Roman" w:eastAsia="Times New Roman" w:hAnsi="Times New Roman" w:cs="Times New Roman"/>
          <w:sz w:val="24"/>
          <w:szCs w:val="24"/>
        </w:rPr>
        <w:t>people</w:t>
      </w:r>
      <w:r w:rsidRPr="7874DDC2">
        <w:rPr>
          <w:rFonts w:ascii="Times New Roman" w:eastAsia="Times New Roman" w:hAnsi="Times New Roman" w:cs="Times New Roman"/>
          <w:sz w:val="24"/>
          <w:szCs w:val="24"/>
        </w:rPr>
        <w:t>, we estimate</w:t>
      </w:r>
      <w:r w:rsidR="00C26801">
        <w:rPr>
          <w:rFonts w:ascii="Times New Roman" w:eastAsia="Times New Roman" w:hAnsi="Times New Roman" w:cs="Times New Roman"/>
          <w:sz w:val="24"/>
          <w:szCs w:val="24"/>
        </w:rPr>
        <w:t>d</w:t>
      </w:r>
      <w:r w:rsidRPr="7874DDC2">
        <w:rPr>
          <w:rFonts w:ascii="Times New Roman" w:eastAsia="Times New Roman" w:hAnsi="Times New Roman" w:cs="Times New Roman"/>
          <w:sz w:val="24"/>
          <w:szCs w:val="24"/>
        </w:rPr>
        <w:t xml:space="preserve"> an average rate of 21% transmission over 3 days, considering both latency and pre-symptomatic periods and the average</w:t>
      </w:r>
      <w:r w:rsidR="0B6D5D51" w:rsidRPr="7874DDC2">
        <w:rPr>
          <w:rFonts w:ascii="Times New Roman" w:eastAsia="Times New Roman" w:hAnsi="Times New Roman" w:cs="Times New Roman"/>
          <w:sz w:val="24"/>
          <w:szCs w:val="24"/>
        </w:rPr>
        <w:t xml:space="preserve"> </w:t>
      </w:r>
      <w:r w:rsidRPr="7874DDC2">
        <w:rPr>
          <w:rFonts w:ascii="Times New Roman" w:eastAsia="Times New Roman" w:hAnsi="Times New Roman" w:cs="Times New Roman"/>
          <w:sz w:val="24"/>
          <w:szCs w:val="24"/>
        </w:rPr>
        <w:t>time between symptom onset in the index person and subsequently infected person. From the Bureau of Labor Statistics, we estimate</w:t>
      </w:r>
      <w:r w:rsidR="00C26801">
        <w:rPr>
          <w:rFonts w:ascii="Times New Roman" w:eastAsia="Times New Roman" w:hAnsi="Times New Roman" w:cs="Times New Roman"/>
          <w:sz w:val="24"/>
          <w:szCs w:val="24"/>
        </w:rPr>
        <w:t>d</w:t>
      </w:r>
      <w:r w:rsidRPr="7874DDC2">
        <w:rPr>
          <w:rFonts w:ascii="Times New Roman" w:eastAsia="Times New Roman" w:hAnsi="Times New Roman" w:cs="Times New Roman"/>
          <w:sz w:val="24"/>
          <w:szCs w:val="24"/>
        </w:rPr>
        <w:t xml:space="preserve"> that members of </w:t>
      </w:r>
      <w:r w:rsidRPr="7874DDC2">
        <w:rPr>
          <w:rFonts w:ascii="Times New Roman" w:eastAsia="Times New Roman" w:hAnsi="Times New Roman" w:cs="Times New Roman"/>
          <w:sz w:val="24"/>
          <w:szCs w:val="24"/>
        </w:rPr>
        <w:lastRenderedPageBreak/>
        <w:t>the same household spen</w:t>
      </w:r>
      <w:r w:rsidR="00C26801">
        <w:rPr>
          <w:rFonts w:ascii="Times New Roman" w:eastAsia="Times New Roman" w:hAnsi="Times New Roman" w:cs="Times New Roman"/>
          <w:sz w:val="24"/>
          <w:szCs w:val="24"/>
        </w:rPr>
        <w:t>t</w:t>
      </w:r>
      <w:r w:rsidRPr="7874DDC2">
        <w:rPr>
          <w:rFonts w:ascii="Times New Roman" w:eastAsia="Times New Roman" w:hAnsi="Times New Roman" w:cs="Times New Roman"/>
          <w:sz w:val="24"/>
          <w:szCs w:val="24"/>
        </w:rPr>
        <w:t xml:space="preserve"> on average 11.89 hours/day at home</w:t>
      </w:r>
      <w:r w:rsidR="00E3629E">
        <w:rPr>
          <w:rFonts w:ascii="Times New Roman" w:eastAsia="Times New Roman" w:hAnsi="Times New Roman" w:cs="Times New Roman"/>
          <w:sz w:val="24"/>
          <w:szCs w:val="24"/>
        </w:rPr>
        <w:t xml:space="preserve"> </w:t>
      </w:r>
      <w:r w:rsidR="00FB354C">
        <w:rPr>
          <w:rFonts w:ascii="Times New Roman" w:eastAsia="Times New Roman" w:hAnsi="Times New Roman" w:cs="Times New Roman"/>
          <w:sz w:val="24"/>
          <w:szCs w:val="24"/>
        </w:rPr>
        <w:fldChar w:fldCharType="begin"/>
      </w:r>
      <w:r w:rsidR="00DA615A">
        <w:rPr>
          <w:rFonts w:ascii="Times New Roman" w:eastAsia="Times New Roman" w:hAnsi="Times New Roman" w:cs="Times New Roman"/>
          <w:sz w:val="24"/>
          <w:szCs w:val="24"/>
        </w:rPr>
        <w:instrText xml:space="preserve"> ADDIN ZOTERO_ITEM CSL_CITATION {"citationID":"69XU0gF1","properties":{"formattedCitation":"(6)","plainCitation":"(6)","noteIndex":0},"citationItems":[{"id":80,"uris":["http://zotero.org/users/local/jMRSEXDw/items/X8P87FW4"],"uri":["http://zotero.org/users/local/jMRSEXDw/items/X8P87FW4"],"itemData":{"id":80,"type":"webpage","language":"en","title":"Table 1. Time spent in primary activities and percent of the civilian population engaging in each activity, averages per day by sex, 2019 annual averages","URL":"https://www.bls.gov/news.release/atus.t01.htm","author":[{"literal":"Bureau of Labor Statistics"}],"accessed":{"date-parts":[["2020",8,9]]},"issued":{"date-parts":[["2020",6,25]]}},"locator":"1"}],"schema":"https://github.com/citation-style-language/schema/raw/master/csl-citation.json"} </w:instrText>
      </w:r>
      <w:r w:rsidR="00FB354C">
        <w:rPr>
          <w:rFonts w:ascii="Times New Roman" w:eastAsia="Times New Roman" w:hAnsi="Times New Roman" w:cs="Times New Roman"/>
          <w:sz w:val="24"/>
          <w:szCs w:val="24"/>
        </w:rPr>
        <w:fldChar w:fldCharType="separate"/>
      </w:r>
      <w:r w:rsidR="00DA615A" w:rsidRPr="00DA615A">
        <w:rPr>
          <w:rFonts w:ascii="Times New Roman" w:hAnsi="Times New Roman" w:cs="Times New Roman"/>
          <w:sz w:val="24"/>
        </w:rPr>
        <w:t>(6)</w:t>
      </w:r>
      <w:r w:rsidR="00FB354C">
        <w:rPr>
          <w:rFonts w:ascii="Times New Roman" w:eastAsia="Times New Roman" w:hAnsi="Times New Roman" w:cs="Times New Roman"/>
          <w:sz w:val="24"/>
          <w:szCs w:val="24"/>
        </w:rPr>
        <w:fldChar w:fldCharType="end"/>
      </w:r>
      <w:r w:rsidR="00E3629E">
        <w:rPr>
          <w:rFonts w:ascii="Times New Roman" w:eastAsia="Times New Roman" w:hAnsi="Times New Roman" w:cs="Times New Roman"/>
          <w:sz w:val="24"/>
          <w:szCs w:val="24"/>
        </w:rPr>
        <w:t>,</w:t>
      </w:r>
      <w:r w:rsidRPr="7874DDC2">
        <w:rPr>
          <w:rFonts w:ascii="Times New Roman" w:eastAsia="Times New Roman" w:hAnsi="Times New Roman" w:cs="Times New Roman"/>
          <w:sz w:val="24"/>
          <w:szCs w:val="24"/>
        </w:rPr>
        <w:t xml:space="preserve"> resulting in an estimated infectivity rate/contact-hour of 0.002.</w:t>
      </w:r>
    </w:p>
    <w:p w14:paraId="4E6C6B63" w14:textId="1600D351" w:rsidR="7874DDC2" w:rsidRDefault="7874DDC2" w:rsidP="7874DDC2">
      <w:pPr>
        <w:spacing w:line="480" w:lineRule="auto"/>
        <w:rPr>
          <w:rFonts w:ascii="Times New Roman" w:eastAsia="Times New Roman" w:hAnsi="Times New Roman" w:cs="Times New Roman"/>
          <w:sz w:val="24"/>
          <w:szCs w:val="24"/>
        </w:rPr>
      </w:pPr>
    </w:p>
    <w:p w14:paraId="06C1D896" w14:textId="37D6FCFD" w:rsidR="72F6B1AE" w:rsidRDefault="3DF1AEFC" w:rsidP="27D0AE18">
      <w:pPr>
        <w:spacing w:line="480" w:lineRule="auto"/>
        <w:rPr>
          <w:rFonts w:ascii="Times New Roman" w:eastAsia="Times New Roman" w:hAnsi="Times New Roman" w:cs="Times New Roman"/>
          <w:b/>
          <w:bCs/>
          <w:sz w:val="24"/>
          <w:szCs w:val="24"/>
        </w:rPr>
      </w:pPr>
      <w:r w:rsidRPr="7874DDC2">
        <w:rPr>
          <w:rFonts w:ascii="Times New Roman" w:eastAsia="Times New Roman" w:hAnsi="Times New Roman" w:cs="Times New Roman"/>
          <w:b/>
          <w:bCs/>
          <w:sz w:val="24"/>
          <w:szCs w:val="24"/>
        </w:rPr>
        <w:t>Additional details on c</w:t>
      </w:r>
      <w:r w:rsidR="72F6B1AE" w:rsidRPr="7874DDC2">
        <w:rPr>
          <w:rFonts w:ascii="Times New Roman" w:eastAsia="Times New Roman" w:hAnsi="Times New Roman" w:cs="Times New Roman"/>
          <w:b/>
          <w:bCs/>
          <w:sz w:val="24"/>
          <w:szCs w:val="24"/>
        </w:rPr>
        <w:t>ohort characteristics</w:t>
      </w:r>
    </w:p>
    <w:p w14:paraId="2633D2B0" w14:textId="56EBB341" w:rsidR="72F6B1AE" w:rsidRDefault="72F6B1AE" w:rsidP="27D0AE18">
      <w:pPr>
        <w:spacing w:line="480" w:lineRule="auto"/>
        <w:rPr>
          <w:rFonts w:ascii="Times New Roman" w:eastAsia="Times New Roman" w:hAnsi="Times New Roman" w:cs="Times New Roman"/>
          <w:sz w:val="24"/>
          <w:szCs w:val="24"/>
        </w:rPr>
      </w:pPr>
      <w:r w:rsidRPr="27D0AE18">
        <w:rPr>
          <w:rFonts w:ascii="Times New Roman" w:eastAsia="Times New Roman" w:hAnsi="Times New Roman" w:cs="Times New Roman"/>
          <w:sz w:val="24"/>
          <w:szCs w:val="24"/>
        </w:rPr>
        <w:t>Based on data from Cornell University, University of California, Penn State University, California State University</w:t>
      </w:r>
      <w:r w:rsidRPr="007B1B78">
        <w:rPr>
          <w:rFonts w:ascii="Times New Roman" w:eastAsia="Times New Roman" w:hAnsi="Times New Roman" w:cs="Times New Roman"/>
          <w:sz w:val="24"/>
          <w:szCs w:val="24"/>
        </w:rPr>
        <w:t>, and University of Maryland</w:t>
      </w:r>
      <w:r w:rsidR="00C26801">
        <w:rPr>
          <w:rFonts w:ascii="Times New Roman" w:eastAsia="Times New Roman" w:hAnsi="Times New Roman" w:cs="Times New Roman"/>
          <w:sz w:val="24"/>
          <w:szCs w:val="24"/>
        </w:rPr>
        <w:t>,</w:t>
      </w:r>
      <w:r w:rsidRPr="007B1B78">
        <w:rPr>
          <w:rFonts w:ascii="Times New Roman" w:eastAsia="Times New Roman" w:hAnsi="Times New Roman" w:cs="Times New Roman"/>
          <w:sz w:val="24"/>
          <w:szCs w:val="24"/>
        </w:rPr>
        <w:t xml:space="preserve"> on average 25% of faculty are over age 60</w:t>
      </w:r>
      <w:r w:rsidR="00E3629E">
        <w:rPr>
          <w:rFonts w:ascii="Times New Roman" w:eastAsia="Times New Roman" w:hAnsi="Times New Roman" w:cs="Times New Roman"/>
          <w:sz w:val="24"/>
          <w:szCs w:val="24"/>
        </w:rPr>
        <w:t xml:space="preserve"> </w:t>
      </w:r>
      <w:r w:rsidR="00FD6E85">
        <w:rPr>
          <w:rFonts w:ascii="Times New Roman" w:eastAsia="Times New Roman" w:hAnsi="Times New Roman" w:cs="Times New Roman"/>
          <w:sz w:val="24"/>
          <w:szCs w:val="24"/>
        </w:rPr>
        <w:fldChar w:fldCharType="begin"/>
      </w:r>
      <w:r w:rsidR="00DA615A">
        <w:rPr>
          <w:rFonts w:ascii="Times New Roman" w:eastAsia="Times New Roman" w:hAnsi="Times New Roman" w:cs="Times New Roman"/>
          <w:sz w:val="24"/>
          <w:szCs w:val="24"/>
        </w:rPr>
        <w:instrText xml:space="preserve"> ADDIN ZOTERO_ITEM CSL_CITATION {"citationID":"8r6mjX0k","properties":{"formattedCitation":"(7\\uc0\\u8211{}11)","plainCitation":"(7–11)","noteIndex":0},"citationItems":[{"id":16,"uris":["http://zotero.org/users/local/jMRSEXDw/items/3KAE3FBM"],"uri":["http://zotero.org/users/local/jMRSEXDw/items/3KAE3FBM"],"itemData":{"id":16,"type":"webpage","container-title":"Cornell University 2007-2008 Financial Plan","title":"A focus on faculty. Division of Planning and Budget.","URL":"https://dpb.cornell.edu/documents/1000381.pdf","author":[{"family":"Whalen","given":"Michael L."}],"accessed":{"date-parts":[["2020",8,9]]},"issued":{"date-parts":[["2007",5]]}}},{"id":19,"uris":["http://zotero.org/users/local/jMRSEXDw/items/DV7VZ4PG"],"uri":["http://zotero.org/users/local/jMRSEXDw/items/DV7VZ4PG"],"itemData":{"id":19,"type":"webpage","title":"Faculty age distribution: fall 2017. PennState University Budget Office.","URL":"https://budget.psu.edu/Factbook/hrdynamic/FacultyDistributionByAgePSULaw.aspx?ReportCode=Age&amp;YearCode=2017humors&amp;FBPlusIndc=N","accessed":{"date-parts":[["2020",8,9]]}}},{"id":17,"uris":["http://zotero.org/users/local/jMRSEXDw/items/YIJ27BID"],"uri":["http://zotero.org/users/local/jMRSEXDw/items/YIJ27BID"],"itemData":{"id":17,"type":"webpage","title":"2011 Accountability report. University of California","URL":"https://accountability.universityofcalifornia.edu/2011/index/6.2.2","accessed":{"date-parts":[["2020",8,9]]}}},{"id":21,"uris":["http://zotero.org/users/local/jMRSEXDw/items/FQZ228NC"],"uri":["http://zotero.org/users/local/jMRSEXDw/items/FQZ228NC"],"itemData":{"id":21,"type":"report","language":"en-US","title":"Age distribution of full-time employees by employee group: fall 2019. The California State University.","URL":"https://www2.calstate.edu:443/csu-system/faculty-staff/employee-profile/csu-staff/Pages/age-distribution-of-full-time-employee-headcount-by-faculty-and-staff-status.aspx","accessed":{"date-parts":[["2020",8,9]]}}},{"id":23,"uris":["http://zotero.org/users/local/jMRSEXDw/items/XXKA2D6Q"],"uri":["http://zotero.org/users/local/jMRSEXDw/items/XXKA2D6Q"],"itemData":{"id":23,"type":"webpage","container-title":"USM IRIS","title":"Statewide instructional faculty age distribution by employment status: report for university system of Maryland, fall 2019. USM Data Journals.","URL":"https://www.usmd.edu/IRIS/DataJournal/Faculty-Staff/?report=Instructional-Faculty-Age-by-Employment-Status","accessed":{"date-parts":[["2020",8,9]]}}}],"schema":"https://github.com/citation-style-language/schema/raw/master/csl-citation.json"} </w:instrText>
      </w:r>
      <w:r w:rsidR="00FD6E85">
        <w:rPr>
          <w:rFonts w:ascii="Times New Roman" w:eastAsia="Times New Roman" w:hAnsi="Times New Roman" w:cs="Times New Roman"/>
          <w:sz w:val="24"/>
          <w:szCs w:val="24"/>
        </w:rPr>
        <w:fldChar w:fldCharType="separate"/>
      </w:r>
      <w:r w:rsidR="00DA615A" w:rsidRPr="00DA615A">
        <w:rPr>
          <w:rFonts w:ascii="Times New Roman" w:hAnsi="Times New Roman" w:cs="Times New Roman"/>
          <w:sz w:val="24"/>
          <w:szCs w:val="24"/>
        </w:rPr>
        <w:t>(7–11)</w:t>
      </w:r>
      <w:r w:rsidR="00FD6E85">
        <w:rPr>
          <w:rFonts w:ascii="Times New Roman" w:eastAsia="Times New Roman" w:hAnsi="Times New Roman" w:cs="Times New Roman"/>
          <w:sz w:val="24"/>
          <w:szCs w:val="24"/>
        </w:rPr>
        <w:fldChar w:fldCharType="end"/>
      </w:r>
      <w:r w:rsidR="00E3629E">
        <w:rPr>
          <w:rFonts w:ascii="Times New Roman" w:eastAsia="Times New Roman" w:hAnsi="Times New Roman" w:cs="Times New Roman"/>
          <w:sz w:val="24"/>
          <w:szCs w:val="24"/>
        </w:rPr>
        <w:t>.</w:t>
      </w:r>
      <w:r w:rsidRPr="007B1B78">
        <w:rPr>
          <w:rFonts w:ascii="Times New Roman" w:eastAsia="Times New Roman" w:hAnsi="Times New Roman" w:cs="Times New Roman"/>
          <w:sz w:val="24"/>
          <w:szCs w:val="24"/>
        </w:rPr>
        <w:t xml:space="preserve"> Using data from college towns, including Cambridge, MA, Ithaca, NY and Austin, TX 16% of the surrounding community are over age 60 (Table 1)</w:t>
      </w:r>
      <w:r w:rsidR="00E3629E">
        <w:rPr>
          <w:rFonts w:ascii="Times New Roman" w:eastAsia="Times New Roman" w:hAnsi="Times New Roman" w:cs="Times New Roman"/>
          <w:sz w:val="24"/>
          <w:szCs w:val="24"/>
        </w:rPr>
        <w:t xml:space="preserve"> </w:t>
      </w:r>
      <w:r w:rsidR="00820A95">
        <w:rPr>
          <w:rFonts w:ascii="Times New Roman" w:eastAsia="Times New Roman" w:hAnsi="Times New Roman" w:cs="Times New Roman"/>
          <w:sz w:val="24"/>
          <w:szCs w:val="24"/>
        </w:rPr>
        <w:fldChar w:fldCharType="begin"/>
      </w:r>
      <w:r w:rsidR="00DA615A">
        <w:rPr>
          <w:rFonts w:ascii="Times New Roman" w:eastAsia="Times New Roman" w:hAnsi="Times New Roman" w:cs="Times New Roman"/>
          <w:sz w:val="24"/>
          <w:szCs w:val="24"/>
        </w:rPr>
        <w:instrText xml:space="preserve"> ADDIN ZOTERO_ITEM CSL_CITATION {"citationID":"P2MEYmU7","properties":{"formattedCitation":"(12\\uc0\\u8211{}14)","plainCitation":"(12–14)","noteIndex":0},"citationItems":[{"id":9,"uris":["http://zotero.org/users/local/jMRSEXDw/items/8K6HH4Q9"],"uri":["http://zotero.org/users/local/jMRSEXDw/items/8K6HH4Q9"],"itemData":{"id":9,"type":"webpage","abstract":"Census data for Cambridge, MA (pop. 118,967), including age, race, sex, income, poverty, marital status, education and more.","container-title":"Census Reporter","title":"Census profile: Cambridge, MA","title-short":"Census profile","URL":"http://censusreporter.org/profiles/16000US2511000-cambridge-ma/","accessed":{"date-parts":[["2020",8,9]]}}},{"id":11,"uris":["http://zotero.org/users/local/jMRSEXDw/items/G882XFX6"],"uri":["http://zotero.org/users/local/jMRSEXDw/items/G882XFX6"],"itemData":{"id":11,"type":"webpage","abstract":"Census data for Ithaca, NY Metro Area (pop. 102,793), including age, race, sex, income, poverty, marital status, education and more.","container-title":"Census Reporter","title":"Census profile: Ithaca, NY Metro Area","title-short":"Census profile","URL":"http://censusreporter.org/profiles/31000US27060-ithaca-ny-metro-area/","accessed":{"date-parts":[["2020",8,9]]}}},{"id":13,"uris":["http://zotero.org/users/local/jMRSEXDw/items/MLQZWPVI"],"uri":["http://zotero.org/users/local/jMRSEXDw/items/MLQZWPVI"],"itemData":{"id":13,"type":"webpage","abstract":"Census data for Austin, TX (pop. 964,243), including age, race, sex, income, poverty, marital status, education and more.","container-title":"Census Reporter","title":"Census profile: Austin, TX","title-short":"Census profile","URL":"http://censusreporter.org/profiles/16000US4805000-austin-tx/","accessed":{"date-parts":[["2020",8,9]]}}}],"schema":"https://github.com/citation-style-language/schema/raw/master/csl-citation.json"} </w:instrText>
      </w:r>
      <w:r w:rsidR="00820A95">
        <w:rPr>
          <w:rFonts w:ascii="Times New Roman" w:eastAsia="Times New Roman" w:hAnsi="Times New Roman" w:cs="Times New Roman"/>
          <w:sz w:val="24"/>
          <w:szCs w:val="24"/>
        </w:rPr>
        <w:fldChar w:fldCharType="separate"/>
      </w:r>
      <w:r w:rsidR="00DA615A" w:rsidRPr="00DA615A">
        <w:rPr>
          <w:rFonts w:ascii="Times New Roman" w:hAnsi="Times New Roman" w:cs="Times New Roman"/>
          <w:sz w:val="24"/>
          <w:szCs w:val="24"/>
        </w:rPr>
        <w:t>(12–14)</w:t>
      </w:r>
      <w:r w:rsidR="00820A95">
        <w:rPr>
          <w:rFonts w:ascii="Times New Roman" w:eastAsia="Times New Roman" w:hAnsi="Times New Roman" w:cs="Times New Roman"/>
          <w:sz w:val="24"/>
          <w:szCs w:val="24"/>
        </w:rPr>
        <w:fldChar w:fldCharType="end"/>
      </w:r>
      <w:r w:rsidR="00E3629E">
        <w:rPr>
          <w:rFonts w:ascii="Times New Roman" w:eastAsia="Times New Roman" w:hAnsi="Times New Roman" w:cs="Times New Roman"/>
          <w:sz w:val="24"/>
          <w:szCs w:val="24"/>
        </w:rPr>
        <w:t>.</w:t>
      </w:r>
      <w:r w:rsidRPr="007B1B78">
        <w:rPr>
          <w:rFonts w:ascii="Times New Roman" w:eastAsia="Times New Roman" w:hAnsi="Times New Roman" w:cs="Times New Roman"/>
          <w:sz w:val="24"/>
          <w:szCs w:val="24"/>
        </w:rPr>
        <w:t xml:space="preserve"> We stratified our population groups by their COVID-19 disease status: </w:t>
      </w:r>
      <w:r w:rsidR="00C26801">
        <w:rPr>
          <w:rFonts w:ascii="Times New Roman" w:eastAsia="Times New Roman" w:hAnsi="Times New Roman" w:cs="Times New Roman"/>
          <w:sz w:val="24"/>
          <w:szCs w:val="24"/>
        </w:rPr>
        <w:t>w</w:t>
      </w:r>
      <w:r w:rsidRPr="007B1B78">
        <w:rPr>
          <w:rFonts w:ascii="Times New Roman" w:eastAsia="Times New Roman" w:hAnsi="Times New Roman" w:cs="Times New Roman"/>
          <w:sz w:val="24"/>
          <w:szCs w:val="24"/>
        </w:rPr>
        <w:t xml:space="preserve">e assumed that 1% </w:t>
      </w:r>
      <w:r w:rsidR="000F40BA">
        <w:rPr>
          <w:rFonts w:ascii="Times New Roman" w:eastAsia="Times New Roman" w:hAnsi="Times New Roman" w:cs="Times New Roman"/>
          <w:sz w:val="24"/>
          <w:szCs w:val="24"/>
        </w:rPr>
        <w:t>of</w:t>
      </w:r>
      <w:r w:rsidRPr="007B1B78">
        <w:rPr>
          <w:rFonts w:ascii="Times New Roman" w:eastAsia="Times New Roman" w:hAnsi="Times New Roman" w:cs="Times New Roman"/>
          <w:sz w:val="24"/>
          <w:szCs w:val="24"/>
        </w:rPr>
        <w:t xml:space="preserve"> students</w:t>
      </w:r>
      <w:r w:rsidR="000F40BA">
        <w:rPr>
          <w:rFonts w:ascii="Times New Roman" w:eastAsia="Times New Roman" w:hAnsi="Times New Roman" w:cs="Times New Roman"/>
          <w:sz w:val="24"/>
          <w:szCs w:val="24"/>
        </w:rPr>
        <w:t xml:space="preserve">, 1% of </w:t>
      </w:r>
      <w:r w:rsidRPr="007B1B78">
        <w:rPr>
          <w:rFonts w:ascii="Times New Roman" w:eastAsia="Times New Roman" w:hAnsi="Times New Roman" w:cs="Times New Roman"/>
          <w:sz w:val="24"/>
          <w:szCs w:val="24"/>
        </w:rPr>
        <w:t xml:space="preserve">faculty and </w:t>
      </w:r>
      <w:r w:rsidR="000F40BA">
        <w:rPr>
          <w:rFonts w:ascii="Times New Roman" w:eastAsia="Times New Roman" w:hAnsi="Times New Roman" w:cs="Times New Roman"/>
          <w:sz w:val="24"/>
          <w:szCs w:val="24"/>
        </w:rPr>
        <w:t>4</w:t>
      </w:r>
      <w:r w:rsidRPr="007B1B78">
        <w:rPr>
          <w:rFonts w:ascii="Times New Roman" w:eastAsia="Times New Roman" w:hAnsi="Times New Roman" w:cs="Times New Roman"/>
          <w:sz w:val="24"/>
          <w:szCs w:val="24"/>
        </w:rPr>
        <w:t xml:space="preserve">% </w:t>
      </w:r>
      <w:r w:rsidR="000F40BA">
        <w:rPr>
          <w:rFonts w:ascii="Times New Roman" w:eastAsia="Times New Roman" w:hAnsi="Times New Roman" w:cs="Times New Roman"/>
          <w:sz w:val="24"/>
          <w:szCs w:val="24"/>
        </w:rPr>
        <w:t>of</w:t>
      </w:r>
      <w:r w:rsidRPr="007B1B78">
        <w:rPr>
          <w:rFonts w:ascii="Times New Roman" w:eastAsia="Times New Roman" w:hAnsi="Times New Roman" w:cs="Times New Roman"/>
          <w:sz w:val="24"/>
          <w:szCs w:val="24"/>
        </w:rPr>
        <w:t xml:space="preserve"> community</w:t>
      </w:r>
      <w:r w:rsidR="000F40BA">
        <w:rPr>
          <w:rFonts w:ascii="Times New Roman" w:eastAsia="Times New Roman" w:hAnsi="Times New Roman" w:cs="Times New Roman"/>
          <w:sz w:val="24"/>
          <w:szCs w:val="24"/>
        </w:rPr>
        <w:t xml:space="preserve"> members</w:t>
      </w:r>
      <w:r w:rsidRPr="007B1B78">
        <w:rPr>
          <w:rFonts w:ascii="Times New Roman" w:eastAsia="Times New Roman" w:hAnsi="Times New Roman" w:cs="Times New Roman"/>
          <w:sz w:val="24"/>
          <w:szCs w:val="24"/>
        </w:rPr>
        <w:t xml:space="preserve"> had active COVID</w:t>
      </w:r>
      <w:r w:rsidR="00F3174D">
        <w:rPr>
          <w:rFonts w:ascii="Times New Roman" w:eastAsia="Times New Roman" w:hAnsi="Times New Roman" w:cs="Times New Roman"/>
          <w:sz w:val="24"/>
          <w:szCs w:val="24"/>
        </w:rPr>
        <w:t>-</w:t>
      </w:r>
      <w:r w:rsidRPr="007B1B78">
        <w:rPr>
          <w:rFonts w:ascii="Times New Roman" w:eastAsia="Times New Roman" w:hAnsi="Times New Roman" w:cs="Times New Roman"/>
          <w:sz w:val="24"/>
          <w:szCs w:val="24"/>
        </w:rPr>
        <w:t xml:space="preserve">19 (symptomatic or asymptomatic), 89% of students (94% faculty, 81% community) were </w:t>
      </w:r>
      <w:r w:rsidR="000123AD">
        <w:rPr>
          <w:rFonts w:ascii="Times New Roman" w:eastAsia="Times New Roman" w:hAnsi="Times New Roman" w:cs="Times New Roman"/>
          <w:sz w:val="24"/>
          <w:szCs w:val="24"/>
        </w:rPr>
        <w:t>susceptible</w:t>
      </w:r>
      <w:r w:rsidRPr="007B1B78">
        <w:rPr>
          <w:rFonts w:ascii="Times New Roman" w:eastAsia="Times New Roman" w:hAnsi="Times New Roman" w:cs="Times New Roman"/>
          <w:sz w:val="24"/>
          <w:szCs w:val="24"/>
        </w:rPr>
        <w:t xml:space="preserve"> </w:t>
      </w:r>
      <w:r w:rsidR="000123AD">
        <w:rPr>
          <w:rFonts w:ascii="Times New Roman" w:eastAsia="Times New Roman" w:hAnsi="Times New Roman" w:cs="Times New Roman"/>
          <w:sz w:val="24"/>
          <w:szCs w:val="24"/>
        </w:rPr>
        <w:t>to</w:t>
      </w:r>
      <w:r w:rsidRPr="007B1B78">
        <w:rPr>
          <w:rFonts w:ascii="Times New Roman" w:eastAsia="Times New Roman" w:hAnsi="Times New Roman" w:cs="Times New Roman"/>
          <w:sz w:val="24"/>
          <w:szCs w:val="24"/>
        </w:rPr>
        <w:t xml:space="preserve"> COVID-19 and the reminder in each population already had the disease, recovered</w:t>
      </w:r>
      <w:r w:rsidR="00C26801">
        <w:rPr>
          <w:rFonts w:ascii="Times New Roman" w:eastAsia="Times New Roman" w:hAnsi="Times New Roman" w:cs="Times New Roman"/>
          <w:sz w:val="24"/>
          <w:szCs w:val="24"/>
        </w:rPr>
        <w:t>,</w:t>
      </w:r>
      <w:r w:rsidRPr="007B1B78">
        <w:rPr>
          <w:rFonts w:ascii="Times New Roman" w:eastAsia="Times New Roman" w:hAnsi="Times New Roman" w:cs="Times New Roman"/>
          <w:sz w:val="24"/>
          <w:szCs w:val="24"/>
        </w:rPr>
        <w:t xml:space="preserve"> and were assumed to be immune. To account for influenza like illness (ILI) symptoms</w:t>
      </w:r>
      <w:r w:rsidRPr="27D0AE18">
        <w:rPr>
          <w:rFonts w:ascii="Times New Roman" w:eastAsia="Times New Roman" w:hAnsi="Times New Roman" w:cs="Times New Roman"/>
          <w:sz w:val="24"/>
          <w:szCs w:val="24"/>
        </w:rPr>
        <w:t xml:space="preserve"> from infections other than SARS-COV-2, we incorporated a small proportion of individuals developing daily ILI symptoms, using age-stratified rates from the </w:t>
      </w:r>
      <w:r w:rsidRPr="00700368">
        <w:rPr>
          <w:rFonts w:ascii="Times New Roman" w:eastAsia="Times New Roman" w:hAnsi="Times New Roman" w:cs="Times New Roman"/>
          <w:sz w:val="24"/>
          <w:szCs w:val="24"/>
        </w:rPr>
        <w:t>CDC ILI network</w:t>
      </w:r>
      <w:r w:rsidR="00E3629E">
        <w:rPr>
          <w:rFonts w:ascii="Times New Roman" w:eastAsia="Times New Roman" w:hAnsi="Times New Roman" w:cs="Times New Roman"/>
          <w:sz w:val="24"/>
          <w:szCs w:val="24"/>
        </w:rPr>
        <w:t xml:space="preserve"> </w:t>
      </w:r>
      <w:r w:rsidR="008B30B6" w:rsidRPr="00700368">
        <w:rPr>
          <w:rFonts w:ascii="Times New Roman" w:eastAsia="Times New Roman" w:hAnsi="Times New Roman" w:cs="Times New Roman"/>
          <w:sz w:val="24"/>
          <w:szCs w:val="24"/>
        </w:rPr>
        <w:fldChar w:fldCharType="begin"/>
      </w:r>
      <w:r w:rsidR="00DA615A">
        <w:rPr>
          <w:rFonts w:ascii="Times New Roman" w:eastAsia="Times New Roman" w:hAnsi="Times New Roman" w:cs="Times New Roman"/>
          <w:sz w:val="24"/>
          <w:szCs w:val="24"/>
        </w:rPr>
        <w:instrText xml:space="preserve"> ADDIN ZOTERO_ITEM CSL_CITATION {"citationID":"3mps9x0J","properties":{"formattedCitation":"(15\\uc0\\u8211{}17)","plainCitation":"(15–17)","noteIndex":0},"citationItems":[{"id":26,"uris":["http://zotero.org/users/local/jMRSEXDw/items/9WB9UV7A"],"uri":["http://zotero.org/users/local/jMRSEXDw/items/9WB9UV7A"],"itemData":{"id":26,"type":"article-magazine","container-title":"The Economist","ISSN":"0013-0613","source":"The Economist","title":"Why a study showing that covid-19 is everywhere is good news","URL":"https://www.economist.com/graphic-detail/2020/04/11/why-a-study-showing-that-covid-19-is-everywhere-is-good-news","accessed":{"date-parts":[["2020",8,9]]}}},{"id":43,"uris":["http://zotero.org/users/local/jMRSEXDw/items/L6LNZ5NK"],"uri":["http://zotero.org/users/local/jMRSEXDw/items/L6LNZ5NK"],"itemData":{"id":43,"type":"webpage","title":"Percentage of visits of ILI by age group reported by a subset of ILINet providers","URL":"https://www.cdc.gov/coronavirus/2019-ncov/covid-data/covidview/07242020/percent-ili-visits-age.html","author":[{"literal":"Centers for Disease Control and Prevention"}],"accessed":{"date-parts":[["2020",8,9]]},"issued":{"date-parts":[["2020",4,24]]}}},{"id":44,"uris":["http://zotero.org/users/local/jMRSEXDw/items/R2F87UCU"],"uri":["http://zotero.org/users/local/jMRSEXDw/items/R2F87UCU"],"itemData":{"id":44,"type":"article-journal","abstract":"Importance: In December 2019, novel coronavirus (2019-nCoV)-infected pneumonia (NCIP) occurred in Wuhan, China. The number of cases has increased rapidly but information on the clinical characteristics of affected patients is limited.\nObjective: To describe the epidemiological and clinical characteristics of NCIP.\nDesign, Setting, and Participants: Retrospective, single-center case series of the 138 consecutive hospitalized patients with confirmed NCIP at Zhongnan Hospital of Wuhan University in Wuhan, China, from January 1 to January 28, 2020; final date of follow-up was February 3, 2020.\nExposures: Documented NCIP.\nMain Outcomes and Measures: Epidemiological, demographic, clinical, laboratory, radiological, and treatment data were collected and analyzed. Outcomes of critically ill patients and noncritically ill patients were compared. Presumed hospital-related transmission was suspected if a cluster of health professionals or hospitalized patients in the same wards became infected and a possible source of infection could be tracked.\nResults: Of 138 hospitalized patients with NCIP, the median age was 56 years (interquartile range, 42-68; range, 22-92 years) and 75 (54.3%) were men. Hospital-associated transmission was suspected as the presumed mechanism of infection for affected health professionals (40 [29%]) and hospitalized patients (17 [12.3%]). Common symptoms included fever (136 [98.6%]), fatigue (96 [69.6%]), and dry cough (82 [59.4%]). Lymphopenia (lymphocyte count, 0.8 × 109/L [interquartile range {IQR}, 0.6-1.1]) occurred in 97 patients (70.3%), prolonged prothrombin time (13.0 seconds [IQR, 12.3-13.7]) in 80 patients (58%), and elevated lactate dehydrogenase (261 U/L [IQR, 182-403]) in 55 patients (39.9%). Chest computed tomographic scans showed bilateral patchy shadows or ground glass opacity in the lungs of all patients. Most patients received antiviral therapy (oseltamivir, 124 [89.9%]), and many received antibacterial therapy (moxifloxacin, 89 [64.4%]; ceftriaxone, 34 [24.6%]; azithromycin, 25 [18.1%]) and glucocorticoid therapy (62 [44.9%]). Thirty-six patients (26.1%) were transferred to the intensive care unit (ICU) because of complications, including acute respiratory distress syndrome (22 [61.1%]), arrhythmia (16 [44.4%]), and shock (11 [30.6%]). The median time from first symptom to dyspnea was 5.0 days, to hospital admission was 7.0 days, and to ARDS was 8.0 days. Patients treated in the ICU (n = 36), compared with patients not treated in the ICU (n = 102), were older (median age, 66 years vs 51 years), were more likely to have underlying comorbidities (26 [72.2%] vs 38 [37.3%]), and were more likely to have dyspnea (23 [63.9%] vs 20 [19.6%]), and anorexia (24 [66.7%] vs 31 [30.4%]). Of the 36 cases in the ICU, 4 (11.1%) received high-flow oxygen therapy, 15 (41.7%) received noninvasive ventilation, and 17 (47.2%) received invasive ventilation (4 were switched to extracorporeal membrane oxygenation). As of February 3, 47 patients (34.1%) were discharged and 6 died (overall mortality, 4.3%), but the remaining patients are still hospitalized. Among those discharged alive (n = 47), the median hospital stay was 10 days (IQR, 7.0-14.0).\nConclusions and Relevance: In this single-center case series of 138 hospitalized patients with confirmed NCIP in Wuhan, China, presumed hospital-related transmission of 2019-nCoV was suspected in 41% of patients, 26% of patients received ICU care, and mortality was 4.3%.","container-title":"JAMA","DOI":"10.1001/jama.2020.1585","ISSN":"1538-3598","journalAbbreviation":"JAMA","language":"eng","note":"PMID: 32031570\nPMCID: PMC7042881","source":"PubMed","title":"Clinical characteristics of 138 hospitalized patients with 2019 novel coronavirus-infected pneumonia in Wuhan, China","author":[{"family":"Wang","given":"Dawei"},{"family":"Hu","given":"Bo"},{"family":"Hu","given":"Chang"},{"family":"Zhu","given":"Fangfang"},{"family":"Liu","given":"Xing"},{"family":"Zhang","given":"Jing"},{"family":"Wang","given":"Binbin"},{"family":"Xiang","given":"Hui"},{"family":"Cheng","given":"Zhenshun"},{"family":"Xiong","given":"Yong"},{"family":"Zhao","given":"Yan"},{"family":"Li","given":"Yirong"},{"family":"Wang","given":"Xinghuan"},{"family":"Peng","given":"Zhiyong"}],"issued":{"date-parts":[["2020",2,7]]}}}],"schema":"https://github.com/citation-style-language/schema/raw/master/csl-citation.json"} </w:instrText>
      </w:r>
      <w:r w:rsidR="008B30B6" w:rsidRPr="00700368">
        <w:rPr>
          <w:rFonts w:ascii="Times New Roman" w:eastAsia="Times New Roman" w:hAnsi="Times New Roman" w:cs="Times New Roman"/>
          <w:sz w:val="24"/>
          <w:szCs w:val="24"/>
        </w:rPr>
        <w:fldChar w:fldCharType="separate"/>
      </w:r>
      <w:r w:rsidR="00DA615A" w:rsidRPr="00DA615A">
        <w:rPr>
          <w:rFonts w:ascii="Times New Roman" w:hAnsi="Times New Roman" w:cs="Times New Roman"/>
          <w:sz w:val="24"/>
          <w:szCs w:val="24"/>
        </w:rPr>
        <w:t>(15–17)</w:t>
      </w:r>
      <w:r w:rsidR="008B30B6" w:rsidRPr="00700368">
        <w:rPr>
          <w:rFonts w:ascii="Times New Roman" w:eastAsia="Times New Roman" w:hAnsi="Times New Roman" w:cs="Times New Roman"/>
          <w:sz w:val="24"/>
          <w:szCs w:val="24"/>
        </w:rPr>
        <w:fldChar w:fldCharType="end"/>
      </w:r>
      <w:r w:rsidR="00E3629E">
        <w:rPr>
          <w:rFonts w:ascii="Times New Roman" w:eastAsia="Times New Roman" w:hAnsi="Times New Roman" w:cs="Times New Roman"/>
          <w:sz w:val="24"/>
          <w:szCs w:val="24"/>
        </w:rPr>
        <w:t>.</w:t>
      </w:r>
    </w:p>
    <w:p w14:paraId="479AAA96" w14:textId="5AF1B5FF" w:rsidR="27D0AE18" w:rsidRDefault="27D0AE18" w:rsidP="27D0AE18">
      <w:pPr>
        <w:spacing w:line="480" w:lineRule="auto"/>
        <w:rPr>
          <w:rFonts w:ascii="Times New Roman" w:eastAsia="Times New Roman" w:hAnsi="Times New Roman" w:cs="Times New Roman"/>
          <w:b/>
          <w:bCs/>
          <w:sz w:val="24"/>
          <w:szCs w:val="24"/>
        </w:rPr>
      </w:pPr>
    </w:p>
    <w:p w14:paraId="0F7D6100" w14:textId="77777777" w:rsidR="001F6B38" w:rsidRPr="00202600" w:rsidRDefault="001F6B38" w:rsidP="001F6B38">
      <w:pPr>
        <w:pStyle w:val="paragraph"/>
        <w:spacing w:line="480" w:lineRule="auto"/>
        <w:textAlignment w:val="baseline"/>
        <w:rPr>
          <w:b/>
          <w:bCs/>
        </w:rPr>
      </w:pPr>
      <w:r w:rsidRPr="00202600">
        <w:rPr>
          <w:b/>
          <w:bCs/>
        </w:rPr>
        <w:t>Derivation of COVID-19-like illness inputs</w:t>
      </w:r>
    </w:p>
    <w:p w14:paraId="2A7F4567" w14:textId="0B82613E" w:rsidR="001F6B38" w:rsidRPr="00202600" w:rsidRDefault="003C6806" w:rsidP="00BF23F4">
      <w:pPr>
        <w:pStyle w:val="paragraph"/>
        <w:keepNext/>
        <w:widowControl w:val="0"/>
        <w:spacing w:line="480" w:lineRule="auto"/>
        <w:textAlignment w:val="baseline"/>
      </w:pPr>
      <w:r w:rsidRPr="00202600">
        <w:t>In our model, i</w:t>
      </w:r>
      <w:r w:rsidR="001F6B38" w:rsidRPr="00202600">
        <w:t xml:space="preserve">ndividuals with </w:t>
      </w:r>
      <w:r w:rsidRPr="00202600">
        <w:t xml:space="preserve">similar </w:t>
      </w:r>
      <w:r w:rsidR="001F6B38" w:rsidRPr="00202600">
        <w:t xml:space="preserve">symptoms </w:t>
      </w:r>
      <w:r w:rsidRPr="00202600">
        <w:t xml:space="preserve">to COVID-19 but </w:t>
      </w:r>
      <w:r w:rsidR="001F6B38" w:rsidRPr="00202600">
        <w:t xml:space="preserve">due to </w:t>
      </w:r>
      <w:r w:rsidRPr="00202600">
        <w:t xml:space="preserve">other </w:t>
      </w:r>
      <w:r w:rsidR="001F6B38" w:rsidRPr="00202600">
        <w:t xml:space="preserve">conditions (“COVID-19-like-illness”), may present for symptom screening or </w:t>
      </w:r>
      <w:r w:rsidR="005D7873">
        <w:t>laboratory testing</w:t>
      </w:r>
      <w:r w:rsidR="001F6B38" w:rsidRPr="00202600">
        <w:t xml:space="preserve">. Estimates of the number of people presenting for testing with “COVID-19-like illness” are uncertain at the time this analysis is being conducted; therefore, we made assumptions informed by available literature from influenza-like illness. Data from the National Ambulatory Medical Care Survey </w:t>
      </w:r>
      <w:r w:rsidR="001F6B38" w:rsidRPr="00202600">
        <w:lastRenderedPageBreak/>
        <w:t>(NAMCS) were used to estimate the age-stratified per-person daily rate of presenting to one’s primary care physician</w:t>
      </w:r>
      <w:r w:rsidR="00E3629E">
        <w:t xml:space="preserve"> </w:t>
      </w:r>
      <w:r w:rsidR="00456B18">
        <w:fldChar w:fldCharType="begin"/>
      </w:r>
      <w:r w:rsidR="00DA615A">
        <w:instrText xml:space="preserve"> ADDIN ZOTERO_ITEM CSL_CITATION {"citationID":"6NVvJrub","properties":{"formattedCitation":"(18)","plainCitation":"(18)","noteIndex":0},"citationItems":[{"id":25,"uris":["http://zotero.org/users/local/jMRSEXDw/items/QXCMG6RH"],"uri":["http://zotero.org/users/local/jMRSEXDw/items/QXCMG6RH"],"itemData":{"id":25,"type":"webpage","container-title":"National Center for Health Statistics, Centers for Disease Control and Prevention, 2019.","title":"National ambulatory medical care survey: 2016 national summary tables","URL":"https://www.cdc.gov/nchs/data/ahcd/namcs_summary/2016_namcs_web_tables.pdf","author":[{"family":"Rui","given":"P."},{"family":"Okeyode","given":"T"}],"accessed":{"date-parts":[["2020",8,9]]}}}],"schema":"https://github.com/citation-style-language/schema/raw/master/csl-citation.json"} </w:instrText>
      </w:r>
      <w:r w:rsidR="00456B18">
        <w:fldChar w:fldCharType="separate"/>
      </w:r>
      <w:r w:rsidR="00DA615A" w:rsidRPr="00DA615A">
        <w:t>(18)</w:t>
      </w:r>
      <w:r w:rsidR="00456B18">
        <w:fldChar w:fldCharType="end"/>
      </w:r>
      <w:r w:rsidR="00E3629E">
        <w:t>.</w:t>
      </w:r>
      <w:r w:rsidR="001F6B38" w:rsidRPr="00202600">
        <w:t xml:space="preserve"> Of these visits</w:t>
      </w:r>
      <w:r w:rsidR="00FB7A59" w:rsidRPr="00202600">
        <w:t>,</w:t>
      </w:r>
      <w:r w:rsidR="001F6B38" w:rsidRPr="00202600">
        <w:t xml:space="preserve"> 15% were assumed to be related to COVID-19, based on estimates from New Jersey</w:t>
      </w:r>
      <w:r w:rsidR="00C26801">
        <w:t>,</w:t>
      </w:r>
      <w:r w:rsidR="001F6B38" w:rsidRPr="00202600">
        <w:t xml:space="preserve"> </w:t>
      </w:r>
      <w:r w:rsidR="00177A5A" w:rsidRPr="00202600">
        <w:t>where</w:t>
      </w:r>
      <w:r w:rsidR="001F6B38" w:rsidRPr="00202600">
        <w:t xml:space="preserve"> approximately 15% of people presenting with influenza-like symptoms </w:t>
      </w:r>
      <w:r w:rsidR="00177A5A" w:rsidRPr="00202600">
        <w:t>did not have influenza</w:t>
      </w:r>
      <w:r w:rsidR="001F6B38" w:rsidRPr="00202600">
        <w:t>; among these, 75%</w:t>
      </w:r>
      <w:r w:rsidR="001F6B38" w:rsidRPr="00202600" w:rsidDel="00AB09D5">
        <w:t xml:space="preserve"> </w:t>
      </w:r>
      <w:r w:rsidR="001F6B38" w:rsidRPr="00202600">
        <w:t>were assumed to have symptoms due to conditions other than COVID-19</w:t>
      </w:r>
      <w:r w:rsidR="00E3629E">
        <w:t xml:space="preserve"> </w:t>
      </w:r>
      <w:r w:rsidR="002A3401">
        <w:fldChar w:fldCharType="begin"/>
      </w:r>
      <w:r w:rsidR="00DA615A">
        <w:instrText xml:space="preserve"> ADDIN ZOTERO_ITEM CSL_CITATION {"citationID":"hPJdQCik","properties":{"formattedCitation":"(15)","plainCitation":"(15)","noteIndex":0},"citationItems":[{"id":26,"uris":["http://zotero.org/users/local/jMRSEXDw/items/9WB9UV7A"],"uri":["http://zotero.org/users/local/jMRSEXDw/items/9WB9UV7A"],"itemData":{"id":26,"type":"article-magazine","container-title":"The Economist","ISSN":"0013-0613","source":"The Economist","title":"Why a study showing that covid-19 is everywhere is good news","URL":"https://www.economist.com/graphic-detail/2020/04/11/why-a-study-showing-that-covid-19-is-everywhere-is-good-news","accessed":{"date-parts":[["2020",8,9]]}}}],"schema":"https://github.com/citation-style-language/schema/raw/master/csl-citation.json"} </w:instrText>
      </w:r>
      <w:r w:rsidR="002A3401">
        <w:fldChar w:fldCharType="separate"/>
      </w:r>
      <w:r w:rsidR="00DA615A" w:rsidRPr="00DA615A">
        <w:t>(15)</w:t>
      </w:r>
      <w:r w:rsidR="002A3401">
        <w:fldChar w:fldCharType="end"/>
      </w:r>
      <w:r w:rsidR="00E3629E">
        <w:t>.</w:t>
      </w:r>
    </w:p>
    <w:p w14:paraId="4A3B8EA6" w14:textId="77777777" w:rsidR="001F6B38" w:rsidRPr="00202600" w:rsidRDefault="001F6B38" w:rsidP="00733971">
      <w:pPr>
        <w:spacing w:line="480" w:lineRule="auto"/>
        <w:rPr>
          <w:rFonts w:ascii="Times New Roman" w:eastAsia="Times New Roman" w:hAnsi="Times New Roman" w:cs="Times New Roman"/>
          <w:sz w:val="24"/>
          <w:szCs w:val="24"/>
        </w:rPr>
      </w:pPr>
    </w:p>
    <w:p w14:paraId="69DC5AA2" w14:textId="77777777" w:rsidR="00733971" w:rsidRPr="00202600" w:rsidRDefault="00733971">
      <w:pPr>
        <w:rPr>
          <w:rFonts w:ascii="Times New Roman" w:hAnsi="Times New Roman" w:cs="Times New Roman"/>
          <w:sz w:val="24"/>
          <w:szCs w:val="24"/>
        </w:rPr>
      </w:pPr>
    </w:p>
    <w:p w14:paraId="458DDB02" w14:textId="77777777" w:rsidR="004E0C3B" w:rsidRDefault="00B471EC">
      <w:pPr>
        <w:rPr>
          <w:rFonts w:ascii="Times New Roman" w:hAnsi="Times New Roman" w:cs="Times New Roman"/>
          <w:b/>
          <w:bCs/>
          <w:sz w:val="24"/>
          <w:szCs w:val="24"/>
        </w:rPr>
      </w:pPr>
      <w:r>
        <w:rPr>
          <w:rFonts w:ascii="Times New Roman" w:hAnsi="Times New Roman" w:cs="Times New Roman"/>
          <w:b/>
          <w:bCs/>
          <w:sz w:val="24"/>
          <w:szCs w:val="24"/>
        </w:rPr>
        <w:t xml:space="preserve">Derivation of </w:t>
      </w:r>
      <w:r w:rsidR="00C02DEB">
        <w:rPr>
          <w:rFonts w:ascii="Times New Roman" w:hAnsi="Times New Roman" w:cs="Times New Roman"/>
          <w:b/>
          <w:bCs/>
          <w:sz w:val="24"/>
          <w:szCs w:val="24"/>
        </w:rPr>
        <w:t>quality-adjusted life-years (</w:t>
      </w:r>
      <w:r w:rsidR="00CE185F">
        <w:rPr>
          <w:rFonts w:ascii="Times New Roman" w:hAnsi="Times New Roman" w:cs="Times New Roman"/>
          <w:b/>
          <w:bCs/>
          <w:sz w:val="24"/>
          <w:szCs w:val="24"/>
        </w:rPr>
        <w:t>QALY</w:t>
      </w:r>
      <w:r w:rsidR="00990D5B">
        <w:rPr>
          <w:rFonts w:ascii="Times New Roman" w:hAnsi="Times New Roman" w:cs="Times New Roman"/>
          <w:b/>
          <w:bCs/>
          <w:sz w:val="24"/>
          <w:szCs w:val="24"/>
        </w:rPr>
        <w:t>s</w:t>
      </w:r>
      <w:r w:rsidR="00C02DEB">
        <w:rPr>
          <w:rFonts w:ascii="Times New Roman" w:hAnsi="Times New Roman" w:cs="Times New Roman"/>
          <w:b/>
          <w:bCs/>
          <w:sz w:val="24"/>
          <w:szCs w:val="24"/>
        </w:rPr>
        <w:t>)</w:t>
      </w:r>
      <w:r w:rsidR="00CE185F">
        <w:rPr>
          <w:rFonts w:ascii="Times New Roman" w:hAnsi="Times New Roman" w:cs="Times New Roman"/>
          <w:b/>
          <w:bCs/>
          <w:sz w:val="24"/>
          <w:szCs w:val="24"/>
        </w:rPr>
        <w:t xml:space="preserve"> lost per </w:t>
      </w:r>
      <w:r w:rsidR="00990D5B">
        <w:rPr>
          <w:rFonts w:ascii="Times New Roman" w:hAnsi="Times New Roman" w:cs="Times New Roman"/>
          <w:b/>
          <w:bCs/>
          <w:sz w:val="24"/>
          <w:szCs w:val="24"/>
        </w:rPr>
        <w:t>group</w:t>
      </w:r>
    </w:p>
    <w:p w14:paraId="6E17B39D" w14:textId="1066CAD7" w:rsidR="003C5523" w:rsidRPr="00E36F77" w:rsidRDefault="00090B23" w:rsidP="00E36F77">
      <w:pPr>
        <w:spacing w:line="480" w:lineRule="auto"/>
        <w:rPr>
          <w:rFonts w:ascii="Times New Roman" w:hAnsi="Times New Roman" w:cs="Times New Roman"/>
          <w:sz w:val="24"/>
          <w:szCs w:val="24"/>
        </w:rPr>
      </w:pPr>
      <w:r>
        <w:rPr>
          <w:rFonts w:ascii="Times New Roman" w:hAnsi="Times New Roman" w:cs="Times New Roman"/>
          <w:sz w:val="24"/>
          <w:szCs w:val="24"/>
        </w:rPr>
        <w:t xml:space="preserve">Students and faculty </w:t>
      </w:r>
      <w:r w:rsidR="004B6012">
        <w:rPr>
          <w:rFonts w:ascii="Times New Roman" w:hAnsi="Times New Roman" w:cs="Times New Roman"/>
          <w:sz w:val="24"/>
          <w:szCs w:val="24"/>
        </w:rPr>
        <w:t xml:space="preserve">were each assigned given </w:t>
      </w:r>
      <w:r w:rsidR="00FC1512">
        <w:rPr>
          <w:rFonts w:ascii="Times New Roman" w:hAnsi="Times New Roman" w:cs="Times New Roman"/>
          <w:sz w:val="24"/>
          <w:szCs w:val="24"/>
        </w:rPr>
        <w:t>utility based on</w:t>
      </w:r>
      <w:r w:rsidR="00DD1D17">
        <w:rPr>
          <w:rFonts w:ascii="Times New Roman" w:hAnsi="Times New Roman" w:cs="Times New Roman"/>
          <w:sz w:val="24"/>
          <w:szCs w:val="24"/>
        </w:rPr>
        <w:t xml:space="preserve"> available data. Given that there </w:t>
      </w:r>
      <w:r w:rsidR="00F245F3">
        <w:rPr>
          <w:rFonts w:ascii="Times New Roman" w:hAnsi="Times New Roman" w:cs="Times New Roman"/>
          <w:sz w:val="24"/>
          <w:szCs w:val="24"/>
        </w:rPr>
        <w:t xml:space="preserve">are </w:t>
      </w:r>
      <w:r w:rsidR="00DD1D17">
        <w:rPr>
          <w:rFonts w:ascii="Times New Roman" w:hAnsi="Times New Roman" w:cs="Times New Roman"/>
          <w:sz w:val="24"/>
          <w:szCs w:val="24"/>
        </w:rPr>
        <w:t>currently no available utility data for COVID-19; we calculated each group</w:t>
      </w:r>
      <w:r w:rsidR="00F245F3">
        <w:rPr>
          <w:rFonts w:ascii="Times New Roman" w:hAnsi="Times New Roman" w:cs="Times New Roman"/>
          <w:sz w:val="24"/>
          <w:szCs w:val="24"/>
        </w:rPr>
        <w:t>’</w:t>
      </w:r>
      <w:r w:rsidR="00DD1D17">
        <w:rPr>
          <w:rFonts w:ascii="Times New Roman" w:hAnsi="Times New Roman" w:cs="Times New Roman"/>
          <w:sz w:val="24"/>
          <w:szCs w:val="24"/>
        </w:rPr>
        <w:t>s utility based on</w:t>
      </w:r>
      <w:r w:rsidR="00FC1512">
        <w:rPr>
          <w:rFonts w:ascii="Times New Roman" w:hAnsi="Times New Roman" w:cs="Times New Roman"/>
          <w:sz w:val="24"/>
          <w:szCs w:val="24"/>
        </w:rPr>
        <w:t xml:space="preserve"> </w:t>
      </w:r>
      <w:r w:rsidR="00DD1D17">
        <w:rPr>
          <w:rFonts w:ascii="Times New Roman" w:hAnsi="Times New Roman" w:cs="Times New Roman"/>
          <w:sz w:val="24"/>
          <w:szCs w:val="24"/>
        </w:rPr>
        <w:t>their relative age range, and if they were healthy</w:t>
      </w:r>
      <w:r w:rsidR="00E3629E">
        <w:rPr>
          <w:rFonts w:ascii="Times New Roman" w:hAnsi="Times New Roman" w:cs="Times New Roman"/>
          <w:sz w:val="24"/>
          <w:szCs w:val="24"/>
        </w:rPr>
        <w:t xml:space="preserve"> </w:t>
      </w:r>
      <w:r w:rsidR="00905949">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H0vMKntH","properties":{"formattedCitation":"(19)","plainCitation":"(19)","noteIndex":0},"citationItems":[{"id":29,"uris":["http://zotero.org/users/local/jMRSEXDw/items/EWXN7I53"],"uri":["http://zotero.org/users/local/jMRSEXDw/items/EWXN7I53"],"itemData":{"id":29,"type":"article-journal","abstract":"BACKGROUND: Preference-based assessments of population health, which may be used for cost-utility analyses, are lacking for most states and communities. With adequate population data, preference-based values can be estimated from non-preference-based health-related quality of life (HRQOL) data. This study estimates scores on the EuroQol EQ-5D, a preference-based measure, from the Healthy Days\nMEASURES: METHODS: No data set from the US population asks both the Healthy Days and EQ-5D questions for the same respondents. Therefore, estimates for EQ-5D scores were obtained indirectly by matching cumulative distributions of the 2 measures. These distributions were estimated from the 2000- 2002 Behavioral Risk Factor Surveillance System (BRFSS) and the Medical Expenditure Panel Survey (MEPS). The validity of estimates was examined by comparing the mean estimated and observed scores across particular population subgroups. A simulation study was conducted to compare the performance of the proposed method to the regression method.\nRESULTS: The overall mean observed EQ-5D index was 0.871 and the mean estimated EQ-5D index was 0.872. In the majority of examined subgroups, the mean scores demonstrated a good match according to sociodemographic variables and health-related conditions and, with the exception of the most impaired health states, the differences tended to be less than 0.04.\nCONCLUSIONS: This study provided preliminary estimates of EQ-5D scores from the Healthy Days Measures and demonstrated acceptable validity of the estimates. Because the Healthy Days Measures have been included in many state and local surveys, preliminary cost-utility analyses and determination of burden of disease might be able to be conducted at the national, state, and community levels as well as over time.","container-title":"Medical Decision Making: An International Journal of the Society for Medical Decision Making","DOI":"10.1177/0272989X07312708","ISSN":"0272-989X","issue":"4","journalAbbreviation":"Med Decis Making","language":"eng","note":"PMID: 18556640","page":"491-499","source":"PubMed","title":"Estimating EuroQol EQ-5D scores from population Healthy Days data","volume":"28","author":[{"family":"Jia","given":"Haomiao"},{"family":"Lubetkin","given":"Erica I."}],"issued":{"date-parts":[["2008",8]]}}}],"schema":"https://github.com/citation-style-language/schema/raw/master/csl-citation.json"} </w:instrText>
      </w:r>
      <w:r w:rsidR="00905949">
        <w:rPr>
          <w:rFonts w:ascii="Times New Roman" w:hAnsi="Times New Roman" w:cs="Times New Roman"/>
          <w:sz w:val="24"/>
          <w:szCs w:val="24"/>
        </w:rPr>
        <w:fldChar w:fldCharType="separate"/>
      </w:r>
      <w:r w:rsidR="00DA615A" w:rsidRPr="00DA615A">
        <w:rPr>
          <w:rFonts w:ascii="Times New Roman" w:hAnsi="Times New Roman" w:cs="Times New Roman"/>
          <w:sz w:val="24"/>
        </w:rPr>
        <w:t>(19)</w:t>
      </w:r>
      <w:r w:rsidR="00905949">
        <w:rPr>
          <w:rFonts w:ascii="Times New Roman" w:hAnsi="Times New Roman" w:cs="Times New Roman"/>
          <w:sz w:val="24"/>
          <w:szCs w:val="24"/>
        </w:rPr>
        <w:fldChar w:fldCharType="end"/>
      </w:r>
      <w:r w:rsidR="00E3629E">
        <w:rPr>
          <w:rFonts w:ascii="Times New Roman" w:hAnsi="Times New Roman" w:cs="Times New Roman"/>
          <w:sz w:val="24"/>
          <w:szCs w:val="24"/>
        </w:rPr>
        <w:t>,</w:t>
      </w:r>
      <w:r w:rsidR="00DD1D17">
        <w:rPr>
          <w:rFonts w:ascii="Times New Roman" w:hAnsi="Times New Roman" w:cs="Times New Roman"/>
          <w:sz w:val="24"/>
          <w:szCs w:val="24"/>
        </w:rPr>
        <w:t xml:space="preserve"> had influenza</w:t>
      </w:r>
      <w:r w:rsidR="00E3629E">
        <w:rPr>
          <w:rFonts w:ascii="Times New Roman" w:hAnsi="Times New Roman" w:cs="Times New Roman"/>
          <w:sz w:val="24"/>
          <w:szCs w:val="24"/>
        </w:rPr>
        <w:t xml:space="preserve"> </w:t>
      </w:r>
      <w:r w:rsidR="00FF4524">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X8SZAFPq","properties":{"formattedCitation":"(20)","plainCitation":"(20)","noteIndex":0},"citationItems":[{"id":32,"uris":["http://zotero.org/users/local/jMRSEXDw/items/IAFAN7AJ"],"uri":["http://zotero.org/users/local/jMRSEXDw/items/IAFAN7AJ"],"itemData":{"id":32,"type":"article-journal","abstract":"BACKGROUND: Influenza causes considerable morbidity and mortality in China, but its impact on the health-related quality of life (HRQoL) has not been previously measured.\nMETHODS: We conducted a retrospective telephone survey to assess the impact of influenza on the HRQoL among outpatients and inpatients using the EuroQoL EQ-5D-3 L instrument. Participants were individuals with laboratory-confirmed influenza infection registered by the National Influenza-like-illness Surveillance Network in 2013.\nRESULTS: We interviewed 839 of 11,098 eligible influenza patients. After excluding those who were unable to complete the HRQoL for the registered influenza episode, 778 patients were included in the analysis. Both outpatients (n = 529) and inpatients (n = 249) most commonly reported problems with pain/discomfort (71.8% of outpatients and 71.9% of inpatients) and anxiety/depression (62.0% of outpatients and 75.1% of inpatients). For individual influenza outpatients, the mean health utility was 0.6142 (SD 0.2006), and the average quality adjusted life days (QALD) loss was 1.62 (SD 1.84) days. The HRQoL of influenza inpatients was worse (mean health utility 0.5851, SD 0.2197; mean QALD loss 3.51 days, SD 4.25) than that of outpatients (p &lt; 0.05). The presence of underlying medical conditions lowered the HRQoL for both outpatients and inpatients (p &lt; 0.05).\nCONCLUSIONS: Influenza illness had a substantial impact on HRQoL. QALD loss due to an acute influenza episode in younger children was comparable to that due to enterovirus A71-associated hand, foot and mouth disease. Our findings are key inputs into disease burden estimates and cost-effectiveness evaluations of influenza-related interventions in China.","container-title":"BMC infectious diseases","DOI":"10.1186/s12879-017-2801-2","ISSN":"1471-2334","issue":"1","journalAbbreviation":"BMC Infect Dis","language":"eng","note":"PMID: 29037172\nPMCID: PMC5644056","page":"686","source":"PubMed","title":"The impact of influenza on the health related quality of life in China: an EQ-5D survey","title-short":"The impact of influenza on the health related quality of life in China","volume":"17","author":[{"family":"Yang","given":"Juan"},{"family":"Jit","given":"Mark"},{"family":"Zheng","given":"Yaming"},{"family":"Feng","given":"Luzhao"},{"family":"Liu","given":"Xinxin"},{"family":"Wu","given":"Joseph T."},{"family":"Yu","given":"Hongjie"}],"issued":{"date-parts":[["2017"]],"season":"16"}}}],"schema":"https://github.com/citation-style-language/schema/raw/master/csl-citation.json"} </w:instrText>
      </w:r>
      <w:r w:rsidR="00FF4524">
        <w:rPr>
          <w:rFonts w:ascii="Times New Roman" w:hAnsi="Times New Roman" w:cs="Times New Roman"/>
          <w:sz w:val="24"/>
          <w:szCs w:val="24"/>
        </w:rPr>
        <w:fldChar w:fldCharType="separate"/>
      </w:r>
      <w:r w:rsidR="00DA615A" w:rsidRPr="00DA615A">
        <w:rPr>
          <w:rFonts w:ascii="Times New Roman" w:hAnsi="Times New Roman" w:cs="Times New Roman"/>
          <w:sz w:val="24"/>
        </w:rPr>
        <w:t>(20)</w:t>
      </w:r>
      <w:r w:rsidR="00FF4524">
        <w:rPr>
          <w:rFonts w:ascii="Times New Roman" w:hAnsi="Times New Roman" w:cs="Times New Roman"/>
          <w:sz w:val="24"/>
          <w:szCs w:val="24"/>
        </w:rPr>
        <w:fldChar w:fldCharType="end"/>
      </w:r>
      <w:r w:rsidR="00FE7214">
        <w:rPr>
          <w:rFonts w:ascii="Times New Roman" w:hAnsi="Times New Roman" w:cs="Times New Roman"/>
          <w:sz w:val="24"/>
          <w:szCs w:val="24"/>
        </w:rPr>
        <w:t xml:space="preserve"> (as proxy for utility if symptomatic with COVID-19)</w:t>
      </w:r>
      <w:r w:rsidR="00DD1D17">
        <w:rPr>
          <w:rFonts w:ascii="Times New Roman" w:hAnsi="Times New Roman" w:cs="Times New Roman"/>
          <w:sz w:val="24"/>
          <w:szCs w:val="24"/>
        </w:rPr>
        <w:t>, or had pneumonia</w:t>
      </w:r>
      <w:r w:rsidR="00356F79">
        <w:rPr>
          <w:rFonts w:ascii="Times New Roman" w:hAnsi="Times New Roman" w:cs="Times New Roman"/>
          <w:sz w:val="24"/>
          <w:szCs w:val="24"/>
        </w:rPr>
        <w:t xml:space="preserve"> </w:t>
      </w:r>
      <w:r w:rsidR="00BE7E3A">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OZj5xNJD","properties":{"formattedCitation":"(21)","plainCitation":"(21)","noteIndex":0},"citationItems":[{"id":35,"uris":["http://zotero.org/users/local/jMRSEXDw/items/X32WCQJD"],"uri":["http://zotero.org/users/local/jMRSEXDw/items/X32WCQJD"],"itemData":{"id":35,"type":"article-journal","abstract":"BACKGROUND: Community Acquired Pneumococcal Pneumonia is a lung infection that causes serious health problems and can lead to complications and death. The aim of this study was to observe and analyze health related quality of life after a hospital episode for patients with community acquired pneumococcal pneumonia in France.\nMETHODS: A total of 524 individuals were enrolled prospectively in the study and were followed for 12 months after hospital discharge. Presence of streptococcus pneumoniae was confirmed by microbiological sampling. Quality of life was reported at four different points of time with the EQ-5D-3 L health states using the French reference tariff. Complete data on all four periods was available for 269 patients. We used descriptive and econometric analysis to assess quality of life over time during follow-up, and to identify factors that impact the utility indexes and their evolution through time. We used Tobit panel data estimators to deal with the bounded nature of utility values.\nRESULTS: Average age of patients was 63 and 55% of patients were men. Negative predictors of quality of life were the severity of the initial event, history of pneumonia, smokers, age and being male. On average, quality of life improved in the first 6 months after discharge and stabilized beyond. At month 1, mean utility index was 0.53 (SD: 0.34) for men and 0.45 (SD: 0.34) for women, versus mean of 0.69 (SD: 0.33) and 0.70 (SD: 0.35) at Month 12. \"Usual activities\" was the dimension the most impacted by the disease episode. Utilities for men were significantly higher than for women, although male patients were more severe. Individuals over 85 years old did not improve quality of life during follow-up, and quality of life did not improve or deteriorated for 34% of patients. We found that length of hospital stay was negatively correlated with quality of life immediately after discharge.\nCONCLUSION: This study provides with evidence that quality of life after an episode of community acquired pneumococcal pneumonia improves overall until the sixth month after hospital discharge, but older patients with previous history of pneumonia may not experience health gains after the initial episode.","container-title":"Health and Quality of Life Outcomes","DOI":"10.1186/s12955-018-0854-6","ISSN":"1477-7525","issue":"1","journalAbbreviation":"Health Qual Life Outcomes","language":"eng","note":"PMID: 29394941\nPMCID: PMC5797362","page":"28","source":"PubMed","title":"Health related quality of life in patients with community-acquired pneumococcal pneumonia in France","volume":"16","author":[{"family":"Andrade","given":"Luiz Flavio"},{"family":"Saba","given":"Grèce"},{"family":"Ricard","given":"Jean-Damien"},{"family":"Messika","given":"Jonathan"},{"family":"Gaillat","given":"Jacques"},{"family":"Bonnin","given":"Pierre"},{"family":"Chidiac","given":"Christian"},{"family":"Illes","given":"Hajnal-Gabriela"},{"family":"Laurichesse","given":"Henri"},{"family":"Detournay","given":"Bruno"},{"family":"Petitpretz","given":"Patrick"},{"family":"Pouvourville","given":"Gérard","non-dropping-particle":"de"}],"issued":{"date-parts":[["2018",2,2]]}}}],"schema":"https://github.com/citation-style-language/schema/raw/master/csl-citation.json"} </w:instrText>
      </w:r>
      <w:r w:rsidR="00BE7E3A">
        <w:rPr>
          <w:rFonts w:ascii="Times New Roman" w:hAnsi="Times New Roman" w:cs="Times New Roman"/>
          <w:sz w:val="24"/>
          <w:szCs w:val="24"/>
        </w:rPr>
        <w:fldChar w:fldCharType="separate"/>
      </w:r>
      <w:r w:rsidR="00DA615A" w:rsidRPr="00DA615A">
        <w:rPr>
          <w:rFonts w:ascii="Times New Roman" w:hAnsi="Times New Roman" w:cs="Times New Roman"/>
          <w:sz w:val="24"/>
        </w:rPr>
        <w:t>(21)</w:t>
      </w:r>
      <w:r w:rsidR="00BE7E3A">
        <w:rPr>
          <w:rFonts w:ascii="Times New Roman" w:hAnsi="Times New Roman" w:cs="Times New Roman"/>
          <w:sz w:val="24"/>
          <w:szCs w:val="24"/>
        </w:rPr>
        <w:fldChar w:fldCharType="end"/>
      </w:r>
      <w:r w:rsidR="00FE7214">
        <w:rPr>
          <w:rFonts w:ascii="Times New Roman" w:hAnsi="Times New Roman" w:cs="Times New Roman"/>
          <w:sz w:val="24"/>
          <w:szCs w:val="24"/>
        </w:rPr>
        <w:t xml:space="preserve"> (as </w:t>
      </w:r>
      <w:r w:rsidR="00F245F3">
        <w:rPr>
          <w:rFonts w:ascii="Times New Roman" w:hAnsi="Times New Roman" w:cs="Times New Roman"/>
          <w:sz w:val="24"/>
          <w:szCs w:val="24"/>
        </w:rPr>
        <w:t xml:space="preserve">a </w:t>
      </w:r>
      <w:r w:rsidR="00FE7214">
        <w:rPr>
          <w:rFonts w:ascii="Times New Roman" w:hAnsi="Times New Roman" w:cs="Times New Roman"/>
          <w:sz w:val="24"/>
          <w:szCs w:val="24"/>
        </w:rPr>
        <w:t xml:space="preserve">proxy for </w:t>
      </w:r>
      <w:r w:rsidR="00C236D5">
        <w:rPr>
          <w:rFonts w:ascii="Times New Roman" w:hAnsi="Times New Roman" w:cs="Times New Roman"/>
          <w:sz w:val="24"/>
          <w:szCs w:val="24"/>
        </w:rPr>
        <w:t>those in the hospital</w:t>
      </w:r>
      <w:r w:rsidR="006D5644">
        <w:rPr>
          <w:rFonts w:ascii="Times New Roman" w:hAnsi="Times New Roman" w:cs="Times New Roman"/>
          <w:sz w:val="24"/>
          <w:szCs w:val="24"/>
        </w:rPr>
        <w:t xml:space="preserve"> with COVID-19)</w:t>
      </w:r>
      <w:r w:rsidR="00DD1D17">
        <w:rPr>
          <w:rFonts w:ascii="Times New Roman" w:hAnsi="Times New Roman" w:cs="Times New Roman"/>
          <w:sz w:val="24"/>
          <w:szCs w:val="24"/>
        </w:rPr>
        <w:t xml:space="preserve">. We then </w:t>
      </w:r>
      <w:r w:rsidR="00366D22">
        <w:rPr>
          <w:rFonts w:ascii="Times New Roman" w:hAnsi="Times New Roman" w:cs="Times New Roman"/>
          <w:sz w:val="24"/>
          <w:szCs w:val="24"/>
        </w:rPr>
        <w:t xml:space="preserve">calculated </w:t>
      </w:r>
      <w:r w:rsidR="00F245F3">
        <w:rPr>
          <w:rFonts w:ascii="Times New Roman" w:hAnsi="Times New Roman" w:cs="Times New Roman"/>
          <w:sz w:val="24"/>
          <w:szCs w:val="24"/>
        </w:rPr>
        <w:t>different</w:t>
      </w:r>
      <w:r w:rsidR="00366D22">
        <w:rPr>
          <w:rFonts w:ascii="Times New Roman" w:hAnsi="Times New Roman" w:cs="Times New Roman"/>
          <w:sz w:val="24"/>
          <w:szCs w:val="24"/>
        </w:rPr>
        <w:t xml:space="preserve"> COVID-19 utility decrements if they were symptomatic, in isolation, or in the hospital with severe or critical illness, by transmission group</w:t>
      </w:r>
      <w:r w:rsidR="00356F79">
        <w:rPr>
          <w:rFonts w:ascii="Times New Roman" w:hAnsi="Times New Roman" w:cs="Times New Roman"/>
          <w:sz w:val="24"/>
          <w:szCs w:val="24"/>
        </w:rPr>
        <w:t xml:space="preserve"> </w:t>
      </w:r>
      <w:r w:rsidR="00E373D1">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lsjtrvcL","properties":{"formattedCitation":"(22)","plainCitation":"(22)","noteIndex":0},"citationItems":[{"id":38,"uris":["http://zotero.org/users/local/jMRSEXDw/items/F9KRLITQ"],"uri":["http://zotero.org/users/local/jMRSEXDw/items/F9KRLITQ"],"itemData":{"id":38,"type":"article-journal","abstract":"OBJECTIVES: Depression is associated with considerable impairments in health-related quality-of-life. However, the relationship between different health states related to depression severity and utility scores is unclear. The aim of this study was to evaluate whether utility scores are different for various health states related to depression severity.\nMETHODS: We gathered individual participant data from ten randomized controlled trials evaluating depression treatments. The UK EQ-5D and SF-6D tariffs were used to generate utility scores. We defined five health states that were proposed from American Psychiatric Association and National Institute for Clinical Excellence guidelines: remission, minor depression, mild depression, moderate depression, and severe depression. We performed multilevel linear regression analysis.\nRESULTS: We included 1629 participants in the analyses. The average EQ-5D utility scores for the five health states were 0.70 (95% CI 0.67-0.73) for remission, 0.62 (95% CI 0.58-0.65) for minor depression, 0.57 (95% CI 0.54-0.61) for mild depression, 0.52 (95%CI 0.49-0.56) for moderate depression, and 0.39 (95% CI 0.35-0.43) for severe depression. In comparison with the EQ-5D, the utility scores based on the SF-6D were similar for remission (EQ-5D = 0.70 vs. SF-6D = 0.69), but higher for severe depression (EQ-5D = 0.39 vs. SF-6D = 0.55).\nCONCLUSIONS: We observed statistically significant differences in utility scores between depression health states. Individuals with less severe depressive symptoms had on average statistically significant higher utility scores than individuals suffering from more severe depressive symptomatology. In the present study, EQ-5D had a larger range of values as compared to SF-6D.","container-title":"Quality of Life Research: An International Journal of Quality of Life Aspects of Treatment, Care and Rehabilitation","DOI":"10.1007/s11136-017-1536-2","ISSN":"1573-2649","issue":"7","journalAbbreviation":"Qual Life Res","language":"eng","note":"PMID: 28260149\nPMCID: PMC5486895","page":"1649-1658","source":"PubMed","title":"Utility scores for different health states related to depression: individual participant data analysis","title-short":"Utility scores for different health states related to depression","volume":"26","author":[{"family":"Kolovos","given":"Spyros"},{"family":"Bosmans","given":"Judith E."},{"family":"Dongen","given":"Johanna M.","non-dropping-particle":"van"},{"family":"Esveld","given":"Birre","non-dropping-particle":"van"},{"family":"Magai","given":"Dorcas"},{"family":"Straten","given":"Annemieke","non-dropping-particle":"van"},{"family":"Feltz-Cornelis","given":"Christina","non-dropping-particle":"van der"},{"family":"Steenbergen-Weijenburg","given":"Kirsten M.","non-dropping-particle":"van"},{"family":"Huijbregts","given":"Klaas M."},{"family":"Marwijk","given":"Harm","non-dropping-particle":"van"},{"family":"Riper","given":"Heleen"},{"family":"Tulder","given":"Maurits W.","non-dropping-particle":"van"}],"issued":{"date-parts":[["2017"]]}}}],"schema":"https://github.com/citation-style-language/schema/raw/master/csl-citation.json"} </w:instrText>
      </w:r>
      <w:r w:rsidR="00E373D1">
        <w:rPr>
          <w:rFonts w:ascii="Times New Roman" w:hAnsi="Times New Roman" w:cs="Times New Roman"/>
          <w:sz w:val="24"/>
          <w:szCs w:val="24"/>
        </w:rPr>
        <w:fldChar w:fldCharType="separate"/>
      </w:r>
      <w:r w:rsidR="00DA615A" w:rsidRPr="00DA615A">
        <w:rPr>
          <w:rFonts w:ascii="Times New Roman" w:hAnsi="Times New Roman" w:cs="Times New Roman"/>
          <w:sz w:val="24"/>
        </w:rPr>
        <w:t>(22)</w:t>
      </w:r>
      <w:r w:rsidR="00E373D1">
        <w:rPr>
          <w:rFonts w:ascii="Times New Roman" w:hAnsi="Times New Roman" w:cs="Times New Roman"/>
          <w:sz w:val="24"/>
          <w:szCs w:val="24"/>
        </w:rPr>
        <w:fldChar w:fldCharType="end"/>
      </w:r>
      <w:r w:rsidR="00356F79">
        <w:rPr>
          <w:rFonts w:ascii="Times New Roman" w:hAnsi="Times New Roman" w:cs="Times New Roman"/>
          <w:sz w:val="24"/>
          <w:szCs w:val="24"/>
        </w:rPr>
        <w:t>.</w:t>
      </w:r>
      <w:r w:rsidR="00366D22">
        <w:rPr>
          <w:rFonts w:ascii="Times New Roman" w:hAnsi="Times New Roman" w:cs="Times New Roman"/>
          <w:sz w:val="24"/>
          <w:szCs w:val="24"/>
        </w:rPr>
        <w:t xml:space="preserve"> </w:t>
      </w:r>
      <w:r w:rsidR="00B364D4">
        <w:rPr>
          <w:rFonts w:ascii="Times New Roman" w:hAnsi="Times New Roman" w:cs="Times New Roman"/>
          <w:sz w:val="24"/>
          <w:szCs w:val="24"/>
        </w:rPr>
        <w:t xml:space="preserve">To calculate total number of days </w:t>
      </w:r>
      <w:r w:rsidR="00435AFC">
        <w:rPr>
          <w:rFonts w:ascii="Times New Roman" w:hAnsi="Times New Roman" w:cs="Times New Roman"/>
          <w:sz w:val="24"/>
          <w:szCs w:val="24"/>
        </w:rPr>
        <w:t>while symptomatic</w:t>
      </w:r>
      <w:r w:rsidR="00B364D4">
        <w:rPr>
          <w:rFonts w:ascii="Times New Roman" w:hAnsi="Times New Roman" w:cs="Times New Roman"/>
          <w:sz w:val="24"/>
          <w:szCs w:val="24"/>
        </w:rPr>
        <w:t xml:space="preserve"> for students and faculty, we assumed 50% of students were symptomatic for 5 days, and 70% of faculty were symptomatic for 10 days. </w:t>
      </w:r>
      <w:r w:rsidR="00B90FF2">
        <w:rPr>
          <w:rFonts w:ascii="Times New Roman" w:hAnsi="Times New Roman" w:cs="Times New Roman"/>
          <w:sz w:val="24"/>
          <w:szCs w:val="24"/>
        </w:rPr>
        <w:t xml:space="preserve">We then </w:t>
      </w:r>
      <w:r w:rsidR="002B1A16">
        <w:rPr>
          <w:rFonts w:ascii="Times New Roman" w:hAnsi="Times New Roman" w:cs="Times New Roman"/>
          <w:sz w:val="24"/>
          <w:szCs w:val="24"/>
        </w:rPr>
        <w:t xml:space="preserve">multiplied the number of symptom-days by the </w:t>
      </w:r>
      <w:r w:rsidR="003A43D1">
        <w:rPr>
          <w:rFonts w:ascii="Times New Roman" w:hAnsi="Times New Roman" w:cs="Times New Roman"/>
          <w:sz w:val="24"/>
          <w:szCs w:val="24"/>
        </w:rPr>
        <w:t>symptom</w:t>
      </w:r>
      <w:r w:rsidR="00F245F3">
        <w:rPr>
          <w:rFonts w:ascii="Times New Roman" w:hAnsi="Times New Roman" w:cs="Times New Roman"/>
          <w:sz w:val="24"/>
          <w:szCs w:val="24"/>
        </w:rPr>
        <w:t xml:space="preserve"> state</w:t>
      </w:r>
      <w:r w:rsidR="003A43D1">
        <w:rPr>
          <w:rFonts w:ascii="Times New Roman" w:hAnsi="Times New Roman" w:cs="Times New Roman"/>
          <w:sz w:val="24"/>
          <w:szCs w:val="24"/>
        </w:rPr>
        <w:t xml:space="preserve"> </w:t>
      </w:r>
      <w:r w:rsidR="002B1A16">
        <w:rPr>
          <w:rFonts w:ascii="Times New Roman" w:hAnsi="Times New Roman" w:cs="Times New Roman"/>
          <w:sz w:val="24"/>
          <w:szCs w:val="24"/>
        </w:rPr>
        <w:t xml:space="preserve">utility </w:t>
      </w:r>
      <w:r w:rsidR="003A43D1">
        <w:rPr>
          <w:rFonts w:ascii="Times New Roman" w:hAnsi="Times New Roman" w:cs="Times New Roman"/>
          <w:sz w:val="24"/>
          <w:szCs w:val="24"/>
        </w:rPr>
        <w:t>decrement assigned to each group</w:t>
      </w:r>
      <w:r w:rsidR="00C96310">
        <w:rPr>
          <w:rFonts w:ascii="Times New Roman" w:hAnsi="Times New Roman" w:cs="Times New Roman"/>
          <w:sz w:val="24"/>
          <w:szCs w:val="24"/>
        </w:rPr>
        <w:t>.</w:t>
      </w:r>
      <w:r w:rsidR="003A43D1">
        <w:rPr>
          <w:rFonts w:ascii="Times New Roman" w:hAnsi="Times New Roman" w:cs="Times New Roman"/>
          <w:sz w:val="24"/>
          <w:szCs w:val="24"/>
        </w:rPr>
        <w:t xml:space="preserve"> </w:t>
      </w:r>
      <w:r w:rsidR="00832C7A">
        <w:rPr>
          <w:rFonts w:ascii="Times New Roman" w:hAnsi="Times New Roman" w:cs="Times New Roman"/>
          <w:sz w:val="24"/>
          <w:szCs w:val="24"/>
        </w:rPr>
        <w:t xml:space="preserve">To calculate </w:t>
      </w:r>
      <w:r w:rsidR="00F245F3">
        <w:rPr>
          <w:rFonts w:ascii="Times New Roman" w:hAnsi="Times New Roman" w:cs="Times New Roman"/>
          <w:sz w:val="24"/>
          <w:szCs w:val="24"/>
        </w:rPr>
        <w:t xml:space="preserve">the </w:t>
      </w:r>
      <w:r w:rsidR="00832C7A">
        <w:rPr>
          <w:rFonts w:ascii="Times New Roman" w:hAnsi="Times New Roman" w:cs="Times New Roman"/>
          <w:sz w:val="24"/>
          <w:szCs w:val="24"/>
        </w:rPr>
        <w:t>utility decrement for those on inpatient floors in the hospital</w:t>
      </w:r>
      <w:r w:rsidR="00642106">
        <w:rPr>
          <w:rFonts w:ascii="Times New Roman" w:hAnsi="Times New Roman" w:cs="Times New Roman"/>
          <w:sz w:val="24"/>
          <w:szCs w:val="24"/>
        </w:rPr>
        <w:t xml:space="preserve"> (severe state)</w:t>
      </w:r>
      <w:r w:rsidR="00832C7A">
        <w:rPr>
          <w:rFonts w:ascii="Times New Roman" w:hAnsi="Times New Roman" w:cs="Times New Roman"/>
          <w:sz w:val="24"/>
          <w:szCs w:val="24"/>
        </w:rPr>
        <w:t xml:space="preserve">, we subtracted </w:t>
      </w:r>
      <w:r w:rsidR="00F245F3">
        <w:rPr>
          <w:rFonts w:ascii="Times New Roman" w:hAnsi="Times New Roman" w:cs="Times New Roman"/>
          <w:sz w:val="24"/>
          <w:szCs w:val="24"/>
        </w:rPr>
        <w:t xml:space="preserve">the </w:t>
      </w:r>
      <w:r w:rsidR="00832C7A">
        <w:rPr>
          <w:rFonts w:ascii="Times New Roman" w:hAnsi="Times New Roman" w:cs="Times New Roman"/>
          <w:sz w:val="24"/>
          <w:szCs w:val="24"/>
        </w:rPr>
        <w:t xml:space="preserve">utility with pneumonia from </w:t>
      </w:r>
      <w:r w:rsidR="00F245F3">
        <w:rPr>
          <w:rFonts w:ascii="Times New Roman" w:hAnsi="Times New Roman" w:cs="Times New Roman"/>
          <w:sz w:val="24"/>
          <w:szCs w:val="24"/>
        </w:rPr>
        <w:t xml:space="preserve">the </w:t>
      </w:r>
      <w:r w:rsidR="00832C7A">
        <w:rPr>
          <w:rFonts w:ascii="Times New Roman" w:hAnsi="Times New Roman" w:cs="Times New Roman"/>
          <w:sz w:val="24"/>
          <w:szCs w:val="24"/>
        </w:rPr>
        <w:t>utili</w:t>
      </w:r>
      <w:r w:rsidR="00582D6F">
        <w:rPr>
          <w:rFonts w:ascii="Times New Roman" w:hAnsi="Times New Roman" w:cs="Times New Roman"/>
          <w:sz w:val="24"/>
          <w:szCs w:val="24"/>
        </w:rPr>
        <w:t>ty</w:t>
      </w:r>
      <w:r w:rsidR="00832C7A">
        <w:rPr>
          <w:rFonts w:ascii="Times New Roman" w:hAnsi="Times New Roman" w:cs="Times New Roman"/>
          <w:sz w:val="24"/>
          <w:szCs w:val="24"/>
        </w:rPr>
        <w:t xml:space="preserve"> of health</w:t>
      </w:r>
      <w:r w:rsidR="00582D6F">
        <w:rPr>
          <w:rFonts w:ascii="Times New Roman" w:hAnsi="Times New Roman" w:cs="Times New Roman"/>
          <w:sz w:val="24"/>
          <w:szCs w:val="24"/>
        </w:rPr>
        <w:t>y</w:t>
      </w:r>
      <w:r w:rsidR="00832C7A">
        <w:rPr>
          <w:rFonts w:ascii="Times New Roman" w:hAnsi="Times New Roman" w:cs="Times New Roman"/>
          <w:sz w:val="24"/>
          <w:szCs w:val="24"/>
        </w:rPr>
        <w:t xml:space="preserve"> persons in each group. For those in the ICU</w:t>
      </w:r>
      <w:r w:rsidR="00642106">
        <w:rPr>
          <w:rFonts w:ascii="Times New Roman" w:hAnsi="Times New Roman" w:cs="Times New Roman"/>
          <w:sz w:val="24"/>
          <w:szCs w:val="24"/>
        </w:rPr>
        <w:t xml:space="preserve"> (critical state)</w:t>
      </w:r>
      <w:r w:rsidR="00832C7A">
        <w:rPr>
          <w:rFonts w:ascii="Times New Roman" w:hAnsi="Times New Roman" w:cs="Times New Roman"/>
          <w:sz w:val="24"/>
          <w:szCs w:val="24"/>
        </w:rPr>
        <w:t xml:space="preserve">, we assumed </w:t>
      </w:r>
      <w:r w:rsidR="00F245F3">
        <w:rPr>
          <w:rFonts w:ascii="Times New Roman" w:hAnsi="Times New Roman" w:cs="Times New Roman"/>
          <w:sz w:val="24"/>
          <w:szCs w:val="24"/>
        </w:rPr>
        <w:t xml:space="preserve">that </w:t>
      </w:r>
      <w:r w:rsidR="00832C7A">
        <w:rPr>
          <w:rFonts w:ascii="Times New Roman" w:hAnsi="Times New Roman" w:cs="Times New Roman"/>
          <w:sz w:val="24"/>
          <w:szCs w:val="24"/>
        </w:rPr>
        <w:t>they lost all utility assigned</w:t>
      </w:r>
      <w:r w:rsidR="00F245F3">
        <w:rPr>
          <w:rFonts w:ascii="Times New Roman" w:hAnsi="Times New Roman" w:cs="Times New Roman"/>
          <w:sz w:val="24"/>
          <w:szCs w:val="24"/>
        </w:rPr>
        <w:t xml:space="preserve"> </w:t>
      </w:r>
      <w:r w:rsidR="00832C7A">
        <w:rPr>
          <w:rFonts w:ascii="Times New Roman" w:hAnsi="Times New Roman" w:cs="Times New Roman"/>
          <w:sz w:val="24"/>
          <w:szCs w:val="24"/>
        </w:rPr>
        <w:t xml:space="preserve">as a healthy person. </w:t>
      </w:r>
      <w:r w:rsidR="00F245F3">
        <w:rPr>
          <w:rFonts w:ascii="Times New Roman" w:hAnsi="Times New Roman" w:cs="Times New Roman"/>
          <w:sz w:val="24"/>
          <w:szCs w:val="24"/>
        </w:rPr>
        <w:t>The u</w:t>
      </w:r>
      <w:r w:rsidR="00CE0F72">
        <w:rPr>
          <w:rFonts w:ascii="Times New Roman" w:hAnsi="Times New Roman" w:cs="Times New Roman"/>
          <w:sz w:val="24"/>
          <w:szCs w:val="24"/>
        </w:rPr>
        <w:t>tility decrement was the</w:t>
      </w:r>
      <w:r w:rsidR="003A43D1">
        <w:rPr>
          <w:rFonts w:ascii="Times New Roman" w:hAnsi="Times New Roman" w:cs="Times New Roman"/>
          <w:sz w:val="24"/>
          <w:szCs w:val="24"/>
        </w:rPr>
        <w:t>n</w:t>
      </w:r>
      <w:r w:rsidR="00CE0F72">
        <w:rPr>
          <w:rFonts w:ascii="Times New Roman" w:hAnsi="Times New Roman" w:cs="Times New Roman"/>
          <w:sz w:val="24"/>
          <w:szCs w:val="24"/>
        </w:rPr>
        <w:t xml:space="preserve"> used to calculate QALY</w:t>
      </w:r>
      <w:r w:rsidR="003A43D1">
        <w:rPr>
          <w:rFonts w:ascii="Times New Roman" w:hAnsi="Times New Roman" w:cs="Times New Roman"/>
          <w:sz w:val="24"/>
          <w:szCs w:val="24"/>
        </w:rPr>
        <w:t xml:space="preserve">s lost by multiplying the utility decrement due to each condition (healthy, symptomatic, in hospital, in ICU) </w:t>
      </w:r>
      <w:r w:rsidR="008A5EBA">
        <w:rPr>
          <w:rFonts w:ascii="Times New Roman" w:hAnsi="Times New Roman" w:cs="Times New Roman"/>
          <w:sz w:val="24"/>
          <w:szCs w:val="24"/>
        </w:rPr>
        <w:t>by the number of days spent in that condition (as specified per model run).</w:t>
      </w:r>
      <w:r w:rsidR="00E802BC">
        <w:rPr>
          <w:rFonts w:ascii="Times New Roman" w:hAnsi="Times New Roman" w:cs="Times New Roman"/>
          <w:sz w:val="24"/>
          <w:szCs w:val="24"/>
        </w:rPr>
        <w:t xml:space="preserve"> For those who died, we assumed that faculty died due to COVID-19 at </w:t>
      </w:r>
      <w:r w:rsidR="00F245F3">
        <w:rPr>
          <w:rFonts w:ascii="Times New Roman" w:hAnsi="Times New Roman" w:cs="Times New Roman"/>
          <w:sz w:val="24"/>
          <w:szCs w:val="24"/>
        </w:rPr>
        <w:t xml:space="preserve">an </w:t>
      </w:r>
      <w:r w:rsidR="00E802BC">
        <w:rPr>
          <w:rFonts w:ascii="Times New Roman" w:hAnsi="Times New Roman" w:cs="Times New Roman"/>
          <w:sz w:val="24"/>
          <w:szCs w:val="24"/>
        </w:rPr>
        <w:t xml:space="preserve">average age of 65. We used life </w:t>
      </w:r>
      <w:r w:rsidR="00E802BC">
        <w:rPr>
          <w:rFonts w:ascii="Times New Roman" w:hAnsi="Times New Roman" w:cs="Times New Roman"/>
          <w:sz w:val="24"/>
          <w:szCs w:val="24"/>
        </w:rPr>
        <w:lastRenderedPageBreak/>
        <w:t xml:space="preserve">expectancy from age 65 and adjusted for quality of life using normative utility data in </w:t>
      </w:r>
      <w:r w:rsidR="00F245F3">
        <w:rPr>
          <w:rFonts w:ascii="Times New Roman" w:hAnsi="Times New Roman" w:cs="Times New Roman"/>
          <w:sz w:val="24"/>
          <w:szCs w:val="24"/>
        </w:rPr>
        <w:t xml:space="preserve">the </w:t>
      </w:r>
      <w:r w:rsidR="00E802BC">
        <w:rPr>
          <w:rFonts w:ascii="Times New Roman" w:hAnsi="Times New Roman" w:cs="Times New Roman"/>
          <w:sz w:val="24"/>
          <w:szCs w:val="24"/>
        </w:rPr>
        <w:t>U</w:t>
      </w:r>
      <w:r w:rsidR="00632D17">
        <w:rPr>
          <w:rFonts w:ascii="Times New Roman" w:hAnsi="Times New Roman" w:cs="Times New Roman"/>
          <w:sz w:val="24"/>
          <w:szCs w:val="24"/>
        </w:rPr>
        <w:t>S</w:t>
      </w:r>
      <w:r w:rsidR="00356F79">
        <w:rPr>
          <w:rFonts w:ascii="Times New Roman" w:hAnsi="Times New Roman" w:cs="Times New Roman"/>
          <w:sz w:val="24"/>
          <w:szCs w:val="24"/>
        </w:rPr>
        <w:t xml:space="preserve"> </w:t>
      </w:r>
      <w:r w:rsidR="00632D17">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485BSxkW","properties":{"formattedCitation":"(19)","plainCitation":"(19)","noteIndex":0},"citationItems":[{"id":29,"uris":["http://zotero.org/users/local/jMRSEXDw/items/EWXN7I53"],"uri":["http://zotero.org/users/local/jMRSEXDw/items/EWXN7I53"],"itemData":{"id":29,"type":"article-journal","abstract":"BACKGROUND: Preference-based assessments of population health, which may be used for cost-utility analyses, are lacking for most states and communities. With adequate population data, preference-based values can be estimated from non-preference-based health-related quality of life (HRQOL) data. This study estimates scores on the EuroQol EQ-5D, a preference-based measure, from the Healthy Days\nMEASURES: METHODS: No data set from the US population asks both the Healthy Days and EQ-5D questions for the same respondents. Therefore, estimates for EQ-5D scores were obtained indirectly by matching cumulative distributions of the 2 measures. These distributions were estimated from the 2000- 2002 Behavioral Risk Factor Surveillance System (BRFSS) and the Medical Expenditure Panel Survey (MEPS). The validity of estimates was examined by comparing the mean estimated and observed scores across particular population subgroups. A simulation study was conducted to compare the performance of the proposed method to the regression method.\nRESULTS: The overall mean observed EQ-5D index was 0.871 and the mean estimated EQ-5D index was 0.872. In the majority of examined subgroups, the mean scores demonstrated a good match according to sociodemographic variables and health-related conditions and, with the exception of the most impaired health states, the differences tended to be less than 0.04.\nCONCLUSIONS: This study provided preliminary estimates of EQ-5D scores from the Healthy Days Measures and demonstrated acceptable validity of the estimates. Because the Healthy Days Measures have been included in many state and local surveys, preliminary cost-utility analyses and determination of burden of disease might be able to be conducted at the national, state, and community levels as well as over time.","container-title":"Medical Decision Making: An International Journal of the Society for Medical Decision Making","DOI":"10.1177/0272989X07312708","ISSN":"0272-989X","issue":"4","journalAbbreviation":"Med Decis Making","language":"eng","note":"PMID: 18556640","page":"491-499","source":"PubMed","title":"Estimating EuroQol EQ-5D scores from population Healthy Days data","volume":"28","author":[{"family":"Jia","given":"Haomiao"},{"family":"Lubetkin","given":"Erica I."}],"issued":{"date-parts":[["2008",8]]}}}],"schema":"https://github.com/citation-style-language/schema/raw/master/csl-citation.json"} </w:instrText>
      </w:r>
      <w:r w:rsidR="00632D17">
        <w:rPr>
          <w:rFonts w:ascii="Times New Roman" w:hAnsi="Times New Roman" w:cs="Times New Roman"/>
          <w:sz w:val="24"/>
          <w:szCs w:val="24"/>
        </w:rPr>
        <w:fldChar w:fldCharType="separate"/>
      </w:r>
      <w:r w:rsidR="00DA615A" w:rsidRPr="00DA615A">
        <w:rPr>
          <w:rFonts w:ascii="Times New Roman" w:hAnsi="Times New Roman" w:cs="Times New Roman"/>
          <w:sz w:val="24"/>
        </w:rPr>
        <w:t>(19)</w:t>
      </w:r>
      <w:r w:rsidR="00632D17">
        <w:rPr>
          <w:rFonts w:ascii="Times New Roman" w:hAnsi="Times New Roman" w:cs="Times New Roman"/>
          <w:sz w:val="24"/>
          <w:szCs w:val="24"/>
        </w:rPr>
        <w:fldChar w:fldCharType="end"/>
      </w:r>
      <w:r w:rsidR="00356F79">
        <w:rPr>
          <w:rFonts w:ascii="Times New Roman" w:hAnsi="Times New Roman" w:cs="Times New Roman"/>
          <w:sz w:val="24"/>
          <w:szCs w:val="24"/>
        </w:rPr>
        <w:t>.</w:t>
      </w:r>
      <w:r w:rsidR="00E802BC">
        <w:rPr>
          <w:rFonts w:ascii="Times New Roman" w:hAnsi="Times New Roman" w:cs="Times New Roman"/>
          <w:sz w:val="24"/>
          <w:szCs w:val="24"/>
        </w:rPr>
        <w:t xml:space="preserve"> </w:t>
      </w:r>
    </w:p>
    <w:p w14:paraId="1E5290B6" w14:textId="77777777" w:rsidR="004E0C3B" w:rsidRPr="004E0C3B" w:rsidRDefault="00E802BC">
      <w:pPr>
        <w:rPr>
          <w:rFonts w:ascii="Times New Roman" w:hAnsi="Times New Roman" w:cs="Times New Roman"/>
          <w:sz w:val="24"/>
          <w:szCs w:val="24"/>
        </w:rPr>
        <w:sectPr w:rsidR="004E0C3B" w:rsidRPr="004E0C3B">
          <w:footerReference w:type="default" r:id="rId8"/>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  </w:t>
      </w:r>
    </w:p>
    <w:p w14:paraId="60866790" w14:textId="77777777" w:rsidR="0068320F" w:rsidRPr="00202600" w:rsidRDefault="0068320F">
      <w:pPr>
        <w:rPr>
          <w:rFonts w:ascii="Times New Roman" w:hAnsi="Times New Roman" w:cs="Times New Roman"/>
          <w:sz w:val="24"/>
          <w:szCs w:val="24"/>
        </w:rPr>
      </w:pPr>
      <w:r w:rsidRPr="00202600">
        <w:rPr>
          <w:rFonts w:ascii="Times New Roman" w:hAnsi="Times New Roman" w:cs="Times New Roman"/>
          <w:b/>
          <w:bCs/>
          <w:sz w:val="24"/>
          <w:szCs w:val="24"/>
        </w:rPr>
        <w:lastRenderedPageBreak/>
        <w:t>Table</w:t>
      </w:r>
      <w:r w:rsidR="009F3C82">
        <w:rPr>
          <w:rFonts w:ascii="Times New Roman" w:hAnsi="Times New Roman" w:cs="Times New Roman"/>
          <w:b/>
          <w:bCs/>
          <w:sz w:val="24"/>
          <w:szCs w:val="24"/>
        </w:rPr>
        <w:t xml:space="preserve"> S1</w:t>
      </w:r>
      <w:r w:rsidRPr="00202600">
        <w:rPr>
          <w:rFonts w:ascii="Times New Roman" w:hAnsi="Times New Roman" w:cs="Times New Roman"/>
          <w:b/>
          <w:bCs/>
          <w:sz w:val="24"/>
          <w:szCs w:val="24"/>
        </w:rPr>
        <w:t xml:space="preserve">. </w:t>
      </w:r>
      <w:r w:rsidRPr="00202600">
        <w:rPr>
          <w:rFonts w:ascii="Times New Roman" w:hAnsi="Times New Roman" w:cs="Times New Roman"/>
          <w:sz w:val="24"/>
          <w:szCs w:val="24"/>
        </w:rPr>
        <w:t xml:space="preserve">Clinical characteristics of COVID-19 infection in the US. </w:t>
      </w:r>
    </w:p>
    <w:tbl>
      <w:tblPr>
        <w:tblStyle w:val="TableGrid"/>
        <w:tblW w:w="13677" w:type="dxa"/>
        <w:tblLook w:val="04A0" w:firstRow="1" w:lastRow="0" w:firstColumn="1" w:lastColumn="0" w:noHBand="0" w:noVBand="1"/>
      </w:tblPr>
      <w:tblGrid>
        <w:gridCol w:w="5231"/>
        <w:gridCol w:w="1662"/>
        <w:gridCol w:w="1662"/>
        <w:gridCol w:w="1662"/>
        <w:gridCol w:w="1483"/>
        <w:gridCol w:w="1977"/>
      </w:tblGrid>
      <w:tr w:rsidR="0068320F" w:rsidRPr="00202600" w14:paraId="77E03539" w14:textId="77777777" w:rsidTr="007F3B0C">
        <w:tc>
          <w:tcPr>
            <w:tcW w:w="5231" w:type="dxa"/>
            <w:tcBorders>
              <w:top w:val="single" w:sz="4" w:space="0" w:color="auto"/>
              <w:left w:val="nil"/>
              <w:bottom w:val="single" w:sz="4" w:space="0" w:color="auto"/>
              <w:right w:val="nil"/>
            </w:tcBorders>
          </w:tcPr>
          <w:p w14:paraId="6F6FA0BB" w14:textId="77777777" w:rsidR="0068320F" w:rsidRPr="00202600" w:rsidRDefault="0068320F" w:rsidP="00AD5DD1">
            <w:pPr>
              <w:spacing w:line="480" w:lineRule="auto"/>
              <w:ind w:right="180"/>
              <w:rPr>
                <w:rFonts w:ascii="Times New Roman" w:hAnsi="Times New Roman" w:cs="Times New Roman"/>
                <w:b/>
                <w:bCs/>
                <w:sz w:val="24"/>
                <w:szCs w:val="24"/>
              </w:rPr>
            </w:pPr>
            <w:r w:rsidRPr="00202600">
              <w:rPr>
                <w:rFonts w:ascii="Times New Roman" w:hAnsi="Times New Roman" w:cs="Times New Roman"/>
                <w:b/>
                <w:bCs/>
                <w:sz w:val="24"/>
                <w:szCs w:val="24"/>
              </w:rPr>
              <w:t>Parameter</w:t>
            </w:r>
          </w:p>
        </w:tc>
        <w:tc>
          <w:tcPr>
            <w:tcW w:w="6469" w:type="dxa"/>
            <w:gridSpan w:val="4"/>
            <w:tcBorders>
              <w:top w:val="single" w:sz="4" w:space="0" w:color="auto"/>
              <w:left w:val="nil"/>
              <w:bottom w:val="single" w:sz="4" w:space="0" w:color="auto"/>
              <w:right w:val="nil"/>
            </w:tcBorders>
          </w:tcPr>
          <w:p w14:paraId="28762623" w14:textId="77777777" w:rsidR="0068320F" w:rsidRPr="00202600" w:rsidRDefault="0068320F" w:rsidP="00AD5DD1">
            <w:pPr>
              <w:spacing w:line="480" w:lineRule="auto"/>
              <w:jc w:val="center"/>
              <w:rPr>
                <w:rFonts w:ascii="Times New Roman" w:hAnsi="Times New Roman" w:cs="Times New Roman"/>
                <w:b/>
                <w:bCs/>
                <w:sz w:val="24"/>
                <w:szCs w:val="24"/>
              </w:rPr>
            </w:pPr>
            <w:r w:rsidRPr="00202600">
              <w:rPr>
                <w:rFonts w:ascii="Times New Roman" w:hAnsi="Times New Roman" w:cs="Times New Roman"/>
                <w:b/>
                <w:bCs/>
                <w:sz w:val="24"/>
                <w:szCs w:val="24"/>
              </w:rPr>
              <w:t>Value</w:t>
            </w:r>
          </w:p>
        </w:tc>
        <w:tc>
          <w:tcPr>
            <w:tcW w:w="1977" w:type="dxa"/>
            <w:tcBorders>
              <w:top w:val="single" w:sz="4" w:space="0" w:color="auto"/>
              <w:left w:val="nil"/>
              <w:bottom w:val="single" w:sz="4" w:space="0" w:color="auto"/>
              <w:right w:val="nil"/>
            </w:tcBorders>
          </w:tcPr>
          <w:p w14:paraId="57A1DE76" w14:textId="77777777" w:rsidR="0068320F" w:rsidRPr="00202600" w:rsidRDefault="0068320F" w:rsidP="00AD5DD1">
            <w:pPr>
              <w:spacing w:line="480" w:lineRule="auto"/>
              <w:jc w:val="center"/>
              <w:rPr>
                <w:rFonts w:ascii="Times New Roman" w:hAnsi="Times New Roman" w:cs="Times New Roman"/>
                <w:b/>
                <w:bCs/>
                <w:sz w:val="24"/>
                <w:szCs w:val="24"/>
              </w:rPr>
            </w:pPr>
            <w:r w:rsidRPr="00202600">
              <w:rPr>
                <w:rFonts w:ascii="Times New Roman" w:hAnsi="Times New Roman" w:cs="Times New Roman"/>
                <w:b/>
                <w:bCs/>
                <w:sz w:val="24"/>
                <w:szCs w:val="24"/>
              </w:rPr>
              <w:t>Source</w:t>
            </w:r>
          </w:p>
        </w:tc>
      </w:tr>
      <w:tr w:rsidR="0068320F" w:rsidRPr="00202600" w14:paraId="0937BE56" w14:textId="77777777" w:rsidTr="007F3B0C">
        <w:tc>
          <w:tcPr>
            <w:tcW w:w="5231" w:type="dxa"/>
            <w:tcBorders>
              <w:top w:val="single" w:sz="4" w:space="0" w:color="auto"/>
              <w:left w:val="nil"/>
              <w:bottom w:val="single" w:sz="4" w:space="0" w:color="auto"/>
              <w:right w:val="nil"/>
            </w:tcBorders>
            <w:shd w:val="clear" w:color="auto" w:fill="E7E6E6" w:themeFill="background2"/>
          </w:tcPr>
          <w:p w14:paraId="6F66BC2C" w14:textId="77777777" w:rsidR="0068320F" w:rsidRPr="00202600" w:rsidRDefault="0068320F" w:rsidP="00AD5DD1">
            <w:pPr>
              <w:spacing w:line="480" w:lineRule="auto"/>
              <w:ind w:right="180"/>
              <w:rPr>
                <w:rFonts w:ascii="Times New Roman" w:hAnsi="Times New Roman" w:cs="Times New Roman"/>
                <w:b/>
                <w:bCs/>
                <w:sz w:val="24"/>
                <w:szCs w:val="24"/>
              </w:rPr>
            </w:pPr>
            <w:r w:rsidRPr="00202600">
              <w:rPr>
                <w:rFonts w:ascii="Times New Roman" w:hAnsi="Times New Roman" w:cs="Times New Roman"/>
                <w:b/>
                <w:bCs/>
                <w:sz w:val="24"/>
                <w:szCs w:val="24"/>
              </w:rPr>
              <w:t>Natural history</w:t>
            </w:r>
          </w:p>
        </w:tc>
        <w:tc>
          <w:tcPr>
            <w:tcW w:w="6469" w:type="dxa"/>
            <w:gridSpan w:val="4"/>
            <w:tcBorders>
              <w:top w:val="single" w:sz="4" w:space="0" w:color="auto"/>
              <w:left w:val="nil"/>
              <w:bottom w:val="single" w:sz="4" w:space="0" w:color="auto"/>
              <w:right w:val="nil"/>
            </w:tcBorders>
            <w:shd w:val="clear" w:color="auto" w:fill="E7E6E6" w:themeFill="background2"/>
          </w:tcPr>
          <w:p w14:paraId="534DD68D" w14:textId="77777777" w:rsidR="0068320F" w:rsidRPr="00202600" w:rsidRDefault="0068320F" w:rsidP="00AD5DD1">
            <w:pPr>
              <w:spacing w:line="480" w:lineRule="auto"/>
              <w:rPr>
                <w:rFonts w:ascii="Times New Roman" w:hAnsi="Times New Roman" w:cs="Times New Roman"/>
                <w:sz w:val="24"/>
                <w:szCs w:val="24"/>
              </w:rPr>
            </w:pPr>
          </w:p>
        </w:tc>
        <w:tc>
          <w:tcPr>
            <w:tcW w:w="1977" w:type="dxa"/>
            <w:tcBorders>
              <w:top w:val="single" w:sz="4" w:space="0" w:color="auto"/>
              <w:left w:val="nil"/>
              <w:bottom w:val="single" w:sz="4" w:space="0" w:color="auto"/>
              <w:right w:val="nil"/>
            </w:tcBorders>
            <w:shd w:val="clear" w:color="auto" w:fill="E7E6E6" w:themeFill="background2"/>
            <w:vAlign w:val="center"/>
          </w:tcPr>
          <w:p w14:paraId="6C2CAEB8" w14:textId="77777777" w:rsidR="0068320F" w:rsidRPr="00202600" w:rsidRDefault="0068320F" w:rsidP="00AD5DD1">
            <w:pPr>
              <w:spacing w:line="480" w:lineRule="auto"/>
              <w:jc w:val="center"/>
              <w:rPr>
                <w:rFonts w:ascii="Times New Roman" w:hAnsi="Times New Roman" w:cs="Times New Roman"/>
                <w:sz w:val="24"/>
                <w:szCs w:val="24"/>
              </w:rPr>
            </w:pPr>
          </w:p>
        </w:tc>
      </w:tr>
      <w:tr w:rsidR="0068320F" w:rsidRPr="00202600" w14:paraId="0909F7E3" w14:textId="77777777" w:rsidTr="00D55003">
        <w:tc>
          <w:tcPr>
            <w:tcW w:w="5231" w:type="dxa"/>
            <w:tcBorders>
              <w:top w:val="single" w:sz="4" w:space="0" w:color="auto"/>
              <w:left w:val="nil"/>
              <w:bottom w:val="nil"/>
              <w:right w:val="nil"/>
            </w:tcBorders>
          </w:tcPr>
          <w:p w14:paraId="3A8D9587" w14:textId="77777777" w:rsidR="0068320F" w:rsidRPr="00202600" w:rsidRDefault="0068320F" w:rsidP="00625C8B">
            <w:pPr>
              <w:spacing w:line="480" w:lineRule="auto"/>
              <w:ind w:right="180"/>
              <w:contextualSpacing/>
              <w:rPr>
                <w:rFonts w:ascii="Times New Roman" w:hAnsi="Times New Roman" w:cs="Times New Roman"/>
                <w:sz w:val="24"/>
                <w:szCs w:val="24"/>
                <w:vertAlign w:val="superscript"/>
              </w:rPr>
            </w:pPr>
            <w:r w:rsidRPr="00202600">
              <w:rPr>
                <w:rFonts w:ascii="Times New Roman" w:hAnsi="Times New Roman" w:cs="Times New Roman"/>
                <w:sz w:val="24"/>
                <w:szCs w:val="24"/>
              </w:rPr>
              <w:t xml:space="preserve">Probability of COVID-19 </w:t>
            </w:r>
            <w:proofErr w:type="spellStart"/>
            <w:proofErr w:type="gramStart"/>
            <w:r w:rsidRPr="00202600">
              <w:rPr>
                <w:rFonts w:ascii="Times New Roman" w:hAnsi="Times New Roman" w:cs="Times New Roman"/>
                <w:sz w:val="24"/>
                <w:szCs w:val="24"/>
              </w:rPr>
              <w:t>severity,</w:t>
            </w:r>
            <w:r w:rsidRPr="00202600">
              <w:rPr>
                <w:rFonts w:ascii="Times New Roman" w:hAnsi="Times New Roman" w:cs="Times New Roman"/>
                <w:sz w:val="24"/>
                <w:szCs w:val="24"/>
                <w:vertAlign w:val="superscript"/>
              </w:rPr>
              <w:t>a</w:t>
            </w:r>
            <w:proofErr w:type="spellEnd"/>
            <w:proofErr w:type="gramEnd"/>
          </w:p>
          <w:p w14:paraId="64AE1CEE" w14:textId="77777777" w:rsidR="0068320F" w:rsidRPr="00202600" w:rsidRDefault="0068320F" w:rsidP="00625C8B">
            <w:pPr>
              <w:spacing w:line="480" w:lineRule="auto"/>
              <w:ind w:right="180"/>
              <w:contextualSpacing/>
              <w:rPr>
                <w:rFonts w:ascii="Times New Roman" w:hAnsi="Times New Roman" w:cs="Times New Roman"/>
                <w:sz w:val="24"/>
                <w:szCs w:val="24"/>
              </w:rPr>
            </w:pPr>
            <w:r w:rsidRPr="00202600">
              <w:rPr>
                <w:rFonts w:ascii="Times New Roman" w:hAnsi="Times New Roman" w:cs="Times New Roman"/>
                <w:sz w:val="24"/>
                <w:szCs w:val="24"/>
              </w:rPr>
              <w:t>stratified by age</w:t>
            </w:r>
          </w:p>
        </w:tc>
        <w:tc>
          <w:tcPr>
            <w:tcW w:w="1662" w:type="dxa"/>
            <w:tcBorders>
              <w:top w:val="single" w:sz="4" w:space="0" w:color="auto"/>
              <w:left w:val="nil"/>
              <w:bottom w:val="single" w:sz="4" w:space="0" w:color="auto"/>
              <w:right w:val="nil"/>
            </w:tcBorders>
          </w:tcPr>
          <w:p w14:paraId="0698BBD8" w14:textId="77777777" w:rsidR="0068320F" w:rsidRPr="00202600" w:rsidRDefault="0068320F" w:rsidP="00625C8B">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Asymptomatic infection</w:t>
            </w:r>
          </w:p>
        </w:tc>
        <w:tc>
          <w:tcPr>
            <w:tcW w:w="1662" w:type="dxa"/>
            <w:tcBorders>
              <w:top w:val="single" w:sz="4" w:space="0" w:color="auto"/>
              <w:left w:val="nil"/>
              <w:bottom w:val="single" w:sz="4" w:space="0" w:color="auto"/>
              <w:right w:val="nil"/>
            </w:tcBorders>
          </w:tcPr>
          <w:p w14:paraId="2C6AF7BB" w14:textId="77777777" w:rsidR="0068320F" w:rsidRPr="00202600" w:rsidRDefault="0068320F" w:rsidP="00625C8B">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Mild/moderate illness</w:t>
            </w:r>
          </w:p>
        </w:tc>
        <w:tc>
          <w:tcPr>
            <w:tcW w:w="1662" w:type="dxa"/>
            <w:tcBorders>
              <w:top w:val="single" w:sz="4" w:space="0" w:color="auto"/>
              <w:left w:val="nil"/>
              <w:bottom w:val="single" w:sz="4" w:space="0" w:color="auto"/>
              <w:right w:val="nil"/>
            </w:tcBorders>
            <w:vAlign w:val="bottom"/>
          </w:tcPr>
          <w:p w14:paraId="1EAE857F" w14:textId="77777777" w:rsidR="0068320F" w:rsidRPr="00202600" w:rsidRDefault="0068320F" w:rsidP="005C4B5D">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Severe illness</w:t>
            </w:r>
          </w:p>
        </w:tc>
        <w:tc>
          <w:tcPr>
            <w:tcW w:w="1483" w:type="dxa"/>
            <w:tcBorders>
              <w:top w:val="single" w:sz="4" w:space="0" w:color="auto"/>
              <w:left w:val="nil"/>
              <w:bottom w:val="single" w:sz="4" w:space="0" w:color="auto"/>
              <w:right w:val="nil"/>
            </w:tcBorders>
          </w:tcPr>
          <w:p w14:paraId="28441455" w14:textId="77777777" w:rsidR="0068320F" w:rsidRPr="00202600" w:rsidRDefault="0068320F" w:rsidP="00625C8B">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Critical illness</w:t>
            </w:r>
          </w:p>
        </w:tc>
        <w:tc>
          <w:tcPr>
            <w:tcW w:w="1977" w:type="dxa"/>
            <w:tcBorders>
              <w:top w:val="single" w:sz="4" w:space="0" w:color="auto"/>
              <w:left w:val="nil"/>
              <w:bottom w:val="nil"/>
              <w:right w:val="nil"/>
            </w:tcBorders>
            <w:vAlign w:val="center"/>
          </w:tcPr>
          <w:p w14:paraId="56CCC763" w14:textId="77777777" w:rsidR="0068320F" w:rsidRPr="00202600" w:rsidRDefault="0068320F" w:rsidP="00625C8B">
            <w:pPr>
              <w:spacing w:line="480" w:lineRule="auto"/>
              <w:contextualSpacing/>
              <w:jc w:val="center"/>
              <w:rPr>
                <w:rFonts w:ascii="Times New Roman" w:hAnsi="Times New Roman" w:cs="Times New Roman"/>
                <w:sz w:val="24"/>
                <w:szCs w:val="24"/>
              </w:rPr>
            </w:pPr>
          </w:p>
        </w:tc>
      </w:tr>
      <w:tr w:rsidR="00D55003" w:rsidRPr="00202600" w14:paraId="5905713D" w14:textId="77777777" w:rsidTr="00C26801">
        <w:tc>
          <w:tcPr>
            <w:tcW w:w="5231" w:type="dxa"/>
            <w:tcBorders>
              <w:top w:val="single" w:sz="4" w:space="0" w:color="auto"/>
              <w:left w:val="nil"/>
              <w:bottom w:val="nil"/>
              <w:right w:val="nil"/>
            </w:tcBorders>
          </w:tcPr>
          <w:p w14:paraId="7A3993F6" w14:textId="2F469BD4" w:rsidR="00D55003" w:rsidRPr="00202600" w:rsidRDefault="00D55003" w:rsidP="005D7873">
            <w:pPr>
              <w:spacing w:line="480" w:lineRule="auto"/>
              <w:ind w:right="180"/>
              <w:contextualSpacing/>
              <w:rPr>
                <w:rFonts w:ascii="Times New Roman" w:hAnsi="Times New Roman" w:cs="Times New Roman"/>
                <w:sz w:val="24"/>
                <w:szCs w:val="24"/>
              </w:rPr>
            </w:pPr>
            <w:r>
              <w:rPr>
                <w:rFonts w:ascii="Times New Roman" w:hAnsi="Times New Roman" w:cs="Times New Roman"/>
                <w:sz w:val="24"/>
                <w:szCs w:val="24"/>
              </w:rPr>
              <w:tab/>
              <w:t>&lt;20</w:t>
            </w:r>
            <w:r w:rsidRPr="00202600">
              <w:rPr>
                <w:rFonts w:ascii="Times New Roman" w:hAnsi="Times New Roman" w:cs="Times New Roman"/>
                <w:sz w:val="24"/>
                <w:szCs w:val="24"/>
              </w:rPr>
              <w:t>y</w:t>
            </w:r>
          </w:p>
        </w:tc>
        <w:tc>
          <w:tcPr>
            <w:tcW w:w="1662" w:type="dxa"/>
            <w:tcBorders>
              <w:top w:val="single" w:sz="4" w:space="0" w:color="auto"/>
              <w:left w:val="nil"/>
              <w:bottom w:val="nil"/>
              <w:right w:val="nil"/>
            </w:tcBorders>
          </w:tcPr>
          <w:p w14:paraId="0DEE404D" w14:textId="44433889" w:rsidR="00D55003" w:rsidRPr="00202600" w:rsidRDefault="00D55003" w:rsidP="005D787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0.594</w:t>
            </w:r>
          </w:p>
        </w:tc>
        <w:tc>
          <w:tcPr>
            <w:tcW w:w="1662" w:type="dxa"/>
            <w:tcBorders>
              <w:top w:val="single" w:sz="4" w:space="0" w:color="auto"/>
              <w:left w:val="nil"/>
              <w:bottom w:val="nil"/>
              <w:right w:val="nil"/>
            </w:tcBorders>
          </w:tcPr>
          <w:p w14:paraId="08258E3C" w14:textId="62244FD5" w:rsidR="00D55003" w:rsidRPr="00202600" w:rsidRDefault="00D55003" w:rsidP="005D787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0.471</w:t>
            </w:r>
          </w:p>
        </w:tc>
        <w:tc>
          <w:tcPr>
            <w:tcW w:w="1662" w:type="dxa"/>
            <w:tcBorders>
              <w:top w:val="single" w:sz="4" w:space="0" w:color="auto"/>
              <w:left w:val="nil"/>
              <w:bottom w:val="nil"/>
              <w:right w:val="nil"/>
            </w:tcBorders>
            <w:vAlign w:val="bottom"/>
          </w:tcPr>
          <w:p w14:paraId="23CE597B" w14:textId="5D3B9A15" w:rsidR="00D55003" w:rsidRPr="00202600" w:rsidRDefault="00D55003" w:rsidP="005D787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0.005</w:t>
            </w:r>
          </w:p>
        </w:tc>
        <w:tc>
          <w:tcPr>
            <w:tcW w:w="1483" w:type="dxa"/>
            <w:tcBorders>
              <w:top w:val="single" w:sz="4" w:space="0" w:color="auto"/>
              <w:left w:val="nil"/>
              <w:bottom w:val="nil"/>
              <w:right w:val="nil"/>
            </w:tcBorders>
          </w:tcPr>
          <w:p w14:paraId="3E4B9AAD" w14:textId="63268558" w:rsidR="00D55003" w:rsidRPr="00202600" w:rsidRDefault="00D55003" w:rsidP="005D787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0.0001</w:t>
            </w:r>
          </w:p>
        </w:tc>
        <w:tc>
          <w:tcPr>
            <w:tcW w:w="1977" w:type="dxa"/>
            <w:vMerge w:val="restart"/>
            <w:tcBorders>
              <w:top w:val="single" w:sz="4" w:space="0" w:color="auto"/>
              <w:left w:val="nil"/>
              <w:right w:val="nil"/>
            </w:tcBorders>
            <w:vAlign w:val="center"/>
          </w:tcPr>
          <w:p w14:paraId="7579B443" w14:textId="465D8825" w:rsidR="00D55003" w:rsidRPr="00202600" w:rsidRDefault="00D5500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 xml:space="preserve">Der. </w:t>
            </w:r>
            <w:r w:rsidR="00356F79" w:rsidRPr="00202600">
              <w:rPr>
                <w:rFonts w:ascii="Times New Roman" w:hAnsi="Times New Roman" w:cs="Times New Roman"/>
                <w:sz w:val="24"/>
                <w:szCs w:val="24"/>
              </w:rPr>
              <w:t>F</w:t>
            </w:r>
            <w:r w:rsidRPr="00202600">
              <w:rPr>
                <w:rFonts w:ascii="Times New Roman" w:hAnsi="Times New Roman" w:cs="Times New Roman"/>
                <w:sz w:val="24"/>
                <w:szCs w:val="24"/>
              </w:rPr>
              <w:t>rom</w:t>
            </w:r>
            <w:r w:rsidR="00356F79">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YEkOIBn2","properties":{"formattedCitation":"(3,23,24)","plainCitation":"(3,23,24)","noteIndex":0},"citationItems":[{"id":6,"uris":["http://zotero.org/users/local/jMRSEXDw/items/JRRKTVE8"],"uri":["http://zotero.org/users/local/jMRSEXDw/items/JRRKTVE8"],"itemData":{"id":6,"type":"webpage","title":"COVID-19 Dashboard","URL":"https://www.mass.gov/doc/covid-19-dashboard-april-20-2020/download","author":[{"literal":"Massachusetts Department of Public Health"}],"accessed":{"date-parts":[["2020",8,9]]},"issued":{"date-parts":[["2020",4,20]]}}},{"id":47,"uris":["http://zotero.org/users/local/jMRSEXDw/items/N348L2Y4"],"uri":["http://zotero.org/users/local/jMRSEXDw/items/N348L2Y4"],"itemData":{"id":47,"type":"article-journal","abstract":"On 5 February 2020, in Yokohama, Japan, a cruise ship hosting 3,711 people underwent a 2-week quarantine after a former passenger was found with COVID-19 post-disembarking. As at 20 February, 634 persons on board tested positive for the causative virus. We conducted statistical modelling to derive the delay-adjusted asymptomatic proportion of infections, along with the infections' timeline. The estimated asymptomatic proportion was 17.9% (95% credible interval (CrI): 15.5-20.2%). Most infections occurred before the quarantine start.","container-title":"Euro Surveillance: Bulletin Europeen Sur Les Maladies Transmissibles = European Communicable Disease Bulletin","DOI":"10.2807/1560-7917.ES.2020.25.10.2000180","ISSN":"1560-7917","issue":"10","journalAbbreviation":"Euro Surveill.","language":"eng","note":"PMID: 32183930\nPMCID: PMC7078829","source":"PubMed","title":"Estimating the asymptomatic proportion of coronavirus disease 2019 (COVID-19) cases on board the Diamond Princess cruise ship, Yokohama, Japan, 2020","volume":"25","author":[{"family":"Mizumoto","given":"Kenji"},{"family":"Kagaya","given":"Katsushi"},{"family":"Zarebski","given":"Alexander"},{"family":"Chowell","given":"Gerardo"}],"issued":{"date-parts":[["2020"]]}}},{"id":50,"uris":["http://zotero.org/users/local/jMRSEXDw/items/IU8JPCKI"],"uri":["http://zotero.org/users/local/jMRSEXDw/items/IU8JPCKI"],"itemData":{"id":50,"type":"webpage","container-title":"New Atlas","title":"CDC Director warns 25 percent of COVID-19 cases may present no symptoms","URL":"https://newatlas.com/health-wellbeing/covid-19-cases-contagious-asymptomatic-presymptomatic-cdc-director","author":[{"family":"Haridy","given":"R"}],"accessed":{"date-parts":[["2020",8,9]]},"issued":{"date-parts":[["2020",4,1]]}}}],"schema":"https://github.com/citation-style-language/schema/raw/master/csl-citation.json"} </w:instrText>
            </w:r>
            <w:r>
              <w:rPr>
                <w:rFonts w:ascii="Times New Roman" w:hAnsi="Times New Roman" w:cs="Times New Roman"/>
                <w:sz w:val="24"/>
                <w:szCs w:val="24"/>
              </w:rPr>
              <w:fldChar w:fldCharType="separate"/>
            </w:r>
            <w:r w:rsidR="00DA615A" w:rsidRPr="00DA615A">
              <w:rPr>
                <w:rFonts w:ascii="Times New Roman" w:hAnsi="Times New Roman" w:cs="Times New Roman"/>
                <w:sz w:val="24"/>
              </w:rPr>
              <w:t>(3,23,24)</w:t>
            </w:r>
            <w:r>
              <w:rPr>
                <w:rFonts w:ascii="Times New Roman" w:hAnsi="Times New Roman" w:cs="Times New Roman"/>
                <w:sz w:val="24"/>
                <w:szCs w:val="24"/>
              </w:rPr>
              <w:fldChar w:fldCharType="end"/>
            </w:r>
          </w:p>
        </w:tc>
      </w:tr>
      <w:tr w:rsidR="00D55003" w:rsidRPr="00202600" w14:paraId="21C3FA4E" w14:textId="77777777" w:rsidTr="00C26801">
        <w:tc>
          <w:tcPr>
            <w:tcW w:w="5231" w:type="dxa"/>
            <w:tcBorders>
              <w:top w:val="nil"/>
              <w:left w:val="nil"/>
              <w:bottom w:val="nil"/>
              <w:right w:val="nil"/>
            </w:tcBorders>
          </w:tcPr>
          <w:p w14:paraId="5E77678D" w14:textId="6C884B88" w:rsidR="00D55003" w:rsidRPr="00202600" w:rsidRDefault="00D55003" w:rsidP="00D55003">
            <w:pPr>
              <w:spacing w:line="480" w:lineRule="auto"/>
              <w:ind w:left="720" w:right="180"/>
              <w:contextualSpacing/>
              <w:rPr>
                <w:rFonts w:ascii="Times New Roman" w:hAnsi="Times New Roman" w:cs="Times New Roman"/>
                <w:sz w:val="24"/>
                <w:szCs w:val="24"/>
              </w:rPr>
            </w:pPr>
            <w:r>
              <w:rPr>
                <w:rFonts w:ascii="Times New Roman" w:hAnsi="Times New Roman" w:cs="Times New Roman"/>
                <w:sz w:val="24"/>
                <w:szCs w:val="24"/>
              </w:rPr>
              <w:t>20</w:t>
            </w:r>
            <w:r w:rsidRPr="00202600">
              <w:rPr>
                <w:rFonts w:ascii="Times New Roman" w:hAnsi="Times New Roman" w:cs="Times New Roman"/>
                <w:sz w:val="24"/>
                <w:szCs w:val="24"/>
              </w:rPr>
              <w:t>-59y</w:t>
            </w:r>
          </w:p>
        </w:tc>
        <w:tc>
          <w:tcPr>
            <w:tcW w:w="1662" w:type="dxa"/>
            <w:tcBorders>
              <w:top w:val="nil"/>
              <w:left w:val="nil"/>
              <w:bottom w:val="nil"/>
              <w:right w:val="nil"/>
            </w:tcBorders>
          </w:tcPr>
          <w:p w14:paraId="25CC6CE2" w14:textId="77777777" w:rsidR="00D55003" w:rsidRPr="00202600" w:rsidRDefault="00D5500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0.262</w:t>
            </w:r>
          </w:p>
        </w:tc>
        <w:tc>
          <w:tcPr>
            <w:tcW w:w="1662" w:type="dxa"/>
            <w:tcBorders>
              <w:top w:val="nil"/>
              <w:left w:val="nil"/>
              <w:bottom w:val="nil"/>
              <w:right w:val="nil"/>
            </w:tcBorders>
          </w:tcPr>
          <w:p w14:paraId="2E79D9B8" w14:textId="77777777" w:rsidR="00D55003" w:rsidRPr="00202600" w:rsidRDefault="00D5500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0.</w:t>
            </w:r>
            <w:r w:rsidRPr="00202600">
              <w:rPr>
                <w:rFonts w:ascii="Times New Roman" w:hAnsi="Times New Roman" w:cs="Times New Roman"/>
                <w:bCs/>
                <w:sz w:val="24"/>
                <w:szCs w:val="24"/>
              </w:rPr>
              <w:t>720</w:t>
            </w:r>
          </w:p>
        </w:tc>
        <w:tc>
          <w:tcPr>
            <w:tcW w:w="1662" w:type="dxa"/>
            <w:tcBorders>
              <w:top w:val="nil"/>
              <w:left w:val="nil"/>
              <w:bottom w:val="nil"/>
              <w:right w:val="nil"/>
            </w:tcBorders>
          </w:tcPr>
          <w:p w14:paraId="13A2237D" w14:textId="17B92165" w:rsidR="00D55003" w:rsidRPr="00202600" w:rsidRDefault="00D5500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0.</w:t>
            </w:r>
            <w:r w:rsidRPr="00202600">
              <w:rPr>
                <w:rFonts w:ascii="Times New Roman" w:hAnsi="Times New Roman" w:cs="Times New Roman"/>
                <w:bCs/>
                <w:sz w:val="24"/>
                <w:szCs w:val="24"/>
              </w:rPr>
              <w:t>01</w:t>
            </w:r>
            <w:r>
              <w:rPr>
                <w:rFonts w:ascii="Times New Roman" w:hAnsi="Times New Roman" w:cs="Times New Roman"/>
                <w:bCs/>
                <w:sz w:val="24"/>
                <w:szCs w:val="24"/>
              </w:rPr>
              <w:t>8</w:t>
            </w:r>
          </w:p>
        </w:tc>
        <w:tc>
          <w:tcPr>
            <w:tcW w:w="1483" w:type="dxa"/>
            <w:tcBorders>
              <w:top w:val="nil"/>
              <w:left w:val="nil"/>
              <w:bottom w:val="nil"/>
              <w:right w:val="nil"/>
            </w:tcBorders>
          </w:tcPr>
          <w:p w14:paraId="4E383C5D" w14:textId="77777777" w:rsidR="00D55003" w:rsidRPr="00202600" w:rsidRDefault="00D5500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0.</w:t>
            </w:r>
            <w:r w:rsidRPr="00202600">
              <w:rPr>
                <w:rFonts w:ascii="Times New Roman" w:hAnsi="Times New Roman" w:cs="Times New Roman"/>
                <w:bCs/>
                <w:sz w:val="24"/>
                <w:szCs w:val="24"/>
              </w:rPr>
              <w:t>007</w:t>
            </w:r>
          </w:p>
        </w:tc>
        <w:tc>
          <w:tcPr>
            <w:tcW w:w="1977" w:type="dxa"/>
            <w:vMerge/>
            <w:tcBorders>
              <w:left w:val="nil"/>
              <w:right w:val="nil"/>
            </w:tcBorders>
            <w:vAlign w:val="center"/>
          </w:tcPr>
          <w:p w14:paraId="5E70A056" w14:textId="18EFD5E8" w:rsidR="00D55003" w:rsidRPr="00202600" w:rsidRDefault="00D55003" w:rsidP="005D7873">
            <w:pPr>
              <w:spacing w:line="480" w:lineRule="auto"/>
              <w:contextualSpacing/>
              <w:jc w:val="center"/>
              <w:rPr>
                <w:rFonts w:ascii="Times New Roman" w:hAnsi="Times New Roman" w:cs="Times New Roman"/>
                <w:sz w:val="24"/>
                <w:szCs w:val="24"/>
              </w:rPr>
            </w:pPr>
          </w:p>
        </w:tc>
      </w:tr>
      <w:tr w:rsidR="00D55003" w:rsidRPr="00202600" w14:paraId="583D1282" w14:textId="77777777" w:rsidTr="007F3B0C">
        <w:tc>
          <w:tcPr>
            <w:tcW w:w="5231" w:type="dxa"/>
            <w:tcBorders>
              <w:top w:val="nil"/>
              <w:left w:val="nil"/>
              <w:bottom w:val="single" w:sz="4" w:space="0" w:color="auto"/>
              <w:right w:val="nil"/>
            </w:tcBorders>
          </w:tcPr>
          <w:p w14:paraId="76664DDC" w14:textId="7E8D5287" w:rsidR="00D55003" w:rsidRPr="00202600" w:rsidRDefault="00D55003" w:rsidP="00D55003">
            <w:pPr>
              <w:spacing w:line="480" w:lineRule="auto"/>
              <w:ind w:left="720" w:right="180"/>
              <w:contextualSpacing/>
              <w:rPr>
                <w:rFonts w:ascii="Times New Roman" w:hAnsi="Times New Roman" w:cs="Times New Roman"/>
                <w:sz w:val="24"/>
                <w:szCs w:val="24"/>
              </w:rPr>
            </w:pPr>
            <w:r>
              <w:rPr>
                <w:rFonts w:ascii="Times New Roman" w:hAnsi="Times New Roman" w:cs="Times New Roman"/>
                <w:sz w:val="24"/>
                <w:szCs w:val="24"/>
              </w:rPr>
              <w:t>≥</w:t>
            </w:r>
            <w:r w:rsidRPr="00202600">
              <w:rPr>
                <w:rFonts w:ascii="Times New Roman" w:hAnsi="Times New Roman" w:cs="Times New Roman"/>
                <w:sz w:val="24"/>
                <w:szCs w:val="24"/>
              </w:rPr>
              <w:t>60y</w:t>
            </w:r>
          </w:p>
        </w:tc>
        <w:tc>
          <w:tcPr>
            <w:tcW w:w="1662" w:type="dxa"/>
            <w:tcBorders>
              <w:top w:val="nil"/>
              <w:left w:val="nil"/>
              <w:bottom w:val="single" w:sz="4" w:space="0" w:color="auto"/>
              <w:right w:val="nil"/>
            </w:tcBorders>
          </w:tcPr>
          <w:p w14:paraId="4DC5F4B8" w14:textId="77777777" w:rsidR="00D55003" w:rsidRPr="00202600" w:rsidRDefault="00D5500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0.</w:t>
            </w:r>
            <w:r w:rsidRPr="00202600">
              <w:rPr>
                <w:rFonts w:ascii="Times New Roman" w:hAnsi="Times New Roman" w:cs="Times New Roman"/>
                <w:bCs/>
                <w:sz w:val="24"/>
                <w:szCs w:val="24"/>
              </w:rPr>
              <w:t>180</w:t>
            </w:r>
          </w:p>
        </w:tc>
        <w:tc>
          <w:tcPr>
            <w:tcW w:w="1662" w:type="dxa"/>
            <w:tcBorders>
              <w:top w:val="nil"/>
              <w:left w:val="nil"/>
              <w:bottom w:val="single" w:sz="4" w:space="0" w:color="auto"/>
              <w:right w:val="nil"/>
            </w:tcBorders>
          </w:tcPr>
          <w:p w14:paraId="3E4A242A" w14:textId="77777777" w:rsidR="00D55003" w:rsidRPr="00202600" w:rsidRDefault="00D5500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0.</w:t>
            </w:r>
            <w:r w:rsidRPr="00202600">
              <w:rPr>
                <w:rFonts w:ascii="Times New Roman" w:hAnsi="Times New Roman" w:cs="Times New Roman"/>
                <w:bCs/>
                <w:sz w:val="24"/>
                <w:szCs w:val="24"/>
              </w:rPr>
              <w:t>788</w:t>
            </w:r>
          </w:p>
        </w:tc>
        <w:tc>
          <w:tcPr>
            <w:tcW w:w="1662" w:type="dxa"/>
            <w:tcBorders>
              <w:top w:val="nil"/>
              <w:left w:val="nil"/>
              <w:bottom w:val="single" w:sz="4" w:space="0" w:color="auto"/>
              <w:right w:val="nil"/>
            </w:tcBorders>
          </w:tcPr>
          <w:p w14:paraId="3D5A399F" w14:textId="77777777" w:rsidR="00D55003" w:rsidRPr="00202600" w:rsidRDefault="00D5500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0.</w:t>
            </w:r>
            <w:r w:rsidRPr="00202600">
              <w:rPr>
                <w:rFonts w:ascii="Times New Roman" w:hAnsi="Times New Roman" w:cs="Times New Roman"/>
                <w:bCs/>
                <w:sz w:val="24"/>
                <w:szCs w:val="24"/>
              </w:rPr>
              <w:t>001</w:t>
            </w:r>
          </w:p>
        </w:tc>
        <w:tc>
          <w:tcPr>
            <w:tcW w:w="1483" w:type="dxa"/>
            <w:tcBorders>
              <w:top w:val="nil"/>
              <w:left w:val="nil"/>
              <w:bottom w:val="single" w:sz="4" w:space="0" w:color="auto"/>
              <w:right w:val="nil"/>
            </w:tcBorders>
          </w:tcPr>
          <w:p w14:paraId="496164D9" w14:textId="77777777" w:rsidR="00D55003" w:rsidRPr="00202600" w:rsidRDefault="00D5500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0.</w:t>
            </w:r>
            <w:r w:rsidRPr="00202600">
              <w:rPr>
                <w:rFonts w:ascii="Times New Roman" w:hAnsi="Times New Roman" w:cs="Times New Roman"/>
                <w:bCs/>
                <w:sz w:val="24"/>
                <w:szCs w:val="24"/>
              </w:rPr>
              <w:t>031</w:t>
            </w:r>
          </w:p>
        </w:tc>
        <w:tc>
          <w:tcPr>
            <w:tcW w:w="1977" w:type="dxa"/>
            <w:vMerge/>
            <w:tcBorders>
              <w:left w:val="nil"/>
              <w:bottom w:val="single" w:sz="4" w:space="0" w:color="auto"/>
              <w:right w:val="nil"/>
            </w:tcBorders>
            <w:vAlign w:val="center"/>
          </w:tcPr>
          <w:p w14:paraId="3866BBBD" w14:textId="77777777" w:rsidR="00D55003" w:rsidRPr="00202600" w:rsidRDefault="00D55003" w:rsidP="005D7873">
            <w:pPr>
              <w:spacing w:line="480" w:lineRule="auto"/>
              <w:contextualSpacing/>
              <w:jc w:val="center"/>
              <w:rPr>
                <w:rFonts w:ascii="Times New Roman" w:hAnsi="Times New Roman" w:cs="Times New Roman"/>
                <w:sz w:val="24"/>
                <w:szCs w:val="24"/>
              </w:rPr>
            </w:pPr>
          </w:p>
        </w:tc>
      </w:tr>
      <w:tr w:rsidR="005D7873" w:rsidRPr="00202600" w14:paraId="715D4A05" w14:textId="77777777" w:rsidTr="005C4B5D">
        <w:tc>
          <w:tcPr>
            <w:tcW w:w="5231" w:type="dxa"/>
            <w:tcBorders>
              <w:top w:val="single" w:sz="4" w:space="0" w:color="auto"/>
              <w:left w:val="nil"/>
              <w:bottom w:val="nil"/>
              <w:right w:val="nil"/>
            </w:tcBorders>
          </w:tcPr>
          <w:p w14:paraId="39FBDEB1" w14:textId="77777777" w:rsidR="005D7873" w:rsidRPr="00202600" w:rsidRDefault="005D7873" w:rsidP="005D7873">
            <w:pPr>
              <w:spacing w:line="480" w:lineRule="auto"/>
              <w:ind w:right="180"/>
              <w:contextualSpacing/>
              <w:rPr>
                <w:rFonts w:ascii="Times New Roman" w:hAnsi="Times New Roman" w:cs="Times New Roman"/>
                <w:sz w:val="24"/>
                <w:szCs w:val="24"/>
                <w:vertAlign w:val="superscript"/>
              </w:rPr>
            </w:pPr>
            <w:r w:rsidRPr="00202600">
              <w:rPr>
                <w:rFonts w:ascii="Times New Roman" w:hAnsi="Times New Roman" w:cs="Times New Roman"/>
                <w:sz w:val="24"/>
                <w:szCs w:val="24"/>
              </w:rPr>
              <w:t xml:space="preserve">Duration of illness state among hospitalized patients, stratified by COVID-19 severity, mean, </w:t>
            </w:r>
            <w:proofErr w:type="spellStart"/>
            <w:r w:rsidRPr="00202600">
              <w:rPr>
                <w:rFonts w:ascii="Times New Roman" w:hAnsi="Times New Roman" w:cs="Times New Roman"/>
                <w:sz w:val="24"/>
                <w:szCs w:val="24"/>
              </w:rPr>
              <w:t>days</w:t>
            </w:r>
            <w:r w:rsidRPr="00202600">
              <w:rPr>
                <w:rFonts w:ascii="Times New Roman" w:hAnsi="Times New Roman" w:cs="Times New Roman"/>
                <w:sz w:val="24"/>
                <w:szCs w:val="24"/>
                <w:vertAlign w:val="superscript"/>
              </w:rPr>
              <w:t>b</w:t>
            </w:r>
            <w:proofErr w:type="spellEnd"/>
          </w:p>
        </w:tc>
        <w:tc>
          <w:tcPr>
            <w:tcW w:w="1662" w:type="dxa"/>
            <w:tcBorders>
              <w:top w:val="single" w:sz="4" w:space="0" w:color="auto"/>
              <w:left w:val="nil"/>
              <w:bottom w:val="single" w:sz="4" w:space="0" w:color="auto"/>
              <w:right w:val="nil"/>
            </w:tcBorders>
            <w:vAlign w:val="bottom"/>
          </w:tcPr>
          <w:p w14:paraId="0E9B017F"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Asymptomatic infection</w:t>
            </w:r>
          </w:p>
        </w:tc>
        <w:tc>
          <w:tcPr>
            <w:tcW w:w="1662" w:type="dxa"/>
            <w:tcBorders>
              <w:top w:val="single" w:sz="4" w:space="0" w:color="auto"/>
              <w:left w:val="nil"/>
              <w:bottom w:val="single" w:sz="4" w:space="0" w:color="auto"/>
              <w:right w:val="nil"/>
            </w:tcBorders>
            <w:vAlign w:val="bottom"/>
          </w:tcPr>
          <w:p w14:paraId="6B952CC4"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Mild/moderate illness</w:t>
            </w:r>
          </w:p>
        </w:tc>
        <w:tc>
          <w:tcPr>
            <w:tcW w:w="1662" w:type="dxa"/>
            <w:tcBorders>
              <w:top w:val="single" w:sz="4" w:space="0" w:color="auto"/>
              <w:left w:val="nil"/>
              <w:bottom w:val="single" w:sz="4" w:space="0" w:color="auto"/>
              <w:right w:val="nil"/>
            </w:tcBorders>
            <w:vAlign w:val="bottom"/>
          </w:tcPr>
          <w:p w14:paraId="54E34DEB"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Severe illness</w:t>
            </w:r>
          </w:p>
        </w:tc>
        <w:tc>
          <w:tcPr>
            <w:tcW w:w="1483" w:type="dxa"/>
            <w:tcBorders>
              <w:top w:val="single" w:sz="4" w:space="0" w:color="auto"/>
              <w:left w:val="nil"/>
              <w:bottom w:val="single" w:sz="4" w:space="0" w:color="auto"/>
              <w:right w:val="nil"/>
            </w:tcBorders>
            <w:vAlign w:val="bottom"/>
          </w:tcPr>
          <w:p w14:paraId="2F310DCF"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Critical illness</w:t>
            </w:r>
          </w:p>
        </w:tc>
        <w:tc>
          <w:tcPr>
            <w:tcW w:w="1977" w:type="dxa"/>
            <w:tcBorders>
              <w:top w:val="single" w:sz="4" w:space="0" w:color="auto"/>
              <w:left w:val="nil"/>
              <w:bottom w:val="nil"/>
              <w:right w:val="nil"/>
            </w:tcBorders>
            <w:vAlign w:val="center"/>
          </w:tcPr>
          <w:p w14:paraId="07EB8516" w14:textId="77777777" w:rsidR="005D7873" w:rsidRPr="00202600" w:rsidRDefault="005D7873" w:rsidP="005D7873">
            <w:pPr>
              <w:spacing w:line="480" w:lineRule="auto"/>
              <w:contextualSpacing/>
              <w:jc w:val="center"/>
              <w:rPr>
                <w:rFonts w:ascii="Times New Roman" w:hAnsi="Times New Roman" w:cs="Times New Roman"/>
                <w:sz w:val="24"/>
                <w:szCs w:val="24"/>
              </w:rPr>
            </w:pPr>
          </w:p>
        </w:tc>
      </w:tr>
      <w:tr w:rsidR="005D7873" w:rsidRPr="00202600" w14:paraId="2F28B7DD" w14:textId="77777777" w:rsidTr="007F3B0C">
        <w:tc>
          <w:tcPr>
            <w:tcW w:w="5231" w:type="dxa"/>
            <w:tcBorders>
              <w:top w:val="nil"/>
              <w:left w:val="nil"/>
              <w:bottom w:val="nil"/>
              <w:right w:val="nil"/>
            </w:tcBorders>
          </w:tcPr>
          <w:p w14:paraId="22EDA864" w14:textId="77777777" w:rsidR="005D7873" w:rsidRPr="00202600" w:rsidRDefault="005D7873" w:rsidP="00D55003">
            <w:pPr>
              <w:spacing w:line="480" w:lineRule="auto"/>
              <w:ind w:left="720" w:right="180"/>
              <w:contextualSpacing/>
              <w:rPr>
                <w:rFonts w:ascii="Times New Roman" w:hAnsi="Times New Roman" w:cs="Times New Roman"/>
                <w:sz w:val="24"/>
                <w:szCs w:val="24"/>
              </w:rPr>
            </w:pPr>
            <w:r w:rsidRPr="00202600">
              <w:rPr>
                <w:rFonts w:ascii="Times New Roman" w:hAnsi="Times New Roman" w:cs="Times New Roman"/>
                <w:sz w:val="24"/>
                <w:szCs w:val="24"/>
              </w:rPr>
              <w:t>Pre-infectious latent to asymptomatic state</w:t>
            </w:r>
          </w:p>
        </w:tc>
        <w:tc>
          <w:tcPr>
            <w:tcW w:w="1662" w:type="dxa"/>
            <w:tcBorders>
              <w:top w:val="single" w:sz="4" w:space="0" w:color="auto"/>
              <w:left w:val="nil"/>
              <w:bottom w:val="nil"/>
              <w:right w:val="nil"/>
            </w:tcBorders>
          </w:tcPr>
          <w:p w14:paraId="1261C080" w14:textId="77777777" w:rsidR="005D7873" w:rsidRPr="00202600" w:rsidRDefault="005D7873" w:rsidP="005D7873">
            <w:pPr>
              <w:spacing w:line="480" w:lineRule="auto"/>
              <w:contextualSpacing/>
              <w:jc w:val="center"/>
              <w:rPr>
                <w:rFonts w:ascii="Times New Roman" w:hAnsi="Times New Roman" w:cs="Times New Roman"/>
                <w:sz w:val="24"/>
                <w:szCs w:val="24"/>
                <w:highlight w:val="yellow"/>
              </w:rPr>
            </w:pPr>
            <w:r w:rsidRPr="00202600">
              <w:rPr>
                <w:rFonts w:ascii="Times New Roman" w:hAnsi="Times New Roman" w:cs="Times New Roman"/>
                <w:sz w:val="24"/>
                <w:szCs w:val="24"/>
              </w:rPr>
              <w:t>2.6</w:t>
            </w:r>
          </w:p>
        </w:tc>
        <w:tc>
          <w:tcPr>
            <w:tcW w:w="1662" w:type="dxa"/>
            <w:tcBorders>
              <w:top w:val="single" w:sz="4" w:space="0" w:color="auto"/>
              <w:left w:val="nil"/>
              <w:bottom w:val="nil"/>
              <w:right w:val="nil"/>
            </w:tcBorders>
          </w:tcPr>
          <w:p w14:paraId="4B229C81"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2.6</w:t>
            </w:r>
          </w:p>
        </w:tc>
        <w:tc>
          <w:tcPr>
            <w:tcW w:w="1662" w:type="dxa"/>
            <w:tcBorders>
              <w:top w:val="single" w:sz="4" w:space="0" w:color="auto"/>
              <w:left w:val="nil"/>
              <w:bottom w:val="nil"/>
              <w:right w:val="nil"/>
            </w:tcBorders>
          </w:tcPr>
          <w:p w14:paraId="09DAEEF0"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2.6</w:t>
            </w:r>
          </w:p>
        </w:tc>
        <w:tc>
          <w:tcPr>
            <w:tcW w:w="1483" w:type="dxa"/>
            <w:tcBorders>
              <w:top w:val="single" w:sz="4" w:space="0" w:color="auto"/>
              <w:left w:val="nil"/>
              <w:bottom w:val="nil"/>
              <w:right w:val="nil"/>
            </w:tcBorders>
          </w:tcPr>
          <w:p w14:paraId="2F0D1A25"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2.6</w:t>
            </w:r>
          </w:p>
        </w:tc>
        <w:tc>
          <w:tcPr>
            <w:tcW w:w="1977" w:type="dxa"/>
            <w:tcBorders>
              <w:top w:val="nil"/>
              <w:left w:val="nil"/>
              <w:bottom w:val="nil"/>
              <w:right w:val="nil"/>
            </w:tcBorders>
            <w:vAlign w:val="center"/>
          </w:tcPr>
          <w:p w14:paraId="24B0D6AF" w14:textId="24F816C4"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 xml:space="preserve">Der. </w:t>
            </w:r>
            <w:r w:rsidR="00356F79" w:rsidRPr="00202600">
              <w:rPr>
                <w:rFonts w:ascii="Times New Roman" w:hAnsi="Times New Roman" w:cs="Times New Roman"/>
                <w:sz w:val="24"/>
                <w:szCs w:val="24"/>
              </w:rPr>
              <w:t>F</w:t>
            </w:r>
            <w:r w:rsidRPr="00202600">
              <w:rPr>
                <w:rFonts w:ascii="Times New Roman" w:hAnsi="Times New Roman" w:cs="Times New Roman"/>
                <w:sz w:val="24"/>
                <w:szCs w:val="24"/>
              </w:rPr>
              <w:t>rom</w:t>
            </w:r>
            <w:r w:rsidR="00356F79">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LlMypXkx","properties":{"formattedCitation":"(25\\uc0\\u8211{}27)","plainCitation":"(25–27)","noteIndex":0},"citationItems":[{"id":52,"uris":["http://zotero.org/users/local/jMRSEXDw/items/63YFXVDT"],"uri":["http://zotero.org/users/local/jMRSEXDw/items/63YFXVDT"],"itemData":{"id":52,"type":"report","title":"Report of the WHO-China joint mission on coronavirus disease 2019 (COVID-19)","URL":"https://www.who.int/docs/default-source/coronaviruse/who-china-joint-mission-on-covid-19-final-report.pdf","author":[{"literal":"WHO-China Joint Mission on Coronavirus Disease 2019"}],"accessed":{"date-parts":[["2020",8,9]]},"issued":{"date-parts":[["2020",2]]}}},{"id":53,"uris":["http://zotero.org/users/local/jMRSEXDw/items/MQMPAPVD"],"uri":["http://zotero.org/users/local/jMRSEXDw/items/MQMPAPVD"],"itemData":{"id":53,"type":"article-journal","abstract":"Estimation of the prevalence and contagiousness of undocumented novel coronavirus [severe acute respiratory syndrome-coronavirus 2 (SARS-CoV-2)] infections is critical for understanding the overall prevalence and pandemic potential of this disease. Here, we use observations of reported infection within China, in conjunction with mobility data, a networked dynamic metapopulation model, and Bayesian inference, to infer critical epidemiological characteristics associated with SARS-CoV-2, including the fraction of undocumented infections and their contagiousness. We estimate that 86% of all infections were undocumented [95% credible interval (CI): 82-90%] before the 23 January 2020 travel restrictions. The transmission rate of undocumented infections per person was 55% the transmission rate of documented infections (95% CI: 46-62%), yet, because of their greater numbers, undocumented infections were the source of 79% of the documented cases. These findings explain the rapid geographic spread of SARS-CoV-2 and indicate that containment of this virus will be particularly challenging.","container-title":"Science (New York, N.Y.)","DOI":"10.1126/science.abb3221","ISSN":"1095-9203","issue":"6490","journalAbbreviation":"Science","language":"eng","note":"PMID: 32179701\nPMCID: PMC7164387","page":"489-493","source":"PubMed","title":"Substantial undocumented infection facilitates the rapid dissemination of novel coronavirus (SARS-CoV-2)","volume":"368","author":[{"family":"Li","given":"Ruiyun"},{"family":"Pei","given":"Sen"},{"family":"Chen","given":"Bin"},{"family":"Song","given":"Yimeng"},{"family":"Zhang","given":"Tao"},{"family":"Yang","given":"Wan"},{"family":"Shaman","given":"Jeffrey"}],"issued":{"date-parts":[["2020"]],"season":"01"}}},{"id":55,"uris":["http://zotero.org/users/local/jMRSEXDw/items/DHYIH5D4"],"uri":["http://zotero.org/users/local/jMRSEXDw/items/DHYIH5D4"],"itemData":{"id":55,"type":"article-journal","abstract":"We report temporal patterns of viral shedding in 94 patients with laboratory-confirmed COVID-19 and modeled COVID-19 infectiousness profiles from a separate sample of 77 infector-infectee transmission pairs. We observed the highest viral load in throat swabs at the time of symptom onset, and inferred that infectiousness peaked on or before symptom onset. We estimated that 44% (95% confidence interval, 25-69%) of secondary cases were infected during the index cases' presymptomatic stage, in settings with substantial household clustering, active case finding and quarantine outside the home. Disease control measures should be adjusted to account for probable substantial presymptomatic transmission.","container-title":"Nature Medicine","DOI":"10.1038/s41591-020-0869-5","ISSN":"1546-170X","issue":"5","journalAbbreviation":"Nat. Med.","language":"eng","note":"PMID: 32296168","page":"672-675","source":"PubMed","title":"Temporal dynamics in viral shedding and transmissibility of COVID-19","volume":"26","author":[{"family":"He","given":"Xi"},{"family":"Lau","given":"Eric H. Y."},{"family":"Wu","given":"Peng"},{"family":"Deng","given":"Xilong"},{"family":"Wang","given":"Jian"},{"family":"Hao","given":"Xinxin"},{"family":"Lau","given":"Yiu Chung"},{"family":"Wong","given":"Jessica Y."},{"family":"Guan","given":"Yujuan"},{"family":"Tan","given":"Xinghua"},{"family":"Mo","given":"Xiaoneng"},{"family":"Chen","given":"Yanqing"},{"family":"Liao","given":"Baolin"},{"family":"Chen","given":"Weilie"},{"family":"Hu","given":"Fengyu"},{"family":"Zhang","given":"Qing"},{"family":"Zhong","given":"Mingqiu"},{"family":"Wu","given":"Yanrong"},{"family":"Zhao","given":"Lingzhai"},{"family":"Zhang","given":"Fuchun"},{"family":"Cowling","given":"Benjamin J."},{"family":"Li","given":"Fang"},{"family":"Leung","given":"Gabriel M."}],"issued":{"date-parts":[["2020"]]}}}],"schema":"https://github.com/citation-style-language/schema/raw/master/csl-citation.json"} </w:instrText>
            </w:r>
            <w:r>
              <w:rPr>
                <w:rFonts w:ascii="Times New Roman" w:hAnsi="Times New Roman" w:cs="Times New Roman"/>
                <w:sz w:val="24"/>
                <w:szCs w:val="24"/>
              </w:rPr>
              <w:fldChar w:fldCharType="separate"/>
            </w:r>
            <w:r w:rsidR="00DA615A" w:rsidRPr="00DA615A">
              <w:rPr>
                <w:rFonts w:ascii="Times New Roman" w:hAnsi="Times New Roman" w:cs="Times New Roman"/>
                <w:sz w:val="24"/>
                <w:szCs w:val="24"/>
              </w:rPr>
              <w:t>(25–27)</w:t>
            </w:r>
            <w:r>
              <w:rPr>
                <w:rFonts w:ascii="Times New Roman" w:hAnsi="Times New Roman" w:cs="Times New Roman"/>
                <w:sz w:val="24"/>
                <w:szCs w:val="24"/>
              </w:rPr>
              <w:fldChar w:fldCharType="end"/>
            </w:r>
          </w:p>
        </w:tc>
      </w:tr>
      <w:tr w:rsidR="005D7873" w:rsidRPr="00202600" w14:paraId="07540A88" w14:textId="77777777" w:rsidTr="007F3B0C">
        <w:tc>
          <w:tcPr>
            <w:tcW w:w="5231" w:type="dxa"/>
            <w:tcBorders>
              <w:top w:val="nil"/>
              <w:left w:val="nil"/>
              <w:bottom w:val="nil"/>
              <w:right w:val="nil"/>
            </w:tcBorders>
          </w:tcPr>
          <w:p w14:paraId="48226D48" w14:textId="77777777" w:rsidR="005D7873" w:rsidRPr="00202600" w:rsidRDefault="005D7873" w:rsidP="00D55003">
            <w:pPr>
              <w:spacing w:line="480" w:lineRule="auto"/>
              <w:ind w:left="720" w:right="180"/>
              <w:contextualSpacing/>
              <w:rPr>
                <w:rFonts w:ascii="Times New Roman" w:hAnsi="Times New Roman" w:cs="Times New Roman"/>
                <w:sz w:val="24"/>
                <w:szCs w:val="24"/>
              </w:rPr>
            </w:pPr>
            <w:r w:rsidRPr="00202600">
              <w:rPr>
                <w:rFonts w:ascii="Times New Roman" w:hAnsi="Times New Roman" w:cs="Times New Roman"/>
                <w:sz w:val="24"/>
                <w:szCs w:val="24"/>
              </w:rPr>
              <w:t>Asymptomatic to mild/moderate state</w:t>
            </w:r>
          </w:p>
        </w:tc>
        <w:tc>
          <w:tcPr>
            <w:tcW w:w="1662" w:type="dxa"/>
            <w:tcBorders>
              <w:top w:val="nil"/>
              <w:left w:val="nil"/>
              <w:bottom w:val="nil"/>
              <w:right w:val="nil"/>
            </w:tcBorders>
          </w:tcPr>
          <w:p w14:paraId="6BC72E62"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w:t>
            </w:r>
          </w:p>
        </w:tc>
        <w:tc>
          <w:tcPr>
            <w:tcW w:w="1662" w:type="dxa"/>
            <w:tcBorders>
              <w:top w:val="nil"/>
              <w:left w:val="nil"/>
              <w:bottom w:val="nil"/>
              <w:right w:val="nil"/>
            </w:tcBorders>
          </w:tcPr>
          <w:p w14:paraId="534B4D87"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2.0</w:t>
            </w:r>
          </w:p>
        </w:tc>
        <w:tc>
          <w:tcPr>
            <w:tcW w:w="1662" w:type="dxa"/>
            <w:tcBorders>
              <w:top w:val="nil"/>
              <w:left w:val="nil"/>
              <w:bottom w:val="nil"/>
              <w:right w:val="nil"/>
            </w:tcBorders>
          </w:tcPr>
          <w:p w14:paraId="0AEA0B7D"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2.0</w:t>
            </w:r>
          </w:p>
        </w:tc>
        <w:tc>
          <w:tcPr>
            <w:tcW w:w="1483" w:type="dxa"/>
            <w:tcBorders>
              <w:top w:val="nil"/>
              <w:left w:val="nil"/>
              <w:bottom w:val="nil"/>
              <w:right w:val="nil"/>
            </w:tcBorders>
          </w:tcPr>
          <w:p w14:paraId="4FC76CE9"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2.0</w:t>
            </w:r>
          </w:p>
        </w:tc>
        <w:tc>
          <w:tcPr>
            <w:tcW w:w="1977" w:type="dxa"/>
            <w:tcBorders>
              <w:top w:val="nil"/>
              <w:left w:val="nil"/>
              <w:bottom w:val="nil"/>
              <w:right w:val="nil"/>
            </w:tcBorders>
            <w:vAlign w:val="center"/>
          </w:tcPr>
          <w:p w14:paraId="30AA10D2" w14:textId="32DFFB34" w:rsidR="005D7873" w:rsidRPr="00202600" w:rsidRDefault="005D7873" w:rsidP="005D787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GkidmnYC","properties":{"formattedCitation":"(27)","plainCitation":"(27)","noteIndex":0},"citationItems":[{"id":55,"uris":["http://zotero.org/users/local/jMRSEXDw/items/DHYIH5D4"],"uri":["http://zotero.org/users/local/jMRSEXDw/items/DHYIH5D4"],"itemData":{"id":55,"type":"article-journal","abstract":"We report temporal patterns of viral shedding in 94 patients with laboratory-confirmed COVID-19 and modeled COVID-19 infectiousness profiles from a separate sample of 77 infector-infectee transmission pairs. We observed the highest viral load in throat swabs at the time of symptom onset, and inferred that infectiousness peaked on or before symptom onset. We estimated that 44% (95% confidence interval, 25-69%) of secondary cases were infected during the index cases' presymptomatic stage, in settings with substantial household clustering, active case finding and quarantine outside the home. Disease control measures should be adjusted to account for probable substantial presymptomatic transmission.","container-title":"Nature Medicine","DOI":"10.1038/s41591-020-0869-5","ISSN":"1546-170X","issue":"5","journalAbbreviation":"Nat. Med.","language":"eng","note":"PMID: 32296168","page":"672-675","source":"PubMed","title":"Temporal dynamics in viral shedding and transmissibility of COVID-19","volume":"26","author":[{"family":"He","given":"Xi"},{"family":"Lau","given":"Eric H. Y."},{"family":"Wu","given":"Peng"},{"family":"Deng","given":"Xilong"},{"family":"Wang","given":"Jian"},{"family":"Hao","given":"Xinxin"},{"family":"Lau","given":"Yiu Chung"},{"family":"Wong","given":"Jessica Y."},{"family":"Guan","given":"Yujuan"},{"family":"Tan","given":"Xinghua"},{"family":"Mo","given":"Xiaoneng"},{"family":"Chen","given":"Yanqing"},{"family":"Liao","given":"Baolin"},{"family":"Chen","given":"Weilie"},{"family":"Hu","given":"Fengyu"},{"family":"Zhang","given":"Qing"},{"family":"Zhong","given":"Mingqiu"},{"family":"Wu","given":"Yanrong"},{"family":"Zhao","given":"Lingzhai"},{"family":"Zhang","given":"Fuchun"},{"family":"Cowling","given":"Benjamin J."},{"family":"Li","given":"Fang"},{"family":"Leung","given":"Gabriel M."}],"issued":{"date-parts":[["2020"]]}}}],"schema":"https://github.com/citation-style-language/schema/raw/master/csl-citation.json"} </w:instrText>
            </w:r>
            <w:r>
              <w:rPr>
                <w:rFonts w:ascii="Times New Roman" w:hAnsi="Times New Roman" w:cs="Times New Roman"/>
                <w:sz w:val="24"/>
                <w:szCs w:val="24"/>
              </w:rPr>
              <w:fldChar w:fldCharType="separate"/>
            </w:r>
            <w:r w:rsidR="00DA615A" w:rsidRPr="00DA615A">
              <w:rPr>
                <w:rFonts w:ascii="Times New Roman" w:hAnsi="Times New Roman" w:cs="Times New Roman"/>
                <w:sz w:val="24"/>
              </w:rPr>
              <w:t>(27)</w:t>
            </w:r>
            <w:r>
              <w:rPr>
                <w:rFonts w:ascii="Times New Roman" w:hAnsi="Times New Roman" w:cs="Times New Roman"/>
                <w:sz w:val="24"/>
                <w:szCs w:val="24"/>
              </w:rPr>
              <w:fldChar w:fldCharType="end"/>
            </w:r>
          </w:p>
        </w:tc>
      </w:tr>
      <w:tr w:rsidR="005D7873" w:rsidRPr="00202600" w14:paraId="6795627C" w14:textId="77777777" w:rsidTr="007F3B0C">
        <w:tc>
          <w:tcPr>
            <w:tcW w:w="5231" w:type="dxa"/>
            <w:tcBorders>
              <w:top w:val="nil"/>
              <w:left w:val="nil"/>
              <w:bottom w:val="nil"/>
              <w:right w:val="nil"/>
            </w:tcBorders>
          </w:tcPr>
          <w:p w14:paraId="3E24A666" w14:textId="77777777" w:rsidR="005D7873" w:rsidRPr="00202600" w:rsidRDefault="005D7873" w:rsidP="00D55003">
            <w:pPr>
              <w:spacing w:line="480" w:lineRule="auto"/>
              <w:ind w:left="720" w:right="180"/>
              <w:contextualSpacing/>
              <w:rPr>
                <w:rFonts w:ascii="Times New Roman" w:hAnsi="Times New Roman" w:cs="Times New Roman"/>
                <w:sz w:val="24"/>
                <w:szCs w:val="24"/>
              </w:rPr>
            </w:pPr>
            <w:r w:rsidRPr="00202600">
              <w:rPr>
                <w:rFonts w:ascii="Times New Roman" w:hAnsi="Times New Roman" w:cs="Times New Roman"/>
                <w:sz w:val="24"/>
                <w:szCs w:val="24"/>
              </w:rPr>
              <w:t>Mild/moderate to severe state</w:t>
            </w:r>
          </w:p>
        </w:tc>
        <w:tc>
          <w:tcPr>
            <w:tcW w:w="1662" w:type="dxa"/>
            <w:tcBorders>
              <w:top w:val="nil"/>
              <w:left w:val="nil"/>
              <w:bottom w:val="nil"/>
              <w:right w:val="nil"/>
            </w:tcBorders>
          </w:tcPr>
          <w:p w14:paraId="1F106A3A"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w:t>
            </w:r>
          </w:p>
        </w:tc>
        <w:tc>
          <w:tcPr>
            <w:tcW w:w="1662" w:type="dxa"/>
            <w:tcBorders>
              <w:top w:val="nil"/>
              <w:left w:val="nil"/>
              <w:bottom w:val="nil"/>
              <w:right w:val="nil"/>
            </w:tcBorders>
          </w:tcPr>
          <w:p w14:paraId="53C7FE5F"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w:t>
            </w:r>
          </w:p>
        </w:tc>
        <w:tc>
          <w:tcPr>
            <w:tcW w:w="1662" w:type="dxa"/>
            <w:tcBorders>
              <w:top w:val="nil"/>
              <w:left w:val="nil"/>
              <w:bottom w:val="nil"/>
              <w:right w:val="nil"/>
            </w:tcBorders>
          </w:tcPr>
          <w:p w14:paraId="3A767168"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6.5</w:t>
            </w:r>
          </w:p>
        </w:tc>
        <w:tc>
          <w:tcPr>
            <w:tcW w:w="1483" w:type="dxa"/>
            <w:tcBorders>
              <w:top w:val="nil"/>
              <w:left w:val="nil"/>
              <w:bottom w:val="nil"/>
              <w:right w:val="nil"/>
            </w:tcBorders>
          </w:tcPr>
          <w:p w14:paraId="6CE97606"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3.0</w:t>
            </w:r>
          </w:p>
        </w:tc>
        <w:tc>
          <w:tcPr>
            <w:tcW w:w="1977" w:type="dxa"/>
            <w:tcBorders>
              <w:top w:val="nil"/>
              <w:left w:val="nil"/>
              <w:bottom w:val="nil"/>
              <w:right w:val="nil"/>
            </w:tcBorders>
            <w:vAlign w:val="center"/>
          </w:tcPr>
          <w:p w14:paraId="5361BCD0" w14:textId="182C475F" w:rsidR="005D7873" w:rsidRPr="00202600" w:rsidRDefault="005D7873" w:rsidP="005D787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MUjHwSGY","properties":{"formattedCitation":"(17)","plainCitation":"(17)","noteIndex":0},"citationItems":[{"id":44,"uris":["http://zotero.org/users/local/jMRSEXDw/items/R2F87UCU"],"uri":["http://zotero.org/users/local/jMRSEXDw/items/R2F87UCU"],"itemData":{"id":44,"type":"article-journal","abstract":"Importance: In December 2019, novel coronavirus (2019-nCoV)-infected pneumonia (NCIP) occurred in Wuhan, China. The number of cases has increased rapidly but information on the clinical characteristics of affected patients is limited.\nObjective: To describe the epidemiological and clinical characteristics of NCIP.\nDesign, Setting, and Participants: Retrospective, single-center case series of the 138 consecutive hospitalized patients with confirmed NCIP at Zhongnan Hospital of Wuhan University in Wuhan, China, from January 1 to January 28, 2020; final date of follow-up was February 3, 2020.\nExposures: Documented NCIP.\nMain Outcomes and Measures: Epidemiological, demographic, clinical, laboratory, radiological, and treatment data were collected and analyzed. Outcomes of critically ill patients and noncritically ill patients were compared. Presumed hospital-related transmission was suspected if a cluster of health professionals or hospitalized patients in the same wards became infected and a possible source of infection could be tracked.\nResults: Of 138 hospitalized patients with NCIP, the median age was 56 years (interquartile range, 42-68; range, 22-92 years) and 75 (54.3%) were men. Hospital-associated transmission was suspected as the presumed mechanism of infection for affected health professionals (40 [29%]) and hospitalized patients (17 [12.3%]). Common symptoms included fever (136 [98.6%]), fatigue (96 [69.6%]), and dry cough (82 [59.4%]). Lymphopenia (lymphocyte count, 0.8 × 109/L [interquartile range {IQR}, 0.6-1.1]) occurred in 97 patients (70.3%), prolonged prothrombin time (13.0 seconds [IQR, 12.3-13.7]) in 80 patients (58%), and elevated lactate dehydrogenase (261 U/L [IQR, 182-403]) in 55 patients (39.9%). Chest computed tomographic scans showed bilateral patchy shadows or ground glass opacity in the lungs of all patients. Most patients received antiviral therapy (oseltamivir, 124 [89.9%]), and many received antibacterial therapy (moxifloxacin, 89 [64.4%]; ceftriaxone, 34 [24.6%]; azithromycin, 25 [18.1%]) and glucocorticoid therapy (62 [44.9%]). Thirty-six patients (26.1%) were transferred to the intensive care unit (ICU) because of complications, including acute respiratory distress syndrome (22 [61.1%]), arrhythmia (16 [44.4%]), and shock (11 [30.6%]). The median time from first symptom to dyspnea was 5.0 days, to hospital admission was 7.0 days, and to ARDS was 8.0 days. Patients treated in the ICU (n = 36), compared with patients not treated in the ICU (n = 102), were older (median age, 66 years vs 51 years), were more likely to have underlying comorbidities (26 [72.2%] vs 38 [37.3%]), and were more likely to have dyspnea (23 [63.9%] vs 20 [19.6%]), and anorexia (24 [66.7%] vs 31 [30.4%]). Of the 36 cases in the ICU, 4 (11.1%) received high-flow oxygen therapy, 15 (41.7%) received noninvasive ventilation, and 17 (47.2%) received invasive ventilation (4 were switched to extracorporeal membrane oxygenation). As of February 3, 47 patients (34.1%) were discharged and 6 died (overall mortality, 4.3%), but the remaining patients are still hospitalized. Among those discharged alive (n = 47), the median hospital stay was 10 days (IQR, 7.0-14.0).\nConclusions and Relevance: In this single-center case series of 138 hospitalized patients with confirmed NCIP in Wuhan, China, presumed hospital-related transmission of 2019-nCoV was suspected in 41% of patients, 26% of patients received ICU care, and mortality was 4.3%.","container-title":"JAMA","DOI":"10.1001/jama.2020.1585","ISSN":"1538-3598","journalAbbreviation":"JAMA","language":"eng","note":"PMID: 32031570\nPMCID: PMC7042881","source":"PubMed","title":"Clinical characteristics of 138 hospitalized patients with 2019 novel coronavirus-infected pneumonia in Wuhan, China","author":[{"family":"Wang","given":"Dawei"},{"family":"Hu","given":"Bo"},{"family":"Hu","given":"Chang"},{"family":"Zhu","given":"Fangfang"},{"family":"Liu","given":"Xing"},{"family":"Zhang","given":"Jing"},{"family":"Wang","given":"Binbin"},{"family":"Xiang","given":"Hui"},{"family":"Cheng","given":"Zhenshun"},{"family":"Xiong","given":"Yong"},{"family":"Zhao","given":"Yan"},{"family":"Li","given":"Yirong"},{"family":"Wang","given":"Xinghuan"},{"family":"Peng","given":"Zhiyong"}],"issued":{"date-parts":[["2020",2,7]]}}}],"schema":"https://github.com/citation-style-language/schema/raw/master/csl-citation.json"} </w:instrText>
            </w:r>
            <w:r>
              <w:rPr>
                <w:rFonts w:ascii="Times New Roman" w:hAnsi="Times New Roman" w:cs="Times New Roman"/>
                <w:sz w:val="24"/>
                <w:szCs w:val="24"/>
              </w:rPr>
              <w:fldChar w:fldCharType="separate"/>
            </w:r>
            <w:r w:rsidR="00DA615A" w:rsidRPr="00DA615A">
              <w:rPr>
                <w:rFonts w:ascii="Times New Roman" w:hAnsi="Times New Roman" w:cs="Times New Roman"/>
                <w:sz w:val="24"/>
              </w:rPr>
              <w:t>(17)</w:t>
            </w:r>
            <w:r>
              <w:rPr>
                <w:rFonts w:ascii="Times New Roman" w:hAnsi="Times New Roman" w:cs="Times New Roman"/>
                <w:sz w:val="24"/>
                <w:szCs w:val="24"/>
              </w:rPr>
              <w:fldChar w:fldCharType="end"/>
            </w:r>
          </w:p>
        </w:tc>
      </w:tr>
      <w:tr w:rsidR="005D7873" w:rsidRPr="00202600" w14:paraId="79C4A652" w14:textId="77777777" w:rsidTr="007F3B0C">
        <w:tc>
          <w:tcPr>
            <w:tcW w:w="5231" w:type="dxa"/>
            <w:tcBorders>
              <w:top w:val="nil"/>
              <w:left w:val="nil"/>
              <w:bottom w:val="nil"/>
              <w:right w:val="nil"/>
            </w:tcBorders>
          </w:tcPr>
          <w:p w14:paraId="68F0109A" w14:textId="77777777" w:rsidR="005D7873" w:rsidRPr="00202600" w:rsidRDefault="005D7873" w:rsidP="00D55003">
            <w:pPr>
              <w:spacing w:line="480" w:lineRule="auto"/>
              <w:ind w:left="720" w:right="180"/>
              <w:contextualSpacing/>
              <w:rPr>
                <w:rFonts w:ascii="Times New Roman" w:hAnsi="Times New Roman" w:cs="Times New Roman"/>
                <w:sz w:val="24"/>
                <w:szCs w:val="24"/>
              </w:rPr>
            </w:pPr>
            <w:r w:rsidRPr="00202600">
              <w:rPr>
                <w:rFonts w:ascii="Times New Roman" w:hAnsi="Times New Roman" w:cs="Times New Roman"/>
                <w:sz w:val="24"/>
                <w:szCs w:val="24"/>
              </w:rPr>
              <w:t>Severe to critical illness state</w:t>
            </w:r>
          </w:p>
        </w:tc>
        <w:tc>
          <w:tcPr>
            <w:tcW w:w="1662" w:type="dxa"/>
            <w:tcBorders>
              <w:top w:val="nil"/>
              <w:left w:val="nil"/>
              <w:bottom w:val="nil"/>
              <w:right w:val="nil"/>
            </w:tcBorders>
          </w:tcPr>
          <w:p w14:paraId="5CB9D0D1"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w:t>
            </w:r>
          </w:p>
        </w:tc>
        <w:tc>
          <w:tcPr>
            <w:tcW w:w="1662" w:type="dxa"/>
            <w:tcBorders>
              <w:top w:val="nil"/>
              <w:left w:val="nil"/>
              <w:bottom w:val="nil"/>
              <w:right w:val="nil"/>
            </w:tcBorders>
          </w:tcPr>
          <w:p w14:paraId="5F8CB8D7"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w:t>
            </w:r>
          </w:p>
        </w:tc>
        <w:tc>
          <w:tcPr>
            <w:tcW w:w="1662" w:type="dxa"/>
            <w:tcBorders>
              <w:top w:val="nil"/>
              <w:left w:val="nil"/>
              <w:bottom w:val="nil"/>
              <w:right w:val="nil"/>
            </w:tcBorders>
          </w:tcPr>
          <w:p w14:paraId="349C04EB"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10.5</w:t>
            </w:r>
          </w:p>
        </w:tc>
        <w:tc>
          <w:tcPr>
            <w:tcW w:w="1483" w:type="dxa"/>
            <w:tcBorders>
              <w:top w:val="nil"/>
              <w:left w:val="nil"/>
              <w:bottom w:val="nil"/>
              <w:right w:val="nil"/>
            </w:tcBorders>
          </w:tcPr>
          <w:p w14:paraId="60758C07"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7.1</w:t>
            </w:r>
          </w:p>
        </w:tc>
        <w:tc>
          <w:tcPr>
            <w:tcW w:w="1977" w:type="dxa"/>
            <w:tcBorders>
              <w:top w:val="nil"/>
              <w:left w:val="nil"/>
              <w:bottom w:val="nil"/>
              <w:right w:val="nil"/>
            </w:tcBorders>
            <w:vAlign w:val="center"/>
          </w:tcPr>
          <w:p w14:paraId="1889CE86" w14:textId="53802170" w:rsidR="005D7873" w:rsidRPr="00202600" w:rsidRDefault="005D7873" w:rsidP="005D787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si66UkZb","properties":{"formattedCitation":"(28)","plainCitation":"(28)","noteIndex":0},"citationItems":[{"id":59,"uris":["http://zotero.org/users/local/jMRSEXDw/items/HVBFRIA3"],"uri":["http://zotero.org/users/local/jMRSEXDw/items/HVBFRIA3"],"itemData":{"id":59,"type":"article-journal","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described.\nMETHODS: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death.\nFINDINGS: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days.\nINTERPRETATION: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future.\nFUNDING: Chinese Academy of Medical Sciences Innovation Fund for Medical Sciences; National Science Grant for Distinguished Young Scholars; National Key Research and Development Program of China; The Beijing Science and Technology Project; and Major Projects of National Science and Technology on New Drug Creation and Development.","container-title":"Lancet (London, England)","DOI":"10.1016/S0140-6736(20)30566-3","ISSN":"1474-547X","issue":"10229","journalAbbreviation":"Lancet","language":"eng","note":"PMID: 32171076\nPMCID: PMC7270627","page":"1054-1062","source":"PubMed","title":"Clinical course and risk factors for mortality of adult inpatients with COVID-19 in Wuhan, China: a retrospective cohort study","title-short":"Clinical course and risk factors for mortality of adult inpatients with COVID-19 in Wuhan, China","volume":"395","author":[{"family":"Zhou","given":"Fei"},{"family":"Yu","given":"Ting"},{"family":"Du","given":"Ronghui"},{"family":"Fan","given":"Guohui"},{"family":"Liu","given":"Ying"},{"family":"Liu","given":"Zhibo"},{"family":"Xiang","given":"Jie"},{"family":"Wang","given":"Yeming"},{"family":"Song","given":"Bin"},{"family":"Gu","given":"Xiaoying"},{"family":"Guan","given":"Lulu"},{"family":"Wei","given":"Yuan"},{"family":"Li","given":"Hui"},{"family":"Wu","given":"Xudong"},{"family":"Xu","given":"Jiuyang"},{"family":"Tu","given":"Shengjin"},{"family":"Zhang","given":"Yi"},{"family":"Chen","given":"Hua"},{"family":"Cao","given":"Bin"}],"issued":{"date-parts":[["2020"]],"season":"28"}}}],"schema":"https://github.com/citation-style-language/schema/raw/master/csl-citation.json"} </w:instrText>
            </w:r>
            <w:r>
              <w:rPr>
                <w:rFonts w:ascii="Times New Roman" w:hAnsi="Times New Roman" w:cs="Times New Roman"/>
                <w:sz w:val="24"/>
                <w:szCs w:val="24"/>
              </w:rPr>
              <w:fldChar w:fldCharType="separate"/>
            </w:r>
            <w:r w:rsidR="00DA615A" w:rsidRPr="00DA615A">
              <w:rPr>
                <w:rFonts w:ascii="Times New Roman" w:hAnsi="Times New Roman" w:cs="Times New Roman"/>
                <w:sz w:val="24"/>
              </w:rPr>
              <w:t>(28)</w:t>
            </w:r>
            <w:r>
              <w:rPr>
                <w:rFonts w:ascii="Times New Roman" w:hAnsi="Times New Roman" w:cs="Times New Roman"/>
                <w:sz w:val="24"/>
                <w:szCs w:val="24"/>
              </w:rPr>
              <w:fldChar w:fldCharType="end"/>
            </w:r>
          </w:p>
        </w:tc>
      </w:tr>
      <w:tr w:rsidR="005D7873" w:rsidRPr="00202600" w14:paraId="2C3BAC0D" w14:textId="77777777" w:rsidTr="007F3B0C">
        <w:tc>
          <w:tcPr>
            <w:tcW w:w="5231" w:type="dxa"/>
            <w:tcBorders>
              <w:top w:val="nil"/>
              <w:left w:val="nil"/>
              <w:bottom w:val="single" w:sz="4" w:space="0" w:color="auto"/>
              <w:right w:val="nil"/>
            </w:tcBorders>
          </w:tcPr>
          <w:p w14:paraId="082D881C" w14:textId="77777777" w:rsidR="005D7873" w:rsidRPr="00202600" w:rsidRDefault="005D7873" w:rsidP="00D55003">
            <w:pPr>
              <w:spacing w:line="480" w:lineRule="auto"/>
              <w:ind w:left="720" w:right="180"/>
              <w:contextualSpacing/>
              <w:rPr>
                <w:rFonts w:ascii="Times New Roman" w:hAnsi="Times New Roman" w:cs="Times New Roman"/>
                <w:sz w:val="24"/>
                <w:szCs w:val="24"/>
              </w:rPr>
            </w:pPr>
            <w:r w:rsidRPr="00202600">
              <w:rPr>
                <w:rFonts w:ascii="Times New Roman" w:hAnsi="Times New Roman" w:cs="Times New Roman"/>
                <w:sz w:val="24"/>
                <w:szCs w:val="24"/>
              </w:rPr>
              <w:lastRenderedPageBreak/>
              <w:t>Critical illness to recuperation state</w:t>
            </w:r>
          </w:p>
        </w:tc>
        <w:tc>
          <w:tcPr>
            <w:tcW w:w="1662" w:type="dxa"/>
            <w:tcBorders>
              <w:top w:val="nil"/>
              <w:left w:val="nil"/>
              <w:bottom w:val="single" w:sz="4" w:space="0" w:color="auto"/>
              <w:right w:val="nil"/>
            </w:tcBorders>
          </w:tcPr>
          <w:p w14:paraId="55CB5870"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w:t>
            </w:r>
          </w:p>
        </w:tc>
        <w:tc>
          <w:tcPr>
            <w:tcW w:w="1662" w:type="dxa"/>
            <w:tcBorders>
              <w:top w:val="nil"/>
              <w:left w:val="nil"/>
              <w:bottom w:val="single" w:sz="4" w:space="0" w:color="auto"/>
              <w:right w:val="nil"/>
            </w:tcBorders>
          </w:tcPr>
          <w:p w14:paraId="750C985A"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w:t>
            </w:r>
          </w:p>
        </w:tc>
        <w:tc>
          <w:tcPr>
            <w:tcW w:w="1662" w:type="dxa"/>
            <w:tcBorders>
              <w:top w:val="nil"/>
              <w:left w:val="nil"/>
              <w:bottom w:val="single" w:sz="4" w:space="0" w:color="auto"/>
              <w:right w:val="nil"/>
            </w:tcBorders>
          </w:tcPr>
          <w:p w14:paraId="7F3DA276"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w:t>
            </w:r>
          </w:p>
        </w:tc>
        <w:tc>
          <w:tcPr>
            <w:tcW w:w="1483" w:type="dxa"/>
            <w:tcBorders>
              <w:top w:val="nil"/>
              <w:left w:val="nil"/>
              <w:bottom w:val="single" w:sz="4" w:space="0" w:color="auto"/>
              <w:right w:val="nil"/>
            </w:tcBorders>
          </w:tcPr>
          <w:p w14:paraId="7A8E8D1D" w14:textId="77777777" w:rsidR="005D7873" w:rsidRPr="00202600" w:rsidRDefault="005D7873" w:rsidP="005D7873">
            <w:pPr>
              <w:spacing w:line="480" w:lineRule="auto"/>
              <w:contextualSpacing/>
              <w:jc w:val="center"/>
              <w:rPr>
                <w:rFonts w:ascii="Times New Roman" w:hAnsi="Times New Roman" w:cs="Times New Roman"/>
                <w:sz w:val="24"/>
                <w:szCs w:val="24"/>
              </w:rPr>
            </w:pPr>
            <w:r w:rsidRPr="00202600">
              <w:rPr>
                <w:rFonts w:ascii="Times New Roman" w:hAnsi="Times New Roman" w:cs="Times New Roman"/>
                <w:sz w:val="24"/>
                <w:szCs w:val="24"/>
              </w:rPr>
              <w:t>11.9</w:t>
            </w:r>
          </w:p>
        </w:tc>
        <w:tc>
          <w:tcPr>
            <w:tcW w:w="1977" w:type="dxa"/>
            <w:tcBorders>
              <w:top w:val="nil"/>
              <w:left w:val="nil"/>
              <w:bottom w:val="single" w:sz="4" w:space="0" w:color="auto"/>
              <w:right w:val="nil"/>
            </w:tcBorders>
            <w:vAlign w:val="center"/>
          </w:tcPr>
          <w:p w14:paraId="49C8824D" w14:textId="7C67BD37" w:rsidR="005D7873" w:rsidRPr="00202600" w:rsidRDefault="005D7873" w:rsidP="005D787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HbtLiZuE","properties":{"formattedCitation":"(28)","plainCitation":"(28)","noteIndex":0},"citationItems":[{"id":59,"uris":["http://zotero.org/users/local/jMRSEXDw/items/HVBFRIA3"],"uri":["http://zotero.org/users/local/jMRSEXDw/items/HVBFRIA3"],"itemData":{"id":59,"type":"article-journal","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described.\nMETHODS: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death.\nFINDINGS: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days.\nINTERPRETATION: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future.\nFUNDING: Chinese Academy of Medical Sciences Innovation Fund for Medical Sciences; National Science Grant for Distinguished Young Scholars; National Key Research and Development Program of China; The Beijing Science and Technology Project; and Major Projects of National Science and Technology on New Drug Creation and Development.","container-title":"Lancet (London, England)","DOI":"10.1016/S0140-6736(20)30566-3","ISSN":"1474-547X","issue":"10229","journalAbbreviation":"Lancet","language":"eng","note":"PMID: 32171076\nPMCID: PMC7270627","page":"1054-1062","source":"PubMed","title":"Clinical course and risk factors for mortality of adult inpatients with COVID-19 in Wuhan, China: a retrospective cohort study","title-short":"Clinical course and risk factors for mortality of adult inpatients with COVID-19 in Wuhan, China","volume":"395","author":[{"family":"Zhou","given":"Fei"},{"family":"Yu","given":"Ting"},{"family":"Du","given":"Ronghui"},{"family":"Fan","given":"Guohui"},{"family":"Liu","given":"Ying"},{"family":"Liu","given":"Zhibo"},{"family":"Xiang","given":"Jie"},{"family":"Wang","given":"Yeming"},{"family":"Song","given":"Bin"},{"family":"Gu","given":"Xiaoying"},{"family":"Guan","given":"Lulu"},{"family":"Wei","given":"Yuan"},{"family":"Li","given":"Hui"},{"family":"Wu","given":"Xudong"},{"family":"Xu","given":"Jiuyang"},{"family":"Tu","given":"Shengjin"},{"family":"Zhang","given":"Yi"},{"family":"Chen","given":"Hua"},{"family":"Cao","given":"Bin"}],"issued":{"date-parts":[["2020"]],"season":"28"}}}],"schema":"https://github.com/citation-style-language/schema/raw/master/csl-citation.json"} </w:instrText>
            </w:r>
            <w:r>
              <w:rPr>
                <w:rFonts w:ascii="Times New Roman" w:hAnsi="Times New Roman" w:cs="Times New Roman"/>
                <w:sz w:val="24"/>
                <w:szCs w:val="24"/>
              </w:rPr>
              <w:fldChar w:fldCharType="separate"/>
            </w:r>
            <w:r w:rsidR="00DA615A" w:rsidRPr="00DA615A">
              <w:rPr>
                <w:rFonts w:ascii="Times New Roman" w:hAnsi="Times New Roman" w:cs="Times New Roman"/>
                <w:sz w:val="24"/>
              </w:rPr>
              <w:t>(28)</w:t>
            </w:r>
            <w:r>
              <w:rPr>
                <w:rFonts w:ascii="Times New Roman" w:hAnsi="Times New Roman" w:cs="Times New Roman"/>
                <w:sz w:val="24"/>
                <w:szCs w:val="24"/>
              </w:rPr>
              <w:fldChar w:fldCharType="end"/>
            </w:r>
          </w:p>
        </w:tc>
      </w:tr>
    </w:tbl>
    <w:p w14:paraId="63C84DDF" w14:textId="77777777" w:rsidR="00AD5DD1" w:rsidRDefault="00AD5DD1">
      <w:pPr>
        <w:rPr>
          <w:rFonts w:ascii="Times New Roman" w:hAnsi="Times New Roman" w:cs="Times New Roman"/>
          <w:sz w:val="24"/>
          <w:szCs w:val="24"/>
        </w:rPr>
      </w:pPr>
      <w:r>
        <w:rPr>
          <w:rFonts w:ascii="Times New Roman" w:hAnsi="Times New Roman" w:cs="Times New Roman"/>
          <w:sz w:val="24"/>
          <w:szCs w:val="24"/>
        </w:rPr>
        <w:br w:type="page"/>
      </w:r>
    </w:p>
    <w:p w14:paraId="5013E0EF" w14:textId="646231C9" w:rsidR="00762638" w:rsidRDefault="00AD5DD1">
      <w:pPr>
        <w:rPr>
          <w:rFonts w:ascii="Times New Roman" w:hAnsi="Times New Roman" w:cs="Times New Roman"/>
          <w:sz w:val="24"/>
          <w:szCs w:val="24"/>
        </w:rPr>
      </w:pPr>
      <w:r w:rsidRPr="00202600">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S</w:t>
      </w:r>
      <w:r w:rsidRPr="00202600">
        <w:rPr>
          <w:rFonts w:ascii="Times New Roman" w:hAnsi="Times New Roman" w:cs="Times New Roman"/>
          <w:b/>
          <w:bCs/>
          <w:sz w:val="24"/>
          <w:szCs w:val="24"/>
        </w:rPr>
        <w:t>1, continued</w:t>
      </w:r>
      <w:r w:rsidRPr="00202600">
        <w:rPr>
          <w:rFonts w:ascii="Times New Roman" w:hAnsi="Times New Roman" w:cs="Times New Roman"/>
          <w:sz w:val="24"/>
          <w:szCs w:val="24"/>
        </w:rPr>
        <w:t>. Clinical characteristics of COVID-19 infection in the US</w:t>
      </w:r>
    </w:p>
    <w:tbl>
      <w:tblPr>
        <w:tblStyle w:val="TableGrid"/>
        <w:tblW w:w="13677" w:type="dxa"/>
        <w:tblLook w:val="04A0" w:firstRow="1" w:lastRow="0" w:firstColumn="1" w:lastColumn="0" w:noHBand="0" w:noVBand="1"/>
      </w:tblPr>
      <w:tblGrid>
        <w:gridCol w:w="5231"/>
        <w:gridCol w:w="1662"/>
        <w:gridCol w:w="1662"/>
        <w:gridCol w:w="1662"/>
        <w:gridCol w:w="1483"/>
        <w:gridCol w:w="1977"/>
      </w:tblGrid>
      <w:tr w:rsidR="00AD5DD1" w:rsidRPr="00202600" w14:paraId="01BE2424" w14:textId="77777777" w:rsidTr="00CB73F8">
        <w:tc>
          <w:tcPr>
            <w:tcW w:w="5231" w:type="dxa"/>
            <w:tcBorders>
              <w:top w:val="single" w:sz="4" w:space="0" w:color="auto"/>
              <w:left w:val="nil"/>
              <w:bottom w:val="single" w:sz="4" w:space="0" w:color="auto"/>
              <w:right w:val="nil"/>
            </w:tcBorders>
          </w:tcPr>
          <w:p w14:paraId="13E8A66A" w14:textId="77777777" w:rsidR="00AD5DD1" w:rsidRPr="00202600" w:rsidRDefault="00AD5DD1" w:rsidP="00CB73F8">
            <w:pPr>
              <w:spacing w:line="480" w:lineRule="auto"/>
              <w:ind w:right="180"/>
              <w:rPr>
                <w:rFonts w:ascii="Times New Roman" w:hAnsi="Times New Roman" w:cs="Times New Roman"/>
                <w:b/>
                <w:bCs/>
                <w:sz w:val="24"/>
                <w:szCs w:val="24"/>
              </w:rPr>
            </w:pPr>
            <w:r w:rsidRPr="00202600">
              <w:rPr>
                <w:rFonts w:ascii="Times New Roman" w:hAnsi="Times New Roman" w:cs="Times New Roman"/>
                <w:b/>
                <w:bCs/>
                <w:sz w:val="24"/>
                <w:szCs w:val="24"/>
              </w:rPr>
              <w:t>Parameter</w:t>
            </w:r>
          </w:p>
        </w:tc>
        <w:tc>
          <w:tcPr>
            <w:tcW w:w="6469" w:type="dxa"/>
            <w:gridSpan w:val="4"/>
            <w:tcBorders>
              <w:top w:val="single" w:sz="4" w:space="0" w:color="auto"/>
              <w:left w:val="nil"/>
              <w:bottom w:val="single" w:sz="4" w:space="0" w:color="auto"/>
              <w:right w:val="nil"/>
            </w:tcBorders>
          </w:tcPr>
          <w:p w14:paraId="5F44F9A3" w14:textId="77777777" w:rsidR="00AD5DD1" w:rsidRPr="00202600" w:rsidRDefault="00AD5DD1" w:rsidP="00CB73F8">
            <w:pPr>
              <w:spacing w:line="480" w:lineRule="auto"/>
              <w:jc w:val="center"/>
              <w:rPr>
                <w:rFonts w:ascii="Times New Roman" w:hAnsi="Times New Roman" w:cs="Times New Roman"/>
                <w:b/>
                <w:bCs/>
                <w:sz w:val="24"/>
                <w:szCs w:val="24"/>
              </w:rPr>
            </w:pPr>
            <w:r w:rsidRPr="00202600">
              <w:rPr>
                <w:rFonts w:ascii="Times New Roman" w:hAnsi="Times New Roman" w:cs="Times New Roman"/>
                <w:b/>
                <w:bCs/>
                <w:sz w:val="24"/>
                <w:szCs w:val="24"/>
              </w:rPr>
              <w:t>Value</w:t>
            </w:r>
          </w:p>
        </w:tc>
        <w:tc>
          <w:tcPr>
            <w:tcW w:w="1977" w:type="dxa"/>
            <w:tcBorders>
              <w:top w:val="single" w:sz="4" w:space="0" w:color="auto"/>
              <w:left w:val="nil"/>
              <w:bottom w:val="single" w:sz="4" w:space="0" w:color="auto"/>
              <w:right w:val="nil"/>
            </w:tcBorders>
          </w:tcPr>
          <w:p w14:paraId="7429C6D7" w14:textId="77777777" w:rsidR="00AD5DD1" w:rsidRPr="00202600" w:rsidRDefault="00AD5DD1" w:rsidP="00CB73F8">
            <w:pPr>
              <w:spacing w:line="480" w:lineRule="auto"/>
              <w:jc w:val="center"/>
              <w:rPr>
                <w:rFonts w:ascii="Times New Roman" w:hAnsi="Times New Roman" w:cs="Times New Roman"/>
                <w:b/>
                <w:bCs/>
                <w:sz w:val="24"/>
                <w:szCs w:val="24"/>
              </w:rPr>
            </w:pPr>
            <w:r w:rsidRPr="00202600">
              <w:rPr>
                <w:rFonts w:ascii="Times New Roman" w:hAnsi="Times New Roman" w:cs="Times New Roman"/>
                <w:b/>
                <w:bCs/>
                <w:sz w:val="24"/>
                <w:szCs w:val="24"/>
              </w:rPr>
              <w:t>Source</w:t>
            </w:r>
          </w:p>
        </w:tc>
      </w:tr>
      <w:tr w:rsidR="00AD5DD1" w:rsidRPr="00202600" w14:paraId="3130F111" w14:textId="77777777" w:rsidTr="00843CD2">
        <w:trPr>
          <w:trHeight w:val="413"/>
        </w:trPr>
        <w:tc>
          <w:tcPr>
            <w:tcW w:w="5231" w:type="dxa"/>
            <w:tcBorders>
              <w:top w:val="single" w:sz="4" w:space="0" w:color="auto"/>
              <w:left w:val="nil"/>
              <w:bottom w:val="single" w:sz="4" w:space="0" w:color="auto"/>
              <w:right w:val="nil"/>
            </w:tcBorders>
            <w:shd w:val="clear" w:color="auto" w:fill="E7E6E6" w:themeFill="background2"/>
          </w:tcPr>
          <w:p w14:paraId="767D1A45" w14:textId="7CCF1A67" w:rsidR="00AD5DD1" w:rsidRPr="00202600" w:rsidRDefault="00AD5DD1" w:rsidP="00CB73F8">
            <w:pPr>
              <w:spacing w:line="480" w:lineRule="auto"/>
              <w:ind w:right="180"/>
              <w:rPr>
                <w:rFonts w:ascii="Times New Roman" w:hAnsi="Times New Roman" w:cs="Times New Roman"/>
                <w:b/>
                <w:bCs/>
                <w:sz w:val="24"/>
                <w:szCs w:val="24"/>
              </w:rPr>
            </w:pPr>
            <w:r w:rsidRPr="00202600">
              <w:rPr>
                <w:rFonts w:ascii="Times New Roman" w:hAnsi="Times New Roman" w:cs="Times New Roman"/>
                <w:b/>
                <w:bCs/>
                <w:sz w:val="24"/>
                <w:szCs w:val="24"/>
              </w:rPr>
              <w:t>Natural history</w:t>
            </w:r>
            <w:r>
              <w:rPr>
                <w:rFonts w:ascii="Times New Roman" w:hAnsi="Times New Roman" w:cs="Times New Roman"/>
                <w:b/>
                <w:bCs/>
                <w:sz w:val="24"/>
                <w:szCs w:val="24"/>
              </w:rPr>
              <w:t>, continued</w:t>
            </w:r>
          </w:p>
        </w:tc>
        <w:tc>
          <w:tcPr>
            <w:tcW w:w="6469" w:type="dxa"/>
            <w:gridSpan w:val="4"/>
            <w:tcBorders>
              <w:top w:val="single" w:sz="4" w:space="0" w:color="auto"/>
              <w:left w:val="nil"/>
              <w:bottom w:val="single" w:sz="4" w:space="0" w:color="auto"/>
              <w:right w:val="nil"/>
            </w:tcBorders>
            <w:shd w:val="clear" w:color="auto" w:fill="E7E6E6" w:themeFill="background2"/>
          </w:tcPr>
          <w:p w14:paraId="3865B4D1" w14:textId="77777777" w:rsidR="00AD5DD1" w:rsidRPr="00202600" w:rsidRDefault="00AD5DD1" w:rsidP="00CB73F8">
            <w:pPr>
              <w:spacing w:line="480" w:lineRule="auto"/>
              <w:rPr>
                <w:rFonts w:ascii="Times New Roman" w:hAnsi="Times New Roman" w:cs="Times New Roman"/>
                <w:sz w:val="24"/>
                <w:szCs w:val="24"/>
              </w:rPr>
            </w:pPr>
          </w:p>
        </w:tc>
        <w:tc>
          <w:tcPr>
            <w:tcW w:w="1977" w:type="dxa"/>
            <w:tcBorders>
              <w:top w:val="single" w:sz="4" w:space="0" w:color="auto"/>
              <w:left w:val="nil"/>
              <w:bottom w:val="single" w:sz="4" w:space="0" w:color="auto"/>
              <w:right w:val="nil"/>
            </w:tcBorders>
            <w:shd w:val="clear" w:color="auto" w:fill="E7E6E6" w:themeFill="background2"/>
            <w:vAlign w:val="center"/>
          </w:tcPr>
          <w:p w14:paraId="30D68820" w14:textId="77777777" w:rsidR="00AD5DD1" w:rsidRPr="00202600" w:rsidRDefault="00AD5DD1" w:rsidP="00CB73F8">
            <w:pPr>
              <w:spacing w:line="480" w:lineRule="auto"/>
              <w:jc w:val="center"/>
              <w:rPr>
                <w:rFonts w:ascii="Times New Roman" w:hAnsi="Times New Roman" w:cs="Times New Roman"/>
                <w:sz w:val="24"/>
                <w:szCs w:val="24"/>
              </w:rPr>
            </w:pPr>
          </w:p>
        </w:tc>
      </w:tr>
      <w:tr w:rsidR="00AD5DD1" w:rsidRPr="00202600" w14:paraId="7BF8DE0F" w14:textId="77777777" w:rsidTr="005C4B5D">
        <w:tc>
          <w:tcPr>
            <w:tcW w:w="5231" w:type="dxa"/>
            <w:tcBorders>
              <w:top w:val="single" w:sz="4" w:space="0" w:color="auto"/>
              <w:left w:val="nil"/>
              <w:bottom w:val="nil"/>
              <w:right w:val="nil"/>
            </w:tcBorders>
          </w:tcPr>
          <w:p w14:paraId="4E2DAF85" w14:textId="77777777" w:rsidR="00AD5DD1" w:rsidRPr="00202600" w:rsidRDefault="00AD5DD1" w:rsidP="00CB73F8">
            <w:pPr>
              <w:spacing w:line="480" w:lineRule="auto"/>
              <w:ind w:right="180"/>
              <w:rPr>
                <w:rFonts w:ascii="Times New Roman" w:hAnsi="Times New Roman" w:cs="Times New Roman"/>
                <w:sz w:val="24"/>
                <w:szCs w:val="24"/>
                <w:vertAlign w:val="superscript"/>
              </w:rPr>
            </w:pPr>
            <w:r w:rsidRPr="00202600">
              <w:rPr>
                <w:rFonts w:ascii="Times New Roman" w:hAnsi="Times New Roman" w:cs="Times New Roman"/>
                <w:sz w:val="24"/>
                <w:szCs w:val="24"/>
              </w:rPr>
              <w:t xml:space="preserve">Duration of illness state among non-hospitalized patients, stratified by COVID-19 severity, mean, </w:t>
            </w:r>
            <w:proofErr w:type="spellStart"/>
            <w:r w:rsidRPr="00202600">
              <w:rPr>
                <w:rFonts w:ascii="Times New Roman" w:hAnsi="Times New Roman" w:cs="Times New Roman"/>
                <w:sz w:val="24"/>
                <w:szCs w:val="24"/>
              </w:rPr>
              <w:t>days</w:t>
            </w:r>
            <w:r w:rsidRPr="00202600">
              <w:rPr>
                <w:rFonts w:ascii="Times New Roman" w:hAnsi="Times New Roman" w:cs="Times New Roman"/>
                <w:sz w:val="24"/>
                <w:szCs w:val="24"/>
                <w:vertAlign w:val="superscript"/>
              </w:rPr>
              <w:t>b</w:t>
            </w:r>
            <w:proofErr w:type="spellEnd"/>
          </w:p>
        </w:tc>
        <w:tc>
          <w:tcPr>
            <w:tcW w:w="1662" w:type="dxa"/>
            <w:tcBorders>
              <w:top w:val="single" w:sz="4" w:space="0" w:color="auto"/>
              <w:left w:val="nil"/>
              <w:bottom w:val="single" w:sz="4" w:space="0" w:color="auto"/>
              <w:right w:val="nil"/>
            </w:tcBorders>
            <w:vAlign w:val="bottom"/>
          </w:tcPr>
          <w:p w14:paraId="49B3718F" w14:textId="77777777" w:rsidR="00AD5DD1" w:rsidRPr="00202600" w:rsidRDefault="00AD5DD1" w:rsidP="005C4B5D">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Asymptomatic infection</w:t>
            </w:r>
          </w:p>
        </w:tc>
        <w:tc>
          <w:tcPr>
            <w:tcW w:w="1662" w:type="dxa"/>
            <w:tcBorders>
              <w:top w:val="single" w:sz="4" w:space="0" w:color="auto"/>
              <w:left w:val="nil"/>
              <w:bottom w:val="single" w:sz="4" w:space="0" w:color="auto"/>
              <w:right w:val="nil"/>
            </w:tcBorders>
            <w:vAlign w:val="bottom"/>
          </w:tcPr>
          <w:p w14:paraId="0418588A" w14:textId="77777777" w:rsidR="00AD5DD1" w:rsidRPr="00202600" w:rsidRDefault="00AD5DD1" w:rsidP="005C4B5D">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Mild/moderate illness</w:t>
            </w:r>
          </w:p>
        </w:tc>
        <w:tc>
          <w:tcPr>
            <w:tcW w:w="1662" w:type="dxa"/>
            <w:tcBorders>
              <w:top w:val="single" w:sz="4" w:space="0" w:color="auto"/>
              <w:left w:val="nil"/>
              <w:bottom w:val="single" w:sz="4" w:space="0" w:color="auto"/>
              <w:right w:val="nil"/>
            </w:tcBorders>
            <w:vAlign w:val="bottom"/>
          </w:tcPr>
          <w:p w14:paraId="35095497" w14:textId="77777777" w:rsidR="00AD5DD1" w:rsidRPr="00202600" w:rsidRDefault="00AD5DD1" w:rsidP="005C4B5D">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Severe illness</w:t>
            </w:r>
          </w:p>
        </w:tc>
        <w:tc>
          <w:tcPr>
            <w:tcW w:w="1483" w:type="dxa"/>
            <w:tcBorders>
              <w:top w:val="single" w:sz="4" w:space="0" w:color="auto"/>
              <w:left w:val="nil"/>
              <w:bottom w:val="single" w:sz="4" w:space="0" w:color="auto"/>
              <w:right w:val="nil"/>
            </w:tcBorders>
            <w:vAlign w:val="bottom"/>
          </w:tcPr>
          <w:p w14:paraId="41FEF002" w14:textId="77777777" w:rsidR="00AD5DD1" w:rsidRPr="00202600" w:rsidRDefault="00AD5DD1" w:rsidP="005C4B5D">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Critical illness</w:t>
            </w:r>
          </w:p>
        </w:tc>
        <w:tc>
          <w:tcPr>
            <w:tcW w:w="1977" w:type="dxa"/>
            <w:tcBorders>
              <w:top w:val="single" w:sz="4" w:space="0" w:color="auto"/>
              <w:left w:val="nil"/>
              <w:bottom w:val="nil"/>
              <w:right w:val="nil"/>
            </w:tcBorders>
            <w:vAlign w:val="center"/>
          </w:tcPr>
          <w:p w14:paraId="6C4A5DAE" w14:textId="77777777" w:rsidR="00AD5DD1" w:rsidRPr="00202600" w:rsidRDefault="00AD5DD1" w:rsidP="00CB73F8">
            <w:pPr>
              <w:spacing w:line="480" w:lineRule="auto"/>
              <w:jc w:val="center"/>
              <w:rPr>
                <w:rFonts w:ascii="Times New Roman" w:hAnsi="Times New Roman" w:cs="Times New Roman"/>
                <w:sz w:val="24"/>
                <w:szCs w:val="24"/>
              </w:rPr>
            </w:pPr>
          </w:p>
        </w:tc>
      </w:tr>
      <w:tr w:rsidR="00AD5DD1" w:rsidRPr="00202600" w14:paraId="3732D779" w14:textId="77777777" w:rsidTr="00CB73F8">
        <w:tc>
          <w:tcPr>
            <w:tcW w:w="5231" w:type="dxa"/>
            <w:tcBorders>
              <w:top w:val="nil"/>
              <w:left w:val="nil"/>
              <w:bottom w:val="nil"/>
              <w:right w:val="nil"/>
            </w:tcBorders>
          </w:tcPr>
          <w:p w14:paraId="156BDD6A" w14:textId="77777777" w:rsidR="00AD5DD1" w:rsidRPr="00202600" w:rsidRDefault="00AD5DD1" w:rsidP="00CB73F8">
            <w:pPr>
              <w:spacing w:line="480" w:lineRule="auto"/>
              <w:ind w:left="420" w:right="180"/>
              <w:rPr>
                <w:rFonts w:ascii="Times New Roman" w:hAnsi="Times New Roman" w:cs="Times New Roman"/>
                <w:sz w:val="24"/>
                <w:szCs w:val="24"/>
              </w:rPr>
            </w:pPr>
            <w:r w:rsidRPr="00202600">
              <w:rPr>
                <w:rFonts w:ascii="Times New Roman" w:hAnsi="Times New Roman" w:cs="Times New Roman"/>
                <w:sz w:val="24"/>
                <w:szCs w:val="24"/>
              </w:rPr>
              <w:t>Pre-infectious latent to asymptomatic state</w:t>
            </w:r>
          </w:p>
        </w:tc>
        <w:tc>
          <w:tcPr>
            <w:tcW w:w="1662" w:type="dxa"/>
            <w:tcBorders>
              <w:top w:val="single" w:sz="4" w:space="0" w:color="auto"/>
              <w:left w:val="nil"/>
              <w:bottom w:val="nil"/>
              <w:right w:val="nil"/>
            </w:tcBorders>
          </w:tcPr>
          <w:p w14:paraId="6619D7A3"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2.6</w:t>
            </w:r>
          </w:p>
        </w:tc>
        <w:tc>
          <w:tcPr>
            <w:tcW w:w="1662" w:type="dxa"/>
            <w:tcBorders>
              <w:top w:val="single" w:sz="4" w:space="0" w:color="auto"/>
              <w:left w:val="nil"/>
              <w:bottom w:val="nil"/>
              <w:right w:val="nil"/>
            </w:tcBorders>
          </w:tcPr>
          <w:p w14:paraId="087287E5"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2.6</w:t>
            </w:r>
          </w:p>
        </w:tc>
        <w:tc>
          <w:tcPr>
            <w:tcW w:w="1662" w:type="dxa"/>
            <w:tcBorders>
              <w:top w:val="single" w:sz="4" w:space="0" w:color="auto"/>
              <w:left w:val="nil"/>
              <w:bottom w:val="nil"/>
              <w:right w:val="nil"/>
            </w:tcBorders>
          </w:tcPr>
          <w:p w14:paraId="2CD42373"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2.6</w:t>
            </w:r>
          </w:p>
        </w:tc>
        <w:tc>
          <w:tcPr>
            <w:tcW w:w="1483" w:type="dxa"/>
            <w:tcBorders>
              <w:top w:val="single" w:sz="4" w:space="0" w:color="auto"/>
              <w:left w:val="nil"/>
              <w:bottom w:val="nil"/>
              <w:right w:val="nil"/>
            </w:tcBorders>
          </w:tcPr>
          <w:p w14:paraId="6160C2A6"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2.6</w:t>
            </w:r>
          </w:p>
        </w:tc>
        <w:tc>
          <w:tcPr>
            <w:tcW w:w="1977" w:type="dxa"/>
            <w:tcBorders>
              <w:top w:val="nil"/>
              <w:left w:val="nil"/>
              <w:bottom w:val="nil"/>
              <w:right w:val="nil"/>
            </w:tcBorders>
            <w:vAlign w:val="center"/>
          </w:tcPr>
          <w:p w14:paraId="58184C45" w14:textId="175DE873"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 xml:space="preserve">Der. </w:t>
            </w:r>
            <w:r w:rsidR="009B7A9E" w:rsidRPr="00202600">
              <w:rPr>
                <w:rFonts w:ascii="Times New Roman" w:hAnsi="Times New Roman" w:cs="Times New Roman"/>
                <w:sz w:val="24"/>
                <w:szCs w:val="24"/>
              </w:rPr>
              <w:t>F</w:t>
            </w:r>
            <w:r w:rsidRPr="00202600">
              <w:rPr>
                <w:rFonts w:ascii="Times New Roman" w:hAnsi="Times New Roman" w:cs="Times New Roman"/>
                <w:sz w:val="24"/>
                <w:szCs w:val="24"/>
              </w:rPr>
              <w:t>rom</w:t>
            </w:r>
            <w:r w:rsidR="009B7A9E">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RqcGpqUy","properties":{"formattedCitation":"(25,26)","plainCitation":"(25,26)","noteIndex":0},"citationItems":[{"id":52,"uris":["http://zotero.org/users/local/jMRSEXDw/items/63YFXVDT"],"uri":["http://zotero.org/users/local/jMRSEXDw/items/63YFXVDT"],"itemData":{"id":52,"type":"report","title":"Report of the WHO-China joint mission on coronavirus disease 2019 (COVID-19)","URL":"https://www.who.int/docs/default-source/coronaviruse/who-china-joint-mission-on-covid-19-final-report.pdf","author":[{"literal":"WHO-China Joint Mission on Coronavirus Disease 2019"}],"accessed":{"date-parts":[["2020",8,9]]},"issued":{"date-parts":[["2020",2]]}}},{"id":53,"uris":["http://zotero.org/users/local/jMRSEXDw/items/MQMPAPVD"],"uri":["http://zotero.org/users/local/jMRSEXDw/items/MQMPAPVD"],"itemData":{"id":53,"type":"article-journal","abstract":"Estimation of the prevalence and contagiousness of undocumented novel coronavirus [severe acute respiratory syndrome-coronavirus 2 (SARS-CoV-2)] infections is critical for understanding the overall prevalence and pandemic potential of this disease. Here, we use observations of reported infection within China, in conjunction with mobility data, a networked dynamic metapopulation model, and Bayesian inference, to infer critical epidemiological characteristics associated with SARS-CoV-2, including the fraction of undocumented infections and their contagiousness. We estimate that 86% of all infections were undocumented [95% credible interval (CI): 82-90%] before the 23 January 2020 travel restrictions. The transmission rate of undocumented infections per person was 55% the transmission rate of documented infections (95% CI: 46-62%), yet, because of their greater numbers, undocumented infections were the source of 79% of the documented cases. These findings explain the rapid geographic spread of SARS-CoV-2 and indicate that containment of this virus will be particularly challenging.","container-title":"Science (New York, N.Y.)","DOI":"10.1126/science.abb3221","ISSN":"1095-9203","issue":"6490","journalAbbreviation":"Science","language":"eng","note":"PMID: 32179701\nPMCID: PMC7164387","page":"489-493","source":"PubMed","title":"Substantial undocumented infection facilitates the rapid dissemination of novel coronavirus (SARS-CoV-2)","volume":"368","author":[{"family":"Li","given":"Ruiyun"},{"family":"Pei","given":"Sen"},{"family":"Chen","given":"Bin"},{"family":"Song","given":"Yimeng"},{"family":"Zhang","given":"Tao"},{"family":"Yang","given":"Wan"},{"family":"Shaman","given":"Jeffrey"}],"issued":{"date-parts":[["2020"]],"season":"01"}}}],"schema":"https://github.com/citation-style-language/schema/raw/master/csl-citation.json"} </w:instrText>
            </w:r>
            <w:r>
              <w:rPr>
                <w:rFonts w:ascii="Times New Roman" w:hAnsi="Times New Roman" w:cs="Times New Roman"/>
                <w:sz w:val="24"/>
                <w:szCs w:val="24"/>
              </w:rPr>
              <w:fldChar w:fldCharType="separate"/>
            </w:r>
            <w:r w:rsidR="00DA615A" w:rsidRPr="00DA615A">
              <w:rPr>
                <w:rFonts w:ascii="Times New Roman" w:hAnsi="Times New Roman" w:cs="Times New Roman"/>
                <w:sz w:val="24"/>
              </w:rPr>
              <w:t>(25,26)</w:t>
            </w:r>
            <w:r>
              <w:rPr>
                <w:rFonts w:ascii="Times New Roman" w:hAnsi="Times New Roman" w:cs="Times New Roman"/>
                <w:sz w:val="24"/>
                <w:szCs w:val="24"/>
              </w:rPr>
              <w:fldChar w:fldCharType="end"/>
            </w:r>
            <w:r w:rsidRPr="00202600">
              <w:rPr>
                <w:rFonts w:ascii="Times New Roman" w:hAnsi="Times New Roman" w:cs="Times New Roman"/>
                <w:sz w:val="24"/>
                <w:szCs w:val="24"/>
              </w:rPr>
              <w:t xml:space="preserve"> </w:t>
            </w:r>
          </w:p>
        </w:tc>
      </w:tr>
      <w:tr w:rsidR="00AD5DD1" w:rsidRPr="00202600" w14:paraId="01F8D299" w14:textId="77777777" w:rsidTr="00CB73F8">
        <w:tc>
          <w:tcPr>
            <w:tcW w:w="5231" w:type="dxa"/>
            <w:tcBorders>
              <w:top w:val="nil"/>
              <w:left w:val="nil"/>
              <w:bottom w:val="nil"/>
              <w:right w:val="nil"/>
            </w:tcBorders>
          </w:tcPr>
          <w:p w14:paraId="3480FFB8" w14:textId="77777777" w:rsidR="00AD5DD1" w:rsidRPr="00202600" w:rsidRDefault="00AD5DD1" w:rsidP="00CB73F8">
            <w:pPr>
              <w:spacing w:line="480" w:lineRule="auto"/>
              <w:ind w:left="420" w:right="180"/>
              <w:rPr>
                <w:rFonts w:ascii="Times New Roman" w:hAnsi="Times New Roman" w:cs="Times New Roman"/>
                <w:sz w:val="24"/>
                <w:szCs w:val="24"/>
              </w:rPr>
            </w:pPr>
            <w:r w:rsidRPr="00202600">
              <w:rPr>
                <w:rFonts w:ascii="Times New Roman" w:hAnsi="Times New Roman" w:cs="Times New Roman"/>
                <w:sz w:val="24"/>
                <w:szCs w:val="24"/>
              </w:rPr>
              <w:t>Asymptomatic to mild/moderate state</w:t>
            </w:r>
          </w:p>
        </w:tc>
        <w:tc>
          <w:tcPr>
            <w:tcW w:w="1662" w:type="dxa"/>
            <w:tcBorders>
              <w:top w:val="nil"/>
              <w:left w:val="nil"/>
              <w:bottom w:val="nil"/>
              <w:right w:val="nil"/>
            </w:tcBorders>
          </w:tcPr>
          <w:p w14:paraId="53DF099D"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w:t>
            </w:r>
          </w:p>
        </w:tc>
        <w:tc>
          <w:tcPr>
            <w:tcW w:w="1662" w:type="dxa"/>
            <w:tcBorders>
              <w:top w:val="nil"/>
              <w:left w:val="nil"/>
              <w:bottom w:val="nil"/>
              <w:right w:val="nil"/>
            </w:tcBorders>
          </w:tcPr>
          <w:p w14:paraId="2E80A8B9"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2.0</w:t>
            </w:r>
          </w:p>
        </w:tc>
        <w:tc>
          <w:tcPr>
            <w:tcW w:w="1662" w:type="dxa"/>
            <w:tcBorders>
              <w:top w:val="nil"/>
              <w:left w:val="nil"/>
              <w:bottom w:val="nil"/>
              <w:right w:val="nil"/>
            </w:tcBorders>
          </w:tcPr>
          <w:p w14:paraId="18D58F23"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2.0</w:t>
            </w:r>
          </w:p>
        </w:tc>
        <w:tc>
          <w:tcPr>
            <w:tcW w:w="1483" w:type="dxa"/>
            <w:tcBorders>
              <w:top w:val="nil"/>
              <w:left w:val="nil"/>
              <w:bottom w:val="nil"/>
              <w:right w:val="nil"/>
            </w:tcBorders>
          </w:tcPr>
          <w:p w14:paraId="53E0E198"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2.0</w:t>
            </w:r>
          </w:p>
        </w:tc>
        <w:tc>
          <w:tcPr>
            <w:tcW w:w="1977" w:type="dxa"/>
            <w:tcBorders>
              <w:top w:val="nil"/>
              <w:left w:val="nil"/>
              <w:bottom w:val="nil"/>
              <w:right w:val="nil"/>
            </w:tcBorders>
            <w:vAlign w:val="center"/>
          </w:tcPr>
          <w:p w14:paraId="753B60AD" w14:textId="37B97B53" w:rsidR="00AD5DD1" w:rsidRPr="00202600" w:rsidRDefault="00AD5DD1" w:rsidP="00CB73F8">
            <w:pPr>
              <w:spacing w:line="48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qifussLT","properties":{"formattedCitation":"(25,27)","plainCitation":"(25,27)","noteIndex":0},"citationItems":[{"id":52,"uris":["http://zotero.org/users/local/jMRSEXDw/items/63YFXVDT"],"uri":["http://zotero.org/users/local/jMRSEXDw/items/63YFXVDT"],"itemData":{"id":52,"type":"report","title":"Report of the WHO-China joint mission on coronavirus disease 2019 (COVID-19)","URL":"https://www.who.int/docs/default-source/coronaviruse/who-china-joint-mission-on-covid-19-final-report.pdf","author":[{"literal":"WHO-China Joint Mission on Coronavirus Disease 2019"}],"accessed":{"date-parts":[["2020",8,9]]},"issued":{"date-parts":[["2020",2]]}}},{"id":55,"uris":["http://zotero.org/users/local/jMRSEXDw/items/DHYIH5D4"],"uri":["http://zotero.org/users/local/jMRSEXDw/items/DHYIH5D4"],"itemData":{"id":55,"type":"article-journal","abstract":"We report temporal patterns of viral shedding in 94 patients with laboratory-confirmed COVID-19 and modeled COVID-19 infectiousness profiles from a separate sample of 77 infector-infectee transmission pairs. We observed the highest viral load in throat swabs at the time of symptom onset, and inferred that infectiousness peaked on or before symptom onset. We estimated that 44% (95% confidence interval, 25-69%) of secondary cases were infected during the index cases' presymptomatic stage, in settings with substantial household clustering, active case finding and quarantine outside the home. Disease control measures should be adjusted to account for probable substantial presymptomatic transmission.","container-title":"Nature Medicine","DOI":"10.1038/s41591-020-0869-5","ISSN":"1546-170X","issue":"5","journalAbbreviation":"Nat. Med.","language":"eng","note":"PMID: 32296168","page":"672-675","source":"PubMed","title":"Temporal dynamics in viral shedding and transmissibility of COVID-19","volume":"26","author":[{"family":"He","given":"Xi"},{"family":"Lau","given":"Eric H. Y."},{"family":"Wu","given":"Peng"},{"family":"Deng","given":"Xilong"},{"family":"Wang","given":"Jian"},{"family":"Hao","given":"Xinxin"},{"family":"Lau","given":"Yiu Chung"},{"family":"Wong","given":"Jessica Y."},{"family":"Guan","given":"Yujuan"},{"family":"Tan","given":"Xinghua"},{"family":"Mo","given":"Xiaoneng"},{"family":"Chen","given":"Yanqing"},{"family":"Liao","given":"Baolin"},{"family":"Chen","given":"Weilie"},{"family":"Hu","given":"Fengyu"},{"family":"Zhang","given":"Qing"},{"family":"Zhong","given":"Mingqiu"},{"family":"Wu","given":"Yanrong"},{"family":"Zhao","given":"Lingzhai"},{"family":"Zhang","given":"Fuchun"},{"family":"Cowling","given":"Benjamin J."},{"family":"Li","given":"Fang"},{"family":"Leung","given":"Gabriel M."}],"issued":{"date-parts":[["2020"]]}}}],"schema":"https://github.com/citation-style-language/schema/raw/master/csl-citation.json"} </w:instrText>
            </w:r>
            <w:r>
              <w:rPr>
                <w:rFonts w:ascii="Times New Roman" w:hAnsi="Times New Roman" w:cs="Times New Roman"/>
                <w:sz w:val="24"/>
                <w:szCs w:val="24"/>
              </w:rPr>
              <w:fldChar w:fldCharType="separate"/>
            </w:r>
            <w:r w:rsidR="00DA615A" w:rsidRPr="00DA615A">
              <w:rPr>
                <w:rFonts w:ascii="Times New Roman" w:hAnsi="Times New Roman" w:cs="Times New Roman"/>
                <w:sz w:val="24"/>
              </w:rPr>
              <w:t>(25,27)</w:t>
            </w:r>
            <w:r>
              <w:rPr>
                <w:rFonts w:ascii="Times New Roman" w:hAnsi="Times New Roman" w:cs="Times New Roman"/>
                <w:sz w:val="24"/>
                <w:szCs w:val="24"/>
              </w:rPr>
              <w:fldChar w:fldCharType="end"/>
            </w:r>
          </w:p>
        </w:tc>
      </w:tr>
      <w:tr w:rsidR="00AD5DD1" w:rsidRPr="00202600" w14:paraId="069F0539" w14:textId="77777777" w:rsidTr="00CB73F8">
        <w:tc>
          <w:tcPr>
            <w:tcW w:w="5231" w:type="dxa"/>
            <w:tcBorders>
              <w:top w:val="nil"/>
              <w:left w:val="nil"/>
              <w:bottom w:val="nil"/>
              <w:right w:val="nil"/>
            </w:tcBorders>
          </w:tcPr>
          <w:p w14:paraId="41B3F3E6" w14:textId="77777777" w:rsidR="00AD5DD1" w:rsidRPr="00202600" w:rsidRDefault="00AD5DD1" w:rsidP="00CB73F8">
            <w:pPr>
              <w:spacing w:line="480" w:lineRule="auto"/>
              <w:ind w:left="420" w:right="180"/>
              <w:rPr>
                <w:rFonts w:ascii="Times New Roman" w:hAnsi="Times New Roman" w:cs="Times New Roman"/>
                <w:sz w:val="24"/>
                <w:szCs w:val="24"/>
              </w:rPr>
            </w:pPr>
            <w:r w:rsidRPr="00202600">
              <w:rPr>
                <w:rFonts w:ascii="Times New Roman" w:hAnsi="Times New Roman" w:cs="Times New Roman"/>
                <w:sz w:val="24"/>
                <w:szCs w:val="24"/>
              </w:rPr>
              <w:t>Mild/moderate to severe state</w:t>
            </w:r>
          </w:p>
        </w:tc>
        <w:tc>
          <w:tcPr>
            <w:tcW w:w="1662" w:type="dxa"/>
            <w:tcBorders>
              <w:top w:val="nil"/>
              <w:left w:val="nil"/>
              <w:bottom w:val="nil"/>
              <w:right w:val="nil"/>
            </w:tcBorders>
          </w:tcPr>
          <w:p w14:paraId="2FA0A0DD"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w:t>
            </w:r>
          </w:p>
        </w:tc>
        <w:tc>
          <w:tcPr>
            <w:tcW w:w="1662" w:type="dxa"/>
            <w:tcBorders>
              <w:top w:val="nil"/>
              <w:left w:val="nil"/>
              <w:bottom w:val="nil"/>
              <w:right w:val="nil"/>
            </w:tcBorders>
          </w:tcPr>
          <w:p w14:paraId="404814C1"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w:t>
            </w:r>
          </w:p>
        </w:tc>
        <w:tc>
          <w:tcPr>
            <w:tcW w:w="1662" w:type="dxa"/>
            <w:tcBorders>
              <w:top w:val="nil"/>
              <w:left w:val="nil"/>
              <w:bottom w:val="nil"/>
              <w:right w:val="nil"/>
            </w:tcBorders>
          </w:tcPr>
          <w:p w14:paraId="2850FB1E"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6.5</w:t>
            </w:r>
          </w:p>
        </w:tc>
        <w:tc>
          <w:tcPr>
            <w:tcW w:w="1483" w:type="dxa"/>
            <w:tcBorders>
              <w:top w:val="nil"/>
              <w:left w:val="nil"/>
              <w:bottom w:val="nil"/>
              <w:right w:val="nil"/>
            </w:tcBorders>
          </w:tcPr>
          <w:p w14:paraId="45BE80EB"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3.0</w:t>
            </w:r>
          </w:p>
        </w:tc>
        <w:tc>
          <w:tcPr>
            <w:tcW w:w="1977" w:type="dxa"/>
            <w:tcBorders>
              <w:top w:val="nil"/>
              <w:left w:val="nil"/>
              <w:bottom w:val="nil"/>
              <w:right w:val="nil"/>
            </w:tcBorders>
            <w:vAlign w:val="center"/>
          </w:tcPr>
          <w:p w14:paraId="38649B1A" w14:textId="135805DB" w:rsidR="00AD5DD1" w:rsidRPr="00202600" w:rsidRDefault="00AD5DD1" w:rsidP="00CB73F8">
            <w:pPr>
              <w:spacing w:line="48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icKrn4rJ","properties":{"formattedCitation":"(17)","plainCitation":"(17)","noteIndex":0},"citationItems":[{"id":44,"uris":["http://zotero.org/users/local/jMRSEXDw/items/R2F87UCU"],"uri":["http://zotero.org/users/local/jMRSEXDw/items/R2F87UCU"],"itemData":{"id":44,"type":"article-journal","abstract":"Importance: In December 2019, novel coronavirus (2019-nCoV)-infected pneumonia (NCIP) occurred in Wuhan, China. The number of cases has increased rapidly but information on the clinical characteristics of affected patients is limited.\nObjective: To describe the epidemiological and clinical characteristics of NCIP.\nDesign, Setting, and Participants: Retrospective, single-center case series of the 138 consecutive hospitalized patients with confirmed NCIP at Zhongnan Hospital of Wuhan University in Wuhan, China, from January 1 to January 28, 2020; final date of follow-up was February 3, 2020.\nExposures: Documented NCIP.\nMain Outcomes and Measures: Epidemiological, demographic, clinical, laboratory, radiological, and treatment data were collected and analyzed. Outcomes of critically ill patients and noncritically ill patients were compared. Presumed hospital-related transmission was suspected if a cluster of health professionals or hospitalized patients in the same wards became infected and a possible source of infection could be tracked.\nResults: Of 138 hospitalized patients with NCIP, the median age was 56 years (interquartile range, 42-68; range, 22-92 years) and 75 (54.3%) were men. Hospital-associated transmission was suspected as the presumed mechanism of infection for affected health professionals (40 [29%]) and hospitalized patients (17 [12.3%]). Common symptoms included fever (136 [98.6%]), fatigue (96 [69.6%]), and dry cough (82 [59.4%]). Lymphopenia (lymphocyte count, 0.8 × 109/L [interquartile range {IQR}, 0.6-1.1]) occurred in 97 patients (70.3%), prolonged prothrombin time (13.0 seconds [IQR, 12.3-13.7]) in 80 patients (58%), and elevated lactate dehydrogenase (261 U/L [IQR, 182-403]) in 55 patients (39.9%). Chest computed tomographic scans showed bilateral patchy shadows or ground glass opacity in the lungs of all patients. Most patients received antiviral therapy (oseltamivir, 124 [89.9%]), and many received antibacterial therapy (moxifloxacin, 89 [64.4%]; ceftriaxone, 34 [24.6%]; azithromycin, 25 [18.1%]) and glucocorticoid therapy (62 [44.9%]). Thirty-six patients (26.1%) were transferred to the intensive care unit (ICU) because of complications, including acute respiratory distress syndrome (22 [61.1%]), arrhythmia (16 [44.4%]), and shock (11 [30.6%]). The median time from first symptom to dyspnea was 5.0 days, to hospital admission was 7.0 days, and to ARDS was 8.0 days. Patients treated in the ICU (n = 36), compared with patients not treated in the ICU (n = 102), were older (median age, 66 years vs 51 years), were more likely to have underlying comorbidities (26 [72.2%] vs 38 [37.3%]), and were more likely to have dyspnea (23 [63.9%] vs 20 [19.6%]), and anorexia (24 [66.7%] vs 31 [30.4%]). Of the 36 cases in the ICU, 4 (11.1%) received high-flow oxygen therapy, 15 (41.7%) received noninvasive ventilation, and 17 (47.2%) received invasive ventilation (4 were switched to extracorporeal membrane oxygenation). As of February 3, 47 patients (34.1%) were discharged and 6 died (overall mortality, 4.3%), but the remaining patients are still hospitalized. Among those discharged alive (n = 47), the median hospital stay was 10 days (IQR, 7.0-14.0).\nConclusions and Relevance: In this single-center case series of 138 hospitalized patients with confirmed NCIP in Wuhan, China, presumed hospital-related transmission of 2019-nCoV was suspected in 41% of patients, 26% of patients received ICU care, and mortality was 4.3%.","container-title":"JAMA","DOI":"10.1001/jama.2020.1585","ISSN":"1538-3598","journalAbbreviation":"JAMA","language":"eng","note":"PMID: 32031570\nPMCID: PMC7042881","source":"PubMed","title":"Clinical characteristics of 138 hospitalized patients with 2019 novel coronavirus-infected pneumonia in Wuhan, China","author":[{"family":"Wang","given":"Dawei"},{"family":"Hu","given":"Bo"},{"family":"Hu","given":"Chang"},{"family":"Zhu","given":"Fangfang"},{"family":"Liu","given":"Xing"},{"family":"Zhang","given":"Jing"},{"family":"Wang","given":"Binbin"},{"family":"Xiang","given":"Hui"},{"family":"Cheng","given":"Zhenshun"},{"family":"Xiong","given":"Yong"},{"family":"Zhao","given":"Yan"},{"family":"Li","given":"Yirong"},{"family":"Wang","given":"Xinghuan"},{"family":"Peng","given":"Zhiyong"}],"issued":{"date-parts":[["2020",2,7]]}}}],"schema":"https://github.com/citation-style-language/schema/raw/master/csl-citation.json"} </w:instrText>
            </w:r>
            <w:r>
              <w:rPr>
                <w:rFonts w:ascii="Times New Roman" w:hAnsi="Times New Roman" w:cs="Times New Roman"/>
                <w:sz w:val="24"/>
                <w:szCs w:val="24"/>
              </w:rPr>
              <w:fldChar w:fldCharType="separate"/>
            </w:r>
            <w:r w:rsidR="00DA615A" w:rsidRPr="00DA615A">
              <w:rPr>
                <w:rFonts w:ascii="Times New Roman" w:hAnsi="Times New Roman" w:cs="Times New Roman"/>
                <w:sz w:val="24"/>
              </w:rPr>
              <w:t>(17)</w:t>
            </w:r>
            <w:r>
              <w:rPr>
                <w:rFonts w:ascii="Times New Roman" w:hAnsi="Times New Roman" w:cs="Times New Roman"/>
                <w:sz w:val="24"/>
                <w:szCs w:val="24"/>
              </w:rPr>
              <w:fldChar w:fldCharType="end"/>
            </w:r>
          </w:p>
        </w:tc>
      </w:tr>
      <w:tr w:rsidR="00AD5DD1" w:rsidRPr="00202600" w14:paraId="58C874E6" w14:textId="77777777" w:rsidTr="00CB73F8">
        <w:tc>
          <w:tcPr>
            <w:tcW w:w="5231" w:type="dxa"/>
            <w:tcBorders>
              <w:top w:val="nil"/>
              <w:left w:val="nil"/>
              <w:bottom w:val="single" w:sz="4" w:space="0" w:color="auto"/>
              <w:right w:val="nil"/>
            </w:tcBorders>
          </w:tcPr>
          <w:p w14:paraId="1D9807D8" w14:textId="77777777" w:rsidR="00AD5DD1" w:rsidRPr="00202600" w:rsidRDefault="00AD5DD1" w:rsidP="00CB73F8">
            <w:pPr>
              <w:spacing w:line="480" w:lineRule="auto"/>
              <w:ind w:left="420" w:right="180"/>
              <w:rPr>
                <w:rFonts w:ascii="Times New Roman" w:hAnsi="Times New Roman" w:cs="Times New Roman"/>
                <w:sz w:val="24"/>
                <w:szCs w:val="24"/>
              </w:rPr>
            </w:pPr>
            <w:r w:rsidRPr="00202600">
              <w:rPr>
                <w:rFonts w:ascii="Times New Roman" w:hAnsi="Times New Roman" w:cs="Times New Roman"/>
                <w:sz w:val="24"/>
                <w:szCs w:val="24"/>
              </w:rPr>
              <w:t>Severe to critical illness state</w:t>
            </w:r>
          </w:p>
        </w:tc>
        <w:tc>
          <w:tcPr>
            <w:tcW w:w="1662" w:type="dxa"/>
            <w:tcBorders>
              <w:top w:val="nil"/>
              <w:left w:val="nil"/>
              <w:bottom w:val="single" w:sz="4" w:space="0" w:color="auto"/>
              <w:right w:val="nil"/>
            </w:tcBorders>
          </w:tcPr>
          <w:p w14:paraId="6C719C6B" w14:textId="77777777" w:rsidR="00AD5DD1" w:rsidRPr="00202600" w:rsidRDefault="00AD5DD1" w:rsidP="00CB73F8">
            <w:pPr>
              <w:spacing w:line="480" w:lineRule="auto"/>
              <w:jc w:val="center"/>
              <w:rPr>
                <w:rFonts w:ascii="Times New Roman" w:hAnsi="Times New Roman" w:cs="Times New Roman"/>
                <w:sz w:val="24"/>
                <w:szCs w:val="24"/>
              </w:rPr>
            </w:pPr>
          </w:p>
        </w:tc>
        <w:tc>
          <w:tcPr>
            <w:tcW w:w="1662" w:type="dxa"/>
            <w:tcBorders>
              <w:top w:val="nil"/>
              <w:left w:val="nil"/>
              <w:bottom w:val="single" w:sz="4" w:space="0" w:color="auto"/>
              <w:right w:val="nil"/>
            </w:tcBorders>
          </w:tcPr>
          <w:p w14:paraId="5D8AA27D" w14:textId="77777777" w:rsidR="00AD5DD1" w:rsidRPr="00202600" w:rsidRDefault="00AD5DD1" w:rsidP="00CB73F8">
            <w:pPr>
              <w:spacing w:line="480" w:lineRule="auto"/>
              <w:jc w:val="center"/>
              <w:rPr>
                <w:rFonts w:ascii="Times New Roman" w:hAnsi="Times New Roman" w:cs="Times New Roman"/>
                <w:sz w:val="24"/>
                <w:szCs w:val="24"/>
              </w:rPr>
            </w:pPr>
          </w:p>
        </w:tc>
        <w:tc>
          <w:tcPr>
            <w:tcW w:w="1662" w:type="dxa"/>
            <w:tcBorders>
              <w:top w:val="nil"/>
              <w:left w:val="nil"/>
              <w:bottom w:val="single" w:sz="4" w:space="0" w:color="auto"/>
              <w:right w:val="nil"/>
            </w:tcBorders>
          </w:tcPr>
          <w:p w14:paraId="2A888BB9" w14:textId="77777777" w:rsidR="00AD5DD1" w:rsidRPr="00202600" w:rsidRDefault="00AD5DD1" w:rsidP="00CB73F8">
            <w:pPr>
              <w:spacing w:line="480" w:lineRule="auto"/>
              <w:jc w:val="center"/>
              <w:rPr>
                <w:rFonts w:ascii="Times New Roman" w:hAnsi="Times New Roman" w:cs="Times New Roman"/>
                <w:sz w:val="24"/>
                <w:szCs w:val="24"/>
              </w:rPr>
            </w:pPr>
          </w:p>
        </w:tc>
        <w:tc>
          <w:tcPr>
            <w:tcW w:w="1483" w:type="dxa"/>
            <w:tcBorders>
              <w:top w:val="nil"/>
              <w:left w:val="nil"/>
              <w:bottom w:val="single" w:sz="4" w:space="0" w:color="auto"/>
              <w:right w:val="nil"/>
            </w:tcBorders>
          </w:tcPr>
          <w:p w14:paraId="53650AC7"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6.5</w:t>
            </w:r>
          </w:p>
        </w:tc>
        <w:tc>
          <w:tcPr>
            <w:tcW w:w="1977" w:type="dxa"/>
            <w:tcBorders>
              <w:top w:val="nil"/>
              <w:left w:val="nil"/>
              <w:bottom w:val="single" w:sz="4" w:space="0" w:color="auto"/>
              <w:right w:val="nil"/>
            </w:tcBorders>
            <w:vAlign w:val="center"/>
          </w:tcPr>
          <w:p w14:paraId="665B5493" w14:textId="3BC58322" w:rsidR="00AD5DD1" w:rsidRPr="00202600" w:rsidRDefault="00AD5DD1" w:rsidP="00CB73F8">
            <w:pPr>
              <w:spacing w:line="48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csyL8OC6","properties":{"formattedCitation":"(28)","plainCitation":"(28)","noteIndex":0},"citationItems":[{"id":59,"uris":["http://zotero.org/users/local/jMRSEXDw/items/HVBFRIA3"],"uri":["http://zotero.org/users/local/jMRSEXDw/items/HVBFRIA3"],"itemData":{"id":59,"type":"article-journal","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described.\nMETHODS: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death.\nFINDINGS: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days.\nINTERPRETATION: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future.\nFUNDING: Chinese Academy of Medical Sciences Innovation Fund for Medical Sciences; National Science Grant for Distinguished Young Scholars; National Key Research and Development Program of China; The Beijing Science and Technology Project; and Major Projects of National Science and Technology on New Drug Creation and Development.","container-title":"Lancet (London, England)","DOI":"10.1016/S0140-6736(20)30566-3","ISSN":"1474-547X","issue":"10229","journalAbbreviation":"Lancet","language":"eng","note":"PMID: 32171076\nPMCID: PMC7270627","page":"1054-1062","source":"PubMed","title":"Clinical course and risk factors for mortality of adult inpatients with COVID-19 in Wuhan, China: a retrospective cohort study","title-short":"Clinical course and risk factors for mortality of adult inpatients with COVID-19 in Wuhan, China","volume":"395","author":[{"family":"Zhou","given":"Fei"},{"family":"Yu","given":"Ting"},{"family":"Du","given":"Ronghui"},{"family":"Fan","given":"Guohui"},{"family":"Liu","given":"Ying"},{"family":"Liu","given":"Zhibo"},{"family":"Xiang","given":"Jie"},{"family":"Wang","given":"Yeming"},{"family":"Song","given":"Bin"},{"family":"Gu","given":"Xiaoying"},{"family":"Guan","given":"Lulu"},{"family":"Wei","given":"Yuan"},{"family":"Li","given":"Hui"},{"family":"Wu","given":"Xudong"},{"family":"Xu","given":"Jiuyang"},{"family":"Tu","given":"Shengjin"},{"family":"Zhang","given":"Yi"},{"family":"Chen","given":"Hua"},{"family":"Cao","given":"Bin"}],"issued":{"date-parts":[["2020"]],"season":"28"}}}],"schema":"https://github.com/citation-style-language/schema/raw/master/csl-citation.json"} </w:instrText>
            </w:r>
            <w:r>
              <w:rPr>
                <w:rFonts w:ascii="Times New Roman" w:hAnsi="Times New Roman" w:cs="Times New Roman"/>
                <w:sz w:val="24"/>
                <w:szCs w:val="24"/>
              </w:rPr>
              <w:fldChar w:fldCharType="separate"/>
            </w:r>
            <w:r w:rsidR="00DA615A" w:rsidRPr="00DA615A">
              <w:rPr>
                <w:rFonts w:ascii="Times New Roman" w:hAnsi="Times New Roman" w:cs="Times New Roman"/>
                <w:sz w:val="24"/>
              </w:rPr>
              <w:t>(28)</w:t>
            </w:r>
            <w:r>
              <w:rPr>
                <w:rFonts w:ascii="Times New Roman" w:hAnsi="Times New Roman" w:cs="Times New Roman"/>
                <w:sz w:val="24"/>
                <w:szCs w:val="24"/>
              </w:rPr>
              <w:fldChar w:fldCharType="end"/>
            </w:r>
          </w:p>
        </w:tc>
      </w:tr>
      <w:tr w:rsidR="00AD5DD1" w:rsidRPr="00202600" w14:paraId="4E6ACA6B" w14:textId="77777777" w:rsidTr="005C4B5D">
        <w:tc>
          <w:tcPr>
            <w:tcW w:w="5231" w:type="dxa"/>
            <w:tcBorders>
              <w:top w:val="single" w:sz="4" w:space="0" w:color="auto"/>
              <w:left w:val="nil"/>
              <w:bottom w:val="nil"/>
              <w:right w:val="nil"/>
            </w:tcBorders>
          </w:tcPr>
          <w:p w14:paraId="1D39922B" w14:textId="77777777" w:rsidR="00AD5DD1" w:rsidRPr="00202600" w:rsidRDefault="00AD5DD1" w:rsidP="00CB73F8">
            <w:pPr>
              <w:spacing w:line="480" w:lineRule="auto"/>
              <w:ind w:right="180"/>
              <w:rPr>
                <w:rFonts w:ascii="Times New Roman" w:hAnsi="Times New Roman" w:cs="Times New Roman"/>
                <w:sz w:val="24"/>
                <w:szCs w:val="24"/>
                <w:vertAlign w:val="superscript"/>
              </w:rPr>
            </w:pPr>
            <w:r w:rsidRPr="00202600">
              <w:rPr>
                <w:rFonts w:ascii="Times New Roman" w:hAnsi="Times New Roman" w:cs="Times New Roman"/>
                <w:sz w:val="24"/>
                <w:szCs w:val="24"/>
              </w:rPr>
              <w:t xml:space="preserve">Duration of viral shedding, stratified by COVID-19 severity, mean, </w:t>
            </w:r>
            <w:proofErr w:type="spellStart"/>
            <w:r w:rsidRPr="00202600">
              <w:rPr>
                <w:rFonts w:ascii="Times New Roman" w:hAnsi="Times New Roman" w:cs="Times New Roman"/>
                <w:sz w:val="24"/>
                <w:szCs w:val="24"/>
              </w:rPr>
              <w:t>days</w:t>
            </w:r>
            <w:r w:rsidRPr="00202600">
              <w:rPr>
                <w:rFonts w:ascii="Times New Roman" w:hAnsi="Times New Roman" w:cs="Times New Roman"/>
                <w:sz w:val="24"/>
                <w:szCs w:val="24"/>
                <w:vertAlign w:val="superscript"/>
              </w:rPr>
              <w:t>b</w:t>
            </w:r>
            <w:proofErr w:type="spellEnd"/>
          </w:p>
        </w:tc>
        <w:tc>
          <w:tcPr>
            <w:tcW w:w="1662" w:type="dxa"/>
            <w:tcBorders>
              <w:top w:val="single" w:sz="4" w:space="0" w:color="auto"/>
              <w:left w:val="nil"/>
              <w:bottom w:val="single" w:sz="4" w:space="0" w:color="auto"/>
              <w:right w:val="nil"/>
            </w:tcBorders>
          </w:tcPr>
          <w:p w14:paraId="44A943B4"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Asymptomatic infection</w:t>
            </w:r>
          </w:p>
        </w:tc>
        <w:tc>
          <w:tcPr>
            <w:tcW w:w="1662" w:type="dxa"/>
            <w:tcBorders>
              <w:top w:val="single" w:sz="4" w:space="0" w:color="auto"/>
              <w:left w:val="nil"/>
              <w:bottom w:val="single" w:sz="4" w:space="0" w:color="auto"/>
              <w:right w:val="nil"/>
            </w:tcBorders>
          </w:tcPr>
          <w:p w14:paraId="2C972031"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Mild/moderate illness</w:t>
            </w:r>
          </w:p>
        </w:tc>
        <w:tc>
          <w:tcPr>
            <w:tcW w:w="1662" w:type="dxa"/>
            <w:tcBorders>
              <w:top w:val="single" w:sz="4" w:space="0" w:color="auto"/>
              <w:left w:val="nil"/>
              <w:bottom w:val="single" w:sz="4" w:space="0" w:color="auto"/>
              <w:right w:val="nil"/>
            </w:tcBorders>
            <w:vAlign w:val="bottom"/>
          </w:tcPr>
          <w:p w14:paraId="3CBABC70" w14:textId="77777777" w:rsidR="00AD5DD1" w:rsidRPr="00202600" w:rsidRDefault="00AD5DD1" w:rsidP="005C4B5D">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Severe illness</w:t>
            </w:r>
          </w:p>
        </w:tc>
        <w:tc>
          <w:tcPr>
            <w:tcW w:w="1483" w:type="dxa"/>
            <w:tcBorders>
              <w:top w:val="single" w:sz="4" w:space="0" w:color="auto"/>
              <w:left w:val="nil"/>
              <w:bottom w:val="single" w:sz="4" w:space="0" w:color="auto"/>
              <w:right w:val="nil"/>
            </w:tcBorders>
          </w:tcPr>
          <w:p w14:paraId="62DBD6D9"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Critical illness</w:t>
            </w:r>
          </w:p>
        </w:tc>
        <w:tc>
          <w:tcPr>
            <w:tcW w:w="1977" w:type="dxa"/>
            <w:tcBorders>
              <w:top w:val="single" w:sz="4" w:space="0" w:color="auto"/>
              <w:left w:val="nil"/>
              <w:bottom w:val="nil"/>
              <w:right w:val="nil"/>
            </w:tcBorders>
            <w:vAlign w:val="center"/>
          </w:tcPr>
          <w:p w14:paraId="26CE2B95" w14:textId="77777777" w:rsidR="00AD5DD1" w:rsidRPr="00202600" w:rsidRDefault="00AD5DD1" w:rsidP="00CB73F8">
            <w:pPr>
              <w:spacing w:line="480" w:lineRule="auto"/>
              <w:jc w:val="center"/>
              <w:rPr>
                <w:rFonts w:ascii="Times New Roman" w:hAnsi="Times New Roman" w:cs="Times New Roman"/>
                <w:sz w:val="24"/>
                <w:szCs w:val="24"/>
              </w:rPr>
            </w:pPr>
          </w:p>
        </w:tc>
      </w:tr>
      <w:tr w:rsidR="00AD5DD1" w:rsidRPr="00202600" w14:paraId="5D0C39AA" w14:textId="77777777" w:rsidTr="00CB73F8">
        <w:tc>
          <w:tcPr>
            <w:tcW w:w="5231" w:type="dxa"/>
            <w:tcBorders>
              <w:top w:val="nil"/>
              <w:left w:val="nil"/>
              <w:bottom w:val="single" w:sz="4" w:space="0" w:color="auto"/>
              <w:right w:val="nil"/>
            </w:tcBorders>
          </w:tcPr>
          <w:p w14:paraId="71E45C29" w14:textId="77777777" w:rsidR="00AD5DD1" w:rsidRPr="00202600" w:rsidRDefault="00AD5DD1" w:rsidP="00CB73F8">
            <w:pPr>
              <w:spacing w:line="480" w:lineRule="auto"/>
              <w:ind w:left="420" w:right="180"/>
              <w:rPr>
                <w:rFonts w:ascii="Times New Roman" w:hAnsi="Times New Roman" w:cs="Times New Roman"/>
                <w:sz w:val="24"/>
                <w:szCs w:val="24"/>
              </w:rPr>
            </w:pPr>
          </w:p>
        </w:tc>
        <w:tc>
          <w:tcPr>
            <w:tcW w:w="1662" w:type="dxa"/>
            <w:tcBorders>
              <w:top w:val="single" w:sz="4" w:space="0" w:color="auto"/>
              <w:left w:val="nil"/>
              <w:bottom w:val="single" w:sz="4" w:space="0" w:color="auto"/>
              <w:right w:val="nil"/>
            </w:tcBorders>
          </w:tcPr>
          <w:p w14:paraId="60B0834F"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9.5</w:t>
            </w:r>
          </w:p>
        </w:tc>
        <w:tc>
          <w:tcPr>
            <w:tcW w:w="1662" w:type="dxa"/>
            <w:tcBorders>
              <w:top w:val="single" w:sz="4" w:space="0" w:color="auto"/>
              <w:left w:val="nil"/>
              <w:bottom w:val="single" w:sz="4" w:space="0" w:color="auto"/>
              <w:right w:val="nil"/>
            </w:tcBorders>
          </w:tcPr>
          <w:p w14:paraId="6EAA559F" w14:textId="1822C144" w:rsidR="00AD5DD1" w:rsidRPr="00202600" w:rsidRDefault="00AD5DD1" w:rsidP="00E802BC">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1</w:t>
            </w:r>
            <w:r w:rsidR="00E802BC">
              <w:rPr>
                <w:rFonts w:ascii="Times New Roman" w:hAnsi="Times New Roman" w:cs="Times New Roman"/>
                <w:sz w:val="24"/>
                <w:szCs w:val="24"/>
              </w:rPr>
              <w:t>0</w:t>
            </w:r>
          </w:p>
        </w:tc>
        <w:tc>
          <w:tcPr>
            <w:tcW w:w="1662" w:type="dxa"/>
            <w:tcBorders>
              <w:top w:val="single" w:sz="4" w:space="0" w:color="auto"/>
              <w:left w:val="nil"/>
              <w:bottom w:val="single" w:sz="4" w:space="0" w:color="auto"/>
              <w:right w:val="nil"/>
            </w:tcBorders>
          </w:tcPr>
          <w:p w14:paraId="17A3B27F"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19</w:t>
            </w:r>
          </w:p>
        </w:tc>
        <w:tc>
          <w:tcPr>
            <w:tcW w:w="1483" w:type="dxa"/>
            <w:tcBorders>
              <w:top w:val="single" w:sz="4" w:space="0" w:color="auto"/>
              <w:left w:val="nil"/>
              <w:bottom w:val="single" w:sz="4" w:space="0" w:color="auto"/>
              <w:right w:val="nil"/>
            </w:tcBorders>
          </w:tcPr>
          <w:p w14:paraId="7E035DD1" w14:textId="77777777" w:rsidR="00AD5DD1" w:rsidRPr="00202600" w:rsidRDefault="00AD5DD1"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24</w:t>
            </w:r>
          </w:p>
        </w:tc>
        <w:tc>
          <w:tcPr>
            <w:tcW w:w="1977" w:type="dxa"/>
            <w:tcBorders>
              <w:top w:val="nil"/>
              <w:left w:val="nil"/>
              <w:bottom w:val="single" w:sz="4" w:space="0" w:color="auto"/>
              <w:right w:val="nil"/>
            </w:tcBorders>
            <w:vAlign w:val="center"/>
          </w:tcPr>
          <w:p w14:paraId="62331728" w14:textId="088FDF6B" w:rsidR="00AD5DD1" w:rsidRPr="00202600" w:rsidRDefault="00AD5DD1" w:rsidP="00CB73F8">
            <w:pPr>
              <w:spacing w:line="48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IlwI3wT3","properties":{"formattedCitation":"(25,28,29)","plainCitation":"(25,28,29)","noteIndex":0},"citationItems":[{"id":52,"uris":["http://zotero.org/users/local/jMRSEXDw/items/63YFXVDT"],"uri":["http://zotero.org/users/local/jMRSEXDw/items/63YFXVDT"],"itemData":{"id":52,"type":"report","title":"Report of the WHO-China joint mission on coronavirus disease 2019 (COVID-19)","URL":"https://www.who.int/docs/default-source/coronaviruse/who-china-joint-mission-on-covid-19-final-report.pdf","author":[{"literal":"WHO-China Joint Mission on Coronavirus Disease 2019"}],"accessed":{"date-parts":[["2020",8,9]]},"issued":{"date-parts":[["2020",2]]}}},{"id":59,"uris":["http://zotero.org/users/local/jMRSEXDw/items/HVBFRIA3"],"uri":["http://zotero.org/users/local/jMRSEXDw/items/HVBFRIA3"],"itemData":{"id":59,"type":"article-journal","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described.\nMETHODS: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death.\nFINDINGS: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days.\nINTERPRETATION: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future.\nFUNDING: Chinese Academy of Medical Sciences Innovation Fund for Medical Sciences; National Science Grant for Distinguished Young Scholars; National Key Research and Development Program of China; The Beijing Science and Technology Project; and Major Projects of National Science and Technology on New Drug Creation and Development.","container-title":"Lancet (London, England)","DOI":"10.1016/S0140-6736(20)30566-3","ISSN":"1474-547X","issue":"10229","journalAbbreviation":"Lancet","language":"eng","note":"PMID: 32171076\nPMCID: PMC7270627","page":"1054-1062","source":"PubMed","title":"Clinical course and risk factors for mortality of adult inpatients with COVID-19 in Wuhan, China: a retrospective cohort study","title-short":"Clinical course and risk factors for mortality of adult inpatients with COVID-19 in Wuhan, China","volume":"395","author":[{"family":"Zhou","given":"Fei"},{"family":"Yu","given":"Ting"},{"family":"Du","given":"Ronghui"},{"family":"Fan","given":"Guohui"},{"family":"Liu","given":"Ying"},{"family":"Liu","given":"Zhibo"},{"family":"Xiang","given":"Jie"},{"family":"Wang","given":"Yeming"},{"family":"Song","given":"Bin"},{"family":"Gu","given":"Xiaoying"},{"family":"Guan","given":"Lulu"},{"family":"Wei","given":"Yuan"},{"family":"Li","given":"Hui"},{"family":"Wu","given":"Xudong"},{"family":"Xu","given":"Jiuyang"},{"family":"Tu","given":"Shengjin"},{"family":"Zhang","given":"Yi"},{"family":"Chen","given":"Hua"},{"family":"Cao","given":"Bin"}],"issued":{"date-parts":[["2020"]],"season":"28"}}},{"id":62,"uris":["http://zotero.org/users/local/jMRSEXDw/items/4IF6E3YR"],"uri":["http://zotero.org/users/local/jMRSEXDw/items/4IF6E3YR"],"itemData":{"id":62,"type":"article-journal","abstract":"Previous studies have showed clinical characteristics of patients with the 2019 novel coronavirus disease (COVID-19) and the evidence of person-to-person transmission. Limited data are available for asymptomatic infections. This study aims to present the clinical characteristics of 24 cases with asymptomatic infection screened from close contacts and to show the transmission potential of asymptomatic COVID-19 virus carriers. Epidemiological investigations were conducted among all close contacts of COVID-19 patients (or suspected patients) in Nanjing, Jiangsu Province, China, from Jan 28 to Feb 9, 2020, both in clinic and in community. Asymptomatic carriers were laboratory-confirmed positive for the COVID-19 virus by testing the nucleic acid of the pharyngeal swab samples. Their clinical records, laboratory assessments, and chest CT scans were reviewed. As a result, none of the 24 asymptomatic cases presented any obvious symptoms while nucleic acid screening. Five cases (20.8%) developed symptoms (fever, cough, fatigue, etc.) during hospitalization. Twelve (50.0%) cases showed typical CT images of ground-glass chest and 5 (20.8%) presented stripe shadowing in the lungs. The remaining 7 (29.2%) cases showed normal CT image and had no symptoms during hospitalization. These 7 cases were younger (median age: 14.0 years; P=0.012) than the rest. None of the 24 cases developed severe COVID-19 pneumonia or died. The median communicable period, defined as the interval from the first day of positive nucleic acid tests to the first day of continuous negative tests, was 9.5 days (up to 21 days among the 24 asymptomatic cases). Through epidemiological investigation, we observed a typical asymptomatic transmission to the cohabiting family members, which even caused severe COVID-19 pneumonia. Overall, the asymptomatic carriers identified from close contacts were prone to be mildly ill during hospitalization. However, the communicable period could be up to three weeks and the communicated patients could develop severe illness. These results highlighted the importance of close contact tracing and longitudinally surveillance via virus nucleic acid tests. Further isolation recommendation and continuous nucleic acid tests may also be recommended to the patients discharged.","container-title":"Science China. Life Sciences","DOI":"10.1007/s11427-020-1661-4","ISSN":"1869-1889","issue":"5","journalAbbreviation":"Sci China Life Sci","language":"eng","note":"PMID: 32146694\nPMCID: PMC7088568","page":"706-711","source":"PubMed","title":"Clinical characteristics of 24 asymptomatic infections with COVID-19 screened among close contacts in Nanjing, China","volume":"63","author":[{"family":"Hu","given":"Zhiliang"},{"family":"Song","given":"Ci"},{"family":"Xu","given":"Chuanjun"},{"family":"Jin","given":"Guangfu"},{"family":"Chen","given":"Yaling"},{"family":"Xu","given":"Xin"},{"family":"Ma","given":"Hongxia"},{"family":"Chen","given":"Wei"},{"family":"Lin","given":"Yuan"},{"family":"Zheng","given":"Yishan"},{"family":"Wang","given":"Jianming"},{"family":"Hu","given":"Zhibin"},{"family":"Yi","given":"Yongxiang"},{"family":"Shen","given":"Hongbing"}],"issued":{"date-parts":[["2020"]]}}}],"schema":"https://github.com/citation-style-language/schema/raw/master/csl-citation.json"} </w:instrText>
            </w:r>
            <w:r>
              <w:rPr>
                <w:rFonts w:ascii="Times New Roman" w:hAnsi="Times New Roman" w:cs="Times New Roman"/>
                <w:sz w:val="24"/>
                <w:szCs w:val="24"/>
              </w:rPr>
              <w:fldChar w:fldCharType="separate"/>
            </w:r>
            <w:r w:rsidR="00DA615A" w:rsidRPr="00DA615A">
              <w:rPr>
                <w:rFonts w:ascii="Times New Roman" w:hAnsi="Times New Roman" w:cs="Times New Roman"/>
                <w:sz w:val="24"/>
              </w:rPr>
              <w:t>(25,28,29)</w:t>
            </w:r>
            <w:r>
              <w:rPr>
                <w:rFonts w:ascii="Times New Roman" w:hAnsi="Times New Roman" w:cs="Times New Roman"/>
                <w:sz w:val="24"/>
                <w:szCs w:val="24"/>
              </w:rPr>
              <w:fldChar w:fldCharType="end"/>
            </w:r>
          </w:p>
        </w:tc>
      </w:tr>
    </w:tbl>
    <w:p w14:paraId="09A9B266" w14:textId="77777777" w:rsidR="00AD5DD1" w:rsidRPr="00202600" w:rsidRDefault="00AD5DD1">
      <w:pPr>
        <w:rPr>
          <w:rFonts w:ascii="Times New Roman" w:hAnsi="Times New Roman" w:cs="Times New Roman"/>
          <w:sz w:val="24"/>
          <w:szCs w:val="24"/>
        </w:rPr>
      </w:pPr>
    </w:p>
    <w:p w14:paraId="23BCAE43" w14:textId="517FB2DA" w:rsidR="00754020" w:rsidRPr="00202600" w:rsidRDefault="00754020">
      <w:pPr>
        <w:rPr>
          <w:rFonts w:ascii="Times New Roman" w:hAnsi="Times New Roman" w:cs="Times New Roman"/>
          <w:sz w:val="24"/>
          <w:szCs w:val="24"/>
        </w:rPr>
      </w:pPr>
    </w:p>
    <w:p w14:paraId="2E388DC2" w14:textId="77777777" w:rsidR="00CB73F8" w:rsidRDefault="00CB73F8">
      <w:pPr>
        <w:rPr>
          <w:rFonts w:ascii="Times New Roman" w:hAnsi="Times New Roman" w:cs="Times New Roman"/>
          <w:b/>
          <w:bCs/>
          <w:sz w:val="24"/>
          <w:szCs w:val="24"/>
        </w:rPr>
      </w:pPr>
      <w:r>
        <w:rPr>
          <w:rFonts w:ascii="Times New Roman" w:hAnsi="Times New Roman" w:cs="Times New Roman"/>
          <w:b/>
          <w:bCs/>
          <w:sz w:val="24"/>
          <w:szCs w:val="24"/>
        </w:rPr>
        <w:br w:type="page"/>
      </w:r>
    </w:p>
    <w:p w14:paraId="3B2AC8BA" w14:textId="43E11D94" w:rsidR="00894396" w:rsidRPr="00202600" w:rsidRDefault="00754020">
      <w:pPr>
        <w:rPr>
          <w:rFonts w:ascii="Times New Roman" w:hAnsi="Times New Roman" w:cs="Times New Roman"/>
          <w:sz w:val="24"/>
          <w:szCs w:val="24"/>
        </w:rPr>
      </w:pPr>
      <w:r w:rsidRPr="00202600">
        <w:rPr>
          <w:rFonts w:ascii="Times New Roman" w:hAnsi="Times New Roman" w:cs="Times New Roman"/>
          <w:b/>
          <w:bCs/>
          <w:sz w:val="24"/>
          <w:szCs w:val="24"/>
        </w:rPr>
        <w:lastRenderedPageBreak/>
        <w:t xml:space="preserve">Table </w:t>
      </w:r>
      <w:r w:rsidR="009F3C82">
        <w:rPr>
          <w:rFonts w:ascii="Times New Roman" w:hAnsi="Times New Roman" w:cs="Times New Roman"/>
          <w:b/>
          <w:bCs/>
          <w:sz w:val="24"/>
          <w:szCs w:val="24"/>
        </w:rPr>
        <w:t>S</w:t>
      </w:r>
      <w:r w:rsidRPr="00202600">
        <w:rPr>
          <w:rFonts w:ascii="Times New Roman" w:hAnsi="Times New Roman" w:cs="Times New Roman"/>
          <w:b/>
          <w:bCs/>
          <w:sz w:val="24"/>
          <w:szCs w:val="24"/>
        </w:rPr>
        <w:t>1, continued</w:t>
      </w:r>
      <w:r w:rsidRPr="00202600">
        <w:rPr>
          <w:rFonts w:ascii="Times New Roman" w:hAnsi="Times New Roman" w:cs="Times New Roman"/>
          <w:sz w:val="24"/>
          <w:szCs w:val="24"/>
        </w:rPr>
        <w:t>. Clinical characteristics of COVID-19 infection in the US.</w:t>
      </w:r>
    </w:p>
    <w:tbl>
      <w:tblPr>
        <w:tblStyle w:val="TableGrid"/>
        <w:tblW w:w="13677" w:type="dxa"/>
        <w:tblLook w:val="04A0" w:firstRow="1" w:lastRow="0" w:firstColumn="1" w:lastColumn="0" w:noHBand="0" w:noVBand="1"/>
      </w:tblPr>
      <w:tblGrid>
        <w:gridCol w:w="5231"/>
        <w:gridCol w:w="2156"/>
        <w:gridCol w:w="2156"/>
        <w:gridCol w:w="2157"/>
        <w:gridCol w:w="1977"/>
      </w:tblGrid>
      <w:tr w:rsidR="00894396" w:rsidRPr="00202600" w14:paraId="121F7F51" w14:textId="77777777" w:rsidTr="007F3B0C">
        <w:tc>
          <w:tcPr>
            <w:tcW w:w="5231" w:type="dxa"/>
            <w:tcBorders>
              <w:top w:val="single" w:sz="4" w:space="0" w:color="auto"/>
              <w:left w:val="nil"/>
              <w:bottom w:val="nil"/>
              <w:right w:val="nil"/>
            </w:tcBorders>
          </w:tcPr>
          <w:p w14:paraId="30A1DC14" w14:textId="3930338A" w:rsidR="00894396" w:rsidRPr="00202600" w:rsidRDefault="00F04752" w:rsidP="00AD5DD1">
            <w:pPr>
              <w:spacing w:line="480" w:lineRule="auto"/>
              <w:ind w:right="180"/>
              <w:rPr>
                <w:rFonts w:ascii="Times New Roman" w:hAnsi="Times New Roman" w:cs="Times New Roman"/>
                <w:b/>
                <w:bCs/>
                <w:sz w:val="24"/>
                <w:szCs w:val="24"/>
              </w:rPr>
            </w:pPr>
            <w:r w:rsidRPr="00202600">
              <w:rPr>
                <w:rFonts w:ascii="Times New Roman" w:hAnsi="Times New Roman" w:cs="Times New Roman"/>
                <w:b/>
                <w:bCs/>
                <w:sz w:val="24"/>
                <w:szCs w:val="24"/>
              </w:rPr>
              <w:t>Parameter</w:t>
            </w:r>
          </w:p>
        </w:tc>
        <w:tc>
          <w:tcPr>
            <w:tcW w:w="6469" w:type="dxa"/>
            <w:gridSpan w:val="3"/>
            <w:tcBorders>
              <w:top w:val="single" w:sz="4" w:space="0" w:color="auto"/>
              <w:left w:val="nil"/>
              <w:bottom w:val="nil"/>
              <w:right w:val="nil"/>
            </w:tcBorders>
          </w:tcPr>
          <w:p w14:paraId="4C84AE53" w14:textId="40030C44" w:rsidR="00894396" w:rsidRPr="00202600" w:rsidRDefault="00F04752" w:rsidP="00AD5DD1">
            <w:pPr>
              <w:spacing w:line="480" w:lineRule="auto"/>
              <w:jc w:val="center"/>
              <w:rPr>
                <w:rFonts w:ascii="Times New Roman" w:hAnsi="Times New Roman" w:cs="Times New Roman"/>
                <w:b/>
                <w:bCs/>
                <w:sz w:val="24"/>
                <w:szCs w:val="24"/>
              </w:rPr>
            </w:pPr>
            <w:r w:rsidRPr="00202600">
              <w:rPr>
                <w:rFonts w:ascii="Times New Roman" w:hAnsi="Times New Roman" w:cs="Times New Roman"/>
                <w:b/>
                <w:bCs/>
                <w:sz w:val="24"/>
                <w:szCs w:val="24"/>
              </w:rPr>
              <w:t>Value</w:t>
            </w:r>
          </w:p>
        </w:tc>
        <w:tc>
          <w:tcPr>
            <w:tcW w:w="1977" w:type="dxa"/>
            <w:tcBorders>
              <w:top w:val="single" w:sz="4" w:space="0" w:color="auto"/>
              <w:left w:val="nil"/>
              <w:bottom w:val="nil"/>
              <w:right w:val="nil"/>
            </w:tcBorders>
            <w:vAlign w:val="center"/>
          </w:tcPr>
          <w:p w14:paraId="192095CC" w14:textId="74CE7C7A" w:rsidR="00894396" w:rsidRPr="00202600" w:rsidRDefault="00F04752" w:rsidP="00AD5DD1">
            <w:pPr>
              <w:spacing w:line="480" w:lineRule="auto"/>
              <w:jc w:val="center"/>
              <w:rPr>
                <w:rFonts w:ascii="Times New Roman" w:hAnsi="Times New Roman" w:cs="Times New Roman"/>
                <w:b/>
                <w:bCs/>
                <w:sz w:val="24"/>
                <w:szCs w:val="24"/>
              </w:rPr>
            </w:pPr>
            <w:r w:rsidRPr="00202600">
              <w:rPr>
                <w:rFonts w:ascii="Times New Roman" w:hAnsi="Times New Roman" w:cs="Times New Roman"/>
                <w:b/>
                <w:bCs/>
                <w:sz w:val="24"/>
                <w:szCs w:val="24"/>
              </w:rPr>
              <w:t>Source</w:t>
            </w:r>
          </w:p>
        </w:tc>
      </w:tr>
      <w:tr w:rsidR="00F04752" w:rsidRPr="00202600" w14:paraId="6FEE2011" w14:textId="77777777" w:rsidTr="007F3B0C">
        <w:tc>
          <w:tcPr>
            <w:tcW w:w="5231" w:type="dxa"/>
            <w:tcBorders>
              <w:top w:val="single" w:sz="4" w:space="0" w:color="auto"/>
              <w:left w:val="nil"/>
              <w:bottom w:val="nil"/>
              <w:right w:val="nil"/>
            </w:tcBorders>
            <w:shd w:val="clear" w:color="auto" w:fill="D9D9D9" w:themeFill="background1" w:themeFillShade="D9"/>
          </w:tcPr>
          <w:p w14:paraId="394C5524" w14:textId="73A53CD3" w:rsidR="00F04752" w:rsidRPr="00202600" w:rsidRDefault="00F04752" w:rsidP="00AD5DD1">
            <w:pPr>
              <w:spacing w:line="480" w:lineRule="auto"/>
              <w:ind w:right="180"/>
              <w:rPr>
                <w:rFonts w:ascii="Times New Roman" w:hAnsi="Times New Roman" w:cs="Times New Roman"/>
                <w:b/>
                <w:bCs/>
                <w:sz w:val="24"/>
                <w:szCs w:val="24"/>
              </w:rPr>
            </w:pPr>
            <w:r w:rsidRPr="00202600">
              <w:rPr>
                <w:rFonts w:ascii="Times New Roman" w:hAnsi="Times New Roman" w:cs="Times New Roman"/>
                <w:b/>
                <w:bCs/>
                <w:sz w:val="24"/>
                <w:szCs w:val="24"/>
              </w:rPr>
              <w:t>Natural History</w:t>
            </w:r>
            <w:r w:rsidR="00D92274" w:rsidRPr="00202600">
              <w:rPr>
                <w:rFonts w:ascii="Times New Roman" w:hAnsi="Times New Roman" w:cs="Times New Roman"/>
                <w:b/>
                <w:bCs/>
                <w:sz w:val="24"/>
                <w:szCs w:val="24"/>
              </w:rPr>
              <w:t>,</w:t>
            </w:r>
            <w:r w:rsidRPr="00202600">
              <w:rPr>
                <w:rFonts w:ascii="Times New Roman" w:hAnsi="Times New Roman" w:cs="Times New Roman"/>
                <w:b/>
                <w:bCs/>
                <w:sz w:val="24"/>
                <w:szCs w:val="24"/>
              </w:rPr>
              <w:t xml:space="preserve"> continued</w:t>
            </w:r>
          </w:p>
        </w:tc>
        <w:tc>
          <w:tcPr>
            <w:tcW w:w="6469" w:type="dxa"/>
            <w:gridSpan w:val="3"/>
            <w:tcBorders>
              <w:top w:val="single" w:sz="4" w:space="0" w:color="auto"/>
              <w:left w:val="nil"/>
              <w:bottom w:val="nil"/>
              <w:right w:val="nil"/>
            </w:tcBorders>
            <w:shd w:val="clear" w:color="auto" w:fill="D9D9D9" w:themeFill="background1" w:themeFillShade="D9"/>
          </w:tcPr>
          <w:p w14:paraId="406B173A" w14:textId="77777777" w:rsidR="00F04752" w:rsidRPr="00202600" w:rsidRDefault="00F04752" w:rsidP="00AD5DD1">
            <w:pPr>
              <w:spacing w:line="480" w:lineRule="auto"/>
              <w:jc w:val="center"/>
              <w:rPr>
                <w:rFonts w:ascii="Times New Roman" w:hAnsi="Times New Roman" w:cs="Times New Roman"/>
                <w:b/>
                <w:bCs/>
                <w:sz w:val="24"/>
                <w:szCs w:val="24"/>
              </w:rPr>
            </w:pPr>
          </w:p>
        </w:tc>
        <w:tc>
          <w:tcPr>
            <w:tcW w:w="1977" w:type="dxa"/>
            <w:tcBorders>
              <w:top w:val="single" w:sz="4" w:space="0" w:color="auto"/>
              <w:left w:val="nil"/>
              <w:bottom w:val="nil"/>
              <w:right w:val="nil"/>
            </w:tcBorders>
            <w:shd w:val="clear" w:color="auto" w:fill="D9D9D9" w:themeFill="background1" w:themeFillShade="D9"/>
            <w:vAlign w:val="center"/>
          </w:tcPr>
          <w:p w14:paraId="6766DB0B" w14:textId="77777777" w:rsidR="00F04752" w:rsidRPr="00202600" w:rsidRDefault="00F04752" w:rsidP="00AD5DD1">
            <w:pPr>
              <w:spacing w:line="480" w:lineRule="auto"/>
              <w:jc w:val="center"/>
              <w:rPr>
                <w:rFonts w:ascii="Times New Roman" w:hAnsi="Times New Roman" w:cs="Times New Roman"/>
                <w:b/>
                <w:bCs/>
                <w:sz w:val="24"/>
                <w:szCs w:val="24"/>
              </w:rPr>
            </w:pPr>
          </w:p>
        </w:tc>
      </w:tr>
      <w:tr w:rsidR="00D55003" w:rsidRPr="00202600" w14:paraId="552190F2" w14:textId="77777777" w:rsidTr="00BD7679">
        <w:tc>
          <w:tcPr>
            <w:tcW w:w="5231" w:type="dxa"/>
            <w:tcBorders>
              <w:top w:val="single" w:sz="4" w:space="0" w:color="auto"/>
              <w:left w:val="nil"/>
              <w:bottom w:val="nil"/>
              <w:right w:val="nil"/>
            </w:tcBorders>
          </w:tcPr>
          <w:p w14:paraId="581716EC" w14:textId="77777777" w:rsidR="00D55003" w:rsidRPr="00202600" w:rsidRDefault="00D55003" w:rsidP="00CB73F8">
            <w:pPr>
              <w:spacing w:line="480" w:lineRule="auto"/>
              <w:ind w:right="180"/>
              <w:rPr>
                <w:rFonts w:ascii="Times New Roman" w:hAnsi="Times New Roman" w:cs="Times New Roman"/>
                <w:sz w:val="24"/>
                <w:szCs w:val="24"/>
              </w:rPr>
            </w:pPr>
            <w:r w:rsidRPr="00202600">
              <w:rPr>
                <w:rFonts w:ascii="Times New Roman" w:hAnsi="Times New Roman" w:cs="Times New Roman"/>
                <w:sz w:val="24"/>
                <w:szCs w:val="24"/>
              </w:rPr>
              <w:t>Daily probability of mortality in the critical state, stratified by age</w:t>
            </w:r>
          </w:p>
        </w:tc>
        <w:tc>
          <w:tcPr>
            <w:tcW w:w="2156" w:type="dxa"/>
            <w:tcBorders>
              <w:top w:val="single" w:sz="4" w:space="0" w:color="auto"/>
              <w:left w:val="nil"/>
              <w:bottom w:val="single" w:sz="4" w:space="0" w:color="auto"/>
              <w:right w:val="nil"/>
            </w:tcBorders>
            <w:vAlign w:val="bottom"/>
          </w:tcPr>
          <w:p w14:paraId="1E307498" w14:textId="053D9EE4" w:rsidR="00D55003" w:rsidRPr="00202600" w:rsidRDefault="00D55003" w:rsidP="00CB73F8">
            <w:pPr>
              <w:spacing w:line="480" w:lineRule="auto"/>
              <w:jc w:val="center"/>
              <w:rPr>
                <w:rFonts w:ascii="Times New Roman" w:hAnsi="Times New Roman" w:cs="Times New Roman"/>
                <w:sz w:val="24"/>
                <w:szCs w:val="24"/>
              </w:rPr>
            </w:pPr>
            <w:r>
              <w:rPr>
                <w:rFonts w:ascii="Times New Roman" w:hAnsi="Times New Roman" w:cs="Times New Roman"/>
                <w:sz w:val="24"/>
                <w:szCs w:val="24"/>
              </w:rPr>
              <w:t>&lt;20y</w:t>
            </w:r>
          </w:p>
        </w:tc>
        <w:tc>
          <w:tcPr>
            <w:tcW w:w="2156" w:type="dxa"/>
            <w:tcBorders>
              <w:top w:val="single" w:sz="4" w:space="0" w:color="auto"/>
              <w:left w:val="nil"/>
              <w:bottom w:val="single" w:sz="4" w:space="0" w:color="auto"/>
              <w:right w:val="nil"/>
            </w:tcBorders>
            <w:vAlign w:val="bottom"/>
          </w:tcPr>
          <w:p w14:paraId="08D747DC" w14:textId="7285A626" w:rsidR="00D55003" w:rsidRPr="00202600" w:rsidRDefault="003E3B95" w:rsidP="00CB73F8">
            <w:pPr>
              <w:spacing w:line="480" w:lineRule="auto"/>
              <w:jc w:val="center"/>
              <w:rPr>
                <w:rFonts w:ascii="Times New Roman" w:hAnsi="Times New Roman" w:cs="Times New Roman"/>
                <w:sz w:val="24"/>
                <w:szCs w:val="24"/>
              </w:rPr>
            </w:pPr>
            <w:r>
              <w:rPr>
                <w:rFonts w:ascii="Times New Roman" w:hAnsi="Times New Roman" w:cs="Times New Roman"/>
                <w:sz w:val="24"/>
                <w:szCs w:val="24"/>
              </w:rPr>
              <w:t>20-59y</w:t>
            </w:r>
          </w:p>
        </w:tc>
        <w:tc>
          <w:tcPr>
            <w:tcW w:w="2157" w:type="dxa"/>
            <w:tcBorders>
              <w:top w:val="single" w:sz="4" w:space="0" w:color="auto"/>
              <w:left w:val="nil"/>
              <w:bottom w:val="single" w:sz="4" w:space="0" w:color="auto"/>
              <w:right w:val="nil"/>
            </w:tcBorders>
            <w:vAlign w:val="bottom"/>
          </w:tcPr>
          <w:p w14:paraId="45EC7A85" w14:textId="2462C546" w:rsidR="00D55003" w:rsidRPr="00202600" w:rsidRDefault="003E3B95" w:rsidP="005C4B5D">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00D55003" w:rsidRPr="00202600">
              <w:rPr>
                <w:rFonts w:ascii="Times New Roman" w:hAnsi="Times New Roman" w:cs="Times New Roman"/>
                <w:sz w:val="24"/>
                <w:szCs w:val="24"/>
              </w:rPr>
              <w:t>60y</w:t>
            </w:r>
          </w:p>
        </w:tc>
        <w:tc>
          <w:tcPr>
            <w:tcW w:w="1977" w:type="dxa"/>
            <w:tcBorders>
              <w:top w:val="single" w:sz="4" w:space="0" w:color="auto"/>
              <w:left w:val="nil"/>
              <w:bottom w:val="nil"/>
              <w:right w:val="nil"/>
            </w:tcBorders>
            <w:vAlign w:val="center"/>
          </w:tcPr>
          <w:p w14:paraId="1C25119E" w14:textId="77777777" w:rsidR="00D55003" w:rsidRPr="00202600" w:rsidRDefault="00D55003" w:rsidP="00CB73F8">
            <w:pPr>
              <w:spacing w:line="480" w:lineRule="auto"/>
              <w:jc w:val="center"/>
              <w:rPr>
                <w:rFonts w:ascii="Times New Roman" w:hAnsi="Times New Roman" w:cs="Times New Roman"/>
                <w:sz w:val="24"/>
                <w:szCs w:val="24"/>
              </w:rPr>
            </w:pPr>
          </w:p>
        </w:tc>
      </w:tr>
      <w:tr w:rsidR="00D55003" w:rsidRPr="00202600" w14:paraId="383D848B" w14:textId="77777777" w:rsidTr="00BD7679">
        <w:tc>
          <w:tcPr>
            <w:tcW w:w="5231" w:type="dxa"/>
            <w:tcBorders>
              <w:top w:val="nil"/>
              <w:left w:val="nil"/>
              <w:bottom w:val="nil"/>
              <w:right w:val="nil"/>
            </w:tcBorders>
          </w:tcPr>
          <w:p w14:paraId="03C276C0" w14:textId="77777777" w:rsidR="00D55003" w:rsidRPr="00202600" w:rsidRDefault="00D55003" w:rsidP="00CB73F8">
            <w:pPr>
              <w:spacing w:line="480" w:lineRule="auto"/>
              <w:ind w:left="720" w:right="180"/>
              <w:rPr>
                <w:rFonts w:ascii="Times New Roman" w:hAnsi="Times New Roman" w:cs="Times New Roman"/>
                <w:sz w:val="24"/>
                <w:szCs w:val="24"/>
              </w:rPr>
            </w:pPr>
            <w:r w:rsidRPr="00202600">
              <w:rPr>
                <w:rFonts w:ascii="Times New Roman" w:hAnsi="Times New Roman" w:cs="Times New Roman"/>
                <w:sz w:val="24"/>
                <w:szCs w:val="24"/>
              </w:rPr>
              <w:t>Hospital care</w:t>
            </w:r>
          </w:p>
        </w:tc>
        <w:tc>
          <w:tcPr>
            <w:tcW w:w="2156" w:type="dxa"/>
            <w:tcBorders>
              <w:left w:val="nil"/>
              <w:bottom w:val="nil"/>
              <w:right w:val="nil"/>
            </w:tcBorders>
          </w:tcPr>
          <w:p w14:paraId="5C11957C" w14:textId="75EFB6C4" w:rsidR="00D55003" w:rsidRPr="00202600" w:rsidRDefault="003E3B95" w:rsidP="00CB73F8">
            <w:pPr>
              <w:spacing w:line="480" w:lineRule="auto"/>
              <w:jc w:val="center"/>
              <w:rPr>
                <w:rFonts w:ascii="Times New Roman" w:hAnsi="Times New Roman" w:cs="Times New Roman"/>
                <w:sz w:val="24"/>
                <w:szCs w:val="24"/>
              </w:rPr>
            </w:pPr>
            <w:r>
              <w:rPr>
                <w:rFonts w:ascii="Times New Roman" w:hAnsi="Times New Roman" w:cs="Times New Roman"/>
                <w:sz w:val="24"/>
                <w:szCs w:val="24"/>
              </w:rPr>
              <w:t>6.00 E6</w:t>
            </w:r>
          </w:p>
        </w:tc>
        <w:tc>
          <w:tcPr>
            <w:tcW w:w="2156" w:type="dxa"/>
            <w:tcBorders>
              <w:left w:val="nil"/>
              <w:bottom w:val="nil"/>
              <w:right w:val="nil"/>
            </w:tcBorders>
          </w:tcPr>
          <w:p w14:paraId="56524744" w14:textId="52124E37" w:rsidR="00D55003" w:rsidRPr="00202600" w:rsidRDefault="003E3B95" w:rsidP="00CB73F8">
            <w:pPr>
              <w:spacing w:line="48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2157" w:type="dxa"/>
            <w:tcBorders>
              <w:top w:val="single" w:sz="4" w:space="0" w:color="auto"/>
              <w:left w:val="nil"/>
              <w:bottom w:val="nil"/>
              <w:right w:val="nil"/>
            </w:tcBorders>
          </w:tcPr>
          <w:p w14:paraId="2D84D94A" w14:textId="77777777" w:rsidR="00D55003" w:rsidRPr="00202600" w:rsidRDefault="00D55003"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0.050</w:t>
            </w:r>
          </w:p>
        </w:tc>
        <w:tc>
          <w:tcPr>
            <w:tcW w:w="1977" w:type="dxa"/>
            <w:tcBorders>
              <w:top w:val="nil"/>
              <w:left w:val="nil"/>
              <w:bottom w:val="nil"/>
              <w:right w:val="nil"/>
            </w:tcBorders>
            <w:vAlign w:val="center"/>
          </w:tcPr>
          <w:p w14:paraId="5C90C0B3" w14:textId="08AB4CFC" w:rsidR="00D55003" w:rsidRPr="00202600" w:rsidRDefault="00D55003"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Der. From</w:t>
            </w:r>
            <w:r w:rsidR="009B7A9E">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rlG74q7P","properties":{"formattedCitation":"(25,28)","plainCitation":"(25,28)","noteIndex":0},"citationItems":[{"id":52,"uris":["http://zotero.org/users/local/jMRSEXDw/items/63YFXVDT"],"uri":["http://zotero.org/users/local/jMRSEXDw/items/63YFXVDT"],"itemData":{"id":52,"type":"report","title":"Report of the WHO-China joint mission on coronavirus disease 2019 (COVID-19)","URL":"https://www.who.int/docs/default-source/coronaviruse/who-china-joint-mission-on-covid-19-final-report.pdf","author":[{"literal":"WHO-China Joint Mission on Coronavirus Disease 2019"}],"accessed":{"date-parts":[["2020",8,9]]},"issued":{"date-parts":[["2020",2]]}}},{"id":59,"uris":["http://zotero.org/users/local/jMRSEXDw/items/HVBFRIA3"],"uri":["http://zotero.org/users/local/jMRSEXDw/items/HVBFRIA3"],"itemData":{"id":59,"type":"article-journal","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described.\nMETHODS: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death.\nFINDINGS: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days.\nINTERPRETATION: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future.\nFUNDING: Chinese Academy of Medical Sciences Innovation Fund for Medical Sciences; National Science Grant for Distinguished Young Scholars; National Key Research and Development Program of China; The Beijing Science and Technology Project; and Major Projects of National Science and Technology on New Drug Creation and Development.","container-title":"Lancet (London, England)","DOI":"10.1016/S0140-6736(20)30566-3","ISSN":"1474-547X","issue":"10229","journalAbbreviation":"Lancet","language":"eng","note":"PMID: 32171076\nPMCID: PMC7270627","page":"1054-1062","source":"PubMed","title":"Clinical course and risk factors for mortality of adult inpatients with COVID-19 in Wuhan, China: a retrospective cohort study","title-short":"Clinical course and risk factors for mortality of adult inpatients with COVID-19 in Wuhan, China","volume":"395","author":[{"family":"Zhou","given":"Fei"},{"family":"Yu","given":"Ting"},{"family":"Du","given":"Ronghui"},{"family":"Fan","given":"Guohui"},{"family":"Liu","given":"Ying"},{"family":"Liu","given":"Zhibo"},{"family":"Xiang","given":"Jie"},{"family":"Wang","given":"Yeming"},{"family":"Song","given":"Bin"},{"family":"Gu","given":"Xiaoying"},{"family":"Guan","given":"Lulu"},{"family":"Wei","given":"Yuan"},{"family":"Li","given":"Hui"},{"family":"Wu","given":"Xudong"},{"family":"Xu","given":"Jiuyang"},{"family":"Tu","given":"Shengjin"},{"family":"Zhang","given":"Yi"},{"family":"Chen","given":"Hua"},{"family":"Cao","given":"Bin"}],"issued":{"date-parts":[["2020"]],"season":"28"}}}],"schema":"https://github.com/citation-style-language/schema/raw/master/csl-citation.json"} </w:instrText>
            </w:r>
            <w:r>
              <w:rPr>
                <w:rFonts w:ascii="Times New Roman" w:hAnsi="Times New Roman" w:cs="Times New Roman"/>
                <w:sz w:val="24"/>
                <w:szCs w:val="24"/>
              </w:rPr>
              <w:fldChar w:fldCharType="separate"/>
            </w:r>
            <w:r w:rsidR="00DA615A" w:rsidRPr="00DA615A">
              <w:rPr>
                <w:rFonts w:ascii="Times New Roman" w:hAnsi="Times New Roman" w:cs="Times New Roman"/>
                <w:sz w:val="24"/>
              </w:rPr>
              <w:t>(25,28)</w:t>
            </w:r>
            <w:r>
              <w:rPr>
                <w:rFonts w:ascii="Times New Roman" w:hAnsi="Times New Roman" w:cs="Times New Roman"/>
                <w:sz w:val="24"/>
                <w:szCs w:val="24"/>
              </w:rPr>
              <w:fldChar w:fldCharType="end"/>
            </w:r>
          </w:p>
        </w:tc>
      </w:tr>
      <w:tr w:rsidR="00D55003" w:rsidRPr="00202600" w14:paraId="454B5CF7" w14:textId="77777777" w:rsidTr="00BD7679">
        <w:tc>
          <w:tcPr>
            <w:tcW w:w="5231" w:type="dxa"/>
            <w:tcBorders>
              <w:top w:val="nil"/>
              <w:left w:val="nil"/>
              <w:bottom w:val="single" w:sz="4" w:space="0" w:color="auto"/>
              <w:right w:val="nil"/>
            </w:tcBorders>
          </w:tcPr>
          <w:p w14:paraId="2B12A974" w14:textId="77777777" w:rsidR="00D55003" w:rsidRPr="00202600" w:rsidRDefault="00D55003" w:rsidP="00CB73F8">
            <w:pPr>
              <w:spacing w:line="480" w:lineRule="auto"/>
              <w:ind w:left="720" w:right="180"/>
              <w:rPr>
                <w:rFonts w:ascii="Times New Roman" w:hAnsi="Times New Roman" w:cs="Times New Roman"/>
                <w:sz w:val="24"/>
                <w:szCs w:val="24"/>
              </w:rPr>
            </w:pPr>
            <w:r w:rsidRPr="00202600">
              <w:rPr>
                <w:rFonts w:ascii="Times New Roman" w:hAnsi="Times New Roman" w:cs="Times New Roman"/>
                <w:sz w:val="24"/>
                <w:szCs w:val="24"/>
              </w:rPr>
              <w:t>No hospital care</w:t>
            </w:r>
          </w:p>
        </w:tc>
        <w:tc>
          <w:tcPr>
            <w:tcW w:w="2156" w:type="dxa"/>
            <w:tcBorders>
              <w:top w:val="nil"/>
              <w:left w:val="nil"/>
              <w:bottom w:val="single" w:sz="4" w:space="0" w:color="auto"/>
              <w:right w:val="nil"/>
            </w:tcBorders>
          </w:tcPr>
          <w:p w14:paraId="4778E46B" w14:textId="0751961E" w:rsidR="00D55003" w:rsidRPr="00202600" w:rsidRDefault="003E3B95" w:rsidP="00CB73F8">
            <w:pPr>
              <w:spacing w:line="480" w:lineRule="auto"/>
              <w:jc w:val="center"/>
              <w:rPr>
                <w:rFonts w:ascii="Times New Roman" w:hAnsi="Times New Roman" w:cs="Times New Roman"/>
                <w:sz w:val="24"/>
                <w:szCs w:val="24"/>
              </w:rPr>
            </w:pPr>
            <w:r>
              <w:rPr>
                <w:rFonts w:ascii="Times New Roman" w:hAnsi="Times New Roman" w:cs="Times New Roman"/>
                <w:sz w:val="24"/>
                <w:szCs w:val="24"/>
              </w:rPr>
              <w:t>0.1</w:t>
            </w:r>
            <w:r w:rsidR="00BD7679">
              <w:rPr>
                <w:rFonts w:ascii="Times New Roman" w:hAnsi="Times New Roman" w:cs="Times New Roman"/>
                <w:sz w:val="24"/>
                <w:szCs w:val="24"/>
              </w:rPr>
              <w:t>18</w:t>
            </w:r>
          </w:p>
        </w:tc>
        <w:tc>
          <w:tcPr>
            <w:tcW w:w="2156" w:type="dxa"/>
            <w:tcBorders>
              <w:top w:val="nil"/>
              <w:left w:val="nil"/>
              <w:bottom w:val="single" w:sz="4" w:space="0" w:color="auto"/>
              <w:right w:val="nil"/>
            </w:tcBorders>
          </w:tcPr>
          <w:p w14:paraId="05FBA2A2" w14:textId="202D08B3" w:rsidR="00D55003" w:rsidRPr="00202600" w:rsidRDefault="003E3B95" w:rsidP="00CB73F8">
            <w:pPr>
              <w:spacing w:line="480" w:lineRule="auto"/>
              <w:jc w:val="center"/>
              <w:rPr>
                <w:rFonts w:ascii="Times New Roman" w:hAnsi="Times New Roman" w:cs="Times New Roman"/>
                <w:sz w:val="24"/>
                <w:szCs w:val="24"/>
              </w:rPr>
            </w:pPr>
            <w:r>
              <w:rPr>
                <w:rFonts w:ascii="Times New Roman" w:hAnsi="Times New Roman" w:cs="Times New Roman"/>
                <w:sz w:val="24"/>
                <w:szCs w:val="24"/>
              </w:rPr>
              <w:t>0.166</w:t>
            </w:r>
          </w:p>
        </w:tc>
        <w:tc>
          <w:tcPr>
            <w:tcW w:w="2157" w:type="dxa"/>
            <w:tcBorders>
              <w:top w:val="nil"/>
              <w:left w:val="nil"/>
              <w:bottom w:val="single" w:sz="4" w:space="0" w:color="auto"/>
              <w:right w:val="nil"/>
            </w:tcBorders>
          </w:tcPr>
          <w:p w14:paraId="219ACC03" w14:textId="77777777" w:rsidR="00D55003" w:rsidRPr="00202600" w:rsidRDefault="00D55003"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0.203</w:t>
            </w:r>
          </w:p>
        </w:tc>
        <w:tc>
          <w:tcPr>
            <w:tcW w:w="1977" w:type="dxa"/>
            <w:tcBorders>
              <w:top w:val="nil"/>
              <w:left w:val="nil"/>
              <w:bottom w:val="single" w:sz="4" w:space="0" w:color="auto"/>
              <w:right w:val="nil"/>
            </w:tcBorders>
            <w:vAlign w:val="center"/>
          </w:tcPr>
          <w:p w14:paraId="4A915A8B" w14:textId="6BDEB86D" w:rsidR="00D55003" w:rsidRPr="00202600" w:rsidRDefault="00D55003"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Der. From</w:t>
            </w:r>
            <w:r w:rsidR="00A854AE">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9TwW3prs","properties":{"formattedCitation":"(23,30,31)","plainCitation":"(23,30,31)","noteIndex":0},"citationItems":[{"id":47,"uris":["http://zotero.org/users/local/jMRSEXDw/items/N348L2Y4"],"uri":["http://zotero.org/users/local/jMRSEXDw/items/N348L2Y4"],"itemData":{"id":47,"type":"article-journal","abstract":"On 5 February 2020, in Yokohama, Japan, a cruise ship hosting 3,711 people underwent a 2-week quarantine after a former passenger was found with COVID-19 post-disembarking. As at 20 February, 634 persons on board tested positive for the causative virus. We conducted statistical modelling to derive the delay-adjusted asymptomatic proportion of infections, along with the infections' timeline. The estimated asymptomatic proportion was 17.9% (95% credible interval (CrI): 15.5-20.2%). Most infections occurred before the quarantine start.","container-title":"Euro Surveillance: Bulletin Europeen Sur Les Maladies Transmissibles = European Communicable Disease Bulletin","DOI":"10.2807/1560-7917.ES.2020.25.10.2000180","ISSN":"1560-7917","issue":"10","journalAbbreviation":"Euro Surveill.","language":"eng","note":"PMID: 32183930\nPMCID: PMC7078829","source":"PubMed","title":"Estimating the asymptomatic proportion of coronavirus disease 2019 (COVID-19) cases on board the Diamond Princess cruise ship, Yokohama, Japan, 2020","volume":"25","author":[{"family":"Mizumoto","given":"Kenji"},{"family":"Kagaya","given":"Katsushi"},{"family":"Zarebski","given":"Alexander"},{"family":"Chowell","given":"Gerardo"}],"issued":{"date-parts":[["2020"]]}}},{"id":65,"uris":["http://zotero.org/users/local/jMRSEXDw/items/BSL7WQYY"],"uri":["http://zotero.org/users/local/jMRSEXDw/items/BSL7WQYY"],"itemData":{"id":65,"type":"article-journal","abstract":"Importance: There is limited information describing the presenting characteristics and outcomes of US patients requiring hospitalization for coronavirus disease 2019 (COVID-19).\nObjective: To describe the clinical characteristics and outcomes of patients with COVID-19 hospitalized in a US health care system.\nDesign, Setting, and Participants: Case series of patients with COVID-19 admitted to 12 hospitals in New York City, Long Island, and Westchester County, New York, within the Northwell Health system. The study included all sequentially hospitalized patients between March 1, 2020, and April 4, 2020, inclusive of these dates.\nExposures: Confirmed severe acute respiratory syndrome coronavirus 2 (SARS-CoV-2) infection by positive result on polymerase chain reaction testing of a nasopharyngeal sample among patients requiring admission.\nMain Outcomes and Measures: Clinical outcomes during hospitalization, such as invasive mechanical ventilation, kidney replacement therapy, and death. Demographics, baseline comorbidities, presenting vital signs, and test results were also collected.\nResults: A total of 5700 patients were included (median age, 63 years [interquartile range {IQR}, 52-75; range, 0-107 years]; 39.7% female). The most common comorbidities were hypertension (3026; 56.6%), obesity (1737; 41.7%), and diabetes (1808; 33.8%). At triage, 30.7% of patients were febrile, 17.3% had a respiratory rate greater than 24 breaths/minute, and 27.8% received supplemental oxygen. The rate of respiratory virus co-infection was 2.1%. Outcomes were assessed for 2634 patients who were discharged or had died at the study end point. During hospitalization, 373 patients (14.2%) (median age, 68 years [IQR, 56-78]; 33.5% female) were treated in the intensive care unit care, 320 (12.2%) received invasive mechanical ventilation, 81 (3.2%) were treated with kidney replacement therapy, and 553 (21%) died. Mortality for those requiring mechanical ventilation was 88.1%. The median postdischarge follow-up time was 4.4 days (IQR, 2.2-9.3). A total of 45 patients (2.2%) were readmitted during the study period. The median time to readmission was 3 days (IQR, 1.0-4.5) for readmitted patients. Among the 3066 patients who remained hospitalized at the final study follow-up date (median age, 65 years [IQR, 54-75]), the median follow-up at time of censoring was 4.5 days (IQR, 2.4-8.1).\nConclusions and Relevance: This case series provides characteristics and early outcomes of sequentially hospitalized patients with confirmed COVID-19 in the New York City area.","container-title":"JAMA","DOI":"10.1001/jama.2020.6775","ISSN":"1538-3598","journalAbbreviation":"JAMA","language":"eng","note":"PMID: 32320003\nPMCID: PMC7177629","source":"PubMed","title":"Presenting characteristics, comorbidities, and outcomes among 5700 patients hospitalized with COVID-19 in the New York City area","author":[{"family":"Richardson","given":"Safiya"},{"family":"Hirsch","given":"Jamie S."},{"family":"Narasimhan","given":"Mangala"},{"family":"Crawford","given":"James M."},{"family":"McGinn","given":"Thomas"},{"family":"Davidson","given":"Karina W."},{"literal":"and the Northwell COVID-19 Research Consortium"},{"family":"Barnaby","given":"Douglas P."},{"family":"Becker","given":"Lance B."},{"family":"Chelico","given":"John D."},{"family":"Cohen","given":"Stuart L."},{"family":"Cookingham","given":"Jennifer"},{"family":"Coppa","given":"Kevin"},{"family":"Diefenbach","given":"Michael A."},{"family":"Dominello","given":"Andrew J."},{"family":"Duer-Hefele","given":"Joan"},{"family":"Falzon","given":"Louise"},{"family":"Gitlin","given":"Jordan"},{"family":"Hajizadeh","given":"Negin"},{"family":"Harvin","given":"Tiffany G."},{"family":"Hirschwerk","given":"David A."},{"family":"Kim","given":"Eun Ji"},{"family":"Kozel","given":"Zachary M."},{"family":"Marrast","given":"Lyndonna M."},{"family":"Mogavero","given":"Jazmin N."},{"family":"Osorio","given":"Gabrielle A."},{"family":"Qiu","given":"Michael"},{"family":"Zanos","given":"Theodoros P."}],"issued":{"date-parts":[["2020",4,22]]}}},{"id":68,"uris":["http://zotero.org/users/local/jMRSEXDw/items/LJGBB2NE"],"uri":["http://zotero.org/users/local/jMRSEXDw/items/LJGBB2NE"],"itemData":{"id":68,"type":"article-journal","abstract":"IMPORTANCE: Since publication of the report by the Panel on Cost-Effectiveness in Health and Medicine in 1996, researchers have advanced the methods of cost-effectiveness analysis, and policy makers have experimented with its application. The need to deliver health care efficiently and the importance of using analytic techniques to understand the clinical and economic consequences of strategies to improve health have increased in recent years.\nOBJECTIVE: To review the state of the field and provide recommendations to improve the quality of cost-effectiveness analyses. The intended audiences include researchers, government policy makers, public health officials, health care administrators, payers, businesses, clinicians, patients, and consumers.\nDESIGN: In 2012, the Second Panel on Cost-Effectiveness in Health and Medicine was formed and included 2 co-chairs, 13 members, and 3 additional members of a leadership group. These members were selected on the basis of their experience in the field to provide broad expertise in the design, conduct, and use of cost-effectiveness analyses. Over the next 3.5 years, the panel developed recommendations by consensus. These recommendations were then reviewed by invited external reviewers and through a public posting process.\nFINDINGS: The concept of a \"reference case\" and a set of standard methodological practices that all cost-effectiveness analyses should follow to improve quality and comparability are recommended. All cost-effectiveness analyses should report 2 reference case analyses: one based on a health care sector perspective and another based on a societal perspective. The use of an \"impact inventory,\" which is a structured table that contains consequences (both inside and outside the formal health care sector), intended to clarify the scope and boundaries of the 2 reference case analyses is also recommended. This special communication reviews these recommendations and others concerning the estimation of the consequences of interventions, the valuation of health outcomes, and the reporting of cost-effectiveness analyses.\nCONCLUSIONS AND RELEVANCE: The Second Panel reviewed the current status of the field of cost-effectiveness analysis and developed a new set of recommendations. Major changes include the recommendation to perform analyses from 2 reference case perspectives and to provide an impact inventory to clarify included consequences.","container-title":"JAMA","DOI":"10.1001/jama.2016.12195","ISSN":"1538-3598","issue":"10","journalAbbreviation":"JAMA","language":"eng","note":"PMID: 27623463","page":"1093-1103","source":"PubMed","title":"Recommendations for conduct, methodological practices, and reporting of cost-effectiveness analyses: second panel on cost-effectiveness in health and medicine","title-short":"Recommendations for Conduct, Methodological Practices, and Reporting of Cost-effectiveness Analyses","volume":"316","author":[{"family":"Sanders","given":"Gillian D."},{"family":"Neumann","given":"Peter J."},{"family":"Basu","given":"Anirban"},{"family":"Brock","given":"Dan W."},{"family":"Feeny","given":"David"},{"family":"Krahn","given":"Murray"},{"family":"Kuntz","given":"Karen M."},{"family":"Meltzer","given":"David O."},{"family":"Owens","given":"Douglas K."},{"family":"Prosser","given":"Lisa A."},{"family":"Salomon","given":"Joshua A."},{"family":"Sculpher","given":"Mark J."},{"family":"Trikalinos","given":"Thomas A."},{"family":"Russell","given":"Louise B."},{"family":"Siegel","given":"Joanna E."},{"family":"Ganiats","given":"Theodore G."}],"issued":{"date-parts":[["2016",9,13]]}}}],"schema":"https://github.com/citation-style-language/schema/raw/master/csl-citation.json"} </w:instrText>
            </w:r>
            <w:r>
              <w:rPr>
                <w:rFonts w:ascii="Times New Roman" w:hAnsi="Times New Roman" w:cs="Times New Roman"/>
                <w:sz w:val="24"/>
                <w:szCs w:val="24"/>
              </w:rPr>
              <w:fldChar w:fldCharType="separate"/>
            </w:r>
            <w:r w:rsidR="00DA615A" w:rsidRPr="00DA615A">
              <w:rPr>
                <w:rFonts w:ascii="Times New Roman" w:hAnsi="Times New Roman" w:cs="Times New Roman"/>
                <w:sz w:val="24"/>
              </w:rPr>
              <w:t>(23,30,31)</w:t>
            </w:r>
            <w:r>
              <w:rPr>
                <w:rFonts w:ascii="Times New Roman" w:hAnsi="Times New Roman" w:cs="Times New Roman"/>
                <w:sz w:val="24"/>
                <w:szCs w:val="24"/>
              </w:rPr>
              <w:fldChar w:fldCharType="end"/>
            </w:r>
          </w:p>
        </w:tc>
      </w:tr>
      <w:tr w:rsidR="00894396" w:rsidRPr="00202600" w14:paraId="3D388009" w14:textId="77777777" w:rsidTr="007F3B0C">
        <w:tc>
          <w:tcPr>
            <w:tcW w:w="5231" w:type="dxa"/>
            <w:tcBorders>
              <w:top w:val="single" w:sz="4" w:space="0" w:color="auto"/>
              <w:left w:val="nil"/>
              <w:bottom w:val="nil"/>
              <w:right w:val="nil"/>
            </w:tcBorders>
          </w:tcPr>
          <w:p w14:paraId="0CF50CE3" w14:textId="77777777" w:rsidR="00894396" w:rsidRPr="00202600" w:rsidRDefault="00894396" w:rsidP="00AD5DD1">
            <w:pPr>
              <w:spacing w:line="480" w:lineRule="auto"/>
              <w:ind w:right="180"/>
              <w:rPr>
                <w:rFonts w:ascii="Times New Roman" w:hAnsi="Times New Roman" w:cs="Times New Roman"/>
                <w:sz w:val="24"/>
                <w:szCs w:val="24"/>
              </w:rPr>
            </w:pPr>
            <w:r w:rsidRPr="00202600">
              <w:rPr>
                <w:rFonts w:ascii="Times New Roman" w:hAnsi="Times New Roman" w:cs="Times New Roman"/>
                <w:sz w:val="24"/>
                <w:szCs w:val="24"/>
              </w:rPr>
              <w:t>Daily probability of onward transmission, stratified by disease state</w:t>
            </w:r>
          </w:p>
        </w:tc>
        <w:tc>
          <w:tcPr>
            <w:tcW w:w="6469" w:type="dxa"/>
            <w:gridSpan w:val="3"/>
            <w:tcBorders>
              <w:top w:val="single" w:sz="4" w:space="0" w:color="auto"/>
              <w:left w:val="nil"/>
              <w:bottom w:val="nil"/>
              <w:right w:val="nil"/>
            </w:tcBorders>
          </w:tcPr>
          <w:p w14:paraId="2FFC0662" w14:textId="77777777" w:rsidR="00894396" w:rsidRPr="00202600" w:rsidRDefault="00894396" w:rsidP="00AD5DD1">
            <w:pPr>
              <w:spacing w:line="480" w:lineRule="auto"/>
              <w:jc w:val="center"/>
              <w:rPr>
                <w:rFonts w:ascii="Times New Roman" w:hAnsi="Times New Roman" w:cs="Times New Roman"/>
                <w:sz w:val="24"/>
                <w:szCs w:val="24"/>
              </w:rPr>
            </w:pPr>
          </w:p>
        </w:tc>
        <w:tc>
          <w:tcPr>
            <w:tcW w:w="1977" w:type="dxa"/>
            <w:tcBorders>
              <w:top w:val="single" w:sz="4" w:space="0" w:color="auto"/>
              <w:left w:val="nil"/>
              <w:bottom w:val="nil"/>
              <w:right w:val="nil"/>
            </w:tcBorders>
            <w:vAlign w:val="center"/>
          </w:tcPr>
          <w:p w14:paraId="728D9921" w14:textId="77777777" w:rsidR="00894396" w:rsidRPr="00202600" w:rsidRDefault="00894396" w:rsidP="00AD5DD1">
            <w:pPr>
              <w:spacing w:line="480" w:lineRule="auto"/>
              <w:jc w:val="center"/>
              <w:rPr>
                <w:rFonts w:ascii="Times New Roman" w:hAnsi="Times New Roman" w:cs="Times New Roman"/>
                <w:sz w:val="24"/>
                <w:szCs w:val="24"/>
              </w:rPr>
            </w:pPr>
          </w:p>
        </w:tc>
      </w:tr>
      <w:tr w:rsidR="00894396" w:rsidRPr="00202600" w14:paraId="39253511" w14:textId="77777777" w:rsidTr="007F3B0C">
        <w:tc>
          <w:tcPr>
            <w:tcW w:w="5231" w:type="dxa"/>
            <w:tcBorders>
              <w:top w:val="nil"/>
              <w:left w:val="nil"/>
              <w:bottom w:val="nil"/>
              <w:right w:val="nil"/>
            </w:tcBorders>
          </w:tcPr>
          <w:p w14:paraId="3B94B0DC" w14:textId="77777777" w:rsidR="00894396" w:rsidRPr="00202600" w:rsidRDefault="00894396" w:rsidP="00AD5DD1">
            <w:pPr>
              <w:spacing w:line="480" w:lineRule="auto"/>
              <w:ind w:left="720" w:right="180"/>
              <w:rPr>
                <w:rFonts w:ascii="Times New Roman" w:hAnsi="Times New Roman" w:cs="Times New Roman"/>
                <w:sz w:val="24"/>
                <w:szCs w:val="24"/>
              </w:rPr>
            </w:pPr>
            <w:r w:rsidRPr="00202600">
              <w:rPr>
                <w:rFonts w:ascii="Times New Roman" w:hAnsi="Times New Roman" w:cs="Times New Roman"/>
                <w:sz w:val="24"/>
                <w:szCs w:val="24"/>
              </w:rPr>
              <w:t>Asymptomatic</w:t>
            </w:r>
          </w:p>
        </w:tc>
        <w:tc>
          <w:tcPr>
            <w:tcW w:w="6469" w:type="dxa"/>
            <w:gridSpan w:val="3"/>
            <w:tcBorders>
              <w:top w:val="nil"/>
              <w:left w:val="nil"/>
              <w:bottom w:val="nil"/>
              <w:right w:val="nil"/>
            </w:tcBorders>
          </w:tcPr>
          <w:p w14:paraId="5251CEB9" w14:textId="77777777" w:rsidR="00894396" w:rsidRPr="00202600" w:rsidRDefault="00894396" w:rsidP="00AD5DD1">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0.2394</w:t>
            </w:r>
          </w:p>
        </w:tc>
        <w:tc>
          <w:tcPr>
            <w:tcW w:w="1977" w:type="dxa"/>
            <w:tcBorders>
              <w:top w:val="nil"/>
              <w:left w:val="nil"/>
              <w:bottom w:val="nil"/>
              <w:right w:val="nil"/>
            </w:tcBorders>
            <w:vAlign w:val="center"/>
          </w:tcPr>
          <w:p w14:paraId="27747124" w14:textId="77777777" w:rsidR="00894396" w:rsidRPr="00202600" w:rsidRDefault="00894396" w:rsidP="00AD5DD1">
            <w:pPr>
              <w:spacing w:line="480" w:lineRule="auto"/>
              <w:jc w:val="center"/>
              <w:rPr>
                <w:rFonts w:ascii="Times New Roman" w:hAnsi="Times New Roman" w:cs="Times New Roman"/>
                <w:sz w:val="24"/>
                <w:szCs w:val="24"/>
              </w:rPr>
            </w:pPr>
          </w:p>
        </w:tc>
      </w:tr>
      <w:tr w:rsidR="00894396" w:rsidRPr="00202600" w14:paraId="5E923F02" w14:textId="77777777" w:rsidTr="007F3B0C">
        <w:tc>
          <w:tcPr>
            <w:tcW w:w="5231" w:type="dxa"/>
            <w:tcBorders>
              <w:top w:val="nil"/>
              <w:left w:val="nil"/>
              <w:bottom w:val="nil"/>
              <w:right w:val="nil"/>
            </w:tcBorders>
          </w:tcPr>
          <w:p w14:paraId="63718F7C" w14:textId="77777777" w:rsidR="00894396" w:rsidRPr="00202600" w:rsidRDefault="00894396" w:rsidP="00AD5DD1">
            <w:pPr>
              <w:spacing w:line="480" w:lineRule="auto"/>
              <w:ind w:left="720" w:right="180"/>
              <w:rPr>
                <w:rFonts w:ascii="Times New Roman" w:hAnsi="Times New Roman" w:cs="Times New Roman"/>
                <w:sz w:val="24"/>
                <w:szCs w:val="24"/>
              </w:rPr>
            </w:pPr>
            <w:r w:rsidRPr="00202600">
              <w:rPr>
                <w:rFonts w:ascii="Times New Roman" w:hAnsi="Times New Roman" w:cs="Times New Roman"/>
                <w:sz w:val="24"/>
                <w:szCs w:val="24"/>
              </w:rPr>
              <w:t>Mild/moderate</w:t>
            </w:r>
          </w:p>
        </w:tc>
        <w:tc>
          <w:tcPr>
            <w:tcW w:w="6469" w:type="dxa"/>
            <w:gridSpan w:val="3"/>
            <w:tcBorders>
              <w:top w:val="nil"/>
              <w:left w:val="nil"/>
              <w:bottom w:val="nil"/>
              <w:right w:val="nil"/>
            </w:tcBorders>
          </w:tcPr>
          <w:p w14:paraId="169A7EBC" w14:textId="77777777" w:rsidR="00894396" w:rsidRPr="00202600" w:rsidRDefault="00894396" w:rsidP="00AD5DD1">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0.1948</w:t>
            </w:r>
          </w:p>
        </w:tc>
        <w:tc>
          <w:tcPr>
            <w:tcW w:w="1977" w:type="dxa"/>
            <w:tcBorders>
              <w:top w:val="nil"/>
              <w:left w:val="nil"/>
              <w:bottom w:val="nil"/>
              <w:right w:val="nil"/>
            </w:tcBorders>
            <w:vAlign w:val="center"/>
          </w:tcPr>
          <w:p w14:paraId="3FFCC159" w14:textId="77777777" w:rsidR="00894396" w:rsidRPr="00202600" w:rsidRDefault="00894396" w:rsidP="00AD5DD1">
            <w:pPr>
              <w:spacing w:line="480" w:lineRule="auto"/>
              <w:jc w:val="center"/>
              <w:rPr>
                <w:rFonts w:ascii="Times New Roman" w:hAnsi="Times New Roman" w:cs="Times New Roman"/>
                <w:sz w:val="24"/>
                <w:szCs w:val="24"/>
              </w:rPr>
            </w:pPr>
          </w:p>
        </w:tc>
      </w:tr>
      <w:tr w:rsidR="00894396" w:rsidRPr="00202600" w14:paraId="299302E2" w14:textId="77777777" w:rsidTr="007F3B0C">
        <w:trPr>
          <w:trHeight w:val="288"/>
        </w:trPr>
        <w:tc>
          <w:tcPr>
            <w:tcW w:w="5231" w:type="dxa"/>
            <w:tcBorders>
              <w:top w:val="nil"/>
              <w:left w:val="nil"/>
              <w:bottom w:val="nil"/>
              <w:right w:val="nil"/>
            </w:tcBorders>
          </w:tcPr>
          <w:p w14:paraId="2B881B1A" w14:textId="77777777" w:rsidR="00894396" w:rsidRPr="00202600" w:rsidRDefault="00894396" w:rsidP="00AD5DD1">
            <w:pPr>
              <w:spacing w:line="480" w:lineRule="auto"/>
              <w:ind w:left="720" w:right="180"/>
              <w:rPr>
                <w:rFonts w:ascii="Times New Roman" w:hAnsi="Times New Roman" w:cs="Times New Roman"/>
                <w:sz w:val="24"/>
                <w:szCs w:val="24"/>
              </w:rPr>
            </w:pPr>
            <w:r w:rsidRPr="00202600">
              <w:rPr>
                <w:rFonts w:ascii="Times New Roman" w:hAnsi="Times New Roman" w:cs="Times New Roman"/>
                <w:sz w:val="24"/>
                <w:szCs w:val="24"/>
              </w:rPr>
              <w:t>Severe</w:t>
            </w:r>
          </w:p>
        </w:tc>
        <w:tc>
          <w:tcPr>
            <w:tcW w:w="6469" w:type="dxa"/>
            <w:gridSpan w:val="3"/>
            <w:tcBorders>
              <w:top w:val="nil"/>
              <w:left w:val="nil"/>
              <w:bottom w:val="nil"/>
              <w:right w:val="nil"/>
            </w:tcBorders>
          </w:tcPr>
          <w:p w14:paraId="1F847316" w14:textId="77777777" w:rsidR="00894396" w:rsidRPr="00202600" w:rsidRDefault="00894396" w:rsidP="00AD5DD1">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0.0135</w:t>
            </w:r>
          </w:p>
        </w:tc>
        <w:tc>
          <w:tcPr>
            <w:tcW w:w="1977" w:type="dxa"/>
            <w:tcBorders>
              <w:top w:val="nil"/>
              <w:left w:val="nil"/>
              <w:bottom w:val="nil"/>
              <w:right w:val="nil"/>
            </w:tcBorders>
            <w:vAlign w:val="center"/>
          </w:tcPr>
          <w:p w14:paraId="373FE723" w14:textId="5A561DD7" w:rsidR="00894396" w:rsidRPr="00202600" w:rsidRDefault="00894396" w:rsidP="00AD5DD1">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Der. From</w:t>
            </w:r>
            <w:r w:rsidR="00A854AE">
              <w:rPr>
                <w:rFonts w:ascii="Times New Roman" w:hAnsi="Times New Roman" w:cs="Times New Roman"/>
                <w:sz w:val="24"/>
                <w:szCs w:val="24"/>
              </w:rPr>
              <w:t xml:space="preserve"> </w:t>
            </w:r>
            <w:r w:rsidR="009776B5">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04LMS1uY","properties":{"formattedCitation":"(25,29,32,33)","plainCitation":"(25,29,32,33)","noteIndex":0},"citationItems":[{"id":52,"uris":["http://zotero.org/users/local/jMRSEXDw/items/63YFXVDT"],"uri":["http://zotero.org/users/local/jMRSEXDw/items/63YFXVDT"],"itemData":{"id":52,"type":"report","title":"Report of the WHO-China joint mission on coronavirus disease 2019 (COVID-19)","URL":"https://www.who.int/docs/default-source/coronaviruse/who-china-joint-mission-on-covid-19-final-report.pdf","author":[{"literal":"WHO-China Joint Mission on Coronavirus Disease 2019"}],"accessed":{"date-parts":[["2020",8,9]]},"issued":{"date-parts":[["2020",2]]}}},{"id":62,"uris":["http://zotero.org/users/local/jMRSEXDw/items/4IF6E3YR"],"uri":["http://zotero.org/users/local/jMRSEXDw/items/4IF6E3YR"],"itemData":{"id":62,"type":"article-journal","abstract":"Previous studies have showed clinical characteristics of patients with the 2019 novel coronavirus disease (COVID-19) and the evidence of person-to-person transmission. Limited data are available for asymptomatic infections. This study aims to present the clinical characteristics of 24 cases with asymptomatic infection screened from close contacts and to show the transmission potential of asymptomatic COVID-19 virus carriers. Epidemiological investigations were conducted among all close contacts of COVID-19 patients (or suspected patients) in Nanjing, Jiangsu Province, China, from Jan 28 to Feb 9, 2020, both in clinic and in community. Asymptomatic carriers were laboratory-confirmed positive for the COVID-19 virus by testing the nucleic acid of the pharyngeal swab samples. Their clinical records, laboratory assessments, and chest CT scans were reviewed. As a result, none of the 24 asymptomatic cases presented any obvious symptoms while nucleic acid screening. Five cases (20.8%) developed symptoms (fever, cough, fatigue, etc.) during hospitalization. Twelve (50.0%) cases showed typical CT images of ground-glass chest and 5 (20.8%) presented stripe shadowing in the lungs. The remaining 7 (29.2%) cases showed normal CT image and had no symptoms during hospitalization. These 7 cases were younger (median age: 14.0 years; P=0.012) than the rest. None of the 24 cases developed severe COVID-19 pneumonia or died. The median communicable period, defined as the interval from the first day of positive nucleic acid tests to the first day of continuous negative tests, was 9.5 days (up to 21 days among the 24 asymptomatic cases). Through epidemiological investigation, we observed a typical asymptomatic transmission to the cohabiting family members, which even caused severe COVID-19 pneumonia. Overall, the asymptomatic carriers identified from close contacts were prone to be mildly ill during hospitalization. However, the communicable period could be up to three weeks and the communicated patients could develop severe illness. These results highlighted the importance of close contact tracing and longitudinally surveillance via virus nucleic acid tests. Further isolation recommendation and continuous nucleic acid tests may also be recommended to the patients discharged.","container-title":"Science China. Life Sciences","DOI":"10.1007/s11427-020-1661-4","ISSN":"1869-1889","issue":"5","journalAbbreviation":"Sci China Life Sci","language":"eng","note":"PMID: 32146694\nPMCID: PMC7088568","page":"706-711","source":"PubMed","title":"Clinical characteristics of 24 asymptomatic infections with COVID-19 screened among close contacts in Nanjing, China","volume":"63","author":[{"family":"Hu","given":"Zhiliang"},{"family":"Song","given":"Ci"},{"family":"Xu","given":"Chuanjun"},{"family":"Jin","given":"Guangfu"},{"family":"Chen","given":"Yaling"},{"family":"Xu","given":"Xin"},{"family":"Ma","given":"Hongxia"},{"family":"Chen","given":"Wei"},{"family":"Lin","given":"Yuan"},{"family":"Zheng","given":"Yishan"},{"family":"Wang","given":"Jianming"},{"family":"Hu","given":"Zhibin"},{"family":"Yi","given":"Yongxiang"},{"family":"Shen","given":"Hongbing"}],"issued":{"date-parts":[["2020"]]}}},{"id":71,"uris":["http://zotero.org/users/local/jMRSEXDw/items/TQCKQH75"],"uri":["http://zotero.org/users/local/jMRSEXDw/items/TQCKQH75"],"itemData":{"id":71,"type":"article-journal","container-title":"Journal of Travel Medicine","DOI":"10.1093/jtm/taaa021","ISSN":"1708-8305","issue":"2","journalAbbreviation":"J Travel Med","language":"eng","note":"PMID: 32052846\nPMCID: PMC7074654","source":"PubMed","title":"The reproductive number of COVID-19 is higher compared to SARS coronavirus","volume":"27","author":[{"family":"Liu","given":"Ying"},{"family":"Gayle","given":"Albert A."},{"family":"Wilder-Smith","given":"Annelies"},{"family":"Rocklöv","given":"Joacim"}],"issued":{"date-parts":[["2020"]],"season":"13"}}},{"id":74,"uris":["http://zotero.org/users/local/jMRSEXDw/items/QZW2JBEY"],"uri":["http://zotero.org/users/local/jMRSEXDw/items/QZW2JBEY"],"itemData":{"id":74,"type":"article-journal","abstract":"&lt;p&gt;Background: The outbreak of novel coronavirus pneumonia (NCP) caused by 2019-nCoV spread rapidly, and elucidation the diagnostic accuracy of different respiratory specimens is crucial for the control and treatment of this diseases. Methods: Respiratory samples including nasal swabs, throat swabs, sputum and bronchoalveolar lavage fluid (BALF) were collected from Guangdong CDC confirmed NCP patients, and viral RNAs were detected using a CFDA approved detection kit. Results were analyzed in combination with sample collection date and clinical information. Finding: Except for BALF, the sputum possessed the highest positive rate (74.4%~88.9%), followed by nasal swabs (53.6%~73.3%) for both severe and mild cases during the first 14 days after illness onset (d.a.o). For samples collected ≥ 15 d.a.o, sputum and nasal swabs still possessed a high positive rate ranging from 42.9%~61.1%. The positive rate of throat swabs collected ≥ 8 d.a.o was low, especially in samples from mild cases. Viral RNAs could be detected in all the lower respiratory tract of severe cases, but not the mild cases. CT scan of cases 02, 07 and 13 showed typical viral pneumonia with ground glass opacity, while no viral RNAs were detected in first three or all the upper respiratory samples. Interpretation: Sputum is most accurate for laboratory diagnosis of NCP, followed by nasal swabs. Detection of viral RNAs in BLAF is necessary for diagnosis and monitoring of viruses in severe cases. CT scan could serve as an important make up for the diagnosis of NCP. Funding National Science and Technology Major Project, Sanming Project of Medicine and China Postdoctoral Science Foundation.&lt;/p&gt;","container-title":"medRxiv","DOI":"10.1101/2020.02.11.20021493","language":"en","note":"publisher: Cold Spring Harbor Laboratory Press","page":"2020.02.11.20021493","source":"www.medrxiv.org","title":"Evaluating the accuracy of different respiratory specimens in the laboratory diagnosis and monitoring the viral shedding of 2019-nCoV infections","author":[{"family":"Yang","given":"Yang"},{"family":"Yang","given":"Minghui"},{"family":"Shen","given":"Chenguang"},{"family":"Wang","given":"Fuxiang"},{"family":"Yuan","given":"Jing"},{"family":"Li","given":"Jinxiu"},{"family":"Zhang","given":"Mingxia"},{"family":"Wang","given":"Zhaoqin"},{"family":"Xing","given":"Li"},{"family":"Wei","given":"Jinli"},{"family":"Peng","given":"Ling"},{"family":"Wong","given":"Gary"},{"family":"Zheng","given":"Haixia"},{"family":"Liao","given":"Mingfeng"},{"family":"Feng","given":"Kai"},{"family":"Li","given":"Jianming"},{"family":"Yang","given":"Qianting"},{"family":"Zhao","given":"Juanjuan"},{"family":"Zhang","given":"Zheng"},{"family":"Liu","given":"Lei"},{"family":"Liu","given":"Yingxia"}],"issued":{"date-parts":[["2020",2,17]]}}}],"schema":"https://github.com/citation-style-language/schema/raw/master/csl-citation.json"} </w:instrText>
            </w:r>
            <w:r w:rsidR="009776B5">
              <w:rPr>
                <w:rFonts w:ascii="Times New Roman" w:hAnsi="Times New Roman" w:cs="Times New Roman"/>
                <w:sz w:val="24"/>
                <w:szCs w:val="24"/>
              </w:rPr>
              <w:fldChar w:fldCharType="separate"/>
            </w:r>
            <w:r w:rsidR="00DA615A" w:rsidRPr="00DA615A">
              <w:rPr>
                <w:rFonts w:ascii="Times New Roman" w:hAnsi="Times New Roman" w:cs="Times New Roman"/>
                <w:sz w:val="24"/>
              </w:rPr>
              <w:t>(25,29,32,33)</w:t>
            </w:r>
            <w:r w:rsidR="009776B5">
              <w:rPr>
                <w:rFonts w:ascii="Times New Roman" w:hAnsi="Times New Roman" w:cs="Times New Roman"/>
                <w:sz w:val="24"/>
                <w:szCs w:val="24"/>
              </w:rPr>
              <w:fldChar w:fldCharType="end"/>
            </w:r>
          </w:p>
        </w:tc>
      </w:tr>
      <w:tr w:rsidR="00894396" w:rsidRPr="00202600" w14:paraId="04E0C54F" w14:textId="77777777" w:rsidTr="007F3B0C">
        <w:tc>
          <w:tcPr>
            <w:tcW w:w="5231" w:type="dxa"/>
            <w:tcBorders>
              <w:top w:val="nil"/>
              <w:left w:val="nil"/>
              <w:bottom w:val="nil"/>
              <w:right w:val="nil"/>
            </w:tcBorders>
          </w:tcPr>
          <w:p w14:paraId="07E2516D" w14:textId="77777777" w:rsidR="00894396" w:rsidRPr="00202600" w:rsidRDefault="00894396" w:rsidP="00AD5DD1">
            <w:pPr>
              <w:spacing w:line="480" w:lineRule="auto"/>
              <w:ind w:left="720" w:right="180"/>
              <w:rPr>
                <w:rFonts w:ascii="Times New Roman" w:hAnsi="Times New Roman" w:cs="Times New Roman"/>
                <w:sz w:val="24"/>
                <w:szCs w:val="24"/>
              </w:rPr>
            </w:pPr>
            <w:r w:rsidRPr="00202600">
              <w:rPr>
                <w:rFonts w:ascii="Times New Roman" w:hAnsi="Times New Roman" w:cs="Times New Roman"/>
                <w:sz w:val="24"/>
                <w:szCs w:val="24"/>
              </w:rPr>
              <w:t>Critical</w:t>
            </w:r>
          </w:p>
        </w:tc>
        <w:tc>
          <w:tcPr>
            <w:tcW w:w="6469" w:type="dxa"/>
            <w:gridSpan w:val="3"/>
            <w:tcBorders>
              <w:top w:val="nil"/>
              <w:left w:val="nil"/>
              <w:bottom w:val="nil"/>
              <w:right w:val="nil"/>
            </w:tcBorders>
          </w:tcPr>
          <w:p w14:paraId="105A745A" w14:textId="77777777" w:rsidR="00894396" w:rsidRPr="00202600" w:rsidRDefault="00894396" w:rsidP="00AD5DD1">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0.0107</w:t>
            </w:r>
          </w:p>
        </w:tc>
        <w:tc>
          <w:tcPr>
            <w:tcW w:w="1977" w:type="dxa"/>
            <w:tcBorders>
              <w:top w:val="nil"/>
              <w:left w:val="nil"/>
              <w:bottom w:val="nil"/>
              <w:right w:val="nil"/>
            </w:tcBorders>
            <w:vAlign w:val="center"/>
          </w:tcPr>
          <w:p w14:paraId="792E6B8C" w14:textId="77777777" w:rsidR="00894396" w:rsidRPr="00202600" w:rsidRDefault="00894396" w:rsidP="00AD5DD1">
            <w:pPr>
              <w:spacing w:line="480" w:lineRule="auto"/>
              <w:jc w:val="center"/>
              <w:rPr>
                <w:rFonts w:ascii="Times New Roman" w:hAnsi="Times New Roman" w:cs="Times New Roman"/>
                <w:sz w:val="24"/>
                <w:szCs w:val="24"/>
              </w:rPr>
            </w:pPr>
          </w:p>
        </w:tc>
      </w:tr>
      <w:tr w:rsidR="00894396" w:rsidRPr="00202600" w14:paraId="38325CF4" w14:textId="77777777" w:rsidTr="007F3B0C">
        <w:tc>
          <w:tcPr>
            <w:tcW w:w="5231" w:type="dxa"/>
            <w:tcBorders>
              <w:top w:val="nil"/>
              <w:left w:val="nil"/>
              <w:bottom w:val="nil"/>
              <w:right w:val="nil"/>
            </w:tcBorders>
          </w:tcPr>
          <w:p w14:paraId="3DFE2D75" w14:textId="77777777" w:rsidR="00894396" w:rsidRPr="00202600" w:rsidRDefault="00894396" w:rsidP="00AD5DD1">
            <w:pPr>
              <w:spacing w:line="480" w:lineRule="auto"/>
              <w:ind w:left="720" w:right="180"/>
              <w:rPr>
                <w:rFonts w:ascii="Times New Roman" w:hAnsi="Times New Roman" w:cs="Times New Roman"/>
                <w:sz w:val="24"/>
                <w:szCs w:val="24"/>
              </w:rPr>
            </w:pPr>
            <w:r w:rsidRPr="00202600">
              <w:rPr>
                <w:rFonts w:ascii="Times New Roman" w:hAnsi="Times New Roman" w:cs="Times New Roman"/>
                <w:sz w:val="24"/>
                <w:szCs w:val="24"/>
              </w:rPr>
              <w:t>Recuperation</w:t>
            </w:r>
          </w:p>
        </w:tc>
        <w:tc>
          <w:tcPr>
            <w:tcW w:w="6469" w:type="dxa"/>
            <w:gridSpan w:val="3"/>
            <w:tcBorders>
              <w:top w:val="nil"/>
              <w:left w:val="nil"/>
              <w:bottom w:val="nil"/>
              <w:right w:val="nil"/>
            </w:tcBorders>
          </w:tcPr>
          <w:p w14:paraId="5B22BF76" w14:textId="77777777" w:rsidR="00894396" w:rsidRPr="00202600" w:rsidRDefault="00894396" w:rsidP="00AD5DD1">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0.0135</w:t>
            </w:r>
          </w:p>
        </w:tc>
        <w:tc>
          <w:tcPr>
            <w:tcW w:w="1977" w:type="dxa"/>
            <w:tcBorders>
              <w:top w:val="nil"/>
              <w:left w:val="nil"/>
              <w:bottom w:val="nil"/>
              <w:right w:val="nil"/>
            </w:tcBorders>
            <w:vAlign w:val="center"/>
          </w:tcPr>
          <w:p w14:paraId="5F180987" w14:textId="77777777" w:rsidR="00894396" w:rsidRPr="00202600" w:rsidRDefault="00894396" w:rsidP="00AD5DD1">
            <w:pPr>
              <w:spacing w:line="480" w:lineRule="auto"/>
              <w:jc w:val="center"/>
              <w:rPr>
                <w:rFonts w:ascii="Times New Roman" w:hAnsi="Times New Roman" w:cs="Times New Roman"/>
                <w:sz w:val="24"/>
                <w:szCs w:val="24"/>
              </w:rPr>
            </w:pPr>
          </w:p>
        </w:tc>
      </w:tr>
    </w:tbl>
    <w:p w14:paraId="7C082B08" w14:textId="77777777" w:rsidR="00CB73F8" w:rsidRDefault="00CB73F8" w:rsidP="00590C58">
      <w:pPr>
        <w:spacing w:after="0" w:line="240" w:lineRule="auto"/>
        <w:rPr>
          <w:rFonts w:ascii="Times New Roman" w:hAnsi="Times New Roman" w:cs="Times New Roman"/>
          <w:sz w:val="24"/>
          <w:szCs w:val="24"/>
        </w:rPr>
      </w:pPr>
    </w:p>
    <w:p w14:paraId="1BF8D473" w14:textId="77777777" w:rsidR="00CB73F8" w:rsidRDefault="00CB73F8">
      <w:pPr>
        <w:rPr>
          <w:rFonts w:ascii="Times New Roman" w:hAnsi="Times New Roman" w:cs="Times New Roman"/>
          <w:b/>
          <w:bCs/>
          <w:sz w:val="24"/>
          <w:szCs w:val="24"/>
        </w:rPr>
      </w:pPr>
      <w:r>
        <w:rPr>
          <w:rFonts w:ascii="Times New Roman" w:hAnsi="Times New Roman" w:cs="Times New Roman"/>
          <w:b/>
          <w:bCs/>
          <w:sz w:val="24"/>
          <w:szCs w:val="24"/>
        </w:rPr>
        <w:br w:type="page"/>
      </w:r>
    </w:p>
    <w:p w14:paraId="0698D484" w14:textId="60D6654B" w:rsidR="00CB73F8" w:rsidRDefault="00CB73F8" w:rsidP="00CB73F8">
      <w:pPr>
        <w:rPr>
          <w:rFonts w:ascii="Times New Roman" w:hAnsi="Times New Roman" w:cs="Times New Roman"/>
          <w:sz w:val="24"/>
          <w:szCs w:val="24"/>
        </w:rPr>
      </w:pPr>
      <w:r w:rsidRPr="00202600">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S</w:t>
      </w:r>
      <w:r w:rsidRPr="00202600">
        <w:rPr>
          <w:rFonts w:ascii="Times New Roman" w:hAnsi="Times New Roman" w:cs="Times New Roman"/>
          <w:b/>
          <w:bCs/>
          <w:sz w:val="24"/>
          <w:szCs w:val="24"/>
        </w:rPr>
        <w:t>1, continued</w:t>
      </w:r>
      <w:r w:rsidRPr="00202600">
        <w:rPr>
          <w:rFonts w:ascii="Times New Roman" w:hAnsi="Times New Roman" w:cs="Times New Roman"/>
          <w:sz w:val="24"/>
          <w:szCs w:val="24"/>
        </w:rPr>
        <w:t>. Clinical characteristics of COVID-19 infection in the US.</w:t>
      </w:r>
    </w:p>
    <w:p w14:paraId="774C8984" w14:textId="77777777" w:rsidR="00CB73F8" w:rsidRDefault="00CB73F8" w:rsidP="00590C58">
      <w:pPr>
        <w:spacing w:after="0" w:line="240" w:lineRule="auto"/>
        <w:rPr>
          <w:rFonts w:ascii="Times New Roman" w:hAnsi="Times New Roman" w:cs="Times New Roman"/>
          <w:sz w:val="24"/>
          <w:szCs w:val="24"/>
        </w:rPr>
      </w:pPr>
    </w:p>
    <w:tbl>
      <w:tblPr>
        <w:tblStyle w:val="TableGrid"/>
        <w:tblW w:w="13677" w:type="dxa"/>
        <w:tblLook w:val="04A0" w:firstRow="1" w:lastRow="0" w:firstColumn="1" w:lastColumn="0" w:noHBand="0" w:noVBand="1"/>
      </w:tblPr>
      <w:tblGrid>
        <w:gridCol w:w="5231"/>
        <w:gridCol w:w="6469"/>
        <w:gridCol w:w="1977"/>
      </w:tblGrid>
      <w:tr w:rsidR="00CB73F8" w:rsidRPr="00202600" w14:paraId="60AF1A31" w14:textId="77777777" w:rsidTr="00CB73F8">
        <w:tc>
          <w:tcPr>
            <w:tcW w:w="5231" w:type="dxa"/>
            <w:tcBorders>
              <w:top w:val="single" w:sz="4" w:space="0" w:color="auto"/>
              <w:left w:val="nil"/>
              <w:bottom w:val="single" w:sz="4" w:space="0" w:color="auto"/>
              <w:right w:val="nil"/>
            </w:tcBorders>
          </w:tcPr>
          <w:p w14:paraId="5E4B9627" w14:textId="77777777" w:rsidR="00CB73F8" w:rsidRPr="00202600" w:rsidRDefault="00CB73F8" w:rsidP="00CB73F8">
            <w:pPr>
              <w:spacing w:line="480" w:lineRule="auto"/>
              <w:ind w:right="180"/>
              <w:rPr>
                <w:rFonts w:ascii="Times New Roman" w:hAnsi="Times New Roman" w:cs="Times New Roman"/>
                <w:b/>
                <w:bCs/>
                <w:sz w:val="24"/>
                <w:szCs w:val="24"/>
              </w:rPr>
            </w:pPr>
            <w:r w:rsidRPr="00202600">
              <w:rPr>
                <w:rFonts w:ascii="Times New Roman" w:hAnsi="Times New Roman" w:cs="Times New Roman"/>
                <w:b/>
                <w:bCs/>
                <w:sz w:val="24"/>
                <w:szCs w:val="24"/>
              </w:rPr>
              <w:t>Parameter</w:t>
            </w:r>
          </w:p>
        </w:tc>
        <w:tc>
          <w:tcPr>
            <w:tcW w:w="6469" w:type="dxa"/>
            <w:tcBorders>
              <w:top w:val="single" w:sz="4" w:space="0" w:color="auto"/>
              <w:left w:val="nil"/>
              <w:bottom w:val="single" w:sz="4" w:space="0" w:color="auto"/>
              <w:right w:val="nil"/>
            </w:tcBorders>
          </w:tcPr>
          <w:p w14:paraId="14CC2ED0" w14:textId="77777777" w:rsidR="00CB73F8" w:rsidRPr="00202600" w:rsidRDefault="00CB73F8" w:rsidP="00CB73F8">
            <w:pPr>
              <w:spacing w:line="480" w:lineRule="auto"/>
              <w:jc w:val="center"/>
              <w:rPr>
                <w:rFonts w:ascii="Times New Roman" w:hAnsi="Times New Roman" w:cs="Times New Roman"/>
                <w:b/>
                <w:bCs/>
                <w:sz w:val="24"/>
                <w:szCs w:val="24"/>
              </w:rPr>
            </w:pPr>
            <w:r w:rsidRPr="00202600">
              <w:rPr>
                <w:rFonts w:ascii="Times New Roman" w:hAnsi="Times New Roman" w:cs="Times New Roman"/>
                <w:b/>
                <w:bCs/>
                <w:sz w:val="24"/>
                <w:szCs w:val="24"/>
              </w:rPr>
              <w:t>Value</w:t>
            </w:r>
          </w:p>
        </w:tc>
        <w:tc>
          <w:tcPr>
            <w:tcW w:w="1977" w:type="dxa"/>
            <w:tcBorders>
              <w:top w:val="single" w:sz="4" w:space="0" w:color="auto"/>
              <w:left w:val="nil"/>
              <w:bottom w:val="single" w:sz="4" w:space="0" w:color="auto"/>
              <w:right w:val="nil"/>
            </w:tcBorders>
            <w:vAlign w:val="center"/>
          </w:tcPr>
          <w:p w14:paraId="782C9077" w14:textId="77777777" w:rsidR="00CB73F8" w:rsidRPr="00202600" w:rsidRDefault="00CB73F8" w:rsidP="00CB73F8">
            <w:pPr>
              <w:spacing w:line="480" w:lineRule="auto"/>
              <w:jc w:val="center"/>
              <w:rPr>
                <w:rFonts w:ascii="Times New Roman" w:hAnsi="Times New Roman" w:cs="Times New Roman"/>
                <w:b/>
                <w:bCs/>
                <w:sz w:val="24"/>
                <w:szCs w:val="24"/>
              </w:rPr>
            </w:pPr>
            <w:r w:rsidRPr="00202600">
              <w:rPr>
                <w:rFonts w:ascii="Times New Roman" w:hAnsi="Times New Roman" w:cs="Times New Roman"/>
                <w:b/>
                <w:bCs/>
                <w:sz w:val="24"/>
                <w:szCs w:val="24"/>
              </w:rPr>
              <w:t>Source</w:t>
            </w:r>
          </w:p>
        </w:tc>
      </w:tr>
      <w:tr w:rsidR="00CB73F8" w:rsidRPr="00202600" w14:paraId="75CFA62B" w14:textId="77777777" w:rsidTr="00CB73F8">
        <w:tc>
          <w:tcPr>
            <w:tcW w:w="5231" w:type="dxa"/>
            <w:tcBorders>
              <w:top w:val="single" w:sz="4" w:space="0" w:color="auto"/>
              <w:left w:val="nil"/>
              <w:bottom w:val="single" w:sz="4" w:space="0" w:color="auto"/>
              <w:right w:val="nil"/>
            </w:tcBorders>
            <w:shd w:val="clear" w:color="auto" w:fill="D9D9D9" w:themeFill="background1" w:themeFillShade="D9"/>
          </w:tcPr>
          <w:p w14:paraId="388CB878" w14:textId="77777777" w:rsidR="00CB73F8" w:rsidRPr="00202600" w:rsidRDefault="00CB73F8" w:rsidP="00CB73F8">
            <w:pPr>
              <w:spacing w:line="480" w:lineRule="auto"/>
              <w:ind w:right="180"/>
              <w:rPr>
                <w:rFonts w:ascii="Times New Roman" w:hAnsi="Times New Roman" w:cs="Times New Roman"/>
                <w:b/>
                <w:bCs/>
                <w:sz w:val="24"/>
                <w:szCs w:val="24"/>
              </w:rPr>
            </w:pPr>
            <w:r w:rsidRPr="00202600">
              <w:rPr>
                <w:rFonts w:ascii="Times New Roman" w:hAnsi="Times New Roman" w:cs="Times New Roman"/>
                <w:b/>
                <w:bCs/>
                <w:sz w:val="24"/>
                <w:szCs w:val="24"/>
              </w:rPr>
              <w:t>Natural History, continued</w:t>
            </w:r>
          </w:p>
        </w:tc>
        <w:tc>
          <w:tcPr>
            <w:tcW w:w="6469" w:type="dxa"/>
            <w:tcBorders>
              <w:top w:val="single" w:sz="4" w:space="0" w:color="auto"/>
              <w:left w:val="nil"/>
              <w:bottom w:val="single" w:sz="4" w:space="0" w:color="auto"/>
              <w:right w:val="nil"/>
            </w:tcBorders>
            <w:shd w:val="clear" w:color="auto" w:fill="D9D9D9" w:themeFill="background1" w:themeFillShade="D9"/>
          </w:tcPr>
          <w:p w14:paraId="098DB84D" w14:textId="77777777" w:rsidR="00CB73F8" w:rsidRPr="00202600" w:rsidRDefault="00CB73F8" w:rsidP="00CB73F8">
            <w:pPr>
              <w:spacing w:line="480" w:lineRule="auto"/>
              <w:jc w:val="center"/>
              <w:rPr>
                <w:rFonts w:ascii="Times New Roman" w:hAnsi="Times New Roman" w:cs="Times New Roman"/>
                <w:b/>
                <w:bCs/>
                <w:sz w:val="24"/>
                <w:szCs w:val="24"/>
              </w:rPr>
            </w:pPr>
          </w:p>
        </w:tc>
        <w:tc>
          <w:tcPr>
            <w:tcW w:w="1977" w:type="dxa"/>
            <w:tcBorders>
              <w:top w:val="single" w:sz="4" w:space="0" w:color="auto"/>
              <w:left w:val="nil"/>
              <w:bottom w:val="single" w:sz="4" w:space="0" w:color="auto"/>
              <w:right w:val="nil"/>
            </w:tcBorders>
            <w:shd w:val="clear" w:color="auto" w:fill="D9D9D9" w:themeFill="background1" w:themeFillShade="D9"/>
            <w:vAlign w:val="center"/>
          </w:tcPr>
          <w:p w14:paraId="1CE41A3F" w14:textId="77777777" w:rsidR="00CB73F8" w:rsidRPr="00202600" w:rsidRDefault="00CB73F8" w:rsidP="00CB73F8">
            <w:pPr>
              <w:spacing w:line="480" w:lineRule="auto"/>
              <w:jc w:val="center"/>
              <w:rPr>
                <w:rFonts w:ascii="Times New Roman" w:hAnsi="Times New Roman" w:cs="Times New Roman"/>
                <w:b/>
                <w:bCs/>
                <w:sz w:val="24"/>
                <w:szCs w:val="24"/>
              </w:rPr>
            </w:pPr>
          </w:p>
        </w:tc>
      </w:tr>
      <w:tr w:rsidR="00CB73F8" w:rsidRPr="00202600" w14:paraId="5C0CBA33" w14:textId="77777777" w:rsidTr="00CB73F8">
        <w:tc>
          <w:tcPr>
            <w:tcW w:w="5231" w:type="dxa"/>
            <w:tcBorders>
              <w:top w:val="single" w:sz="4" w:space="0" w:color="auto"/>
              <w:left w:val="nil"/>
              <w:bottom w:val="nil"/>
              <w:right w:val="nil"/>
            </w:tcBorders>
          </w:tcPr>
          <w:p w14:paraId="27FCDECD" w14:textId="77777777" w:rsidR="00CB73F8" w:rsidRPr="00202600" w:rsidRDefault="00CB73F8" w:rsidP="00CB73F8">
            <w:pPr>
              <w:spacing w:line="480" w:lineRule="auto"/>
              <w:ind w:right="180"/>
              <w:rPr>
                <w:rFonts w:ascii="Times New Roman" w:hAnsi="Times New Roman" w:cs="Times New Roman"/>
                <w:sz w:val="24"/>
                <w:szCs w:val="24"/>
              </w:rPr>
            </w:pPr>
            <w:r w:rsidRPr="00202600">
              <w:rPr>
                <w:rFonts w:ascii="Times New Roman" w:hAnsi="Times New Roman" w:cs="Times New Roman"/>
                <w:sz w:val="24"/>
                <w:szCs w:val="24"/>
              </w:rPr>
              <w:t>Persons with other respiratory illnesses exhibiting mild/moderate COVID-like symptoms, daily, %</w:t>
            </w:r>
          </w:p>
        </w:tc>
        <w:tc>
          <w:tcPr>
            <w:tcW w:w="6469" w:type="dxa"/>
            <w:tcBorders>
              <w:top w:val="single" w:sz="4" w:space="0" w:color="auto"/>
              <w:left w:val="nil"/>
              <w:bottom w:val="nil"/>
              <w:right w:val="nil"/>
            </w:tcBorders>
            <w:vAlign w:val="center"/>
          </w:tcPr>
          <w:p w14:paraId="2AFC15B2" w14:textId="77777777" w:rsidR="00CB73F8" w:rsidRPr="00202600" w:rsidRDefault="00CB73F8"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0.01</w:t>
            </w:r>
          </w:p>
        </w:tc>
        <w:tc>
          <w:tcPr>
            <w:tcW w:w="1977" w:type="dxa"/>
            <w:tcBorders>
              <w:top w:val="single" w:sz="4" w:space="0" w:color="auto"/>
              <w:left w:val="nil"/>
              <w:bottom w:val="nil"/>
              <w:right w:val="nil"/>
            </w:tcBorders>
            <w:vAlign w:val="center"/>
          </w:tcPr>
          <w:p w14:paraId="23D9227C" w14:textId="522BE671" w:rsidR="00CB73F8" w:rsidRPr="00202600" w:rsidRDefault="00CB73F8" w:rsidP="00CB73F8">
            <w:pPr>
              <w:spacing w:line="480" w:lineRule="auto"/>
              <w:jc w:val="center"/>
              <w:rPr>
                <w:rFonts w:ascii="Times New Roman" w:hAnsi="Times New Roman" w:cs="Times New Roman"/>
                <w:sz w:val="24"/>
                <w:szCs w:val="24"/>
              </w:rPr>
            </w:pPr>
            <w:r w:rsidRPr="00700368">
              <w:rPr>
                <w:rFonts w:ascii="Times New Roman" w:eastAsia="Times New Roman" w:hAnsi="Times New Roman" w:cs="Times New Roman"/>
                <w:sz w:val="24"/>
                <w:szCs w:val="24"/>
              </w:rPr>
              <w:fldChar w:fldCharType="begin"/>
            </w:r>
            <w:r w:rsidR="00DA615A">
              <w:rPr>
                <w:rFonts w:ascii="Times New Roman" w:eastAsia="Times New Roman" w:hAnsi="Times New Roman" w:cs="Times New Roman"/>
                <w:sz w:val="24"/>
                <w:szCs w:val="24"/>
              </w:rPr>
              <w:instrText xml:space="preserve"> ADDIN ZOTERO_ITEM CSL_CITATION {"citationID":"Xs3JtmfO","properties":{"formattedCitation":"(15\\uc0\\u8211{}17)","plainCitation":"(15–17)","noteIndex":0},"citationItems":[{"id":26,"uris":["http://zotero.org/users/local/jMRSEXDw/items/9WB9UV7A"],"uri":["http://zotero.org/users/local/jMRSEXDw/items/9WB9UV7A"],"itemData":{"id":26,"type":"article-magazine","container-title":"The Economist","ISSN":"0013-0613","source":"The Economist","title":"Why a study showing that covid-19 is everywhere is good news","URL":"https://www.economist.com/graphic-detail/2020/04/11/why-a-study-showing-that-covid-19-is-everywhere-is-good-news","accessed":{"date-parts":[["2020",8,9]]}}},{"id":43,"uris":["http://zotero.org/users/local/jMRSEXDw/items/L6LNZ5NK"],"uri":["http://zotero.org/users/local/jMRSEXDw/items/L6LNZ5NK"],"itemData":{"id":43,"type":"webpage","title":"Percentage of visits of ILI by age group reported by a subset of ILINet providers","URL":"https://www.cdc.gov/coronavirus/2019-ncov/covid-data/covidview/07242020/percent-ili-visits-age.html","author":[{"literal":"Centers for Disease Control and Prevention"}],"accessed":{"date-parts":[["2020",8,9]]},"issued":{"date-parts":[["2020",4,24]]}}},{"id":44,"uris":["http://zotero.org/users/local/jMRSEXDw/items/R2F87UCU"],"uri":["http://zotero.org/users/local/jMRSEXDw/items/R2F87UCU"],"itemData":{"id":44,"type":"article-journal","abstract":"Importance: In December 2019, novel coronavirus (2019-nCoV)-infected pneumonia (NCIP) occurred in Wuhan, China. The number of cases has increased rapidly but information on the clinical characteristics of affected patients is limited.\nObjective: To describe the epidemiological and clinical characteristics of NCIP.\nDesign, Setting, and Participants: Retrospective, single-center case series of the 138 consecutive hospitalized patients with confirmed NCIP at Zhongnan Hospital of Wuhan University in Wuhan, China, from January 1 to January 28, 2020; final date of follow-up was February 3, 2020.\nExposures: Documented NCIP.\nMain Outcomes and Measures: Epidemiological, demographic, clinical, laboratory, radiological, and treatment data were collected and analyzed. Outcomes of critically ill patients and noncritically ill patients were compared. Presumed hospital-related transmission was suspected if a cluster of health professionals or hospitalized patients in the same wards became infected and a possible source of infection could be tracked.\nResults: Of 138 hospitalized patients with NCIP, the median age was 56 years (interquartile range, 42-68; range, 22-92 years) and 75 (54.3%) were men. Hospital-associated transmission was suspected as the presumed mechanism of infection for affected health professionals (40 [29%]) and hospitalized patients (17 [12.3%]). Common symptoms included fever (136 [98.6%]), fatigue (96 [69.6%]), and dry cough (82 [59.4%]). Lymphopenia (lymphocyte count, 0.8 × 109/L [interquartile range {IQR}, 0.6-1.1]) occurred in 97 patients (70.3%), prolonged prothrombin time (13.0 seconds [IQR, 12.3-13.7]) in 80 patients (58%), and elevated lactate dehydrogenase (261 U/L [IQR, 182-403]) in 55 patients (39.9%). Chest computed tomographic scans showed bilateral patchy shadows or ground glass opacity in the lungs of all patients. Most patients received antiviral therapy (oseltamivir, 124 [89.9%]), and many received antibacterial therapy (moxifloxacin, 89 [64.4%]; ceftriaxone, 34 [24.6%]; azithromycin, 25 [18.1%]) and glucocorticoid therapy (62 [44.9%]). Thirty-six patients (26.1%) were transferred to the intensive care unit (ICU) because of complications, including acute respiratory distress syndrome (22 [61.1%]), arrhythmia (16 [44.4%]), and shock (11 [30.6%]). The median time from first symptom to dyspnea was 5.0 days, to hospital admission was 7.0 days, and to ARDS was 8.0 days. Patients treated in the ICU (n = 36), compared with patients not treated in the ICU (n = 102), were older (median age, 66 years vs 51 years), were more likely to have underlying comorbidities (26 [72.2%] vs 38 [37.3%]), and were more likely to have dyspnea (23 [63.9%] vs 20 [19.6%]), and anorexia (24 [66.7%] vs 31 [30.4%]). Of the 36 cases in the ICU, 4 (11.1%) received high-flow oxygen therapy, 15 (41.7%) received noninvasive ventilation, and 17 (47.2%) received invasive ventilation (4 were switched to extracorporeal membrane oxygenation). As of February 3, 47 patients (34.1%) were discharged and 6 died (overall mortality, 4.3%), but the remaining patients are still hospitalized. Among those discharged alive (n = 47), the median hospital stay was 10 days (IQR, 7.0-14.0).\nConclusions and Relevance: In this single-center case series of 138 hospitalized patients with confirmed NCIP in Wuhan, China, presumed hospital-related transmission of 2019-nCoV was suspected in 41% of patients, 26% of patients received ICU care, and mortality was 4.3%.","container-title":"JAMA","DOI":"10.1001/jama.2020.1585","ISSN":"1538-3598","journalAbbreviation":"JAMA","language":"eng","note":"PMID: 32031570\nPMCID: PMC7042881","source":"PubMed","title":"Clinical characteristics of 138 hospitalized patients with 2019 novel coronavirus-infected pneumonia in Wuhan, China","author":[{"family":"Wang","given":"Dawei"},{"family":"Hu","given":"Bo"},{"family":"Hu","given":"Chang"},{"family":"Zhu","given":"Fangfang"},{"family":"Liu","given":"Xing"},{"family":"Zhang","given":"Jing"},{"family":"Wang","given":"Binbin"},{"family":"Xiang","given":"Hui"},{"family":"Cheng","given":"Zhenshun"},{"family":"Xiong","given":"Yong"},{"family":"Zhao","given":"Yan"},{"family":"Li","given":"Yirong"},{"family":"Wang","given":"Xinghuan"},{"family":"Peng","given":"Zhiyong"}],"issued":{"date-parts":[["2020",2,7]]}}}],"schema":"https://github.com/citation-style-language/schema/raw/master/csl-citation.json"} </w:instrText>
            </w:r>
            <w:r w:rsidRPr="00700368">
              <w:rPr>
                <w:rFonts w:ascii="Times New Roman" w:eastAsia="Times New Roman" w:hAnsi="Times New Roman" w:cs="Times New Roman"/>
                <w:sz w:val="24"/>
                <w:szCs w:val="24"/>
              </w:rPr>
              <w:fldChar w:fldCharType="separate"/>
            </w:r>
            <w:r w:rsidR="00DA615A" w:rsidRPr="00DA615A">
              <w:rPr>
                <w:rFonts w:ascii="Times New Roman" w:hAnsi="Times New Roman" w:cs="Times New Roman"/>
                <w:sz w:val="24"/>
                <w:szCs w:val="24"/>
              </w:rPr>
              <w:t>(15–17)</w:t>
            </w:r>
            <w:r w:rsidRPr="00700368">
              <w:rPr>
                <w:rFonts w:ascii="Times New Roman" w:eastAsia="Times New Roman" w:hAnsi="Times New Roman" w:cs="Times New Roman"/>
                <w:sz w:val="24"/>
                <w:szCs w:val="24"/>
              </w:rPr>
              <w:fldChar w:fldCharType="end"/>
            </w:r>
          </w:p>
        </w:tc>
      </w:tr>
      <w:tr w:rsidR="00CB73F8" w:rsidRPr="00202600" w14:paraId="2E55A0A5" w14:textId="77777777" w:rsidTr="00CB73F8">
        <w:tc>
          <w:tcPr>
            <w:tcW w:w="5231" w:type="dxa"/>
            <w:tcBorders>
              <w:top w:val="nil"/>
              <w:left w:val="nil"/>
              <w:bottom w:val="single" w:sz="4" w:space="0" w:color="auto"/>
              <w:right w:val="nil"/>
            </w:tcBorders>
          </w:tcPr>
          <w:p w14:paraId="6F50177B" w14:textId="77777777" w:rsidR="00CB73F8" w:rsidRPr="00202600" w:rsidRDefault="00CB73F8" w:rsidP="00CB73F8">
            <w:pPr>
              <w:spacing w:line="480" w:lineRule="auto"/>
              <w:ind w:right="180"/>
              <w:rPr>
                <w:rFonts w:ascii="Times New Roman" w:hAnsi="Times New Roman" w:cs="Times New Roman"/>
                <w:sz w:val="24"/>
                <w:szCs w:val="24"/>
              </w:rPr>
            </w:pPr>
            <w:r w:rsidRPr="00202600">
              <w:rPr>
                <w:rFonts w:ascii="Times New Roman" w:hAnsi="Times New Roman" w:cs="Times New Roman"/>
                <w:sz w:val="24"/>
                <w:szCs w:val="24"/>
              </w:rPr>
              <w:t>Duration of mild/moderate COVID-like symptoms, mean, days</w:t>
            </w:r>
          </w:p>
        </w:tc>
        <w:tc>
          <w:tcPr>
            <w:tcW w:w="6469" w:type="dxa"/>
            <w:tcBorders>
              <w:top w:val="nil"/>
              <w:left w:val="nil"/>
              <w:bottom w:val="single" w:sz="4" w:space="0" w:color="auto"/>
              <w:right w:val="nil"/>
            </w:tcBorders>
            <w:vAlign w:val="center"/>
          </w:tcPr>
          <w:p w14:paraId="6EA1CB88" w14:textId="77777777" w:rsidR="00CB73F8" w:rsidRPr="00202600" w:rsidRDefault="00CB73F8" w:rsidP="00CB73F8">
            <w:pPr>
              <w:spacing w:line="480" w:lineRule="auto"/>
              <w:jc w:val="center"/>
              <w:rPr>
                <w:rFonts w:ascii="Times New Roman" w:hAnsi="Times New Roman" w:cs="Times New Roman"/>
                <w:sz w:val="24"/>
                <w:szCs w:val="24"/>
              </w:rPr>
            </w:pPr>
            <w:r w:rsidRPr="00202600">
              <w:rPr>
                <w:rFonts w:ascii="Times New Roman" w:hAnsi="Times New Roman" w:cs="Times New Roman"/>
                <w:sz w:val="24"/>
                <w:szCs w:val="24"/>
              </w:rPr>
              <w:t>5</w:t>
            </w:r>
          </w:p>
        </w:tc>
        <w:tc>
          <w:tcPr>
            <w:tcW w:w="1977" w:type="dxa"/>
            <w:tcBorders>
              <w:top w:val="nil"/>
              <w:left w:val="nil"/>
              <w:bottom w:val="single" w:sz="4" w:space="0" w:color="auto"/>
              <w:right w:val="nil"/>
            </w:tcBorders>
            <w:vAlign w:val="center"/>
          </w:tcPr>
          <w:p w14:paraId="500A185E" w14:textId="77777777" w:rsidR="00CB73F8" w:rsidRPr="00202600" w:rsidRDefault="00CB73F8" w:rsidP="00CB73F8">
            <w:pPr>
              <w:spacing w:line="480" w:lineRule="auto"/>
              <w:jc w:val="center"/>
              <w:rPr>
                <w:rFonts w:ascii="Times New Roman" w:hAnsi="Times New Roman" w:cs="Times New Roman"/>
                <w:sz w:val="24"/>
                <w:szCs w:val="24"/>
              </w:rPr>
            </w:pPr>
            <w:proofErr w:type="spellStart"/>
            <w:r w:rsidRPr="00202600">
              <w:rPr>
                <w:rFonts w:ascii="Times New Roman" w:hAnsi="Times New Roman" w:cs="Times New Roman"/>
                <w:sz w:val="24"/>
                <w:szCs w:val="24"/>
              </w:rPr>
              <w:t>Asm</w:t>
            </w:r>
            <w:proofErr w:type="spellEnd"/>
            <w:r>
              <w:rPr>
                <w:rFonts w:ascii="Times New Roman" w:hAnsi="Times New Roman" w:cs="Times New Roman"/>
                <w:sz w:val="24"/>
                <w:szCs w:val="24"/>
              </w:rPr>
              <w:t>.</w:t>
            </w:r>
          </w:p>
        </w:tc>
      </w:tr>
    </w:tbl>
    <w:p w14:paraId="375DE3E7" w14:textId="77777777" w:rsidR="00CB73F8" w:rsidRDefault="00CB73F8" w:rsidP="00590C58">
      <w:pPr>
        <w:spacing w:after="0" w:line="240" w:lineRule="auto"/>
        <w:rPr>
          <w:rFonts w:ascii="Times New Roman" w:hAnsi="Times New Roman" w:cs="Times New Roman"/>
          <w:sz w:val="24"/>
          <w:szCs w:val="24"/>
        </w:rPr>
      </w:pPr>
    </w:p>
    <w:p w14:paraId="1A4898D5" w14:textId="4E44903A" w:rsidR="00AB3AA2" w:rsidRPr="00590C58" w:rsidRDefault="00AB3AA2" w:rsidP="00CB73F8">
      <w:pPr>
        <w:spacing w:after="0" w:line="480" w:lineRule="auto"/>
        <w:rPr>
          <w:rFonts w:ascii="Times New Roman" w:hAnsi="Times New Roman" w:cs="Times New Roman"/>
          <w:sz w:val="24"/>
          <w:szCs w:val="24"/>
        </w:rPr>
      </w:pPr>
      <w:r w:rsidRPr="00590C58">
        <w:rPr>
          <w:rFonts w:ascii="Times New Roman" w:hAnsi="Times New Roman" w:cs="Times New Roman"/>
          <w:sz w:val="24"/>
          <w:szCs w:val="24"/>
        </w:rPr>
        <w:t>Abbreviations:</w:t>
      </w:r>
      <w:r w:rsidR="00116AE8" w:rsidRPr="00590C58">
        <w:rPr>
          <w:rFonts w:ascii="Times New Roman" w:hAnsi="Times New Roman" w:cs="Times New Roman"/>
          <w:sz w:val="24"/>
          <w:szCs w:val="24"/>
        </w:rPr>
        <w:t xml:space="preserve"> </w:t>
      </w:r>
      <w:r w:rsidR="00116AE8" w:rsidRPr="005862A2">
        <w:rPr>
          <w:rFonts w:ascii="Times New Roman" w:hAnsi="Times New Roman" w:cs="Times New Roman"/>
          <w:b/>
          <w:bCs/>
          <w:sz w:val="24"/>
          <w:szCs w:val="24"/>
        </w:rPr>
        <w:t>COVID-19</w:t>
      </w:r>
      <w:r w:rsidR="00116AE8" w:rsidRPr="00590C58">
        <w:rPr>
          <w:rFonts w:ascii="Times New Roman" w:hAnsi="Times New Roman" w:cs="Times New Roman"/>
          <w:sz w:val="24"/>
          <w:szCs w:val="24"/>
        </w:rPr>
        <w:t xml:space="preserve">, </w:t>
      </w:r>
      <w:r w:rsidR="001A5A32" w:rsidRPr="00590C58">
        <w:rPr>
          <w:rFonts w:ascii="Times New Roman" w:hAnsi="Times New Roman" w:cs="Times New Roman"/>
          <w:sz w:val="24"/>
          <w:szCs w:val="24"/>
        </w:rPr>
        <w:t>coronavirus disease, 2019;</w:t>
      </w:r>
      <w:r w:rsidR="008179D9" w:rsidRPr="00590C58">
        <w:rPr>
          <w:rFonts w:ascii="Times New Roman" w:hAnsi="Times New Roman" w:cs="Times New Roman"/>
          <w:sz w:val="24"/>
          <w:szCs w:val="24"/>
        </w:rPr>
        <w:t xml:space="preserve"> </w:t>
      </w:r>
      <w:r w:rsidR="008179D9" w:rsidRPr="005862A2">
        <w:rPr>
          <w:rFonts w:ascii="Times New Roman" w:hAnsi="Times New Roman" w:cs="Times New Roman"/>
          <w:b/>
          <w:bCs/>
          <w:sz w:val="24"/>
          <w:szCs w:val="24"/>
        </w:rPr>
        <w:t>Der</w:t>
      </w:r>
      <w:r w:rsidR="008179D9" w:rsidRPr="00590C58">
        <w:rPr>
          <w:rFonts w:ascii="Times New Roman" w:hAnsi="Times New Roman" w:cs="Times New Roman"/>
          <w:sz w:val="24"/>
          <w:szCs w:val="24"/>
        </w:rPr>
        <w:t>, derived;</w:t>
      </w:r>
      <w:r w:rsidRPr="00590C58">
        <w:rPr>
          <w:rFonts w:ascii="Times New Roman" w:hAnsi="Times New Roman" w:cs="Times New Roman"/>
          <w:sz w:val="24"/>
          <w:szCs w:val="24"/>
        </w:rPr>
        <w:t xml:space="preserve"> </w:t>
      </w:r>
      <w:proofErr w:type="spellStart"/>
      <w:r w:rsidRPr="005862A2">
        <w:rPr>
          <w:rFonts w:ascii="Times New Roman" w:hAnsi="Times New Roman" w:cs="Times New Roman"/>
          <w:b/>
          <w:bCs/>
          <w:sz w:val="24"/>
          <w:szCs w:val="24"/>
        </w:rPr>
        <w:t>Asm</w:t>
      </w:r>
      <w:proofErr w:type="spellEnd"/>
      <w:r w:rsidRPr="00590C58">
        <w:rPr>
          <w:rFonts w:ascii="Times New Roman" w:hAnsi="Times New Roman" w:cs="Times New Roman"/>
          <w:sz w:val="24"/>
          <w:szCs w:val="24"/>
        </w:rPr>
        <w:t>, assumption.</w:t>
      </w:r>
    </w:p>
    <w:p w14:paraId="564CF1DD" w14:textId="204BE2CD" w:rsidR="00AB3AA2" w:rsidRPr="00590C58" w:rsidRDefault="00AB3AA2" w:rsidP="00CB73F8">
      <w:pPr>
        <w:spacing w:after="0" w:line="480" w:lineRule="auto"/>
        <w:rPr>
          <w:rFonts w:ascii="Times New Roman" w:hAnsi="Times New Roman" w:cs="Times New Roman"/>
          <w:sz w:val="24"/>
          <w:szCs w:val="24"/>
        </w:rPr>
      </w:pPr>
      <w:r w:rsidRPr="00590C58">
        <w:rPr>
          <w:rFonts w:ascii="Times New Roman" w:hAnsi="Times New Roman" w:cs="Times New Roman"/>
          <w:sz w:val="24"/>
          <w:szCs w:val="24"/>
          <w:vertAlign w:val="superscript"/>
        </w:rPr>
        <w:t>a</w:t>
      </w:r>
      <w:r w:rsidRPr="00590C58">
        <w:rPr>
          <w:rFonts w:ascii="Times New Roman" w:hAnsi="Times New Roman" w:cs="Times New Roman"/>
          <w:sz w:val="24"/>
          <w:szCs w:val="24"/>
        </w:rPr>
        <w:t xml:space="preserve"> Severity probability refers to the likelihood that an individual, once infected with SARS-CoV-2, will eventually progress to the specified severity of COVID-19 disease.</w:t>
      </w:r>
    </w:p>
    <w:p w14:paraId="60E79695" w14:textId="77777777" w:rsidR="00AB3AA2" w:rsidRPr="00590C58" w:rsidRDefault="00AB3AA2" w:rsidP="00CB73F8">
      <w:pPr>
        <w:spacing w:after="0" w:line="480" w:lineRule="auto"/>
        <w:rPr>
          <w:rFonts w:ascii="Times New Roman" w:hAnsi="Times New Roman" w:cs="Times New Roman"/>
          <w:sz w:val="24"/>
          <w:szCs w:val="24"/>
        </w:rPr>
      </w:pPr>
      <w:r w:rsidRPr="00590C58">
        <w:rPr>
          <w:rFonts w:ascii="Times New Roman" w:hAnsi="Times New Roman" w:cs="Times New Roman"/>
          <w:sz w:val="24"/>
          <w:szCs w:val="24"/>
          <w:vertAlign w:val="superscript"/>
        </w:rPr>
        <w:t>b</w:t>
      </w:r>
      <w:r w:rsidRPr="00590C58">
        <w:rPr>
          <w:rFonts w:ascii="Times New Roman" w:hAnsi="Times New Roman" w:cs="Times New Roman"/>
          <w:sz w:val="24"/>
          <w:szCs w:val="24"/>
        </w:rPr>
        <w:t xml:space="preserve"> Durations of illness state and of viral shedding were derived from model inputs of transition probabilities. See </w:t>
      </w:r>
      <w:proofErr w:type="spellStart"/>
      <w:r w:rsidRPr="00590C58">
        <w:rPr>
          <w:rFonts w:ascii="Times New Roman" w:hAnsi="Times New Roman" w:cs="Times New Roman"/>
          <w:sz w:val="24"/>
          <w:szCs w:val="24"/>
        </w:rPr>
        <w:t>eTable</w:t>
      </w:r>
      <w:proofErr w:type="spellEnd"/>
      <w:r w:rsidRPr="00590C58">
        <w:rPr>
          <w:rFonts w:ascii="Times New Roman" w:hAnsi="Times New Roman" w:cs="Times New Roman"/>
          <w:sz w:val="24"/>
          <w:szCs w:val="24"/>
        </w:rPr>
        <w:t xml:space="preserve"> 1 for more details. </w:t>
      </w:r>
    </w:p>
    <w:p w14:paraId="1C45E63D" w14:textId="2D9D9143" w:rsidR="7874DDC2" w:rsidRDefault="7874DDC2" w:rsidP="7874DDC2">
      <w:pPr>
        <w:rPr>
          <w:rFonts w:ascii="Times New Roman" w:hAnsi="Times New Roman" w:cs="Times New Roman"/>
          <w:b/>
          <w:bCs/>
          <w:sz w:val="24"/>
          <w:szCs w:val="24"/>
        </w:rPr>
      </w:pPr>
    </w:p>
    <w:p w14:paraId="7527C211" w14:textId="77777777" w:rsidR="00E50393" w:rsidRDefault="00E50393">
      <w:pPr>
        <w:rPr>
          <w:rFonts w:ascii="Times New Roman" w:hAnsi="Times New Roman" w:cs="Times New Roman"/>
          <w:b/>
          <w:bCs/>
          <w:sz w:val="24"/>
          <w:szCs w:val="24"/>
        </w:rPr>
      </w:pPr>
      <w:r>
        <w:rPr>
          <w:rFonts w:ascii="Times New Roman" w:hAnsi="Times New Roman" w:cs="Times New Roman"/>
          <w:b/>
          <w:bCs/>
          <w:sz w:val="24"/>
          <w:szCs w:val="24"/>
        </w:rPr>
        <w:br w:type="page"/>
      </w:r>
    </w:p>
    <w:p w14:paraId="505AC633" w14:textId="63B74803" w:rsidR="00DA7A7C" w:rsidRDefault="007648AA" w:rsidP="7874DDC2">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Figure </w:t>
      </w:r>
      <w:r w:rsidR="00621CF4">
        <w:rPr>
          <w:rFonts w:ascii="Times New Roman" w:hAnsi="Times New Roman" w:cs="Times New Roman"/>
          <w:b/>
          <w:bCs/>
          <w:sz w:val="24"/>
          <w:szCs w:val="24"/>
        </w:rPr>
        <w:t>S</w:t>
      </w:r>
      <w:r>
        <w:rPr>
          <w:rFonts w:ascii="Times New Roman" w:hAnsi="Times New Roman" w:cs="Times New Roman"/>
          <w:b/>
          <w:bCs/>
          <w:sz w:val="24"/>
          <w:szCs w:val="24"/>
        </w:rPr>
        <w:t xml:space="preserve">1. </w:t>
      </w:r>
      <w:r w:rsidR="74B30E15" w:rsidRPr="00A55BD0">
        <w:rPr>
          <w:rFonts w:ascii="Times New Roman" w:hAnsi="Times New Roman" w:cs="Times New Roman"/>
          <w:sz w:val="24"/>
          <w:szCs w:val="24"/>
        </w:rPr>
        <w:t xml:space="preserve">Budgetary impact </w:t>
      </w:r>
      <w:r w:rsidRPr="00A55BD0">
        <w:rPr>
          <w:rFonts w:ascii="Times New Roman" w:hAnsi="Times New Roman" w:cs="Times New Roman"/>
          <w:sz w:val="24"/>
          <w:szCs w:val="24"/>
        </w:rPr>
        <w:t>of COVID-19 mitigation strategies, by test cost (USD)</w:t>
      </w:r>
    </w:p>
    <w:p w14:paraId="5407290D" w14:textId="224F6865" w:rsidR="00DA7A7C" w:rsidRDefault="00906F74" w:rsidP="7874DDC2">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BC9D7D1" wp14:editId="7E3292F8">
            <wp:extent cx="8481151" cy="47152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19845" cy="4736804"/>
                    </a:xfrm>
                    <a:prstGeom prst="rect">
                      <a:avLst/>
                    </a:prstGeom>
                    <a:noFill/>
                  </pic:spPr>
                </pic:pic>
              </a:graphicData>
            </a:graphic>
          </wp:inline>
        </w:drawing>
      </w:r>
    </w:p>
    <w:p w14:paraId="124F748F" w14:textId="12DC769A" w:rsidR="002B6506" w:rsidRDefault="002B6506" w:rsidP="7874DDC2">
      <w:pPr>
        <w:rPr>
          <w:rFonts w:ascii="Times New Roman" w:hAnsi="Times New Roman" w:cs="Times New Roman"/>
          <w:b/>
          <w:bCs/>
          <w:sz w:val="24"/>
          <w:szCs w:val="24"/>
        </w:rPr>
      </w:pPr>
    </w:p>
    <w:p w14:paraId="66079E62" w14:textId="35E7EFFA" w:rsidR="00DA7A7C" w:rsidRDefault="0035063F" w:rsidP="7874DDC2">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A2E30CB" wp14:editId="6DCD5138">
            <wp:extent cx="8863965" cy="48538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929" cy="4875190"/>
                    </a:xfrm>
                    <a:prstGeom prst="rect">
                      <a:avLst/>
                    </a:prstGeom>
                    <a:noFill/>
                  </pic:spPr>
                </pic:pic>
              </a:graphicData>
            </a:graphic>
          </wp:inline>
        </w:drawing>
      </w:r>
      <w:r w:rsidR="002B6506" w:rsidRPr="002B6506">
        <w:rPr>
          <w:rFonts w:ascii="Times New Roman" w:hAnsi="Times New Roman" w:cs="Times New Roman"/>
          <w:sz w:val="24"/>
          <w:szCs w:val="24"/>
        </w:rPr>
        <w:br w:type="page"/>
      </w:r>
    </w:p>
    <w:p w14:paraId="66102D0C" w14:textId="3976C482" w:rsidR="002B6506" w:rsidRDefault="00611006" w:rsidP="7874DDC2">
      <w:p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3A8F955C" wp14:editId="7FC4BC3F">
            <wp:extent cx="8482330" cy="46593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99145" cy="4668545"/>
                    </a:xfrm>
                    <a:prstGeom prst="rect">
                      <a:avLst/>
                    </a:prstGeom>
                    <a:noFill/>
                  </pic:spPr>
                </pic:pic>
              </a:graphicData>
            </a:graphic>
          </wp:inline>
        </w:drawing>
      </w:r>
    </w:p>
    <w:p w14:paraId="1C5D8060" w14:textId="2CA3561E" w:rsidR="00611006" w:rsidRDefault="00632D17">
      <w:pPr>
        <w:rPr>
          <w:rFonts w:ascii="Times New Roman" w:hAnsi="Times New Roman" w:cs="Times New Roman"/>
          <w:b/>
          <w:bCs/>
          <w:sz w:val="24"/>
          <w:szCs w:val="24"/>
        </w:rPr>
      </w:pPr>
      <w:r>
        <w:rPr>
          <w:rFonts w:ascii="Times New Roman" w:hAnsi="Times New Roman" w:cs="Times New Roman"/>
          <w:sz w:val="24"/>
          <w:szCs w:val="24"/>
          <w:vertAlign w:val="superscript"/>
        </w:rPr>
        <w:t xml:space="preserve"> ADDIN ZOTERO_ITEM CSL_CITATION {"citationID":"vcpuw7jP","properties":{"formattedCitation":"\\super 33\\nosupersub{}","plainCitation":"33","noteIndex":0},"citationItems":[{"id":84,"uris":["http://zotero.org/users/local/jMRSEXDw/items/P4Z4L65G"],"uri":["http://zotero.org/users/local/jMRSEXDw/items/P4Z4L65G"],"itemData":{"id":84,"type":"report","title":"Medicare Administrative Contractor (MAC) COVID-19 test pricing","URL":"https://www.cms.gov/files/document/mac-covid-19-test-pricing.pdf","author":[{"literal":"Centers for Medicare and Medicaid Services"}],"issued":{"date-parts":[["2020",5,19]]}}}],"schema":"https://github.com/citation-style-language/schema/raw/master/csl-citation.json"} </w:t>
      </w:r>
      <w:r w:rsidRPr="00632D17">
        <w:rPr>
          <w:rFonts w:ascii="Times New Roman" w:hAnsi="Times New Roman" w:cs="Times New Roman"/>
          <w:sz w:val="24"/>
          <w:szCs w:val="24"/>
          <w:vertAlign w:val="superscript"/>
        </w:rPr>
        <w:t>33</w:t>
      </w:r>
      <w:r w:rsidR="00611006">
        <w:rPr>
          <w:rFonts w:ascii="Times New Roman" w:hAnsi="Times New Roman" w:cs="Times New Roman"/>
          <w:b/>
          <w:bCs/>
          <w:sz w:val="24"/>
          <w:szCs w:val="24"/>
        </w:rPr>
        <w:br w:type="page"/>
      </w:r>
    </w:p>
    <w:p w14:paraId="7CD40498" w14:textId="3EF5A8B4" w:rsidR="00611006" w:rsidRDefault="00611006" w:rsidP="7874DDC2">
      <w:p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494E4FCC" wp14:editId="24521961">
            <wp:extent cx="8462010" cy="47015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6335" cy="4709543"/>
                    </a:xfrm>
                    <a:prstGeom prst="rect">
                      <a:avLst/>
                    </a:prstGeom>
                    <a:noFill/>
                  </pic:spPr>
                </pic:pic>
              </a:graphicData>
            </a:graphic>
          </wp:inline>
        </w:drawing>
      </w:r>
    </w:p>
    <w:p w14:paraId="3F466ADB" w14:textId="77777777" w:rsidR="00655430" w:rsidRDefault="00655430">
      <w:pPr>
        <w:rPr>
          <w:rFonts w:ascii="Times New Roman" w:hAnsi="Times New Roman" w:cs="Times New Roman"/>
          <w:b/>
          <w:bCs/>
          <w:sz w:val="24"/>
          <w:szCs w:val="24"/>
        </w:rPr>
      </w:pPr>
      <w:r>
        <w:rPr>
          <w:rFonts w:ascii="Times New Roman" w:hAnsi="Times New Roman" w:cs="Times New Roman"/>
          <w:b/>
          <w:bCs/>
          <w:sz w:val="24"/>
          <w:szCs w:val="24"/>
        </w:rPr>
        <w:br w:type="page"/>
      </w:r>
    </w:p>
    <w:p w14:paraId="21DCA443" w14:textId="77777777" w:rsidR="00655430" w:rsidRDefault="00655430" w:rsidP="7874DDC2">
      <w:pPr>
        <w:rPr>
          <w:rFonts w:ascii="Times New Roman" w:hAnsi="Times New Roman" w:cs="Times New Roman"/>
          <w:b/>
          <w:bCs/>
          <w:sz w:val="24"/>
          <w:szCs w:val="24"/>
        </w:rPr>
        <w:sectPr w:rsidR="00655430" w:rsidSect="0068320F">
          <w:footerReference w:type="default" r:id="rId13"/>
          <w:pgSz w:w="15840" w:h="12240" w:orient="landscape"/>
          <w:pgMar w:top="1440" w:right="1440" w:bottom="1440" w:left="1440" w:header="720" w:footer="720" w:gutter="0"/>
          <w:cols w:space="720"/>
          <w:docGrid w:linePitch="360"/>
        </w:sectPr>
      </w:pPr>
    </w:p>
    <w:p w14:paraId="3D288B71" w14:textId="167CF26A" w:rsidR="00621CF4" w:rsidRDefault="00E11DC3" w:rsidP="7874DDC2">
      <w:pPr>
        <w:rPr>
          <w:rFonts w:ascii="Times New Roman" w:hAnsi="Times New Roman" w:cs="Times New Roman"/>
          <w:sz w:val="24"/>
          <w:szCs w:val="24"/>
        </w:rPr>
      </w:pPr>
      <w:r>
        <w:rPr>
          <w:rFonts w:ascii="Times New Roman" w:hAnsi="Times New Roman" w:cs="Times New Roman"/>
          <w:b/>
          <w:bCs/>
          <w:sz w:val="24"/>
          <w:szCs w:val="24"/>
        </w:rPr>
        <w:lastRenderedPageBreak/>
        <w:t>Figure Legends</w:t>
      </w:r>
    </w:p>
    <w:p w14:paraId="51E7899F" w14:textId="5A6FE1AF" w:rsidR="00621CF4" w:rsidRDefault="004E1DE3" w:rsidP="7874DDC2">
      <w:pPr>
        <w:rPr>
          <w:rFonts w:ascii="Times New Roman" w:hAnsi="Times New Roman" w:cs="Times New Roman"/>
          <w:sz w:val="24"/>
          <w:szCs w:val="24"/>
        </w:rPr>
      </w:pPr>
      <w:r w:rsidRPr="0026549D">
        <w:rPr>
          <w:rFonts w:ascii="Times New Roman" w:hAnsi="Times New Roman" w:cs="Times New Roman"/>
          <w:b/>
          <w:bCs/>
          <w:sz w:val="24"/>
          <w:szCs w:val="24"/>
        </w:rPr>
        <w:t>Figure S1.</w:t>
      </w:r>
      <w:r>
        <w:rPr>
          <w:rFonts w:ascii="Times New Roman" w:hAnsi="Times New Roman" w:cs="Times New Roman"/>
          <w:sz w:val="24"/>
          <w:szCs w:val="24"/>
        </w:rPr>
        <w:t xml:space="preserve">  </w:t>
      </w:r>
      <w:r w:rsidRPr="7874DDC2">
        <w:rPr>
          <w:rFonts w:ascii="Times New Roman" w:hAnsi="Times New Roman" w:cs="Times New Roman"/>
          <w:b/>
          <w:bCs/>
          <w:sz w:val="24"/>
          <w:szCs w:val="24"/>
        </w:rPr>
        <w:t xml:space="preserve">Budgetary impact </w:t>
      </w:r>
      <w:r>
        <w:rPr>
          <w:rFonts w:ascii="Times New Roman" w:hAnsi="Times New Roman" w:cs="Times New Roman"/>
          <w:b/>
          <w:bCs/>
          <w:sz w:val="24"/>
          <w:szCs w:val="24"/>
        </w:rPr>
        <w:t>of COVID-19 mitigation strategies, by test cost (USD)</w:t>
      </w:r>
    </w:p>
    <w:p w14:paraId="1131D7D6" w14:textId="090D3EC2" w:rsidR="004E1DE3" w:rsidRDefault="004E1DE3" w:rsidP="00655430">
      <w:pPr>
        <w:spacing w:line="480" w:lineRule="auto"/>
        <w:rPr>
          <w:rFonts w:ascii="Times New Roman" w:hAnsi="Times New Roman" w:cs="Times New Roman"/>
          <w:sz w:val="24"/>
          <w:szCs w:val="24"/>
        </w:rPr>
      </w:pPr>
      <w:r>
        <w:rPr>
          <w:rFonts w:ascii="Times New Roman" w:hAnsi="Times New Roman" w:cs="Times New Roman"/>
          <w:sz w:val="24"/>
          <w:szCs w:val="24"/>
        </w:rPr>
        <w:t xml:space="preserve">Each panel represents the total costs for each COVID-19 mitigation strategy, for different test costs. Panel </w:t>
      </w:r>
      <w:r w:rsidR="0026549D">
        <w:rPr>
          <w:rFonts w:ascii="Times New Roman" w:hAnsi="Times New Roman" w:cs="Times New Roman"/>
          <w:sz w:val="24"/>
          <w:szCs w:val="24"/>
        </w:rPr>
        <w:t>A</w:t>
      </w:r>
      <w:r>
        <w:rPr>
          <w:rFonts w:ascii="Times New Roman" w:hAnsi="Times New Roman" w:cs="Times New Roman"/>
          <w:sz w:val="24"/>
          <w:szCs w:val="24"/>
        </w:rPr>
        <w:t xml:space="preserve"> represented the total costs for a </w:t>
      </w:r>
      <w:r w:rsidR="00651812">
        <w:rPr>
          <w:rFonts w:ascii="Times New Roman" w:hAnsi="Times New Roman" w:cs="Times New Roman"/>
          <w:sz w:val="24"/>
          <w:szCs w:val="24"/>
        </w:rPr>
        <w:t>$1 test, Panel B represents the total cost</w:t>
      </w:r>
      <w:r w:rsidR="00655430">
        <w:rPr>
          <w:rFonts w:ascii="Times New Roman" w:hAnsi="Times New Roman" w:cs="Times New Roman"/>
          <w:sz w:val="24"/>
          <w:szCs w:val="24"/>
        </w:rPr>
        <w:t xml:space="preserve"> given a </w:t>
      </w:r>
      <w:r w:rsidR="00651812">
        <w:rPr>
          <w:rFonts w:ascii="Times New Roman" w:hAnsi="Times New Roman" w:cs="Times New Roman"/>
          <w:sz w:val="24"/>
          <w:szCs w:val="24"/>
        </w:rPr>
        <w:t>$25</w:t>
      </w:r>
      <w:r w:rsidR="00655430">
        <w:rPr>
          <w:rFonts w:ascii="Times New Roman" w:hAnsi="Times New Roman" w:cs="Times New Roman"/>
          <w:sz w:val="24"/>
          <w:szCs w:val="24"/>
        </w:rPr>
        <w:t xml:space="preserve"> test, Panel C considers a $36 test (a frequently referenced current cost for PCR test), and Panel D represents a $51 dollar test (a</w:t>
      </w:r>
      <w:r w:rsidR="00F245F3">
        <w:rPr>
          <w:rFonts w:ascii="Times New Roman" w:hAnsi="Times New Roman" w:cs="Times New Roman"/>
          <w:sz w:val="24"/>
          <w:szCs w:val="24"/>
        </w:rPr>
        <w:t>nother</w:t>
      </w:r>
      <w:r w:rsidR="00655430">
        <w:rPr>
          <w:rFonts w:ascii="Times New Roman" w:hAnsi="Times New Roman" w:cs="Times New Roman"/>
          <w:sz w:val="24"/>
          <w:szCs w:val="24"/>
        </w:rPr>
        <w:t xml:space="preserve"> referenced</w:t>
      </w:r>
      <w:r w:rsidR="00632D17">
        <w:rPr>
          <w:rStyle w:val="CommentReference"/>
        </w:rPr>
        <w:t xml:space="preserve"> </w:t>
      </w:r>
      <w:r w:rsidR="00655430">
        <w:rPr>
          <w:rFonts w:ascii="Times New Roman" w:hAnsi="Times New Roman" w:cs="Times New Roman"/>
          <w:sz w:val="24"/>
          <w:szCs w:val="24"/>
        </w:rPr>
        <w:t>cost for current PCR test</w:t>
      </w:r>
      <w:r w:rsidR="00F245F3">
        <w:rPr>
          <w:rFonts w:ascii="Times New Roman" w:hAnsi="Times New Roman" w:cs="Times New Roman"/>
          <w:sz w:val="24"/>
          <w:szCs w:val="24"/>
        </w:rPr>
        <w:t>)</w:t>
      </w:r>
      <w:r w:rsidR="00655430">
        <w:rPr>
          <w:rFonts w:ascii="Times New Roman" w:hAnsi="Times New Roman" w:cs="Times New Roman"/>
          <w:sz w:val="24"/>
          <w:szCs w:val="24"/>
        </w:rPr>
        <w:t>.</w:t>
      </w:r>
      <w:r w:rsidR="00632D17">
        <w:rPr>
          <w:rFonts w:ascii="Times New Roman" w:hAnsi="Times New Roman" w:cs="Times New Roman"/>
          <w:sz w:val="24"/>
          <w:szCs w:val="24"/>
        </w:rPr>
        <w:fldChar w:fldCharType="begin"/>
      </w:r>
      <w:r w:rsidR="00DA615A">
        <w:rPr>
          <w:rFonts w:ascii="Times New Roman" w:hAnsi="Times New Roman" w:cs="Times New Roman"/>
          <w:sz w:val="24"/>
          <w:szCs w:val="24"/>
        </w:rPr>
        <w:instrText xml:space="preserve"> ADDIN ZOTERO_ITEM CSL_CITATION {"citationID":"BJoFR3Sj","properties":{"formattedCitation":"(34)","plainCitation":"(34)","noteIndex":0},"citationItems":[{"id":84,"uris":["http://zotero.org/users/local/jMRSEXDw/items/P4Z4L65G"],"uri":["http://zotero.org/users/local/jMRSEXDw/items/P4Z4L65G"],"itemData":{"id":84,"type":"report","title":"Medicare Administrative Contractor (MAC) COVID-19 test pricing","URL":"https://www.cms.gov/files/document/mac-covid-19-test-pricing.pdf","author":[{"literal":"Centers for Medicare and Medicaid Services"}],"issued":{"date-parts":[["2020",5,19]]}}}],"schema":"https://github.com/citation-style-language/schema/raw/master/csl-citation.json"} </w:instrText>
      </w:r>
      <w:r w:rsidR="00632D17">
        <w:rPr>
          <w:rFonts w:ascii="Times New Roman" w:hAnsi="Times New Roman" w:cs="Times New Roman"/>
          <w:sz w:val="24"/>
          <w:szCs w:val="24"/>
        </w:rPr>
        <w:fldChar w:fldCharType="separate"/>
      </w:r>
      <w:r w:rsidR="00DA615A" w:rsidRPr="00DA615A">
        <w:rPr>
          <w:rFonts w:ascii="Times New Roman" w:hAnsi="Times New Roman" w:cs="Times New Roman"/>
          <w:sz w:val="24"/>
        </w:rPr>
        <w:t>(34)</w:t>
      </w:r>
      <w:r w:rsidR="00632D17">
        <w:rPr>
          <w:rFonts w:ascii="Times New Roman" w:hAnsi="Times New Roman" w:cs="Times New Roman"/>
          <w:sz w:val="24"/>
          <w:szCs w:val="24"/>
        </w:rPr>
        <w:fldChar w:fldCharType="end"/>
      </w:r>
      <w:r w:rsidR="00FE3F5D">
        <w:rPr>
          <w:rFonts w:ascii="Times New Roman" w:hAnsi="Times New Roman" w:cs="Times New Roman"/>
          <w:sz w:val="24"/>
          <w:szCs w:val="24"/>
        </w:rPr>
        <w:t xml:space="preserve"> On the left are the </w:t>
      </w:r>
      <w:r w:rsidR="00FE3F5D">
        <w:rPr>
          <w:rFonts w:ascii="Times New Roman" w:hAnsi="Times New Roman" w:cs="Times New Roman"/>
          <w:i/>
          <w:iCs/>
          <w:sz w:val="24"/>
          <w:szCs w:val="24"/>
        </w:rPr>
        <w:t>No intervention</w:t>
      </w:r>
      <w:r w:rsidR="00FE3F5D">
        <w:rPr>
          <w:rFonts w:ascii="Times New Roman" w:hAnsi="Times New Roman" w:cs="Times New Roman"/>
          <w:sz w:val="24"/>
          <w:szCs w:val="24"/>
        </w:rPr>
        <w:t xml:space="preserve"> and </w:t>
      </w:r>
      <w:r w:rsidR="00FE3F5D">
        <w:rPr>
          <w:rFonts w:ascii="Times New Roman" w:hAnsi="Times New Roman" w:cs="Times New Roman"/>
          <w:i/>
          <w:iCs/>
          <w:sz w:val="24"/>
          <w:szCs w:val="24"/>
        </w:rPr>
        <w:t>Campus Closed</w:t>
      </w:r>
      <w:r w:rsidR="00FE3F5D">
        <w:rPr>
          <w:rFonts w:ascii="Times New Roman" w:hAnsi="Times New Roman" w:cs="Times New Roman"/>
          <w:sz w:val="24"/>
          <w:szCs w:val="24"/>
        </w:rPr>
        <w:t xml:space="preserve"> strategies. Each following set of 6 bars represents isolation and testing strategies for </w:t>
      </w:r>
      <w:r w:rsidR="00FE3F5D">
        <w:rPr>
          <w:rFonts w:ascii="Times New Roman" w:hAnsi="Times New Roman" w:cs="Times New Roman"/>
          <w:i/>
          <w:iCs/>
          <w:sz w:val="24"/>
          <w:szCs w:val="24"/>
        </w:rPr>
        <w:t xml:space="preserve">Minimal </w:t>
      </w:r>
      <w:r w:rsidR="005D56DB">
        <w:rPr>
          <w:rFonts w:ascii="Times New Roman" w:hAnsi="Times New Roman" w:cs="Times New Roman"/>
          <w:i/>
          <w:iCs/>
          <w:sz w:val="24"/>
          <w:szCs w:val="24"/>
        </w:rPr>
        <w:t>s</w:t>
      </w:r>
      <w:r w:rsidR="00FE3F5D">
        <w:rPr>
          <w:rFonts w:ascii="Times New Roman" w:hAnsi="Times New Roman" w:cs="Times New Roman"/>
          <w:i/>
          <w:iCs/>
          <w:sz w:val="24"/>
          <w:szCs w:val="24"/>
        </w:rPr>
        <w:t xml:space="preserve">ocial </w:t>
      </w:r>
      <w:r w:rsidR="005D56DB">
        <w:rPr>
          <w:rFonts w:ascii="Times New Roman" w:hAnsi="Times New Roman" w:cs="Times New Roman"/>
          <w:i/>
          <w:iCs/>
          <w:sz w:val="24"/>
          <w:szCs w:val="24"/>
        </w:rPr>
        <w:t>d</w:t>
      </w:r>
      <w:r w:rsidR="00FE3F5D">
        <w:rPr>
          <w:rFonts w:ascii="Times New Roman" w:hAnsi="Times New Roman" w:cs="Times New Roman"/>
          <w:i/>
          <w:iCs/>
          <w:sz w:val="24"/>
          <w:szCs w:val="24"/>
        </w:rPr>
        <w:t>istancing</w:t>
      </w:r>
      <w:r w:rsidR="00FE3F5D" w:rsidRPr="005D56DB">
        <w:rPr>
          <w:rFonts w:ascii="Times New Roman" w:hAnsi="Times New Roman" w:cs="Times New Roman"/>
          <w:sz w:val="24"/>
          <w:szCs w:val="24"/>
        </w:rPr>
        <w:t xml:space="preserve">, </w:t>
      </w:r>
      <w:r w:rsidR="005D56DB">
        <w:rPr>
          <w:rFonts w:ascii="Times New Roman" w:hAnsi="Times New Roman" w:cs="Times New Roman"/>
          <w:i/>
          <w:iCs/>
          <w:sz w:val="24"/>
          <w:szCs w:val="24"/>
        </w:rPr>
        <w:t>Extensive social distancing</w:t>
      </w:r>
      <w:r w:rsidR="005D56DB" w:rsidRPr="005D56DB">
        <w:rPr>
          <w:rFonts w:ascii="Times New Roman" w:hAnsi="Times New Roman" w:cs="Times New Roman"/>
          <w:sz w:val="24"/>
          <w:szCs w:val="24"/>
        </w:rPr>
        <w:t xml:space="preserve">, </w:t>
      </w:r>
      <w:r w:rsidR="005D56DB">
        <w:rPr>
          <w:rFonts w:ascii="Times New Roman" w:hAnsi="Times New Roman" w:cs="Times New Roman"/>
          <w:i/>
          <w:iCs/>
          <w:sz w:val="24"/>
          <w:szCs w:val="24"/>
        </w:rPr>
        <w:t>Mask Policy</w:t>
      </w:r>
      <w:r w:rsidR="005D56DB" w:rsidRPr="005D56DB">
        <w:rPr>
          <w:rFonts w:ascii="Times New Roman" w:hAnsi="Times New Roman" w:cs="Times New Roman"/>
          <w:sz w:val="24"/>
          <w:szCs w:val="24"/>
        </w:rPr>
        <w:t xml:space="preserve">, and combined </w:t>
      </w:r>
      <w:r w:rsidR="005D56DB">
        <w:rPr>
          <w:rFonts w:ascii="Times New Roman" w:hAnsi="Times New Roman" w:cs="Times New Roman"/>
          <w:i/>
          <w:iCs/>
          <w:sz w:val="24"/>
          <w:szCs w:val="24"/>
        </w:rPr>
        <w:t>Extensive Social Distancing and Mask Policy</w:t>
      </w:r>
      <w:r w:rsidR="005D56DB">
        <w:rPr>
          <w:rFonts w:ascii="Times New Roman" w:hAnsi="Times New Roman" w:cs="Times New Roman"/>
          <w:sz w:val="24"/>
          <w:szCs w:val="24"/>
        </w:rPr>
        <w:t>. In Panel A</w:t>
      </w:r>
      <w:r w:rsidR="008527D3">
        <w:rPr>
          <w:rFonts w:ascii="Times New Roman" w:hAnsi="Times New Roman" w:cs="Times New Roman"/>
          <w:sz w:val="24"/>
          <w:szCs w:val="24"/>
        </w:rPr>
        <w:t xml:space="preserve"> ($1 test cost),</w:t>
      </w:r>
      <w:r w:rsidR="005D56DB">
        <w:rPr>
          <w:rFonts w:ascii="Times New Roman" w:hAnsi="Times New Roman" w:cs="Times New Roman"/>
          <w:sz w:val="24"/>
          <w:szCs w:val="24"/>
        </w:rPr>
        <w:t xml:space="preserve"> </w:t>
      </w:r>
      <w:r w:rsidR="008527D3">
        <w:rPr>
          <w:rFonts w:ascii="Times New Roman" w:hAnsi="Times New Roman" w:cs="Times New Roman"/>
          <w:sz w:val="24"/>
          <w:szCs w:val="24"/>
        </w:rPr>
        <w:t xml:space="preserve">total costs decrease with more testing for </w:t>
      </w:r>
      <w:r w:rsidR="008527D3">
        <w:rPr>
          <w:rFonts w:ascii="Times New Roman" w:hAnsi="Times New Roman" w:cs="Times New Roman"/>
          <w:i/>
          <w:iCs/>
          <w:sz w:val="24"/>
          <w:szCs w:val="24"/>
        </w:rPr>
        <w:t>Minimal social distancing</w:t>
      </w:r>
      <w:r w:rsidR="00F245F3">
        <w:rPr>
          <w:rFonts w:ascii="Times New Roman" w:hAnsi="Times New Roman" w:cs="Times New Roman"/>
          <w:i/>
          <w:iCs/>
          <w:sz w:val="24"/>
          <w:szCs w:val="24"/>
        </w:rPr>
        <w:t>,</w:t>
      </w:r>
      <w:r w:rsidR="008527D3">
        <w:rPr>
          <w:rFonts w:ascii="Times New Roman" w:hAnsi="Times New Roman" w:cs="Times New Roman"/>
          <w:sz w:val="24"/>
          <w:szCs w:val="24"/>
        </w:rPr>
        <w:t xml:space="preserve"> as infections are prevented and hospital and ICU costs decrease while test costs remain low. Total costs stay relatively stable</w:t>
      </w:r>
      <w:r w:rsidR="00F5115B">
        <w:rPr>
          <w:rFonts w:ascii="Times New Roman" w:hAnsi="Times New Roman" w:cs="Times New Roman"/>
          <w:sz w:val="24"/>
          <w:szCs w:val="24"/>
        </w:rPr>
        <w:t xml:space="preserve"> in Panel A</w:t>
      </w:r>
      <w:r w:rsidR="008527D3">
        <w:rPr>
          <w:rFonts w:ascii="Times New Roman" w:hAnsi="Times New Roman" w:cs="Times New Roman"/>
          <w:sz w:val="24"/>
          <w:szCs w:val="24"/>
        </w:rPr>
        <w:t xml:space="preserve"> in </w:t>
      </w:r>
      <w:r w:rsidR="00F5115B">
        <w:rPr>
          <w:rFonts w:ascii="Times New Roman" w:hAnsi="Times New Roman" w:cs="Times New Roman"/>
          <w:sz w:val="24"/>
          <w:szCs w:val="24"/>
        </w:rPr>
        <w:t>any</w:t>
      </w:r>
      <w:r w:rsidR="008527D3">
        <w:rPr>
          <w:rFonts w:ascii="Times New Roman" w:hAnsi="Times New Roman" w:cs="Times New Roman"/>
          <w:sz w:val="24"/>
          <w:szCs w:val="24"/>
        </w:rPr>
        <w:t xml:space="preserve"> strategies that include </w:t>
      </w:r>
      <w:r w:rsidR="008527D3">
        <w:rPr>
          <w:rFonts w:ascii="Times New Roman" w:hAnsi="Times New Roman" w:cs="Times New Roman"/>
          <w:i/>
          <w:iCs/>
          <w:sz w:val="24"/>
          <w:szCs w:val="24"/>
        </w:rPr>
        <w:t>Extensive social distancing</w:t>
      </w:r>
      <w:r w:rsidR="008527D3">
        <w:rPr>
          <w:rFonts w:ascii="Times New Roman" w:hAnsi="Times New Roman" w:cs="Times New Roman"/>
          <w:sz w:val="24"/>
          <w:szCs w:val="24"/>
        </w:rPr>
        <w:t xml:space="preserve"> or </w:t>
      </w:r>
      <w:r w:rsidR="008527D3">
        <w:rPr>
          <w:rFonts w:ascii="Times New Roman" w:hAnsi="Times New Roman" w:cs="Times New Roman"/>
          <w:i/>
          <w:iCs/>
          <w:sz w:val="24"/>
          <w:szCs w:val="24"/>
        </w:rPr>
        <w:t>Mask policy</w:t>
      </w:r>
      <w:r w:rsidR="00F245F3">
        <w:rPr>
          <w:rFonts w:ascii="Times New Roman" w:hAnsi="Times New Roman" w:cs="Times New Roman"/>
          <w:i/>
          <w:iCs/>
          <w:sz w:val="24"/>
          <w:szCs w:val="24"/>
        </w:rPr>
        <w:t>,</w:t>
      </w:r>
      <w:r w:rsidR="008527D3">
        <w:rPr>
          <w:rFonts w:ascii="Times New Roman" w:hAnsi="Times New Roman" w:cs="Times New Roman"/>
          <w:sz w:val="24"/>
          <w:szCs w:val="24"/>
        </w:rPr>
        <w:t xml:space="preserve"> as either hybrid education costs or additional NPI costs are added</w:t>
      </w:r>
      <w:r w:rsidR="00D54FE1">
        <w:rPr>
          <w:rFonts w:ascii="Times New Roman" w:hAnsi="Times New Roman" w:cs="Times New Roman"/>
          <w:sz w:val="24"/>
          <w:szCs w:val="24"/>
        </w:rPr>
        <w:t xml:space="preserve">. </w:t>
      </w:r>
      <w:r w:rsidR="00F5115B">
        <w:rPr>
          <w:rFonts w:ascii="Times New Roman" w:hAnsi="Times New Roman" w:cs="Times New Roman"/>
          <w:sz w:val="24"/>
          <w:szCs w:val="24"/>
        </w:rPr>
        <w:t xml:space="preserve">Panels B, C, and D indicate that test costs </w:t>
      </w:r>
      <w:r w:rsidR="00F245F3">
        <w:rPr>
          <w:rFonts w:ascii="Times New Roman" w:hAnsi="Times New Roman" w:cs="Times New Roman"/>
          <w:sz w:val="24"/>
          <w:szCs w:val="24"/>
        </w:rPr>
        <w:t>outweigh</w:t>
      </w:r>
      <w:r w:rsidR="00F5115B">
        <w:rPr>
          <w:rFonts w:ascii="Times New Roman" w:hAnsi="Times New Roman" w:cs="Times New Roman"/>
          <w:sz w:val="24"/>
          <w:szCs w:val="24"/>
        </w:rPr>
        <w:t xml:space="preserve"> all other costs when tests are more expensive</w:t>
      </w:r>
      <w:r w:rsidR="00F06864">
        <w:rPr>
          <w:rFonts w:ascii="Times New Roman" w:hAnsi="Times New Roman" w:cs="Times New Roman"/>
          <w:sz w:val="24"/>
          <w:szCs w:val="24"/>
        </w:rPr>
        <w:t xml:space="preserve"> and any amount of routine testing is done</w:t>
      </w:r>
      <w:r w:rsidR="00F5115B">
        <w:rPr>
          <w:rFonts w:ascii="Times New Roman" w:hAnsi="Times New Roman" w:cs="Times New Roman"/>
          <w:sz w:val="24"/>
          <w:szCs w:val="24"/>
        </w:rPr>
        <w:t>. Across all panels, w</w:t>
      </w:r>
      <w:r w:rsidR="000F21C7">
        <w:rPr>
          <w:rFonts w:ascii="Times New Roman" w:hAnsi="Times New Roman" w:cs="Times New Roman"/>
          <w:sz w:val="24"/>
          <w:szCs w:val="24"/>
        </w:rPr>
        <w:t>ithin each broad category, s</w:t>
      </w:r>
      <w:r w:rsidR="007058BE">
        <w:rPr>
          <w:rFonts w:ascii="Times New Roman" w:hAnsi="Times New Roman" w:cs="Times New Roman"/>
          <w:sz w:val="24"/>
          <w:szCs w:val="24"/>
        </w:rPr>
        <w:t xml:space="preserve">trategies involving residence </w:t>
      </w:r>
      <w:r w:rsidR="00EF5D2D">
        <w:rPr>
          <w:rFonts w:ascii="Times New Roman" w:hAnsi="Times New Roman" w:cs="Times New Roman"/>
          <w:sz w:val="24"/>
          <w:szCs w:val="24"/>
        </w:rPr>
        <w:t>isolation</w:t>
      </w:r>
      <w:r w:rsidR="007058BE">
        <w:rPr>
          <w:rFonts w:ascii="Times New Roman" w:hAnsi="Times New Roman" w:cs="Times New Roman"/>
          <w:sz w:val="24"/>
          <w:szCs w:val="24"/>
        </w:rPr>
        <w:t xml:space="preserve"> and no testing are cheaper than strategies involving quarantine isolation or any testing </w:t>
      </w:r>
      <w:r w:rsidR="00EF5D2D">
        <w:rPr>
          <w:rFonts w:ascii="Times New Roman" w:hAnsi="Times New Roman" w:cs="Times New Roman"/>
          <w:sz w:val="24"/>
          <w:szCs w:val="24"/>
        </w:rPr>
        <w:t>across all test costs.</w:t>
      </w:r>
    </w:p>
    <w:p w14:paraId="5ACE25A2" w14:textId="50BF6B0B" w:rsidR="007669B9" w:rsidRDefault="007669B9" w:rsidP="00655430">
      <w:pPr>
        <w:spacing w:line="480" w:lineRule="auto"/>
        <w:rPr>
          <w:rFonts w:ascii="Times New Roman" w:hAnsi="Times New Roman" w:cs="Times New Roman"/>
          <w:sz w:val="24"/>
          <w:szCs w:val="24"/>
        </w:rPr>
      </w:pPr>
      <w:r w:rsidRPr="008D188F">
        <w:rPr>
          <w:rFonts w:ascii="Times New Roman" w:hAnsi="Times New Roman" w:cs="Times New Roman"/>
          <w:sz w:val="24"/>
          <w:szCs w:val="24"/>
        </w:rPr>
        <w:t xml:space="preserve">Abbreviations: </w:t>
      </w:r>
      <w:proofErr w:type="spellStart"/>
      <w:r w:rsidR="000B39E5" w:rsidRPr="008D188F">
        <w:rPr>
          <w:rFonts w:ascii="Times New Roman" w:hAnsi="Times New Roman" w:cs="Times New Roman"/>
          <w:b/>
          <w:bCs/>
          <w:sz w:val="24"/>
          <w:szCs w:val="24"/>
        </w:rPr>
        <w:t>ResIsol</w:t>
      </w:r>
      <w:proofErr w:type="spellEnd"/>
      <w:r w:rsidR="000B39E5" w:rsidRPr="008D188F">
        <w:rPr>
          <w:rFonts w:ascii="Times New Roman" w:hAnsi="Times New Roman" w:cs="Times New Roman"/>
          <w:sz w:val="24"/>
          <w:szCs w:val="24"/>
        </w:rPr>
        <w:t xml:space="preserve">: residence isolation; </w:t>
      </w:r>
      <w:proofErr w:type="spellStart"/>
      <w:r w:rsidR="000B39E5" w:rsidRPr="008D188F">
        <w:rPr>
          <w:rFonts w:ascii="Times New Roman" w:hAnsi="Times New Roman" w:cs="Times New Roman"/>
          <w:b/>
          <w:bCs/>
          <w:sz w:val="24"/>
          <w:szCs w:val="24"/>
        </w:rPr>
        <w:t>DesigIsol</w:t>
      </w:r>
      <w:proofErr w:type="spellEnd"/>
      <w:r w:rsidR="000B39E5" w:rsidRPr="008D188F">
        <w:rPr>
          <w:rFonts w:ascii="Times New Roman" w:hAnsi="Times New Roman" w:cs="Times New Roman"/>
          <w:sz w:val="24"/>
          <w:szCs w:val="24"/>
        </w:rPr>
        <w:t xml:space="preserve">: designated isolation; </w:t>
      </w:r>
      <w:r w:rsidR="000B39E5" w:rsidRPr="008D188F">
        <w:rPr>
          <w:rFonts w:ascii="Times New Roman" w:hAnsi="Times New Roman" w:cs="Times New Roman"/>
          <w:b/>
          <w:bCs/>
          <w:sz w:val="24"/>
          <w:szCs w:val="24"/>
        </w:rPr>
        <w:t>LT</w:t>
      </w:r>
      <w:r w:rsidR="000B39E5" w:rsidRPr="008D188F">
        <w:rPr>
          <w:rFonts w:ascii="Times New Roman" w:hAnsi="Times New Roman" w:cs="Times New Roman"/>
          <w:sz w:val="24"/>
          <w:szCs w:val="24"/>
        </w:rPr>
        <w:t xml:space="preserve">: laboratory test; </w:t>
      </w:r>
      <w:r w:rsidR="000B39E5" w:rsidRPr="008D188F">
        <w:rPr>
          <w:rFonts w:ascii="Times New Roman" w:hAnsi="Times New Roman" w:cs="Times New Roman"/>
          <w:b/>
          <w:bCs/>
          <w:sz w:val="24"/>
          <w:szCs w:val="24"/>
        </w:rPr>
        <w:t>RLT</w:t>
      </w:r>
      <w:r w:rsidR="000B39E5" w:rsidRPr="008D188F">
        <w:rPr>
          <w:rFonts w:ascii="Times New Roman" w:hAnsi="Times New Roman" w:cs="Times New Roman"/>
          <w:sz w:val="24"/>
          <w:szCs w:val="24"/>
        </w:rPr>
        <w:t xml:space="preserve">: routine laboratory test; </w:t>
      </w:r>
      <w:r w:rsidR="000B39E5" w:rsidRPr="008D188F">
        <w:rPr>
          <w:rFonts w:ascii="Times New Roman" w:hAnsi="Times New Roman" w:cs="Times New Roman"/>
          <w:b/>
          <w:bCs/>
          <w:sz w:val="24"/>
          <w:szCs w:val="24"/>
        </w:rPr>
        <w:t>q</w:t>
      </w:r>
      <w:r w:rsidR="000B39E5" w:rsidRPr="008D188F">
        <w:rPr>
          <w:rFonts w:ascii="Times New Roman" w:hAnsi="Times New Roman" w:cs="Times New Roman"/>
          <w:sz w:val="24"/>
          <w:szCs w:val="24"/>
        </w:rPr>
        <w:t xml:space="preserve">: every </w:t>
      </w:r>
      <w:r w:rsidR="00F245F3">
        <w:rPr>
          <w:rFonts w:ascii="Times New Roman" w:hAnsi="Times New Roman" w:cs="Times New Roman"/>
          <w:sz w:val="24"/>
          <w:szCs w:val="24"/>
        </w:rPr>
        <w:t>X</w:t>
      </w:r>
      <w:r w:rsidR="000B39E5" w:rsidRPr="008D188F">
        <w:rPr>
          <w:rFonts w:ascii="Times New Roman" w:hAnsi="Times New Roman" w:cs="Times New Roman"/>
          <w:sz w:val="24"/>
          <w:szCs w:val="24"/>
        </w:rPr>
        <w:t xml:space="preserve"> days</w:t>
      </w:r>
      <w:r w:rsidR="008D188F" w:rsidRPr="008D188F">
        <w:rPr>
          <w:rFonts w:ascii="Times New Roman" w:hAnsi="Times New Roman" w:cs="Times New Roman"/>
          <w:sz w:val="24"/>
          <w:szCs w:val="24"/>
        </w:rPr>
        <w:t xml:space="preserve">; </w:t>
      </w:r>
      <w:proofErr w:type="spellStart"/>
      <w:r w:rsidR="008D188F" w:rsidRPr="008D188F">
        <w:rPr>
          <w:rFonts w:ascii="Times New Roman" w:hAnsi="Times New Roman" w:cs="Times New Roman"/>
          <w:b/>
          <w:bCs/>
          <w:i/>
          <w:iCs/>
          <w:sz w:val="24"/>
          <w:szCs w:val="24"/>
        </w:rPr>
        <w:t>Mi</w:t>
      </w:r>
      <w:r w:rsidR="00F245F3">
        <w:rPr>
          <w:rFonts w:ascii="Times New Roman" w:hAnsi="Times New Roman" w:cs="Times New Roman"/>
          <w:b/>
          <w:bCs/>
          <w:i/>
          <w:iCs/>
          <w:sz w:val="24"/>
          <w:szCs w:val="24"/>
        </w:rPr>
        <w:t>n</w:t>
      </w:r>
      <w:r w:rsidR="008D188F" w:rsidRPr="008D188F">
        <w:rPr>
          <w:rFonts w:ascii="Times New Roman" w:hAnsi="Times New Roman" w:cs="Times New Roman"/>
          <w:b/>
          <w:bCs/>
          <w:i/>
          <w:iCs/>
          <w:sz w:val="24"/>
          <w:szCs w:val="24"/>
        </w:rPr>
        <w:t>SocDist</w:t>
      </w:r>
      <w:proofErr w:type="spellEnd"/>
      <w:r w:rsidR="008D188F" w:rsidRPr="008D188F">
        <w:rPr>
          <w:rFonts w:ascii="Times New Roman" w:hAnsi="Times New Roman" w:cs="Times New Roman"/>
          <w:sz w:val="24"/>
          <w:szCs w:val="24"/>
        </w:rPr>
        <w:t xml:space="preserve">: </w:t>
      </w:r>
      <w:r w:rsidR="008D188F" w:rsidRPr="008D188F">
        <w:rPr>
          <w:rFonts w:ascii="Times New Roman" w:hAnsi="Times New Roman" w:cs="Times New Roman"/>
          <w:i/>
          <w:iCs/>
          <w:sz w:val="24"/>
          <w:szCs w:val="24"/>
        </w:rPr>
        <w:t>Minimal social distancing</w:t>
      </w:r>
      <w:r w:rsidR="008D188F" w:rsidRPr="008D188F">
        <w:rPr>
          <w:rFonts w:ascii="Times New Roman" w:hAnsi="Times New Roman" w:cs="Times New Roman"/>
          <w:sz w:val="24"/>
          <w:szCs w:val="24"/>
        </w:rPr>
        <w:t xml:space="preserve"> strategy; </w:t>
      </w:r>
      <w:proofErr w:type="spellStart"/>
      <w:r w:rsidR="008D188F" w:rsidRPr="008D188F">
        <w:rPr>
          <w:rFonts w:ascii="Times New Roman" w:hAnsi="Times New Roman" w:cs="Times New Roman"/>
          <w:b/>
          <w:bCs/>
          <w:i/>
          <w:iCs/>
          <w:sz w:val="24"/>
          <w:szCs w:val="24"/>
        </w:rPr>
        <w:t>ExtSocDist</w:t>
      </w:r>
      <w:proofErr w:type="spellEnd"/>
      <w:r w:rsidR="008D188F" w:rsidRPr="008D188F">
        <w:rPr>
          <w:rFonts w:ascii="Times New Roman" w:hAnsi="Times New Roman" w:cs="Times New Roman"/>
          <w:sz w:val="24"/>
          <w:szCs w:val="24"/>
        </w:rPr>
        <w:t xml:space="preserve">: </w:t>
      </w:r>
      <w:r w:rsidR="008D188F" w:rsidRPr="008D188F">
        <w:rPr>
          <w:rFonts w:ascii="Times New Roman" w:hAnsi="Times New Roman" w:cs="Times New Roman"/>
          <w:i/>
          <w:iCs/>
          <w:sz w:val="24"/>
          <w:szCs w:val="24"/>
        </w:rPr>
        <w:t>Extensive social distancing</w:t>
      </w:r>
      <w:r w:rsidR="008D188F" w:rsidRPr="008D188F">
        <w:rPr>
          <w:rFonts w:ascii="Times New Roman" w:hAnsi="Times New Roman" w:cs="Times New Roman"/>
          <w:sz w:val="24"/>
          <w:szCs w:val="24"/>
        </w:rPr>
        <w:t xml:space="preserve"> strategy; </w:t>
      </w:r>
      <w:r w:rsidR="008D188F" w:rsidRPr="008D188F">
        <w:rPr>
          <w:rFonts w:ascii="Times New Roman" w:hAnsi="Times New Roman" w:cs="Times New Roman"/>
          <w:b/>
          <w:bCs/>
          <w:i/>
          <w:iCs/>
          <w:sz w:val="24"/>
          <w:szCs w:val="24"/>
        </w:rPr>
        <w:t>Masks</w:t>
      </w:r>
      <w:r w:rsidR="008D188F" w:rsidRPr="008D188F">
        <w:rPr>
          <w:rFonts w:ascii="Times New Roman" w:hAnsi="Times New Roman" w:cs="Times New Roman"/>
          <w:sz w:val="24"/>
          <w:szCs w:val="24"/>
        </w:rPr>
        <w:t xml:space="preserve">: </w:t>
      </w:r>
      <w:r w:rsidR="008D188F" w:rsidRPr="008D188F">
        <w:rPr>
          <w:rFonts w:ascii="Times New Roman" w:hAnsi="Times New Roman" w:cs="Times New Roman"/>
          <w:i/>
          <w:iCs/>
          <w:sz w:val="24"/>
          <w:szCs w:val="24"/>
        </w:rPr>
        <w:t>Mask</w:t>
      </w:r>
      <w:r w:rsidR="008D188F">
        <w:rPr>
          <w:rFonts w:ascii="Times New Roman" w:hAnsi="Times New Roman" w:cs="Times New Roman"/>
          <w:i/>
          <w:iCs/>
          <w:sz w:val="24"/>
          <w:szCs w:val="24"/>
        </w:rPr>
        <w:t>s</w:t>
      </w:r>
      <w:r w:rsidR="008D188F" w:rsidRPr="008D188F">
        <w:rPr>
          <w:rFonts w:ascii="Times New Roman" w:hAnsi="Times New Roman" w:cs="Times New Roman"/>
          <w:sz w:val="24"/>
          <w:szCs w:val="24"/>
        </w:rPr>
        <w:t xml:space="preserve"> strategy; </w:t>
      </w:r>
      <w:proofErr w:type="spellStart"/>
      <w:r w:rsidR="008D188F" w:rsidRPr="008D188F">
        <w:rPr>
          <w:rFonts w:ascii="Times New Roman" w:hAnsi="Times New Roman" w:cs="Times New Roman"/>
          <w:b/>
          <w:bCs/>
          <w:i/>
          <w:iCs/>
          <w:sz w:val="24"/>
          <w:szCs w:val="24"/>
        </w:rPr>
        <w:t>ExtSocDist+Masks</w:t>
      </w:r>
      <w:proofErr w:type="spellEnd"/>
      <w:r w:rsidR="008D188F" w:rsidRPr="008D188F">
        <w:rPr>
          <w:rFonts w:ascii="Times New Roman" w:hAnsi="Times New Roman" w:cs="Times New Roman"/>
          <w:sz w:val="24"/>
          <w:szCs w:val="24"/>
        </w:rPr>
        <w:t xml:space="preserve">: </w:t>
      </w:r>
      <w:r w:rsidR="008D188F" w:rsidRPr="008D188F">
        <w:rPr>
          <w:rFonts w:ascii="Times New Roman" w:hAnsi="Times New Roman" w:cs="Times New Roman"/>
          <w:i/>
          <w:iCs/>
          <w:sz w:val="24"/>
          <w:szCs w:val="24"/>
        </w:rPr>
        <w:t>Extensive social distancing + Masks</w:t>
      </w:r>
      <w:r w:rsidR="008D188F" w:rsidRPr="008D188F">
        <w:rPr>
          <w:rFonts w:ascii="Times New Roman" w:hAnsi="Times New Roman" w:cs="Times New Roman"/>
          <w:sz w:val="24"/>
          <w:szCs w:val="24"/>
        </w:rPr>
        <w:t xml:space="preserve"> strategy.</w:t>
      </w:r>
    </w:p>
    <w:p w14:paraId="7F520112" w14:textId="2AA686E5" w:rsidR="0026549D" w:rsidRPr="00C02DEB" w:rsidRDefault="0026549D" w:rsidP="00C02DEB">
      <w:pPr>
        <w:rPr>
          <w:rFonts w:ascii="Times New Roman" w:hAnsi="Times New Roman" w:cs="Times New Roman"/>
          <w:b/>
          <w:sz w:val="24"/>
          <w:szCs w:val="24"/>
        </w:rPr>
      </w:pPr>
      <w:r>
        <w:rPr>
          <w:rFonts w:ascii="Times New Roman" w:hAnsi="Times New Roman" w:cs="Times New Roman"/>
          <w:sz w:val="24"/>
          <w:szCs w:val="24"/>
        </w:rPr>
        <w:br w:type="page"/>
      </w:r>
      <w:r w:rsidR="005D40D1" w:rsidRPr="00C02DEB">
        <w:rPr>
          <w:rFonts w:ascii="Times New Roman" w:hAnsi="Times New Roman" w:cs="Times New Roman"/>
          <w:b/>
          <w:sz w:val="24"/>
          <w:szCs w:val="24"/>
        </w:rPr>
        <w:lastRenderedPageBreak/>
        <w:t>Literature cited</w:t>
      </w:r>
    </w:p>
    <w:p w14:paraId="627385D2" w14:textId="05821BB7" w:rsidR="00DA615A" w:rsidRPr="00DA615A" w:rsidRDefault="0026549D" w:rsidP="00A854AE">
      <w:pPr>
        <w:pStyle w:val="Bibliography"/>
        <w:spacing w:line="480" w:lineRule="auto"/>
        <w:rPr>
          <w:rFonts w:ascii="Times New Roman" w:hAnsi="Times New Roman" w:cs="Times New Roman"/>
          <w:sz w:val="24"/>
        </w:rPr>
      </w:pPr>
      <w:r>
        <w:fldChar w:fldCharType="begin"/>
      </w:r>
      <w:r w:rsidR="00DA615A">
        <w:instrText xml:space="preserve"> ADDIN ZOTERO_BIBL {"uncited":[],"omitted":[],"custom":[]} CSL_BIBLIOGRAPHY </w:instrText>
      </w:r>
      <w:r>
        <w:fldChar w:fldCharType="separate"/>
      </w:r>
      <w:r w:rsidR="00DA615A" w:rsidRPr="00DA615A">
        <w:rPr>
          <w:rFonts w:ascii="Times New Roman" w:hAnsi="Times New Roman" w:cs="Times New Roman"/>
          <w:sz w:val="24"/>
        </w:rPr>
        <w:t xml:space="preserve">1. </w:t>
      </w:r>
      <w:r w:rsidR="00DA615A" w:rsidRPr="00DA615A">
        <w:rPr>
          <w:rFonts w:ascii="Times New Roman" w:hAnsi="Times New Roman" w:cs="Times New Roman"/>
          <w:sz w:val="24"/>
        </w:rPr>
        <w:tab/>
        <w:t>Census profile: Massachusetts [Internet]. Census Reporter. [cited 2020 Aug 9]. Available from: http://censusreporter.org/profiles/04000US25-massachusetts/</w:t>
      </w:r>
    </w:p>
    <w:p w14:paraId="04E1C3CD"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2. </w:t>
      </w:r>
      <w:r w:rsidRPr="00DA615A">
        <w:rPr>
          <w:rFonts w:ascii="Times New Roman" w:hAnsi="Times New Roman" w:cs="Times New Roman"/>
          <w:sz w:val="24"/>
        </w:rPr>
        <w:tab/>
        <w:t>Massachusetts Department of Public Health. Archive of COVID-19 cases in Massachusetts [Internet]. [cited 2020 Aug 9]. Available from: https://www.mass.gov/info-details/archive-of-covid-19-cases-in-massachusetts</w:t>
      </w:r>
    </w:p>
    <w:p w14:paraId="64214246"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3. </w:t>
      </w:r>
      <w:r w:rsidRPr="00DA615A">
        <w:rPr>
          <w:rFonts w:ascii="Times New Roman" w:hAnsi="Times New Roman" w:cs="Times New Roman"/>
          <w:sz w:val="24"/>
        </w:rPr>
        <w:tab/>
        <w:t>Massachusetts Department of Public Health. COVID-19 Dashboard [Internet]. 2020 [cited 2020 Aug 9]. Available from: https://www.mass.gov/doc/covid-19-dashboard-april-20-2020/download</w:t>
      </w:r>
    </w:p>
    <w:p w14:paraId="6AF8571C"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4. </w:t>
      </w:r>
      <w:r w:rsidRPr="00DA615A">
        <w:rPr>
          <w:rFonts w:ascii="Times New Roman" w:hAnsi="Times New Roman" w:cs="Times New Roman"/>
          <w:sz w:val="24"/>
        </w:rPr>
        <w:tab/>
        <w:t>Yourish K, Lai K, Ivory D, Smith M. One-third of all U.S. coronavirus deaths are nursing home residents or workers [Internet]. The New York Times. [cited 2020 Aug 9]. Available from: https://www.nytimes.com/interactive/2020/05/09/us/coronavirus-cases-nursing-homes-us.html</w:t>
      </w:r>
    </w:p>
    <w:p w14:paraId="5432CBA6"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5. </w:t>
      </w:r>
      <w:r w:rsidRPr="00DA615A">
        <w:rPr>
          <w:rFonts w:ascii="Times New Roman" w:hAnsi="Times New Roman" w:cs="Times New Roman"/>
          <w:sz w:val="24"/>
        </w:rPr>
        <w:tab/>
        <w:t xml:space="preserve">Li W, Zhang B, Lu J, Liu S, Chang Z, Cao P, et al. The characteristics of household transmission of COVID-19. Clin Infect Dis Off Publ Infect Dis Soc Am. 2020 Apr 17; </w:t>
      </w:r>
    </w:p>
    <w:p w14:paraId="3BBB9086"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6. </w:t>
      </w:r>
      <w:r w:rsidRPr="00DA615A">
        <w:rPr>
          <w:rFonts w:ascii="Times New Roman" w:hAnsi="Times New Roman" w:cs="Times New Roman"/>
          <w:sz w:val="24"/>
        </w:rPr>
        <w:tab/>
        <w:t>Bureau of Labor Statistics. Table 1. Time spent in primary activities and percent of the civilian population engaging in each activity, averages per day by sex, 2019 annual averages [Internet]. 2020 [cited 2020 Aug 9]. Available from: https://www.bls.gov/news.release/atus.t01.htm</w:t>
      </w:r>
    </w:p>
    <w:p w14:paraId="25A429C4"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lastRenderedPageBreak/>
        <w:t xml:space="preserve">7. </w:t>
      </w:r>
      <w:r w:rsidRPr="00DA615A">
        <w:rPr>
          <w:rFonts w:ascii="Times New Roman" w:hAnsi="Times New Roman" w:cs="Times New Roman"/>
          <w:sz w:val="24"/>
        </w:rPr>
        <w:tab/>
        <w:t>Whalen ML. A focus on faculty. Division of Planning and Budget. [Internet]. Cornell University 2007-2008 Financial Plan. 2007 [cited 2020 Aug 9]. Available from: https://dpb.cornell.edu/documents/1000381.pdf</w:t>
      </w:r>
    </w:p>
    <w:p w14:paraId="25E309D0"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8. </w:t>
      </w:r>
      <w:r w:rsidRPr="00DA615A">
        <w:rPr>
          <w:rFonts w:ascii="Times New Roman" w:hAnsi="Times New Roman" w:cs="Times New Roman"/>
          <w:sz w:val="24"/>
        </w:rPr>
        <w:tab/>
        <w:t>Faculty age distribution: fall 2017. PennState University Budget Office. [Internet]. [cited 2020 Aug 9]. Available from: https://budget.psu.edu/Factbook/hrdynamic/FacultyDistributionByAgePSULaw.aspx?ReportCode=Age&amp;YearCode=2017humors&amp;FBPlusIndc=N</w:t>
      </w:r>
    </w:p>
    <w:p w14:paraId="11FC4097"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9. </w:t>
      </w:r>
      <w:r w:rsidRPr="00DA615A">
        <w:rPr>
          <w:rFonts w:ascii="Times New Roman" w:hAnsi="Times New Roman" w:cs="Times New Roman"/>
          <w:sz w:val="24"/>
        </w:rPr>
        <w:tab/>
        <w:t>2011 Accountability report. University of California [Internet]. [cited 2020 Aug 9]. Available from: https://accountability.universityofcalifornia.edu/2011/index/6.2.2</w:t>
      </w:r>
    </w:p>
    <w:p w14:paraId="15469409"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10. </w:t>
      </w:r>
      <w:r w:rsidRPr="00DA615A">
        <w:rPr>
          <w:rFonts w:ascii="Times New Roman" w:hAnsi="Times New Roman" w:cs="Times New Roman"/>
          <w:sz w:val="24"/>
        </w:rPr>
        <w:tab/>
        <w:t>Age distribution of full-time employees by employee group: fall 2019. The California State University. [Internet]. [cited 2020 Aug 9]. Available from: https://www2.calstate.edu:443/csu-system/faculty-staff/employee-profile/csu-staff/Pages/age-distribution-of-full-time-employee-headcount-by-faculty-and-staff-status.aspx</w:t>
      </w:r>
    </w:p>
    <w:p w14:paraId="4FA9D311"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11. </w:t>
      </w:r>
      <w:r w:rsidRPr="00DA615A">
        <w:rPr>
          <w:rFonts w:ascii="Times New Roman" w:hAnsi="Times New Roman" w:cs="Times New Roman"/>
          <w:sz w:val="24"/>
        </w:rPr>
        <w:tab/>
        <w:t>Statewide instructional faculty age distribution by employment status: report for university system of Maryland, fall 2019. USM Data Journals. [Internet]. USM IRIS. [cited 2020 Aug 9]. Available from: https://www.usmd.edu/IRIS/DataJournal/Faculty-Staff/?report=Instructional-Faculty-Age-by-Employment-Status</w:t>
      </w:r>
    </w:p>
    <w:p w14:paraId="41131D0D"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12. </w:t>
      </w:r>
      <w:r w:rsidRPr="00DA615A">
        <w:rPr>
          <w:rFonts w:ascii="Times New Roman" w:hAnsi="Times New Roman" w:cs="Times New Roman"/>
          <w:sz w:val="24"/>
        </w:rPr>
        <w:tab/>
        <w:t>Census profile: Cambridge, MA [Internet]. Census Reporter. [cited 2020 Aug 9]. Available from: http://censusreporter.org/profiles/16000US2511000-cambridge-ma/</w:t>
      </w:r>
    </w:p>
    <w:p w14:paraId="154E4874"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lastRenderedPageBreak/>
        <w:t xml:space="preserve">13. </w:t>
      </w:r>
      <w:r w:rsidRPr="00DA615A">
        <w:rPr>
          <w:rFonts w:ascii="Times New Roman" w:hAnsi="Times New Roman" w:cs="Times New Roman"/>
          <w:sz w:val="24"/>
        </w:rPr>
        <w:tab/>
        <w:t>Census profile: Ithaca, NY Metro Area [Internet]. Census Reporter. [cited 2020 Aug 9]. Available from: http://censusreporter.org/profiles/31000US27060-ithaca-ny-metro-area/</w:t>
      </w:r>
    </w:p>
    <w:p w14:paraId="773E3D9D"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14. </w:t>
      </w:r>
      <w:r w:rsidRPr="00DA615A">
        <w:rPr>
          <w:rFonts w:ascii="Times New Roman" w:hAnsi="Times New Roman" w:cs="Times New Roman"/>
          <w:sz w:val="24"/>
        </w:rPr>
        <w:tab/>
        <w:t>Census profile: Austin, TX [Internet]. Census Reporter. [cited 2020 Aug 9]. Available from: http://censusreporter.org/profiles/16000US4805000-austin-tx/</w:t>
      </w:r>
    </w:p>
    <w:p w14:paraId="29CEA812"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15. </w:t>
      </w:r>
      <w:r w:rsidRPr="00DA615A">
        <w:rPr>
          <w:rFonts w:ascii="Times New Roman" w:hAnsi="Times New Roman" w:cs="Times New Roman"/>
          <w:sz w:val="24"/>
        </w:rPr>
        <w:tab/>
        <w:t>Why a study showing that covid-19 is everywhere is good news. The Economist [Internet]. [cited 2020 Aug 9]; Available from: https://www.economist.com/graphic-detail/2020/04/11/why-a-study-showing-that-covid-19-is-everywhere-is-good-news</w:t>
      </w:r>
    </w:p>
    <w:p w14:paraId="78129413"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16. </w:t>
      </w:r>
      <w:r w:rsidRPr="00DA615A">
        <w:rPr>
          <w:rFonts w:ascii="Times New Roman" w:hAnsi="Times New Roman" w:cs="Times New Roman"/>
          <w:sz w:val="24"/>
        </w:rPr>
        <w:tab/>
        <w:t>Centers for Disease Control and Prevention. Percentage of visits of ILI by age group reported by a subset of ILINet providers [Internet]. 2020 [cited 2020 Aug 9]. Available from: https://www.cdc.gov/coronavirus/2019-ncov/covid-data/covidview/07242020/percent-ili-visits-age.html</w:t>
      </w:r>
    </w:p>
    <w:p w14:paraId="7BC79F6D"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17. </w:t>
      </w:r>
      <w:r w:rsidRPr="00DA615A">
        <w:rPr>
          <w:rFonts w:ascii="Times New Roman" w:hAnsi="Times New Roman" w:cs="Times New Roman"/>
          <w:sz w:val="24"/>
        </w:rPr>
        <w:tab/>
        <w:t xml:space="preserve">Wang D, Hu B, Hu C, Zhu F, Liu X, Zhang J, et al. Clinical characteristics of 138 hospitalized patients with 2019 novel coronavirus-infected pneumonia in Wuhan, China. JAMA. 2020 Feb 7; </w:t>
      </w:r>
    </w:p>
    <w:p w14:paraId="343C029F"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18. </w:t>
      </w:r>
      <w:r w:rsidRPr="00DA615A">
        <w:rPr>
          <w:rFonts w:ascii="Times New Roman" w:hAnsi="Times New Roman" w:cs="Times New Roman"/>
          <w:sz w:val="24"/>
        </w:rPr>
        <w:tab/>
        <w:t>Rui P, Okeyode T. National ambulatory medical care survey: 2016 national summary tables [Internet]. National Center for Health Statistics, Centers for Disease Control and Prevention, 2019. [cited 2020 Aug 9]. Available from: https://www.cdc.gov/nchs/data/ahcd/namcs_summary/2016_namcs_web_tables.pdf</w:t>
      </w:r>
    </w:p>
    <w:p w14:paraId="7D3D687F"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19. </w:t>
      </w:r>
      <w:r w:rsidRPr="00DA615A">
        <w:rPr>
          <w:rFonts w:ascii="Times New Roman" w:hAnsi="Times New Roman" w:cs="Times New Roman"/>
          <w:sz w:val="24"/>
        </w:rPr>
        <w:tab/>
        <w:t xml:space="preserve">Jia H, Lubetkin EI. Estimating EuroQol EQ-5D scores from population Healthy Days data. Med Decis Mak Int J Soc Med Decis Mak. 2008 Aug;28(4):491–9. </w:t>
      </w:r>
    </w:p>
    <w:p w14:paraId="37DECF11"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lastRenderedPageBreak/>
        <w:t xml:space="preserve">20. </w:t>
      </w:r>
      <w:r w:rsidRPr="00DA615A">
        <w:rPr>
          <w:rFonts w:ascii="Times New Roman" w:hAnsi="Times New Roman" w:cs="Times New Roman"/>
          <w:sz w:val="24"/>
        </w:rPr>
        <w:tab/>
        <w:t xml:space="preserve">Yang J, Jit M, Zheng Y, Feng L, Liu X, Wu JT, et al. The impact of influenza on the health related quality of life in China: an EQ-5D survey. BMC Infect Dis. 2017 16;17(1):686. </w:t>
      </w:r>
    </w:p>
    <w:p w14:paraId="79BA8D9F"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21. </w:t>
      </w:r>
      <w:r w:rsidRPr="00DA615A">
        <w:rPr>
          <w:rFonts w:ascii="Times New Roman" w:hAnsi="Times New Roman" w:cs="Times New Roman"/>
          <w:sz w:val="24"/>
        </w:rPr>
        <w:tab/>
        <w:t xml:space="preserve">Andrade LF, Saba G, Ricard J-D, Messika J, Gaillat J, Bonnin P, et al. Health related quality of life in patients with community-acquired pneumococcal pneumonia in France. Health Qual Life Outcomes. 2018 Feb 2;16(1):28. </w:t>
      </w:r>
    </w:p>
    <w:p w14:paraId="04D813C9"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22. </w:t>
      </w:r>
      <w:r w:rsidRPr="00DA615A">
        <w:rPr>
          <w:rFonts w:ascii="Times New Roman" w:hAnsi="Times New Roman" w:cs="Times New Roman"/>
          <w:sz w:val="24"/>
        </w:rPr>
        <w:tab/>
        <w:t xml:space="preserve">Kolovos S, Bosmans JE, van Dongen JM, van Esveld B, Magai D, van Straten A, et al. Utility scores for different health states related to depression: individual participant data analysis. Qual Life Res Int J Qual Life Asp Treat Care Rehabil. 2017;26(7):1649–58. </w:t>
      </w:r>
    </w:p>
    <w:p w14:paraId="707BC5C8"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23. </w:t>
      </w:r>
      <w:r w:rsidRPr="00DA615A">
        <w:rPr>
          <w:rFonts w:ascii="Times New Roman" w:hAnsi="Times New Roman" w:cs="Times New Roman"/>
          <w:sz w:val="24"/>
        </w:rPr>
        <w:tab/>
        <w:t xml:space="preserve">Mizumoto K, Kagaya K, Zarebski A, Chowell G. Estimating the asymptomatic proportion of coronavirus disease 2019 (COVID-19) cases on board the Diamond Princess cruise ship, Yokohama, Japan, 2020. Euro Surveill Bull Eur Sur Mal Transm Eur Commun Dis Bull. 2020;25(10). </w:t>
      </w:r>
    </w:p>
    <w:p w14:paraId="575F7999"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24. </w:t>
      </w:r>
      <w:r w:rsidRPr="00DA615A">
        <w:rPr>
          <w:rFonts w:ascii="Times New Roman" w:hAnsi="Times New Roman" w:cs="Times New Roman"/>
          <w:sz w:val="24"/>
        </w:rPr>
        <w:tab/>
        <w:t>Haridy R. CDC Director warns 25 percent of COVID-19 cases may present no symptoms [Internet]. New Atlas. 2020 [cited 2020 Aug 9]. Available from: https://newatlas.com/health-wellbeing/covid-19-cases-contagious-asymptomatic-presymptomatic-cdc-director</w:t>
      </w:r>
    </w:p>
    <w:p w14:paraId="04C8CAD0"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25. </w:t>
      </w:r>
      <w:r w:rsidRPr="00DA615A">
        <w:rPr>
          <w:rFonts w:ascii="Times New Roman" w:hAnsi="Times New Roman" w:cs="Times New Roman"/>
          <w:sz w:val="24"/>
        </w:rPr>
        <w:tab/>
        <w:t>WHO-China Joint Mission on Coronavirus Disease 2019. Report of the WHO-China joint mission on coronavirus disease 2019 (COVID-19) [Internet]. 2020 Feb [cited 2020 Aug 9]. Available from: https://www.who.int/docs/default-source/coronaviruse/who-china-joint-mission-on-covid-19-final-report.pdf</w:t>
      </w:r>
    </w:p>
    <w:p w14:paraId="26193414"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lastRenderedPageBreak/>
        <w:t xml:space="preserve">26. </w:t>
      </w:r>
      <w:r w:rsidRPr="00DA615A">
        <w:rPr>
          <w:rFonts w:ascii="Times New Roman" w:hAnsi="Times New Roman" w:cs="Times New Roman"/>
          <w:sz w:val="24"/>
        </w:rPr>
        <w:tab/>
        <w:t xml:space="preserve">Li R, Pei S, Chen B, Song Y, Zhang T, Yang W, et al. Substantial undocumented infection facilitates the rapid dissemination of novel coronavirus (SARS-CoV-2). Science. 2020 01;368(6490):489–93. </w:t>
      </w:r>
    </w:p>
    <w:p w14:paraId="2FEFA4AE"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27. </w:t>
      </w:r>
      <w:r w:rsidRPr="00DA615A">
        <w:rPr>
          <w:rFonts w:ascii="Times New Roman" w:hAnsi="Times New Roman" w:cs="Times New Roman"/>
          <w:sz w:val="24"/>
        </w:rPr>
        <w:tab/>
        <w:t xml:space="preserve">He X, Lau EHY, Wu P, Deng X, Wang J, Hao X, et al. Temporal dynamics in viral shedding and transmissibility of COVID-19. Nat Med. 2020;26(5):672–5. </w:t>
      </w:r>
    </w:p>
    <w:p w14:paraId="178D70A5"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28. </w:t>
      </w:r>
      <w:r w:rsidRPr="00DA615A">
        <w:rPr>
          <w:rFonts w:ascii="Times New Roman" w:hAnsi="Times New Roman" w:cs="Times New Roman"/>
          <w:sz w:val="24"/>
        </w:rPr>
        <w:tab/>
        <w:t xml:space="preserve">Zhou F, Yu T, Du R, Fan G, Liu Y, Liu Z, et al. Clinical course and risk factors for mortality of adult inpatients with COVID-19 in Wuhan, China: a retrospective cohort study. Lancet Lond Engl. 2020 28;395(10229):1054–62. </w:t>
      </w:r>
    </w:p>
    <w:p w14:paraId="28271DB8"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29. </w:t>
      </w:r>
      <w:r w:rsidRPr="00DA615A">
        <w:rPr>
          <w:rFonts w:ascii="Times New Roman" w:hAnsi="Times New Roman" w:cs="Times New Roman"/>
          <w:sz w:val="24"/>
        </w:rPr>
        <w:tab/>
        <w:t xml:space="preserve">Hu Z, Song C, Xu C, Jin G, Chen Y, Xu X, et al. Clinical characteristics of 24 asymptomatic infections with COVID-19 screened among close contacts in Nanjing, China. Sci China Life Sci. 2020;63(5):706–11. </w:t>
      </w:r>
    </w:p>
    <w:p w14:paraId="7FABE306"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30. </w:t>
      </w:r>
      <w:r w:rsidRPr="00DA615A">
        <w:rPr>
          <w:rFonts w:ascii="Times New Roman" w:hAnsi="Times New Roman" w:cs="Times New Roman"/>
          <w:sz w:val="24"/>
        </w:rPr>
        <w:tab/>
        <w:t xml:space="preserve">Richardson S, Hirsch JS, Narasimhan M, Crawford JM, McGinn T, Davidson KW, et al. Presenting characteristics, comorbidities, and outcomes among 5700 patients hospitalized with COVID-19 in the New York City area. JAMA. 2020 Apr 22; </w:t>
      </w:r>
    </w:p>
    <w:p w14:paraId="00314C74"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31. </w:t>
      </w:r>
      <w:r w:rsidRPr="00DA615A">
        <w:rPr>
          <w:rFonts w:ascii="Times New Roman" w:hAnsi="Times New Roman" w:cs="Times New Roman"/>
          <w:sz w:val="24"/>
        </w:rPr>
        <w:tab/>
        <w:t xml:space="preserve">Sanders GD, Neumann PJ, Basu A, Brock DW, Feeny D, Krahn M, et al. Recommendations for conduct, methodological practices, and reporting of cost-effectiveness analyses: second panel on cost-effectiveness in health and medicine. JAMA. 2016 Sep 13;316(10):1093–103. </w:t>
      </w:r>
    </w:p>
    <w:p w14:paraId="7E4EA793"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32. </w:t>
      </w:r>
      <w:r w:rsidRPr="00DA615A">
        <w:rPr>
          <w:rFonts w:ascii="Times New Roman" w:hAnsi="Times New Roman" w:cs="Times New Roman"/>
          <w:sz w:val="24"/>
        </w:rPr>
        <w:tab/>
        <w:t xml:space="preserve">Liu Y, Gayle AA, Wilder-Smith A, Rocklöv J. The reproductive number of COVID-19 is higher compared to SARS coronavirus. J Travel Med. 2020 13;27(2). </w:t>
      </w:r>
    </w:p>
    <w:p w14:paraId="2A7F9D67"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lastRenderedPageBreak/>
        <w:t xml:space="preserve">33. </w:t>
      </w:r>
      <w:r w:rsidRPr="00DA615A">
        <w:rPr>
          <w:rFonts w:ascii="Times New Roman" w:hAnsi="Times New Roman" w:cs="Times New Roman"/>
          <w:sz w:val="24"/>
        </w:rPr>
        <w:tab/>
        <w:t xml:space="preserve">Yang Y, Yang M, Shen C, Wang F, Yuan J, Li J, et al. Evaluating the accuracy of different respiratory specimens in the laboratory diagnosis and monitoring the viral shedding of 2019-nCoV infections. medRxiv. 2020 Feb 17;2020.02.11.20021493. </w:t>
      </w:r>
    </w:p>
    <w:p w14:paraId="7CC648F6" w14:textId="77777777" w:rsidR="00DA615A" w:rsidRPr="00DA615A" w:rsidRDefault="00DA615A" w:rsidP="00A854AE">
      <w:pPr>
        <w:pStyle w:val="Bibliography"/>
        <w:spacing w:line="480" w:lineRule="auto"/>
        <w:rPr>
          <w:rFonts w:ascii="Times New Roman" w:hAnsi="Times New Roman" w:cs="Times New Roman"/>
          <w:sz w:val="24"/>
        </w:rPr>
      </w:pPr>
      <w:r w:rsidRPr="00DA615A">
        <w:rPr>
          <w:rFonts w:ascii="Times New Roman" w:hAnsi="Times New Roman" w:cs="Times New Roman"/>
          <w:sz w:val="24"/>
        </w:rPr>
        <w:t xml:space="preserve">34. </w:t>
      </w:r>
      <w:r w:rsidRPr="00DA615A">
        <w:rPr>
          <w:rFonts w:ascii="Times New Roman" w:hAnsi="Times New Roman" w:cs="Times New Roman"/>
          <w:sz w:val="24"/>
        </w:rPr>
        <w:tab/>
        <w:t>Centers for Medicare and Medicaid Services. Medicare Administrative Contractor (MAC) COVID-19 test pricing [Internet]. 2020 May. Available from: https://www.cms.gov/files/document/mac-covid-19-test-pricing.pdf</w:t>
      </w:r>
    </w:p>
    <w:p w14:paraId="130EE2F9" w14:textId="77689266" w:rsidR="0026549D" w:rsidRPr="00F62FA5" w:rsidRDefault="0026549D" w:rsidP="00A854AE">
      <w:pPr>
        <w:pStyle w:val="Bibliography"/>
        <w:spacing w:line="480" w:lineRule="auto"/>
        <w:ind w:left="0" w:firstLine="0"/>
        <w:rPr>
          <w:rFonts w:ascii="Times New Roman" w:hAnsi="Times New Roman" w:cs="Times New Roman"/>
          <w:sz w:val="24"/>
        </w:rPr>
      </w:pPr>
      <w:r>
        <w:rPr>
          <w:rFonts w:ascii="Times New Roman" w:hAnsi="Times New Roman" w:cs="Times New Roman"/>
          <w:sz w:val="24"/>
          <w:szCs w:val="24"/>
        </w:rPr>
        <w:fldChar w:fldCharType="end"/>
      </w:r>
    </w:p>
    <w:sectPr w:rsidR="0026549D" w:rsidRPr="00F62FA5" w:rsidSect="006554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D1151" w14:textId="77777777" w:rsidR="007F0F80" w:rsidRDefault="007F0F80" w:rsidP="00131430">
      <w:pPr>
        <w:spacing w:after="0" w:line="240" w:lineRule="auto"/>
      </w:pPr>
      <w:r>
        <w:separator/>
      </w:r>
    </w:p>
  </w:endnote>
  <w:endnote w:type="continuationSeparator" w:id="0">
    <w:p w14:paraId="221DC80E" w14:textId="77777777" w:rsidR="007F0F80" w:rsidRDefault="007F0F80" w:rsidP="00131430">
      <w:pPr>
        <w:spacing w:after="0" w:line="240" w:lineRule="auto"/>
      </w:pPr>
      <w:r>
        <w:continuationSeparator/>
      </w:r>
    </w:p>
  </w:endnote>
  <w:endnote w:type="continuationNotice" w:id="1">
    <w:p w14:paraId="227DCB56" w14:textId="77777777" w:rsidR="007F0F80" w:rsidRDefault="007F0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670476688"/>
      <w:docPartObj>
        <w:docPartGallery w:val="Page Numbers (Bottom of Page)"/>
        <w:docPartUnique/>
      </w:docPartObj>
    </w:sdtPr>
    <w:sdtEndPr>
      <w:rPr>
        <w:noProof/>
      </w:rPr>
    </w:sdtEndPr>
    <w:sdtContent>
      <w:p w14:paraId="0AA800CA" w14:textId="03E8BB72" w:rsidR="00C02DEB" w:rsidRPr="00131430" w:rsidRDefault="00C02DEB" w:rsidP="00131430">
        <w:pPr>
          <w:pStyle w:val="Footer"/>
          <w:jc w:val="right"/>
          <w:rPr>
            <w:rFonts w:ascii="Times New Roman" w:hAnsi="Times New Roman" w:cs="Times New Roman"/>
            <w:sz w:val="24"/>
            <w:szCs w:val="24"/>
          </w:rPr>
        </w:pPr>
        <w:r w:rsidRPr="00131430">
          <w:rPr>
            <w:rFonts w:ascii="Times New Roman" w:hAnsi="Times New Roman" w:cs="Times New Roman"/>
            <w:sz w:val="24"/>
            <w:szCs w:val="24"/>
          </w:rPr>
          <w:fldChar w:fldCharType="begin"/>
        </w:r>
        <w:r w:rsidRPr="00131430">
          <w:rPr>
            <w:rFonts w:ascii="Times New Roman" w:hAnsi="Times New Roman" w:cs="Times New Roman"/>
            <w:sz w:val="24"/>
            <w:szCs w:val="24"/>
          </w:rPr>
          <w:instrText xml:space="preserve"> PAGE   \* MERGEFORMAT </w:instrText>
        </w:r>
        <w:r w:rsidRPr="00131430">
          <w:rPr>
            <w:rFonts w:ascii="Times New Roman" w:hAnsi="Times New Roman" w:cs="Times New Roman"/>
            <w:sz w:val="24"/>
            <w:szCs w:val="24"/>
          </w:rPr>
          <w:fldChar w:fldCharType="separate"/>
        </w:r>
        <w:r w:rsidR="007101E5">
          <w:rPr>
            <w:rFonts w:ascii="Times New Roman" w:hAnsi="Times New Roman" w:cs="Times New Roman"/>
            <w:noProof/>
            <w:sz w:val="24"/>
            <w:szCs w:val="24"/>
          </w:rPr>
          <w:t>8</w:t>
        </w:r>
        <w:r w:rsidRPr="00131430">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27184407"/>
      <w:docPartObj>
        <w:docPartGallery w:val="Page Numbers (Bottom of Page)"/>
        <w:docPartUnique/>
      </w:docPartObj>
    </w:sdtPr>
    <w:sdtEndPr>
      <w:rPr>
        <w:noProof/>
      </w:rPr>
    </w:sdtEndPr>
    <w:sdtContent>
      <w:p w14:paraId="211A93C6" w14:textId="3D7564F4" w:rsidR="00C02DEB" w:rsidRPr="00131430" w:rsidRDefault="00C02DEB" w:rsidP="00131430">
        <w:pPr>
          <w:pStyle w:val="Footer"/>
          <w:jc w:val="right"/>
          <w:rPr>
            <w:rFonts w:ascii="Times New Roman" w:hAnsi="Times New Roman" w:cs="Times New Roman"/>
            <w:sz w:val="24"/>
            <w:szCs w:val="24"/>
          </w:rPr>
        </w:pPr>
        <w:r w:rsidRPr="00131430">
          <w:rPr>
            <w:rFonts w:ascii="Times New Roman" w:hAnsi="Times New Roman" w:cs="Times New Roman"/>
            <w:sz w:val="24"/>
            <w:szCs w:val="24"/>
          </w:rPr>
          <w:fldChar w:fldCharType="begin"/>
        </w:r>
        <w:r w:rsidRPr="00131430">
          <w:rPr>
            <w:rFonts w:ascii="Times New Roman" w:hAnsi="Times New Roman" w:cs="Times New Roman"/>
            <w:sz w:val="24"/>
            <w:szCs w:val="24"/>
          </w:rPr>
          <w:instrText xml:space="preserve"> PAGE   \* MERGEFORMAT </w:instrText>
        </w:r>
        <w:r w:rsidRPr="00131430">
          <w:rPr>
            <w:rFonts w:ascii="Times New Roman" w:hAnsi="Times New Roman" w:cs="Times New Roman"/>
            <w:sz w:val="24"/>
            <w:szCs w:val="24"/>
          </w:rPr>
          <w:fldChar w:fldCharType="separate"/>
        </w:r>
        <w:r w:rsidR="007101E5">
          <w:rPr>
            <w:rFonts w:ascii="Times New Roman" w:hAnsi="Times New Roman" w:cs="Times New Roman"/>
            <w:noProof/>
            <w:sz w:val="24"/>
            <w:szCs w:val="24"/>
          </w:rPr>
          <w:t>22</w:t>
        </w:r>
        <w:r w:rsidRPr="0013143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13F45" w14:textId="77777777" w:rsidR="007F0F80" w:rsidRDefault="007F0F80" w:rsidP="00131430">
      <w:pPr>
        <w:spacing w:after="0" w:line="240" w:lineRule="auto"/>
      </w:pPr>
      <w:r>
        <w:separator/>
      </w:r>
    </w:p>
  </w:footnote>
  <w:footnote w:type="continuationSeparator" w:id="0">
    <w:p w14:paraId="45B7DC4E" w14:textId="77777777" w:rsidR="007F0F80" w:rsidRDefault="007F0F80" w:rsidP="00131430">
      <w:pPr>
        <w:spacing w:after="0" w:line="240" w:lineRule="auto"/>
      </w:pPr>
      <w:r>
        <w:continuationSeparator/>
      </w:r>
    </w:p>
  </w:footnote>
  <w:footnote w:type="continuationNotice" w:id="1">
    <w:p w14:paraId="38D97025" w14:textId="77777777" w:rsidR="007F0F80" w:rsidRDefault="007F0F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A3A1B"/>
    <w:multiLevelType w:val="multilevel"/>
    <w:tmpl w:val="D5A238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D0083"/>
    <w:multiLevelType w:val="multilevel"/>
    <w:tmpl w:val="B6461E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577F6"/>
    <w:multiLevelType w:val="multilevel"/>
    <w:tmpl w:val="4FB67AD6"/>
    <w:lvl w:ilvl="0">
      <w:start w:val="1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D3BCB"/>
    <w:multiLevelType w:val="multilevel"/>
    <w:tmpl w:val="5ACCA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E5879"/>
    <w:multiLevelType w:val="multilevel"/>
    <w:tmpl w:val="E89AF6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E1453"/>
    <w:multiLevelType w:val="multilevel"/>
    <w:tmpl w:val="D4D46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B62D5D"/>
    <w:multiLevelType w:val="multilevel"/>
    <w:tmpl w:val="EB0CDC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BB4765"/>
    <w:multiLevelType w:val="multilevel"/>
    <w:tmpl w:val="56CC5A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9353A1"/>
    <w:multiLevelType w:val="multilevel"/>
    <w:tmpl w:val="FC8887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3D7521"/>
    <w:multiLevelType w:val="hybridMultilevel"/>
    <w:tmpl w:val="AAD2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3608A"/>
    <w:multiLevelType w:val="multilevel"/>
    <w:tmpl w:val="AB5EC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6332F9"/>
    <w:multiLevelType w:val="multilevel"/>
    <w:tmpl w:val="87A2B2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764DA4"/>
    <w:multiLevelType w:val="hybridMultilevel"/>
    <w:tmpl w:val="9540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0"/>
  </w:num>
  <w:num w:numId="5">
    <w:abstractNumId w:val="6"/>
  </w:num>
  <w:num w:numId="6">
    <w:abstractNumId w:val="7"/>
  </w:num>
  <w:num w:numId="7">
    <w:abstractNumId w:val="8"/>
  </w:num>
  <w:num w:numId="8">
    <w:abstractNumId w:val="0"/>
  </w:num>
  <w:num w:numId="9">
    <w:abstractNumId w:val="11"/>
  </w:num>
  <w:num w:numId="10">
    <w:abstractNumId w:val="2"/>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yMbYwMwZCCwMLUyUdpeDU4uLM/DyQAsNaADG0t4UsAAAA"/>
  </w:docVars>
  <w:rsids>
    <w:rsidRoot w:val="009071DD"/>
    <w:rsid w:val="000121B8"/>
    <w:rsid w:val="000123AD"/>
    <w:rsid w:val="0002772A"/>
    <w:rsid w:val="000316B9"/>
    <w:rsid w:val="00036B8F"/>
    <w:rsid w:val="000412B4"/>
    <w:rsid w:val="0005714A"/>
    <w:rsid w:val="00090B23"/>
    <w:rsid w:val="000B39E5"/>
    <w:rsid w:val="000C3022"/>
    <w:rsid w:val="000F21C7"/>
    <w:rsid w:val="000F40BA"/>
    <w:rsid w:val="000F7965"/>
    <w:rsid w:val="0010454E"/>
    <w:rsid w:val="00110932"/>
    <w:rsid w:val="00116AE8"/>
    <w:rsid w:val="0012445D"/>
    <w:rsid w:val="00131430"/>
    <w:rsid w:val="00144D6A"/>
    <w:rsid w:val="00164060"/>
    <w:rsid w:val="00173812"/>
    <w:rsid w:val="00177A5A"/>
    <w:rsid w:val="00181C0D"/>
    <w:rsid w:val="00185BDE"/>
    <w:rsid w:val="001A3162"/>
    <w:rsid w:val="001A5A32"/>
    <w:rsid w:val="001A7BA2"/>
    <w:rsid w:val="001C3EB3"/>
    <w:rsid w:val="001D6623"/>
    <w:rsid w:val="001F6B38"/>
    <w:rsid w:val="00201D2B"/>
    <w:rsid w:val="00202093"/>
    <w:rsid w:val="00202600"/>
    <w:rsid w:val="00221079"/>
    <w:rsid w:val="00260251"/>
    <w:rsid w:val="00261885"/>
    <w:rsid w:val="0026549D"/>
    <w:rsid w:val="00267E64"/>
    <w:rsid w:val="00293F2D"/>
    <w:rsid w:val="00295557"/>
    <w:rsid w:val="002A3401"/>
    <w:rsid w:val="002B1A16"/>
    <w:rsid w:val="002B6506"/>
    <w:rsid w:val="002C18B7"/>
    <w:rsid w:val="002D1645"/>
    <w:rsid w:val="002F0649"/>
    <w:rsid w:val="002F0878"/>
    <w:rsid w:val="002F2274"/>
    <w:rsid w:val="0033402A"/>
    <w:rsid w:val="00336F47"/>
    <w:rsid w:val="0035063F"/>
    <w:rsid w:val="003530C2"/>
    <w:rsid w:val="00355DE3"/>
    <w:rsid w:val="00356F79"/>
    <w:rsid w:val="00366D22"/>
    <w:rsid w:val="003767AC"/>
    <w:rsid w:val="00383D46"/>
    <w:rsid w:val="003A43D1"/>
    <w:rsid w:val="003A50D6"/>
    <w:rsid w:val="003B2244"/>
    <w:rsid w:val="003C5523"/>
    <w:rsid w:val="003C6806"/>
    <w:rsid w:val="003E3B95"/>
    <w:rsid w:val="00435AFC"/>
    <w:rsid w:val="0043759C"/>
    <w:rsid w:val="004412CE"/>
    <w:rsid w:val="00452604"/>
    <w:rsid w:val="00455CCD"/>
    <w:rsid w:val="00456B18"/>
    <w:rsid w:val="00464890"/>
    <w:rsid w:val="00472F10"/>
    <w:rsid w:val="00475B98"/>
    <w:rsid w:val="00484279"/>
    <w:rsid w:val="004B6012"/>
    <w:rsid w:val="004D1C61"/>
    <w:rsid w:val="004D3A60"/>
    <w:rsid w:val="004E0C3B"/>
    <w:rsid w:val="004E1DE3"/>
    <w:rsid w:val="004E2EBE"/>
    <w:rsid w:val="004E3DF8"/>
    <w:rsid w:val="00515817"/>
    <w:rsid w:val="00552D39"/>
    <w:rsid w:val="00582D6F"/>
    <w:rsid w:val="005862A2"/>
    <w:rsid w:val="00590C58"/>
    <w:rsid w:val="0059318D"/>
    <w:rsid w:val="005B25A3"/>
    <w:rsid w:val="005B2B59"/>
    <w:rsid w:val="005C3B49"/>
    <w:rsid w:val="005C4B5D"/>
    <w:rsid w:val="005D40D1"/>
    <w:rsid w:val="005D5388"/>
    <w:rsid w:val="005D56DB"/>
    <w:rsid w:val="005D7873"/>
    <w:rsid w:val="005E45F7"/>
    <w:rsid w:val="0060592E"/>
    <w:rsid w:val="00611006"/>
    <w:rsid w:val="006133F1"/>
    <w:rsid w:val="00613EDF"/>
    <w:rsid w:val="00621CF4"/>
    <w:rsid w:val="00625C8B"/>
    <w:rsid w:val="00632D17"/>
    <w:rsid w:val="00642106"/>
    <w:rsid w:val="00651812"/>
    <w:rsid w:val="00655430"/>
    <w:rsid w:val="0065581E"/>
    <w:rsid w:val="0066647F"/>
    <w:rsid w:val="006664D2"/>
    <w:rsid w:val="00680266"/>
    <w:rsid w:val="0068320F"/>
    <w:rsid w:val="00687FE0"/>
    <w:rsid w:val="006A7ADD"/>
    <w:rsid w:val="006B4023"/>
    <w:rsid w:val="006B756C"/>
    <w:rsid w:val="006D5644"/>
    <w:rsid w:val="006E30FD"/>
    <w:rsid w:val="006E6F2A"/>
    <w:rsid w:val="006F7AF7"/>
    <w:rsid w:val="00700194"/>
    <w:rsid w:val="00700368"/>
    <w:rsid w:val="007058BE"/>
    <w:rsid w:val="007101E5"/>
    <w:rsid w:val="0072520B"/>
    <w:rsid w:val="00733971"/>
    <w:rsid w:val="0073588C"/>
    <w:rsid w:val="00737454"/>
    <w:rsid w:val="00754020"/>
    <w:rsid w:val="00757F0E"/>
    <w:rsid w:val="00762638"/>
    <w:rsid w:val="007648AA"/>
    <w:rsid w:val="007669B9"/>
    <w:rsid w:val="007914C2"/>
    <w:rsid w:val="007A57C3"/>
    <w:rsid w:val="007B1B78"/>
    <w:rsid w:val="007B343C"/>
    <w:rsid w:val="007E1449"/>
    <w:rsid w:val="007E19C0"/>
    <w:rsid w:val="007F0F80"/>
    <w:rsid w:val="007F3B0C"/>
    <w:rsid w:val="00812071"/>
    <w:rsid w:val="008121DB"/>
    <w:rsid w:val="008179D9"/>
    <w:rsid w:val="00820A95"/>
    <w:rsid w:val="00832C7A"/>
    <w:rsid w:val="00836117"/>
    <w:rsid w:val="00843CD2"/>
    <w:rsid w:val="008527D3"/>
    <w:rsid w:val="00857A54"/>
    <w:rsid w:val="00862121"/>
    <w:rsid w:val="00873B2E"/>
    <w:rsid w:val="008805FA"/>
    <w:rsid w:val="008837B4"/>
    <w:rsid w:val="00894396"/>
    <w:rsid w:val="008A5EBA"/>
    <w:rsid w:val="008A6870"/>
    <w:rsid w:val="008B30B6"/>
    <w:rsid w:val="008B79A1"/>
    <w:rsid w:val="008C694D"/>
    <w:rsid w:val="008D188F"/>
    <w:rsid w:val="008F3992"/>
    <w:rsid w:val="008F763C"/>
    <w:rsid w:val="00905949"/>
    <w:rsid w:val="00906F74"/>
    <w:rsid w:val="009071DD"/>
    <w:rsid w:val="00914E59"/>
    <w:rsid w:val="0091613B"/>
    <w:rsid w:val="00971A3A"/>
    <w:rsid w:val="00972B9E"/>
    <w:rsid w:val="009776B5"/>
    <w:rsid w:val="00977A80"/>
    <w:rsid w:val="00990BC0"/>
    <w:rsid w:val="00990D5B"/>
    <w:rsid w:val="009A3B5D"/>
    <w:rsid w:val="009B05CB"/>
    <w:rsid w:val="009B7A9E"/>
    <w:rsid w:val="009E158F"/>
    <w:rsid w:val="009E4E1A"/>
    <w:rsid w:val="009E6FAA"/>
    <w:rsid w:val="009F3C82"/>
    <w:rsid w:val="00A024C3"/>
    <w:rsid w:val="00A07135"/>
    <w:rsid w:val="00A54019"/>
    <w:rsid w:val="00A55BD0"/>
    <w:rsid w:val="00A60C99"/>
    <w:rsid w:val="00A62B8E"/>
    <w:rsid w:val="00A673F4"/>
    <w:rsid w:val="00A854AE"/>
    <w:rsid w:val="00A97E02"/>
    <w:rsid w:val="00AB3AA2"/>
    <w:rsid w:val="00AB6AD0"/>
    <w:rsid w:val="00AD5DD1"/>
    <w:rsid w:val="00AD5F44"/>
    <w:rsid w:val="00B047F4"/>
    <w:rsid w:val="00B05901"/>
    <w:rsid w:val="00B2130C"/>
    <w:rsid w:val="00B22AE2"/>
    <w:rsid w:val="00B364D4"/>
    <w:rsid w:val="00B471EC"/>
    <w:rsid w:val="00B57C11"/>
    <w:rsid w:val="00B605AA"/>
    <w:rsid w:val="00B622E8"/>
    <w:rsid w:val="00B72C37"/>
    <w:rsid w:val="00B90FF2"/>
    <w:rsid w:val="00BA31E8"/>
    <w:rsid w:val="00BA41B7"/>
    <w:rsid w:val="00BC0361"/>
    <w:rsid w:val="00BC5E32"/>
    <w:rsid w:val="00BD549D"/>
    <w:rsid w:val="00BD7679"/>
    <w:rsid w:val="00BE3BC4"/>
    <w:rsid w:val="00BE7E3A"/>
    <w:rsid w:val="00BF23F4"/>
    <w:rsid w:val="00BF4D6A"/>
    <w:rsid w:val="00BF693D"/>
    <w:rsid w:val="00C00EA1"/>
    <w:rsid w:val="00C02DEB"/>
    <w:rsid w:val="00C13CC0"/>
    <w:rsid w:val="00C236D5"/>
    <w:rsid w:val="00C26801"/>
    <w:rsid w:val="00C43B15"/>
    <w:rsid w:val="00C45AF0"/>
    <w:rsid w:val="00C5039C"/>
    <w:rsid w:val="00C55312"/>
    <w:rsid w:val="00C56DEF"/>
    <w:rsid w:val="00C60724"/>
    <w:rsid w:val="00C67F11"/>
    <w:rsid w:val="00C917A8"/>
    <w:rsid w:val="00C91EFB"/>
    <w:rsid w:val="00C96310"/>
    <w:rsid w:val="00CA0235"/>
    <w:rsid w:val="00CA6528"/>
    <w:rsid w:val="00CB73F8"/>
    <w:rsid w:val="00CC2BFC"/>
    <w:rsid w:val="00CD290F"/>
    <w:rsid w:val="00CD66D7"/>
    <w:rsid w:val="00CD7494"/>
    <w:rsid w:val="00CE0F72"/>
    <w:rsid w:val="00CE185F"/>
    <w:rsid w:val="00D17722"/>
    <w:rsid w:val="00D40BAD"/>
    <w:rsid w:val="00D42599"/>
    <w:rsid w:val="00D54FE1"/>
    <w:rsid w:val="00D55003"/>
    <w:rsid w:val="00D76C61"/>
    <w:rsid w:val="00D85CF7"/>
    <w:rsid w:val="00D92274"/>
    <w:rsid w:val="00DA23B2"/>
    <w:rsid w:val="00DA615A"/>
    <w:rsid w:val="00DA7A7C"/>
    <w:rsid w:val="00DD1D17"/>
    <w:rsid w:val="00DE259E"/>
    <w:rsid w:val="00DE6DC5"/>
    <w:rsid w:val="00DF5837"/>
    <w:rsid w:val="00E05CD2"/>
    <w:rsid w:val="00E11DC3"/>
    <w:rsid w:val="00E166C1"/>
    <w:rsid w:val="00E26560"/>
    <w:rsid w:val="00E30AF2"/>
    <w:rsid w:val="00E328F8"/>
    <w:rsid w:val="00E3629E"/>
    <w:rsid w:val="00E36F77"/>
    <w:rsid w:val="00E373D1"/>
    <w:rsid w:val="00E37589"/>
    <w:rsid w:val="00E448FE"/>
    <w:rsid w:val="00E44E20"/>
    <w:rsid w:val="00E50393"/>
    <w:rsid w:val="00E718D5"/>
    <w:rsid w:val="00E77A23"/>
    <w:rsid w:val="00E802BC"/>
    <w:rsid w:val="00E915FA"/>
    <w:rsid w:val="00EC15BE"/>
    <w:rsid w:val="00EE7479"/>
    <w:rsid w:val="00EF5D2D"/>
    <w:rsid w:val="00EF74C3"/>
    <w:rsid w:val="00F04752"/>
    <w:rsid w:val="00F06864"/>
    <w:rsid w:val="00F11268"/>
    <w:rsid w:val="00F200BC"/>
    <w:rsid w:val="00F245F3"/>
    <w:rsid w:val="00F25785"/>
    <w:rsid w:val="00F3174D"/>
    <w:rsid w:val="00F41BFB"/>
    <w:rsid w:val="00F450D4"/>
    <w:rsid w:val="00F46284"/>
    <w:rsid w:val="00F5115B"/>
    <w:rsid w:val="00F51DB4"/>
    <w:rsid w:val="00F51FD5"/>
    <w:rsid w:val="00F623BF"/>
    <w:rsid w:val="00F62FA5"/>
    <w:rsid w:val="00F8335E"/>
    <w:rsid w:val="00FB354C"/>
    <w:rsid w:val="00FB7A59"/>
    <w:rsid w:val="00FC1512"/>
    <w:rsid w:val="00FC4F06"/>
    <w:rsid w:val="00FD5BDE"/>
    <w:rsid w:val="00FD6E85"/>
    <w:rsid w:val="00FE3F5D"/>
    <w:rsid w:val="00FE7214"/>
    <w:rsid w:val="00FF4524"/>
    <w:rsid w:val="05FEEA50"/>
    <w:rsid w:val="086E4651"/>
    <w:rsid w:val="0B6D5D51"/>
    <w:rsid w:val="0C9724D5"/>
    <w:rsid w:val="0CDC56E8"/>
    <w:rsid w:val="11E9BC7E"/>
    <w:rsid w:val="1909CBE6"/>
    <w:rsid w:val="19B09686"/>
    <w:rsid w:val="1DD63634"/>
    <w:rsid w:val="22F5DC82"/>
    <w:rsid w:val="259C195D"/>
    <w:rsid w:val="27D0AE18"/>
    <w:rsid w:val="28FA464E"/>
    <w:rsid w:val="2E668897"/>
    <w:rsid w:val="3284E6B7"/>
    <w:rsid w:val="350947BE"/>
    <w:rsid w:val="39442FE8"/>
    <w:rsid w:val="3A4AB933"/>
    <w:rsid w:val="3DF1AEFC"/>
    <w:rsid w:val="45BA9549"/>
    <w:rsid w:val="45CD87B8"/>
    <w:rsid w:val="479D954E"/>
    <w:rsid w:val="48E32537"/>
    <w:rsid w:val="4C735203"/>
    <w:rsid w:val="52383A87"/>
    <w:rsid w:val="670D6D6F"/>
    <w:rsid w:val="724093FD"/>
    <w:rsid w:val="72F6B1AE"/>
    <w:rsid w:val="74B30E15"/>
    <w:rsid w:val="75F2A0F3"/>
    <w:rsid w:val="7874DDC2"/>
    <w:rsid w:val="7902B651"/>
    <w:rsid w:val="7F5E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B94A"/>
  <w15:chartTrackingRefBased/>
  <w15:docId w15:val="{6ECBE324-A87F-4A80-976A-755D83FB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1D2B"/>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201D2B"/>
  </w:style>
  <w:style w:type="character" w:customStyle="1" w:styleId="eop">
    <w:name w:val="eop"/>
    <w:basedOn w:val="DefaultParagraphFont"/>
    <w:rsid w:val="00201D2B"/>
  </w:style>
  <w:style w:type="paragraph" w:styleId="BalloonText">
    <w:name w:val="Balloon Text"/>
    <w:basedOn w:val="Normal"/>
    <w:link w:val="BalloonTextChar"/>
    <w:uiPriority w:val="99"/>
    <w:semiHidden/>
    <w:unhideWhenUsed/>
    <w:rsid w:val="00201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2B"/>
    <w:rPr>
      <w:rFonts w:ascii="Segoe UI" w:hAnsi="Segoe UI" w:cs="Segoe UI"/>
      <w:sz w:val="18"/>
      <w:szCs w:val="18"/>
    </w:rPr>
  </w:style>
  <w:style w:type="paragraph" w:styleId="ListParagraph">
    <w:name w:val="List Paragraph"/>
    <w:basedOn w:val="Normal"/>
    <w:uiPriority w:val="34"/>
    <w:qFormat/>
    <w:rsid w:val="00C55312"/>
    <w:pPr>
      <w:ind w:left="720"/>
      <w:contextualSpacing/>
    </w:pPr>
  </w:style>
  <w:style w:type="character" w:styleId="PlaceholderText">
    <w:name w:val="Placeholder Text"/>
    <w:basedOn w:val="DefaultParagraphFont"/>
    <w:uiPriority w:val="99"/>
    <w:semiHidden/>
    <w:rsid w:val="00A97E02"/>
    <w:rPr>
      <w:color w:val="808080"/>
    </w:rPr>
  </w:style>
  <w:style w:type="table" w:styleId="TableGrid">
    <w:name w:val="Table Grid"/>
    <w:basedOn w:val="TableNormal"/>
    <w:uiPriority w:val="39"/>
    <w:rsid w:val="00A9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02"/>
  </w:style>
  <w:style w:type="paragraph" w:styleId="Footer">
    <w:name w:val="footer"/>
    <w:basedOn w:val="Normal"/>
    <w:link w:val="FooterChar"/>
    <w:uiPriority w:val="99"/>
    <w:unhideWhenUsed/>
    <w:rsid w:val="00A97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02"/>
  </w:style>
  <w:style w:type="character" w:styleId="CommentReference">
    <w:name w:val="annotation reference"/>
    <w:basedOn w:val="DefaultParagraphFont"/>
    <w:uiPriority w:val="99"/>
    <w:semiHidden/>
    <w:unhideWhenUsed/>
    <w:rsid w:val="004D3A60"/>
    <w:rPr>
      <w:sz w:val="16"/>
      <w:szCs w:val="16"/>
    </w:rPr>
  </w:style>
  <w:style w:type="paragraph" w:styleId="CommentText">
    <w:name w:val="annotation text"/>
    <w:basedOn w:val="Normal"/>
    <w:link w:val="CommentTextChar"/>
    <w:uiPriority w:val="99"/>
    <w:semiHidden/>
    <w:unhideWhenUsed/>
    <w:rsid w:val="004D3A60"/>
    <w:pPr>
      <w:spacing w:line="240" w:lineRule="auto"/>
    </w:pPr>
    <w:rPr>
      <w:sz w:val="20"/>
      <w:szCs w:val="20"/>
    </w:rPr>
  </w:style>
  <w:style w:type="character" w:customStyle="1" w:styleId="CommentTextChar">
    <w:name w:val="Comment Text Char"/>
    <w:basedOn w:val="DefaultParagraphFont"/>
    <w:link w:val="CommentText"/>
    <w:uiPriority w:val="99"/>
    <w:semiHidden/>
    <w:rsid w:val="004D3A60"/>
    <w:rPr>
      <w:sz w:val="20"/>
      <w:szCs w:val="20"/>
    </w:rPr>
  </w:style>
  <w:style w:type="paragraph" w:styleId="CommentSubject">
    <w:name w:val="annotation subject"/>
    <w:basedOn w:val="CommentText"/>
    <w:next w:val="CommentText"/>
    <w:link w:val="CommentSubjectChar"/>
    <w:uiPriority w:val="99"/>
    <w:semiHidden/>
    <w:unhideWhenUsed/>
    <w:rsid w:val="004D3A60"/>
    <w:rPr>
      <w:b/>
      <w:bCs/>
    </w:rPr>
  </w:style>
  <w:style w:type="character" w:customStyle="1" w:styleId="CommentSubjectChar">
    <w:name w:val="Comment Subject Char"/>
    <w:basedOn w:val="CommentTextChar"/>
    <w:link w:val="CommentSubject"/>
    <w:uiPriority w:val="99"/>
    <w:semiHidden/>
    <w:rsid w:val="004D3A60"/>
    <w:rPr>
      <w:b/>
      <w:bCs/>
      <w:sz w:val="20"/>
      <w:szCs w:val="20"/>
    </w:rPr>
  </w:style>
  <w:style w:type="paragraph" w:styleId="Bibliography">
    <w:name w:val="Bibliography"/>
    <w:basedOn w:val="Normal"/>
    <w:next w:val="Normal"/>
    <w:uiPriority w:val="37"/>
    <w:unhideWhenUsed/>
    <w:rsid w:val="004D3A60"/>
    <w:pPr>
      <w:tabs>
        <w:tab w:val="left" w:pos="504"/>
      </w:tabs>
      <w:spacing w:after="240" w:line="240" w:lineRule="auto"/>
      <w:ind w:left="504" w:hanging="504"/>
    </w:pPr>
  </w:style>
  <w:style w:type="character" w:styleId="Hyperlink">
    <w:name w:val="Hyperlink"/>
    <w:basedOn w:val="DefaultParagraphFont"/>
    <w:uiPriority w:val="99"/>
    <w:unhideWhenUsed/>
    <w:rsid w:val="00C02DEB"/>
    <w:rPr>
      <w:color w:val="0563C1" w:themeColor="hyperlink"/>
      <w:u w:val="single"/>
    </w:rPr>
  </w:style>
  <w:style w:type="character" w:styleId="FollowedHyperlink">
    <w:name w:val="FollowedHyperlink"/>
    <w:basedOn w:val="DefaultParagraphFont"/>
    <w:uiPriority w:val="99"/>
    <w:semiHidden/>
    <w:unhideWhenUsed/>
    <w:rsid w:val="00971A3A"/>
    <w:rPr>
      <w:color w:val="954F72" w:themeColor="followedHyperlink"/>
      <w:u w:val="single"/>
    </w:rPr>
  </w:style>
  <w:style w:type="character" w:customStyle="1" w:styleId="UnresolvedMention1">
    <w:name w:val="Unresolved Mention1"/>
    <w:basedOn w:val="DefaultParagraphFont"/>
    <w:uiPriority w:val="99"/>
    <w:semiHidden/>
    <w:unhideWhenUsed/>
    <w:rsid w:val="00202093"/>
    <w:rPr>
      <w:color w:val="605E5C"/>
      <w:shd w:val="clear" w:color="auto" w:fill="E1DFDD"/>
    </w:rPr>
  </w:style>
  <w:style w:type="paragraph" w:styleId="Revision">
    <w:name w:val="Revision"/>
    <w:hidden/>
    <w:uiPriority w:val="99"/>
    <w:semiHidden/>
    <w:rsid w:val="00632D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2EDA8-435E-4D7D-8B49-A8C8B768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19525</Words>
  <Characters>111293</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Millham, Lucia</dc:creator>
  <cp:keywords/>
  <dc:description/>
  <cp:lastModifiedBy>Wattananimitgul, Nattanicha</cp:lastModifiedBy>
  <cp:revision>2</cp:revision>
  <dcterms:created xsi:type="dcterms:W3CDTF">2020-09-03T21:01:00Z</dcterms:created>
  <dcterms:modified xsi:type="dcterms:W3CDTF">2020-09-03T21:01:00Z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id="yolTQtSV"/&gt;&lt;style id="http://www.zotero.org/styles/annals-of-internal-medicine" hasBibliography="1" bibliographyStyleHasBeenSet="1"/&gt;&lt;prefs&gt;&lt;pref name="automaticJournalAbbreviations" value="true"</vt:lpwstr>
  </property>
  <property fmtid="{D5CDD505-2E9C-101B-9397-08002B2CF9AE}" pid="3" name="ZOTERO_PREF_2">
    <vt:lpwstr>/&gt;&lt;pref name="fieldType" value="Field"/&gt;&lt;/prefs&gt;&lt;/data&gt;</vt:lpwstr>
  </property>
</Properties>
</file>