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A066F" w14:textId="77777777" w:rsidR="009C57B7" w:rsidRDefault="009C57B7" w:rsidP="009C57B7">
      <w:pPr>
        <w:jc w:val="both"/>
        <w:rPr>
          <w:b/>
          <w:bCs/>
        </w:rPr>
      </w:pPr>
      <w:bookmarkStart w:id="0" w:name="_Hlk46144148"/>
      <w:bookmarkStart w:id="1" w:name="_Hlk47347416"/>
      <w:r w:rsidRPr="00333CD1">
        <w:rPr>
          <w:b/>
          <w:bCs/>
        </w:rPr>
        <w:t>County-level exposures to greenness and associations with COVID-19 incidence and mortality in the United States</w:t>
      </w:r>
      <w:bookmarkEnd w:id="0"/>
    </w:p>
    <w:bookmarkEnd w:id="1"/>
    <w:p w14:paraId="4455ABBD" w14:textId="77777777" w:rsidR="009C57B7" w:rsidRPr="00333CD1" w:rsidRDefault="009C57B7" w:rsidP="009C57B7">
      <w:pPr>
        <w:jc w:val="both"/>
        <w:rPr>
          <w:b/>
          <w:bCs/>
        </w:rPr>
      </w:pPr>
    </w:p>
    <w:p w14:paraId="25AA3C37" w14:textId="5D999225" w:rsidR="009C57B7" w:rsidRPr="00C21CCF" w:rsidRDefault="009C57B7" w:rsidP="009C57B7">
      <w:pPr>
        <w:jc w:val="both"/>
        <w:rPr>
          <w:vertAlign w:val="superscript"/>
        </w:rPr>
      </w:pPr>
      <w:r w:rsidRPr="00333CD1">
        <w:t>Jochem O Klompmaker</w:t>
      </w:r>
      <w:r>
        <w:t xml:space="preserve"> </w:t>
      </w:r>
      <w:r>
        <w:rPr>
          <w:vertAlign w:val="superscript"/>
        </w:rPr>
        <w:t>a</w:t>
      </w:r>
      <w:r>
        <w:t xml:space="preserve">, </w:t>
      </w:r>
      <w:r w:rsidRPr="00333CD1">
        <w:t>Jaime E Hart</w:t>
      </w:r>
      <w:r>
        <w:t xml:space="preserve"> </w:t>
      </w:r>
      <w:r>
        <w:rPr>
          <w:vertAlign w:val="superscript"/>
        </w:rPr>
        <w:t>a, b</w:t>
      </w:r>
      <w:r>
        <w:t xml:space="preserve">, </w:t>
      </w:r>
      <w:r w:rsidRPr="00333CD1">
        <w:t>Isabel Holland</w:t>
      </w:r>
      <w:r>
        <w:t xml:space="preserve"> </w:t>
      </w:r>
      <w:r>
        <w:rPr>
          <w:vertAlign w:val="superscript"/>
        </w:rPr>
        <w:t>b</w:t>
      </w:r>
      <w:r>
        <w:t xml:space="preserve">, </w:t>
      </w:r>
      <w:r w:rsidRPr="00333CD1">
        <w:t>M</w:t>
      </w:r>
      <w:r w:rsidR="00E90819">
        <w:t xml:space="preserve"> </w:t>
      </w:r>
      <w:r w:rsidR="00E90819" w:rsidRPr="00333CD1">
        <w:t>Benjamin</w:t>
      </w:r>
      <w:r w:rsidRPr="00333CD1">
        <w:t xml:space="preserve"> Sabath</w:t>
      </w:r>
      <w:r>
        <w:t xml:space="preserve"> </w:t>
      </w:r>
      <w:r>
        <w:rPr>
          <w:vertAlign w:val="superscript"/>
        </w:rPr>
        <w:t>c</w:t>
      </w:r>
      <w:r>
        <w:t xml:space="preserve">, </w:t>
      </w:r>
      <w:r w:rsidRPr="00333CD1">
        <w:t>Xiao Wu</w:t>
      </w:r>
      <w:r>
        <w:t xml:space="preserve"> </w:t>
      </w:r>
      <w:r>
        <w:rPr>
          <w:vertAlign w:val="superscript"/>
        </w:rPr>
        <w:t>c</w:t>
      </w:r>
      <w:r>
        <w:t xml:space="preserve">, </w:t>
      </w:r>
      <w:r w:rsidRPr="00333CD1">
        <w:t>Francine Laden</w:t>
      </w:r>
      <w:r>
        <w:t xml:space="preserve"> </w:t>
      </w:r>
      <w:r>
        <w:rPr>
          <w:vertAlign w:val="superscript"/>
        </w:rPr>
        <w:t>a, b, d</w:t>
      </w:r>
      <w:r>
        <w:t xml:space="preserve">, </w:t>
      </w:r>
      <w:r w:rsidRPr="00333CD1">
        <w:t>Francesca Dominici</w:t>
      </w:r>
      <w:r>
        <w:t xml:space="preserve"> </w:t>
      </w:r>
      <w:r>
        <w:rPr>
          <w:vertAlign w:val="superscript"/>
        </w:rPr>
        <w:t>c</w:t>
      </w:r>
      <w:r>
        <w:t xml:space="preserve">, </w:t>
      </w:r>
      <w:r w:rsidRPr="00333CD1">
        <w:t>Peter James</w:t>
      </w:r>
      <w:r>
        <w:t xml:space="preserve"> </w:t>
      </w:r>
      <w:r>
        <w:rPr>
          <w:vertAlign w:val="superscript"/>
        </w:rPr>
        <w:t>e</w:t>
      </w:r>
    </w:p>
    <w:p w14:paraId="0ED4D98F" w14:textId="77777777" w:rsidR="009C57B7" w:rsidRDefault="009C57B7" w:rsidP="009C57B7">
      <w:pPr>
        <w:jc w:val="both"/>
      </w:pPr>
    </w:p>
    <w:p w14:paraId="16AAF2AE" w14:textId="77777777" w:rsidR="009C57B7" w:rsidRPr="00117F24" w:rsidRDefault="009C57B7" w:rsidP="009C57B7">
      <w:pPr>
        <w:jc w:val="both"/>
        <w:rPr>
          <w:i/>
          <w:iCs/>
        </w:rPr>
      </w:pPr>
      <w:r w:rsidRPr="00117F24">
        <w:rPr>
          <w:i/>
          <w:iCs/>
          <w:vertAlign w:val="superscript"/>
        </w:rPr>
        <w:t xml:space="preserve">a </w:t>
      </w:r>
      <w:r w:rsidRPr="00117F24">
        <w:rPr>
          <w:i/>
          <w:iCs/>
        </w:rPr>
        <w:t>Department of Environmental Health, Harvard T. H. Chan School of Public Health,</w:t>
      </w:r>
      <w:r>
        <w:rPr>
          <w:i/>
          <w:iCs/>
        </w:rPr>
        <w:t xml:space="preserve"> </w:t>
      </w:r>
      <w:r w:rsidRPr="00B863CF">
        <w:rPr>
          <w:i/>
          <w:iCs/>
        </w:rPr>
        <w:t>655 Huntington Ave</w:t>
      </w:r>
      <w:r>
        <w:rPr>
          <w:i/>
          <w:iCs/>
        </w:rPr>
        <w:t>nue,</w:t>
      </w:r>
      <w:r w:rsidRPr="00117F24">
        <w:rPr>
          <w:i/>
          <w:iCs/>
        </w:rPr>
        <w:t xml:space="preserve"> Boston, Massachusetts</w:t>
      </w:r>
      <w:r>
        <w:rPr>
          <w:i/>
          <w:iCs/>
        </w:rPr>
        <w:t xml:space="preserve"> 02115</w:t>
      </w:r>
    </w:p>
    <w:p w14:paraId="372CCBBD" w14:textId="77777777" w:rsidR="009C57B7" w:rsidRPr="00117F24" w:rsidRDefault="009C57B7" w:rsidP="009C57B7">
      <w:pPr>
        <w:jc w:val="both"/>
        <w:rPr>
          <w:i/>
          <w:iCs/>
        </w:rPr>
      </w:pPr>
      <w:r w:rsidRPr="00117F24">
        <w:rPr>
          <w:i/>
          <w:iCs/>
          <w:vertAlign w:val="superscript"/>
        </w:rPr>
        <w:t xml:space="preserve">b </w:t>
      </w:r>
      <w:r w:rsidRPr="00117F24">
        <w:rPr>
          <w:i/>
          <w:iCs/>
        </w:rPr>
        <w:t>Channing Division of Network Medicine, Department of Medicine, Brigham and Women’s Hospital</w:t>
      </w:r>
      <w:r>
        <w:rPr>
          <w:i/>
          <w:iCs/>
        </w:rPr>
        <w:t xml:space="preserve">, </w:t>
      </w:r>
      <w:r w:rsidRPr="00B863CF">
        <w:rPr>
          <w:i/>
          <w:iCs/>
        </w:rPr>
        <w:t>181 Longwood Avenue</w:t>
      </w:r>
      <w:r>
        <w:rPr>
          <w:i/>
          <w:iCs/>
        </w:rPr>
        <w:t xml:space="preserve">, </w:t>
      </w:r>
      <w:r w:rsidRPr="00B863CF">
        <w:rPr>
          <w:i/>
          <w:iCs/>
        </w:rPr>
        <w:t xml:space="preserve">Boston, </w:t>
      </w:r>
      <w:r w:rsidRPr="00117F24">
        <w:rPr>
          <w:i/>
          <w:iCs/>
        </w:rPr>
        <w:t>Massachusetts</w:t>
      </w:r>
      <w:r w:rsidRPr="00B863CF">
        <w:rPr>
          <w:i/>
          <w:iCs/>
        </w:rPr>
        <w:t xml:space="preserve"> 02115</w:t>
      </w:r>
    </w:p>
    <w:p w14:paraId="4C90D2EC" w14:textId="77777777" w:rsidR="009C57B7" w:rsidRPr="00117F24" w:rsidRDefault="009C57B7" w:rsidP="009C57B7">
      <w:pPr>
        <w:jc w:val="both"/>
        <w:rPr>
          <w:i/>
          <w:iCs/>
        </w:rPr>
      </w:pPr>
      <w:r w:rsidRPr="00117F24">
        <w:rPr>
          <w:i/>
          <w:iCs/>
          <w:vertAlign w:val="superscript"/>
        </w:rPr>
        <w:t xml:space="preserve">c </w:t>
      </w:r>
      <w:r w:rsidRPr="00117F24">
        <w:rPr>
          <w:i/>
          <w:iCs/>
        </w:rPr>
        <w:t xml:space="preserve">Department of Biostatistics, Harvard T.H. Chan School of Public Health, </w:t>
      </w:r>
      <w:r w:rsidRPr="00B863CF">
        <w:rPr>
          <w:i/>
          <w:iCs/>
        </w:rPr>
        <w:t>677 Huntington Ave</w:t>
      </w:r>
      <w:r>
        <w:rPr>
          <w:i/>
          <w:iCs/>
        </w:rPr>
        <w:t>nue</w:t>
      </w:r>
      <w:r w:rsidRPr="00B863CF">
        <w:rPr>
          <w:i/>
          <w:iCs/>
        </w:rPr>
        <w:t xml:space="preserve">, Boston, </w:t>
      </w:r>
      <w:r w:rsidRPr="00117F24">
        <w:rPr>
          <w:i/>
          <w:iCs/>
        </w:rPr>
        <w:t>Massachusetts</w:t>
      </w:r>
      <w:r w:rsidRPr="00B863CF">
        <w:rPr>
          <w:i/>
          <w:iCs/>
        </w:rPr>
        <w:t xml:space="preserve"> 02115 </w:t>
      </w:r>
    </w:p>
    <w:p w14:paraId="6AF88997" w14:textId="77777777" w:rsidR="009C57B7" w:rsidRPr="00117F24" w:rsidRDefault="009C57B7" w:rsidP="009C57B7">
      <w:pPr>
        <w:jc w:val="both"/>
        <w:rPr>
          <w:i/>
          <w:iCs/>
        </w:rPr>
      </w:pPr>
      <w:r w:rsidRPr="00117F24">
        <w:rPr>
          <w:i/>
          <w:iCs/>
          <w:vertAlign w:val="superscript"/>
        </w:rPr>
        <w:t xml:space="preserve">d </w:t>
      </w:r>
      <w:r w:rsidRPr="00117F24">
        <w:rPr>
          <w:i/>
          <w:iCs/>
        </w:rPr>
        <w:t xml:space="preserve">Department of Epidemiology, Harvard T. H. Chan School of Public Health, </w:t>
      </w:r>
      <w:r w:rsidRPr="00B863CF">
        <w:rPr>
          <w:i/>
          <w:iCs/>
        </w:rPr>
        <w:t>677 Huntington Ave</w:t>
      </w:r>
      <w:r>
        <w:rPr>
          <w:i/>
          <w:iCs/>
        </w:rPr>
        <w:t>nue</w:t>
      </w:r>
      <w:r w:rsidRPr="00B863CF">
        <w:rPr>
          <w:i/>
          <w:iCs/>
        </w:rPr>
        <w:t xml:space="preserve">, Boston, </w:t>
      </w:r>
      <w:r w:rsidRPr="00117F24">
        <w:rPr>
          <w:i/>
          <w:iCs/>
        </w:rPr>
        <w:t>Massachusetts</w:t>
      </w:r>
      <w:r w:rsidRPr="00B863CF">
        <w:rPr>
          <w:i/>
          <w:iCs/>
        </w:rPr>
        <w:t xml:space="preserve"> 02115</w:t>
      </w:r>
    </w:p>
    <w:p w14:paraId="5BC3483C" w14:textId="77777777" w:rsidR="009C57B7" w:rsidRPr="00117F24" w:rsidRDefault="009C57B7" w:rsidP="009C57B7">
      <w:pPr>
        <w:jc w:val="both"/>
        <w:rPr>
          <w:i/>
          <w:iCs/>
        </w:rPr>
      </w:pPr>
      <w:r w:rsidRPr="00117F24">
        <w:rPr>
          <w:i/>
          <w:iCs/>
          <w:vertAlign w:val="superscript"/>
        </w:rPr>
        <w:t xml:space="preserve">e </w:t>
      </w:r>
      <w:r w:rsidRPr="00117F24">
        <w:rPr>
          <w:i/>
          <w:iCs/>
        </w:rPr>
        <w:t xml:space="preserve">Department of Population Medicine, Harvard Medical School and Harvard Pilgrim Health Care Institute, </w:t>
      </w:r>
      <w:r w:rsidRPr="00B863CF">
        <w:rPr>
          <w:i/>
          <w:iCs/>
        </w:rPr>
        <w:t>401 Park Drive</w:t>
      </w:r>
      <w:r>
        <w:rPr>
          <w:i/>
          <w:iCs/>
        </w:rPr>
        <w:t xml:space="preserve">, </w:t>
      </w:r>
      <w:r w:rsidRPr="00B863CF">
        <w:rPr>
          <w:i/>
          <w:iCs/>
        </w:rPr>
        <w:t xml:space="preserve">Boston, </w:t>
      </w:r>
      <w:r w:rsidRPr="00117F24">
        <w:rPr>
          <w:i/>
          <w:iCs/>
        </w:rPr>
        <w:t>Massachusetts</w:t>
      </w:r>
      <w:r w:rsidRPr="00B863CF">
        <w:rPr>
          <w:i/>
          <w:iCs/>
        </w:rPr>
        <w:t xml:space="preserve"> 02215</w:t>
      </w:r>
    </w:p>
    <w:p w14:paraId="6DB712AA" w14:textId="77777777" w:rsidR="009C57B7" w:rsidRPr="00333CD1" w:rsidRDefault="009C57B7" w:rsidP="009C57B7">
      <w:pPr>
        <w:jc w:val="both"/>
        <w:rPr>
          <w:b/>
          <w:bCs/>
        </w:rPr>
      </w:pPr>
    </w:p>
    <w:p w14:paraId="699D4D8A" w14:textId="4082C125" w:rsidR="00775F45" w:rsidRDefault="00E90819"/>
    <w:p w14:paraId="7338808E" w14:textId="59A8B8CD" w:rsidR="009C57B7" w:rsidRDefault="009C57B7"/>
    <w:p w14:paraId="38C67BFF" w14:textId="318FB237" w:rsidR="009C57B7" w:rsidRDefault="009C57B7"/>
    <w:p w14:paraId="70B4B3E1" w14:textId="5F65BF04" w:rsidR="009C57B7" w:rsidRDefault="009C57B7"/>
    <w:p w14:paraId="5D5DD518" w14:textId="73C4CEFC" w:rsidR="009C57B7" w:rsidRDefault="009C57B7"/>
    <w:p w14:paraId="60458E82" w14:textId="6778FFE5" w:rsidR="009C57B7" w:rsidRDefault="009C57B7"/>
    <w:p w14:paraId="27FDD8E6" w14:textId="5076A7D3" w:rsidR="009C57B7" w:rsidRDefault="009C57B7"/>
    <w:p w14:paraId="7311334C" w14:textId="75E9EF28" w:rsidR="009C57B7" w:rsidRDefault="009C57B7"/>
    <w:p w14:paraId="2A88B7CF" w14:textId="5A0057CA" w:rsidR="009C57B7" w:rsidRDefault="009C57B7"/>
    <w:p w14:paraId="5A34C72F" w14:textId="35CA3802" w:rsidR="009C57B7" w:rsidRDefault="009C57B7"/>
    <w:p w14:paraId="29D367B7" w14:textId="2E3E99CB" w:rsidR="009C57B7" w:rsidRDefault="009C57B7"/>
    <w:p w14:paraId="329ED112" w14:textId="11C76E97" w:rsidR="009C57B7" w:rsidRDefault="009C57B7"/>
    <w:p w14:paraId="2AEA6289" w14:textId="7CD2E6C6" w:rsidR="009C57B7" w:rsidRDefault="009C57B7"/>
    <w:p w14:paraId="41EC454C" w14:textId="202B48C2" w:rsidR="009C57B7" w:rsidRDefault="009C57B7"/>
    <w:p w14:paraId="3792ED47" w14:textId="1AA59C7B" w:rsidR="009C57B7" w:rsidRDefault="009C57B7"/>
    <w:p w14:paraId="5E70CC6F" w14:textId="285FAF8B" w:rsidR="009C57B7" w:rsidRDefault="009C57B7"/>
    <w:p w14:paraId="79DE2C94" w14:textId="5B6115BC" w:rsidR="009C57B7" w:rsidRDefault="009C57B7"/>
    <w:p w14:paraId="368BC3C2" w14:textId="2AE1C9FC" w:rsidR="009C57B7" w:rsidRDefault="009C57B7"/>
    <w:p w14:paraId="330EA097" w14:textId="533384BD" w:rsidR="009C57B7" w:rsidRDefault="009C57B7"/>
    <w:p w14:paraId="7A78363A" w14:textId="70C53AAA" w:rsidR="009C57B7" w:rsidRDefault="009C57B7"/>
    <w:p w14:paraId="596885AA" w14:textId="19DCB8FB" w:rsidR="009C57B7" w:rsidRDefault="009C57B7"/>
    <w:p w14:paraId="43B13014" w14:textId="7F8E4042" w:rsidR="009C57B7" w:rsidRDefault="009C57B7"/>
    <w:p w14:paraId="0F4431BF" w14:textId="463512FA" w:rsidR="009C57B7" w:rsidRDefault="009C57B7"/>
    <w:p w14:paraId="7D25C933" w14:textId="31CB7F5C" w:rsidR="009C57B7" w:rsidRDefault="009C57B7"/>
    <w:p w14:paraId="66E1BA7F" w14:textId="7CBC7E50" w:rsidR="000509BE" w:rsidRDefault="000509BE"/>
    <w:p w14:paraId="6646BDA5" w14:textId="42E64313" w:rsidR="000509BE" w:rsidRDefault="000509BE"/>
    <w:p w14:paraId="16A80B78" w14:textId="77777777" w:rsidR="000509BE" w:rsidRDefault="000509BE"/>
    <w:p w14:paraId="1DFCA01E" w14:textId="7F976986" w:rsidR="009C57B7" w:rsidRDefault="009C57B7"/>
    <w:p w14:paraId="6EB83695" w14:textId="2C12EA8A" w:rsidR="009C57B7" w:rsidRDefault="009C57B7"/>
    <w:p w14:paraId="7A66EAA8" w14:textId="77777777" w:rsidR="009C57B7" w:rsidRDefault="009C57B7" w:rsidP="009C57B7">
      <w:pPr>
        <w:jc w:val="both"/>
        <w:rPr>
          <w:b/>
          <w:bCs/>
        </w:rPr>
      </w:pPr>
      <w:r>
        <w:rPr>
          <w:b/>
          <w:bCs/>
        </w:rPr>
        <w:lastRenderedPageBreak/>
        <w:t>Table S1. Data sources used in this study.</w:t>
      </w:r>
    </w:p>
    <w:tbl>
      <w:tblPr>
        <w:tblStyle w:val="Tabelraster"/>
        <w:tblW w:w="9613" w:type="dxa"/>
        <w:tblLayout w:type="fixed"/>
        <w:tblLook w:val="04A0" w:firstRow="1" w:lastRow="0" w:firstColumn="1" w:lastColumn="0" w:noHBand="0" w:noVBand="1"/>
      </w:tblPr>
      <w:tblGrid>
        <w:gridCol w:w="1615"/>
        <w:gridCol w:w="4071"/>
        <w:gridCol w:w="3927"/>
      </w:tblGrid>
      <w:tr w:rsidR="009C57B7" w:rsidRPr="009A7282" w14:paraId="115F2589" w14:textId="77777777" w:rsidTr="001C1F30">
        <w:trPr>
          <w:trHeight w:val="301"/>
        </w:trPr>
        <w:tc>
          <w:tcPr>
            <w:tcW w:w="1615" w:type="dxa"/>
            <w:noWrap/>
            <w:vAlign w:val="center"/>
            <w:hideMark/>
          </w:tcPr>
          <w:p w14:paraId="59453693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noWrap/>
            <w:vAlign w:val="center"/>
            <w:hideMark/>
          </w:tcPr>
          <w:p w14:paraId="4F4B95DE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  <w:r w:rsidRPr="009A7282">
              <w:rPr>
                <w:b/>
                <w:bCs/>
              </w:rPr>
              <w:t>Data source</w:t>
            </w:r>
          </w:p>
        </w:tc>
        <w:tc>
          <w:tcPr>
            <w:tcW w:w="3927" w:type="dxa"/>
            <w:noWrap/>
            <w:vAlign w:val="center"/>
            <w:hideMark/>
          </w:tcPr>
          <w:p w14:paraId="21C15824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  <w:r w:rsidRPr="009A7282">
              <w:rPr>
                <w:b/>
                <w:bCs/>
              </w:rPr>
              <w:t>Description</w:t>
            </w:r>
          </w:p>
        </w:tc>
      </w:tr>
      <w:tr w:rsidR="009C57B7" w:rsidRPr="009A7282" w14:paraId="774583F1" w14:textId="77777777" w:rsidTr="001C1F30">
        <w:trPr>
          <w:trHeight w:val="1030"/>
        </w:trPr>
        <w:tc>
          <w:tcPr>
            <w:tcW w:w="1615" w:type="dxa"/>
            <w:vAlign w:val="center"/>
            <w:hideMark/>
          </w:tcPr>
          <w:p w14:paraId="0A2FC50D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  <w:r w:rsidRPr="009A7282">
              <w:rPr>
                <w:b/>
                <w:bCs/>
              </w:rPr>
              <w:t>Outcome</w:t>
            </w:r>
          </w:p>
        </w:tc>
        <w:tc>
          <w:tcPr>
            <w:tcW w:w="4071" w:type="dxa"/>
            <w:vAlign w:val="center"/>
            <w:hideMark/>
          </w:tcPr>
          <w:p w14:paraId="65A733C0" w14:textId="77777777" w:rsidR="009C57B7" w:rsidRPr="009A7282" w:rsidRDefault="009C57B7" w:rsidP="001C1F30">
            <w:r w:rsidRPr="009A7282">
              <w:t>Johns Hopkins University the Center for Systems Science and Engineering (JHU-CSSE) Coronavirus Resource Center (https://coronavirus.jhu.edu/)</w:t>
            </w:r>
          </w:p>
        </w:tc>
        <w:tc>
          <w:tcPr>
            <w:tcW w:w="3927" w:type="dxa"/>
            <w:vAlign w:val="center"/>
            <w:hideMark/>
          </w:tcPr>
          <w:p w14:paraId="5A793726" w14:textId="77777777" w:rsidR="009C57B7" w:rsidRPr="009A7282" w:rsidRDefault="009C57B7" w:rsidP="001C1F30">
            <w:r w:rsidRPr="009A7282">
              <w:t>Cumulative county-level COVID-19 cases and death (count up to and including June 7, 2020)</w:t>
            </w:r>
          </w:p>
        </w:tc>
      </w:tr>
      <w:tr w:rsidR="009C57B7" w:rsidRPr="009A7282" w14:paraId="0652290E" w14:textId="77777777" w:rsidTr="001C1F30">
        <w:trPr>
          <w:trHeight w:val="170"/>
        </w:trPr>
        <w:tc>
          <w:tcPr>
            <w:tcW w:w="1615" w:type="dxa"/>
            <w:vAlign w:val="center"/>
          </w:tcPr>
          <w:p w14:paraId="40E3BE45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vAlign w:val="center"/>
          </w:tcPr>
          <w:p w14:paraId="7C073182" w14:textId="77777777" w:rsidR="009C57B7" w:rsidRPr="009A7282" w:rsidRDefault="009C57B7" w:rsidP="001C1F30"/>
        </w:tc>
        <w:tc>
          <w:tcPr>
            <w:tcW w:w="3927" w:type="dxa"/>
            <w:vAlign w:val="center"/>
          </w:tcPr>
          <w:p w14:paraId="3B033D44" w14:textId="77777777" w:rsidR="009C57B7" w:rsidRPr="009A7282" w:rsidRDefault="009C57B7" w:rsidP="001C1F30"/>
        </w:tc>
      </w:tr>
      <w:tr w:rsidR="009C57B7" w:rsidRPr="009A7282" w14:paraId="7B178884" w14:textId="77777777" w:rsidTr="001C1F30">
        <w:trPr>
          <w:trHeight w:val="1617"/>
        </w:trPr>
        <w:tc>
          <w:tcPr>
            <w:tcW w:w="1615" w:type="dxa"/>
            <w:vAlign w:val="center"/>
            <w:hideMark/>
          </w:tcPr>
          <w:p w14:paraId="18FDBF47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  <w:r w:rsidRPr="009A7282">
              <w:rPr>
                <w:b/>
                <w:bCs/>
              </w:rPr>
              <w:t>Exposure</w:t>
            </w:r>
          </w:p>
        </w:tc>
        <w:tc>
          <w:tcPr>
            <w:tcW w:w="4071" w:type="dxa"/>
            <w:vAlign w:val="center"/>
            <w:hideMark/>
          </w:tcPr>
          <w:p w14:paraId="599FBB51" w14:textId="77777777" w:rsidR="009C57B7" w:rsidRPr="009A7282" w:rsidRDefault="009C57B7" w:rsidP="001C1F30">
            <w:r w:rsidRPr="009A7282">
              <w:t xml:space="preserve">Landsat </w:t>
            </w:r>
            <w:r>
              <w:t xml:space="preserve">8 </w:t>
            </w:r>
            <w:r w:rsidRPr="009A7282">
              <w:t>NDVI via Google Earth Engine (https://developers.google.com/earth-engine/datasets/catalog/LANDSAT_LO08_C01_T1?hl=en)</w:t>
            </w:r>
          </w:p>
        </w:tc>
        <w:tc>
          <w:tcPr>
            <w:tcW w:w="3927" w:type="dxa"/>
            <w:vAlign w:val="center"/>
            <w:hideMark/>
          </w:tcPr>
          <w:p w14:paraId="5FE1F8ED" w14:textId="77777777" w:rsidR="009C57B7" w:rsidRPr="009A7282" w:rsidRDefault="009C57B7" w:rsidP="001C1F30">
            <w:r w:rsidRPr="009A7282">
              <w:t>NDVI based on Landsat 8 images from April 1, 2020 up to May 31, 2020 (NDVI April-May) at a 30 meter spatial resolution</w:t>
            </w:r>
          </w:p>
        </w:tc>
      </w:tr>
      <w:tr w:rsidR="009C57B7" w:rsidRPr="009A7282" w14:paraId="0D4C9EEE" w14:textId="77777777" w:rsidTr="001C1F30">
        <w:trPr>
          <w:trHeight w:val="242"/>
        </w:trPr>
        <w:tc>
          <w:tcPr>
            <w:tcW w:w="1615" w:type="dxa"/>
            <w:vAlign w:val="center"/>
          </w:tcPr>
          <w:p w14:paraId="50DD29C9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vAlign w:val="center"/>
          </w:tcPr>
          <w:p w14:paraId="4F98EB58" w14:textId="77777777" w:rsidR="009C57B7" w:rsidRPr="009A7282" w:rsidRDefault="009C57B7" w:rsidP="001C1F30"/>
        </w:tc>
        <w:tc>
          <w:tcPr>
            <w:tcW w:w="3927" w:type="dxa"/>
            <w:vAlign w:val="center"/>
          </w:tcPr>
          <w:p w14:paraId="38897B51" w14:textId="77777777" w:rsidR="009C57B7" w:rsidRPr="009A7282" w:rsidRDefault="009C57B7" w:rsidP="001C1F30"/>
        </w:tc>
      </w:tr>
      <w:tr w:rsidR="009C57B7" w:rsidRPr="009A7282" w14:paraId="43E68E88" w14:textId="77777777" w:rsidTr="001C1F30">
        <w:trPr>
          <w:trHeight w:val="803"/>
        </w:trPr>
        <w:tc>
          <w:tcPr>
            <w:tcW w:w="1615" w:type="dxa"/>
            <w:vMerge w:val="restart"/>
            <w:vAlign w:val="center"/>
            <w:hideMark/>
          </w:tcPr>
          <w:p w14:paraId="4F79D565" w14:textId="77777777" w:rsidR="009C57B7" w:rsidRPr="009A7282" w:rsidRDefault="009C57B7" w:rsidP="001C1F30">
            <w:pPr>
              <w:jc w:val="center"/>
              <w:rPr>
                <w:b/>
                <w:bCs/>
              </w:rPr>
            </w:pPr>
            <w:r w:rsidRPr="009A7282">
              <w:rPr>
                <w:b/>
                <w:bCs/>
              </w:rPr>
              <w:t>Confounders</w:t>
            </w:r>
          </w:p>
        </w:tc>
        <w:tc>
          <w:tcPr>
            <w:tcW w:w="4071" w:type="dxa"/>
            <w:vAlign w:val="center"/>
            <w:hideMark/>
          </w:tcPr>
          <w:p w14:paraId="0FFC61BB" w14:textId="77777777" w:rsidR="009C57B7" w:rsidRPr="009A7282" w:rsidRDefault="009C57B7" w:rsidP="001C1F30">
            <w:r w:rsidRPr="009A7282">
              <w:t>US Census/American Community Survey (https://www.census.gov/progra ms-surveys/acs/data.html)</w:t>
            </w:r>
          </w:p>
        </w:tc>
        <w:tc>
          <w:tcPr>
            <w:tcW w:w="3927" w:type="dxa"/>
            <w:vAlign w:val="center"/>
            <w:hideMark/>
          </w:tcPr>
          <w:p w14:paraId="603DF4D6" w14:textId="0261793E" w:rsidR="009C57B7" w:rsidRPr="009A7282" w:rsidRDefault="009C57B7" w:rsidP="001C1F30">
            <w:r w:rsidRPr="009A7282">
              <w:t>County-level socioeconomic and demographic variables for 20</w:t>
            </w:r>
            <w:r>
              <w:t>00</w:t>
            </w:r>
            <w:r w:rsidRPr="009A7282">
              <w:t>‒201</w:t>
            </w:r>
            <w:r w:rsidR="0020159B">
              <w:t>0</w:t>
            </w:r>
          </w:p>
        </w:tc>
      </w:tr>
      <w:tr w:rsidR="009C57B7" w:rsidRPr="009A7282" w14:paraId="2BAB930C" w14:textId="77777777" w:rsidTr="001C1F30">
        <w:trPr>
          <w:trHeight w:val="803"/>
        </w:trPr>
        <w:tc>
          <w:tcPr>
            <w:tcW w:w="1615" w:type="dxa"/>
            <w:vMerge/>
            <w:vAlign w:val="center"/>
            <w:hideMark/>
          </w:tcPr>
          <w:p w14:paraId="7EF6DA9C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5F2D7F64" w14:textId="77777777" w:rsidR="009C57B7" w:rsidRPr="009A7282" w:rsidRDefault="009C57B7" w:rsidP="001C1F30">
            <w:bookmarkStart w:id="2" w:name="OLE_LINK5"/>
            <w:bookmarkStart w:id="3" w:name="OLE_LINK6"/>
            <w:bookmarkStart w:id="4" w:name="OLE_LINK7"/>
            <w:bookmarkStart w:id="5" w:name="OLE_LINK8"/>
            <w:r w:rsidRPr="009A7282">
              <w:t xml:space="preserve">Robert Wood Johnson Foundation County Health Rankings </w:t>
            </w:r>
            <w:bookmarkEnd w:id="2"/>
            <w:bookmarkEnd w:id="3"/>
            <w:r w:rsidRPr="009A7282">
              <w:t>(https://www.countyhealthranki ngs.org/)</w:t>
            </w:r>
            <w:bookmarkEnd w:id="4"/>
            <w:bookmarkEnd w:id="5"/>
          </w:p>
        </w:tc>
        <w:tc>
          <w:tcPr>
            <w:tcW w:w="3927" w:type="dxa"/>
            <w:vAlign w:val="center"/>
            <w:hideMark/>
          </w:tcPr>
          <w:p w14:paraId="6F7D0EBE" w14:textId="77777777" w:rsidR="009C57B7" w:rsidRPr="009A7282" w:rsidRDefault="009C57B7" w:rsidP="001C1F30">
            <w:r w:rsidRPr="009A7282">
              <w:t>County-level behavioral risk factor variables for 20</w:t>
            </w:r>
            <w:r>
              <w:t>11</w:t>
            </w:r>
          </w:p>
        </w:tc>
      </w:tr>
      <w:tr w:rsidR="009C57B7" w:rsidRPr="009A7282" w14:paraId="1AEDDB05" w14:textId="77777777" w:rsidTr="001C1F30">
        <w:trPr>
          <w:trHeight w:val="512"/>
        </w:trPr>
        <w:tc>
          <w:tcPr>
            <w:tcW w:w="1615" w:type="dxa"/>
            <w:vMerge/>
            <w:vAlign w:val="center"/>
            <w:hideMark/>
          </w:tcPr>
          <w:p w14:paraId="70350F4B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3E98AB94" w14:textId="77777777" w:rsidR="009C57B7" w:rsidRPr="009A7282" w:rsidRDefault="009C57B7" w:rsidP="001C1F30">
            <w:r w:rsidRPr="009A7282">
              <w:t>JHU-CSSE Coronavirus Resource Center</w:t>
            </w:r>
          </w:p>
        </w:tc>
        <w:tc>
          <w:tcPr>
            <w:tcW w:w="3927" w:type="dxa"/>
            <w:vAlign w:val="center"/>
            <w:hideMark/>
          </w:tcPr>
          <w:p w14:paraId="01FB2602" w14:textId="77777777" w:rsidR="009C57B7" w:rsidRPr="009A7282" w:rsidRDefault="009C57B7" w:rsidP="001C1F30">
            <w:r w:rsidRPr="009A7282">
              <w:t>Time since first reported COVID-19 case</w:t>
            </w:r>
          </w:p>
        </w:tc>
      </w:tr>
      <w:tr w:rsidR="009C57B7" w:rsidRPr="009A7282" w14:paraId="36D16BAF" w14:textId="77777777" w:rsidTr="001C1F30">
        <w:trPr>
          <w:trHeight w:val="1075"/>
        </w:trPr>
        <w:tc>
          <w:tcPr>
            <w:tcW w:w="1615" w:type="dxa"/>
            <w:vMerge/>
            <w:vAlign w:val="center"/>
            <w:hideMark/>
          </w:tcPr>
          <w:p w14:paraId="31F7FC74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119CAA03" w14:textId="77777777" w:rsidR="009C57B7" w:rsidRPr="009A7282" w:rsidRDefault="009C57B7" w:rsidP="001C1F30">
            <w:r w:rsidRPr="009A7282">
              <w:t>Raifman et al, Boston University School of Public Health, COVID-19 United States state policy database (www.tinyurl.com/statepolicies)</w:t>
            </w:r>
          </w:p>
        </w:tc>
        <w:tc>
          <w:tcPr>
            <w:tcW w:w="3927" w:type="dxa"/>
            <w:vAlign w:val="center"/>
            <w:hideMark/>
          </w:tcPr>
          <w:p w14:paraId="4232ED96" w14:textId="77777777" w:rsidR="009C57B7" w:rsidRPr="009A7282" w:rsidRDefault="009C57B7" w:rsidP="001C1F30">
            <w:r w:rsidRPr="009A7282">
              <w:t>Days since issuance of stay-at-home order, days since non-essential businesses closure, days since nursing home visitor ban</w:t>
            </w:r>
          </w:p>
        </w:tc>
      </w:tr>
      <w:tr w:rsidR="009C57B7" w:rsidRPr="009A7282" w14:paraId="5F9941F9" w14:textId="77777777" w:rsidTr="001C1F30">
        <w:trPr>
          <w:trHeight w:val="1160"/>
        </w:trPr>
        <w:tc>
          <w:tcPr>
            <w:tcW w:w="1615" w:type="dxa"/>
            <w:vMerge/>
            <w:vAlign w:val="center"/>
            <w:hideMark/>
          </w:tcPr>
          <w:p w14:paraId="1B1CEA66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3F590C05" w14:textId="77777777" w:rsidR="009C57B7" w:rsidRPr="009A7282" w:rsidRDefault="009C57B7" w:rsidP="001C1F30">
            <w:r w:rsidRPr="009A7282">
              <w:t>Homeland Infrastructure Foundation-Level Data (HIFLD) (https://hifldgeoplatform.opendata.arcgis.co m/datasets/hospitals)</w:t>
            </w:r>
          </w:p>
        </w:tc>
        <w:tc>
          <w:tcPr>
            <w:tcW w:w="3927" w:type="dxa"/>
            <w:vAlign w:val="center"/>
            <w:hideMark/>
          </w:tcPr>
          <w:p w14:paraId="562EE1CC" w14:textId="77777777" w:rsidR="009C57B7" w:rsidRPr="009A7282" w:rsidRDefault="009C57B7" w:rsidP="001C1F30">
            <w:r w:rsidRPr="009A7282">
              <w:t>County-level number of hospital beds in 2019</w:t>
            </w:r>
          </w:p>
        </w:tc>
      </w:tr>
      <w:tr w:rsidR="009C57B7" w:rsidRPr="009A7282" w14:paraId="51917F54" w14:textId="77777777" w:rsidTr="001C1F30">
        <w:trPr>
          <w:trHeight w:val="1070"/>
        </w:trPr>
        <w:tc>
          <w:tcPr>
            <w:tcW w:w="1615" w:type="dxa"/>
            <w:vMerge/>
            <w:vAlign w:val="center"/>
            <w:hideMark/>
          </w:tcPr>
          <w:p w14:paraId="1584D8C2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247C4226" w14:textId="77777777" w:rsidR="009C57B7" w:rsidRPr="009A7282" w:rsidRDefault="009C57B7" w:rsidP="001C1F30">
            <w:r w:rsidRPr="009A7282">
              <w:t>Gridmet via Google Earth engine (https://developers.google.com/e arthengine/datasets/catalog/IDAHO _EPSCOR_GRIDMET)</w:t>
            </w:r>
          </w:p>
        </w:tc>
        <w:tc>
          <w:tcPr>
            <w:tcW w:w="3927" w:type="dxa"/>
            <w:vAlign w:val="center"/>
            <w:hideMark/>
          </w:tcPr>
          <w:p w14:paraId="4E028412" w14:textId="77777777" w:rsidR="009C57B7" w:rsidRPr="009A7282" w:rsidRDefault="009C57B7" w:rsidP="001C1F30">
            <w:r w:rsidRPr="009A7282">
              <w:t>4 km × 4 km temperature and relative humidity predictions, summer and winter averaged across the period 2000‒2016 and averaged across grid cells in each county</w:t>
            </w:r>
          </w:p>
        </w:tc>
      </w:tr>
      <w:tr w:rsidR="009C57B7" w:rsidRPr="009A7282" w14:paraId="3A995DE0" w14:textId="77777777" w:rsidTr="001C1F30">
        <w:trPr>
          <w:trHeight w:val="984"/>
        </w:trPr>
        <w:tc>
          <w:tcPr>
            <w:tcW w:w="1615" w:type="dxa"/>
            <w:vMerge/>
            <w:vAlign w:val="center"/>
            <w:hideMark/>
          </w:tcPr>
          <w:p w14:paraId="55CE9CB8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725F2B90" w14:textId="77777777" w:rsidR="009C57B7" w:rsidRPr="009A7282" w:rsidRDefault="009C57B7" w:rsidP="001C1F30">
            <w:r w:rsidRPr="009A7282">
              <w:t>Atmospheric Composition Analysis Group (https://sites.wustl.edu/acag/)</w:t>
            </w:r>
          </w:p>
        </w:tc>
        <w:tc>
          <w:tcPr>
            <w:tcW w:w="3927" w:type="dxa"/>
            <w:vAlign w:val="center"/>
            <w:hideMark/>
          </w:tcPr>
          <w:p w14:paraId="481722A8" w14:textId="77777777" w:rsidR="009C57B7" w:rsidRPr="009A7282" w:rsidRDefault="009C57B7" w:rsidP="001C1F30">
            <w:r w:rsidRPr="009A7282">
              <w:t>0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7282">
              <w:t>01° × 0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7282">
              <w:t>01° grid resolution PM2.5 prediction, averaged across the period 2000‒2016 and averaged across grid cells in each county</w:t>
            </w:r>
          </w:p>
        </w:tc>
      </w:tr>
      <w:tr w:rsidR="009C57B7" w:rsidRPr="009A7282" w14:paraId="17C47700" w14:textId="77777777" w:rsidTr="001C1F30">
        <w:trPr>
          <w:trHeight w:val="710"/>
        </w:trPr>
        <w:tc>
          <w:tcPr>
            <w:tcW w:w="1615" w:type="dxa"/>
            <w:vMerge/>
            <w:vAlign w:val="center"/>
            <w:hideMark/>
          </w:tcPr>
          <w:p w14:paraId="28B321DC" w14:textId="77777777" w:rsidR="009C57B7" w:rsidRPr="009A7282" w:rsidRDefault="009C57B7" w:rsidP="001C1F30">
            <w:pPr>
              <w:jc w:val="center"/>
            </w:pPr>
          </w:p>
        </w:tc>
        <w:tc>
          <w:tcPr>
            <w:tcW w:w="4071" w:type="dxa"/>
            <w:vAlign w:val="center"/>
            <w:hideMark/>
          </w:tcPr>
          <w:p w14:paraId="7B26B355" w14:textId="77777777" w:rsidR="009C57B7" w:rsidRPr="009A7282" w:rsidRDefault="009C57B7" w:rsidP="001C1F30">
            <w:r w:rsidRPr="009A7282">
              <w:t>The COVID tracking project (https://covidtracking.com/)</w:t>
            </w:r>
          </w:p>
        </w:tc>
        <w:tc>
          <w:tcPr>
            <w:tcW w:w="3927" w:type="dxa"/>
            <w:vAlign w:val="center"/>
            <w:hideMark/>
          </w:tcPr>
          <w:p w14:paraId="16BACFD9" w14:textId="77777777" w:rsidR="009C57B7" w:rsidRPr="009A7282" w:rsidRDefault="009C57B7" w:rsidP="001C1F30">
            <w:r w:rsidRPr="009A7282">
              <w:t>State-level number of COVID-19 tests performed up to and including June 7, 2020</w:t>
            </w:r>
          </w:p>
        </w:tc>
      </w:tr>
    </w:tbl>
    <w:p w14:paraId="6715F332" w14:textId="77777777" w:rsidR="009C57B7" w:rsidRDefault="009C57B7" w:rsidP="009C57B7">
      <w:pPr>
        <w:jc w:val="both"/>
        <w:rPr>
          <w:b/>
          <w:bCs/>
        </w:rPr>
      </w:pPr>
    </w:p>
    <w:p w14:paraId="501FA7D8" w14:textId="77777777" w:rsidR="009C57B7" w:rsidRDefault="009C57B7" w:rsidP="009C57B7">
      <w:pPr>
        <w:jc w:val="both"/>
        <w:rPr>
          <w:b/>
          <w:bCs/>
        </w:rPr>
      </w:pPr>
    </w:p>
    <w:p w14:paraId="6976EBC6" w14:textId="77777777" w:rsidR="009C57B7" w:rsidRDefault="009C57B7" w:rsidP="009C57B7">
      <w:pPr>
        <w:jc w:val="both"/>
        <w:rPr>
          <w:b/>
          <w:bCs/>
        </w:rPr>
      </w:pPr>
    </w:p>
    <w:p w14:paraId="123FF0C3" w14:textId="77777777" w:rsidR="009C57B7" w:rsidRDefault="009C57B7" w:rsidP="009C57B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Table S2. </w:t>
      </w:r>
      <w:r w:rsidRPr="005A3B04">
        <w:rPr>
          <w:b/>
          <w:bCs/>
        </w:rPr>
        <w:t>Mortality rate ratios (MRR)</w:t>
      </w:r>
      <w:r>
        <w:rPr>
          <w:b/>
          <w:bCs/>
        </w:rPr>
        <w:t>, Incidence Rate Ratios (IRR),</w:t>
      </w:r>
      <w:r w:rsidRPr="005A3B04">
        <w:rPr>
          <w:b/>
          <w:bCs/>
        </w:rPr>
        <w:t xml:space="preserve"> 95% confidence intervals (CI</w:t>
      </w:r>
      <w:r>
        <w:rPr>
          <w:b/>
          <w:bCs/>
        </w:rPr>
        <w:t>)</w:t>
      </w:r>
      <w:r w:rsidRPr="005A3B04">
        <w:rPr>
          <w:b/>
          <w:bCs/>
        </w:rPr>
        <w:t xml:space="preserve"> for all variables in the main analysis for COVID-19 mortality and COVID-19 cases.</w:t>
      </w:r>
    </w:p>
    <w:p w14:paraId="3A04168C" w14:textId="77777777" w:rsidR="009C57B7" w:rsidRDefault="009C57B7" w:rsidP="009C57B7">
      <w:pPr>
        <w:jc w:val="both"/>
        <w:rPr>
          <w:b/>
          <w:bCs/>
        </w:rPr>
      </w:pPr>
    </w:p>
    <w:tbl>
      <w:tblPr>
        <w:tblStyle w:val="Onopgemaaktetabel5"/>
        <w:tblW w:w="9727" w:type="dxa"/>
        <w:tblLook w:val="04A0" w:firstRow="1" w:lastRow="0" w:firstColumn="1" w:lastColumn="0" w:noHBand="0" w:noVBand="1"/>
      </w:tblPr>
      <w:tblGrid>
        <w:gridCol w:w="4320"/>
        <w:gridCol w:w="2880"/>
        <w:gridCol w:w="2527"/>
      </w:tblGrid>
      <w:tr w:rsidR="009C57B7" w:rsidRPr="00FA5637" w14:paraId="71533C7C" w14:textId="77777777" w:rsidTr="001C1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0" w:type="dxa"/>
            <w:noWrap/>
            <w:hideMark/>
          </w:tcPr>
          <w:p w14:paraId="49E1CB0E" w14:textId="77777777" w:rsidR="009C57B7" w:rsidRPr="00FA5637" w:rsidRDefault="009C57B7" w:rsidP="001C1F30">
            <w:pPr>
              <w:tabs>
                <w:tab w:val="left" w:pos="1080"/>
              </w:tabs>
              <w:jc w:val="lef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</w:rPr>
            </w:pPr>
            <w:r w:rsidRPr="00FA5637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</w:rPr>
              <w:t>Variable</w:t>
            </w:r>
          </w:p>
        </w:tc>
        <w:tc>
          <w:tcPr>
            <w:tcW w:w="2880" w:type="dxa"/>
            <w:noWrap/>
            <w:hideMark/>
          </w:tcPr>
          <w:p w14:paraId="7637BBE3" w14:textId="77777777" w:rsidR="009C57B7" w:rsidRPr="00FA5637" w:rsidRDefault="009C57B7" w:rsidP="001C1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</w:rPr>
            </w:pPr>
            <w:r w:rsidRPr="00FA5637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</w:rPr>
              <w:t>MRR (95% CI)</w:t>
            </w:r>
          </w:p>
        </w:tc>
        <w:tc>
          <w:tcPr>
            <w:tcW w:w="2527" w:type="dxa"/>
            <w:noWrap/>
            <w:hideMark/>
          </w:tcPr>
          <w:p w14:paraId="532FF191" w14:textId="77777777" w:rsidR="009C57B7" w:rsidRPr="00FA5637" w:rsidRDefault="009C57B7" w:rsidP="001C1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</w:rPr>
            </w:pPr>
            <w:r w:rsidRPr="00FA5637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</w:rPr>
              <w:t>IRR (95% CI)</w:t>
            </w:r>
          </w:p>
        </w:tc>
      </w:tr>
      <w:tr w:rsidR="009C57B7" w:rsidRPr="005A3B04" w14:paraId="18EA7816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21446812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NDVI (April-May)</w:t>
            </w:r>
          </w:p>
        </w:tc>
        <w:tc>
          <w:tcPr>
            <w:tcW w:w="2880" w:type="dxa"/>
            <w:noWrap/>
            <w:hideMark/>
          </w:tcPr>
          <w:p w14:paraId="58593A4D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99 (0</w:t>
            </w:r>
            <w:r>
              <w:t>.</w:t>
            </w:r>
            <w:r w:rsidRPr="005A3B04">
              <w:t>94, 1</w:t>
            </w:r>
            <w:r>
              <w:t>.</w:t>
            </w:r>
            <w:r w:rsidRPr="005A3B04">
              <w:t>05)</w:t>
            </w:r>
          </w:p>
        </w:tc>
        <w:tc>
          <w:tcPr>
            <w:tcW w:w="2527" w:type="dxa"/>
            <w:noWrap/>
            <w:hideMark/>
          </w:tcPr>
          <w:p w14:paraId="721E8BEA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94 (0</w:t>
            </w:r>
            <w:r>
              <w:t>.</w:t>
            </w:r>
            <w:r w:rsidRPr="005A3B04">
              <w:t>9</w:t>
            </w:r>
            <w:r>
              <w:t>0</w:t>
            </w:r>
            <w:r w:rsidRPr="005A3B04">
              <w:t>, 0</w:t>
            </w:r>
            <w:r>
              <w:t>.</w:t>
            </w:r>
            <w:r w:rsidRPr="005A3B04">
              <w:t>97)</w:t>
            </w:r>
          </w:p>
        </w:tc>
      </w:tr>
      <w:tr w:rsidR="009C57B7" w:rsidRPr="005A3B04" w14:paraId="3697302C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760DA301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Population density (Q2)</w:t>
            </w:r>
          </w:p>
        </w:tc>
        <w:tc>
          <w:tcPr>
            <w:tcW w:w="2880" w:type="dxa"/>
            <w:noWrap/>
            <w:hideMark/>
          </w:tcPr>
          <w:p w14:paraId="0433545A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94 (0</w:t>
            </w:r>
            <w:r>
              <w:t>.</w:t>
            </w:r>
            <w:r w:rsidRPr="005A3B04">
              <w:t>73, 1</w:t>
            </w:r>
            <w:r>
              <w:t>.</w:t>
            </w:r>
            <w:r w:rsidRPr="005A3B04">
              <w:t>2</w:t>
            </w:r>
            <w:r>
              <w:t>0</w:t>
            </w:r>
            <w:r w:rsidRPr="005A3B04">
              <w:t>)</w:t>
            </w:r>
          </w:p>
        </w:tc>
        <w:tc>
          <w:tcPr>
            <w:tcW w:w="2527" w:type="dxa"/>
            <w:noWrap/>
            <w:hideMark/>
          </w:tcPr>
          <w:p w14:paraId="4037C541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99 (0</w:t>
            </w:r>
            <w:r>
              <w:t>.</w:t>
            </w:r>
            <w:r w:rsidRPr="005A3B04">
              <w:t>86, 1</w:t>
            </w:r>
            <w:r>
              <w:t>.</w:t>
            </w:r>
            <w:r w:rsidRPr="005A3B04">
              <w:t>14)</w:t>
            </w:r>
          </w:p>
        </w:tc>
      </w:tr>
      <w:tr w:rsidR="009C57B7" w:rsidRPr="005A3B04" w14:paraId="5639A868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611FCE7D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Population density (Q3)</w:t>
            </w:r>
          </w:p>
        </w:tc>
        <w:tc>
          <w:tcPr>
            <w:tcW w:w="2880" w:type="dxa"/>
            <w:noWrap/>
            <w:hideMark/>
          </w:tcPr>
          <w:p w14:paraId="1C418EB1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88 (0</w:t>
            </w:r>
            <w:r>
              <w:t>.</w:t>
            </w:r>
            <w:r w:rsidRPr="005A3B04">
              <w:t>68, 1</w:t>
            </w:r>
            <w:r>
              <w:t>.</w:t>
            </w:r>
            <w:r w:rsidRPr="005A3B04">
              <w:t>15)</w:t>
            </w:r>
          </w:p>
        </w:tc>
        <w:tc>
          <w:tcPr>
            <w:tcW w:w="2527" w:type="dxa"/>
            <w:noWrap/>
            <w:hideMark/>
          </w:tcPr>
          <w:p w14:paraId="1A0BEAC1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86 (0</w:t>
            </w:r>
            <w:r>
              <w:t>.</w:t>
            </w:r>
            <w:r w:rsidRPr="005A3B04">
              <w:t>74, 1</w:t>
            </w:r>
            <w:r>
              <w:t>.00</w:t>
            </w:r>
            <w:r w:rsidRPr="005A3B04">
              <w:t>)</w:t>
            </w:r>
          </w:p>
        </w:tc>
      </w:tr>
      <w:tr w:rsidR="009C57B7" w:rsidRPr="005A3B04" w14:paraId="36F18A8E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7CFE83C1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Population density (Q4)</w:t>
            </w:r>
          </w:p>
        </w:tc>
        <w:tc>
          <w:tcPr>
            <w:tcW w:w="2880" w:type="dxa"/>
            <w:noWrap/>
            <w:hideMark/>
          </w:tcPr>
          <w:p w14:paraId="4B118B7B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79 (0</w:t>
            </w:r>
            <w:r>
              <w:t>.</w:t>
            </w:r>
            <w:r w:rsidRPr="005A3B04">
              <w:t>6</w:t>
            </w:r>
            <w:r>
              <w:t>0</w:t>
            </w:r>
            <w:r w:rsidRPr="005A3B04">
              <w:t>, 1</w:t>
            </w:r>
            <w:r>
              <w:t>.</w:t>
            </w:r>
            <w:r w:rsidRPr="005A3B04">
              <w:t>03)</w:t>
            </w:r>
          </w:p>
        </w:tc>
        <w:tc>
          <w:tcPr>
            <w:tcW w:w="2527" w:type="dxa"/>
            <w:noWrap/>
            <w:hideMark/>
          </w:tcPr>
          <w:p w14:paraId="7B20DDFF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72 (0</w:t>
            </w:r>
            <w:r>
              <w:t>.</w:t>
            </w:r>
            <w:r w:rsidRPr="005A3B04">
              <w:t>62, 0</w:t>
            </w:r>
            <w:r>
              <w:t>.</w:t>
            </w:r>
            <w:r w:rsidRPr="005A3B04">
              <w:t>85)</w:t>
            </w:r>
          </w:p>
        </w:tc>
      </w:tr>
      <w:tr w:rsidR="009C57B7" w:rsidRPr="005A3B04" w14:paraId="6EC3DC36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6B5D3A6E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Population density (Q5)</w:t>
            </w:r>
          </w:p>
        </w:tc>
        <w:tc>
          <w:tcPr>
            <w:tcW w:w="2880" w:type="dxa"/>
            <w:noWrap/>
            <w:hideMark/>
          </w:tcPr>
          <w:p w14:paraId="72978DC9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86 (0</w:t>
            </w:r>
            <w:r>
              <w:t>.</w:t>
            </w:r>
            <w:r w:rsidRPr="005A3B04">
              <w:t>64, 1</w:t>
            </w:r>
            <w:r>
              <w:t>.</w:t>
            </w:r>
            <w:r w:rsidRPr="005A3B04">
              <w:t>17)</w:t>
            </w:r>
          </w:p>
        </w:tc>
        <w:tc>
          <w:tcPr>
            <w:tcW w:w="2527" w:type="dxa"/>
            <w:noWrap/>
            <w:hideMark/>
          </w:tcPr>
          <w:p w14:paraId="3B2753BA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74 (0</w:t>
            </w:r>
            <w:r>
              <w:t>.</w:t>
            </w:r>
            <w:r w:rsidRPr="005A3B04">
              <w:t>62, 0</w:t>
            </w:r>
            <w:r>
              <w:t>.</w:t>
            </w:r>
            <w:r w:rsidRPr="005A3B04">
              <w:t>9</w:t>
            </w:r>
            <w:r>
              <w:t>0</w:t>
            </w:r>
            <w:r w:rsidRPr="005A3B04">
              <w:t>)</w:t>
            </w:r>
          </w:p>
        </w:tc>
      </w:tr>
      <w:tr w:rsidR="009C57B7" w:rsidRPr="005A3B04" w14:paraId="60895A68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6AE3F50E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in poverty</w:t>
            </w:r>
          </w:p>
        </w:tc>
        <w:tc>
          <w:tcPr>
            <w:tcW w:w="2880" w:type="dxa"/>
            <w:noWrap/>
            <w:hideMark/>
          </w:tcPr>
          <w:p w14:paraId="463D1A97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05 (0</w:t>
            </w:r>
            <w:r>
              <w:t>.</w:t>
            </w:r>
            <w:r w:rsidRPr="005A3B04">
              <w:t>97, 1</w:t>
            </w:r>
            <w:r>
              <w:t>.</w:t>
            </w:r>
            <w:r w:rsidRPr="005A3B04">
              <w:t>14)</w:t>
            </w:r>
          </w:p>
        </w:tc>
        <w:tc>
          <w:tcPr>
            <w:tcW w:w="2527" w:type="dxa"/>
            <w:noWrap/>
            <w:hideMark/>
          </w:tcPr>
          <w:p w14:paraId="3131DA1D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02 (0</w:t>
            </w:r>
            <w:r>
              <w:t>.</w:t>
            </w:r>
            <w:r w:rsidRPr="005A3B04">
              <w:t>97, 1</w:t>
            </w:r>
            <w:r>
              <w:t>.</w:t>
            </w:r>
            <w:r w:rsidRPr="005A3B04">
              <w:t>07)</w:t>
            </w:r>
          </w:p>
        </w:tc>
      </w:tr>
      <w:tr w:rsidR="009C57B7" w:rsidRPr="005A3B04" w14:paraId="0251FD00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105E39C0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 xml:space="preserve">log(Median </w:t>
            </w: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home</w:t>
            </w: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 xml:space="preserve"> value)</w:t>
            </w:r>
          </w:p>
        </w:tc>
        <w:tc>
          <w:tcPr>
            <w:tcW w:w="2880" w:type="dxa"/>
            <w:noWrap/>
            <w:hideMark/>
          </w:tcPr>
          <w:p w14:paraId="09DA38CB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17 (1</w:t>
            </w:r>
            <w:r>
              <w:t>.</w:t>
            </w:r>
            <w:r w:rsidRPr="005A3B04">
              <w:t>01, 1</w:t>
            </w:r>
            <w:r>
              <w:t>.</w:t>
            </w:r>
            <w:r w:rsidRPr="005A3B04">
              <w:t>34)</w:t>
            </w:r>
          </w:p>
        </w:tc>
        <w:tc>
          <w:tcPr>
            <w:tcW w:w="2527" w:type="dxa"/>
            <w:noWrap/>
            <w:hideMark/>
          </w:tcPr>
          <w:p w14:paraId="13C18683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08 (0</w:t>
            </w:r>
            <w:r>
              <w:t>.</w:t>
            </w:r>
            <w:r w:rsidRPr="005A3B04">
              <w:t>99, 1</w:t>
            </w:r>
            <w:r>
              <w:t>.</w:t>
            </w:r>
            <w:r w:rsidRPr="005A3B04">
              <w:t>18)</w:t>
            </w:r>
          </w:p>
        </w:tc>
      </w:tr>
      <w:tr w:rsidR="009C57B7" w:rsidRPr="005A3B04" w14:paraId="71B2FA22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1E639F53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log(Median household income)</w:t>
            </w:r>
          </w:p>
        </w:tc>
        <w:tc>
          <w:tcPr>
            <w:tcW w:w="2880" w:type="dxa"/>
            <w:noWrap/>
            <w:hideMark/>
          </w:tcPr>
          <w:p w14:paraId="6EE40114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2</w:t>
            </w:r>
            <w:r>
              <w:t>0</w:t>
            </w:r>
            <w:r w:rsidRPr="005A3B04">
              <w:t xml:space="preserve"> (1</w:t>
            </w:r>
            <w:r>
              <w:t>.</w:t>
            </w:r>
            <w:r w:rsidRPr="005A3B04">
              <w:t>05, 1</w:t>
            </w:r>
            <w:r>
              <w:t>.</w:t>
            </w:r>
            <w:r w:rsidRPr="005A3B04">
              <w:t>37)</w:t>
            </w:r>
          </w:p>
        </w:tc>
        <w:tc>
          <w:tcPr>
            <w:tcW w:w="2527" w:type="dxa"/>
            <w:noWrap/>
            <w:hideMark/>
          </w:tcPr>
          <w:p w14:paraId="3C0A4983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11 (1</w:t>
            </w:r>
            <w:r>
              <w:t>.</w:t>
            </w:r>
            <w:r w:rsidRPr="005A3B04">
              <w:t>02, 1</w:t>
            </w:r>
            <w:r>
              <w:t>.</w:t>
            </w:r>
            <w:r w:rsidRPr="005A3B04">
              <w:t>21)</w:t>
            </w:r>
          </w:p>
        </w:tc>
      </w:tr>
      <w:tr w:rsidR="009C57B7" w:rsidRPr="005A3B04" w14:paraId="3D2CF329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7A32D87E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owner occupied housing</w:t>
            </w:r>
          </w:p>
        </w:tc>
        <w:tc>
          <w:tcPr>
            <w:tcW w:w="2880" w:type="dxa"/>
            <w:noWrap/>
            <w:hideMark/>
          </w:tcPr>
          <w:p w14:paraId="0BA85A94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11 (1</w:t>
            </w:r>
            <w:r>
              <w:t>.</w:t>
            </w:r>
            <w:r w:rsidRPr="005A3B04">
              <w:t>03, 1</w:t>
            </w:r>
            <w:r>
              <w:t>.</w:t>
            </w:r>
            <w:r w:rsidRPr="005A3B04">
              <w:t>2</w:t>
            </w:r>
            <w:r>
              <w:t>0</w:t>
            </w:r>
            <w:r w:rsidRPr="005A3B04">
              <w:t>)</w:t>
            </w:r>
          </w:p>
        </w:tc>
        <w:tc>
          <w:tcPr>
            <w:tcW w:w="2527" w:type="dxa"/>
            <w:noWrap/>
            <w:hideMark/>
          </w:tcPr>
          <w:p w14:paraId="54A79C88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05 (0</w:t>
            </w:r>
            <w:r>
              <w:t>.</w:t>
            </w:r>
            <w:r w:rsidRPr="005A3B04">
              <w:t>99, 1</w:t>
            </w:r>
            <w:r>
              <w:t>.</w:t>
            </w:r>
            <w:r w:rsidRPr="005A3B04">
              <w:t>1</w:t>
            </w:r>
            <w:r>
              <w:t>0</w:t>
            </w:r>
            <w:r w:rsidRPr="005A3B04">
              <w:t>)</w:t>
            </w:r>
          </w:p>
        </w:tc>
      </w:tr>
      <w:tr w:rsidR="009C57B7" w:rsidRPr="005A3B04" w14:paraId="304D4144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00793900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less than high school education</w:t>
            </w:r>
          </w:p>
        </w:tc>
        <w:tc>
          <w:tcPr>
            <w:tcW w:w="2880" w:type="dxa"/>
            <w:noWrap/>
            <w:hideMark/>
          </w:tcPr>
          <w:p w14:paraId="458C64F4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2</w:t>
            </w:r>
            <w:r>
              <w:t>0</w:t>
            </w:r>
            <w:r w:rsidRPr="005A3B04">
              <w:t xml:space="preserve"> (1</w:t>
            </w:r>
            <w:r>
              <w:t>.</w:t>
            </w:r>
            <w:r w:rsidRPr="005A3B04">
              <w:t>09, 1</w:t>
            </w:r>
            <w:r>
              <w:t>.</w:t>
            </w:r>
            <w:r w:rsidRPr="005A3B04">
              <w:t>32)</w:t>
            </w:r>
          </w:p>
        </w:tc>
        <w:tc>
          <w:tcPr>
            <w:tcW w:w="2527" w:type="dxa"/>
            <w:noWrap/>
            <w:hideMark/>
          </w:tcPr>
          <w:p w14:paraId="3609C813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11 (1</w:t>
            </w:r>
            <w:r>
              <w:t>.</w:t>
            </w:r>
            <w:r w:rsidRPr="005A3B04">
              <w:t>05, 1</w:t>
            </w:r>
            <w:r>
              <w:t>.</w:t>
            </w:r>
            <w:r w:rsidRPr="005A3B04">
              <w:t>18)</w:t>
            </w:r>
          </w:p>
        </w:tc>
      </w:tr>
      <w:tr w:rsidR="009C57B7" w:rsidRPr="005A3B04" w14:paraId="681FCC5B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1ECDA8AB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Black</w:t>
            </w:r>
          </w:p>
        </w:tc>
        <w:tc>
          <w:tcPr>
            <w:tcW w:w="2880" w:type="dxa"/>
            <w:noWrap/>
            <w:hideMark/>
          </w:tcPr>
          <w:p w14:paraId="52CC6F3A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51 (1</w:t>
            </w:r>
            <w:r>
              <w:t>.</w:t>
            </w:r>
            <w:r w:rsidRPr="005A3B04">
              <w:t>4</w:t>
            </w:r>
            <w:r>
              <w:t>0</w:t>
            </w:r>
            <w:r w:rsidRPr="005A3B04">
              <w:t>, 1</w:t>
            </w:r>
            <w:r>
              <w:t>.</w:t>
            </w:r>
            <w:r w:rsidRPr="005A3B04">
              <w:t>64)</w:t>
            </w:r>
          </w:p>
        </w:tc>
        <w:tc>
          <w:tcPr>
            <w:tcW w:w="2527" w:type="dxa"/>
            <w:noWrap/>
            <w:hideMark/>
          </w:tcPr>
          <w:p w14:paraId="07D3EC60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36 (1</w:t>
            </w:r>
            <w:r>
              <w:t>.</w:t>
            </w:r>
            <w:r w:rsidRPr="005A3B04">
              <w:t>29, 1</w:t>
            </w:r>
            <w:r>
              <w:t>.</w:t>
            </w:r>
            <w:r w:rsidRPr="005A3B04">
              <w:t>45)</w:t>
            </w:r>
          </w:p>
        </w:tc>
      </w:tr>
      <w:tr w:rsidR="009C57B7" w:rsidRPr="005A3B04" w14:paraId="45EDF2A8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26EFA2B7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Hispanic</w:t>
            </w:r>
          </w:p>
        </w:tc>
        <w:tc>
          <w:tcPr>
            <w:tcW w:w="2880" w:type="dxa"/>
            <w:noWrap/>
            <w:hideMark/>
          </w:tcPr>
          <w:p w14:paraId="52421049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05 (0</w:t>
            </w:r>
            <w:r>
              <w:t>.</w:t>
            </w:r>
            <w:r w:rsidRPr="005A3B04">
              <w:t>96, 1</w:t>
            </w:r>
            <w:r>
              <w:t>.</w:t>
            </w:r>
            <w:r w:rsidRPr="005A3B04">
              <w:t>16)</w:t>
            </w:r>
          </w:p>
        </w:tc>
        <w:tc>
          <w:tcPr>
            <w:tcW w:w="2527" w:type="dxa"/>
            <w:noWrap/>
            <w:hideMark/>
          </w:tcPr>
          <w:p w14:paraId="4B779723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27 (1</w:t>
            </w:r>
            <w:r>
              <w:t>.</w:t>
            </w:r>
            <w:r w:rsidRPr="005A3B04">
              <w:t>18, 1</w:t>
            </w:r>
            <w:r>
              <w:t>.</w:t>
            </w:r>
            <w:r w:rsidRPr="005A3B04">
              <w:t>35)</w:t>
            </w:r>
          </w:p>
        </w:tc>
      </w:tr>
      <w:tr w:rsidR="009C57B7" w:rsidRPr="005A3B04" w14:paraId="2DCC2F33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5482E1CF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65 years of age</w:t>
            </w:r>
          </w:p>
        </w:tc>
        <w:tc>
          <w:tcPr>
            <w:tcW w:w="2880" w:type="dxa"/>
            <w:noWrap/>
            <w:hideMark/>
          </w:tcPr>
          <w:p w14:paraId="3C1DA6AE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05 (0</w:t>
            </w:r>
            <w:r>
              <w:t>.</w:t>
            </w:r>
            <w:r w:rsidRPr="005A3B04">
              <w:t>93, 1</w:t>
            </w:r>
            <w:r>
              <w:t>.</w:t>
            </w:r>
            <w:r w:rsidRPr="005A3B04">
              <w:t>18)</w:t>
            </w:r>
          </w:p>
        </w:tc>
        <w:tc>
          <w:tcPr>
            <w:tcW w:w="2527" w:type="dxa"/>
            <w:noWrap/>
            <w:hideMark/>
          </w:tcPr>
          <w:p w14:paraId="58902AF0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86 (0</w:t>
            </w:r>
            <w:r>
              <w:t>.</w:t>
            </w:r>
            <w:r w:rsidRPr="005A3B04">
              <w:t>8</w:t>
            </w:r>
            <w:r>
              <w:t>0</w:t>
            </w:r>
            <w:r w:rsidRPr="005A3B04">
              <w:t>, 0</w:t>
            </w:r>
            <w:r>
              <w:t>.</w:t>
            </w:r>
            <w:r w:rsidRPr="005A3B04">
              <w:t>92)</w:t>
            </w:r>
          </w:p>
        </w:tc>
      </w:tr>
      <w:tr w:rsidR="009C57B7" w:rsidRPr="005A3B04" w14:paraId="6833FB27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0D3B9497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15-44 years of age</w:t>
            </w:r>
          </w:p>
        </w:tc>
        <w:tc>
          <w:tcPr>
            <w:tcW w:w="2880" w:type="dxa"/>
            <w:noWrap/>
            <w:hideMark/>
          </w:tcPr>
          <w:p w14:paraId="41C02F42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</w:t>
            </w:r>
            <w:r>
              <w:t>0</w:t>
            </w:r>
            <w:r w:rsidRPr="005A3B04">
              <w:t xml:space="preserve"> (0</w:t>
            </w:r>
            <w:r>
              <w:t>.</w:t>
            </w:r>
            <w:r w:rsidRPr="005A3B04">
              <w:t>68, 0</w:t>
            </w:r>
            <w:r>
              <w:t>.</w:t>
            </w:r>
            <w:r w:rsidRPr="005A3B04">
              <w:t>93)</w:t>
            </w:r>
          </w:p>
        </w:tc>
        <w:tc>
          <w:tcPr>
            <w:tcW w:w="2527" w:type="dxa"/>
            <w:noWrap/>
            <w:hideMark/>
          </w:tcPr>
          <w:p w14:paraId="04E1DEFB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91 (0</w:t>
            </w:r>
            <w:r>
              <w:t>.</w:t>
            </w:r>
            <w:r w:rsidRPr="005A3B04">
              <w:t>85, 0</w:t>
            </w:r>
            <w:r>
              <w:t>.</w:t>
            </w:r>
            <w:r w:rsidRPr="005A3B04">
              <w:t>98)</w:t>
            </w:r>
          </w:p>
        </w:tc>
      </w:tr>
      <w:tr w:rsidR="009C57B7" w:rsidRPr="005A3B04" w14:paraId="2A5127D0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2D36FB4F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45-64 years of age</w:t>
            </w:r>
          </w:p>
        </w:tc>
        <w:tc>
          <w:tcPr>
            <w:tcW w:w="2880" w:type="dxa"/>
            <w:noWrap/>
            <w:hideMark/>
          </w:tcPr>
          <w:p w14:paraId="3153CE02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79 (0</w:t>
            </w:r>
            <w:r>
              <w:t>.</w:t>
            </w:r>
            <w:r w:rsidRPr="005A3B04">
              <w:t>7</w:t>
            </w:r>
            <w:r>
              <w:t>0</w:t>
            </w:r>
            <w:r w:rsidRPr="005A3B04">
              <w:t>, 0</w:t>
            </w:r>
            <w:r>
              <w:t>.</w:t>
            </w:r>
            <w:r w:rsidRPr="005A3B04">
              <w:t>88)</w:t>
            </w:r>
          </w:p>
        </w:tc>
        <w:tc>
          <w:tcPr>
            <w:tcW w:w="2527" w:type="dxa"/>
            <w:noWrap/>
            <w:hideMark/>
          </w:tcPr>
          <w:p w14:paraId="7712E110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84 (0</w:t>
            </w:r>
            <w:r>
              <w:t>.</w:t>
            </w:r>
            <w:r w:rsidRPr="005A3B04">
              <w:t>79, 0</w:t>
            </w:r>
            <w:r>
              <w:t>.</w:t>
            </w:r>
            <w:r w:rsidRPr="005A3B04">
              <w:t>9</w:t>
            </w:r>
            <w:r>
              <w:t>0</w:t>
            </w:r>
            <w:r w:rsidRPr="005A3B04">
              <w:t>)</w:t>
            </w:r>
          </w:p>
        </w:tc>
      </w:tr>
      <w:tr w:rsidR="009C57B7" w:rsidRPr="005A3B04" w14:paraId="3FAAA8C8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</w:tcPr>
          <w:p w14:paraId="067119ED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Obese</w:t>
            </w:r>
          </w:p>
        </w:tc>
        <w:tc>
          <w:tcPr>
            <w:tcW w:w="2880" w:type="dxa"/>
            <w:noWrap/>
          </w:tcPr>
          <w:p w14:paraId="3BFC57E3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97 (0</w:t>
            </w:r>
            <w:r>
              <w:t>.</w:t>
            </w:r>
            <w:r w:rsidRPr="005A3B04">
              <w:t>9</w:t>
            </w:r>
            <w:r>
              <w:t>0</w:t>
            </w:r>
            <w:r w:rsidRPr="005A3B04">
              <w:t>, 1</w:t>
            </w:r>
            <w:r>
              <w:t>.</w:t>
            </w:r>
            <w:r w:rsidRPr="005A3B04">
              <w:t>04)</w:t>
            </w:r>
          </w:p>
        </w:tc>
        <w:tc>
          <w:tcPr>
            <w:tcW w:w="2527" w:type="dxa"/>
            <w:noWrap/>
          </w:tcPr>
          <w:p w14:paraId="5AC4818B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95 (0</w:t>
            </w:r>
            <w:r>
              <w:t>.</w:t>
            </w:r>
            <w:r w:rsidRPr="005A3B04">
              <w:t>9</w:t>
            </w:r>
            <w:r>
              <w:t>0</w:t>
            </w:r>
            <w:r w:rsidRPr="005A3B04">
              <w:t>, 0</w:t>
            </w:r>
            <w:r>
              <w:t>.</w:t>
            </w:r>
            <w:r w:rsidRPr="005A3B04">
              <w:t>99)</w:t>
            </w:r>
          </w:p>
        </w:tc>
      </w:tr>
      <w:tr w:rsidR="009C57B7" w:rsidRPr="005A3B04" w14:paraId="0B4A49ED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</w:tcPr>
          <w:p w14:paraId="1119E118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% Smoke</w:t>
            </w:r>
          </w:p>
        </w:tc>
        <w:tc>
          <w:tcPr>
            <w:tcW w:w="2880" w:type="dxa"/>
            <w:noWrap/>
          </w:tcPr>
          <w:p w14:paraId="28DD006E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12 (0</w:t>
            </w:r>
            <w:r>
              <w:t>.</w:t>
            </w:r>
            <w:r w:rsidRPr="005A3B04">
              <w:t>98, 1</w:t>
            </w:r>
            <w:r>
              <w:t>.</w:t>
            </w:r>
            <w:r w:rsidRPr="005A3B04">
              <w:t>27)</w:t>
            </w:r>
          </w:p>
        </w:tc>
        <w:tc>
          <w:tcPr>
            <w:tcW w:w="2527" w:type="dxa"/>
            <w:noWrap/>
          </w:tcPr>
          <w:p w14:paraId="416643F8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17 (1</w:t>
            </w:r>
            <w:r>
              <w:t>.</w:t>
            </w:r>
            <w:r w:rsidRPr="005A3B04">
              <w:t>08, 1</w:t>
            </w:r>
            <w:r>
              <w:t>.</w:t>
            </w:r>
            <w:r w:rsidRPr="005A3B04">
              <w:t>27)</w:t>
            </w:r>
          </w:p>
        </w:tc>
      </w:tr>
      <w:tr w:rsidR="009C57B7" w:rsidRPr="005A3B04" w14:paraId="1F5FBC0F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</w:tcPr>
          <w:p w14:paraId="3C02D1DB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Days since stay-at-home order (state-level)</w:t>
            </w:r>
          </w:p>
        </w:tc>
        <w:tc>
          <w:tcPr>
            <w:tcW w:w="2880" w:type="dxa"/>
            <w:noWrap/>
          </w:tcPr>
          <w:p w14:paraId="53398058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18 (0</w:t>
            </w:r>
            <w:r>
              <w:t>.</w:t>
            </w:r>
            <w:r w:rsidRPr="005A3B04">
              <w:t>91, 1</w:t>
            </w:r>
            <w:r>
              <w:t>.</w:t>
            </w:r>
            <w:r w:rsidRPr="005A3B04">
              <w:t>54)</w:t>
            </w:r>
          </w:p>
        </w:tc>
        <w:tc>
          <w:tcPr>
            <w:tcW w:w="2527" w:type="dxa"/>
            <w:noWrap/>
          </w:tcPr>
          <w:p w14:paraId="5FFD9C3D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03 (0</w:t>
            </w:r>
            <w:r>
              <w:t>.</w:t>
            </w:r>
            <w:r w:rsidRPr="005A3B04">
              <w:t>89, 1</w:t>
            </w:r>
            <w:r>
              <w:t>.</w:t>
            </w:r>
            <w:r w:rsidRPr="005A3B04">
              <w:t>19)</w:t>
            </w:r>
          </w:p>
        </w:tc>
      </w:tr>
      <w:tr w:rsidR="009C57B7" w:rsidRPr="005A3B04" w14:paraId="383ED8A0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</w:tcPr>
          <w:p w14:paraId="36BE5481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Days since first case</w:t>
            </w:r>
          </w:p>
        </w:tc>
        <w:tc>
          <w:tcPr>
            <w:tcW w:w="2880" w:type="dxa"/>
            <w:noWrap/>
          </w:tcPr>
          <w:p w14:paraId="3EBCB686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2</w:t>
            </w:r>
            <w:r>
              <w:t>.</w:t>
            </w:r>
            <w:r w:rsidRPr="005A3B04">
              <w:t>42 (2</w:t>
            </w:r>
            <w:r>
              <w:t>.</w:t>
            </w:r>
            <w:r w:rsidRPr="005A3B04">
              <w:t>07, 2</w:t>
            </w:r>
            <w:r>
              <w:t>.</w:t>
            </w:r>
            <w:r w:rsidRPr="005A3B04">
              <w:t>83)</w:t>
            </w:r>
          </w:p>
        </w:tc>
        <w:tc>
          <w:tcPr>
            <w:tcW w:w="2527" w:type="dxa"/>
            <w:noWrap/>
          </w:tcPr>
          <w:p w14:paraId="68B30E77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86 (1</w:t>
            </w:r>
            <w:r>
              <w:t>.</w:t>
            </w:r>
            <w:r w:rsidRPr="005A3B04">
              <w:t>75, 1</w:t>
            </w:r>
            <w:r>
              <w:t>.</w:t>
            </w:r>
            <w:r w:rsidRPr="005A3B04">
              <w:t>97)</w:t>
            </w:r>
          </w:p>
        </w:tc>
      </w:tr>
      <w:tr w:rsidR="009C57B7" w:rsidRPr="005A3B04" w14:paraId="6A1903B3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</w:tcPr>
          <w:p w14:paraId="5E095375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Rate of hospital beds</w:t>
            </w:r>
          </w:p>
        </w:tc>
        <w:tc>
          <w:tcPr>
            <w:tcW w:w="2880" w:type="dxa"/>
            <w:noWrap/>
          </w:tcPr>
          <w:p w14:paraId="26D38779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.00</w:t>
            </w:r>
            <w:r w:rsidRPr="005A3B04">
              <w:t xml:space="preserve"> (0</w:t>
            </w:r>
            <w:r>
              <w:t>.</w:t>
            </w:r>
            <w:r w:rsidRPr="005A3B04">
              <w:t>93, 1</w:t>
            </w:r>
            <w:r>
              <w:t>.</w:t>
            </w:r>
            <w:r w:rsidRPr="005A3B04">
              <w:t>08)</w:t>
            </w:r>
          </w:p>
        </w:tc>
        <w:tc>
          <w:tcPr>
            <w:tcW w:w="2527" w:type="dxa"/>
            <w:noWrap/>
          </w:tcPr>
          <w:p w14:paraId="1C00E9E0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04 (1</w:t>
            </w:r>
            <w:r>
              <w:t>.00</w:t>
            </w:r>
            <w:r w:rsidRPr="005A3B04">
              <w:t>, 1</w:t>
            </w:r>
            <w:r>
              <w:t>.</w:t>
            </w:r>
            <w:r w:rsidRPr="005A3B04">
              <w:t>08)</w:t>
            </w:r>
          </w:p>
        </w:tc>
      </w:tr>
      <w:tr w:rsidR="009C57B7" w:rsidRPr="005A3B04" w14:paraId="4BC42DFA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5CAFD540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Average summer temperature</w:t>
            </w:r>
          </w:p>
        </w:tc>
        <w:tc>
          <w:tcPr>
            <w:tcW w:w="2880" w:type="dxa"/>
            <w:noWrap/>
            <w:hideMark/>
          </w:tcPr>
          <w:p w14:paraId="6094CF51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11 (0</w:t>
            </w:r>
            <w:r>
              <w:t>.</w:t>
            </w:r>
            <w:r w:rsidRPr="005A3B04">
              <w:t>94, 1</w:t>
            </w:r>
            <w:r>
              <w:t>.</w:t>
            </w:r>
            <w:r w:rsidRPr="005A3B04">
              <w:t>31)</w:t>
            </w:r>
          </w:p>
        </w:tc>
        <w:tc>
          <w:tcPr>
            <w:tcW w:w="2527" w:type="dxa"/>
            <w:noWrap/>
            <w:hideMark/>
          </w:tcPr>
          <w:p w14:paraId="47E232D0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23 (1</w:t>
            </w:r>
            <w:r>
              <w:t>.</w:t>
            </w:r>
            <w:r w:rsidRPr="005A3B04">
              <w:t>1</w:t>
            </w:r>
            <w:r>
              <w:t>0</w:t>
            </w:r>
            <w:r w:rsidRPr="005A3B04">
              <w:t>, 1</w:t>
            </w:r>
            <w:r>
              <w:t>.</w:t>
            </w:r>
            <w:r w:rsidRPr="005A3B04">
              <w:t>37)</w:t>
            </w:r>
          </w:p>
        </w:tc>
      </w:tr>
      <w:tr w:rsidR="009C57B7" w:rsidRPr="005A3B04" w14:paraId="350176C7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4024B68C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Average winter temperature</w:t>
            </w:r>
          </w:p>
        </w:tc>
        <w:tc>
          <w:tcPr>
            <w:tcW w:w="2880" w:type="dxa"/>
            <w:noWrap/>
            <w:hideMark/>
          </w:tcPr>
          <w:p w14:paraId="5B7BF3D2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89 (0</w:t>
            </w:r>
            <w:r>
              <w:t>.</w:t>
            </w:r>
            <w:r w:rsidRPr="005A3B04">
              <w:t>71, 1</w:t>
            </w:r>
            <w:r>
              <w:t>.</w:t>
            </w:r>
            <w:r w:rsidRPr="005A3B04">
              <w:t>12)</w:t>
            </w:r>
          </w:p>
        </w:tc>
        <w:tc>
          <w:tcPr>
            <w:tcW w:w="2527" w:type="dxa"/>
            <w:noWrap/>
            <w:hideMark/>
          </w:tcPr>
          <w:p w14:paraId="3D45ACC3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67 (0</w:t>
            </w:r>
            <w:r>
              <w:t>.</w:t>
            </w:r>
            <w:r w:rsidRPr="005A3B04">
              <w:t>58, 0</w:t>
            </w:r>
            <w:r>
              <w:t>.</w:t>
            </w:r>
            <w:r w:rsidRPr="005A3B04">
              <w:t>78)</w:t>
            </w:r>
          </w:p>
        </w:tc>
      </w:tr>
      <w:tr w:rsidR="009C57B7" w:rsidRPr="005A3B04" w14:paraId="41556E0B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14368424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Average summer relative humidity (%)</w:t>
            </w:r>
          </w:p>
        </w:tc>
        <w:tc>
          <w:tcPr>
            <w:tcW w:w="2880" w:type="dxa"/>
            <w:noWrap/>
            <w:hideMark/>
          </w:tcPr>
          <w:p w14:paraId="0A781660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94 (0</w:t>
            </w:r>
            <w:r>
              <w:t>.</w:t>
            </w:r>
            <w:r w:rsidRPr="005A3B04">
              <w:t>79, 1</w:t>
            </w:r>
            <w:r>
              <w:t>.</w:t>
            </w:r>
            <w:r w:rsidRPr="005A3B04">
              <w:t>11)</w:t>
            </w:r>
          </w:p>
        </w:tc>
        <w:tc>
          <w:tcPr>
            <w:tcW w:w="2527" w:type="dxa"/>
            <w:noWrap/>
            <w:hideMark/>
          </w:tcPr>
          <w:p w14:paraId="3BFF0451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08 (0</w:t>
            </w:r>
            <w:r>
              <w:t>.</w:t>
            </w:r>
            <w:r w:rsidRPr="005A3B04">
              <w:t>97, 1</w:t>
            </w:r>
            <w:r>
              <w:t>.</w:t>
            </w:r>
            <w:r w:rsidRPr="005A3B04">
              <w:t>2</w:t>
            </w:r>
            <w:r>
              <w:t>0</w:t>
            </w:r>
            <w:r w:rsidRPr="005A3B04">
              <w:t>)</w:t>
            </w:r>
          </w:p>
        </w:tc>
      </w:tr>
      <w:tr w:rsidR="009C57B7" w:rsidRPr="005A3B04" w14:paraId="6523F658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056B74F1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Average winter relative humidity (%)</w:t>
            </w:r>
          </w:p>
        </w:tc>
        <w:tc>
          <w:tcPr>
            <w:tcW w:w="2880" w:type="dxa"/>
            <w:noWrap/>
            <w:hideMark/>
          </w:tcPr>
          <w:p w14:paraId="0671E5F8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96 (0</w:t>
            </w:r>
            <w:r>
              <w:t>.</w:t>
            </w:r>
            <w:r w:rsidRPr="005A3B04">
              <w:t>86, 1</w:t>
            </w:r>
            <w:r>
              <w:t>.</w:t>
            </w:r>
            <w:r w:rsidRPr="005A3B04">
              <w:t>07)</w:t>
            </w:r>
          </w:p>
        </w:tc>
        <w:tc>
          <w:tcPr>
            <w:tcW w:w="2527" w:type="dxa"/>
            <w:noWrap/>
            <w:hideMark/>
          </w:tcPr>
          <w:p w14:paraId="5A901935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0</w:t>
            </w:r>
            <w:r>
              <w:t>.</w:t>
            </w:r>
            <w:r w:rsidRPr="005A3B04">
              <w:t>97 (0</w:t>
            </w:r>
            <w:r>
              <w:t>.</w:t>
            </w:r>
            <w:r w:rsidRPr="005A3B04">
              <w:t>91, 1</w:t>
            </w:r>
            <w:r>
              <w:t>.</w:t>
            </w:r>
            <w:r w:rsidRPr="005A3B04">
              <w:t>05)</w:t>
            </w:r>
          </w:p>
        </w:tc>
      </w:tr>
      <w:tr w:rsidR="009C57B7" w:rsidRPr="005A3B04" w14:paraId="2161C6E3" w14:textId="77777777" w:rsidTr="001C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2FAE83FB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PM</w:t>
            </w:r>
            <w:r w:rsidRPr="00694771">
              <w:rPr>
                <w:rFonts w:ascii="Calibri" w:hAnsi="Calibri" w:cs="Calibri"/>
                <w:i w:val="0"/>
                <w:iCs w:val="0"/>
                <w:color w:val="000000"/>
                <w:sz w:val="22"/>
                <w:vertAlign w:val="subscript"/>
              </w:rPr>
              <w:t>2</w:t>
            </w: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vertAlign w:val="subscript"/>
              </w:rPr>
              <w:t>.</w:t>
            </w:r>
            <w:r w:rsidRPr="00694771">
              <w:rPr>
                <w:rFonts w:ascii="Calibri" w:hAnsi="Calibri" w:cs="Calibri"/>
                <w:i w:val="0"/>
                <w:iCs w:val="0"/>
                <w:color w:val="000000"/>
                <w:sz w:val="22"/>
                <w:vertAlign w:val="subscript"/>
              </w:rPr>
              <w:t>5</w:t>
            </w: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 xml:space="preserve"> (µg/m</w:t>
            </w:r>
            <w:r w:rsidRPr="00694771">
              <w:rPr>
                <w:rFonts w:ascii="Calibri" w:hAnsi="Calibri" w:cs="Calibri"/>
                <w:i w:val="0"/>
                <w:iCs w:val="0"/>
                <w:color w:val="000000"/>
                <w:sz w:val="22"/>
                <w:vertAlign w:val="superscript"/>
              </w:rPr>
              <w:t>3</w:t>
            </w: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)</w:t>
            </w:r>
          </w:p>
        </w:tc>
        <w:tc>
          <w:tcPr>
            <w:tcW w:w="2880" w:type="dxa"/>
            <w:noWrap/>
            <w:hideMark/>
          </w:tcPr>
          <w:p w14:paraId="550A113E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11 (1</w:t>
            </w:r>
            <w:r>
              <w:t>.</w:t>
            </w:r>
            <w:r w:rsidRPr="005A3B04">
              <w:t>05, 1</w:t>
            </w:r>
            <w:r>
              <w:t>.</w:t>
            </w:r>
            <w:r w:rsidRPr="005A3B04">
              <w:t>17)</w:t>
            </w:r>
          </w:p>
        </w:tc>
        <w:tc>
          <w:tcPr>
            <w:tcW w:w="2527" w:type="dxa"/>
            <w:noWrap/>
            <w:hideMark/>
          </w:tcPr>
          <w:p w14:paraId="7E446849" w14:textId="77777777" w:rsidR="009C57B7" w:rsidRPr="005A3B04" w:rsidRDefault="009C57B7" w:rsidP="001C1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06 (1</w:t>
            </w:r>
            <w:r>
              <w:t>.</w:t>
            </w:r>
            <w:r w:rsidRPr="005A3B04">
              <w:t>02, 1</w:t>
            </w:r>
            <w:r>
              <w:t>.</w:t>
            </w:r>
            <w:r w:rsidRPr="005A3B04">
              <w:t>1</w:t>
            </w:r>
            <w:r>
              <w:t>0</w:t>
            </w:r>
            <w:r w:rsidRPr="005A3B04">
              <w:t>)</w:t>
            </w:r>
          </w:p>
        </w:tc>
      </w:tr>
      <w:tr w:rsidR="009C57B7" w:rsidRPr="005A3B04" w14:paraId="62CD8D79" w14:textId="77777777" w:rsidTr="001C1F3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14:paraId="3F17AA70" w14:textId="77777777" w:rsidR="009C57B7" w:rsidRPr="00FA5637" w:rsidRDefault="009C57B7" w:rsidP="001C1F30">
            <w:pPr>
              <w:jc w:val="both"/>
              <w:rPr>
                <w:b/>
                <w:bCs/>
                <w:i w:val="0"/>
                <w:iCs w:val="0"/>
              </w:rPr>
            </w:pPr>
            <w:r w:rsidRPr="00FA5637"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>Rate of tests</w:t>
            </w: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2880" w:type="dxa"/>
            <w:noWrap/>
            <w:hideMark/>
          </w:tcPr>
          <w:p w14:paraId="09F25877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527" w:type="dxa"/>
            <w:noWrap/>
            <w:hideMark/>
          </w:tcPr>
          <w:p w14:paraId="3138958A" w14:textId="77777777" w:rsidR="009C57B7" w:rsidRPr="005A3B04" w:rsidRDefault="009C57B7" w:rsidP="001C1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B04">
              <w:t>1</w:t>
            </w:r>
            <w:r>
              <w:t>.</w:t>
            </w:r>
            <w:r w:rsidRPr="005A3B04">
              <w:t>14 (1</w:t>
            </w:r>
            <w:r>
              <w:t>.</w:t>
            </w:r>
            <w:r w:rsidRPr="005A3B04">
              <w:t>01, 1</w:t>
            </w:r>
            <w:r>
              <w:t>.</w:t>
            </w:r>
            <w:r w:rsidRPr="005A3B04">
              <w:t>27)</w:t>
            </w:r>
          </w:p>
        </w:tc>
      </w:tr>
    </w:tbl>
    <w:p w14:paraId="02B93998" w14:textId="77777777" w:rsidR="009C57B7" w:rsidRDefault="009C57B7" w:rsidP="009C57B7">
      <w:pPr>
        <w:jc w:val="both"/>
        <w:rPr>
          <w:b/>
          <w:bCs/>
        </w:rPr>
      </w:pPr>
    </w:p>
    <w:p w14:paraId="16E33F82" w14:textId="77777777" w:rsidR="009C57B7" w:rsidRPr="006F73B1" w:rsidRDefault="009C57B7" w:rsidP="009C57B7">
      <w:pPr>
        <w:jc w:val="both"/>
        <w:rPr>
          <w:i/>
          <w:iCs/>
        </w:rPr>
      </w:pPr>
      <w:r w:rsidRPr="00D85C7D">
        <w:rPr>
          <w:i/>
          <w:iCs/>
          <w:vertAlign w:val="superscript"/>
        </w:rPr>
        <w:t>a</w:t>
      </w:r>
      <w:r w:rsidRPr="00D85C7D">
        <w:rPr>
          <w:i/>
          <w:iCs/>
        </w:rPr>
        <w:t xml:space="preserve"> Rate of tests was included in the main analysis for COVID-19 cases but not in the main analysis for COVID-19 deaths. Results of the model including rate of tests for COVID-19 deaths can be found in figure S4. </w:t>
      </w:r>
    </w:p>
    <w:p w14:paraId="2708160D" w14:textId="77777777" w:rsidR="009C57B7" w:rsidRDefault="009C57B7" w:rsidP="009C57B7">
      <w:pPr>
        <w:jc w:val="both"/>
        <w:rPr>
          <w:b/>
          <w:bCs/>
        </w:rPr>
      </w:pPr>
    </w:p>
    <w:p w14:paraId="7C42C790" w14:textId="77777777" w:rsidR="009C57B7" w:rsidRDefault="009C57B7" w:rsidP="009C57B7">
      <w:pPr>
        <w:jc w:val="both"/>
        <w:rPr>
          <w:i/>
          <w:iCs/>
        </w:rPr>
      </w:pPr>
    </w:p>
    <w:p w14:paraId="6CBC8613" w14:textId="17706DDB" w:rsidR="009C57B7" w:rsidRDefault="009C57B7"/>
    <w:p w14:paraId="4F333436" w14:textId="77777777" w:rsidR="009C57B7" w:rsidRDefault="009C57B7"/>
    <w:sectPr w:rsidR="009C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7"/>
    <w:rsid w:val="000509BE"/>
    <w:rsid w:val="0020159B"/>
    <w:rsid w:val="00211EFD"/>
    <w:rsid w:val="007D1B7E"/>
    <w:rsid w:val="009C57B7"/>
    <w:rsid w:val="00A71FDC"/>
    <w:rsid w:val="00CD7DF8"/>
    <w:rsid w:val="00E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929B"/>
  <w15:chartTrackingRefBased/>
  <w15:docId w15:val="{40793CD5-506D-44FC-A700-9F256A5E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57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9C57B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Klompmaker, Jochem O</dc:creator>
  <cp:keywords/>
  <dc:description/>
  <cp:lastModifiedBy>Klompmaker, Jochem O</cp:lastModifiedBy>
  <cp:revision>5</cp:revision>
  <dcterms:created xsi:type="dcterms:W3CDTF">2020-08-24T19:51:00Z</dcterms:created>
  <dcterms:modified xsi:type="dcterms:W3CDTF">2020-08-25T16:00:00Z</dcterms:modified>
</cp:coreProperties>
</file>