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3EE71" w14:textId="77777777" w:rsidR="00276882" w:rsidRDefault="009C3850" w:rsidP="00276882">
      <w:pPr>
        <w:pStyle w:val="Subtitle"/>
        <w:rPr>
          <w:rFonts w:ascii="LM Roman 17" w:hAnsi="LM Roman 17" w:cs="Times New Roman"/>
          <w:b/>
          <w:sz w:val="34"/>
          <w:szCs w:val="34"/>
        </w:rPr>
      </w:pPr>
      <w:r>
        <w:rPr>
          <w:rFonts w:ascii="LM Roman 17" w:hAnsi="LM Roman 17" w:cs="Times New Roman"/>
          <w:b/>
          <w:sz w:val="34"/>
          <w:szCs w:val="34"/>
        </w:rPr>
        <w:t xml:space="preserve">SUPPLEMENTARY MATERIAL TO: </w:t>
      </w:r>
      <w:r w:rsidR="00276882">
        <w:rPr>
          <w:rFonts w:ascii="LM Roman 17" w:hAnsi="LM Roman 17" w:cs="Times New Roman"/>
          <w:b/>
          <w:sz w:val="34"/>
          <w:szCs w:val="34"/>
        </w:rPr>
        <w:t xml:space="preserve">Estimating the causal effect of genetic liability to prevalent disease on </w:t>
      </w:r>
      <w:r w:rsidR="00276882" w:rsidRPr="000435C0">
        <w:rPr>
          <w:rFonts w:ascii="LM Roman 17" w:hAnsi="LM Roman 17" w:cs="Times New Roman"/>
          <w:b/>
          <w:sz w:val="34"/>
          <w:szCs w:val="34"/>
        </w:rPr>
        <w:t>hospital costs</w:t>
      </w:r>
      <w:r w:rsidR="00276882">
        <w:rPr>
          <w:rFonts w:ascii="LM Roman 17" w:hAnsi="LM Roman 17" w:cs="Times New Roman"/>
          <w:b/>
          <w:sz w:val="34"/>
          <w:szCs w:val="34"/>
        </w:rPr>
        <w:t xml:space="preserve"> using Mendelian Randomization</w:t>
      </w:r>
      <w:r w:rsidR="00276882" w:rsidRPr="000435C0">
        <w:rPr>
          <w:rFonts w:ascii="LM Roman 17" w:hAnsi="LM Roman 17" w:cs="Times New Roman"/>
          <w:b/>
          <w:sz w:val="34"/>
          <w:szCs w:val="34"/>
        </w:rPr>
        <w:t xml:space="preserve"> </w:t>
      </w:r>
    </w:p>
    <w:p w14:paraId="44B52283" w14:textId="77777777" w:rsidR="009C3850" w:rsidRPr="000435C0" w:rsidRDefault="009C3850" w:rsidP="009C3850"/>
    <w:p w14:paraId="73F9CC0F" w14:textId="77777777" w:rsidR="009C3850" w:rsidRDefault="009C3850" w:rsidP="009C3850">
      <w:pPr>
        <w:pStyle w:val="Subtitle"/>
      </w:pPr>
      <w:r>
        <w:t>Padraig Dixon</w:t>
      </w:r>
      <w:r w:rsidRPr="0015561D">
        <w:rPr>
          <w:vertAlign w:val="superscript"/>
        </w:rPr>
        <w:t>1,2</w:t>
      </w:r>
      <w:r>
        <w:t>*, Sean Harrison</w:t>
      </w:r>
      <w:r w:rsidRPr="0015561D">
        <w:rPr>
          <w:vertAlign w:val="superscript"/>
        </w:rPr>
        <w:t>1,2</w:t>
      </w:r>
      <w:r>
        <w:t>, William Hollingworth</w:t>
      </w:r>
      <w:r w:rsidRPr="0015561D">
        <w:rPr>
          <w:vertAlign w:val="superscript"/>
        </w:rPr>
        <w:t>1</w:t>
      </w:r>
      <w:r>
        <w:t>, Neil M Davies</w:t>
      </w:r>
      <w:r w:rsidRPr="0015561D">
        <w:rPr>
          <w:vertAlign w:val="superscript"/>
        </w:rPr>
        <w:t>1,2</w:t>
      </w:r>
      <w:r>
        <w:t>, George Davey Smith</w:t>
      </w:r>
      <w:r w:rsidRPr="0015561D">
        <w:rPr>
          <w:vertAlign w:val="superscript"/>
        </w:rPr>
        <w:t>1,2,3</w:t>
      </w:r>
    </w:p>
    <w:p w14:paraId="51165ECC" w14:textId="77777777" w:rsidR="009C3850" w:rsidRDefault="009C3850" w:rsidP="009C3850">
      <w:pPr>
        <w:pStyle w:val="Subtitle"/>
      </w:pPr>
      <w:r>
        <w:t>1: Population Health Sciences, University of Bristol</w:t>
      </w:r>
    </w:p>
    <w:p w14:paraId="623FA1FB" w14:textId="77777777" w:rsidR="009C3850" w:rsidRDefault="009C3850" w:rsidP="009C3850">
      <w:pPr>
        <w:pStyle w:val="Subtitle"/>
      </w:pPr>
      <w:r>
        <w:t>2: MRC Integrative Epidemiology Unit, University of Bristol</w:t>
      </w:r>
    </w:p>
    <w:p w14:paraId="3E360D46" w14:textId="77777777" w:rsidR="009C3850" w:rsidRPr="00017CBA" w:rsidRDefault="009C3850" w:rsidP="009C3850">
      <w:pPr>
        <w:pStyle w:val="Subtitle"/>
      </w:pPr>
      <w:r>
        <w:t>3: NIHR Biomedical Research Centre, University of Bristol</w:t>
      </w:r>
    </w:p>
    <w:p w14:paraId="3AA81045" w14:textId="77777777" w:rsidR="009C3850" w:rsidRDefault="009C3850" w:rsidP="009C3850">
      <w:pPr>
        <w:pStyle w:val="Subtitle"/>
      </w:pPr>
    </w:p>
    <w:p w14:paraId="5C84F8BD" w14:textId="683A059A" w:rsidR="009C3850" w:rsidRPr="0084469A" w:rsidRDefault="00CD259B" w:rsidP="009C3850">
      <w:pPr>
        <w:pStyle w:val="Subtitle"/>
        <w:rPr>
          <w:sz w:val="22"/>
        </w:rPr>
      </w:pPr>
      <w:r>
        <w:rPr>
          <w:sz w:val="22"/>
        </w:rPr>
        <w:t xml:space="preserve">30 </w:t>
      </w:r>
      <w:r w:rsidR="00126BB0">
        <w:rPr>
          <w:sz w:val="22"/>
        </w:rPr>
        <w:t>June</w:t>
      </w:r>
      <w:r w:rsidR="009C3850">
        <w:rPr>
          <w:sz w:val="22"/>
        </w:rPr>
        <w:t xml:space="preserve"> 2020</w:t>
      </w:r>
    </w:p>
    <w:p w14:paraId="19C87613" w14:textId="01BCDD8A" w:rsidR="00E460F8" w:rsidRDefault="001E4812"/>
    <w:p w14:paraId="458BB5EC" w14:textId="1BCF00D2" w:rsidR="009C3850" w:rsidRDefault="009C3850"/>
    <w:p w14:paraId="01CF615D" w14:textId="77777777" w:rsidR="009C3850" w:rsidRDefault="009C3850">
      <w:pPr>
        <w:sectPr w:rsidR="009C38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3A9E668" w14:textId="77777777" w:rsidR="00901C0F" w:rsidRPr="00901C0F" w:rsidRDefault="00901C0F" w:rsidP="00901C0F"/>
    <w:p w14:paraId="0C112544" w14:textId="781DF009" w:rsidR="00603C20" w:rsidRDefault="00291624" w:rsidP="00D94736">
      <w:pPr>
        <w:pStyle w:val="Heading1"/>
      </w:pPr>
      <w:r>
        <w:t>Directed acyclic graph</w:t>
      </w:r>
      <w:r w:rsidR="00603C20">
        <w:t xml:space="preserve"> summary of the instrumental variable assumptions</w:t>
      </w:r>
      <w:r>
        <w:t xml:space="preserve"> </w:t>
      </w:r>
    </w:p>
    <w:p w14:paraId="4281AB6D" w14:textId="6215927E" w:rsidR="00603C20" w:rsidRDefault="00603C20" w:rsidP="00D94736">
      <w:r>
        <w:t>Figure A1</w:t>
      </w:r>
      <w:r w:rsidR="00D032F0">
        <w:t xml:space="preserve"> </w:t>
      </w:r>
      <w:r w:rsidR="00A06A83">
        <w:t xml:space="preserve">summarises the first three instrumental variable assumptions using a directed acyclic graph (DAG). Valid instrumental variables are related to the treatment variable, indicated by the directed line emanating from G (the genetic variants) to X (the treatment variable – disease status in this case). G is independent of all known and unknown omitted variables U (indicated by the absence of any directed line between U and G. Finally, G affects the outcome Y (costs in this case) </w:t>
      </w:r>
      <w:r w:rsidR="0097514D">
        <w:t xml:space="preserve">only </w:t>
      </w:r>
      <w:r w:rsidR="00A06A83">
        <w:t>via the treatment variable</w:t>
      </w:r>
      <w:r w:rsidR="0097514D">
        <w:t xml:space="preserve"> – there are no paths from G to Y that are not via X. </w:t>
      </w:r>
      <w:r w:rsidR="00A06A83">
        <w:t xml:space="preserve"> </w:t>
      </w:r>
    </w:p>
    <w:p w14:paraId="4CF566AB" w14:textId="02496790" w:rsidR="00D032F0" w:rsidRDefault="00D032F0" w:rsidP="00D94736"/>
    <w:p w14:paraId="5516AB38" w14:textId="7F55B401" w:rsidR="00D032F0" w:rsidRPr="00D032F0" w:rsidRDefault="00D032F0" w:rsidP="00D94736">
      <w:pPr>
        <w:rPr>
          <w:b/>
          <w:bCs/>
        </w:rPr>
      </w:pPr>
      <w:r w:rsidRPr="00D032F0">
        <w:rPr>
          <w:b/>
          <w:bCs/>
        </w:rPr>
        <w:t>Figure A1</w:t>
      </w:r>
      <w:r>
        <w:rPr>
          <w:b/>
          <w:bCs/>
        </w:rPr>
        <w:tab/>
        <w:t xml:space="preserve">Instrumental variable </w:t>
      </w:r>
    </w:p>
    <w:p w14:paraId="3A759B2A" w14:textId="77777777" w:rsidR="00291624" w:rsidRDefault="00291624" w:rsidP="00D94736"/>
    <w:p w14:paraId="53A771FE" w14:textId="59CCFD1B" w:rsidR="00055E54" w:rsidRDefault="00055E54" w:rsidP="00D94736"/>
    <w:p w14:paraId="2816DADD" w14:textId="7F978253" w:rsidR="00055E54" w:rsidRDefault="0097514D" w:rsidP="00D94736">
      <w:r w:rsidRPr="0097514D">
        <w:rPr>
          <w:noProof/>
        </w:rPr>
        <w:drawing>
          <wp:inline distT="0" distB="0" distL="0" distR="0" wp14:anchorId="1F4B2977" wp14:editId="1938311B">
            <wp:extent cx="5731510" cy="19792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979295"/>
                    </a:xfrm>
                    <a:prstGeom prst="rect">
                      <a:avLst/>
                    </a:prstGeom>
                    <a:noFill/>
                    <a:ln>
                      <a:noFill/>
                    </a:ln>
                  </pic:spPr>
                </pic:pic>
              </a:graphicData>
            </a:graphic>
          </wp:inline>
        </w:drawing>
      </w:r>
    </w:p>
    <w:p w14:paraId="05E7674D" w14:textId="77777777" w:rsidR="00D94736" w:rsidRPr="00D94736" w:rsidRDefault="00D94736" w:rsidP="00D94736"/>
    <w:p w14:paraId="19DA2522" w14:textId="00932430" w:rsidR="00590C8F" w:rsidRDefault="00590C8F" w:rsidP="00590C8F"/>
    <w:p w14:paraId="1AB8DE22" w14:textId="77777777" w:rsidR="00590C8F" w:rsidRDefault="00590C8F" w:rsidP="00590C8F">
      <w:pPr>
        <w:sectPr w:rsidR="00590C8F">
          <w:pgSz w:w="11906" w:h="16838"/>
          <w:pgMar w:top="1440" w:right="1440" w:bottom="1440" w:left="1440" w:header="708" w:footer="708" w:gutter="0"/>
          <w:cols w:space="708"/>
          <w:docGrid w:linePitch="360"/>
        </w:sectPr>
      </w:pPr>
    </w:p>
    <w:p w14:paraId="79926755" w14:textId="3B67DDE8" w:rsidR="00590C8F" w:rsidRPr="00590C8F" w:rsidRDefault="00590C8F" w:rsidP="00590C8F"/>
    <w:p w14:paraId="249095D1" w14:textId="77777777" w:rsidR="003E7137" w:rsidRPr="003E7137" w:rsidRDefault="003E7137" w:rsidP="003E7137"/>
    <w:p w14:paraId="019ECA9E" w14:textId="1C3D96BE" w:rsidR="00126BB0" w:rsidRDefault="005F3F17" w:rsidP="00590C8F">
      <w:pPr>
        <w:pStyle w:val="Heading1"/>
      </w:pPr>
      <w:r>
        <w:t>Intuition for different estimators</w:t>
      </w:r>
    </w:p>
    <w:p w14:paraId="44D972D7" w14:textId="77777777" w:rsidR="005F3F17" w:rsidRDefault="005F3F17" w:rsidP="005F3F17"/>
    <w:p w14:paraId="65176DDB" w14:textId="77777777" w:rsidR="005F3F17" w:rsidRDefault="005F3F17" w:rsidP="005F3F17"/>
    <w:p w14:paraId="0014067C" w14:textId="3A6D2C25" w:rsidR="00AC0243" w:rsidRDefault="005F3F17" w:rsidP="005F3F17">
      <w:r>
        <w:t>Th</w:t>
      </w:r>
      <w:r w:rsidR="00AC0243">
        <w:t xml:space="preserve">is section </w:t>
      </w:r>
      <w:r w:rsidR="0011467C">
        <w:t xml:space="preserve">provides simple intuition for the overidentified instrumental variable models: the inverse variance weighted (IVW) model, the median estimator, the mode estimator and the MR-Egger estimator. </w:t>
      </w:r>
    </w:p>
    <w:p w14:paraId="09435E49" w14:textId="7884DDFF" w:rsidR="0011467C" w:rsidRDefault="0011467C" w:rsidP="005F3F17"/>
    <w:p w14:paraId="72623F8C" w14:textId="09ABB7E3" w:rsidR="008E60B3" w:rsidRDefault="008E60B3" w:rsidP="008E60B3">
      <w:r>
        <w:t>Consider the following example. Twenty</w:t>
      </w:r>
      <w:r w:rsidR="00705610">
        <w:t xml:space="preserve"> hypothetical</w:t>
      </w:r>
      <w:r>
        <w:t xml:space="preserve"> </w:t>
      </w:r>
      <w:r w:rsidR="00705610">
        <w:t>SNPs</w:t>
      </w:r>
      <w:r>
        <w:t xml:space="preserve"> are represented in scatter plot below (Figure A1) using made-up data, with their position on the plane being fixed by their association (on the horizontal axis) with disease liability, and on the vertical axis by their association with the cost outcome. The line from the origin to any point is the causal effect of that variant, since the slope of such a line is measured by the ratio of the effect of the variant on the outcome divided by the effect of the SNP on disease liability. </w:t>
      </w:r>
    </w:p>
    <w:p w14:paraId="439EC470" w14:textId="77777777" w:rsidR="005F3F17" w:rsidRDefault="005F3F17" w:rsidP="005F3F17">
      <w:pPr>
        <w:rPr>
          <w:b/>
          <w:bCs/>
        </w:rPr>
      </w:pPr>
    </w:p>
    <w:p w14:paraId="3CE2D135" w14:textId="6E5B6A9D" w:rsidR="005F3F17" w:rsidRPr="00CC7909" w:rsidRDefault="005F3F17" w:rsidP="005F3F17">
      <w:pPr>
        <w:rPr>
          <w:b/>
          <w:bCs/>
        </w:rPr>
      </w:pPr>
      <w:r>
        <w:rPr>
          <w:b/>
          <w:bCs/>
        </w:rPr>
        <w:t>F</w:t>
      </w:r>
      <w:r w:rsidRPr="00CC7909">
        <w:rPr>
          <w:b/>
          <w:bCs/>
        </w:rPr>
        <w:t xml:space="preserve">igure </w:t>
      </w:r>
      <w:r w:rsidR="00610C36">
        <w:rPr>
          <w:b/>
          <w:bCs/>
        </w:rPr>
        <w:t>A</w:t>
      </w:r>
      <w:r w:rsidR="00F741E7">
        <w:rPr>
          <w:b/>
          <w:bCs/>
        </w:rPr>
        <w:t>2</w:t>
      </w:r>
      <w:r>
        <w:rPr>
          <w:b/>
          <w:bCs/>
        </w:rPr>
        <w:tab/>
        <w:t>Scatter plot of hypothetical causal estimates from twenty genetic variants</w:t>
      </w:r>
      <w:r w:rsidRPr="00CC7909">
        <w:rPr>
          <w:b/>
          <w:bCs/>
        </w:rPr>
        <w:tab/>
        <w:t xml:space="preserve"> </w:t>
      </w:r>
    </w:p>
    <w:p w14:paraId="6480B3E5" w14:textId="77777777" w:rsidR="005F3F17" w:rsidRDefault="005F3F17" w:rsidP="005F3F17"/>
    <w:p w14:paraId="388249A2" w14:textId="77777777" w:rsidR="005F3F17" w:rsidRDefault="005F3F17" w:rsidP="005F3F17">
      <w:r w:rsidRPr="00514D5B">
        <w:rPr>
          <w:noProof/>
        </w:rPr>
        <w:drawing>
          <wp:inline distT="0" distB="0" distL="0" distR="0" wp14:anchorId="69E959CF" wp14:editId="38274592">
            <wp:extent cx="5943600" cy="2044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044065"/>
                    </a:xfrm>
                    <a:prstGeom prst="rect">
                      <a:avLst/>
                    </a:prstGeom>
                    <a:noFill/>
                    <a:ln>
                      <a:noFill/>
                    </a:ln>
                  </pic:spPr>
                </pic:pic>
              </a:graphicData>
            </a:graphic>
          </wp:inline>
        </w:drawing>
      </w:r>
    </w:p>
    <w:p w14:paraId="794FA5D6" w14:textId="77777777" w:rsidR="005F3F17" w:rsidRDefault="005F3F17" w:rsidP="005F3F17"/>
    <w:p w14:paraId="0CADF7C7" w14:textId="09074B1D" w:rsidR="00610C36" w:rsidRDefault="00610C36" w:rsidP="005F3F17"/>
    <w:p w14:paraId="7FCDD4F0" w14:textId="538DC3DF" w:rsidR="008E60B3" w:rsidRDefault="008E60B3" w:rsidP="008E60B3">
      <w:r>
        <w:t xml:space="preserve">A useful starting point </w:t>
      </w:r>
      <w:r w:rsidR="00035016">
        <w:t xml:space="preserve">in approaching estimation of these relationships </w:t>
      </w:r>
      <w:r>
        <w:t xml:space="preserve">is to interpret conditional random allocation of genetic variation at conception as a type of randomized controlled trial, in which the individual is allocated to higher or lower susceptibility to disease. When many such variants are available, we may proceed, as in a conventional meta-analysis, to summarize their effects on the outcome in a manner that is potentially more informative than scrutiny of any one variant. </w:t>
      </w:r>
    </w:p>
    <w:p w14:paraId="3BD70FD4" w14:textId="77777777" w:rsidR="008E60B3" w:rsidRDefault="008E60B3" w:rsidP="005F3F17"/>
    <w:p w14:paraId="0BC99F07" w14:textId="715395E5" w:rsidR="00037C63" w:rsidRDefault="00610C36" w:rsidP="00037C63">
      <w:r>
        <w:t>To calculate the overall effect of all variants,</w:t>
      </w:r>
      <w:r w:rsidR="00035016">
        <w:t xml:space="preserve"> we may weight all 20 estimates by their precision and then calculate an overall inverse variance weighted effect. </w:t>
      </w:r>
      <w:r w:rsidR="00705610">
        <w:t>An</w:t>
      </w:r>
      <w:r w:rsidR="00035016">
        <w:t xml:space="preserve"> IVW estimator is </w:t>
      </w:r>
      <w:r w:rsidR="00035016">
        <w:lastRenderedPageBreak/>
        <w:t xml:space="preserve">shown in the second panel of Figure A1. </w:t>
      </w:r>
      <w:r>
        <w:t xml:space="preserve"> </w:t>
      </w:r>
      <w:r w:rsidR="00037C63">
        <w:t xml:space="preserve">Note that line summarizing the IVW effect of all twenty estimators must pass through the origin, since summary causal effects are determined only by the ratio of the effect of variants on the outcome to effects of variants on disease liability. This is a direct consequence of the exclusion restriction: there should be no effect of any variant on the outcome that does not also affect liability to disease. </w:t>
      </w:r>
    </w:p>
    <w:p w14:paraId="50E67EAC" w14:textId="77777777" w:rsidR="00037C63" w:rsidRDefault="00037C63" w:rsidP="00037C63"/>
    <w:p w14:paraId="35966FFD" w14:textId="39C78C81" w:rsidR="00037C63" w:rsidRDefault="00037C63" w:rsidP="00037C63">
      <w:r>
        <w:t xml:space="preserve">A random-effects meta-analysis allows some or all variants to have pleiotropic effects in violation of the exclusion restriction, but assumes that the effect of this pleiotropy “balances out” so that pleiotropy that increases the causal effect estimate is matched by pleiotropy that reduces the causal effect estimate. Thus, the effect size is estimated without bias, although with a greater standard error than would be the case without variation induced by horizontal pleiotropy. </w:t>
      </w:r>
    </w:p>
    <w:p w14:paraId="5CFEB256" w14:textId="320C6702" w:rsidR="00037C63" w:rsidRDefault="00037C63" w:rsidP="00037C63"/>
    <w:p w14:paraId="110768FB" w14:textId="795C0FF8" w:rsidR="00B86D6B" w:rsidRDefault="00037C63" w:rsidP="00037C63">
      <w:r>
        <w:t xml:space="preserve">Cochran’s Q, defined in the main text, may indicate the presence of heterogeneity caused by horizontal pleiotropy. One mechanism to generate heterogeneity of this type would be the influence of a variant on the outcome through multiple independent channels. If so, </w:t>
      </w:r>
      <w:r w:rsidR="000A042E">
        <w:t xml:space="preserve">alternatives to the IVW estimator </w:t>
      </w:r>
      <w:r w:rsidR="00256E18">
        <w:t>may be analyzed</w:t>
      </w:r>
      <w:r w:rsidR="00B86D6B">
        <w:t>.</w:t>
      </w:r>
      <w:r w:rsidR="001902FD">
        <w:t xml:space="preserve"> Note that the vertical distance </w:t>
      </w:r>
      <w:r w:rsidR="003A3871">
        <w:t xml:space="preserve">from any one point to the IVW line reflects the contribution of the variant represented by that point to the Q statistic. This motivates the use of the Radial MR technique described in the main text. </w:t>
      </w:r>
    </w:p>
    <w:p w14:paraId="7A414F4A" w14:textId="77777777" w:rsidR="00256E18" w:rsidRDefault="00256E18" w:rsidP="00037C63"/>
    <w:p w14:paraId="16045BEB" w14:textId="1AE77BF2" w:rsidR="00F741E7" w:rsidRDefault="00256E18" w:rsidP="00037C63">
      <w:r>
        <w:t xml:space="preserve">Median-based estimators </w:t>
      </w:r>
      <w:r>
        <w:fldChar w:fldCharType="begin"/>
      </w:r>
      <w:r w:rsidR="00CD259B">
        <w:instrText xml:space="preserve"> ADDIN EN.CITE &lt;EndNote&gt;&lt;Cite&gt;&lt;Author&gt;Bowden&lt;/Author&gt;&lt;Year&gt;2016&lt;/Year&gt;&lt;RecNum&gt;876&lt;/RecNum&gt;&lt;DisplayText&gt;(1)&lt;/DisplayText&gt;&lt;record&gt;&lt;rec-number&gt;876&lt;/rec-number&gt;&lt;foreign-keys&gt;&lt;key app="EN" db-id="es0dztxak5dp0hetr03ps0ta20v55d992adr" timestamp="1464953293"&gt;876&lt;/key&gt;&lt;/foreign-keys&gt;&lt;ref-type name="Journal Article"&gt;17&lt;/ref-type&gt;&lt;contributors&gt;&lt;authors&gt;&lt;author&gt;Bowden, Jack&lt;/author&gt;&lt;author&gt;Davey Smith, George&lt;/author&gt;&lt;author&gt;Haycock, Philip C.&lt;/author&gt;&lt;author&gt;Burgess, Stephen&lt;/author&gt;&lt;/authors&gt;&lt;/contributors&gt;&lt;titles&gt;&lt;title&gt;Consistent Estimation in Mendelian Randomization with Some Invalid Instruments Using a Weighted Median Estimator&lt;/title&gt;&lt;secondary-title&gt;Genetic Epidemiology&lt;/secondary-title&gt;&lt;/titles&gt;&lt;periodical&gt;&lt;full-title&gt;Genetic Epidemiology&lt;/full-title&gt;&lt;abbr-1&gt;Genet. Epidemiol.&lt;/abbr-1&gt;&lt;abbr-2&gt;Genet Epidemiol&lt;/abbr-2&gt;&lt;/periodical&gt;&lt;pages&gt;304-314&lt;/pages&gt;&lt;volume&gt;40&lt;/volume&gt;&lt;number&gt;4&lt;/number&gt;&lt;keywords&gt;&lt;keyword&gt;Mendelian randomization&lt;/keyword&gt;&lt;keyword&gt;instrumental variables&lt;/keyword&gt;&lt;keyword&gt;robust statistics&lt;/keyword&gt;&lt;keyword&gt;Egger regression&lt;/keyword&gt;&lt;keyword&gt;pleiotropy&lt;/keyword&gt;&lt;/keywords&gt;&lt;dates&gt;&lt;year&gt;2016&lt;/year&gt;&lt;/dates&gt;&lt;isbn&gt;1098-2272&lt;/isbn&gt;&lt;urls&gt;&lt;related-urls&gt;&lt;url&gt;http://dx.doi.org/10.1002/gepi.21965&lt;/url&gt;&lt;/related-urls&gt;&lt;/urls&gt;&lt;electronic-resource-num&gt;10.1002/gepi.21965&lt;/electronic-resource-</w:instrText>
      </w:r>
      <w:r w:rsidR="00CD259B">
        <w:lastRenderedPageBreak/>
        <w:instrText>num&gt;&lt;/record&gt;&lt;/Cite&gt;&lt;/EndNote&gt;</w:instrText>
      </w:r>
      <w:r>
        <w:fldChar w:fldCharType="separate"/>
      </w:r>
      <w:r w:rsidR="00CD259B">
        <w:rPr>
          <w:noProof/>
        </w:rPr>
        <w:t>(1)</w:t>
      </w:r>
      <w:r>
        <w:fldChar w:fldCharType="end"/>
      </w:r>
      <w:r>
        <w:t xml:space="preserve"> assume that the median estimate, constructed by forming an empirical density of all estimates, is unbiased. Excluding pleiotropic variants will mean that they offer no weight to the calculation of the overall summary effect. For example,</w:t>
      </w:r>
      <w:r w:rsidR="00CE4A05">
        <w:t xml:space="preserve"> it might be the case the variants highlighted below are excluded by a median-based estimator, with the consequence that the estimate of causal effect (i.e. the slope of the line) is different than the IVW estimator which included all SNPs.</w:t>
      </w:r>
      <w:r w:rsidR="00816531">
        <w:t xml:space="preserve"> Note that the set of excluded variants in this and subsequent figures is not intended to be realistic, but instead simply to illustrate the point that include different sets of variants in an analysis may lead to a change in the causal effect estimate. </w:t>
      </w:r>
    </w:p>
    <w:p w14:paraId="3D8AB9A6" w14:textId="0E00DAC4" w:rsidR="004746FD" w:rsidRDefault="004746FD" w:rsidP="00037C63"/>
    <w:p w14:paraId="51D5534A" w14:textId="7FE91FA9" w:rsidR="004746FD" w:rsidRDefault="004746FD" w:rsidP="00037C63"/>
    <w:p w14:paraId="2D70982C" w14:textId="538A9A8A" w:rsidR="004746FD" w:rsidRDefault="004746FD" w:rsidP="00037C63"/>
    <w:p w14:paraId="07576FB6" w14:textId="406548D9" w:rsidR="004746FD" w:rsidRDefault="004746FD" w:rsidP="00037C63"/>
    <w:p w14:paraId="08A87B5C" w14:textId="429139AF" w:rsidR="004746FD" w:rsidRDefault="004746FD" w:rsidP="00037C63"/>
    <w:p w14:paraId="585ED06E" w14:textId="486EEE57" w:rsidR="004746FD" w:rsidRDefault="004746FD" w:rsidP="00037C63"/>
    <w:p w14:paraId="62BA6C66" w14:textId="24DD7B5E" w:rsidR="004746FD" w:rsidRDefault="004746FD" w:rsidP="00037C63"/>
    <w:p w14:paraId="5FD297B8" w14:textId="2D134E21" w:rsidR="004746FD" w:rsidRDefault="004746FD" w:rsidP="00037C63"/>
    <w:p w14:paraId="58A90B1F" w14:textId="681C9ADF" w:rsidR="004746FD" w:rsidRDefault="004746FD" w:rsidP="00037C63"/>
    <w:p w14:paraId="2C6E4B75" w14:textId="77777777" w:rsidR="004746FD" w:rsidRDefault="004746FD" w:rsidP="00037C63"/>
    <w:p w14:paraId="5D63DAC6" w14:textId="77777777" w:rsidR="00816531" w:rsidRDefault="00816531" w:rsidP="00037C63"/>
    <w:p w14:paraId="3084DAA1" w14:textId="15A2F26E" w:rsidR="00F741E7" w:rsidRPr="00CC7909" w:rsidRDefault="00F741E7" w:rsidP="00F741E7">
      <w:pPr>
        <w:rPr>
          <w:b/>
          <w:bCs/>
        </w:rPr>
      </w:pPr>
      <w:r>
        <w:rPr>
          <w:b/>
          <w:bCs/>
        </w:rPr>
        <w:t>F</w:t>
      </w:r>
      <w:r w:rsidRPr="00CC7909">
        <w:rPr>
          <w:b/>
          <w:bCs/>
        </w:rPr>
        <w:t xml:space="preserve">igure </w:t>
      </w:r>
      <w:r>
        <w:rPr>
          <w:b/>
          <w:bCs/>
        </w:rPr>
        <w:t>A</w:t>
      </w:r>
      <w:r>
        <w:rPr>
          <w:b/>
          <w:bCs/>
        </w:rPr>
        <w:t>3</w:t>
      </w:r>
      <w:r>
        <w:rPr>
          <w:b/>
          <w:bCs/>
        </w:rPr>
        <w:tab/>
        <w:t xml:space="preserve">Scatter plot of hypothetical causal estimates </w:t>
      </w:r>
      <w:r>
        <w:rPr>
          <w:b/>
          <w:bCs/>
        </w:rPr>
        <w:t>and a median causal estimate</w:t>
      </w:r>
      <w:r w:rsidRPr="00CC7909">
        <w:rPr>
          <w:b/>
          <w:bCs/>
        </w:rPr>
        <w:tab/>
        <w:t xml:space="preserve"> </w:t>
      </w:r>
    </w:p>
    <w:p w14:paraId="7E30C866" w14:textId="77777777" w:rsidR="00F741E7" w:rsidRDefault="00F741E7" w:rsidP="00037C63"/>
    <w:p w14:paraId="01799F17" w14:textId="31D8D666" w:rsidR="00B86D6B" w:rsidRDefault="00B86D6B" w:rsidP="00037C63"/>
    <w:p w14:paraId="303E9892" w14:textId="0974542B" w:rsidR="00CE4A05" w:rsidRDefault="00080338" w:rsidP="00037C63">
      <w:r w:rsidRPr="00080338">
        <w:rPr>
          <w:noProof/>
        </w:rPr>
        <w:drawing>
          <wp:inline distT="0" distB="0" distL="0" distR="0" wp14:anchorId="7C33D798" wp14:editId="7AB9201C">
            <wp:extent cx="5731510" cy="2896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896235"/>
                    </a:xfrm>
                    <a:prstGeom prst="rect">
                      <a:avLst/>
                    </a:prstGeom>
                    <a:noFill/>
                    <a:ln>
                      <a:noFill/>
                    </a:ln>
                  </pic:spPr>
                </pic:pic>
              </a:graphicData>
            </a:graphic>
          </wp:inline>
        </w:drawing>
      </w:r>
    </w:p>
    <w:p w14:paraId="1A4472E0" w14:textId="77777777" w:rsidR="00080338" w:rsidRDefault="00080338" w:rsidP="00037C63"/>
    <w:p w14:paraId="7ADE86EF" w14:textId="23AC54BE" w:rsidR="00037C63" w:rsidRDefault="00CE4A05" w:rsidP="00037C63">
      <w:r>
        <w:t xml:space="preserve">A related method makes an assumption that modal values of individual variants are not in violation of the exclusion restriction </w:t>
      </w:r>
      <w:r>
        <w:fldChar w:fldCharType="begin"/>
      </w:r>
      <w:r w:rsidR="00CD259B">
        <w:instrText xml:space="preserve"> ADDIN EN.CITE &lt;EndNote&gt;&lt;Cite&gt;&lt;Author&gt;Hartwig&lt;/Author&gt;&lt;Year&gt;2017&lt;/Year&gt;&lt;RecNum&gt;1257&lt;/RecNum&gt;&lt;DisplayText&gt;(2)&lt;/DisplayText&gt;&lt;record&gt;&lt;rec-number&gt;1257&lt;/rec-number&gt;&lt;foreign-keys&gt;&lt;key app="EN" db-id="es0dztxak5dp0hetr03ps0ta20v55d992adr" timestamp="1574261138"&gt;1257&lt;/key&gt;&lt;/foreign-keys&gt;&lt;ref-type name="Journal Article"&gt;17&lt;/ref-type&gt;&lt;contributors&gt;&lt;authors&gt;&lt;author&gt;Hartwig, Fernando Pires&lt;/author&gt;&lt;author&gt;Davey Smith, George&lt;/author&gt;&lt;author&gt;Bowden, Jack&lt;/author&gt;&lt;/authors&gt;&lt;/contributors&gt;&lt;titles&gt;&lt;title&gt;Robust inference in summary data Mendelian randomization via the zero modal pleiotropy assumption&lt;/title&gt;&lt;secondary-title&gt;International journal of epidemiology&lt;/secondary-title&gt;&lt;/titles&gt;&lt;periodical&gt;&lt;full-title&gt;International Journal of Epidemiology&lt;/full-title&gt;&lt;abbr-1&gt;Int. J. Epidemiol.&lt;/abbr-1&gt;&lt;abbr-2&gt;Int J Epidemiol&lt;/abbr-2&gt;&lt;/periodical&gt;&lt;pages&gt;1985-1998&lt;/pages&gt;&lt;volume&gt;46&lt;/volume&gt;&lt;number&gt;6&lt;/number&gt;&lt;dates&gt;&lt;year&gt;2017&lt;/year&gt;&lt;/dates&gt;&lt;publisher&gt;Oxford University Press&lt;/publisher&gt;&lt;isbn&gt;0300-</w:instrText>
      </w:r>
      <w:r w:rsidR="00CD259B">
        <w:lastRenderedPageBreak/>
        <w:instrText>5771&lt;/isbn&gt;&lt;urls&gt;&lt;/urls&gt;&lt;/record&gt;&lt;/Cite&gt;&lt;/EndNote&gt;</w:instrText>
      </w:r>
      <w:r>
        <w:fldChar w:fldCharType="separate"/>
      </w:r>
      <w:r w:rsidR="00CD259B">
        <w:rPr>
          <w:noProof/>
        </w:rPr>
        <w:t>(2)</w:t>
      </w:r>
      <w:r>
        <w:fldChar w:fldCharType="end"/>
      </w:r>
      <w:r>
        <w:t>. This permits some SNPs, possibly most SNPs, to be pleiotropic and therefore in violation of the exclusion restriction, provided that the modal variants, or modal set of variants</w:t>
      </w:r>
      <w:r w:rsidR="0033648B">
        <w:t>,</w:t>
      </w:r>
      <w:r>
        <w:t xml:space="preserve"> are unbiased</w:t>
      </w:r>
      <w:r w:rsidR="00EC5366">
        <w:t xml:space="preserve"> (Figure A3)</w:t>
      </w:r>
      <w:r w:rsidR="00F741E7">
        <w:t>.</w:t>
      </w:r>
    </w:p>
    <w:p w14:paraId="253BD25E" w14:textId="030235B8" w:rsidR="00F741E7" w:rsidRDefault="00F741E7" w:rsidP="00037C63"/>
    <w:p w14:paraId="3B264FF9" w14:textId="77777777" w:rsidR="004746FD" w:rsidRDefault="004746FD" w:rsidP="00037C63">
      <w:pPr>
        <w:rPr>
          <w:b/>
          <w:bCs/>
        </w:rPr>
      </w:pPr>
    </w:p>
    <w:p w14:paraId="15682727" w14:textId="77777777" w:rsidR="004746FD" w:rsidRDefault="004746FD" w:rsidP="00037C63">
      <w:pPr>
        <w:rPr>
          <w:b/>
          <w:bCs/>
        </w:rPr>
      </w:pPr>
    </w:p>
    <w:p w14:paraId="7DB3EE02" w14:textId="77777777" w:rsidR="004746FD" w:rsidRDefault="004746FD" w:rsidP="00037C63">
      <w:pPr>
        <w:rPr>
          <w:b/>
          <w:bCs/>
        </w:rPr>
      </w:pPr>
    </w:p>
    <w:p w14:paraId="01380E02" w14:textId="77777777" w:rsidR="004746FD" w:rsidRDefault="004746FD" w:rsidP="00037C63">
      <w:pPr>
        <w:rPr>
          <w:b/>
          <w:bCs/>
        </w:rPr>
      </w:pPr>
    </w:p>
    <w:p w14:paraId="25CA9EB4" w14:textId="77777777" w:rsidR="004746FD" w:rsidRDefault="004746FD" w:rsidP="00037C63">
      <w:pPr>
        <w:rPr>
          <w:b/>
          <w:bCs/>
        </w:rPr>
      </w:pPr>
    </w:p>
    <w:p w14:paraId="05061058" w14:textId="77777777" w:rsidR="004746FD" w:rsidRDefault="004746FD" w:rsidP="00037C63">
      <w:pPr>
        <w:rPr>
          <w:b/>
          <w:bCs/>
        </w:rPr>
      </w:pPr>
    </w:p>
    <w:p w14:paraId="2790452A" w14:textId="77777777" w:rsidR="004746FD" w:rsidRDefault="004746FD" w:rsidP="00037C63">
      <w:pPr>
        <w:rPr>
          <w:b/>
          <w:bCs/>
        </w:rPr>
      </w:pPr>
    </w:p>
    <w:p w14:paraId="544A6AD1" w14:textId="77777777" w:rsidR="004746FD" w:rsidRDefault="004746FD" w:rsidP="00037C63">
      <w:pPr>
        <w:rPr>
          <w:b/>
          <w:bCs/>
        </w:rPr>
      </w:pPr>
    </w:p>
    <w:p w14:paraId="3EFED617" w14:textId="77777777" w:rsidR="004746FD" w:rsidRDefault="004746FD" w:rsidP="00037C63">
      <w:pPr>
        <w:rPr>
          <w:b/>
          <w:bCs/>
        </w:rPr>
      </w:pPr>
    </w:p>
    <w:p w14:paraId="1CC9AF74" w14:textId="77777777" w:rsidR="004746FD" w:rsidRDefault="004746FD" w:rsidP="00037C63">
      <w:pPr>
        <w:rPr>
          <w:b/>
          <w:bCs/>
        </w:rPr>
      </w:pPr>
    </w:p>
    <w:p w14:paraId="011EC026" w14:textId="77777777" w:rsidR="004746FD" w:rsidRDefault="004746FD" w:rsidP="00037C63">
      <w:pPr>
        <w:rPr>
          <w:b/>
          <w:bCs/>
        </w:rPr>
      </w:pPr>
    </w:p>
    <w:p w14:paraId="7EAC5217" w14:textId="77777777" w:rsidR="004746FD" w:rsidRDefault="004746FD" w:rsidP="00037C63">
      <w:pPr>
        <w:rPr>
          <w:b/>
          <w:bCs/>
        </w:rPr>
      </w:pPr>
    </w:p>
    <w:p w14:paraId="3A74076D" w14:textId="77777777" w:rsidR="004746FD" w:rsidRDefault="004746FD" w:rsidP="00037C63">
      <w:pPr>
        <w:rPr>
          <w:b/>
          <w:bCs/>
        </w:rPr>
      </w:pPr>
    </w:p>
    <w:p w14:paraId="1171C6CD" w14:textId="77777777" w:rsidR="004746FD" w:rsidRDefault="004746FD" w:rsidP="00037C63">
      <w:pPr>
        <w:rPr>
          <w:b/>
          <w:bCs/>
        </w:rPr>
      </w:pPr>
    </w:p>
    <w:p w14:paraId="597AD881" w14:textId="77777777" w:rsidR="004746FD" w:rsidRDefault="004746FD" w:rsidP="00037C63">
      <w:pPr>
        <w:rPr>
          <w:b/>
          <w:bCs/>
        </w:rPr>
      </w:pPr>
    </w:p>
    <w:p w14:paraId="5B890BAB" w14:textId="77777777" w:rsidR="004746FD" w:rsidRDefault="004746FD" w:rsidP="00037C63">
      <w:pPr>
        <w:rPr>
          <w:b/>
          <w:bCs/>
        </w:rPr>
      </w:pPr>
    </w:p>
    <w:p w14:paraId="06D397F5" w14:textId="58D0C100" w:rsidR="00F741E7" w:rsidRPr="00F741E7" w:rsidRDefault="00F741E7" w:rsidP="00037C63">
      <w:pPr>
        <w:rPr>
          <w:b/>
          <w:bCs/>
        </w:rPr>
      </w:pPr>
      <w:r>
        <w:rPr>
          <w:b/>
          <w:bCs/>
        </w:rPr>
        <w:t>F</w:t>
      </w:r>
      <w:r w:rsidRPr="00CC7909">
        <w:rPr>
          <w:b/>
          <w:bCs/>
        </w:rPr>
        <w:t xml:space="preserve">igure </w:t>
      </w:r>
      <w:r>
        <w:rPr>
          <w:b/>
          <w:bCs/>
        </w:rPr>
        <w:t>A</w:t>
      </w:r>
      <w:r>
        <w:rPr>
          <w:b/>
          <w:bCs/>
        </w:rPr>
        <w:t>4</w:t>
      </w:r>
      <w:r>
        <w:rPr>
          <w:b/>
          <w:bCs/>
        </w:rPr>
        <w:tab/>
        <w:t>Scatter plot of hypothetical causal estimates and a m</w:t>
      </w:r>
      <w:r>
        <w:rPr>
          <w:b/>
          <w:bCs/>
        </w:rPr>
        <w:t xml:space="preserve">odal </w:t>
      </w:r>
      <w:r>
        <w:rPr>
          <w:b/>
          <w:bCs/>
        </w:rPr>
        <w:t>causal estimate</w:t>
      </w:r>
      <w:r w:rsidRPr="00CC7909">
        <w:rPr>
          <w:b/>
          <w:bCs/>
        </w:rPr>
        <w:tab/>
        <w:t xml:space="preserve"> </w:t>
      </w:r>
    </w:p>
    <w:p w14:paraId="45EB7D61" w14:textId="77777777" w:rsidR="00037C63" w:rsidRDefault="00037C63" w:rsidP="00037C63"/>
    <w:p w14:paraId="0C11C188" w14:textId="7EC43163" w:rsidR="0036215F" w:rsidRDefault="00080338" w:rsidP="005F3F17">
      <w:r w:rsidRPr="00080338">
        <w:rPr>
          <w:noProof/>
        </w:rPr>
        <w:drawing>
          <wp:inline distT="0" distB="0" distL="0" distR="0" wp14:anchorId="0DC621FF" wp14:editId="2D662CA0">
            <wp:extent cx="5731510" cy="37515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751580"/>
                    </a:xfrm>
                    <a:prstGeom prst="rect">
                      <a:avLst/>
                    </a:prstGeom>
                    <a:noFill/>
                    <a:ln>
                      <a:noFill/>
                    </a:ln>
                  </pic:spPr>
                </pic:pic>
              </a:graphicData>
            </a:graphic>
          </wp:inline>
        </w:drawing>
      </w:r>
    </w:p>
    <w:p w14:paraId="74EB2AF1" w14:textId="77777777" w:rsidR="00080338" w:rsidRDefault="00080338" w:rsidP="005F3F17"/>
    <w:p w14:paraId="3E660498" w14:textId="0529AC6A" w:rsidR="00126BB0" w:rsidRDefault="001902FD" w:rsidP="00126BB0">
      <w:r>
        <w:t>The</w:t>
      </w:r>
      <w:r w:rsidR="00EC5366">
        <w:t xml:space="preserve"> MR Egger estimator </w:t>
      </w:r>
      <w:r w:rsidR="00355746">
        <w:t>does not constrain</w:t>
      </w:r>
      <w:r w:rsidR="00C215AD">
        <w:t xml:space="preserve"> the intercept in the scatter plot to be zero. The intercept represents the average pleiotropic effect from all SNPs. MR Egger may produce asymptotically unbiased estimates </w:t>
      </w:r>
      <w:r w:rsidR="00964C44">
        <w:t>even if all include SNPs are pleiotropic (Figure A4)</w:t>
      </w:r>
      <w:r w:rsidR="00080338">
        <w:t>.</w:t>
      </w:r>
    </w:p>
    <w:p w14:paraId="2AC80147" w14:textId="339183D3" w:rsidR="00F741E7" w:rsidRDefault="00F741E7" w:rsidP="00126BB0"/>
    <w:p w14:paraId="707B1449" w14:textId="3CC61E2B" w:rsidR="004746FD" w:rsidRDefault="004746FD" w:rsidP="00126BB0"/>
    <w:p w14:paraId="178035F5" w14:textId="2CA2C5C8" w:rsidR="004746FD" w:rsidRDefault="004746FD" w:rsidP="00126BB0"/>
    <w:p w14:paraId="7B8A51F5" w14:textId="77777777" w:rsidR="004746FD" w:rsidRDefault="004746FD" w:rsidP="00126BB0"/>
    <w:p w14:paraId="69DF7A1D" w14:textId="3D5C984E" w:rsidR="00F741E7" w:rsidRDefault="00F741E7" w:rsidP="00126BB0"/>
    <w:p w14:paraId="244BC626" w14:textId="09FD632B" w:rsidR="00F741E7" w:rsidRDefault="00F741E7" w:rsidP="00126BB0"/>
    <w:p w14:paraId="58D22769" w14:textId="113EC93B" w:rsidR="00F741E7" w:rsidRDefault="00F741E7" w:rsidP="00126BB0"/>
    <w:p w14:paraId="30BA86FE" w14:textId="7ED99EB4" w:rsidR="00F741E7" w:rsidRDefault="00F741E7" w:rsidP="00126BB0"/>
    <w:p w14:paraId="7DAA56D3" w14:textId="0AD1CB2D" w:rsidR="00F741E7" w:rsidRDefault="00F741E7" w:rsidP="00126BB0"/>
    <w:p w14:paraId="2D6C2DD4" w14:textId="2A26E580" w:rsidR="00F741E7" w:rsidRDefault="00F741E7" w:rsidP="00126BB0"/>
    <w:p w14:paraId="313F1DEB" w14:textId="5D6B7F9C" w:rsidR="00F741E7" w:rsidRDefault="00F741E7" w:rsidP="00126BB0"/>
    <w:p w14:paraId="000B6934" w14:textId="50CFA816" w:rsidR="00F741E7" w:rsidRDefault="00F741E7" w:rsidP="00126BB0"/>
    <w:p w14:paraId="497036AD" w14:textId="70EE546D" w:rsidR="00F741E7" w:rsidRDefault="00F741E7" w:rsidP="00126BB0"/>
    <w:p w14:paraId="0229C1AD" w14:textId="16F7C8DD" w:rsidR="00F741E7" w:rsidRDefault="00F741E7" w:rsidP="00126BB0"/>
    <w:p w14:paraId="3AE196E9" w14:textId="7B674434" w:rsidR="00F741E7" w:rsidRDefault="00F741E7" w:rsidP="00126BB0"/>
    <w:p w14:paraId="64D4CFCB" w14:textId="48AC331F" w:rsidR="00F741E7" w:rsidRPr="00CC7909" w:rsidRDefault="00F741E7" w:rsidP="00F741E7">
      <w:pPr>
        <w:rPr>
          <w:b/>
          <w:bCs/>
        </w:rPr>
      </w:pPr>
      <w:r>
        <w:rPr>
          <w:b/>
          <w:bCs/>
        </w:rPr>
        <w:lastRenderedPageBreak/>
        <w:t>F</w:t>
      </w:r>
      <w:r w:rsidRPr="00CC7909">
        <w:rPr>
          <w:b/>
          <w:bCs/>
        </w:rPr>
        <w:t xml:space="preserve">igure </w:t>
      </w:r>
      <w:r>
        <w:rPr>
          <w:b/>
          <w:bCs/>
        </w:rPr>
        <w:t>A</w:t>
      </w:r>
      <w:r>
        <w:rPr>
          <w:b/>
          <w:bCs/>
        </w:rPr>
        <w:t>5</w:t>
      </w:r>
      <w:r>
        <w:rPr>
          <w:b/>
          <w:bCs/>
        </w:rPr>
        <w:tab/>
        <w:t xml:space="preserve">Scatter plot of hypothetical causal estimates and a </w:t>
      </w:r>
      <w:r>
        <w:rPr>
          <w:b/>
          <w:bCs/>
        </w:rPr>
        <w:t xml:space="preserve">MR Egger </w:t>
      </w:r>
      <w:r>
        <w:rPr>
          <w:b/>
          <w:bCs/>
        </w:rPr>
        <w:t>causal estimate</w:t>
      </w:r>
      <w:r w:rsidRPr="00CC7909">
        <w:rPr>
          <w:b/>
          <w:bCs/>
        </w:rPr>
        <w:tab/>
        <w:t xml:space="preserve"> </w:t>
      </w:r>
    </w:p>
    <w:p w14:paraId="43B07DBF" w14:textId="77777777" w:rsidR="00F741E7" w:rsidRDefault="00F741E7" w:rsidP="00126BB0"/>
    <w:p w14:paraId="514FA97C" w14:textId="7825D5C2" w:rsidR="00080338" w:rsidRDefault="00080338" w:rsidP="00126BB0"/>
    <w:p w14:paraId="5E8670E8" w14:textId="4DE4556E" w:rsidR="00080338" w:rsidRDefault="00080338" w:rsidP="00126BB0">
      <w:r w:rsidRPr="00080338">
        <w:rPr>
          <w:noProof/>
        </w:rPr>
        <w:drawing>
          <wp:inline distT="0" distB="0" distL="0" distR="0" wp14:anchorId="271C9AC1" wp14:editId="41E88B13">
            <wp:extent cx="5731510" cy="2899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899410"/>
                    </a:xfrm>
                    <a:prstGeom prst="rect">
                      <a:avLst/>
                    </a:prstGeom>
                    <a:noFill/>
                    <a:ln>
                      <a:noFill/>
                    </a:ln>
                  </pic:spPr>
                </pic:pic>
              </a:graphicData>
            </a:graphic>
          </wp:inline>
        </w:drawing>
      </w:r>
    </w:p>
    <w:p w14:paraId="4BAE4869" w14:textId="49B3DDB2" w:rsidR="001902FD" w:rsidRDefault="001902FD" w:rsidP="00126BB0"/>
    <w:p w14:paraId="144CC311" w14:textId="01F7C856" w:rsidR="00CD259B" w:rsidRDefault="00CD259B" w:rsidP="00126BB0">
      <w:r>
        <w:t xml:space="preserve">The next section presents scatter plots for all six disease phenotypes using the analysis sample described in the main text.  </w:t>
      </w:r>
    </w:p>
    <w:p w14:paraId="13F7647E" w14:textId="77777777" w:rsidR="00CD259B" w:rsidRDefault="00CD259B" w:rsidP="00126BB0"/>
    <w:p w14:paraId="58A5658D" w14:textId="197AC4C4" w:rsidR="00E66313" w:rsidRDefault="00E66313" w:rsidP="00590C8F">
      <w:pPr>
        <w:pStyle w:val="Heading1"/>
      </w:pPr>
      <w:r>
        <w:t>Scatter plots</w:t>
      </w:r>
      <w:r w:rsidR="00964C44">
        <w:t xml:space="preserve"> for all six disease phenotypes</w:t>
      </w:r>
    </w:p>
    <w:p w14:paraId="43CFA680" w14:textId="474C9527" w:rsidR="00E66313" w:rsidRDefault="00E66313" w:rsidP="00E66313">
      <w:r>
        <w:t xml:space="preserve">This section presents scatter plots of the SNP-disease and SNP-outcome associations for all six disease phenotypes. </w:t>
      </w:r>
    </w:p>
    <w:p w14:paraId="6002E211" w14:textId="69A78B67" w:rsidR="00E66313" w:rsidRDefault="00E66313" w:rsidP="00E66313"/>
    <w:p w14:paraId="6B55A42C" w14:textId="77777777" w:rsidR="004746FD" w:rsidRDefault="004746FD" w:rsidP="00E66313">
      <w:pPr>
        <w:rPr>
          <w:b/>
          <w:bCs/>
        </w:rPr>
      </w:pPr>
    </w:p>
    <w:p w14:paraId="32B2C630" w14:textId="77777777" w:rsidR="004746FD" w:rsidRDefault="004746FD" w:rsidP="00E66313">
      <w:pPr>
        <w:rPr>
          <w:b/>
          <w:bCs/>
        </w:rPr>
      </w:pPr>
    </w:p>
    <w:p w14:paraId="6DBE1F49" w14:textId="77777777" w:rsidR="004746FD" w:rsidRDefault="004746FD" w:rsidP="00E66313">
      <w:pPr>
        <w:rPr>
          <w:b/>
          <w:bCs/>
        </w:rPr>
      </w:pPr>
    </w:p>
    <w:p w14:paraId="24852158" w14:textId="77777777" w:rsidR="004746FD" w:rsidRDefault="004746FD" w:rsidP="00E66313">
      <w:pPr>
        <w:rPr>
          <w:b/>
          <w:bCs/>
        </w:rPr>
      </w:pPr>
    </w:p>
    <w:p w14:paraId="6279CBCC" w14:textId="77777777" w:rsidR="004746FD" w:rsidRDefault="004746FD" w:rsidP="00E66313">
      <w:pPr>
        <w:rPr>
          <w:b/>
          <w:bCs/>
        </w:rPr>
      </w:pPr>
    </w:p>
    <w:p w14:paraId="1F32C89D" w14:textId="77777777" w:rsidR="004746FD" w:rsidRDefault="004746FD" w:rsidP="00E66313">
      <w:pPr>
        <w:rPr>
          <w:b/>
          <w:bCs/>
        </w:rPr>
      </w:pPr>
    </w:p>
    <w:p w14:paraId="0DF37BAD" w14:textId="77777777" w:rsidR="004746FD" w:rsidRDefault="004746FD" w:rsidP="00E66313">
      <w:pPr>
        <w:rPr>
          <w:b/>
          <w:bCs/>
        </w:rPr>
      </w:pPr>
    </w:p>
    <w:p w14:paraId="310F5B7A" w14:textId="77777777" w:rsidR="004746FD" w:rsidRDefault="004746FD" w:rsidP="00E66313">
      <w:pPr>
        <w:rPr>
          <w:b/>
          <w:bCs/>
        </w:rPr>
      </w:pPr>
    </w:p>
    <w:p w14:paraId="544A07F6" w14:textId="77777777" w:rsidR="004746FD" w:rsidRDefault="004746FD" w:rsidP="00E66313">
      <w:pPr>
        <w:rPr>
          <w:b/>
          <w:bCs/>
        </w:rPr>
      </w:pPr>
    </w:p>
    <w:p w14:paraId="6F479281" w14:textId="77777777" w:rsidR="004746FD" w:rsidRDefault="004746FD" w:rsidP="00E66313">
      <w:pPr>
        <w:rPr>
          <w:b/>
          <w:bCs/>
        </w:rPr>
      </w:pPr>
    </w:p>
    <w:p w14:paraId="64FDB137" w14:textId="77777777" w:rsidR="004746FD" w:rsidRDefault="004746FD" w:rsidP="00E66313">
      <w:pPr>
        <w:rPr>
          <w:b/>
          <w:bCs/>
        </w:rPr>
      </w:pPr>
    </w:p>
    <w:p w14:paraId="3D2A4F46" w14:textId="77777777" w:rsidR="004746FD" w:rsidRDefault="004746FD" w:rsidP="00E66313">
      <w:pPr>
        <w:rPr>
          <w:b/>
          <w:bCs/>
        </w:rPr>
      </w:pPr>
    </w:p>
    <w:p w14:paraId="1E3D3CC6" w14:textId="77777777" w:rsidR="004746FD" w:rsidRDefault="004746FD" w:rsidP="00E66313">
      <w:pPr>
        <w:rPr>
          <w:b/>
          <w:bCs/>
        </w:rPr>
      </w:pPr>
    </w:p>
    <w:p w14:paraId="7D342CD8" w14:textId="77777777" w:rsidR="004746FD" w:rsidRDefault="004746FD" w:rsidP="00E66313">
      <w:pPr>
        <w:rPr>
          <w:b/>
          <w:bCs/>
        </w:rPr>
      </w:pPr>
    </w:p>
    <w:p w14:paraId="5B6A5CDA" w14:textId="77777777" w:rsidR="004746FD" w:rsidRDefault="004746FD" w:rsidP="00E66313">
      <w:pPr>
        <w:rPr>
          <w:b/>
          <w:bCs/>
        </w:rPr>
      </w:pPr>
    </w:p>
    <w:p w14:paraId="306FADA7" w14:textId="77777777" w:rsidR="004746FD" w:rsidRDefault="004746FD" w:rsidP="00E66313">
      <w:pPr>
        <w:rPr>
          <w:b/>
          <w:bCs/>
        </w:rPr>
      </w:pPr>
    </w:p>
    <w:p w14:paraId="5B9BD777" w14:textId="1A79098A" w:rsidR="00E66313" w:rsidRDefault="007D4669" w:rsidP="00E66313">
      <w:pPr>
        <w:rPr>
          <w:b/>
          <w:bCs/>
        </w:rPr>
      </w:pPr>
      <w:r w:rsidRPr="008D4B20">
        <w:rPr>
          <w:b/>
          <w:bCs/>
        </w:rPr>
        <w:t>Figure A</w:t>
      </w:r>
      <w:r w:rsidR="008762AA">
        <w:rPr>
          <w:b/>
          <w:bCs/>
        </w:rPr>
        <w:t>6</w:t>
      </w:r>
      <w:r w:rsidRPr="008D4B20">
        <w:rPr>
          <w:b/>
          <w:bCs/>
        </w:rPr>
        <w:t xml:space="preserve"> Asthma</w:t>
      </w:r>
      <w:r w:rsidR="008D4B20">
        <w:rPr>
          <w:b/>
          <w:bCs/>
        </w:rPr>
        <w:t xml:space="preserve"> scatter plot</w:t>
      </w:r>
    </w:p>
    <w:p w14:paraId="180AD258" w14:textId="72342F04" w:rsidR="003F2737" w:rsidRDefault="003F2737" w:rsidP="00E66313">
      <w:pPr>
        <w:rPr>
          <w:b/>
          <w:bCs/>
        </w:rPr>
      </w:pPr>
    </w:p>
    <w:p w14:paraId="56FC9D5E" w14:textId="55D4464B" w:rsidR="003F2737" w:rsidRPr="008D4B20" w:rsidRDefault="003F2737" w:rsidP="00E66313">
      <w:pPr>
        <w:rPr>
          <w:b/>
          <w:bCs/>
        </w:rPr>
      </w:pPr>
      <w:r w:rsidRPr="003F2737">
        <w:rPr>
          <w:noProof/>
        </w:rPr>
        <w:lastRenderedPageBreak/>
        <w:drawing>
          <wp:inline distT="0" distB="0" distL="0" distR="0" wp14:anchorId="04705786" wp14:editId="048647ED">
            <wp:extent cx="5731510" cy="4301490"/>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301490"/>
                    </a:xfrm>
                    <a:prstGeom prst="rect">
                      <a:avLst/>
                    </a:prstGeom>
                    <a:noFill/>
                    <a:ln>
                      <a:noFill/>
                    </a:ln>
                  </pic:spPr>
                </pic:pic>
              </a:graphicData>
            </a:graphic>
          </wp:inline>
        </w:drawing>
      </w:r>
    </w:p>
    <w:p w14:paraId="0DC9F080" w14:textId="171C1221" w:rsidR="007D4669" w:rsidRDefault="007D4669" w:rsidP="00E66313"/>
    <w:p w14:paraId="2EC39C00" w14:textId="77777777" w:rsidR="001E4812" w:rsidRDefault="001E4812" w:rsidP="007D4669">
      <w:pPr>
        <w:rPr>
          <w:b/>
          <w:bCs/>
        </w:rPr>
      </w:pPr>
    </w:p>
    <w:p w14:paraId="5B2E8D87" w14:textId="77777777" w:rsidR="001E4812" w:rsidRDefault="001E4812" w:rsidP="007D4669">
      <w:pPr>
        <w:rPr>
          <w:b/>
          <w:bCs/>
        </w:rPr>
      </w:pPr>
    </w:p>
    <w:p w14:paraId="0B0F6367" w14:textId="77777777" w:rsidR="001E4812" w:rsidRDefault="001E4812" w:rsidP="007D4669">
      <w:pPr>
        <w:rPr>
          <w:b/>
          <w:bCs/>
        </w:rPr>
      </w:pPr>
    </w:p>
    <w:p w14:paraId="094BDB9E" w14:textId="77777777" w:rsidR="001E4812" w:rsidRDefault="001E4812" w:rsidP="007D4669">
      <w:pPr>
        <w:rPr>
          <w:b/>
          <w:bCs/>
        </w:rPr>
      </w:pPr>
    </w:p>
    <w:p w14:paraId="107B8F32" w14:textId="77777777" w:rsidR="001E4812" w:rsidRDefault="001E4812" w:rsidP="007D4669">
      <w:pPr>
        <w:rPr>
          <w:b/>
          <w:bCs/>
        </w:rPr>
      </w:pPr>
    </w:p>
    <w:p w14:paraId="4D0985B9" w14:textId="77777777" w:rsidR="001E4812" w:rsidRDefault="001E4812" w:rsidP="007D4669">
      <w:pPr>
        <w:rPr>
          <w:b/>
          <w:bCs/>
        </w:rPr>
      </w:pPr>
    </w:p>
    <w:p w14:paraId="3BF5414B" w14:textId="77777777" w:rsidR="001E4812" w:rsidRDefault="001E4812" w:rsidP="007D4669">
      <w:pPr>
        <w:rPr>
          <w:b/>
          <w:bCs/>
        </w:rPr>
      </w:pPr>
    </w:p>
    <w:p w14:paraId="27D92360" w14:textId="77777777" w:rsidR="001E4812" w:rsidRDefault="001E4812" w:rsidP="007D4669">
      <w:pPr>
        <w:rPr>
          <w:b/>
          <w:bCs/>
        </w:rPr>
      </w:pPr>
    </w:p>
    <w:p w14:paraId="3001566D" w14:textId="77777777" w:rsidR="001E4812" w:rsidRDefault="001E4812" w:rsidP="007D4669">
      <w:pPr>
        <w:rPr>
          <w:b/>
          <w:bCs/>
        </w:rPr>
      </w:pPr>
    </w:p>
    <w:p w14:paraId="20C098EC" w14:textId="77777777" w:rsidR="001E4812" w:rsidRDefault="001E4812" w:rsidP="007D4669">
      <w:pPr>
        <w:rPr>
          <w:b/>
          <w:bCs/>
        </w:rPr>
      </w:pPr>
    </w:p>
    <w:p w14:paraId="70FE6611" w14:textId="77777777" w:rsidR="001E4812" w:rsidRDefault="001E4812" w:rsidP="007D4669">
      <w:pPr>
        <w:rPr>
          <w:b/>
          <w:bCs/>
        </w:rPr>
      </w:pPr>
    </w:p>
    <w:p w14:paraId="5F2B48B7" w14:textId="77777777" w:rsidR="001E4812" w:rsidRDefault="001E4812" w:rsidP="007D4669">
      <w:pPr>
        <w:rPr>
          <w:b/>
          <w:bCs/>
        </w:rPr>
      </w:pPr>
    </w:p>
    <w:p w14:paraId="58BDABE6" w14:textId="77777777" w:rsidR="001E4812" w:rsidRDefault="001E4812" w:rsidP="007D4669">
      <w:pPr>
        <w:rPr>
          <w:b/>
          <w:bCs/>
        </w:rPr>
      </w:pPr>
    </w:p>
    <w:p w14:paraId="4C9BEBEC" w14:textId="77777777" w:rsidR="001E4812" w:rsidRDefault="001E4812" w:rsidP="007D4669">
      <w:pPr>
        <w:rPr>
          <w:b/>
          <w:bCs/>
        </w:rPr>
      </w:pPr>
    </w:p>
    <w:p w14:paraId="39EF6BC4" w14:textId="77777777" w:rsidR="001E4812" w:rsidRDefault="001E4812" w:rsidP="007D4669">
      <w:pPr>
        <w:rPr>
          <w:b/>
          <w:bCs/>
        </w:rPr>
      </w:pPr>
    </w:p>
    <w:p w14:paraId="52D7E407" w14:textId="77777777" w:rsidR="001E4812" w:rsidRDefault="001E4812" w:rsidP="007D4669">
      <w:pPr>
        <w:rPr>
          <w:b/>
          <w:bCs/>
        </w:rPr>
      </w:pPr>
    </w:p>
    <w:p w14:paraId="5C370FF1" w14:textId="31061EC9" w:rsidR="007D4669" w:rsidRDefault="007D4669" w:rsidP="007D4669">
      <w:pPr>
        <w:rPr>
          <w:b/>
          <w:bCs/>
        </w:rPr>
      </w:pPr>
      <w:r w:rsidRPr="008D4B20">
        <w:rPr>
          <w:b/>
          <w:bCs/>
        </w:rPr>
        <w:t>Figure A</w:t>
      </w:r>
      <w:r w:rsidR="008762AA">
        <w:rPr>
          <w:b/>
          <w:bCs/>
        </w:rPr>
        <w:t>7</w:t>
      </w:r>
      <w:r w:rsidRPr="008D4B20">
        <w:rPr>
          <w:b/>
          <w:bCs/>
        </w:rPr>
        <w:t xml:space="preserve"> Eczema</w:t>
      </w:r>
      <w:r w:rsidR="008D4B20">
        <w:rPr>
          <w:b/>
          <w:bCs/>
        </w:rPr>
        <w:t xml:space="preserve"> scatter plot</w:t>
      </w:r>
    </w:p>
    <w:p w14:paraId="22E38AEC" w14:textId="5BC1E5AD" w:rsidR="003F2737" w:rsidRDefault="003F2737" w:rsidP="007D4669">
      <w:pPr>
        <w:rPr>
          <w:b/>
          <w:bCs/>
        </w:rPr>
      </w:pPr>
    </w:p>
    <w:p w14:paraId="38951429" w14:textId="66ADB2B5" w:rsidR="003F2737" w:rsidRPr="008D4B20" w:rsidRDefault="003F2737" w:rsidP="007D4669">
      <w:pPr>
        <w:rPr>
          <w:b/>
          <w:bCs/>
        </w:rPr>
      </w:pPr>
      <w:r w:rsidRPr="003F2737">
        <w:rPr>
          <w:noProof/>
        </w:rPr>
        <w:lastRenderedPageBreak/>
        <w:drawing>
          <wp:inline distT="0" distB="0" distL="0" distR="0" wp14:anchorId="14BF4A46" wp14:editId="325B65BA">
            <wp:extent cx="5731510" cy="410400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104005"/>
                    </a:xfrm>
                    <a:prstGeom prst="rect">
                      <a:avLst/>
                    </a:prstGeom>
                    <a:noFill/>
                    <a:ln>
                      <a:noFill/>
                    </a:ln>
                  </pic:spPr>
                </pic:pic>
              </a:graphicData>
            </a:graphic>
          </wp:inline>
        </w:drawing>
      </w:r>
    </w:p>
    <w:p w14:paraId="2AF0353C" w14:textId="476B85E3" w:rsidR="007D4669" w:rsidRDefault="007D4669" w:rsidP="00E66313"/>
    <w:p w14:paraId="0BF97E11" w14:textId="77777777" w:rsidR="001E4812" w:rsidRDefault="001E4812" w:rsidP="007D4669">
      <w:pPr>
        <w:rPr>
          <w:b/>
          <w:bCs/>
        </w:rPr>
      </w:pPr>
    </w:p>
    <w:p w14:paraId="5015D0C4" w14:textId="77777777" w:rsidR="001E4812" w:rsidRDefault="001E4812" w:rsidP="007D4669">
      <w:pPr>
        <w:rPr>
          <w:b/>
          <w:bCs/>
        </w:rPr>
      </w:pPr>
    </w:p>
    <w:p w14:paraId="6CDE5663" w14:textId="77777777" w:rsidR="001E4812" w:rsidRDefault="001E4812" w:rsidP="007D4669">
      <w:pPr>
        <w:rPr>
          <w:b/>
          <w:bCs/>
        </w:rPr>
      </w:pPr>
    </w:p>
    <w:p w14:paraId="5B633CA6" w14:textId="77777777" w:rsidR="001E4812" w:rsidRDefault="001E4812" w:rsidP="007D4669">
      <w:pPr>
        <w:rPr>
          <w:b/>
          <w:bCs/>
        </w:rPr>
      </w:pPr>
    </w:p>
    <w:p w14:paraId="5C0E8ECA" w14:textId="77777777" w:rsidR="001E4812" w:rsidRDefault="001E4812" w:rsidP="007D4669">
      <w:pPr>
        <w:rPr>
          <w:b/>
          <w:bCs/>
        </w:rPr>
      </w:pPr>
    </w:p>
    <w:p w14:paraId="5B465EBA" w14:textId="77777777" w:rsidR="001E4812" w:rsidRDefault="001E4812" w:rsidP="007D4669">
      <w:pPr>
        <w:rPr>
          <w:b/>
          <w:bCs/>
        </w:rPr>
      </w:pPr>
    </w:p>
    <w:p w14:paraId="470E8DC5" w14:textId="77777777" w:rsidR="001E4812" w:rsidRDefault="001E4812" w:rsidP="007D4669">
      <w:pPr>
        <w:rPr>
          <w:b/>
          <w:bCs/>
        </w:rPr>
      </w:pPr>
    </w:p>
    <w:p w14:paraId="7E6B8799" w14:textId="77777777" w:rsidR="001E4812" w:rsidRDefault="001E4812" w:rsidP="007D4669">
      <w:pPr>
        <w:rPr>
          <w:b/>
          <w:bCs/>
        </w:rPr>
      </w:pPr>
    </w:p>
    <w:p w14:paraId="2916B902" w14:textId="77777777" w:rsidR="001E4812" w:rsidRDefault="001E4812" w:rsidP="007D4669">
      <w:pPr>
        <w:rPr>
          <w:b/>
          <w:bCs/>
        </w:rPr>
      </w:pPr>
    </w:p>
    <w:p w14:paraId="71B7A9D4" w14:textId="77777777" w:rsidR="001E4812" w:rsidRDefault="001E4812" w:rsidP="007D4669">
      <w:pPr>
        <w:rPr>
          <w:b/>
          <w:bCs/>
        </w:rPr>
      </w:pPr>
    </w:p>
    <w:p w14:paraId="17AC36CD" w14:textId="77777777" w:rsidR="001E4812" w:rsidRDefault="001E4812" w:rsidP="007D4669">
      <w:pPr>
        <w:rPr>
          <w:b/>
          <w:bCs/>
        </w:rPr>
      </w:pPr>
    </w:p>
    <w:p w14:paraId="707A5A9C" w14:textId="77777777" w:rsidR="001E4812" w:rsidRDefault="001E4812" w:rsidP="007D4669">
      <w:pPr>
        <w:rPr>
          <w:b/>
          <w:bCs/>
        </w:rPr>
      </w:pPr>
    </w:p>
    <w:p w14:paraId="26929F6F" w14:textId="77777777" w:rsidR="001E4812" w:rsidRDefault="001E4812" w:rsidP="007D4669">
      <w:pPr>
        <w:rPr>
          <w:b/>
          <w:bCs/>
        </w:rPr>
      </w:pPr>
    </w:p>
    <w:p w14:paraId="7BD0412A" w14:textId="77777777" w:rsidR="001E4812" w:rsidRDefault="001E4812" w:rsidP="007D4669">
      <w:pPr>
        <w:rPr>
          <w:b/>
          <w:bCs/>
        </w:rPr>
      </w:pPr>
    </w:p>
    <w:p w14:paraId="416FC34F" w14:textId="77777777" w:rsidR="001E4812" w:rsidRDefault="001E4812" w:rsidP="007D4669">
      <w:pPr>
        <w:rPr>
          <w:b/>
          <w:bCs/>
        </w:rPr>
      </w:pPr>
    </w:p>
    <w:p w14:paraId="7F3DFBCD" w14:textId="77777777" w:rsidR="001E4812" w:rsidRDefault="001E4812" w:rsidP="007D4669">
      <w:pPr>
        <w:rPr>
          <w:b/>
          <w:bCs/>
        </w:rPr>
      </w:pPr>
    </w:p>
    <w:p w14:paraId="639FC8A1" w14:textId="77777777" w:rsidR="001E4812" w:rsidRDefault="001E4812" w:rsidP="007D4669">
      <w:pPr>
        <w:rPr>
          <w:b/>
          <w:bCs/>
        </w:rPr>
      </w:pPr>
    </w:p>
    <w:p w14:paraId="61382334" w14:textId="77777777" w:rsidR="001E4812" w:rsidRDefault="001E4812" w:rsidP="007D4669">
      <w:pPr>
        <w:rPr>
          <w:b/>
          <w:bCs/>
        </w:rPr>
      </w:pPr>
    </w:p>
    <w:p w14:paraId="69CA99FC" w14:textId="77777777" w:rsidR="001E4812" w:rsidRDefault="001E4812" w:rsidP="007D4669">
      <w:pPr>
        <w:rPr>
          <w:b/>
          <w:bCs/>
        </w:rPr>
      </w:pPr>
    </w:p>
    <w:p w14:paraId="4F293435" w14:textId="77777777" w:rsidR="001E4812" w:rsidRDefault="001E4812" w:rsidP="007D4669">
      <w:pPr>
        <w:rPr>
          <w:b/>
          <w:bCs/>
        </w:rPr>
      </w:pPr>
    </w:p>
    <w:p w14:paraId="2244B744" w14:textId="1C8255FB" w:rsidR="007D4669" w:rsidRDefault="007D4669" w:rsidP="007D4669">
      <w:pPr>
        <w:rPr>
          <w:b/>
          <w:bCs/>
        </w:rPr>
      </w:pPr>
      <w:r w:rsidRPr="008D4B20">
        <w:rPr>
          <w:b/>
          <w:bCs/>
        </w:rPr>
        <w:t>Figure A</w:t>
      </w:r>
      <w:r w:rsidR="008762AA">
        <w:rPr>
          <w:b/>
          <w:bCs/>
        </w:rPr>
        <w:t>8</w:t>
      </w:r>
      <w:r w:rsidRPr="008D4B20">
        <w:rPr>
          <w:b/>
          <w:bCs/>
        </w:rPr>
        <w:t xml:space="preserve"> Migraine</w:t>
      </w:r>
      <w:r w:rsidR="008D4B20">
        <w:rPr>
          <w:b/>
          <w:bCs/>
        </w:rPr>
        <w:t xml:space="preserve"> scatter plot</w:t>
      </w:r>
    </w:p>
    <w:p w14:paraId="1280969E" w14:textId="73FF81F9" w:rsidR="003F2737" w:rsidRDefault="003F2737" w:rsidP="007D4669">
      <w:pPr>
        <w:rPr>
          <w:b/>
          <w:bCs/>
        </w:rPr>
      </w:pPr>
    </w:p>
    <w:p w14:paraId="2C2A1C81" w14:textId="4F7D0CE3" w:rsidR="003F2737" w:rsidRPr="008D4B20" w:rsidRDefault="003F2737" w:rsidP="007D4669">
      <w:pPr>
        <w:rPr>
          <w:b/>
          <w:bCs/>
        </w:rPr>
      </w:pPr>
      <w:r w:rsidRPr="003F2737">
        <w:rPr>
          <w:noProof/>
        </w:rPr>
        <w:lastRenderedPageBreak/>
        <w:drawing>
          <wp:inline distT="0" distB="0" distL="0" distR="0" wp14:anchorId="36C9A706" wp14:editId="1DC84869">
            <wp:extent cx="5731510" cy="4204335"/>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204335"/>
                    </a:xfrm>
                    <a:prstGeom prst="rect">
                      <a:avLst/>
                    </a:prstGeom>
                    <a:noFill/>
                    <a:ln>
                      <a:noFill/>
                    </a:ln>
                  </pic:spPr>
                </pic:pic>
              </a:graphicData>
            </a:graphic>
          </wp:inline>
        </w:drawing>
      </w:r>
    </w:p>
    <w:p w14:paraId="02FC408B" w14:textId="413769F9" w:rsidR="007D4669" w:rsidRDefault="007D4669" w:rsidP="00E66313"/>
    <w:p w14:paraId="66475FD9" w14:textId="77777777" w:rsidR="001E4812" w:rsidRDefault="001E4812" w:rsidP="007D4669">
      <w:pPr>
        <w:rPr>
          <w:b/>
          <w:bCs/>
        </w:rPr>
      </w:pPr>
    </w:p>
    <w:p w14:paraId="16F05317" w14:textId="77777777" w:rsidR="001E4812" w:rsidRDefault="001E4812" w:rsidP="007D4669">
      <w:pPr>
        <w:rPr>
          <w:b/>
          <w:bCs/>
        </w:rPr>
      </w:pPr>
    </w:p>
    <w:p w14:paraId="340D0734" w14:textId="77777777" w:rsidR="001E4812" w:rsidRDefault="001E4812" w:rsidP="007D4669">
      <w:pPr>
        <w:rPr>
          <w:b/>
          <w:bCs/>
        </w:rPr>
      </w:pPr>
    </w:p>
    <w:p w14:paraId="38575FBE" w14:textId="77777777" w:rsidR="001E4812" w:rsidRDefault="001E4812" w:rsidP="007D4669">
      <w:pPr>
        <w:rPr>
          <w:b/>
          <w:bCs/>
        </w:rPr>
      </w:pPr>
    </w:p>
    <w:p w14:paraId="39EB5307" w14:textId="77777777" w:rsidR="001E4812" w:rsidRDefault="001E4812" w:rsidP="007D4669">
      <w:pPr>
        <w:rPr>
          <w:b/>
          <w:bCs/>
        </w:rPr>
      </w:pPr>
    </w:p>
    <w:p w14:paraId="20A80DAD" w14:textId="77777777" w:rsidR="001E4812" w:rsidRDefault="001E4812" w:rsidP="007D4669">
      <w:pPr>
        <w:rPr>
          <w:b/>
          <w:bCs/>
        </w:rPr>
      </w:pPr>
    </w:p>
    <w:p w14:paraId="1D02101A" w14:textId="77777777" w:rsidR="001E4812" w:rsidRDefault="001E4812" w:rsidP="007D4669">
      <w:pPr>
        <w:rPr>
          <w:b/>
          <w:bCs/>
        </w:rPr>
      </w:pPr>
    </w:p>
    <w:p w14:paraId="25861CC4" w14:textId="77777777" w:rsidR="001E4812" w:rsidRDefault="001E4812" w:rsidP="007D4669">
      <w:pPr>
        <w:rPr>
          <w:b/>
          <w:bCs/>
        </w:rPr>
      </w:pPr>
    </w:p>
    <w:p w14:paraId="1A0431FB" w14:textId="77777777" w:rsidR="001E4812" w:rsidRDefault="001E4812" w:rsidP="007D4669">
      <w:pPr>
        <w:rPr>
          <w:b/>
          <w:bCs/>
        </w:rPr>
      </w:pPr>
    </w:p>
    <w:p w14:paraId="0CEC3E38" w14:textId="77777777" w:rsidR="001E4812" w:rsidRDefault="001E4812" w:rsidP="007D4669">
      <w:pPr>
        <w:rPr>
          <w:b/>
          <w:bCs/>
        </w:rPr>
      </w:pPr>
    </w:p>
    <w:p w14:paraId="65E6C2EC" w14:textId="77777777" w:rsidR="001E4812" w:rsidRDefault="001E4812" w:rsidP="007D4669">
      <w:pPr>
        <w:rPr>
          <w:b/>
          <w:bCs/>
        </w:rPr>
      </w:pPr>
    </w:p>
    <w:p w14:paraId="451039D8" w14:textId="77777777" w:rsidR="001E4812" w:rsidRDefault="001E4812" w:rsidP="007D4669">
      <w:pPr>
        <w:rPr>
          <w:b/>
          <w:bCs/>
        </w:rPr>
      </w:pPr>
    </w:p>
    <w:p w14:paraId="6D17B0D1" w14:textId="77777777" w:rsidR="001E4812" w:rsidRDefault="001E4812" w:rsidP="007D4669">
      <w:pPr>
        <w:rPr>
          <w:b/>
          <w:bCs/>
        </w:rPr>
      </w:pPr>
    </w:p>
    <w:p w14:paraId="7E7FB02B" w14:textId="77777777" w:rsidR="001E4812" w:rsidRDefault="001E4812" w:rsidP="007D4669">
      <w:pPr>
        <w:rPr>
          <w:b/>
          <w:bCs/>
        </w:rPr>
      </w:pPr>
    </w:p>
    <w:p w14:paraId="3B92890F" w14:textId="77777777" w:rsidR="001E4812" w:rsidRDefault="001E4812" w:rsidP="007D4669">
      <w:pPr>
        <w:rPr>
          <w:b/>
          <w:bCs/>
        </w:rPr>
      </w:pPr>
    </w:p>
    <w:p w14:paraId="56495369" w14:textId="77777777" w:rsidR="001E4812" w:rsidRDefault="001E4812" w:rsidP="007D4669">
      <w:pPr>
        <w:rPr>
          <w:b/>
          <w:bCs/>
        </w:rPr>
      </w:pPr>
    </w:p>
    <w:p w14:paraId="0506F922" w14:textId="77777777" w:rsidR="001E4812" w:rsidRDefault="001E4812" w:rsidP="007D4669">
      <w:pPr>
        <w:rPr>
          <w:b/>
          <w:bCs/>
        </w:rPr>
      </w:pPr>
    </w:p>
    <w:p w14:paraId="5FF3468B" w14:textId="5611D436" w:rsidR="007D4669" w:rsidRDefault="007D4669" w:rsidP="007D4669">
      <w:pPr>
        <w:rPr>
          <w:b/>
          <w:bCs/>
        </w:rPr>
      </w:pPr>
      <w:r w:rsidRPr="008D4B20">
        <w:rPr>
          <w:b/>
          <w:bCs/>
        </w:rPr>
        <w:t>Figure A</w:t>
      </w:r>
      <w:r w:rsidR="008762AA">
        <w:rPr>
          <w:b/>
          <w:bCs/>
        </w:rPr>
        <w:t>9</w:t>
      </w:r>
      <w:r w:rsidRPr="008D4B20">
        <w:rPr>
          <w:b/>
          <w:bCs/>
        </w:rPr>
        <w:t xml:space="preserve"> Coronary heart disease</w:t>
      </w:r>
      <w:r w:rsidR="008D4B20">
        <w:rPr>
          <w:b/>
          <w:bCs/>
        </w:rPr>
        <w:t xml:space="preserve"> scatter plot</w:t>
      </w:r>
    </w:p>
    <w:p w14:paraId="32517F9B" w14:textId="62EC9659" w:rsidR="003F2737" w:rsidRDefault="003F2737" w:rsidP="007D4669">
      <w:pPr>
        <w:rPr>
          <w:b/>
          <w:bCs/>
        </w:rPr>
      </w:pPr>
    </w:p>
    <w:p w14:paraId="2950D044" w14:textId="364F68F0" w:rsidR="003F2737" w:rsidRPr="008D4B20" w:rsidRDefault="003F2737" w:rsidP="007D4669">
      <w:pPr>
        <w:rPr>
          <w:b/>
          <w:bCs/>
        </w:rPr>
      </w:pPr>
      <w:r w:rsidRPr="003F2737">
        <w:rPr>
          <w:noProof/>
        </w:rPr>
        <w:lastRenderedPageBreak/>
        <w:drawing>
          <wp:inline distT="0" distB="0" distL="0" distR="0" wp14:anchorId="29D24F32" wp14:editId="3B719645">
            <wp:extent cx="5731510" cy="41598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4159885"/>
                    </a:xfrm>
                    <a:prstGeom prst="rect">
                      <a:avLst/>
                    </a:prstGeom>
                    <a:noFill/>
                    <a:ln>
                      <a:noFill/>
                    </a:ln>
                  </pic:spPr>
                </pic:pic>
              </a:graphicData>
            </a:graphic>
          </wp:inline>
        </w:drawing>
      </w:r>
    </w:p>
    <w:p w14:paraId="05E93DC4" w14:textId="12E62122" w:rsidR="007D4669" w:rsidRDefault="007D4669" w:rsidP="00E66313"/>
    <w:p w14:paraId="7247EB60" w14:textId="77777777" w:rsidR="001E4812" w:rsidRDefault="001E4812" w:rsidP="007D4669">
      <w:pPr>
        <w:rPr>
          <w:b/>
          <w:bCs/>
        </w:rPr>
      </w:pPr>
    </w:p>
    <w:p w14:paraId="2DB3BF1E" w14:textId="77777777" w:rsidR="001E4812" w:rsidRDefault="001E4812" w:rsidP="007D4669">
      <w:pPr>
        <w:rPr>
          <w:b/>
          <w:bCs/>
        </w:rPr>
      </w:pPr>
    </w:p>
    <w:p w14:paraId="1690E28A" w14:textId="77777777" w:rsidR="001E4812" w:rsidRDefault="001E4812" w:rsidP="007D4669">
      <w:pPr>
        <w:rPr>
          <w:b/>
          <w:bCs/>
        </w:rPr>
      </w:pPr>
    </w:p>
    <w:p w14:paraId="38683448" w14:textId="77777777" w:rsidR="001E4812" w:rsidRDefault="001E4812" w:rsidP="007D4669">
      <w:pPr>
        <w:rPr>
          <w:b/>
          <w:bCs/>
        </w:rPr>
      </w:pPr>
    </w:p>
    <w:p w14:paraId="79FC2A20" w14:textId="77777777" w:rsidR="001E4812" w:rsidRDefault="001E4812" w:rsidP="007D4669">
      <w:pPr>
        <w:rPr>
          <w:b/>
          <w:bCs/>
        </w:rPr>
      </w:pPr>
    </w:p>
    <w:p w14:paraId="591859FA" w14:textId="77777777" w:rsidR="001E4812" w:rsidRDefault="001E4812" w:rsidP="007D4669">
      <w:pPr>
        <w:rPr>
          <w:b/>
          <w:bCs/>
        </w:rPr>
      </w:pPr>
    </w:p>
    <w:p w14:paraId="49C9AE70" w14:textId="77777777" w:rsidR="001E4812" w:rsidRDefault="001E4812" w:rsidP="007D4669">
      <w:pPr>
        <w:rPr>
          <w:b/>
          <w:bCs/>
        </w:rPr>
      </w:pPr>
    </w:p>
    <w:p w14:paraId="7FBDFBDC" w14:textId="77777777" w:rsidR="001E4812" w:rsidRDefault="001E4812" w:rsidP="007D4669">
      <w:pPr>
        <w:rPr>
          <w:b/>
          <w:bCs/>
        </w:rPr>
      </w:pPr>
    </w:p>
    <w:p w14:paraId="224CDA18" w14:textId="77777777" w:rsidR="001E4812" w:rsidRDefault="001E4812" w:rsidP="007D4669">
      <w:pPr>
        <w:rPr>
          <w:b/>
          <w:bCs/>
        </w:rPr>
      </w:pPr>
    </w:p>
    <w:p w14:paraId="2F069984" w14:textId="77777777" w:rsidR="001E4812" w:rsidRDefault="001E4812" w:rsidP="007D4669">
      <w:pPr>
        <w:rPr>
          <w:b/>
          <w:bCs/>
        </w:rPr>
      </w:pPr>
    </w:p>
    <w:p w14:paraId="3CFB3EDB" w14:textId="77777777" w:rsidR="001E4812" w:rsidRDefault="001E4812" w:rsidP="007D4669">
      <w:pPr>
        <w:rPr>
          <w:b/>
          <w:bCs/>
        </w:rPr>
      </w:pPr>
    </w:p>
    <w:p w14:paraId="5ECC0E01" w14:textId="77777777" w:rsidR="001E4812" w:rsidRDefault="001E4812" w:rsidP="007D4669">
      <w:pPr>
        <w:rPr>
          <w:b/>
          <w:bCs/>
        </w:rPr>
      </w:pPr>
    </w:p>
    <w:p w14:paraId="67DE2692" w14:textId="77777777" w:rsidR="001E4812" w:rsidRDefault="001E4812" w:rsidP="007D4669">
      <w:pPr>
        <w:rPr>
          <w:b/>
          <w:bCs/>
        </w:rPr>
      </w:pPr>
    </w:p>
    <w:p w14:paraId="0C823C22" w14:textId="77777777" w:rsidR="001E4812" w:rsidRDefault="001E4812" w:rsidP="007D4669">
      <w:pPr>
        <w:rPr>
          <w:b/>
          <w:bCs/>
        </w:rPr>
      </w:pPr>
    </w:p>
    <w:p w14:paraId="4FC5C389" w14:textId="77777777" w:rsidR="001E4812" w:rsidRDefault="001E4812" w:rsidP="007D4669">
      <w:pPr>
        <w:rPr>
          <w:b/>
          <w:bCs/>
        </w:rPr>
      </w:pPr>
    </w:p>
    <w:p w14:paraId="09D396C3" w14:textId="77777777" w:rsidR="001E4812" w:rsidRDefault="001E4812" w:rsidP="007D4669">
      <w:pPr>
        <w:rPr>
          <w:b/>
          <w:bCs/>
        </w:rPr>
      </w:pPr>
    </w:p>
    <w:p w14:paraId="0AFAE2ED" w14:textId="77777777" w:rsidR="001E4812" w:rsidRDefault="001E4812" w:rsidP="007D4669">
      <w:pPr>
        <w:rPr>
          <w:b/>
          <w:bCs/>
        </w:rPr>
      </w:pPr>
    </w:p>
    <w:p w14:paraId="1AF976D1" w14:textId="77777777" w:rsidR="001E4812" w:rsidRDefault="001E4812" w:rsidP="007D4669">
      <w:pPr>
        <w:rPr>
          <w:b/>
          <w:bCs/>
        </w:rPr>
      </w:pPr>
    </w:p>
    <w:p w14:paraId="7330C366" w14:textId="55E05A6A" w:rsidR="007D4669" w:rsidRDefault="007D4669" w:rsidP="007D4669">
      <w:pPr>
        <w:rPr>
          <w:b/>
          <w:bCs/>
        </w:rPr>
      </w:pPr>
      <w:r w:rsidRPr="008D4B20">
        <w:rPr>
          <w:b/>
          <w:bCs/>
        </w:rPr>
        <w:t>Figure A</w:t>
      </w:r>
      <w:r w:rsidR="008762AA">
        <w:rPr>
          <w:b/>
          <w:bCs/>
        </w:rPr>
        <w:t>10</w:t>
      </w:r>
      <w:r w:rsidRPr="008D4B20">
        <w:rPr>
          <w:b/>
          <w:bCs/>
        </w:rPr>
        <w:t xml:space="preserve"> Type 2 diabetes</w:t>
      </w:r>
      <w:r w:rsidR="008D4B20">
        <w:rPr>
          <w:b/>
          <w:bCs/>
        </w:rPr>
        <w:t xml:space="preserve"> scatter plot</w:t>
      </w:r>
    </w:p>
    <w:p w14:paraId="0D058AA0" w14:textId="2431B69F" w:rsidR="003F2737" w:rsidRDefault="003F2737" w:rsidP="007D4669">
      <w:pPr>
        <w:rPr>
          <w:b/>
          <w:bCs/>
        </w:rPr>
      </w:pPr>
    </w:p>
    <w:p w14:paraId="2237BC78" w14:textId="744A939E" w:rsidR="003F2737" w:rsidRPr="008D4B20" w:rsidRDefault="003F2737" w:rsidP="007D4669">
      <w:pPr>
        <w:rPr>
          <w:b/>
          <w:bCs/>
        </w:rPr>
      </w:pPr>
      <w:r w:rsidRPr="003F2737">
        <w:rPr>
          <w:noProof/>
        </w:rPr>
        <w:lastRenderedPageBreak/>
        <w:drawing>
          <wp:inline distT="0" distB="0" distL="0" distR="0" wp14:anchorId="75EED6D6" wp14:editId="6B0B4407">
            <wp:extent cx="5731510" cy="4151630"/>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4151630"/>
                    </a:xfrm>
                    <a:prstGeom prst="rect">
                      <a:avLst/>
                    </a:prstGeom>
                    <a:noFill/>
                    <a:ln>
                      <a:noFill/>
                    </a:ln>
                  </pic:spPr>
                </pic:pic>
              </a:graphicData>
            </a:graphic>
          </wp:inline>
        </w:drawing>
      </w:r>
    </w:p>
    <w:p w14:paraId="2191D8A4" w14:textId="30C50642" w:rsidR="007D4669" w:rsidRDefault="007D4669" w:rsidP="00E66313"/>
    <w:p w14:paraId="689FA365" w14:textId="77777777" w:rsidR="001E4812" w:rsidRDefault="001E4812" w:rsidP="007D4669">
      <w:pPr>
        <w:rPr>
          <w:b/>
          <w:bCs/>
        </w:rPr>
      </w:pPr>
    </w:p>
    <w:p w14:paraId="3E0204CC" w14:textId="77777777" w:rsidR="001E4812" w:rsidRDefault="001E4812" w:rsidP="007D4669">
      <w:pPr>
        <w:rPr>
          <w:b/>
          <w:bCs/>
        </w:rPr>
      </w:pPr>
    </w:p>
    <w:p w14:paraId="12D590CD" w14:textId="77777777" w:rsidR="001E4812" w:rsidRDefault="001E4812" w:rsidP="007D4669">
      <w:pPr>
        <w:rPr>
          <w:b/>
          <w:bCs/>
        </w:rPr>
      </w:pPr>
    </w:p>
    <w:p w14:paraId="4FC3375D" w14:textId="77777777" w:rsidR="001E4812" w:rsidRDefault="001E4812" w:rsidP="007D4669">
      <w:pPr>
        <w:rPr>
          <w:b/>
          <w:bCs/>
        </w:rPr>
      </w:pPr>
    </w:p>
    <w:p w14:paraId="3851ABE2" w14:textId="77777777" w:rsidR="001E4812" w:rsidRDefault="001E4812" w:rsidP="007D4669">
      <w:pPr>
        <w:rPr>
          <w:b/>
          <w:bCs/>
        </w:rPr>
      </w:pPr>
    </w:p>
    <w:p w14:paraId="7F8151F3" w14:textId="77777777" w:rsidR="001E4812" w:rsidRDefault="001E4812" w:rsidP="007D4669">
      <w:pPr>
        <w:rPr>
          <w:b/>
          <w:bCs/>
        </w:rPr>
      </w:pPr>
    </w:p>
    <w:p w14:paraId="533EBCCC" w14:textId="77777777" w:rsidR="001E4812" w:rsidRDefault="001E4812" w:rsidP="007D4669">
      <w:pPr>
        <w:rPr>
          <w:b/>
          <w:bCs/>
        </w:rPr>
      </w:pPr>
    </w:p>
    <w:p w14:paraId="5C3D1E94" w14:textId="77777777" w:rsidR="001E4812" w:rsidRDefault="001E4812" w:rsidP="007D4669">
      <w:pPr>
        <w:rPr>
          <w:b/>
          <w:bCs/>
        </w:rPr>
      </w:pPr>
    </w:p>
    <w:p w14:paraId="18EA2F63" w14:textId="77777777" w:rsidR="001E4812" w:rsidRDefault="001E4812" w:rsidP="007D4669">
      <w:pPr>
        <w:rPr>
          <w:b/>
          <w:bCs/>
        </w:rPr>
      </w:pPr>
    </w:p>
    <w:p w14:paraId="104E497E" w14:textId="77777777" w:rsidR="001E4812" w:rsidRDefault="001E4812" w:rsidP="007D4669">
      <w:pPr>
        <w:rPr>
          <w:b/>
          <w:bCs/>
        </w:rPr>
      </w:pPr>
    </w:p>
    <w:p w14:paraId="37CA46BF" w14:textId="77777777" w:rsidR="001E4812" w:rsidRDefault="001E4812" w:rsidP="007D4669">
      <w:pPr>
        <w:rPr>
          <w:b/>
          <w:bCs/>
        </w:rPr>
      </w:pPr>
    </w:p>
    <w:p w14:paraId="7FEE9E7A" w14:textId="77777777" w:rsidR="001E4812" w:rsidRDefault="001E4812" w:rsidP="007D4669">
      <w:pPr>
        <w:rPr>
          <w:b/>
          <w:bCs/>
        </w:rPr>
      </w:pPr>
    </w:p>
    <w:p w14:paraId="1AFA07BD" w14:textId="77777777" w:rsidR="001E4812" w:rsidRDefault="001E4812" w:rsidP="007D4669">
      <w:pPr>
        <w:rPr>
          <w:b/>
          <w:bCs/>
        </w:rPr>
      </w:pPr>
    </w:p>
    <w:p w14:paraId="0E3DECF1" w14:textId="77777777" w:rsidR="001E4812" w:rsidRDefault="001E4812" w:rsidP="007D4669">
      <w:pPr>
        <w:rPr>
          <w:b/>
          <w:bCs/>
        </w:rPr>
      </w:pPr>
    </w:p>
    <w:p w14:paraId="33B00278" w14:textId="77777777" w:rsidR="001E4812" w:rsidRDefault="001E4812" w:rsidP="007D4669">
      <w:pPr>
        <w:rPr>
          <w:b/>
          <w:bCs/>
        </w:rPr>
      </w:pPr>
    </w:p>
    <w:p w14:paraId="09C912F8" w14:textId="77777777" w:rsidR="001E4812" w:rsidRDefault="001E4812" w:rsidP="007D4669">
      <w:pPr>
        <w:rPr>
          <w:b/>
          <w:bCs/>
        </w:rPr>
      </w:pPr>
    </w:p>
    <w:p w14:paraId="752852D1" w14:textId="77777777" w:rsidR="001E4812" w:rsidRDefault="001E4812" w:rsidP="007D4669">
      <w:pPr>
        <w:rPr>
          <w:b/>
          <w:bCs/>
        </w:rPr>
      </w:pPr>
    </w:p>
    <w:p w14:paraId="7EBEACC8" w14:textId="77777777" w:rsidR="001E4812" w:rsidRDefault="001E4812" w:rsidP="007D4669">
      <w:pPr>
        <w:rPr>
          <w:b/>
          <w:bCs/>
        </w:rPr>
      </w:pPr>
    </w:p>
    <w:p w14:paraId="78AC7DD5" w14:textId="77777777" w:rsidR="001E4812" w:rsidRDefault="001E4812" w:rsidP="007D4669">
      <w:pPr>
        <w:rPr>
          <w:b/>
          <w:bCs/>
        </w:rPr>
      </w:pPr>
    </w:p>
    <w:p w14:paraId="0B3812A3" w14:textId="73F77E12" w:rsidR="007D4669" w:rsidRPr="008D4B20" w:rsidRDefault="007D4669" w:rsidP="007D4669">
      <w:pPr>
        <w:rPr>
          <w:b/>
          <w:bCs/>
        </w:rPr>
      </w:pPr>
      <w:r w:rsidRPr="008D4B20">
        <w:rPr>
          <w:b/>
          <w:bCs/>
        </w:rPr>
        <w:t>Figure A</w:t>
      </w:r>
      <w:r w:rsidR="00446706">
        <w:rPr>
          <w:b/>
          <w:bCs/>
        </w:rPr>
        <w:t>11</w:t>
      </w:r>
      <w:r w:rsidRPr="008D4B20">
        <w:rPr>
          <w:b/>
          <w:bCs/>
        </w:rPr>
        <w:t xml:space="preserve"> Depression</w:t>
      </w:r>
      <w:r w:rsidR="008D4B20">
        <w:rPr>
          <w:b/>
          <w:bCs/>
        </w:rPr>
        <w:t xml:space="preserve"> scatter plot</w:t>
      </w:r>
    </w:p>
    <w:p w14:paraId="118DE287" w14:textId="77777777" w:rsidR="007D4669" w:rsidRDefault="007D4669" w:rsidP="00E66313"/>
    <w:p w14:paraId="6AFAC937" w14:textId="0C6459FB" w:rsidR="00E66313" w:rsidRDefault="003F2737" w:rsidP="00E66313">
      <w:r w:rsidRPr="003F2737">
        <w:rPr>
          <w:noProof/>
        </w:rPr>
        <w:lastRenderedPageBreak/>
        <w:drawing>
          <wp:inline distT="0" distB="0" distL="0" distR="0" wp14:anchorId="1FEE0101" wp14:editId="7F965990">
            <wp:extent cx="5731510" cy="4202430"/>
            <wp:effectExtent l="0" t="0" r="254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4202430"/>
                    </a:xfrm>
                    <a:prstGeom prst="rect">
                      <a:avLst/>
                    </a:prstGeom>
                    <a:noFill/>
                    <a:ln>
                      <a:noFill/>
                    </a:ln>
                  </pic:spPr>
                </pic:pic>
              </a:graphicData>
            </a:graphic>
          </wp:inline>
        </w:drawing>
      </w:r>
    </w:p>
    <w:p w14:paraId="04C34301" w14:textId="77777777" w:rsidR="001E4812" w:rsidRDefault="001E4812" w:rsidP="00E66313">
      <w:pPr>
        <w:sectPr w:rsidR="001E4812">
          <w:pgSz w:w="11906" w:h="16838"/>
          <w:pgMar w:top="1440" w:right="1440" w:bottom="1440" w:left="1440" w:header="708" w:footer="708" w:gutter="0"/>
          <w:cols w:space="708"/>
          <w:docGrid w:linePitch="360"/>
        </w:sectPr>
      </w:pPr>
    </w:p>
    <w:p w14:paraId="326C54EE" w14:textId="77777777" w:rsidR="00E66313" w:rsidRPr="00E66313" w:rsidRDefault="00E66313" w:rsidP="00E66313"/>
    <w:p w14:paraId="7D9C79CE" w14:textId="29C72A10" w:rsidR="00590C8F" w:rsidRDefault="00590C8F" w:rsidP="00590C8F">
      <w:pPr>
        <w:pStyle w:val="Heading1"/>
      </w:pPr>
      <w:r>
        <w:t>Results from inverse weighted models</w:t>
      </w:r>
      <w:r w:rsidR="00793F2B">
        <w:t xml:space="preserve"> using summary data</w:t>
      </w:r>
      <w:r w:rsidR="008A72EA">
        <w:t xml:space="preserve"> for a 10% relative increase in genetic liability</w:t>
      </w:r>
    </w:p>
    <w:p w14:paraId="52355E65" w14:textId="40654D03" w:rsidR="00134A63" w:rsidRDefault="005761C4" w:rsidP="000D0347">
      <w:r>
        <w:t>Figure A</w:t>
      </w:r>
      <w:r w:rsidR="00446706">
        <w:t>12</w:t>
      </w:r>
      <w:r>
        <w:t xml:space="preserve"> presents results from inverse variance weighted models for a 10% relative increase in genetic liability. </w:t>
      </w:r>
    </w:p>
    <w:p w14:paraId="6FE2F9C6" w14:textId="77777777" w:rsidR="000D0347" w:rsidRDefault="000D0347" w:rsidP="000D0347"/>
    <w:p w14:paraId="7195264D" w14:textId="0E888B97" w:rsidR="000D0347" w:rsidRDefault="000D0347" w:rsidP="000D0347">
      <w:r w:rsidRPr="00C123E6">
        <w:rPr>
          <w:b/>
          <w:bCs/>
        </w:rPr>
        <w:t xml:space="preserve">Figure </w:t>
      </w:r>
      <w:r w:rsidR="008A72EA">
        <w:rPr>
          <w:b/>
          <w:bCs/>
        </w:rPr>
        <w:t>A</w:t>
      </w:r>
      <w:r w:rsidR="00446706">
        <w:rPr>
          <w:b/>
          <w:bCs/>
        </w:rPr>
        <w:t>12</w:t>
      </w:r>
      <w:r w:rsidRPr="00C123E6">
        <w:rPr>
          <w:b/>
          <w:bCs/>
        </w:rPr>
        <w:tab/>
      </w:r>
      <w:r>
        <w:rPr>
          <w:b/>
          <w:bCs/>
        </w:rPr>
        <w:t xml:space="preserve">Inverse variance weighted effect estimates for all conditions </w:t>
      </w:r>
      <w:r w:rsidR="008A72EA">
        <w:rPr>
          <w:b/>
          <w:bCs/>
        </w:rPr>
        <w:t>for a 10% relative increase in genetic liability</w:t>
      </w:r>
    </w:p>
    <w:p w14:paraId="01EB3E1B" w14:textId="77777777" w:rsidR="000D0347" w:rsidRDefault="000D0347" w:rsidP="000D0347">
      <w:r w:rsidRPr="005A0590">
        <w:rPr>
          <w:noProof/>
        </w:rPr>
        <w:lastRenderedPageBreak/>
        <w:drawing>
          <wp:inline distT="0" distB="0" distL="0" distR="0" wp14:anchorId="2EA2831A" wp14:editId="2B8C4FEB">
            <wp:extent cx="5439600" cy="32580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39600" cy="3258000"/>
                    </a:xfrm>
                    <a:prstGeom prst="rect">
                      <a:avLst/>
                    </a:prstGeom>
                    <a:noFill/>
                    <a:ln>
                      <a:noFill/>
                    </a:ln>
                  </pic:spPr>
                </pic:pic>
              </a:graphicData>
            </a:graphic>
          </wp:inline>
        </w:drawing>
      </w:r>
    </w:p>
    <w:p w14:paraId="38BA351A" w14:textId="77777777" w:rsidR="000D0347" w:rsidRDefault="000D0347" w:rsidP="000D0347"/>
    <w:p w14:paraId="36A5AEC3" w14:textId="77777777" w:rsidR="00590C8F" w:rsidRDefault="00590C8F" w:rsidP="00590C8F"/>
    <w:p w14:paraId="0D2E4A8E" w14:textId="77777777" w:rsidR="00590C8F" w:rsidRDefault="00590C8F" w:rsidP="00590C8F"/>
    <w:p w14:paraId="0263A0FF" w14:textId="4324071E" w:rsidR="008B54A2" w:rsidRDefault="008B54A2" w:rsidP="00590C8F"/>
    <w:p w14:paraId="3041910C" w14:textId="77777777" w:rsidR="008B54A2" w:rsidRDefault="008B54A2" w:rsidP="00590C8F">
      <w:pPr>
        <w:sectPr w:rsidR="008B54A2">
          <w:pgSz w:w="11906" w:h="16838"/>
          <w:pgMar w:top="1440" w:right="1440" w:bottom="1440" w:left="1440" w:header="708" w:footer="708" w:gutter="0"/>
          <w:cols w:space="708"/>
          <w:docGrid w:linePitch="360"/>
        </w:sectPr>
      </w:pPr>
    </w:p>
    <w:p w14:paraId="39E1EDA6" w14:textId="77777777" w:rsidR="008B54A2" w:rsidRDefault="008B54A2" w:rsidP="008B54A2"/>
    <w:p w14:paraId="2B66BB9E" w14:textId="039F996B" w:rsidR="008B54A2" w:rsidRDefault="008B54A2" w:rsidP="008B54A2"/>
    <w:p w14:paraId="1F386CB9" w14:textId="77777777" w:rsidR="008B54A2" w:rsidRDefault="008B54A2" w:rsidP="008B54A2"/>
    <w:p w14:paraId="52AFC441" w14:textId="77777777" w:rsidR="008B54A2" w:rsidRDefault="008B54A2" w:rsidP="008B54A2"/>
    <w:p w14:paraId="37D06926" w14:textId="77777777" w:rsidR="008B54A2" w:rsidRPr="008B54A2" w:rsidRDefault="008B54A2" w:rsidP="008B54A2"/>
    <w:p w14:paraId="7ABDBAC2" w14:textId="77777777" w:rsidR="00CD259B" w:rsidRDefault="00CD259B" w:rsidP="00590C8F"/>
    <w:p w14:paraId="6F19BC51" w14:textId="77777777" w:rsidR="00CD259B" w:rsidRDefault="00CD259B" w:rsidP="00590C8F"/>
    <w:p w14:paraId="5E308C72" w14:textId="77777777" w:rsidR="00EB1449" w:rsidRPr="00EB1449" w:rsidRDefault="00CD259B" w:rsidP="00EB1449">
      <w:pPr>
        <w:pStyle w:val="EndNoteBibliographyTitle"/>
      </w:pPr>
      <w:r>
        <w:fldChar w:fldCharType="begin"/>
      </w:r>
      <w:r>
        <w:instrText xml:space="preserve"> ADDIN EN.REFLIST </w:instrText>
      </w:r>
      <w:r>
        <w:fldChar w:fldCharType="separate"/>
      </w:r>
      <w:r w:rsidR="00EB1449" w:rsidRPr="00EB1449">
        <w:t>References</w:t>
      </w:r>
    </w:p>
    <w:p w14:paraId="279C5AC2" w14:textId="77777777" w:rsidR="00EB1449" w:rsidRPr="00EB1449" w:rsidRDefault="00EB1449" w:rsidP="00EB1449">
      <w:pPr>
        <w:pStyle w:val="EndNoteBibliographyTitle"/>
      </w:pPr>
    </w:p>
    <w:p w14:paraId="7EA0E81F" w14:textId="77777777" w:rsidR="00EB1449" w:rsidRPr="00EB1449" w:rsidRDefault="00EB1449" w:rsidP="00EB1449">
      <w:pPr>
        <w:pStyle w:val="EndNoteBibliography"/>
      </w:pPr>
      <w:r w:rsidRPr="00EB1449">
        <w:t>1.</w:t>
      </w:r>
      <w:r w:rsidRPr="00EB1449">
        <w:tab/>
        <w:t>Bowden J, Davey Smith G, Haycock PC, Burgess S. Consistent Estimation in Mendelian Randomization with Some Invalid Instruments Using a Weighted Median Estimator. Genet Epidemiol. 2016;40(4):304-14.</w:t>
      </w:r>
    </w:p>
    <w:p w14:paraId="11949B3E" w14:textId="77777777" w:rsidR="00EB1449" w:rsidRPr="00EB1449" w:rsidRDefault="00EB1449" w:rsidP="00EB1449">
      <w:pPr>
        <w:pStyle w:val="EndNoteBibliography"/>
      </w:pPr>
      <w:r w:rsidRPr="00EB1449">
        <w:t>2.</w:t>
      </w:r>
      <w:r w:rsidRPr="00EB1449">
        <w:tab/>
        <w:t>Hartwig FP, Davey Smith G, Bowden J. Robust inference in summary data Mendelian randomization via the zero modal pleiotropy assumption. Int J Epidemiol. 2017;46(6):1985-98.</w:t>
      </w:r>
    </w:p>
    <w:p w14:paraId="5831D162" w14:textId="60C8C759" w:rsidR="008B54A2" w:rsidRDefault="00CD259B" w:rsidP="00590C8F">
      <w:r>
        <w:fldChar w:fldCharType="end"/>
      </w:r>
    </w:p>
    <w:sectPr w:rsidR="008B54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813A2" w14:textId="77777777" w:rsidR="009C3850" w:rsidRDefault="009C3850" w:rsidP="009C3850">
      <w:pPr>
        <w:spacing w:line="240" w:lineRule="auto"/>
      </w:pPr>
      <w:r>
        <w:separator/>
      </w:r>
    </w:p>
  </w:endnote>
  <w:endnote w:type="continuationSeparator" w:id="0">
    <w:p w14:paraId="785A91F4" w14:textId="77777777" w:rsidR="009C3850" w:rsidRDefault="009C3850" w:rsidP="009C3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libri"/>
    <w:charset w:val="00"/>
    <w:family w:val="modern"/>
    <w:pitch w:val="variable"/>
    <w:sig w:usb0="20000007" w:usb1="00000000" w:usb2="00000000" w:usb3="00000000" w:csb0="00000193" w:csb1="00000000"/>
  </w:font>
  <w:font w:name="cmr12">
    <w:altName w:val="Vrinda"/>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LM Roman 17">
    <w:altName w:val="Calibri"/>
    <w:charset w:val="00"/>
    <w:family w:val="modern"/>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021" w14:textId="77777777" w:rsidR="009C3850" w:rsidRDefault="009C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FC96" w14:textId="77777777" w:rsidR="009C3850" w:rsidRDefault="009C3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162A" w14:textId="77777777" w:rsidR="009C3850" w:rsidRDefault="009C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F7CBA" w14:textId="77777777" w:rsidR="009C3850" w:rsidRDefault="009C3850" w:rsidP="009C3850">
      <w:pPr>
        <w:spacing w:line="240" w:lineRule="auto"/>
      </w:pPr>
      <w:r>
        <w:separator/>
      </w:r>
    </w:p>
  </w:footnote>
  <w:footnote w:type="continuationSeparator" w:id="0">
    <w:p w14:paraId="4E0094F4" w14:textId="77777777" w:rsidR="009C3850" w:rsidRDefault="009C3850" w:rsidP="009C3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37FA" w14:textId="77777777" w:rsidR="009C3850" w:rsidRDefault="009C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02A6" w14:textId="77777777" w:rsidR="009C3850" w:rsidRDefault="009C3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CB34" w14:textId="77777777" w:rsidR="009C3850" w:rsidRDefault="009C3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B5F2E"/>
    <w:multiLevelType w:val="multilevel"/>
    <w:tmpl w:val="077C62EC"/>
    <w:lvl w:ilvl="0">
      <w:start w:val="1"/>
      <w:numFmt w:val="decimal"/>
      <w:pStyle w:val="Heading1"/>
      <w:lvlText w:val="%1"/>
      <w:lvlJc w:val="left"/>
      <w:pPr>
        <w:ind w:left="360" w:hanging="360"/>
      </w:pPr>
      <w:rPr>
        <w:rFonts w:hint="eastAsia"/>
      </w:rPr>
    </w:lvl>
    <w:lvl w:ilvl="1">
      <w:start w:val="1"/>
      <w:numFmt w:val="decimal"/>
      <w:pStyle w:val="Heading2"/>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LM Roman 12&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0dztxak5dp0hetr03ps0ta20v55d992adr&quot;&gt;My EndNote Library1-Saved&lt;record-ids&gt;&lt;item&gt;876&lt;/item&gt;&lt;item&gt;1257&lt;/item&gt;&lt;/record-ids&gt;&lt;/item&gt;&lt;/Libraries&gt;"/>
  </w:docVars>
  <w:rsids>
    <w:rsidRoot w:val="009C3850"/>
    <w:rsid w:val="00001223"/>
    <w:rsid w:val="00002F24"/>
    <w:rsid w:val="00012859"/>
    <w:rsid w:val="00035016"/>
    <w:rsid w:val="00037C63"/>
    <w:rsid w:val="00055E54"/>
    <w:rsid w:val="00080338"/>
    <w:rsid w:val="00080BD2"/>
    <w:rsid w:val="000A042E"/>
    <w:rsid w:val="000D0347"/>
    <w:rsid w:val="0011467C"/>
    <w:rsid w:val="00126BB0"/>
    <w:rsid w:val="00134A63"/>
    <w:rsid w:val="001902FD"/>
    <w:rsid w:val="001E4812"/>
    <w:rsid w:val="001F1F56"/>
    <w:rsid w:val="002061BC"/>
    <w:rsid w:val="00210385"/>
    <w:rsid w:val="00256E18"/>
    <w:rsid w:val="00276882"/>
    <w:rsid w:val="00291624"/>
    <w:rsid w:val="002A3B7F"/>
    <w:rsid w:val="0033648B"/>
    <w:rsid w:val="00346079"/>
    <w:rsid w:val="00355746"/>
    <w:rsid w:val="0036215F"/>
    <w:rsid w:val="003A3871"/>
    <w:rsid w:val="003D398E"/>
    <w:rsid w:val="003E7137"/>
    <w:rsid w:val="003F2737"/>
    <w:rsid w:val="00446706"/>
    <w:rsid w:val="004746FD"/>
    <w:rsid w:val="004760D6"/>
    <w:rsid w:val="004D7B67"/>
    <w:rsid w:val="005761C4"/>
    <w:rsid w:val="00590C8F"/>
    <w:rsid w:val="005C56F9"/>
    <w:rsid w:val="005D2C7F"/>
    <w:rsid w:val="005F3F17"/>
    <w:rsid w:val="00603C20"/>
    <w:rsid w:val="00610C36"/>
    <w:rsid w:val="00705610"/>
    <w:rsid w:val="00793F2B"/>
    <w:rsid w:val="007D4669"/>
    <w:rsid w:val="00816531"/>
    <w:rsid w:val="0084592B"/>
    <w:rsid w:val="008762AA"/>
    <w:rsid w:val="008A72EA"/>
    <w:rsid w:val="008B54A2"/>
    <w:rsid w:val="008D4B20"/>
    <w:rsid w:val="008E60B3"/>
    <w:rsid w:val="008F47F3"/>
    <w:rsid w:val="00901C0F"/>
    <w:rsid w:val="009207EF"/>
    <w:rsid w:val="00964C44"/>
    <w:rsid w:val="0097514D"/>
    <w:rsid w:val="009A5DBE"/>
    <w:rsid w:val="009C3850"/>
    <w:rsid w:val="009F73CC"/>
    <w:rsid w:val="00A06A83"/>
    <w:rsid w:val="00AC0243"/>
    <w:rsid w:val="00B34AC4"/>
    <w:rsid w:val="00B54436"/>
    <w:rsid w:val="00B86D6B"/>
    <w:rsid w:val="00BA5551"/>
    <w:rsid w:val="00C215AD"/>
    <w:rsid w:val="00CD259B"/>
    <w:rsid w:val="00CE4A05"/>
    <w:rsid w:val="00D032F0"/>
    <w:rsid w:val="00D12642"/>
    <w:rsid w:val="00D94736"/>
    <w:rsid w:val="00DC10F3"/>
    <w:rsid w:val="00E66313"/>
    <w:rsid w:val="00EB1449"/>
    <w:rsid w:val="00EC5366"/>
    <w:rsid w:val="00F7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7B7AB"/>
  <w15:chartTrackingRefBased/>
  <w15:docId w15:val="{C913E85C-72F4-4DA6-A696-3F389B50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50"/>
    <w:pPr>
      <w:autoSpaceDE w:val="0"/>
      <w:autoSpaceDN w:val="0"/>
      <w:adjustRightInd w:val="0"/>
      <w:spacing w:after="0" w:line="276" w:lineRule="auto"/>
    </w:pPr>
    <w:rPr>
      <w:rFonts w:ascii="LM Roman 12" w:eastAsiaTheme="minorEastAsia" w:hAnsi="LM Roman 12" w:cs="cmr12"/>
      <w:sz w:val="24"/>
      <w:szCs w:val="24"/>
      <w:lang w:val="en-US" w:eastAsia="zh-TW"/>
    </w:rPr>
  </w:style>
  <w:style w:type="paragraph" w:styleId="Heading1">
    <w:name w:val="heading 1"/>
    <w:basedOn w:val="ListParagraph"/>
    <w:next w:val="Normal"/>
    <w:link w:val="Heading1Char"/>
    <w:uiPriority w:val="9"/>
    <w:qFormat/>
    <w:rsid w:val="00590C8F"/>
    <w:pPr>
      <w:numPr>
        <w:numId w:val="1"/>
      </w:numPr>
      <w:spacing w:after="300" w:line="288" w:lineRule="auto"/>
      <w:ind w:left="547" w:hanging="547"/>
      <w:outlineLvl w:val="0"/>
    </w:pPr>
    <w:rPr>
      <w:rFonts w:cs="Times New Roman"/>
      <w:b/>
      <w:sz w:val="34"/>
      <w:szCs w:val="34"/>
    </w:rPr>
  </w:style>
  <w:style w:type="paragraph" w:styleId="Heading2">
    <w:name w:val="heading 2"/>
    <w:basedOn w:val="ListParagraph"/>
    <w:next w:val="Normal"/>
    <w:link w:val="Heading2Char"/>
    <w:uiPriority w:val="9"/>
    <w:unhideWhenUsed/>
    <w:qFormat/>
    <w:rsid w:val="00590C8F"/>
    <w:pPr>
      <w:numPr>
        <w:ilvl w:val="1"/>
        <w:numId w:val="1"/>
      </w:numPr>
      <w:spacing w:line="444" w:lineRule="auto"/>
      <w:ind w:left="806" w:hanging="806"/>
      <w:outlineLvl w:val="1"/>
    </w:pPr>
    <w:rPr>
      <w:rFonts w:cs="Times New Roman"/>
      <w:b/>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C3850"/>
    <w:pPr>
      <w:jc w:val="center"/>
    </w:pPr>
  </w:style>
  <w:style w:type="character" w:customStyle="1" w:styleId="SubtitleChar">
    <w:name w:val="Subtitle Char"/>
    <w:basedOn w:val="DefaultParagraphFont"/>
    <w:link w:val="Subtitle"/>
    <w:uiPriority w:val="11"/>
    <w:rsid w:val="009C3850"/>
    <w:rPr>
      <w:rFonts w:ascii="LM Roman 12" w:eastAsiaTheme="minorEastAsia" w:hAnsi="LM Roman 12" w:cs="cmr12"/>
      <w:sz w:val="24"/>
      <w:szCs w:val="24"/>
      <w:lang w:val="en-US" w:eastAsia="zh-TW"/>
    </w:rPr>
  </w:style>
  <w:style w:type="paragraph" w:styleId="Header">
    <w:name w:val="header"/>
    <w:basedOn w:val="Normal"/>
    <w:link w:val="HeaderChar"/>
    <w:uiPriority w:val="99"/>
    <w:unhideWhenUsed/>
    <w:rsid w:val="009C3850"/>
    <w:pPr>
      <w:tabs>
        <w:tab w:val="center" w:pos="4513"/>
        <w:tab w:val="right" w:pos="9026"/>
      </w:tabs>
      <w:spacing w:line="240" w:lineRule="auto"/>
    </w:pPr>
  </w:style>
  <w:style w:type="character" w:customStyle="1" w:styleId="HeaderChar">
    <w:name w:val="Header Char"/>
    <w:basedOn w:val="DefaultParagraphFont"/>
    <w:link w:val="Header"/>
    <w:uiPriority w:val="99"/>
    <w:rsid w:val="009C3850"/>
    <w:rPr>
      <w:rFonts w:ascii="LM Roman 12" w:eastAsiaTheme="minorEastAsia" w:hAnsi="LM Roman 12" w:cs="cmr12"/>
      <w:sz w:val="24"/>
      <w:szCs w:val="24"/>
      <w:lang w:val="en-US" w:eastAsia="zh-TW"/>
    </w:rPr>
  </w:style>
  <w:style w:type="paragraph" w:styleId="Footer">
    <w:name w:val="footer"/>
    <w:basedOn w:val="Normal"/>
    <w:link w:val="FooterChar"/>
    <w:uiPriority w:val="99"/>
    <w:unhideWhenUsed/>
    <w:rsid w:val="009C3850"/>
    <w:pPr>
      <w:tabs>
        <w:tab w:val="center" w:pos="4513"/>
        <w:tab w:val="right" w:pos="9026"/>
      </w:tabs>
      <w:spacing w:line="240" w:lineRule="auto"/>
    </w:pPr>
  </w:style>
  <w:style w:type="character" w:customStyle="1" w:styleId="FooterChar">
    <w:name w:val="Footer Char"/>
    <w:basedOn w:val="DefaultParagraphFont"/>
    <w:link w:val="Footer"/>
    <w:uiPriority w:val="99"/>
    <w:rsid w:val="009C3850"/>
    <w:rPr>
      <w:rFonts w:ascii="LM Roman 12" w:eastAsiaTheme="minorEastAsia" w:hAnsi="LM Roman 12" w:cs="cmr12"/>
      <w:sz w:val="24"/>
      <w:szCs w:val="24"/>
      <w:lang w:val="en-US" w:eastAsia="zh-TW"/>
    </w:rPr>
  </w:style>
  <w:style w:type="paragraph" w:styleId="BalloonText">
    <w:name w:val="Balloon Text"/>
    <w:basedOn w:val="Normal"/>
    <w:link w:val="BalloonTextChar"/>
    <w:uiPriority w:val="99"/>
    <w:semiHidden/>
    <w:unhideWhenUsed/>
    <w:rsid w:val="00590C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C8F"/>
    <w:rPr>
      <w:rFonts w:ascii="Segoe UI" w:eastAsiaTheme="minorEastAsia" w:hAnsi="Segoe UI" w:cs="Segoe UI"/>
      <w:sz w:val="18"/>
      <w:szCs w:val="18"/>
      <w:lang w:val="en-US" w:eastAsia="zh-TW"/>
    </w:rPr>
  </w:style>
  <w:style w:type="character" w:customStyle="1" w:styleId="Heading1Char">
    <w:name w:val="Heading 1 Char"/>
    <w:basedOn w:val="DefaultParagraphFont"/>
    <w:link w:val="Heading1"/>
    <w:uiPriority w:val="9"/>
    <w:rsid w:val="00590C8F"/>
    <w:rPr>
      <w:rFonts w:ascii="LM Roman 12" w:eastAsiaTheme="minorEastAsia" w:hAnsi="LM Roman 12" w:cs="Times New Roman"/>
      <w:b/>
      <w:sz w:val="34"/>
      <w:szCs w:val="34"/>
      <w:lang w:val="en-US" w:eastAsia="zh-TW"/>
    </w:rPr>
  </w:style>
  <w:style w:type="character" w:customStyle="1" w:styleId="Heading2Char">
    <w:name w:val="Heading 2 Char"/>
    <w:basedOn w:val="DefaultParagraphFont"/>
    <w:link w:val="Heading2"/>
    <w:uiPriority w:val="9"/>
    <w:rsid w:val="00590C8F"/>
    <w:rPr>
      <w:rFonts w:ascii="LM Roman 12" w:eastAsiaTheme="minorEastAsia" w:hAnsi="LM Roman 12" w:cs="Times New Roman"/>
      <w:b/>
      <w:sz w:val="29"/>
      <w:szCs w:val="29"/>
      <w:lang w:val="en-US" w:eastAsia="zh-TW"/>
    </w:rPr>
  </w:style>
  <w:style w:type="paragraph" w:styleId="ListParagraph">
    <w:name w:val="List Paragraph"/>
    <w:basedOn w:val="Normal"/>
    <w:uiPriority w:val="34"/>
    <w:qFormat/>
    <w:rsid w:val="00590C8F"/>
    <w:pPr>
      <w:ind w:left="720"/>
      <w:contextualSpacing/>
    </w:pPr>
  </w:style>
  <w:style w:type="paragraph" w:customStyle="1" w:styleId="EndNoteBibliographyTitle">
    <w:name w:val="EndNote Bibliography Title"/>
    <w:basedOn w:val="Normal"/>
    <w:link w:val="EndNoteBibliographyTitleChar"/>
    <w:rsid w:val="00CD259B"/>
    <w:pPr>
      <w:jc w:val="center"/>
    </w:pPr>
    <w:rPr>
      <w:noProof/>
    </w:rPr>
  </w:style>
  <w:style w:type="character" w:customStyle="1" w:styleId="EndNoteBibliographyTitleChar">
    <w:name w:val="EndNote Bibliography Title Char"/>
    <w:basedOn w:val="SubtitleChar"/>
    <w:link w:val="EndNoteBibliographyTitle"/>
    <w:rsid w:val="00CD259B"/>
    <w:rPr>
      <w:rFonts w:ascii="LM Roman 12" w:eastAsiaTheme="minorEastAsia" w:hAnsi="LM Roman 12" w:cs="cmr12"/>
      <w:noProof/>
      <w:sz w:val="24"/>
      <w:szCs w:val="24"/>
      <w:lang w:val="en-US" w:eastAsia="zh-TW"/>
    </w:rPr>
  </w:style>
  <w:style w:type="paragraph" w:customStyle="1" w:styleId="EndNoteBibliography">
    <w:name w:val="EndNote Bibliography"/>
    <w:basedOn w:val="Normal"/>
    <w:link w:val="EndNoteBibliographyChar"/>
    <w:rsid w:val="00CD259B"/>
    <w:pPr>
      <w:spacing w:line="240" w:lineRule="auto"/>
    </w:pPr>
    <w:rPr>
      <w:noProof/>
    </w:rPr>
  </w:style>
  <w:style w:type="character" w:customStyle="1" w:styleId="EndNoteBibliographyChar">
    <w:name w:val="EndNote Bibliography Char"/>
    <w:basedOn w:val="SubtitleChar"/>
    <w:link w:val="EndNoteBibliography"/>
    <w:rsid w:val="00CD259B"/>
    <w:rPr>
      <w:rFonts w:ascii="LM Roman 12" w:eastAsiaTheme="minorEastAsia" w:hAnsi="LM Roman 12" w:cs="cmr12"/>
      <w:noProof/>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15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Dixon</dc:creator>
  <cp:keywords/>
  <dc:description/>
  <cp:lastModifiedBy>Padraig Dixon</cp:lastModifiedBy>
  <cp:revision>11</cp:revision>
  <dcterms:created xsi:type="dcterms:W3CDTF">2020-07-01T11:33:00Z</dcterms:created>
  <dcterms:modified xsi:type="dcterms:W3CDTF">2020-07-02T10:45:00Z</dcterms:modified>
</cp:coreProperties>
</file>