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26264" w14:textId="1CCE4626" w:rsidR="00692883" w:rsidRPr="00FA09DB" w:rsidRDefault="00D74D7F" w:rsidP="00684B9D">
      <w:pPr>
        <w:rPr>
          <w:rFonts w:ascii="Arial" w:hAnsi="Arial" w:cs="Arial"/>
          <w:b/>
          <w:sz w:val="20"/>
          <w:szCs w:val="20"/>
          <w:shd w:val="clear" w:color="auto" w:fill="FFFFFF" w:themeFill="background1"/>
        </w:rPr>
      </w:pPr>
      <w:bookmarkStart w:id="0" w:name="_GoBack"/>
      <w:bookmarkEnd w:id="0"/>
      <w:r w:rsidRPr="00FA09DB">
        <w:rPr>
          <w:rFonts w:ascii="Arial" w:hAnsi="Arial" w:cs="Arial"/>
          <w:b/>
          <w:noProof/>
          <w:sz w:val="20"/>
          <w:szCs w:val="20"/>
          <w:shd w:val="clear" w:color="auto" w:fill="FFFFFF" w:themeFill="background1"/>
          <w:lang w:eastAsia="en-US"/>
        </w:rPr>
        <w:drawing>
          <wp:inline distT="0" distB="0" distL="0" distR="0" wp14:anchorId="798C7722" wp14:editId="33B4091C">
            <wp:extent cx="5943600" cy="4453255"/>
            <wp:effectExtent l="0" t="0" r="0" b="4445"/>
            <wp:docPr id="18" name="Picture 18" descr="C:\Users\MaH\Desktop\Report\Figures\Appendi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H\Desktop\Report\Figures\Appendix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CC77" w14:textId="39F5A1EF" w:rsidR="00F6770E" w:rsidRDefault="00684B9D" w:rsidP="000F5207">
      <w:pPr>
        <w:spacing w:after="0"/>
        <w:rPr>
          <w:rFonts w:ascii="Arial" w:hAnsi="Arial" w:cs="Arial"/>
          <w:sz w:val="20"/>
          <w:szCs w:val="20"/>
        </w:rPr>
      </w:pPr>
      <w:r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Appendix Figure </w:t>
      </w:r>
      <w:r w:rsidRPr="00FA09DB">
        <w:rPr>
          <w:rFonts w:ascii="Arial" w:hAnsi="Arial" w:cs="Arial" w:hint="eastAsia"/>
          <w:b/>
          <w:sz w:val="20"/>
          <w:szCs w:val="20"/>
          <w:shd w:val="clear" w:color="auto" w:fill="FFFFFF" w:themeFill="background1"/>
        </w:rPr>
        <w:t>1</w:t>
      </w:r>
      <w:r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. </w:t>
      </w:r>
      <w:r w:rsidR="000F5207"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Cross-check</w:t>
      </w:r>
      <w:r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amongst different </w:t>
      </w:r>
      <w:r w:rsidR="000F5207"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data </w:t>
      </w:r>
      <w:r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sources</w:t>
      </w:r>
      <w:r w:rsidR="000F5207"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for the following measures in the Greater Toronto Area: </w:t>
      </w:r>
      <w:r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(A) Cumulative diagnosed cases</w:t>
      </w:r>
      <w:r w:rsidR="000F5207"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overall</w:t>
      </w:r>
      <w:r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;</w:t>
      </w:r>
      <w:r w:rsidRPr="00FA09DB">
        <w:rPr>
          <w:rFonts w:ascii="Arial" w:hAnsi="Arial" w:cs="Arial"/>
          <w:b/>
          <w:sz w:val="20"/>
          <w:szCs w:val="20"/>
        </w:rPr>
        <w:t xml:space="preserve"> (B)</w:t>
      </w:r>
      <w:r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</w:t>
      </w:r>
      <w:r w:rsidR="000F5207"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C</w:t>
      </w:r>
      <w:r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umulative diagnosed cases </w:t>
      </w:r>
      <w:r w:rsidR="000F5207"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for LTCH-residents</w:t>
      </w:r>
      <w:r w:rsidRPr="00FA09DB">
        <w:rPr>
          <w:rFonts w:ascii="Arial" w:hAnsi="Arial" w:cs="Arial"/>
          <w:b/>
          <w:sz w:val="20"/>
          <w:szCs w:val="20"/>
        </w:rPr>
        <w:t xml:space="preserve">; (C) </w:t>
      </w:r>
      <w:r w:rsidR="000F5207"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Cumulative diagnosed cases for persons </w:t>
      </w:r>
      <w:r w:rsidR="00890063"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using</w:t>
      </w:r>
      <w:r w:rsidR="000F5207" w:rsidRPr="00FA09D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shelters; and (D) cumulative deaths among LTCH-residents diagnosed with COVID-19</w:t>
      </w:r>
      <w:r w:rsidRPr="00FA09DB">
        <w:rPr>
          <w:rFonts w:ascii="Arial" w:hAnsi="Arial" w:cs="Arial"/>
          <w:b/>
          <w:sz w:val="20"/>
          <w:szCs w:val="20"/>
        </w:rPr>
        <w:t>.</w:t>
      </w:r>
      <w:r w:rsidR="00356E06" w:rsidRPr="00FA09DB">
        <w:t xml:space="preserve"> </w:t>
      </w:r>
      <w:r w:rsidR="000F5207" w:rsidRPr="00FA09DB">
        <w:rPr>
          <w:rFonts w:ascii="Arial" w:hAnsi="Arial" w:cs="Arial"/>
          <w:sz w:val="20"/>
          <w:szCs w:val="20"/>
        </w:rPr>
        <w:t>Data sources:</w:t>
      </w:r>
      <w:r w:rsidR="000F5207" w:rsidRPr="00FA09DB">
        <w:rPr>
          <w:rFonts w:ascii="Arial" w:hAnsi="Arial" w:cs="Arial"/>
          <w:b/>
          <w:sz w:val="20"/>
          <w:szCs w:val="20"/>
        </w:rPr>
        <w:t xml:space="preserve"> </w:t>
      </w:r>
      <w:r w:rsidR="000F5207" w:rsidRPr="00FA09DB">
        <w:rPr>
          <w:rFonts w:ascii="Arial" w:hAnsi="Arial" w:cs="Arial"/>
          <w:sz w:val="20"/>
          <w:szCs w:val="20"/>
        </w:rPr>
        <w:t>iPHIS,</w:t>
      </w:r>
      <w:r w:rsidR="000F5207" w:rsidRPr="00FA09DB">
        <w:rPr>
          <w:rFonts w:ascii="Arial" w:hAnsi="Arial" w:cs="Arial"/>
          <w:b/>
          <w:sz w:val="20"/>
          <w:szCs w:val="20"/>
        </w:rPr>
        <w:t xml:space="preserve"> </w:t>
      </w:r>
      <w:r w:rsidR="000F5207" w:rsidRPr="00FA09DB">
        <w:rPr>
          <w:rFonts w:ascii="Arial" w:hAnsi="Arial" w:cs="Arial"/>
          <w:sz w:val="20"/>
          <w:szCs w:val="20"/>
        </w:rPr>
        <w:t>the</w:t>
      </w:r>
      <w:r w:rsidR="000F5207" w:rsidRPr="00FA09DB">
        <w:t xml:space="preserve"> </w:t>
      </w:r>
      <w:r w:rsidR="000F5207" w:rsidRPr="00FA09DB">
        <w:rPr>
          <w:rFonts w:ascii="Arial" w:hAnsi="Arial" w:cs="Arial"/>
          <w:sz w:val="20"/>
          <w:szCs w:val="20"/>
        </w:rPr>
        <w:t>integrated Public Health Information System; OLIS, the</w:t>
      </w:r>
      <w:r w:rsidR="000F5207" w:rsidRPr="00FA09DB">
        <w:t xml:space="preserve"> </w:t>
      </w:r>
      <w:r w:rsidR="000F5207" w:rsidRPr="00FA09DB">
        <w:rPr>
          <w:rFonts w:ascii="Arial" w:hAnsi="Arial" w:cs="Arial"/>
          <w:sz w:val="20"/>
          <w:szCs w:val="20"/>
        </w:rPr>
        <w:t xml:space="preserve">Ontario Laboratories Information System; LTCH tracker, </w:t>
      </w:r>
      <w:r w:rsidR="00890063" w:rsidRPr="00FA09DB">
        <w:rPr>
          <w:rFonts w:ascii="Arial" w:hAnsi="Arial" w:cs="Arial"/>
          <w:sz w:val="20"/>
          <w:szCs w:val="20"/>
        </w:rPr>
        <w:t xml:space="preserve">the </w:t>
      </w:r>
      <w:r w:rsidR="000F5207" w:rsidRPr="00FA09DB">
        <w:rPr>
          <w:rFonts w:ascii="Arial" w:hAnsi="Arial" w:cs="Arial"/>
          <w:sz w:val="20"/>
          <w:szCs w:val="20"/>
        </w:rPr>
        <w:t>provincial LTCH tracker</w:t>
      </w:r>
      <w:r w:rsidR="00890063" w:rsidRPr="00FA09DB">
        <w:rPr>
          <w:rFonts w:ascii="Arial" w:hAnsi="Arial" w:cs="Arial"/>
          <w:sz w:val="20"/>
          <w:szCs w:val="20"/>
        </w:rPr>
        <w:t xml:space="preserve"> collects aggregate data </w:t>
      </w:r>
      <w:r w:rsidR="00FA09DB" w:rsidRPr="00FA09DB">
        <w:rPr>
          <w:rFonts w:ascii="Arial" w:hAnsi="Arial" w:cs="Arial"/>
          <w:sz w:val="20"/>
          <w:szCs w:val="20"/>
        </w:rPr>
        <w:t xml:space="preserve">at the facility-level </w:t>
      </w:r>
      <w:r w:rsidR="00890063" w:rsidRPr="00FA09DB">
        <w:rPr>
          <w:rFonts w:ascii="Arial" w:hAnsi="Arial" w:cs="Arial"/>
          <w:sz w:val="20"/>
          <w:szCs w:val="20"/>
        </w:rPr>
        <w:t>on the number of active COVID-19 cases (confirmed and probable, separately), and cumulative deaths</w:t>
      </w:r>
      <w:r w:rsidR="00FA09DB" w:rsidRPr="00FA09DB">
        <w:rPr>
          <w:rFonts w:ascii="Arial" w:hAnsi="Arial" w:cs="Arial"/>
          <w:sz w:val="20"/>
          <w:szCs w:val="20"/>
        </w:rPr>
        <w:t xml:space="preserve"> (among confirmed COVID-19 cases, and those who were diagnosed with COVID-19 at time of death) at LTCH,</w:t>
      </w:r>
      <w:r w:rsidR="00890063" w:rsidRPr="00FA09DB">
        <w:rPr>
          <w:rFonts w:ascii="Arial" w:hAnsi="Arial" w:cs="Arial"/>
          <w:sz w:val="20"/>
          <w:szCs w:val="20"/>
        </w:rPr>
        <w:t xml:space="preserve"> among residents and staff, separately</w:t>
      </w:r>
      <w:r w:rsidR="00FA09DB" w:rsidRPr="00FA09DB">
        <w:rPr>
          <w:rFonts w:ascii="Arial" w:hAnsi="Arial" w:cs="Arial"/>
          <w:sz w:val="20"/>
          <w:szCs w:val="20"/>
        </w:rPr>
        <w:t>; c</w:t>
      </w:r>
      <w:r w:rsidR="000F5207" w:rsidRPr="00FA09DB">
        <w:rPr>
          <w:rFonts w:ascii="Arial" w:hAnsi="Arial" w:cs="Arial"/>
          <w:sz w:val="20"/>
          <w:szCs w:val="20"/>
        </w:rPr>
        <w:t>umulative diagnosed cases</w:t>
      </w:r>
      <w:r w:rsidR="00FA09DB" w:rsidRPr="00FA09DB">
        <w:rPr>
          <w:rFonts w:ascii="Arial" w:hAnsi="Arial" w:cs="Arial"/>
          <w:sz w:val="20"/>
          <w:szCs w:val="20"/>
        </w:rPr>
        <w:t xml:space="preserve"> in (B) per LTCH tracker was</w:t>
      </w:r>
      <w:r w:rsidR="000F5207" w:rsidRPr="00FA09DB">
        <w:rPr>
          <w:rFonts w:ascii="Arial" w:hAnsi="Arial" w:cs="Arial"/>
          <w:sz w:val="20"/>
          <w:szCs w:val="20"/>
        </w:rPr>
        <w:t xml:space="preserve"> approximated by the sum of active </w:t>
      </w:r>
      <w:r w:rsidR="00FA09DB" w:rsidRPr="00FA09DB">
        <w:rPr>
          <w:rFonts w:ascii="Arial" w:hAnsi="Arial" w:cs="Arial"/>
          <w:sz w:val="20"/>
          <w:szCs w:val="20"/>
        </w:rPr>
        <w:t xml:space="preserve">confirmed </w:t>
      </w:r>
      <w:r w:rsidR="000F5207" w:rsidRPr="00FA09DB">
        <w:rPr>
          <w:rFonts w:ascii="Arial" w:hAnsi="Arial" w:cs="Arial"/>
          <w:sz w:val="20"/>
          <w:szCs w:val="20"/>
        </w:rPr>
        <w:t>cases and deaths, thus may not capture resolved cases</w:t>
      </w:r>
      <w:r w:rsidR="00FA09DB" w:rsidRPr="00FA09DB">
        <w:rPr>
          <w:rFonts w:ascii="Arial" w:hAnsi="Arial" w:cs="Arial"/>
          <w:sz w:val="20"/>
          <w:szCs w:val="20"/>
        </w:rPr>
        <w:t xml:space="preserve">. </w:t>
      </w:r>
      <w:r w:rsidR="000F5207" w:rsidRPr="00FA09DB">
        <w:rPr>
          <w:rFonts w:ascii="Arial" w:hAnsi="Arial" w:cs="Arial"/>
          <w:sz w:val="20"/>
          <w:szCs w:val="20"/>
        </w:rPr>
        <w:t xml:space="preserve"> </w:t>
      </w:r>
      <w:r w:rsidR="00F6770E">
        <w:rPr>
          <w:rFonts w:ascii="Arial" w:hAnsi="Arial" w:cs="Arial"/>
          <w:sz w:val="20"/>
          <w:szCs w:val="20"/>
        </w:rPr>
        <w:t xml:space="preserve">The calendar date refers to the date the case was reported to the public health unit in (A)-(C), and date of death in (D). </w:t>
      </w:r>
      <w:r w:rsidR="000F5207" w:rsidRPr="00FA09DB">
        <w:rPr>
          <w:rStyle w:val="Hyperlink"/>
          <w:rFonts w:ascii="Arial" w:hAnsi="Arial" w:cs="Arial"/>
          <w:noProof/>
          <w:color w:val="auto"/>
          <w:sz w:val="20"/>
          <w:szCs w:val="20"/>
          <w:u w:val="none"/>
        </w:rPr>
        <w:t>Abbreviations: GTA, Greater Toronto Area; LTCH, long-term care homes.</w:t>
      </w:r>
      <w:r w:rsidR="00890063" w:rsidRPr="00FA09DB">
        <w:rPr>
          <w:rFonts w:ascii="Arial" w:hAnsi="Arial" w:cs="Arial"/>
          <w:sz w:val="20"/>
          <w:szCs w:val="20"/>
        </w:rPr>
        <w:t xml:space="preserve"> </w:t>
      </w:r>
      <w:r w:rsidR="00FA09DB" w:rsidRPr="00FA09DB">
        <w:rPr>
          <w:rFonts w:ascii="Arial" w:hAnsi="Arial" w:cs="Arial"/>
          <w:sz w:val="20"/>
          <w:szCs w:val="20"/>
        </w:rPr>
        <w:t xml:space="preserve"> </w:t>
      </w:r>
    </w:p>
    <w:p w14:paraId="74244EB1" w14:textId="77777777" w:rsidR="00F6770E" w:rsidRDefault="00F677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C1865F5" w14:textId="2463F6B9" w:rsidR="000F5207" w:rsidRPr="0076087E" w:rsidRDefault="0076087E" w:rsidP="000F5207">
      <w:pPr>
        <w:spacing w:after="0"/>
        <w:rPr>
          <w:rFonts w:ascii="Arial" w:hAnsi="Arial" w:cs="Arial"/>
          <w:noProof/>
          <w:sz w:val="20"/>
          <w:szCs w:val="20"/>
        </w:rPr>
      </w:pPr>
      <w:r w:rsidRPr="0076087E">
        <w:rPr>
          <w:rFonts w:ascii="Arial" w:hAnsi="Arial" w:cs="Arial"/>
          <w:noProof/>
          <w:sz w:val="20"/>
          <w:szCs w:val="20"/>
        </w:rPr>
        <w:lastRenderedPageBreak/>
        <w:t>(A)</w:t>
      </w:r>
    </w:p>
    <w:p w14:paraId="44E57E17" w14:textId="538D8D6B" w:rsidR="0076087E" w:rsidRPr="0076087E" w:rsidRDefault="00253EAF" w:rsidP="000F5207">
      <w:pPr>
        <w:spacing w:after="0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55165722" wp14:editId="42B23F19">
            <wp:extent cx="4292600" cy="3216239"/>
            <wp:effectExtent l="0" t="0" r="0" b="3810"/>
            <wp:docPr id="15" name="Picture 15" descr="C:\Users\MaH\Desktop\Report\Figures\Figure1_overall_updateDaily_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H\Desktop\Report\Figures\Figure1_overall_updateDaily_b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38" cy="32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059C" w14:textId="619AEF90" w:rsidR="0076087E" w:rsidRPr="0076087E" w:rsidRDefault="0076087E" w:rsidP="000F5207">
      <w:pPr>
        <w:spacing w:after="0"/>
        <w:rPr>
          <w:rFonts w:ascii="Arial" w:hAnsi="Arial" w:cs="Arial"/>
          <w:noProof/>
          <w:sz w:val="20"/>
          <w:szCs w:val="20"/>
        </w:rPr>
      </w:pPr>
      <w:r w:rsidRPr="0076087E">
        <w:rPr>
          <w:rFonts w:ascii="Arial" w:hAnsi="Arial" w:cs="Arial"/>
          <w:noProof/>
          <w:sz w:val="20"/>
          <w:szCs w:val="20"/>
        </w:rPr>
        <w:t>(B)</w:t>
      </w:r>
    </w:p>
    <w:p w14:paraId="1F522BB6" w14:textId="32170CB0" w:rsidR="00F6770E" w:rsidRDefault="009C0897" w:rsidP="000F5207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1208B8E0" wp14:editId="76A94481">
            <wp:extent cx="4241800" cy="3178177"/>
            <wp:effectExtent l="0" t="0" r="6350" b="3175"/>
            <wp:docPr id="20" name="Picture 20" descr="C:\Users\MaH\Desktop\Report\Figures\Figure1_byNEWcase acquistion_up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H\Desktop\Report\Figures\Figure1_byNEWcase acquistion_upda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22" cy="31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AF73" w14:textId="447EECB7" w:rsidR="00F6770E" w:rsidRPr="00F6770E" w:rsidRDefault="00F6770E" w:rsidP="000F5207">
      <w:pPr>
        <w:spacing w:after="0"/>
        <w:rPr>
          <w:rFonts w:ascii="Arial" w:hAnsi="Arial" w:cs="Arial"/>
          <w:sz w:val="20"/>
          <w:szCs w:val="20"/>
        </w:rPr>
      </w:pPr>
      <w:r w:rsidRPr="00F6770E">
        <w:rPr>
          <w:rFonts w:ascii="Arial" w:hAnsi="Arial" w:cs="Arial"/>
          <w:b/>
          <w:sz w:val="20"/>
          <w:szCs w:val="20"/>
        </w:rPr>
        <w:t xml:space="preserve">Appendix Figure 2. The (A) </w:t>
      </w:r>
      <w:r w:rsidR="00951E2C">
        <w:rPr>
          <w:rFonts w:ascii="Arial" w:hAnsi="Arial" w:cs="Arial"/>
          <w:b/>
          <w:sz w:val="20"/>
          <w:szCs w:val="20"/>
        </w:rPr>
        <w:t>tota</w:t>
      </w:r>
      <w:r w:rsidRPr="00F6770E">
        <w:rPr>
          <w:rFonts w:ascii="Arial" w:hAnsi="Arial" w:cs="Arial"/>
          <w:b/>
          <w:sz w:val="20"/>
          <w:szCs w:val="20"/>
        </w:rPr>
        <w:t xml:space="preserve">l number and (B) distribution by outbreak setting in the daily number of diagnosed COVID-19 cases in the Greater Toronto Area. </w:t>
      </w:r>
      <w:r w:rsidR="00951E2C" w:rsidRPr="00951E2C">
        <w:rPr>
          <w:rFonts w:ascii="Arial" w:hAnsi="Arial" w:cs="Arial"/>
          <w:sz w:val="20"/>
          <w:szCs w:val="20"/>
        </w:rPr>
        <w:t xml:space="preserve">Settings are defined as mutually exclusive categories by the order shown in the graph (from top to bottom) in the event of multiple exposures. LTCH-other may include volunteers; other congregate outbreak settings include hospitals, correctional facilities, retirement homes, group homes, and other not yet classified such as workplaces. </w:t>
      </w:r>
      <w:r w:rsidR="00B33370">
        <w:rPr>
          <w:rFonts w:ascii="Arial" w:hAnsi="Arial" w:cs="Arial"/>
          <w:sz w:val="20"/>
          <w:szCs w:val="20"/>
        </w:rPr>
        <w:t xml:space="preserve">Information missing category excludes congregate setting. </w:t>
      </w:r>
      <w:r w:rsidR="00951E2C" w:rsidRPr="00951E2C">
        <w:rPr>
          <w:rFonts w:ascii="Arial" w:hAnsi="Arial" w:cs="Arial"/>
          <w:sz w:val="20"/>
          <w:szCs w:val="20"/>
        </w:rPr>
        <w:t>The calendar date refers to the date the case was reported to the public health unit. Data sources: iPHIS, the integrated Public Health Information System. Abbreviations: GTA, Greater Toronto Area; LTCH, long-term care homes.</w:t>
      </w:r>
    </w:p>
    <w:p w14:paraId="1DB60B81" w14:textId="10886866" w:rsidR="005B402A" w:rsidRPr="00F6770E" w:rsidRDefault="009870ED" w:rsidP="005B402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lastRenderedPageBreak/>
        <w:drawing>
          <wp:inline distT="0" distB="0" distL="0" distR="0" wp14:anchorId="7001FA2E" wp14:editId="30F8A448">
            <wp:extent cx="5943600" cy="4453255"/>
            <wp:effectExtent l="0" t="0" r="0" b="4445"/>
            <wp:docPr id="23" name="Picture 23" descr="C:\Users\MaH\Desktop\Report\Figures\Figure1_bysetting_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H\Desktop\Report\Figures\Figure1_bysetting_O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1BC" w:rsidRPr="00FC5D09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Appendix Figure </w:t>
      </w:r>
      <w:r w:rsidR="00E12C2E">
        <w:rPr>
          <w:rFonts w:ascii="Arial" w:hAnsi="Arial" w:cs="Arial" w:hint="eastAsia"/>
          <w:b/>
          <w:sz w:val="20"/>
          <w:szCs w:val="20"/>
          <w:shd w:val="clear" w:color="auto" w:fill="FFFFFF" w:themeFill="background1"/>
        </w:rPr>
        <w:t>3</w:t>
      </w:r>
      <w:r w:rsidR="004A7ACF" w:rsidRPr="00FC5D09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.</w:t>
      </w:r>
      <w:r w:rsidR="00A651BC" w:rsidRPr="00FC5D09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Distribution of cumulative COVID-19 cases in the Greater Toronto Area</w:t>
      </w:r>
      <w:r w:rsidR="00796E77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(GTA)</w:t>
      </w:r>
      <w:r w:rsidR="00A651BC" w:rsidRPr="00FC5D09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by </w:t>
      </w:r>
      <w:r w:rsidR="00FF3271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setting</w:t>
      </w:r>
      <w:r w:rsidR="00A651BC" w:rsidRPr="00FC5D09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over time</w:t>
      </w:r>
      <w:r w:rsidR="004A7ACF" w:rsidRPr="00FC5D09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</w:t>
      </w:r>
      <w:r w:rsidR="00E6636A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in </w:t>
      </w:r>
      <w:r w:rsidR="007D66DF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congregate</w:t>
      </w:r>
      <w:r w:rsidR="00E6636A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settings</w:t>
      </w:r>
      <w:r w:rsidR="00A651BC" w:rsidRPr="00740BA8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.</w:t>
      </w:r>
      <w:r w:rsidR="00740BA8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</w:t>
      </w:r>
      <w:r w:rsidR="005B402A" w:rsidRPr="006C6F25">
        <w:rPr>
          <w:rFonts w:ascii="Arial" w:hAnsi="Arial" w:cs="Arial"/>
          <w:sz w:val="20"/>
          <w:szCs w:val="20"/>
        </w:rPr>
        <w:t xml:space="preserve">LTCH-other may include volunteers; </w:t>
      </w:r>
      <w:r w:rsidR="005B402A">
        <w:rPr>
          <w:rFonts w:ascii="Arial" w:hAnsi="Arial" w:cs="Arial"/>
          <w:sz w:val="20"/>
          <w:szCs w:val="20"/>
        </w:rPr>
        <w:t>o</w:t>
      </w:r>
      <w:r w:rsidR="00306AA6">
        <w:rPr>
          <w:rFonts w:ascii="Arial" w:hAnsi="Arial" w:cs="Arial"/>
          <w:sz w:val="20"/>
          <w:szCs w:val="20"/>
        </w:rPr>
        <w:t>ther congregate settings refer to those that have not yet been classified in the data source, and may include other workplace settings where an outbreak has been declared.</w:t>
      </w:r>
      <w:r w:rsidR="005B402A" w:rsidRPr="005B402A">
        <w:rPr>
          <w:rFonts w:ascii="Arial" w:hAnsi="Arial" w:cs="Arial"/>
          <w:b/>
          <w:sz w:val="20"/>
          <w:szCs w:val="20"/>
        </w:rPr>
        <w:t xml:space="preserve"> </w:t>
      </w:r>
      <w:r w:rsidR="005B402A" w:rsidRPr="00740BA8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Data sources: iPHIS: integrated Public Health Information </w:t>
      </w:r>
      <w:r w:rsidR="005B402A" w:rsidRPr="00E12C2E">
        <w:rPr>
          <w:rFonts w:ascii="Arial" w:hAnsi="Arial" w:cs="Arial"/>
          <w:sz w:val="20"/>
          <w:szCs w:val="20"/>
          <w:shd w:val="clear" w:color="auto" w:fill="FFFFFF" w:themeFill="background1"/>
        </w:rPr>
        <w:t>System</w:t>
      </w:r>
      <w:r w:rsidR="005B402A" w:rsidRPr="00E12C2E">
        <w:rPr>
          <w:rFonts w:ascii="Arial" w:hAnsi="Arial" w:cs="Arial" w:hint="eastAsia"/>
          <w:sz w:val="20"/>
          <w:szCs w:val="20"/>
        </w:rPr>
        <w:t>.</w:t>
      </w:r>
      <w:r w:rsidR="005B402A">
        <w:rPr>
          <w:rFonts w:ascii="Arial" w:hAnsi="Arial" w:cs="Arial"/>
          <w:sz w:val="20"/>
          <w:szCs w:val="20"/>
        </w:rPr>
        <w:t xml:space="preserve"> </w:t>
      </w:r>
      <w:r w:rsidR="005B402A" w:rsidRPr="00F6770E">
        <w:rPr>
          <w:rFonts w:ascii="Arial" w:hAnsi="Arial" w:cs="Arial"/>
          <w:sz w:val="20"/>
          <w:szCs w:val="20"/>
        </w:rPr>
        <w:t>Abbreviations: GTA, Greater Toronto Area; LTCH, long-term</w:t>
      </w:r>
      <w:r w:rsidR="005B402A">
        <w:rPr>
          <w:rFonts w:ascii="Arial" w:hAnsi="Arial" w:cs="Arial"/>
          <w:sz w:val="20"/>
          <w:szCs w:val="20"/>
        </w:rPr>
        <w:t xml:space="preserve"> care homes. </w:t>
      </w:r>
    </w:p>
    <w:p w14:paraId="08691BA2" w14:textId="392A1009" w:rsidR="007F25AD" w:rsidRPr="00740BA8" w:rsidRDefault="007F25AD" w:rsidP="00740BA8">
      <w:pPr>
        <w:spacing w:after="0"/>
        <w:rPr>
          <w:rFonts w:ascii="Arial" w:hAnsi="Arial" w:cs="Arial"/>
          <w:sz w:val="20"/>
          <w:szCs w:val="20"/>
        </w:rPr>
      </w:pPr>
    </w:p>
    <w:p w14:paraId="18098EE7" w14:textId="77777777" w:rsidR="007F25AD" w:rsidRDefault="007F25AD" w:rsidP="00740B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1BBE5F8" w14:textId="20BED16D" w:rsidR="007F25AD" w:rsidRPr="0070416D" w:rsidRDefault="00B66EF5" w:rsidP="007F25A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lastRenderedPageBreak/>
        <w:drawing>
          <wp:inline distT="0" distB="0" distL="0" distR="0" wp14:anchorId="58314471" wp14:editId="5752DB95">
            <wp:extent cx="5943600" cy="4457700"/>
            <wp:effectExtent l="0" t="0" r="0" b="0"/>
            <wp:docPr id="10" name="Picture 10" descr="C:\Users\MaH\Desktop\Report\Figures\Figur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H\Desktop\Report\Figures\Figure3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4AA4" w14:textId="644748F5" w:rsidR="009F4690" w:rsidRPr="0070416D" w:rsidRDefault="007F25AD" w:rsidP="009F4690">
      <w:pPr>
        <w:spacing w:after="0"/>
        <w:rPr>
          <w:rFonts w:ascii="Arial" w:hAnsi="Arial" w:cs="Arial"/>
          <w:b/>
          <w:sz w:val="20"/>
          <w:szCs w:val="20"/>
        </w:rPr>
      </w:pPr>
      <w:r w:rsidRPr="0070416D">
        <w:rPr>
          <w:rFonts w:ascii="Arial" w:hAnsi="Arial" w:cs="Arial"/>
          <w:b/>
          <w:sz w:val="20"/>
          <w:szCs w:val="20"/>
        </w:rPr>
        <w:t xml:space="preserve">Appendix </w:t>
      </w:r>
      <w:r>
        <w:rPr>
          <w:rFonts w:ascii="Arial" w:hAnsi="Arial" w:cs="Arial"/>
          <w:b/>
          <w:sz w:val="20"/>
          <w:szCs w:val="20"/>
        </w:rPr>
        <w:t>Fi</w:t>
      </w:r>
      <w:r w:rsidRPr="0070416D">
        <w:rPr>
          <w:rFonts w:ascii="Arial" w:hAnsi="Arial" w:cs="Arial"/>
          <w:b/>
          <w:sz w:val="20"/>
          <w:szCs w:val="20"/>
        </w:rPr>
        <w:t xml:space="preserve">gure </w:t>
      </w:r>
      <w:r w:rsidR="00E12C2E">
        <w:rPr>
          <w:rFonts w:ascii="Arial" w:hAnsi="Arial" w:cs="Arial" w:hint="eastAsia"/>
          <w:b/>
          <w:sz w:val="20"/>
          <w:szCs w:val="20"/>
        </w:rPr>
        <w:t>4</w:t>
      </w:r>
      <w:r w:rsidRPr="0070416D">
        <w:rPr>
          <w:rFonts w:ascii="Arial" w:hAnsi="Arial" w:cs="Arial"/>
          <w:b/>
          <w:sz w:val="20"/>
          <w:szCs w:val="20"/>
        </w:rPr>
        <w:t xml:space="preserve">. Cumulative </w:t>
      </w:r>
      <w:r>
        <w:rPr>
          <w:rFonts w:ascii="Arial" w:hAnsi="Arial" w:cs="Arial"/>
          <w:b/>
          <w:sz w:val="20"/>
          <w:szCs w:val="20"/>
        </w:rPr>
        <w:t xml:space="preserve">proportion of population who had at least one </w:t>
      </w:r>
      <w:r w:rsidRPr="0070416D">
        <w:rPr>
          <w:rFonts w:ascii="Arial" w:hAnsi="Arial" w:cs="Arial"/>
          <w:b/>
          <w:sz w:val="20"/>
          <w:szCs w:val="20"/>
        </w:rPr>
        <w:t>COVID-19 test</w:t>
      </w:r>
      <w:r>
        <w:rPr>
          <w:rFonts w:ascii="Arial" w:hAnsi="Arial" w:cs="Arial"/>
          <w:b/>
          <w:sz w:val="20"/>
          <w:szCs w:val="20"/>
        </w:rPr>
        <w:t xml:space="preserve"> in the Greater Toronto Area by outbreak setting.</w:t>
      </w:r>
      <w:r w:rsidRPr="0070416D">
        <w:rPr>
          <w:rFonts w:ascii="Arial" w:hAnsi="Arial" w:cs="Arial"/>
          <w:b/>
          <w:sz w:val="20"/>
          <w:szCs w:val="20"/>
        </w:rPr>
        <w:t xml:space="preserve"> </w:t>
      </w:r>
      <w:r w:rsidR="003F4551" w:rsidRPr="003F4551">
        <w:rPr>
          <w:rFonts w:ascii="Arial" w:hAnsi="Arial" w:cs="Arial"/>
          <w:sz w:val="20"/>
          <w:szCs w:val="20"/>
        </w:rPr>
        <w:t>The calendar date refers to the date when specimen was collected.</w:t>
      </w:r>
      <w:r w:rsidR="003F4551">
        <w:rPr>
          <w:rFonts w:ascii="Arial" w:hAnsi="Arial" w:cs="Arial"/>
          <w:b/>
          <w:sz w:val="20"/>
          <w:szCs w:val="20"/>
        </w:rPr>
        <w:t xml:space="preserve"> </w:t>
      </w:r>
      <w:r w:rsidR="00E549C8" w:rsidRPr="00740BA8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Data sources: </w:t>
      </w:r>
      <w:r w:rsidR="00E549C8">
        <w:rPr>
          <w:rFonts w:ascii="Arial" w:hAnsi="Arial" w:cs="Arial"/>
          <w:sz w:val="20"/>
          <w:szCs w:val="20"/>
          <w:shd w:val="clear" w:color="auto" w:fill="FFFFFF" w:themeFill="background1"/>
        </w:rPr>
        <w:t>OLIS</w:t>
      </w:r>
      <w:r w:rsidR="00E549C8" w:rsidRPr="00740BA8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: </w:t>
      </w:r>
      <w:r w:rsidR="00E549C8" w:rsidRPr="00E549C8">
        <w:rPr>
          <w:rFonts w:ascii="Arial" w:hAnsi="Arial" w:cs="Arial"/>
          <w:sz w:val="20"/>
          <w:szCs w:val="20"/>
          <w:shd w:val="clear" w:color="auto" w:fill="FFFFFF" w:themeFill="background1"/>
        </w:rPr>
        <w:t>Ontario Laboratories Information System</w:t>
      </w:r>
      <w:r w:rsidR="00E12C2E">
        <w:rPr>
          <w:rFonts w:ascii="Arial" w:hAnsi="Arial" w:cs="Arial" w:hint="eastAsia"/>
          <w:sz w:val="20"/>
          <w:szCs w:val="20"/>
          <w:shd w:val="clear" w:color="auto" w:fill="FFFFFF" w:themeFill="background1"/>
        </w:rPr>
        <w:t>.</w:t>
      </w:r>
      <w:r w:rsidR="009F4690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</w:t>
      </w:r>
      <w:r w:rsidR="009F4690" w:rsidRPr="006C6F25">
        <w:rPr>
          <w:rStyle w:val="Hyperlink"/>
          <w:rFonts w:ascii="Arial" w:hAnsi="Arial" w:cs="Arial"/>
          <w:noProof/>
          <w:color w:val="auto"/>
          <w:sz w:val="20"/>
          <w:szCs w:val="20"/>
          <w:u w:val="none"/>
        </w:rPr>
        <w:t>Abbreviations: GTA, Greater Toronto Area; LTCH, long-term care homes.</w:t>
      </w:r>
    </w:p>
    <w:p w14:paraId="21946B3D" w14:textId="54E2C3C5" w:rsidR="00E95F5E" w:rsidRDefault="00E95F5E" w:rsidP="00E12C2E">
      <w:pPr>
        <w:spacing w:after="0"/>
        <w:rPr>
          <w:rFonts w:ascii="Arial" w:hAnsi="Arial" w:cs="Arial"/>
          <w:sz w:val="20"/>
          <w:szCs w:val="20"/>
          <w:shd w:val="clear" w:color="auto" w:fill="FFFFFF" w:themeFill="background1"/>
        </w:rPr>
      </w:pPr>
    </w:p>
    <w:p w14:paraId="4D3EC5FA" w14:textId="4ECA71A4" w:rsidR="00F82B9F" w:rsidRPr="004F1D29" w:rsidRDefault="00F82B9F" w:rsidP="004F1D29">
      <w:pPr>
        <w:rPr>
          <w:rFonts w:ascii="Arial" w:hAnsi="Arial" w:cs="Arial"/>
          <w:sz w:val="20"/>
          <w:szCs w:val="20"/>
          <w:shd w:val="clear" w:color="auto" w:fill="FFFFFF" w:themeFill="background1"/>
        </w:rPr>
      </w:pPr>
    </w:p>
    <w:sectPr w:rsidR="00F82B9F" w:rsidRPr="004F1D29" w:rsidSect="008B68EA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65E18" w16cex:dateUtc="2020-06-06T22:25:00Z"/>
  <w16cex:commentExtensible w16cex:durableId="228659A7" w16cex:dateUtc="2020-06-06T22:06:00Z"/>
  <w16cex:commentExtensible w16cex:durableId="22867211" w16cex:dateUtc="2020-06-06T23:50:00Z"/>
  <w16cex:commentExtensible w16cex:durableId="228657A8" w16cex:dateUtc="2020-06-06T21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9B06D64" w16cid:durableId="22865E18"/>
  <w16cid:commentId w16cid:paraId="7BDB9B38" w16cid:durableId="228659A7"/>
  <w16cid:commentId w16cid:paraId="7E32DB5B" w16cid:durableId="22867211"/>
  <w16cid:commentId w16cid:paraId="547DA801" w16cid:durableId="228657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D582D" w14:textId="77777777" w:rsidR="00EA22BA" w:rsidRDefault="00EA22BA">
      <w:pPr>
        <w:spacing w:after="0" w:line="240" w:lineRule="auto"/>
      </w:pPr>
      <w:r>
        <w:separator/>
      </w:r>
    </w:p>
  </w:endnote>
  <w:endnote w:type="continuationSeparator" w:id="0">
    <w:p w14:paraId="681BC40D" w14:textId="77777777" w:rsidR="00EA22BA" w:rsidRDefault="00EA2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8161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A08806" w14:textId="1FDBBC48" w:rsidR="004C6993" w:rsidRDefault="00331F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6E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8F3B1F" w14:textId="77777777" w:rsidR="004C6993" w:rsidRDefault="00C86E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3C3EA" w14:textId="77777777" w:rsidR="00EA22BA" w:rsidRDefault="00EA22BA">
      <w:pPr>
        <w:spacing w:after="0" w:line="240" w:lineRule="auto"/>
      </w:pPr>
      <w:r>
        <w:separator/>
      </w:r>
    </w:p>
  </w:footnote>
  <w:footnote w:type="continuationSeparator" w:id="0">
    <w:p w14:paraId="1FCA567B" w14:textId="77777777" w:rsidR="00EA22BA" w:rsidRDefault="00EA2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F04FD"/>
    <w:multiLevelType w:val="hybridMultilevel"/>
    <w:tmpl w:val="2FCC3348"/>
    <w:lvl w:ilvl="0" w:tplc="9672104A">
      <w:start w:val="1"/>
      <w:numFmt w:val="upp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33836B01"/>
    <w:multiLevelType w:val="hybridMultilevel"/>
    <w:tmpl w:val="2A2E73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21705D"/>
    <w:multiLevelType w:val="hybridMultilevel"/>
    <w:tmpl w:val="888E2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3F3AD3"/>
    <w:multiLevelType w:val="hybridMultilevel"/>
    <w:tmpl w:val="0AD041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121C0"/>
    <w:multiLevelType w:val="hybridMultilevel"/>
    <w:tmpl w:val="3CA8793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381983"/>
    <w:multiLevelType w:val="hybridMultilevel"/>
    <w:tmpl w:val="5DB0B0A8"/>
    <w:lvl w:ilvl="0" w:tplc="2B92D7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4726BF"/>
    <w:multiLevelType w:val="hybridMultilevel"/>
    <w:tmpl w:val="86864450"/>
    <w:lvl w:ilvl="0" w:tplc="C638D9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BB08B4"/>
    <w:multiLevelType w:val="hybridMultilevel"/>
    <w:tmpl w:val="D892D2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264"/>
    <w:rsid w:val="00007076"/>
    <w:rsid w:val="000216A4"/>
    <w:rsid w:val="000309DF"/>
    <w:rsid w:val="00034220"/>
    <w:rsid w:val="0004189A"/>
    <w:rsid w:val="00051951"/>
    <w:rsid w:val="0005458B"/>
    <w:rsid w:val="00064A2A"/>
    <w:rsid w:val="00070FFD"/>
    <w:rsid w:val="00080E95"/>
    <w:rsid w:val="00083994"/>
    <w:rsid w:val="0008783C"/>
    <w:rsid w:val="000A2EC9"/>
    <w:rsid w:val="000B4C5E"/>
    <w:rsid w:val="000B67E1"/>
    <w:rsid w:val="000D4FE1"/>
    <w:rsid w:val="000F5207"/>
    <w:rsid w:val="00101997"/>
    <w:rsid w:val="00113C57"/>
    <w:rsid w:val="00116438"/>
    <w:rsid w:val="00121416"/>
    <w:rsid w:val="001467F0"/>
    <w:rsid w:val="00146FC9"/>
    <w:rsid w:val="001609D0"/>
    <w:rsid w:val="00162C07"/>
    <w:rsid w:val="00185C2C"/>
    <w:rsid w:val="00185C3C"/>
    <w:rsid w:val="001C173F"/>
    <w:rsid w:val="001C4C4F"/>
    <w:rsid w:val="001E4997"/>
    <w:rsid w:val="00210245"/>
    <w:rsid w:val="00210639"/>
    <w:rsid w:val="00251EC0"/>
    <w:rsid w:val="00252365"/>
    <w:rsid w:val="00253EAF"/>
    <w:rsid w:val="00254E25"/>
    <w:rsid w:val="00262C6E"/>
    <w:rsid w:val="00275B05"/>
    <w:rsid w:val="002766C8"/>
    <w:rsid w:val="002808A4"/>
    <w:rsid w:val="002913DC"/>
    <w:rsid w:val="002940C5"/>
    <w:rsid w:val="002A7423"/>
    <w:rsid w:val="002B1197"/>
    <w:rsid w:val="002D1C26"/>
    <w:rsid w:val="002E7408"/>
    <w:rsid w:val="002F4489"/>
    <w:rsid w:val="002F5AA4"/>
    <w:rsid w:val="002F79B0"/>
    <w:rsid w:val="00306AA6"/>
    <w:rsid w:val="003113D0"/>
    <w:rsid w:val="00331FE7"/>
    <w:rsid w:val="003362DA"/>
    <w:rsid w:val="00356E06"/>
    <w:rsid w:val="00362145"/>
    <w:rsid w:val="0036668F"/>
    <w:rsid w:val="00381F53"/>
    <w:rsid w:val="00385473"/>
    <w:rsid w:val="003B64C0"/>
    <w:rsid w:val="003D14AC"/>
    <w:rsid w:val="003D2469"/>
    <w:rsid w:val="003F4551"/>
    <w:rsid w:val="003F5E20"/>
    <w:rsid w:val="003F61E3"/>
    <w:rsid w:val="00413196"/>
    <w:rsid w:val="00422BF5"/>
    <w:rsid w:val="00423C69"/>
    <w:rsid w:val="00426F70"/>
    <w:rsid w:val="00431460"/>
    <w:rsid w:val="004369AE"/>
    <w:rsid w:val="00443C8A"/>
    <w:rsid w:val="004564DE"/>
    <w:rsid w:val="0047029F"/>
    <w:rsid w:val="00474F90"/>
    <w:rsid w:val="00480A5B"/>
    <w:rsid w:val="004A0195"/>
    <w:rsid w:val="004A7ACF"/>
    <w:rsid w:val="004B752C"/>
    <w:rsid w:val="004C1D6E"/>
    <w:rsid w:val="004C46C4"/>
    <w:rsid w:val="004C6452"/>
    <w:rsid w:val="004D6762"/>
    <w:rsid w:val="004F1D29"/>
    <w:rsid w:val="004F2892"/>
    <w:rsid w:val="00525875"/>
    <w:rsid w:val="005325AE"/>
    <w:rsid w:val="00545FE3"/>
    <w:rsid w:val="00552893"/>
    <w:rsid w:val="005534EB"/>
    <w:rsid w:val="00563785"/>
    <w:rsid w:val="005639A4"/>
    <w:rsid w:val="00565D63"/>
    <w:rsid w:val="00573125"/>
    <w:rsid w:val="005B402A"/>
    <w:rsid w:val="005B6956"/>
    <w:rsid w:val="0060642E"/>
    <w:rsid w:val="006268C0"/>
    <w:rsid w:val="0063774B"/>
    <w:rsid w:val="006504FB"/>
    <w:rsid w:val="00671F4F"/>
    <w:rsid w:val="00675925"/>
    <w:rsid w:val="00681C39"/>
    <w:rsid w:val="00684B9D"/>
    <w:rsid w:val="00685C46"/>
    <w:rsid w:val="006921A1"/>
    <w:rsid w:val="00692883"/>
    <w:rsid w:val="0069492B"/>
    <w:rsid w:val="00695712"/>
    <w:rsid w:val="006C4199"/>
    <w:rsid w:val="006C6F25"/>
    <w:rsid w:val="006D0850"/>
    <w:rsid w:val="006E23F6"/>
    <w:rsid w:val="006F38C1"/>
    <w:rsid w:val="006F3A6C"/>
    <w:rsid w:val="00700644"/>
    <w:rsid w:val="007009A5"/>
    <w:rsid w:val="0070374C"/>
    <w:rsid w:val="0070416D"/>
    <w:rsid w:val="00740BA8"/>
    <w:rsid w:val="0076087E"/>
    <w:rsid w:val="00774464"/>
    <w:rsid w:val="007777E9"/>
    <w:rsid w:val="007905F4"/>
    <w:rsid w:val="00796E77"/>
    <w:rsid w:val="007A33A7"/>
    <w:rsid w:val="007B1FA8"/>
    <w:rsid w:val="007C38D5"/>
    <w:rsid w:val="007C7145"/>
    <w:rsid w:val="007D66DF"/>
    <w:rsid w:val="007E001F"/>
    <w:rsid w:val="007F25AD"/>
    <w:rsid w:val="007F604E"/>
    <w:rsid w:val="0080314B"/>
    <w:rsid w:val="0080538E"/>
    <w:rsid w:val="008078B6"/>
    <w:rsid w:val="00817ECA"/>
    <w:rsid w:val="00831F68"/>
    <w:rsid w:val="00834D99"/>
    <w:rsid w:val="00841E7D"/>
    <w:rsid w:val="00842F06"/>
    <w:rsid w:val="00873D26"/>
    <w:rsid w:val="00875AA7"/>
    <w:rsid w:val="00883C64"/>
    <w:rsid w:val="00890063"/>
    <w:rsid w:val="008B68EA"/>
    <w:rsid w:val="008C0AAF"/>
    <w:rsid w:val="008F0C73"/>
    <w:rsid w:val="0092036A"/>
    <w:rsid w:val="00936EBF"/>
    <w:rsid w:val="009436B5"/>
    <w:rsid w:val="00946408"/>
    <w:rsid w:val="00950D54"/>
    <w:rsid w:val="00951B10"/>
    <w:rsid w:val="00951E2C"/>
    <w:rsid w:val="009774FF"/>
    <w:rsid w:val="00986337"/>
    <w:rsid w:val="009870ED"/>
    <w:rsid w:val="009A4296"/>
    <w:rsid w:val="009A586C"/>
    <w:rsid w:val="009A6212"/>
    <w:rsid w:val="009C0897"/>
    <w:rsid w:val="009D78D3"/>
    <w:rsid w:val="009D7A6A"/>
    <w:rsid w:val="009E0A9F"/>
    <w:rsid w:val="009E2213"/>
    <w:rsid w:val="009F4690"/>
    <w:rsid w:val="009F4786"/>
    <w:rsid w:val="00A011A4"/>
    <w:rsid w:val="00A07B06"/>
    <w:rsid w:val="00A30805"/>
    <w:rsid w:val="00A36141"/>
    <w:rsid w:val="00A422D2"/>
    <w:rsid w:val="00A57848"/>
    <w:rsid w:val="00A651BC"/>
    <w:rsid w:val="00A6746A"/>
    <w:rsid w:val="00A7247C"/>
    <w:rsid w:val="00A72998"/>
    <w:rsid w:val="00AA1005"/>
    <w:rsid w:val="00AA27AE"/>
    <w:rsid w:val="00AB10D1"/>
    <w:rsid w:val="00AB1AC1"/>
    <w:rsid w:val="00AC5DE0"/>
    <w:rsid w:val="00AC71F3"/>
    <w:rsid w:val="00AD3B1E"/>
    <w:rsid w:val="00AD6B81"/>
    <w:rsid w:val="00B33370"/>
    <w:rsid w:val="00B34720"/>
    <w:rsid w:val="00B41B9E"/>
    <w:rsid w:val="00B45AA0"/>
    <w:rsid w:val="00B46EE9"/>
    <w:rsid w:val="00B5701E"/>
    <w:rsid w:val="00B66264"/>
    <w:rsid w:val="00B666D2"/>
    <w:rsid w:val="00B66EF5"/>
    <w:rsid w:val="00B72BDF"/>
    <w:rsid w:val="00B91A32"/>
    <w:rsid w:val="00BA4235"/>
    <w:rsid w:val="00BB3707"/>
    <w:rsid w:val="00BB4439"/>
    <w:rsid w:val="00BE3597"/>
    <w:rsid w:val="00C0251F"/>
    <w:rsid w:val="00C1763B"/>
    <w:rsid w:val="00C23672"/>
    <w:rsid w:val="00C35CC6"/>
    <w:rsid w:val="00C45F43"/>
    <w:rsid w:val="00C47416"/>
    <w:rsid w:val="00C673E3"/>
    <w:rsid w:val="00C85A65"/>
    <w:rsid w:val="00C86E01"/>
    <w:rsid w:val="00C9159C"/>
    <w:rsid w:val="00C955B5"/>
    <w:rsid w:val="00CA32AA"/>
    <w:rsid w:val="00CA79CA"/>
    <w:rsid w:val="00CB4D34"/>
    <w:rsid w:val="00CB5D6A"/>
    <w:rsid w:val="00CD160B"/>
    <w:rsid w:val="00CE24EE"/>
    <w:rsid w:val="00CF2F64"/>
    <w:rsid w:val="00D12AAC"/>
    <w:rsid w:val="00D1305D"/>
    <w:rsid w:val="00D364A8"/>
    <w:rsid w:val="00D43A31"/>
    <w:rsid w:val="00D448AA"/>
    <w:rsid w:val="00D512A2"/>
    <w:rsid w:val="00D621D1"/>
    <w:rsid w:val="00D629F2"/>
    <w:rsid w:val="00D74D7F"/>
    <w:rsid w:val="00D803AF"/>
    <w:rsid w:val="00D87B8F"/>
    <w:rsid w:val="00D91DE8"/>
    <w:rsid w:val="00DA589B"/>
    <w:rsid w:val="00DB6F47"/>
    <w:rsid w:val="00DD0C1E"/>
    <w:rsid w:val="00DF5D16"/>
    <w:rsid w:val="00E00C6C"/>
    <w:rsid w:val="00E02518"/>
    <w:rsid w:val="00E073D4"/>
    <w:rsid w:val="00E12C2E"/>
    <w:rsid w:val="00E23830"/>
    <w:rsid w:val="00E303D1"/>
    <w:rsid w:val="00E3612E"/>
    <w:rsid w:val="00E41A93"/>
    <w:rsid w:val="00E510A4"/>
    <w:rsid w:val="00E549C8"/>
    <w:rsid w:val="00E5605C"/>
    <w:rsid w:val="00E56857"/>
    <w:rsid w:val="00E57789"/>
    <w:rsid w:val="00E65F37"/>
    <w:rsid w:val="00E6636A"/>
    <w:rsid w:val="00E665A8"/>
    <w:rsid w:val="00E845D5"/>
    <w:rsid w:val="00E8498E"/>
    <w:rsid w:val="00E95F5E"/>
    <w:rsid w:val="00EA22BA"/>
    <w:rsid w:val="00EC2733"/>
    <w:rsid w:val="00ED1E50"/>
    <w:rsid w:val="00EE063D"/>
    <w:rsid w:val="00EF3D22"/>
    <w:rsid w:val="00F105DF"/>
    <w:rsid w:val="00F16C8B"/>
    <w:rsid w:val="00F30EB1"/>
    <w:rsid w:val="00F37311"/>
    <w:rsid w:val="00F62655"/>
    <w:rsid w:val="00F6770E"/>
    <w:rsid w:val="00F7389F"/>
    <w:rsid w:val="00F82B9F"/>
    <w:rsid w:val="00F96905"/>
    <w:rsid w:val="00FA09DB"/>
    <w:rsid w:val="00FA4A70"/>
    <w:rsid w:val="00FC5D09"/>
    <w:rsid w:val="00FD272A"/>
    <w:rsid w:val="00FF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B831D"/>
  <w15:docId w15:val="{3C2A6E7C-6532-48AC-8F0B-1BA62B6F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2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662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6264"/>
    <w:pPr>
      <w:spacing w:after="0" w:line="240" w:lineRule="auto"/>
    </w:pPr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6264"/>
    <w:rPr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B6626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66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264"/>
  </w:style>
  <w:style w:type="paragraph" w:styleId="BalloonText">
    <w:name w:val="Balloon Text"/>
    <w:basedOn w:val="Normal"/>
    <w:link w:val="BalloonTextChar"/>
    <w:uiPriority w:val="99"/>
    <w:semiHidden/>
    <w:unhideWhenUsed/>
    <w:rsid w:val="00B6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2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5925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5925"/>
    <w:pPr>
      <w:spacing w:after="200"/>
    </w:pPr>
    <w:rPr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5925"/>
    <w:rPr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00707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C5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9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31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Michael's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 Ting Ma</dc:creator>
  <cp:lastModifiedBy>Cheuk Yin (Kristy) Yiu</cp:lastModifiedBy>
  <cp:revision>2</cp:revision>
  <dcterms:created xsi:type="dcterms:W3CDTF">2020-06-12T18:22:00Z</dcterms:created>
  <dcterms:modified xsi:type="dcterms:W3CDTF">2020-06-12T18:22:00Z</dcterms:modified>
</cp:coreProperties>
</file>