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98AB0" w14:textId="22AFD979" w:rsidR="00FE4F0F" w:rsidRDefault="00FE4F0F" w:rsidP="00FE4F0F">
      <w:pPr>
        <w:spacing w:line="480" w:lineRule="auto"/>
        <w:rPr>
          <w:rFonts w:ascii="Times New Roman" w:hAnsi="Times New Roman" w:cs="Times New Roman"/>
          <w:b/>
          <w:sz w:val="32"/>
          <w:szCs w:val="32"/>
        </w:rPr>
      </w:pPr>
      <w:bookmarkStart w:id="0" w:name="OLE_LINK87"/>
      <w:bookmarkStart w:id="1" w:name="OLE_LINK88"/>
      <w:r w:rsidRPr="001F599B">
        <w:rPr>
          <w:rFonts w:ascii="Times New Roman" w:hAnsi="Times New Roman" w:cs="Times New Roman"/>
          <w:b/>
          <w:sz w:val="32"/>
          <w:szCs w:val="32"/>
        </w:rPr>
        <w:t>S</w:t>
      </w:r>
      <w:r w:rsidR="000F7769">
        <w:rPr>
          <w:rFonts w:ascii="Times New Roman" w:hAnsi="Times New Roman" w:cs="Times New Roman" w:hint="eastAsia"/>
          <w:b/>
          <w:sz w:val="32"/>
          <w:szCs w:val="32"/>
        </w:rPr>
        <w:t>upplementary</w:t>
      </w:r>
    </w:p>
    <w:p w14:paraId="316A4A8B" w14:textId="77777777" w:rsidR="00066D3C" w:rsidRPr="00066D3C" w:rsidRDefault="00066D3C" w:rsidP="00066D3C">
      <w:pPr>
        <w:autoSpaceDE w:val="0"/>
        <w:autoSpaceDN w:val="0"/>
        <w:adjustRightInd w:val="0"/>
        <w:spacing w:line="480" w:lineRule="auto"/>
        <w:rPr>
          <w:rFonts w:ascii="Times New Roman" w:hAnsi="Times New Roman" w:cs="Times New Roman"/>
          <w:sz w:val="24"/>
          <w:szCs w:val="24"/>
        </w:rPr>
      </w:pPr>
      <w:r w:rsidRPr="00066D3C">
        <w:rPr>
          <w:rFonts w:ascii="Times New Roman" w:hAnsi="Times New Roman" w:cs="Times New Roman"/>
          <w:sz w:val="24"/>
          <w:szCs w:val="24"/>
        </w:rPr>
        <w:t>Appendix S1. Implementation and estimates of Fine-Gray model</w:t>
      </w:r>
    </w:p>
    <w:p w14:paraId="55BA90B5" w14:textId="77777777" w:rsidR="00066D3C" w:rsidRPr="00066D3C" w:rsidRDefault="00066D3C" w:rsidP="00066D3C">
      <w:pPr>
        <w:autoSpaceDE w:val="0"/>
        <w:autoSpaceDN w:val="0"/>
        <w:adjustRightInd w:val="0"/>
        <w:spacing w:line="480" w:lineRule="auto"/>
        <w:rPr>
          <w:rFonts w:ascii="Times New Roman" w:hAnsi="Times New Roman" w:cs="Times New Roman"/>
          <w:sz w:val="24"/>
          <w:szCs w:val="24"/>
          <w:lang w:val="en-US"/>
        </w:rPr>
      </w:pPr>
      <w:r w:rsidRPr="00066D3C">
        <w:rPr>
          <w:rFonts w:ascii="Times New Roman" w:hAnsi="Times New Roman" w:cs="Times New Roman"/>
          <w:sz w:val="24"/>
          <w:szCs w:val="24"/>
          <w:lang w:val="en-US"/>
        </w:rPr>
        <w:t>Appendix S2. Internal validation by bootstrap</w:t>
      </w:r>
    </w:p>
    <w:p w14:paraId="714E6444" w14:textId="77777777" w:rsidR="00066D3C" w:rsidRDefault="00066D3C" w:rsidP="00066D3C">
      <w:pPr>
        <w:autoSpaceDE w:val="0"/>
        <w:autoSpaceDN w:val="0"/>
        <w:adjustRightInd w:val="0"/>
        <w:spacing w:line="480" w:lineRule="auto"/>
        <w:rPr>
          <w:rFonts w:ascii="Times New Roman" w:hAnsi="Times New Roman" w:cs="Times New Roman"/>
          <w:sz w:val="24"/>
          <w:szCs w:val="24"/>
        </w:rPr>
      </w:pPr>
      <w:r w:rsidRPr="00407B6E">
        <w:rPr>
          <w:rFonts w:ascii="Times New Roman" w:hAnsi="Times New Roman" w:cs="Times New Roman"/>
          <w:sz w:val="24"/>
          <w:szCs w:val="24"/>
        </w:rPr>
        <w:t xml:space="preserve">Figure S1. Survival curves for derivation and validation cohort (One patient in the validation cohort was excluded due to missing LOS).  </w:t>
      </w:r>
    </w:p>
    <w:p w14:paraId="67696FD9" w14:textId="6DA2F3C5" w:rsidR="00066D3C" w:rsidRDefault="00066D3C" w:rsidP="00066D3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Table S1</w:t>
      </w:r>
      <w:r w:rsidRPr="00756F68">
        <w:rPr>
          <w:rFonts w:ascii="Times New Roman" w:hAnsi="Times New Roman" w:cs="Times New Roman"/>
          <w:sz w:val="24"/>
          <w:szCs w:val="24"/>
        </w:rPr>
        <w:t>. “Baseline” survival probability (Wuhan</w:t>
      </w:r>
      <w:r>
        <w:rPr>
          <w:rFonts w:ascii="Times New Roman" w:hAnsi="Times New Roman" w:cs="Times New Roman"/>
          <w:sz w:val="24"/>
          <w:szCs w:val="24"/>
        </w:rPr>
        <w:t>, China)</w:t>
      </w:r>
    </w:p>
    <w:p w14:paraId="1F6ECDF8" w14:textId="6707CCBF" w:rsidR="00C43D92" w:rsidRPr="00C43D92" w:rsidRDefault="00C43D92" w:rsidP="00C43D92">
      <w:pPr>
        <w:spacing w:line="480" w:lineRule="auto"/>
        <w:rPr>
          <w:rFonts w:ascii="Times New Roman" w:hAnsi="Times New Roman" w:cs="Times New Roman" w:hint="eastAsia"/>
          <w:sz w:val="24"/>
          <w:szCs w:val="24"/>
        </w:rPr>
      </w:pPr>
      <w:r>
        <w:rPr>
          <w:rFonts w:ascii="Times New Roman" w:hAnsi="Times New Roman" w:cs="Times New Roman"/>
          <w:sz w:val="24"/>
          <w:szCs w:val="24"/>
        </w:rPr>
        <w:t>Table S2</w:t>
      </w:r>
      <w:r w:rsidRPr="00756F68">
        <w:rPr>
          <w:rFonts w:ascii="Times New Roman" w:hAnsi="Times New Roman" w:cs="Times New Roman"/>
          <w:sz w:val="24"/>
          <w:szCs w:val="24"/>
        </w:rPr>
        <w:t>. Thresholds and corresponding proportion and death tol</w:t>
      </w:r>
      <w:r>
        <w:rPr>
          <w:rFonts w:ascii="Times New Roman" w:hAnsi="Times New Roman" w:cs="Times New Roman"/>
          <w:sz w:val="24"/>
          <w:szCs w:val="24"/>
        </w:rPr>
        <w:t xml:space="preserve">l included in each risk group  </w:t>
      </w:r>
    </w:p>
    <w:p w14:paraId="52F4CE71" w14:textId="0B54D1E7" w:rsidR="00066D3C" w:rsidRPr="001C4297" w:rsidRDefault="00C43D92" w:rsidP="00066D3C">
      <w:pPr>
        <w:widowControl w:val="0"/>
        <w:spacing w:after="0" w:line="480" w:lineRule="auto"/>
        <w:jc w:val="both"/>
        <w:rPr>
          <w:rFonts w:ascii="Times New Roman" w:eastAsia="等线" w:hAnsi="Times New Roman" w:cs="Times New Roman"/>
          <w:kern w:val="2"/>
          <w:sz w:val="24"/>
          <w:szCs w:val="24"/>
          <w:lang w:val="en-US"/>
        </w:rPr>
      </w:pPr>
      <w:r>
        <w:rPr>
          <w:rFonts w:ascii="Times New Roman" w:eastAsia="等线" w:hAnsi="Times New Roman" w:cs="Times New Roman"/>
          <w:kern w:val="2"/>
          <w:sz w:val="24"/>
          <w:szCs w:val="24"/>
          <w:lang w:val="en-US"/>
        </w:rPr>
        <w:t>Table S3</w:t>
      </w:r>
      <w:r w:rsidR="00066D3C" w:rsidRPr="00407B6E">
        <w:rPr>
          <w:rFonts w:ascii="Times New Roman" w:eastAsia="等线" w:hAnsi="Times New Roman" w:cs="Times New Roman"/>
          <w:kern w:val="2"/>
          <w:sz w:val="24"/>
          <w:szCs w:val="24"/>
          <w:lang w:val="en-US"/>
        </w:rPr>
        <w:t xml:space="preserve">. Basic characteristics used in entropy balancing in Derivation cohort, New York cohort and Lombardy cohort </w:t>
      </w:r>
    </w:p>
    <w:p w14:paraId="14A0B380" w14:textId="4E97CF21" w:rsidR="00066D3C" w:rsidRPr="00756F68" w:rsidRDefault="00C43D92" w:rsidP="00066D3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Table S4</w:t>
      </w:r>
      <w:r w:rsidR="00066D3C" w:rsidRPr="00756F68">
        <w:rPr>
          <w:rFonts w:ascii="Times New Roman" w:hAnsi="Times New Roman" w:cs="Times New Roman"/>
          <w:sz w:val="24"/>
          <w:szCs w:val="24"/>
        </w:rPr>
        <w:t>. “Baseline” survival probability (New York, USA)</w:t>
      </w:r>
    </w:p>
    <w:p w14:paraId="7412DEEF" w14:textId="1E79249B" w:rsidR="00066D3C" w:rsidRDefault="00C43D92" w:rsidP="00066D3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Table S5</w:t>
      </w:r>
      <w:r w:rsidR="00066D3C" w:rsidRPr="00756F68">
        <w:rPr>
          <w:rFonts w:ascii="Times New Roman" w:hAnsi="Times New Roman" w:cs="Times New Roman"/>
          <w:sz w:val="24"/>
          <w:szCs w:val="24"/>
        </w:rPr>
        <w:t>. “Baseline” survival probability (Lombardy, Italy)</w:t>
      </w:r>
    </w:p>
    <w:p w14:paraId="6A589DD0" w14:textId="77777777" w:rsidR="00066D3C" w:rsidRPr="00756F68" w:rsidRDefault="00066D3C" w:rsidP="00066D3C">
      <w:pPr>
        <w:pStyle w:val="a4"/>
        <w:keepNext/>
        <w:rPr>
          <w:rFonts w:ascii="Times New Roman" w:hAnsi="Times New Roman" w:cs="Times New Roman"/>
          <w:i w:val="0"/>
          <w:color w:val="000000" w:themeColor="text1"/>
          <w:sz w:val="24"/>
          <w:szCs w:val="24"/>
        </w:rPr>
      </w:pPr>
      <w:r w:rsidRPr="00756F68">
        <w:rPr>
          <w:rFonts w:ascii="Times New Roman" w:hAnsi="Times New Roman" w:cs="Times New Roman"/>
          <w:i w:val="0"/>
          <w:color w:val="000000" w:themeColor="text1"/>
          <w:sz w:val="24"/>
          <w:szCs w:val="24"/>
        </w:rPr>
        <w:t>Table S6 Methodology quality assessment based on PROBAST risk of bias assessment tool</w:t>
      </w:r>
    </w:p>
    <w:bookmarkEnd w:id="0"/>
    <w:bookmarkEnd w:id="1"/>
    <w:p w14:paraId="64AB1D4F" w14:textId="77777777" w:rsidR="000C4336" w:rsidRDefault="000C4336">
      <w:pPr>
        <w:widowControl w:val="0"/>
        <w:spacing w:after="0" w:line="240" w:lineRule="auto"/>
        <w:jc w:val="both"/>
        <w:rPr>
          <w:rFonts w:ascii="Times New Roman" w:hAnsi="Times New Roman" w:cs="Times New Roman"/>
          <w:b/>
          <w:sz w:val="32"/>
          <w:szCs w:val="32"/>
          <w:lang w:val="en-US"/>
        </w:rPr>
      </w:pPr>
      <w:r>
        <w:rPr>
          <w:rFonts w:ascii="Times New Roman" w:hAnsi="Times New Roman" w:cs="Times New Roman"/>
          <w:b/>
          <w:sz w:val="32"/>
          <w:szCs w:val="32"/>
          <w:lang w:val="en-US"/>
        </w:rPr>
        <w:br w:type="page"/>
      </w:r>
    </w:p>
    <w:p w14:paraId="13905D5B" w14:textId="77777777" w:rsidR="00FE4F0F" w:rsidRPr="00FE4F0F" w:rsidRDefault="00066D3C" w:rsidP="00FE4F0F">
      <w:pPr>
        <w:autoSpaceDE w:val="0"/>
        <w:autoSpaceDN w:val="0"/>
        <w:adjustRightInd w:val="0"/>
        <w:spacing w:line="480" w:lineRule="auto"/>
        <w:rPr>
          <w:rFonts w:ascii="Times New Roman" w:hAnsi="Times New Roman" w:cs="Times New Roman"/>
          <w:b/>
          <w:sz w:val="24"/>
          <w:szCs w:val="24"/>
        </w:rPr>
      </w:pPr>
      <w:r w:rsidRPr="00066D3C">
        <w:rPr>
          <w:rFonts w:ascii="Times New Roman" w:hAnsi="Times New Roman" w:cs="Times New Roman"/>
          <w:b/>
          <w:sz w:val="24"/>
          <w:szCs w:val="24"/>
        </w:rPr>
        <w:lastRenderedPageBreak/>
        <w:t>Appendix S</w:t>
      </w:r>
      <w:r w:rsidR="00FE4F0F" w:rsidRPr="00066D3C">
        <w:rPr>
          <w:rFonts w:ascii="Times New Roman" w:hAnsi="Times New Roman" w:cs="Times New Roman"/>
          <w:b/>
          <w:sz w:val="24"/>
          <w:szCs w:val="24"/>
        </w:rPr>
        <w:t>1.</w:t>
      </w:r>
      <w:r w:rsidR="00FE4F0F" w:rsidRPr="00FE4F0F">
        <w:rPr>
          <w:rFonts w:ascii="Times New Roman" w:hAnsi="Times New Roman" w:cs="Times New Roman"/>
          <w:b/>
          <w:sz w:val="24"/>
          <w:szCs w:val="24"/>
        </w:rPr>
        <w:t xml:space="preserve"> Implementation and </w:t>
      </w:r>
      <w:r w:rsidR="00FE4F0F">
        <w:rPr>
          <w:rFonts w:ascii="Times New Roman" w:hAnsi="Times New Roman" w:cs="Times New Roman"/>
          <w:b/>
          <w:sz w:val="24"/>
          <w:szCs w:val="24"/>
        </w:rPr>
        <w:t>e</w:t>
      </w:r>
      <w:r w:rsidR="00FE4F0F" w:rsidRPr="00FE4F0F">
        <w:rPr>
          <w:rFonts w:ascii="Times New Roman" w:hAnsi="Times New Roman" w:cs="Times New Roman"/>
          <w:b/>
          <w:sz w:val="24"/>
          <w:szCs w:val="24"/>
        </w:rPr>
        <w:t>stimates of Fine-Gray model</w:t>
      </w:r>
    </w:p>
    <w:p w14:paraId="245A36FD" w14:textId="0B8CE32F" w:rsidR="00FE4F0F" w:rsidRDefault="00FE4F0F" w:rsidP="00FE4F0F">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Since</w:t>
      </w:r>
      <w:r w:rsidRPr="00033FBF">
        <w:rPr>
          <w:rFonts w:ascii="Times New Roman" w:hAnsi="Times New Roman" w:cs="Times New Roman"/>
          <w:sz w:val="24"/>
          <w:szCs w:val="24"/>
          <w:lang w:val="en-US"/>
        </w:rPr>
        <w:t xml:space="preserve"> there was no patients lost to follow-up in our study, conventional Cox models gives the same estimate </w:t>
      </w:r>
      <w:r>
        <w:rPr>
          <w:rFonts w:ascii="Times New Roman" w:hAnsi="Times New Roman" w:cs="Times New Roman"/>
          <w:sz w:val="24"/>
          <w:szCs w:val="24"/>
          <w:lang w:val="en-US"/>
        </w:rPr>
        <w:t>as</w:t>
      </w:r>
      <w:r w:rsidRPr="00033FBF">
        <w:rPr>
          <w:rFonts w:ascii="Times New Roman" w:hAnsi="Times New Roman" w:cs="Times New Roman"/>
          <w:sz w:val="24"/>
          <w:szCs w:val="24"/>
          <w:lang w:val="en-US"/>
        </w:rPr>
        <w:t xml:space="preserve"> Fine-Gray model</w:t>
      </w:r>
      <w:r>
        <w:rPr>
          <w:rFonts w:ascii="Times New Roman" w:hAnsi="Times New Roman" w:cs="Times New Roman"/>
          <w:sz w:val="24"/>
          <w:szCs w:val="24"/>
          <w:lang w:val="en-US"/>
        </w:rPr>
        <w:t>s by</w:t>
      </w:r>
      <w:r w:rsidRPr="00033FBF">
        <w:rPr>
          <w:rFonts w:ascii="Times New Roman" w:hAnsi="Times New Roman" w:cs="Times New Roman"/>
          <w:sz w:val="24"/>
          <w:szCs w:val="24"/>
          <w:lang w:val="en-US"/>
        </w:rPr>
        <w:t xml:space="preserve"> </w:t>
      </w:r>
      <w:r>
        <w:rPr>
          <w:rFonts w:ascii="Times New Roman" w:hAnsi="Times New Roman" w:cs="Times New Roman"/>
          <w:sz w:val="24"/>
          <w:szCs w:val="24"/>
          <w:lang w:val="en-US"/>
        </w:rPr>
        <w:t>treating</w:t>
      </w:r>
      <w:r w:rsidRPr="00033FBF">
        <w:rPr>
          <w:rFonts w:ascii="Times New Roman" w:hAnsi="Times New Roman" w:cs="Times New Roman"/>
          <w:sz w:val="24"/>
          <w:szCs w:val="24"/>
          <w:lang w:val="en-US"/>
        </w:rPr>
        <w:t xml:space="preserve"> discharged patients </w:t>
      </w:r>
      <w:r>
        <w:rPr>
          <w:rFonts w:ascii="Times New Roman" w:hAnsi="Times New Roman" w:cs="Times New Roman"/>
          <w:sz w:val="24"/>
          <w:szCs w:val="24"/>
          <w:lang w:val="en-US"/>
        </w:rPr>
        <w:t xml:space="preserve">as being right censored </w:t>
      </w:r>
      <w:r w:rsidRPr="00033FBF">
        <w:rPr>
          <w:rFonts w:ascii="Times New Roman" w:hAnsi="Times New Roman" w:cs="Times New Roman"/>
          <w:sz w:val="24"/>
          <w:szCs w:val="24"/>
          <w:lang w:val="en-US"/>
        </w:rPr>
        <w:t>at maximum follow-up time (</w:t>
      </w:r>
      <w:r>
        <w:rPr>
          <w:rFonts w:ascii="Times New Roman" w:hAnsi="Times New Roman" w:cs="Times New Roman"/>
          <w:sz w:val="24"/>
          <w:szCs w:val="24"/>
          <w:lang w:val="en-US"/>
        </w:rPr>
        <w:t xml:space="preserve">defined as </w:t>
      </w:r>
      <w:r w:rsidRPr="00033FBF">
        <w:rPr>
          <w:rFonts w:ascii="Times New Roman" w:hAnsi="Times New Roman" w:cs="Times New Roman"/>
          <w:sz w:val="24"/>
          <w:szCs w:val="24"/>
          <w:lang w:val="en-US"/>
        </w:rPr>
        <w:t xml:space="preserve">30 days after hospital admission) irrespective of the </w:t>
      </w:r>
      <w:r>
        <w:rPr>
          <w:rFonts w:ascii="Times New Roman" w:hAnsi="Times New Roman" w:cs="Times New Roman"/>
          <w:sz w:val="24"/>
          <w:szCs w:val="24"/>
          <w:lang w:val="en-US"/>
        </w:rPr>
        <w:t>actual length of hospital stay</w:t>
      </w:r>
      <w:r w:rsidRPr="00033FBF">
        <w:rPr>
          <w:rFonts w:ascii="Times New Roman" w:hAnsi="Times New Roman" w:cs="Times New Roman"/>
          <w:sz w:val="24"/>
          <w:szCs w:val="24"/>
          <w:lang w:val="en-US"/>
        </w:rPr>
        <w:t>.</w:t>
      </w:r>
      <w:r w:rsidR="000F7769">
        <w:rPr>
          <w:rFonts w:ascii="Times New Roman" w:hAnsi="Times New Roman" w:cs="Times New Roman"/>
          <w:sz w:val="24"/>
          <w:szCs w:val="24"/>
          <w:lang w:val="en-US"/>
        </w:rPr>
        <w:fldChar w:fldCharType="begin">
          <w:fldData xml:space="preserve">PEVuZE5vdGU+PENpdGU+PEF1dGhvcj5BdXN0aW48L0F1dGhvcj48WWVhcj4yMDE2PC9ZZWFyPjxS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</w:fldData>
        </w:fldChar>
      </w:r>
      <w:r w:rsidR="000F7769">
        <w:rPr>
          <w:rFonts w:ascii="Times New Roman" w:hAnsi="Times New Roman" w:cs="Times New Roman"/>
          <w:sz w:val="24"/>
          <w:szCs w:val="24"/>
          <w:lang w:val="en-US"/>
        </w:rPr>
        <w:instrText xml:space="preserve"> ADDIN EN.CITE </w:instrText>
      </w:r>
      <w:r w:rsidR="000F7769">
        <w:rPr>
          <w:rFonts w:ascii="Times New Roman" w:hAnsi="Times New Roman" w:cs="Times New Roman"/>
          <w:sz w:val="24"/>
          <w:szCs w:val="24"/>
          <w:lang w:val="en-US"/>
        </w:rPr>
        <w:fldChar w:fldCharType="begin">
          <w:fldData xml:space="preserve">PEVuZE5vdGU+PENpdGU+PEF1dGhvcj5BdXN0aW48L0F1dGhvcj48WWVhcj4yMDE2PC9ZZWFyPjxS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</w:fldData>
        </w:fldChar>
      </w:r>
      <w:r w:rsidR="000F7769">
        <w:rPr>
          <w:rFonts w:ascii="Times New Roman" w:hAnsi="Times New Roman" w:cs="Times New Roman"/>
          <w:sz w:val="24"/>
          <w:szCs w:val="24"/>
          <w:lang w:val="en-US"/>
        </w:rPr>
        <w:instrText xml:space="preserve"> ADDIN EN.CITE.DATA </w:instrText>
      </w:r>
      <w:r w:rsidR="000F7769">
        <w:rPr>
          <w:rFonts w:ascii="Times New Roman" w:hAnsi="Times New Roman" w:cs="Times New Roman"/>
          <w:sz w:val="24"/>
          <w:szCs w:val="24"/>
          <w:lang w:val="en-US"/>
        </w:rPr>
      </w:r>
      <w:r w:rsidR="000F7769">
        <w:rPr>
          <w:rFonts w:ascii="Times New Roman" w:hAnsi="Times New Roman" w:cs="Times New Roman"/>
          <w:sz w:val="24"/>
          <w:szCs w:val="24"/>
          <w:lang w:val="en-US"/>
        </w:rPr>
        <w:fldChar w:fldCharType="end"/>
      </w:r>
      <w:r w:rsidR="000F7769">
        <w:rPr>
          <w:rFonts w:ascii="Times New Roman" w:hAnsi="Times New Roman" w:cs="Times New Roman"/>
          <w:sz w:val="24"/>
          <w:szCs w:val="24"/>
          <w:lang w:val="en-US"/>
        </w:rPr>
      </w:r>
      <w:r w:rsidR="000F7769">
        <w:rPr>
          <w:rFonts w:ascii="Times New Roman" w:hAnsi="Times New Roman" w:cs="Times New Roman"/>
          <w:sz w:val="24"/>
          <w:szCs w:val="24"/>
          <w:lang w:val="en-US"/>
        </w:rPr>
        <w:fldChar w:fldCharType="separate"/>
      </w:r>
      <w:r w:rsidR="000F7769" w:rsidRPr="000F7769">
        <w:rPr>
          <w:rFonts w:ascii="Times New Roman" w:hAnsi="Times New Roman" w:cs="Times New Roman"/>
          <w:noProof/>
          <w:sz w:val="24"/>
          <w:szCs w:val="24"/>
          <w:vertAlign w:val="superscript"/>
          <w:lang w:val="en-US"/>
        </w:rPr>
        <w:t>1</w:t>
      </w:r>
      <w:r w:rsidR="000F7769">
        <w:rPr>
          <w:rFonts w:ascii="Times New Roman" w:hAnsi="Times New Roman" w:cs="Times New Roman"/>
          <w:sz w:val="24"/>
          <w:szCs w:val="24"/>
          <w:lang w:val="en-US"/>
        </w:rPr>
        <w:fldChar w:fldCharType="end"/>
      </w:r>
      <w:r w:rsidRPr="00E4309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E43090">
        <w:rPr>
          <w:rFonts w:ascii="Times New Roman" w:hAnsi="Times New Roman" w:cs="Times New Roman"/>
          <w:sz w:val="24"/>
          <w:szCs w:val="24"/>
          <w:lang w:val="en-US"/>
        </w:rPr>
        <w:t xml:space="preserve"> valid nonparametric estimates of the cumulative incidence function </w:t>
      </w:r>
      <w:r>
        <w:rPr>
          <w:rFonts w:ascii="Times New Roman" w:hAnsi="Times New Roman" w:cs="Times New Roman"/>
          <w:sz w:val="24"/>
          <w:szCs w:val="24"/>
          <w:lang w:val="en-US"/>
        </w:rPr>
        <w:t xml:space="preserve">could also be obtained by </w:t>
      </w:r>
      <w:r w:rsidRPr="00E43090">
        <w:rPr>
          <w:rFonts w:ascii="Times New Roman" w:hAnsi="Times New Roman" w:cs="Times New Roman"/>
          <w:sz w:val="24"/>
          <w:szCs w:val="24"/>
          <w:lang w:val="en-US"/>
        </w:rPr>
        <w:t xml:space="preserve">Kaplan-Meier </w:t>
      </w:r>
      <w:r>
        <w:rPr>
          <w:rFonts w:ascii="Times New Roman" w:hAnsi="Times New Roman" w:cs="Times New Roman"/>
          <w:sz w:val="24"/>
          <w:szCs w:val="24"/>
          <w:lang w:val="en-US"/>
        </w:rPr>
        <w:t>method using this data coding approach</w:t>
      </w:r>
      <w:r w:rsidRPr="00E43090">
        <w:rPr>
          <w:rFonts w:ascii="Times New Roman" w:hAnsi="Times New Roman" w:cs="Times New Roman"/>
          <w:sz w:val="24"/>
          <w:szCs w:val="24"/>
          <w:lang w:val="en-US"/>
        </w:rPr>
        <w:t>.</w:t>
      </w:r>
      <w:r w:rsidR="000F7769">
        <w:rPr>
          <w:rFonts w:ascii="Times New Roman" w:hAnsi="Times New Roman" w:cs="Times New Roman"/>
          <w:sz w:val="24"/>
          <w:szCs w:val="24"/>
          <w:lang w:val="en-US"/>
        </w:rPr>
        <w:fldChar w:fldCharType="begin">
          <w:fldData xml:space="preserve">PEVuZE5vdGU+PENpdGU+PEF1dGhvcj5BdXN0aW48L0F1dGhvcj48WWVhcj4yMDE2PC9ZZWFyPjxS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</w:fldData>
        </w:fldChar>
      </w:r>
      <w:r w:rsidR="000F7769">
        <w:rPr>
          <w:rFonts w:ascii="Times New Roman" w:hAnsi="Times New Roman" w:cs="Times New Roman"/>
          <w:sz w:val="24"/>
          <w:szCs w:val="24"/>
          <w:lang w:val="en-US"/>
        </w:rPr>
        <w:instrText xml:space="preserve"> ADDIN EN.CITE </w:instrText>
      </w:r>
      <w:r w:rsidR="000F7769">
        <w:rPr>
          <w:rFonts w:ascii="Times New Roman" w:hAnsi="Times New Roman" w:cs="Times New Roman"/>
          <w:sz w:val="24"/>
          <w:szCs w:val="24"/>
          <w:lang w:val="en-US"/>
        </w:rPr>
        <w:fldChar w:fldCharType="begin">
          <w:fldData xml:space="preserve">PEVuZE5vdGU+PENpdGU+PEF1dGhvcj5BdXN0aW48L0F1dGhvcj48WWVhcj4yMDE2PC9ZZWFyPjxS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</w:fldData>
        </w:fldChar>
      </w:r>
      <w:r w:rsidR="000F7769">
        <w:rPr>
          <w:rFonts w:ascii="Times New Roman" w:hAnsi="Times New Roman" w:cs="Times New Roman"/>
          <w:sz w:val="24"/>
          <w:szCs w:val="24"/>
          <w:lang w:val="en-US"/>
        </w:rPr>
        <w:instrText xml:space="preserve"> ADDIN EN.CITE.DATA </w:instrText>
      </w:r>
      <w:r w:rsidR="000F7769">
        <w:rPr>
          <w:rFonts w:ascii="Times New Roman" w:hAnsi="Times New Roman" w:cs="Times New Roman"/>
          <w:sz w:val="24"/>
          <w:szCs w:val="24"/>
          <w:lang w:val="en-US"/>
        </w:rPr>
      </w:r>
      <w:r w:rsidR="000F7769">
        <w:rPr>
          <w:rFonts w:ascii="Times New Roman" w:hAnsi="Times New Roman" w:cs="Times New Roman"/>
          <w:sz w:val="24"/>
          <w:szCs w:val="24"/>
          <w:lang w:val="en-US"/>
        </w:rPr>
        <w:fldChar w:fldCharType="end"/>
      </w:r>
      <w:r w:rsidR="000F7769">
        <w:rPr>
          <w:rFonts w:ascii="Times New Roman" w:hAnsi="Times New Roman" w:cs="Times New Roman"/>
          <w:sz w:val="24"/>
          <w:szCs w:val="24"/>
          <w:lang w:val="en-US"/>
        </w:rPr>
      </w:r>
      <w:r w:rsidR="000F7769">
        <w:rPr>
          <w:rFonts w:ascii="Times New Roman" w:hAnsi="Times New Roman" w:cs="Times New Roman"/>
          <w:sz w:val="24"/>
          <w:szCs w:val="24"/>
          <w:lang w:val="en-US"/>
        </w:rPr>
        <w:fldChar w:fldCharType="separate"/>
      </w:r>
      <w:r w:rsidR="000F7769" w:rsidRPr="000F7769">
        <w:rPr>
          <w:rFonts w:ascii="Times New Roman" w:hAnsi="Times New Roman" w:cs="Times New Roman"/>
          <w:noProof/>
          <w:sz w:val="24"/>
          <w:szCs w:val="24"/>
          <w:vertAlign w:val="superscript"/>
          <w:lang w:val="en-US"/>
        </w:rPr>
        <w:t>1</w:t>
      </w:r>
      <w:r w:rsidR="000F7769">
        <w:rPr>
          <w:rFonts w:ascii="Times New Roman" w:hAnsi="Times New Roman" w:cs="Times New Roman"/>
          <w:sz w:val="24"/>
          <w:szCs w:val="24"/>
          <w:lang w:val="en-US"/>
        </w:rPr>
        <w:fldChar w:fldCharType="end"/>
      </w:r>
      <w:r w:rsidRPr="00E43090">
        <w:rPr>
          <w:rFonts w:ascii="Times New Roman" w:hAnsi="Times New Roman" w:cs="Times New Roman"/>
          <w:sz w:val="24"/>
          <w:szCs w:val="24"/>
          <w:lang w:val="en-US"/>
        </w:rPr>
        <w:t xml:space="preserve"> </w:t>
      </w:r>
    </w:p>
    <w:p w14:paraId="33FC53F7" w14:textId="77777777" w:rsidR="00FE4F0F" w:rsidRPr="000E0850" w:rsidRDefault="00066D3C" w:rsidP="00FE4F0F">
      <w:pPr>
        <w:autoSpaceDE w:val="0"/>
        <w:autoSpaceDN w:val="0"/>
        <w:adjustRightInd w:val="0"/>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Appendix S</w:t>
      </w:r>
      <w:r w:rsidR="000E0850">
        <w:rPr>
          <w:rFonts w:ascii="Times New Roman" w:hAnsi="Times New Roman" w:cs="Times New Roman"/>
          <w:b/>
          <w:sz w:val="24"/>
          <w:szCs w:val="24"/>
          <w:lang w:val="en-US"/>
        </w:rPr>
        <w:t>2. I</w:t>
      </w:r>
      <w:r w:rsidR="00FE4F0F" w:rsidRPr="000E0850">
        <w:rPr>
          <w:rFonts w:ascii="Times New Roman" w:hAnsi="Times New Roman" w:cs="Times New Roman"/>
          <w:b/>
          <w:sz w:val="24"/>
          <w:szCs w:val="24"/>
          <w:lang w:val="en-US"/>
        </w:rPr>
        <w:t>nternal validation by bootstrap</w:t>
      </w:r>
    </w:p>
    <w:p w14:paraId="44D5D134" w14:textId="50726282" w:rsidR="000F7769" w:rsidRPr="000F7769" w:rsidRDefault="002B3DD9" w:rsidP="000F7769">
      <w:pPr>
        <w:autoSpaceDE w:val="0"/>
        <w:autoSpaceDN w:val="0"/>
        <w:adjustRightInd w:val="0"/>
        <w:spacing w:line="480" w:lineRule="auto"/>
        <w:rPr>
          <w:rFonts w:ascii="Times New Roman" w:hAnsi="Times New Roman" w:cs="Times New Roman"/>
          <w:sz w:val="24"/>
          <w:szCs w:val="24"/>
          <w:lang w:val="en-US"/>
        </w:rPr>
      </w:pPr>
      <w:r w:rsidRPr="00E43090">
        <w:rPr>
          <w:rFonts w:ascii="Times New Roman" w:hAnsi="Times New Roman" w:cs="Times New Roman"/>
          <w:sz w:val="24"/>
          <w:szCs w:val="24"/>
          <w:lang w:val="en-US"/>
        </w:rPr>
        <w:t>We performed internal validation to estimate the optimism (the level of model overfitting) and adjusted measures of C-index and calibration slope by bootstrapping 10</w:t>
      </w:r>
      <w:r>
        <w:rPr>
          <w:rFonts w:ascii="Times New Roman" w:hAnsi="Times New Roman" w:cs="Times New Roman"/>
          <w:sz w:val="24"/>
          <w:szCs w:val="24"/>
          <w:lang w:val="en-US"/>
        </w:rPr>
        <w:t xml:space="preserve">00 samples of the original data. </w:t>
      </w:r>
      <w:r w:rsidR="000E0850">
        <w:rPr>
          <w:rFonts w:ascii="Times New Roman" w:hAnsi="Times New Roman" w:cs="Times New Roman"/>
          <w:sz w:val="24"/>
          <w:szCs w:val="24"/>
          <w:lang w:val="en-US"/>
        </w:rPr>
        <w:t>T</w:t>
      </w:r>
      <w:r w:rsidR="000E0850" w:rsidRPr="00E43090">
        <w:rPr>
          <w:rFonts w:ascii="Times New Roman" w:hAnsi="Times New Roman" w:cs="Times New Roman"/>
          <w:sz w:val="24"/>
          <w:szCs w:val="24"/>
          <w:lang w:val="en-US"/>
        </w:rPr>
        <w:t xml:space="preserve">he model derivation process was repeated in each bootstrap dataset and </w:t>
      </w:r>
      <w:r w:rsidR="000E0850">
        <w:rPr>
          <w:rFonts w:ascii="Times New Roman" w:hAnsi="Times New Roman" w:cs="Times New Roman"/>
          <w:sz w:val="24"/>
          <w:szCs w:val="24"/>
          <w:lang w:val="en-US"/>
        </w:rPr>
        <w:t>then created</w:t>
      </w:r>
      <w:r w:rsidR="000E0850" w:rsidRPr="00E43090">
        <w:rPr>
          <w:rFonts w:ascii="Times New Roman" w:hAnsi="Times New Roman" w:cs="Times New Roman"/>
          <w:sz w:val="24"/>
          <w:szCs w:val="24"/>
          <w:lang w:val="en-US"/>
        </w:rPr>
        <w:t xml:space="preserve"> 1000 bootstrap models (1000 apparent C-</w:t>
      </w:r>
      <w:proofErr w:type="spellStart"/>
      <w:r w:rsidR="000E0850" w:rsidRPr="00E43090">
        <w:rPr>
          <w:rFonts w:ascii="Times New Roman" w:hAnsi="Times New Roman" w:cs="Times New Roman"/>
          <w:sz w:val="24"/>
          <w:szCs w:val="24"/>
          <w:lang w:val="en-US"/>
        </w:rPr>
        <w:t>indice</w:t>
      </w:r>
      <w:proofErr w:type="spellEnd"/>
      <w:r w:rsidR="000E0850" w:rsidRPr="00E43090">
        <w:rPr>
          <w:rFonts w:ascii="Times New Roman" w:hAnsi="Times New Roman" w:cs="Times New Roman"/>
          <w:sz w:val="24"/>
          <w:szCs w:val="24"/>
          <w:lang w:val="en-US"/>
        </w:rPr>
        <w:t xml:space="preserve">). </w:t>
      </w:r>
      <w:r w:rsidR="000E0850">
        <w:rPr>
          <w:rFonts w:ascii="Times New Roman" w:hAnsi="Times New Roman" w:cs="Times New Roman"/>
          <w:sz w:val="24"/>
          <w:szCs w:val="24"/>
          <w:lang w:val="en-US"/>
        </w:rPr>
        <w:t>W</w:t>
      </w:r>
      <w:r w:rsidR="000E0850" w:rsidRPr="00E43090">
        <w:rPr>
          <w:rFonts w:ascii="Times New Roman" w:hAnsi="Times New Roman" w:cs="Times New Roman"/>
          <w:sz w:val="24"/>
          <w:szCs w:val="24"/>
          <w:lang w:val="en-US"/>
        </w:rPr>
        <w:t>e applied these 1000 bootstrap models to the original dataset (1000 validated C-</w:t>
      </w:r>
      <w:proofErr w:type="spellStart"/>
      <w:r w:rsidR="000E0850" w:rsidRPr="00E43090">
        <w:rPr>
          <w:rFonts w:ascii="Times New Roman" w:hAnsi="Times New Roman" w:cs="Times New Roman"/>
          <w:sz w:val="24"/>
          <w:szCs w:val="24"/>
          <w:lang w:val="en-US"/>
        </w:rPr>
        <w:t>indice</w:t>
      </w:r>
      <w:proofErr w:type="spellEnd"/>
      <w:r w:rsidR="000E0850" w:rsidRPr="00E43090">
        <w:rPr>
          <w:rFonts w:ascii="Times New Roman" w:hAnsi="Times New Roman" w:cs="Times New Roman"/>
          <w:sz w:val="24"/>
          <w:szCs w:val="24"/>
          <w:lang w:val="en-US"/>
        </w:rPr>
        <w:t>).</w:t>
      </w:r>
      <w:r w:rsidR="000E0850">
        <w:rPr>
          <w:rFonts w:ascii="Times New Roman" w:hAnsi="Times New Roman" w:cs="Times New Roman"/>
          <w:sz w:val="24"/>
          <w:szCs w:val="24"/>
          <w:lang w:val="en-US"/>
        </w:rPr>
        <w:t xml:space="preserve"> O</w:t>
      </w:r>
      <w:r w:rsidR="000E0850" w:rsidRPr="00E43090">
        <w:rPr>
          <w:rFonts w:ascii="Times New Roman" w:hAnsi="Times New Roman" w:cs="Times New Roman"/>
          <w:sz w:val="24"/>
          <w:szCs w:val="24"/>
          <w:lang w:val="en-US"/>
        </w:rPr>
        <w:t xml:space="preserve">ptimism in C-index was determined through the difference between the average apparent C-index and the average validated C-index. Optimism-adjusted C-index was obtained by subtracting the optimism from the original C-index. Calibration slope was calculated by estimating the regression coefficient of the PI from the 1000 bootstrap models in the original dataset. </w:t>
      </w:r>
      <w:r w:rsidRPr="00E43090">
        <w:rPr>
          <w:rFonts w:ascii="Times New Roman" w:hAnsi="Times New Roman" w:cs="Times New Roman"/>
          <w:sz w:val="24"/>
          <w:szCs w:val="24"/>
          <w:lang w:val="en-US"/>
        </w:rPr>
        <w:t>Average</w:t>
      </w:r>
      <w:r>
        <w:rPr>
          <w:rFonts w:ascii="Times New Roman" w:hAnsi="Times New Roman" w:cs="Times New Roman"/>
          <w:sz w:val="24"/>
          <w:szCs w:val="24"/>
          <w:lang w:val="en-US"/>
        </w:rPr>
        <w:t xml:space="preserve"> calibration slope </w:t>
      </w:r>
      <w:r w:rsidRPr="00E43090">
        <w:rPr>
          <w:rFonts w:ascii="Times New Roman" w:hAnsi="Times New Roman" w:cs="Times New Roman"/>
          <w:sz w:val="24"/>
          <w:szCs w:val="24"/>
          <w:lang w:val="en-US"/>
        </w:rPr>
        <w:t>was obtained to be a uniform shrinkage factor.</w:t>
      </w:r>
    </w:p>
    <w:p w14:paraId="58B87E66" w14:textId="77777777" w:rsidR="000F7769" w:rsidRDefault="000F7769" w:rsidP="00FE4F0F"/>
    <w:p w14:paraId="783ADB9F" w14:textId="77777777" w:rsidR="000F7769" w:rsidRPr="000F7769" w:rsidRDefault="000F7769" w:rsidP="000F7769">
      <w:pPr>
        <w:pStyle w:val="EndNoteBibliography"/>
        <w:ind w:left="720" w:hanging="720"/>
      </w:pPr>
      <w:r>
        <w:fldChar w:fldCharType="begin"/>
      </w:r>
      <w:r>
        <w:instrText xml:space="preserve"> ADDIN EN.REFLIST </w:instrText>
      </w:r>
      <w:r>
        <w:fldChar w:fldCharType="separate"/>
      </w:r>
      <w:r w:rsidRPr="000F7769">
        <w:t xml:space="preserve">1. Austin PC, Lee DS, D'Agostino RB, et al. Developing points-based risk-scoring systems in the presence of competing risks. </w:t>
      </w:r>
      <w:r w:rsidRPr="000F7769">
        <w:rPr>
          <w:i/>
        </w:rPr>
        <w:t>Stat Med</w:t>
      </w:r>
      <w:r w:rsidRPr="000F7769">
        <w:t xml:space="preserve"> 2016;35(22):4056-72. doi: 10.1002/sim.6994 [published Online First: 2016/05/21]</w:t>
      </w:r>
    </w:p>
    <w:p w14:paraId="66CBF0BD" w14:textId="6C871F62" w:rsidR="00212F7E" w:rsidRDefault="000F7769" w:rsidP="00FE4F0F">
      <w:r>
        <w:fldChar w:fldCharType="end"/>
      </w:r>
    </w:p>
    <w:p w14:paraId="0E07875A" w14:textId="63274D94" w:rsidR="00212F7E" w:rsidRPr="00C43D92" w:rsidRDefault="00212F7E" w:rsidP="00C43D92">
      <w:pPr>
        <w:widowControl w:val="0"/>
        <w:spacing w:after="0" w:line="240" w:lineRule="auto"/>
        <w:jc w:val="both"/>
      </w:pPr>
    </w:p>
    <w:p w14:paraId="51E040F1" w14:textId="77777777" w:rsidR="00212F7E" w:rsidRPr="00E43090" w:rsidRDefault="00212F7E" w:rsidP="00212F7E">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E0E5225" wp14:editId="06724098">
            <wp:extent cx="5731510" cy="36201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1_KM.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620135"/>
                    </a:xfrm>
                    <a:prstGeom prst="rect">
                      <a:avLst/>
                    </a:prstGeom>
                  </pic:spPr>
                </pic:pic>
              </a:graphicData>
            </a:graphic>
          </wp:inline>
        </w:drawing>
      </w:r>
    </w:p>
    <w:p w14:paraId="23282EB3" w14:textId="77777777" w:rsidR="00212F7E" w:rsidRPr="00F656B0" w:rsidRDefault="00212F7E" w:rsidP="00212F7E">
      <w:pPr>
        <w:autoSpaceDE w:val="0"/>
        <w:autoSpaceDN w:val="0"/>
        <w:adjustRightInd w:val="0"/>
        <w:spacing w:line="480" w:lineRule="auto"/>
        <w:rPr>
          <w:rFonts w:ascii="Times New Roman" w:hAnsi="Times New Roman" w:cs="Times New Roman"/>
          <w:b/>
          <w:sz w:val="24"/>
          <w:szCs w:val="24"/>
        </w:rPr>
      </w:pPr>
      <w:r w:rsidRPr="00F656B0">
        <w:rPr>
          <w:rFonts w:ascii="Times New Roman" w:hAnsi="Times New Roman" w:cs="Times New Roman"/>
          <w:b/>
          <w:sz w:val="24"/>
          <w:szCs w:val="24"/>
        </w:rPr>
        <w:t xml:space="preserve">Figure </w:t>
      </w:r>
      <w:r>
        <w:rPr>
          <w:rFonts w:ascii="Times New Roman" w:hAnsi="Times New Roman" w:cs="Times New Roman"/>
          <w:b/>
          <w:sz w:val="24"/>
          <w:szCs w:val="24"/>
        </w:rPr>
        <w:t>S</w:t>
      </w:r>
      <w:r w:rsidRPr="00F656B0">
        <w:rPr>
          <w:rFonts w:ascii="Times New Roman" w:hAnsi="Times New Roman" w:cs="Times New Roman"/>
          <w:b/>
          <w:sz w:val="24"/>
          <w:szCs w:val="24"/>
        </w:rPr>
        <w:t>1. Survival curves for derivatio</w:t>
      </w:r>
      <w:r>
        <w:rPr>
          <w:rFonts w:ascii="Times New Roman" w:hAnsi="Times New Roman" w:cs="Times New Roman"/>
          <w:b/>
          <w:sz w:val="24"/>
          <w:szCs w:val="24"/>
        </w:rPr>
        <w:t>n and validation cohort</w:t>
      </w:r>
      <w:r w:rsidRPr="00F656B0">
        <w:rPr>
          <w:rFonts w:ascii="Times New Roman" w:hAnsi="Times New Roman" w:cs="Times New Roman"/>
          <w:b/>
          <w:sz w:val="24"/>
          <w:szCs w:val="24"/>
        </w:rPr>
        <w:t xml:space="preserve"> </w:t>
      </w:r>
    </w:p>
    <w:p w14:paraId="57945800" w14:textId="77777777" w:rsidR="00212F7E" w:rsidRPr="00756F68" w:rsidRDefault="00212F7E" w:rsidP="00212F7E">
      <w:pPr>
        <w:widowControl w:val="0"/>
        <w:spacing w:after="0" w:line="480" w:lineRule="auto"/>
        <w:jc w:val="both"/>
        <w:rPr>
          <w:rFonts w:ascii="Times New Roman" w:eastAsia="等线" w:hAnsi="Times New Roman" w:cs="Times New Roman"/>
          <w:kern w:val="2"/>
          <w:sz w:val="24"/>
          <w:szCs w:val="24"/>
        </w:rPr>
      </w:pPr>
    </w:p>
    <w:p w14:paraId="7100E312" w14:textId="77777777" w:rsidR="00212F7E" w:rsidRPr="00407B6E" w:rsidRDefault="00212F7E" w:rsidP="00212F7E">
      <w:pPr>
        <w:autoSpaceDE w:val="0"/>
        <w:autoSpaceDN w:val="0"/>
        <w:adjustRightInd w:val="0"/>
        <w:spacing w:line="480" w:lineRule="auto"/>
        <w:rPr>
          <w:rFonts w:ascii="Times New Roman" w:hAnsi="Times New Roman" w:cs="Times New Roman"/>
          <w:b/>
          <w:sz w:val="24"/>
          <w:szCs w:val="24"/>
          <w:lang w:val="en-US"/>
        </w:rPr>
      </w:pPr>
    </w:p>
    <w:p w14:paraId="4A141908" w14:textId="77777777" w:rsidR="00212F7E" w:rsidRPr="00E43090" w:rsidRDefault="00212F7E" w:rsidP="00212F7E">
      <w:pPr>
        <w:autoSpaceDE w:val="0"/>
        <w:autoSpaceDN w:val="0"/>
        <w:adjustRightInd w:val="0"/>
        <w:spacing w:line="480" w:lineRule="auto"/>
        <w:rPr>
          <w:rFonts w:ascii="Times New Roman" w:hAnsi="Times New Roman" w:cs="Times New Roman"/>
          <w:b/>
          <w:sz w:val="24"/>
          <w:szCs w:val="24"/>
        </w:rPr>
      </w:pPr>
    </w:p>
    <w:p w14:paraId="00112C8A" w14:textId="77777777" w:rsidR="00212F7E" w:rsidRPr="00E43090" w:rsidRDefault="00212F7E" w:rsidP="00212F7E">
      <w:pPr>
        <w:autoSpaceDE w:val="0"/>
        <w:autoSpaceDN w:val="0"/>
        <w:adjustRightInd w:val="0"/>
        <w:spacing w:line="480" w:lineRule="auto"/>
        <w:rPr>
          <w:rFonts w:ascii="Times New Roman" w:hAnsi="Times New Roman" w:cs="Times New Roman"/>
          <w:b/>
          <w:sz w:val="24"/>
          <w:szCs w:val="24"/>
        </w:rPr>
      </w:pPr>
    </w:p>
    <w:p w14:paraId="2DE65B70" w14:textId="77777777" w:rsidR="00212F7E" w:rsidRPr="00E43090" w:rsidRDefault="00212F7E" w:rsidP="00212F7E">
      <w:pPr>
        <w:autoSpaceDE w:val="0"/>
        <w:autoSpaceDN w:val="0"/>
        <w:adjustRightInd w:val="0"/>
        <w:spacing w:line="480" w:lineRule="auto"/>
        <w:rPr>
          <w:rFonts w:ascii="Times New Roman" w:hAnsi="Times New Roman" w:cs="Times New Roman"/>
          <w:b/>
          <w:sz w:val="24"/>
          <w:szCs w:val="24"/>
        </w:rPr>
      </w:pPr>
    </w:p>
    <w:p w14:paraId="794E9F18" w14:textId="77777777" w:rsidR="00212F7E" w:rsidRPr="00E43090" w:rsidRDefault="00212F7E" w:rsidP="00212F7E">
      <w:pPr>
        <w:spacing w:after="0" w:line="240" w:lineRule="auto"/>
        <w:rPr>
          <w:rFonts w:ascii="Times New Roman" w:eastAsia="等线" w:hAnsi="Times New Roman" w:cs="Times New Roman"/>
          <w:kern w:val="2"/>
          <w:sz w:val="24"/>
          <w:szCs w:val="24"/>
          <w:lang w:val="en-US"/>
        </w:rPr>
      </w:pPr>
      <w:r w:rsidRPr="00E43090">
        <w:rPr>
          <w:rFonts w:ascii="Times New Roman" w:eastAsia="等线" w:hAnsi="Times New Roman" w:cs="Times New Roman"/>
          <w:kern w:val="2"/>
          <w:sz w:val="24"/>
          <w:szCs w:val="24"/>
          <w:lang w:val="en-US"/>
        </w:rPr>
        <w:br w:type="page"/>
      </w:r>
    </w:p>
    <w:p w14:paraId="583A472A" w14:textId="77777777" w:rsidR="00212F7E" w:rsidRPr="00E43090" w:rsidRDefault="00212F7E" w:rsidP="00212F7E">
      <w:pPr>
        <w:widowControl w:val="0"/>
        <w:spacing w:after="0" w:line="240" w:lineRule="auto"/>
        <w:jc w:val="both"/>
        <w:rPr>
          <w:rFonts w:ascii="Times New Roman" w:hAnsi="Times New Roman" w:cs="Times New Roman"/>
          <w:b/>
          <w:sz w:val="24"/>
          <w:szCs w:val="24"/>
        </w:rPr>
      </w:pPr>
    </w:p>
    <w:p w14:paraId="4EC90261" w14:textId="77777777" w:rsidR="00212F7E" w:rsidRPr="00F656B0" w:rsidRDefault="00212F7E" w:rsidP="00212F7E">
      <w:pPr>
        <w:autoSpaceDE w:val="0"/>
        <w:autoSpaceDN w:val="0"/>
        <w:adjustRightInd w:val="0"/>
        <w:spacing w:line="480" w:lineRule="auto"/>
        <w:rPr>
          <w:rFonts w:ascii="Times New Roman" w:hAnsi="Times New Roman" w:cs="Times New Roman"/>
          <w:b/>
          <w:sz w:val="24"/>
          <w:szCs w:val="24"/>
        </w:rPr>
      </w:pPr>
      <w:r w:rsidRPr="00F656B0">
        <w:rPr>
          <w:rFonts w:ascii="Times New Roman" w:hAnsi="Times New Roman" w:cs="Times New Roman"/>
          <w:b/>
          <w:sz w:val="24"/>
          <w:szCs w:val="24"/>
        </w:rPr>
        <w:t>Table</w:t>
      </w:r>
      <w:r>
        <w:rPr>
          <w:rFonts w:ascii="Times New Roman" w:hAnsi="Times New Roman" w:cs="Times New Roman"/>
          <w:b/>
          <w:sz w:val="24"/>
          <w:szCs w:val="24"/>
        </w:rPr>
        <w:t xml:space="preserve"> S1</w:t>
      </w:r>
      <w:r w:rsidRPr="00F656B0">
        <w:rPr>
          <w:rFonts w:ascii="Times New Roman" w:hAnsi="Times New Roman" w:cs="Times New Roman"/>
          <w:b/>
          <w:sz w:val="24"/>
          <w:szCs w:val="24"/>
        </w:rPr>
        <w:t>. “Baseline”</w:t>
      </w:r>
      <w:r w:rsidRPr="00F656B0">
        <w:rPr>
          <w:rFonts w:ascii="Times New Roman" w:eastAsia="等线" w:hAnsi="Times New Roman" w:cs="Times New Roman"/>
          <w:b/>
          <w:sz w:val="24"/>
          <w:szCs w:val="24"/>
        </w:rPr>
        <w:t>†</w:t>
      </w:r>
      <w:r w:rsidRPr="00F656B0">
        <w:rPr>
          <w:rFonts w:ascii="Times New Roman" w:hAnsi="Times New Roman" w:cs="Times New Roman"/>
          <w:b/>
          <w:sz w:val="24"/>
          <w:szCs w:val="24"/>
        </w:rPr>
        <w:t xml:space="preserve"> survival probability (Wuhan</w:t>
      </w:r>
      <w:r>
        <w:rPr>
          <w:rFonts w:ascii="Times New Roman" w:hAnsi="Times New Roman" w:cs="Times New Roman"/>
          <w:b/>
          <w:sz w:val="24"/>
          <w:szCs w:val="24"/>
        </w:rPr>
        <w:t>, China</w:t>
      </w:r>
      <w:r w:rsidRPr="00F656B0">
        <w:rPr>
          <w:rFonts w:ascii="Times New Roman" w:hAnsi="Times New Roman" w:cs="Times New Roman"/>
          <w:b/>
          <w:sz w:val="24"/>
          <w:szCs w:val="24"/>
        </w:rPr>
        <w:t>)</w:t>
      </w:r>
    </w:p>
    <w:tbl>
      <w:tblPr>
        <w:tblStyle w:val="ae"/>
        <w:tblW w:w="5000" w:type="pct"/>
        <w:tblLook w:val="04A0" w:firstRow="1" w:lastRow="0" w:firstColumn="1" w:lastColumn="0" w:noHBand="0" w:noVBand="1"/>
      </w:tblPr>
      <w:tblGrid>
        <w:gridCol w:w="1347"/>
        <w:gridCol w:w="3161"/>
        <w:gridCol w:w="1347"/>
        <w:gridCol w:w="3161"/>
      </w:tblGrid>
      <w:tr w:rsidR="00212F7E" w:rsidRPr="00705676" w14:paraId="692A5D52" w14:textId="77777777" w:rsidTr="003D53B2">
        <w:tc>
          <w:tcPr>
            <w:tcW w:w="747" w:type="pct"/>
          </w:tcPr>
          <w:p w14:paraId="106D2134"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Day</w:t>
            </w:r>
          </w:p>
        </w:tc>
        <w:tc>
          <w:tcPr>
            <w:tcW w:w="1753" w:type="pct"/>
          </w:tcPr>
          <w:p w14:paraId="459F72D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Survival</w:t>
            </w:r>
          </w:p>
        </w:tc>
        <w:tc>
          <w:tcPr>
            <w:tcW w:w="747" w:type="pct"/>
          </w:tcPr>
          <w:p w14:paraId="1104E59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Day</w:t>
            </w:r>
          </w:p>
        </w:tc>
        <w:tc>
          <w:tcPr>
            <w:tcW w:w="1753" w:type="pct"/>
          </w:tcPr>
          <w:p w14:paraId="03E7A82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Survival</w:t>
            </w:r>
          </w:p>
        </w:tc>
      </w:tr>
      <w:tr w:rsidR="00212F7E" w:rsidRPr="00705676" w14:paraId="33C13576" w14:textId="77777777" w:rsidTr="003D53B2">
        <w:tc>
          <w:tcPr>
            <w:tcW w:w="747" w:type="pct"/>
          </w:tcPr>
          <w:p w14:paraId="194AF061" w14:textId="77777777" w:rsidR="00212F7E" w:rsidRPr="00705676" w:rsidRDefault="00212F7E" w:rsidP="003D53B2">
            <w:pPr>
              <w:spacing w:after="0" w:line="240" w:lineRule="auto"/>
              <w:rPr>
                <w:rFonts w:ascii="Times New Roman" w:eastAsia="等线" w:hAnsi="Times New Roman" w:cs="Times New Roman"/>
                <w:sz w:val="24"/>
                <w:szCs w:val="24"/>
              </w:rPr>
            </w:pPr>
            <w:bookmarkStart w:id="2" w:name="_Hlk40097871"/>
            <w:r w:rsidRPr="00705676">
              <w:rPr>
                <w:rFonts w:ascii="Times New Roman" w:eastAsia="等线" w:hAnsi="Times New Roman" w:cs="Times New Roman"/>
                <w:sz w:val="24"/>
                <w:szCs w:val="24"/>
              </w:rPr>
              <w:t>1</w:t>
            </w:r>
          </w:p>
        </w:tc>
        <w:tc>
          <w:tcPr>
            <w:tcW w:w="1753" w:type="pct"/>
            <w:vAlign w:val="center"/>
          </w:tcPr>
          <w:p w14:paraId="6AF467B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99.68%</w:t>
            </w:r>
          </w:p>
        </w:tc>
        <w:tc>
          <w:tcPr>
            <w:tcW w:w="747" w:type="pct"/>
            <w:vAlign w:val="center"/>
          </w:tcPr>
          <w:p w14:paraId="3D3AE2D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16</w:t>
            </w:r>
          </w:p>
        </w:tc>
        <w:tc>
          <w:tcPr>
            <w:tcW w:w="1753" w:type="pct"/>
            <w:vAlign w:val="center"/>
          </w:tcPr>
          <w:p w14:paraId="171C4CF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91.62%</w:t>
            </w:r>
          </w:p>
        </w:tc>
      </w:tr>
      <w:tr w:rsidR="00212F7E" w:rsidRPr="00705676" w14:paraId="7CE12736" w14:textId="77777777" w:rsidTr="003D53B2">
        <w:tc>
          <w:tcPr>
            <w:tcW w:w="747" w:type="pct"/>
          </w:tcPr>
          <w:p w14:paraId="162CBD4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2</w:t>
            </w:r>
          </w:p>
        </w:tc>
        <w:tc>
          <w:tcPr>
            <w:tcW w:w="1753" w:type="pct"/>
            <w:vAlign w:val="center"/>
          </w:tcPr>
          <w:p w14:paraId="4D65CBE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99.35%</w:t>
            </w:r>
          </w:p>
        </w:tc>
        <w:tc>
          <w:tcPr>
            <w:tcW w:w="747" w:type="pct"/>
            <w:vAlign w:val="center"/>
          </w:tcPr>
          <w:p w14:paraId="554BE32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17</w:t>
            </w:r>
          </w:p>
        </w:tc>
        <w:tc>
          <w:tcPr>
            <w:tcW w:w="1753" w:type="pct"/>
            <w:vAlign w:val="center"/>
          </w:tcPr>
          <w:p w14:paraId="5B55927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91.42%</w:t>
            </w:r>
          </w:p>
        </w:tc>
      </w:tr>
      <w:tr w:rsidR="00212F7E" w:rsidRPr="00705676" w14:paraId="18C672E1" w14:textId="77777777" w:rsidTr="003D53B2">
        <w:tc>
          <w:tcPr>
            <w:tcW w:w="747" w:type="pct"/>
          </w:tcPr>
          <w:p w14:paraId="64AA3B1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3</w:t>
            </w:r>
          </w:p>
        </w:tc>
        <w:tc>
          <w:tcPr>
            <w:tcW w:w="1753" w:type="pct"/>
            <w:vAlign w:val="center"/>
          </w:tcPr>
          <w:p w14:paraId="71AA314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98.96%</w:t>
            </w:r>
          </w:p>
        </w:tc>
        <w:tc>
          <w:tcPr>
            <w:tcW w:w="747" w:type="pct"/>
            <w:vAlign w:val="center"/>
          </w:tcPr>
          <w:p w14:paraId="2931730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18</w:t>
            </w:r>
          </w:p>
        </w:tc>
        <w:tc>
          <w:tcPr>
            <w:tcW w:w="1753" w:type="pct"/>
            <w:vAlign w:val="center"/>
          </w:tcPr>
          <w:p w14:paraId="691654F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91.21%</w:t>
            </w:r>
          </w:p>
        </w:tc>
      </w:tr>
      <w:tr w:rsidR="00212F7E" w:rsidRPr="00705676" w14:paraId="342DE08F" w14:textId="77777777" w:rsidTr="003D53B2">
        <w:tc>
          <w:tcPr>
            <w:tcW w:w="747" w:type="pct"/>
          </w:tcPr>
          <w:p w14:paraId="1031F1D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4</w:t>
            </w:r>
          </w:p>
        </w:tc>
        <w:tc>
          <w:tcPr>
            <w:tcW w:w="1753" w:type="pct"/>
            <w:vAlign w:val="center"/>
          </w:tcPr>
          <w:p w14:paraId="67177F3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98.33%</w:t>
            </w:r>
          </w:p>
        </w:tc>
        <w:tc>
          <w:tcPr>
            <w:tcW w:w="747" w:type="pct"/>
            <w:vAlign w:val="center"/>
          </w:tcPr>
          <w:p w14:paraId="0B79924B"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19</w:t>
            </w:r>
          </w:p>
        </w:tc>
        <w:tc>
          <w:tcPr>
            <w:tcW w:w="1753" w:type="pct"/>
            <w:vAlign w:val="center"/>
          </w:tcPr>
          <w:p w14:paraId="51EE0B2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90.71%</w:t>
            </w:r>
          </w:p>
        </w:tc>
      </w:tr>
      <w:tr w:rsidR="00212F7E" w:rsidRPr="00705676" w14:paraId="00A441C2" w14:textId="77777777" w:rsidTr="003D53B2">
        <w:tc>
          <w:tcPr>
            <w:tcW w:w="747" w:type="pct"/>
          </w:tcPr>
          <w:p w14:paraId="5F0C932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5</w:t>
            </w:r>
          </w:p>
        </w:tc>
        <w:tc>
          <w:tcPr>
            <w:tcW w:w="1753" w:type="pct"/>
            <w:vAlign w:val="center"/>
          </w:tcPr>
          <w:p w14:paraId="007745A0"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97.82%</w:t>
            </w:r>
          </w:p>
        </w:tc>
        <w:tc>
          <w:tcPr>
            <w:tcW w:w="747" w:type="pct"/>
            <w:vAlign w:val="center"/>
          </w:tcPr>
          <w:p w14:paraId="7AB6AC8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20</w:t>
            </w:r>
          </w:p>
        </w:tc>
        <w:tc>
          <w:tcPr>
            <w:tcW w:w="1753" w:type="pct"/>
            <w:vAlign w:val="center"/>
          </w:tcPr>
          <w:p w14:paraId="4D062AC9"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90.26%</w:t>
            </w:r>
          </w:p>
        </w:tc>
      </w:tr>
      <w:tr w:rsidR="00212F7E" w:rsidRPr="00705676" w14:paraId="5B003736" w14:textId="77777777" w:rsidTr="003D53B2">
        <w:tc>
          <w:tcPr>
            <w:tcW w:w="747" w:type="pct"/>
          </w:tcPr>
          <w:p w14:paraId="387B4FB2"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6</w:t>
            </w:r>
          </w:p>
        </w:tc>
        <w:tc>
          <w:tcPr>
            <w:tcW w:w="1753" w:type="pct"/>
            <w:vAlign w:val="center"/>
          </w:tcPr>
          <w:p w14:paraId="6DAD3D8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97.15%</w:t>
            </w:r>
          </w:p>
        </w:tc>
        <w:tc>
          <w:tcPr>
            <w:tcW w:w="747" w:type="pct"/>
            <w:vAlign w:val="center"/>
          </w:tcPr>
          <w:p w14:paraId="2A1F2004"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21</w:t>
            </w:r>
          </w:p>
        </w:tc>
        <w:tc>
          <w:tcPr>
            <w:tcW w:w="1753" w:type="pct"/>
            <w:vAlign w:val="center"/>
          </w:tcPr>
          <w:p w14:paraId="071C128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89.88%</w:t>
            </w:r>
          </w:p>
        </w:tc>
      </w:tr>
      <w:tr w:rsidR="00212F7E" w:rsidRPr="00705676" w14:paraId="28655907" w14:textId="77777777" w:rsidTr="003D53B2">
        <w:tc>
          <w:tcPr>
            <w:tcW w:w="747" w:type="pct"/>
          </w:tcPr>
          <w:p w14:paraId="3252EEDB"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7</w:t>
            </w:r>
          </w:p>
        </w:tc>
        <w:tc>
          <w:tcPr>
            <w:tcW w:w="1753" w:type="pct"/>
            <w:vAlign w:val="center"/>
          </w:tcPr>
          <w:p w14:paraId="32A2120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96.50%</w:t>
            </w:r>
          </w:p>
        </w:tc>
        <w:tc>
          <w:tcPr>
            <w:tcW w:w="747" w:type="pct"/>
            <w:vAlign w:val="center"/>
          </w:tcPr>
          <w:p w14:paraId="0E9AD23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22</w:t>
            </w:r>
          </w:p>
        </w:tc>
        <w:tc>
          <w:tcPr>
            <w:tcW w:w="1753" w:type="pct"/>
            <w:vAlign w:val="center"/>
          </w:tcPr>
          <w:p w14:paraId="6480485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89.57%</w:t>
            </w:r>
          </w:p>
        </w:tc>
      </w:tr>
      <w:tr w:rsidR="00212F7E" w:rsidRPr="00705676" w14:paraId="0641D119" w14:textId="77777777" w:rsidTr="003D53B2">
        <w:tc>
          <w:tcPr>
            <w:tcW w:w="747" w:type="pct"/>
          </w:tcPr>
          <w:p w14:paraId="53152654"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8</w:t>
            </w:r>
          </w:p>
        </w:tc>
        <w:tc>
          <w:tcPr>
            <w:tcW w:w="1753" w:type="pct"/>
            <w:vAlign w:val="center"/>
          </w:tcPr>
          <w:p w14:paraId="6D6C349D"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95.88%</w:t>
            </w:r>
          </w:p>
        </w:tc>
        <w:tc>
          <w:tcPr>
            <w:tcW w:w="747" w:type="pct"/>
            <w:vAlign w:val="center"/>
          </w:tcPr>
          <w:p w14:paraId="6B2B4B8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23</w:t>
            </w:r>
          </w:p>
        </w:tc>
        <w:tc>
          <w:tcPr>
            <w:tcW w:w="1753" w:type="pct"/>
            <w:vAlign w:val="center"/>
          </w:tcPr>
          <w:p w14:paraId="76FDEB89"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89.18%</w:t>
            </w:r>
          </w:p>
        </w:tc>
      </w:tr>
      <w:tr w:rsidR="00212F7E" w:rsidRPr="00705676" w14:paraId="36382C37" w14:textId="77777777" w:rsidTr="003D53B2">
        <w:tc>
          <w:tcPr>
            <w:tcW w:w="747" w:type="pct"/>
          </w:tcPr>
          <w:p w14:paraId="25FF55F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9</w:t>
            </w:r>
          </w:p>
        </w:tc>
        <w:tc>
          <w:tcPr>
            <w:tcW w:w="1753" w:type="pct"/>
            <w:vAlign w:val="center"/>
          </w:tcPr>
          <w:p w14:paraId="4F91D32D"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95.45%</w:t>
            </w:r>
          </w:p>
        </w:tc>
        <w:tc>
          <w:tcPr>
            <w:tcW w:w="747" w:type="pct"/>
            <w:vAlign w:val="center"/>
          </w:tcPr>
          <w:p w14:paraId="285F352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24</w:t>
            </w:r>
          </w:p>
        </w:tc>
        <w:tc>
          <w:tcPr>
            <w:tcW w:w="1753" w:type="pct"/>
            <w:vAlign w:val="center"/>
          </w:tcPr>
          <w:p w14:paraId="6786B770"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88.78%</w:t>
            </w:r>
          </w:p>
        </w:tc>
      </w:tr>
      <w:tr w:rsidR="00212F7E" w:rsidRPr="00705676" w14:paraId="0C0BA8BA" w14:textId="77777777" w:rsidTr="003D53B2">
        <w:tc>
          <w:tcPr>
            <w:tcW w:w="747" w:type="pct"/>
          </w:tcPr>
          <w:p w14:paraId="2404FC5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10</w:t>
            </w:r>
          </w:p>
        </w:tc>
        <w:tc>
          <w:tcPr>
            <w:tcW w:w="1753" w:type="pct"/>
            <w:vAlign w:val="center"/>
          </w:tcPr>
          <w:p w14:paraId="6E527970"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94.73%</w:t>
            </w:r>
          </w:p>
        </w:tc>
        <w:tc>
          <w:tcPr>
            <w:tcW w:w="747" w:type="pct"/>
            <w:vAlign w:val="center"/>
          </w:tcPr>
          <w:p w14:paraId="6D09AEF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25</w:t>
            </w:r>
          </w:p>
        </w:tc>
        <w:tc>
          <w:tcPr>
            <w:tcW w:w="1753" w:type="pct"/>
            <w:vAlign w:val="center"/>
          </w:tcPr>
          <w:p w14:paraId="278A9F3D"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88.69%</w:t>
            </w:r>
          </w:p>
        </w:tc>
      </w:tr>
      <w:tr w:rsidR="00212F7E" w:rsidRPr="00705676" w14:paraId="328CF452" w14:textId="77777777" w:rsidTr="003D53B2">
        <w:tc>
          <w:tcPr>
            <w:tcW w:w="747" w:type="pct"/>
          </w:tcPr>
          <w:p w14:paraId="3654989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11</w:t>
            </w:r>
          </w:p>
        </w:tc>
        <w:tc>
          <w:tcPr>
            <w:tcW w:w="1753" w:type="pct"/>
            <w:vAlign w:val="center"/>
          </w:tcPr>
          <w:p w14:paraId="666E114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93.98%</w:t>
            </w:r>
          </w:p>
        </w:tc>
        <w:tc>
          <w:tcPr>
            <w:tcW w:w="747" w:type="pct"/>
            <w:vAlign w:val="center"/>
          </w:tcPr>
          <w:p w14:paraId="279A7EE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26</w:t>
            </w:r>
          </w:p>
        </w:tc>
        <w:tc>
          <w:tcPr>
            <w:tcW w:w="1753" w:type="pct"/>
            <w:vAlign w:val="center"/>
          </w:tcPr>
          <w:p w14:paraId="6D034C24"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88.61%</w:t>
            </w:r>
          </w:p>
        </w:tc>
      </w:tr>
      <w:tr w:rsidR="00212F7E" w:rsidRPr="00705676" w14:paraId="7DF05C74" w14:textId="77777777" w:rsidTr="003D53B2">
        <w:tc>
          <w:tcPr>
            <w:tcW w:w="747" w:type="pct"/>
          </w:tcPr>
          <w:p w14:paraId="6485AF59"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12</w:t>
            </w:r>
          </w:p>
        </w:tc>
        <w:tc>
          <w:tcPr>
            <w:tcW w:w="1753" w:type="pct"/>
            <w:vAlign w:val="center"/>
          </w:tcPr>
          <w:p w14:paraId="77A4E70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93.19%</w:t>
            </w:r>
          </w:p>
        </w:tc>
        <w:tc>
          <w:tcPr>
            <w:tcW w:w="747" w:type="pct"/>
            <w:vAlign w:val="center"/>
          </w:tcPr>
          <w:p w14:paraId="0C4122B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27</w:t>
            </w:r>
          </w:p>
        </w:tc>
        <w:tc>
          <w:tcPr>
            <w:tcW w:w="1753" w:type="pct"/>
            <w:vAlign w:val="center"/>
          </w:tcPr>
          <w:p w14:paraId="39DD6820"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88.53%</w:t>
            </w:r>
          </w:p>
        </w:tc>
      </w:tr>
      <w:tr w:rsidR="00212F7E" w:rsidRPr="00705676" w14:paraId="73DB6C5B" w14:textId="77777777" w:rsidTr="003D53B2">
        <w:tc>
          <w:tcPr>
            <w:tcW w:w="747" w:type="pct"/>
          </w:tcPr>
          <w:p w14:paraId="0917BD4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13</w:t>
            </w:r>
          </w:p>
        </w:tc>
        <w:tc>
          <w:tcPr>
            <w:tcW w:w="1753" w:type="pct"/>
            <w:vAlign w:val="center"/>
          </w:tcPr>
          <w:p w14:paraId="6EC4753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92.49%</w:t>
            </w:r>
          </w:p>
        </w:tc>
        <w:tc>
          <w:tcPr>
            <w:tcW w:w="747" w:type="pct"/>
            <w:vAlign w:val="center"/>
          </w:tcPr>
          <w:p w14:paraId="01D118C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28</w:t>
            </w:r>
          </w:p>
        </w:tc>
        <w:tc>
          <w:tcPr>
            <w:tcW w:w="1753" w:type="pct"/>
            <w:vAlign w:val="center"/>
          </w:tcPr>
          <w:p w14:paraId="4DAFFF2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88.37%</w:t>
            </w:r>
          </w:p>
        </w:tc>
      </w:tr>
      <w:tr w:rsidR="00212F7E" w:rsidRPr="00705676" w14:paraId="0AB6A562" w14:textId="77777777" w:rsidTr="003D53B2">
        <w:tc>
          <w:tcPr>
            <w:tcW w:w="747" w:type="pct"/>
          </w:tcPr>
          <w:p w14:paraId="43D8C7F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14</w:t>
            </w:r>
          </w:p>
        </w:tc>
        <w:tc>
          <w:tcPr>
            <w:tcW w:w="1753" w:type="pct"/>
            <w:vAlign w:val="center"/>
          </w:tcPr>
          <w:p w14:paraId="6E7BE73B"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92.29%</w:t>
            </w:r>
          </w:p>
        </w:tc>
        <w:tc>
          <w:tcPr>
            <w:tcW w:w="747" w:type="pct"/>
            <w:vAlign w:val="center"/>
          </w:tcPr>
          <w:p w14:paraId="2262AB7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29</w:t>
            </w:r>
          </w:p>
        </w:tc>
        <w:tc>
          <w:tcPr>
            <w:tcW w:w="1753" w:type="pct"/>
            <w:vAlign w:val="center"/>
          </w:tcPr>
          <w:p w14:paraId="3E598100"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88.20%</w:t>
            </w:r>
          </w:p>
        </w:tc>
      </w:tr>
      <w:tr w:rsidR="00212F7E" w:rsidRPr="00705676" w14:paraId="6ED838D8" w14:textId="77777777" w:rsidTr="003D53B2">
        <w:tc>
          <w:tcPr>
            <w:tcW w:w="747" w:type="pct"/>
          </w:tcPr>
          <w:p w14:paraId="1BF365E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15</w:t>
            </w:r>
          </w:p>
        </w:tc>
        <w:tc>
          <w:tcPr>
            <w:tcW w:w="1753" w:type="pct"/>
            <w:vAlign w:val="center"/>
          </w:tcPr>
          <w:p w14:paraId="6399762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91.76%</w:t>
            </w:r>
          </w:p>
        </w:tc>
        <w:tc>
          <w:tcPr>
            <w:tcW w:w="747" w:type="pct"/>
            <w:vAlign w:val="center"/>
          </w:tcPr>
          <w:p w14:paraId="1156C68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30</w:t>
            </w:r>
          </w:p>
        </w:tc>
        <w:tc>
          <w:tcPr>
            <w:tcW w:w="1753" w:type="pct"/>
            <w:vAlign w:val="center"/>
          </w:tcPr>
          <w:p w14:paraId="490C1040"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szCs w:val="24"/>
              </w:rPr>
              <w:t>88.03%</w:t>
            </w:r>
          </w:p>
        </w:tc>
      </w:tr>
    </w:tbl>
    <w:bookmarkEnd w:id="2"/>
    <w:p w14:paraId="7809AF40" w14:textId="77777777" w:rsidR="00212F7E" w:rsidRPr="00705676" w:rsidRDefault="00212F7E" w:rsidP="00212F7E">
      <w:pPr>
        <w:autoSpaceDE w:val="0"/>
        <w:autoSpaceDN w:val="0"/>
        <w:adjustRightInd w:val="0"/>
        <w:spacing w:line="48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 xml:space="preserve">† this baseline refers to an “average” patient with PI </w:t>
      </w:r>
      <w:r>
        <w:rPr>
          <w:rFonts w:ascii="Times New Roman" w:eastAsia="等线" w:hAnsi="Times New Roman" w:cs="Times New Roman"/>
          <w:sz w:val="24"/>
          <w:szCs w:val="24"/>
        </w:rPr>
        <w:t>0.</w:t>
      </w:r>
      <w:r w:rsidRPr="00705676">
        <w:rPr>
          <w:rFonts w:ascii="Times New Roman" w:eastAsia="等线" w:hAnsi="Times New Roman" w:cs="Times New Roman"/>
          <w:sz w:val="24"/>
          <w:szCs w:val="24"/>
        </w:rPr>
        <w:t>566</w:t>
      </w:r>
      <w:r>
        <w:rPr>
          <w:rFonts w:ascii="Times New Roman" w:eastAsia="等线" w:hAnsi="Times New Roman" w:cs="Times New Roman"/>
          <w:sz w:val="24"/>
          <w:szCs w:val="24"/>
        </w:rPr>
        <w:t>2</w:t>
      </w:r>
      <w:r w:rsidRPr="00705676">
        <w:rPr>
          <w:rFonts w:ascii="Times New Roman" w:eastAsia="等线" w:hAnsi="Times New Roman" w:cs="Times New Roman"/>
          <w:sz w:val="24"/>
          <w:szCs w:val="24"/>
        </w:rPr>
        <w:t>.</w:t>
      </w:r>
    </w:p>
    <w:p w14:paraId="269522F6" w14:textId="1344B340" w:rsidR="00212F7E" w:rsidRDefault="00212F7E" w:rsidP="00212F7E">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br w:type="page"/>
      </w:r>
    </w:p>
    <w:p w14:paraId="65B388FC" w14:textId="711845F7" w:rsidR="00C43D92" w:rsidRPr="00F656B0" w:rsidRDefault="00C43D92" w:rsidP="00C43D9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Table S2</w:t>
      </w:r>
      <w:r w:rsidRPr="00F656B0">
        <w:rPr>
          <w:rFonts w:ascii="Times New Roman" w:hAnsi="Times New Roman" w:cs="Times New Roman"/>
          <w:b/>
          <w:sz w:val="24"/>
          <w:szCs w:val="24"/>
        </w:rPr>
        <w:t xml:space="preserve">. Thresholds and corresponding proportion and death toll included in each risk group  </w:t>
      </w:r>
    </w:p>
    <w:tbl>
      <w:tblPr>
        <w:tblStyle w:val="ae"/>
        <w:tblW w:w="9357" w:type="dxa"/>
        <w:tblInd w:w="-289" w:type="dxa"/>
        <w:tblLook w:val="04A0" w:firstRow="1" w:lastRow="0" w:firstColumn="1" w:lastColumn="0" w:noHBand="0" w:noVBand="1"/>
      </w:tblPr>
      <w:tblGrid>
        <w:gridCol w:w="2694"/>
        <w:gridCol w:w="1580"/>
        <w:gridCol w:w="1270"/>
        <w:gridCol w:w="1271"/>
        <w:gridCol w:w="1271"/>
        <w:gridCol w:w="1271"/>
      </w:tblGrid>
      <w:tr w:rsidR="00C43D92" w:rsidRPr="00705676" w14:paraId="27FE4DB0" w14:textId="77777777" w:rsidTr="00A76166">
        <w:tc>
          <w:tcPr>
            <w:tcW w:w="2694" w:type="dxa"/>
            <w:vMerge w:val="restart"/>
            <w:vAlign w:val="center"/>
          </w:tcPr>
          <w:p w14:paraId="339B1ABE"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Risk group</w:t>
            </w:r>
          </w:p>
        </w:tc>
        <w:tc>
          <w:tcPr>
            <w:tcW w:w="1580" w:type="dxa"/>
            <w:vMerge w:val="restart"/>
            <w:vAlign w:val="center"/>
          </w:tcPr>
          <w:p w14:paraId="605DB3C7"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Range in PI</w:t>
            </w:r>
          </w:p>
        </w:tc>
        <w:tc>
          <w:tcPr>
            <w:tcW w:w="2541" w:type="dxa"/>
            <w:gridSpan w:val="2"/>
          </w:tcPr>
          <w:p w14:paraId="05C6C172" w14:textId="77777777" w:rsidR="00C43D92" w:rsidRPr="00705676" w:rsidRDefault="00C43D92" w:rsidP="00A76166">
            <w:pPr>
              <w:jc w:val="center"/>
              <w:rPr>
                <w:rFonts w:ascii="Times New Roman" w:hAnsi="Times New Roman" w:cs="Times New Roman"/>
                <w:sz w:val="24"/>
                <w:szCs w:val="24"/>
              </w:rPr>
            </w:pPr>
            <w:r w:rsidRPr="00705676">
              <w:rPr>
                <w:rFonts w:ascii="Times New Roman" w:hAnsi="Times New Roman" w:cs="Times New Roman"/>
                <w:sz w:val="24"/>
                <w:szCs w:val="24"/>
              </w:rPr>
              <w:t>Derivation</w:t>
            </w:r>
          </w:p>
        </w:tc>
        <w:tc>
          <w:tcPr>
            <w:tcW w:w="2542" w:type="dxa"/>
            <w:gridSpan w:val="2"/>
          </w:tcPr>
          <w:p w14:paraId="34F7F853" w14:textId="77777777" w:rsidR="00C43D92" w:rsidRPr="00705676" w:rsidRDefault="00C43D92" w:rsidP="00A76166">
            <w:pPr>
              <w:jc w:val="center"/>
              <w:rPr>
                <w:rFonts w:ascii="Times New Roman" w:hAnsi="Times New Roman" w:cs="Times New Roman"/>
                <w:sz w:val="24"/>
                <w:szCs w:val="24"/>
              </w:rPr>
            </w:pPr>
            <w:r w:rsidRPr="00705676">
              <w:rPr>
                <w:rFonts w:ascii="Times New Roman" w:hAnsi="Times New Roman" w:cs="Times New Roman"/>
                <w:sz w:val="24"/>
                <w:szCs w:val="24"/>
              </w:rPr>
              <w:t>Validation</w:t>
            </w:r>
          </w:p>
        </w:tc>
      </w:tr>
      <w:tr w:rsidR="00C43D92" w:rsidRPr="00705676" w14:paraId="59738B14" w14:textId="77777777" w:rsidTr="00A76166">
        <w:tc>
          <w:tcPr>
            <w:tcW w:w="2694" w:type="dxa"/>
            <w:vMerge/>
          </w:tcPr>
          <w:p w14:paraId="61F721FE" w14:textId="77777777" w:rsidR="00C43D92" w:rsidRPr="00705676" w:rsidRDefault="00C43D92" w:rsidP="00A76166">
            <w:pPr>
              <w:rPr>
                <w:rFonts w:ascii="Times New Roman" w:hAnsi="Times New Roman" w:cs="Times New Roman"/>
                <w:sz w:val="24"/>
                <w:szCs w:val="24"/>
              </w:rPr>
            </w:pPr>
          </w:p>
        </w:tc>
        <w:tc>
          <w:tcPr>
            <w:tcW w:w="1580" w:type="dxa"/>
            <w:vMerge/>
          </w:tcPr>
          <w:p w14:paraId="60DFEAEF" w14:textId="77777777" w:rsidR="00C43D92" w:rsidRPr="00705676" w:rsidRDefault="00C43D92" w:rsidP="00A76166">
            <w:pPr>
              <w:rPr>
                <w:rFonts w:ascii="Times New Roman" w:hAnsi="Times New Roman" w:cs="Times New Roman"/>
                <w:sz w:val="24"/>
                <w:szCs w:val="24"/>
              </w:rPr>
            </w:pPr>
          </w:p>
        </w:tc>
        <w:tc>
          <w:tcPr>
            <w:tcW w:w="1270" w:type="dxa"/>
          </w:tcPr>
          <w:p w14:paraId="0944AE9D"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Proportion</w:t>
            </w:r>
          </w:p>
        </w:tc>
        <w:tc>
          <w:tcPr>
            <w:tcW w:w="1271" w:type="dxa"/>
          </w:tcPr>
          <w:p w14:paraId="2AEB8412"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Death</w:t>
            </w:r>
          </w:p>
        </w:tc>
        <w:tc>
          <w:tcPr>
            <w:tcW w:w="1271" w:type="dxa"/>
          </w:tcPr>
          <w:p w14:paraId="28366182"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Proportion</w:t>
            </w:r>
          </w:p>
        </w:tc>
        <w:tc>
          <w:tcPr>
            <w:tcW w:w="1271" w:type="dxa"/>
          </w:tcPr>
          <w:p w14:paraId="49479031"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 xml:space="preserve">Death </w:t>
            </w:r>
          </w:p>
        </w:tc>
      </w:tr>
      <w:tr w:rsidR="00C43D92" w:rsidRPr="00705676" w14:paraId="4B68F20F" w14:textId="77777777" w:rsidTr="00A76166">
        <w:tc>
          <w:tcPr>
            <w:tcW w:w="2694" w:type="dxa"/>
          </w:tcPr>
          <w:p w14:paraId="40AB71F5"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1. Low risk</w:t>
            </w:r>
          </w:p>
        </w:tc>
        <w:tc>
          <w:tcPr>
            <w:tcW w:w="1580" w:type="dxa"/>
          </w:tcPr>
          <w:p w14:paraId="0C3F88DE"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&lt;</w:t>
            </w:r>
            <w:r>
              <w:rPr>
                <w:rFonts w:ascii="Times New Roman" w:hAnsi="Times New Roman" w:cs="Times New Roman"/>
                <w:sz w:val="24"/>
                <w:szCs w:val="24"/>
              </w:rPr>
              <w:t>= -0.81</w:t>
            </w:r>
          </w:p>
        </w:tc>
        <w:tc>
          <w:tcPr>
            <w:tcW w:w="1270" w:type="dxa"/>
          </w:tcPr>
          <w:p w14:paraId="7C725D59"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16.0%</w:t>
            </w:r>
          </w:p>
        </w:tc>
        <w:tc>
          <w:tcPr>
            <w:tcW w:w="1271" w:type="dxa"/>
          </w:tcPr>
          <w:p w14:paraId="4A742215"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3</w:t>
            </w:r>
          </w:p>
        </w:tc>
        <w:tc>
          <w:tcPr>
            <w:tcW w:w="1271" w:type="dxa"/>
          </w:tcPr>
          <w:p w14:paraId="644C581E" w14:textId="77777777" w:rsidR="00C43D92" w:rsidRPr="00705676" w:rsidRDefault="00C43D92" w:rsidP="00A76166">
            <w:pPr>
              <w:rPr>
                <w:rFonts w:ascii="Times New Roman" w:hAnsi="Times New Roman" w:cs="Times New Roman"/>
                <w:sz w:val="24"/>
                <w:szCs w:val="24"/>
              </w:rPr>
            </w:pPr>
            <w:r>
              <w:rPr>
                <w:rFonts w:ascii="Times New Roman" w:hAnsi="Times New Roman" w:cs="Times New Roman"/>
                <w:sz w:val="24"/>
                <w:szCs w:val="24"/>
              </w:rPr>
              <w:t>15.6</w:t>
            </w:r>
            <w:r w:rsidRPr="00705676">
              <w:rPr>
                <w:rFonts w:ascii="Times New Roman" w:hAnsi="Times New Roman" w:cs="Times New Roman"/>
                <w:sz w:val="24"/>
                <w:szCs w:val="24"/>
              </w:rPr>
              <w:t>%</w:t>
            </w:r>
          </w:p>
        </w:tc>
        <w:tc>
          <w:tcPr>
            <w:tcW w:w="1271" w:type="dxa"/>
          </w:tcPr>
          <w:p w14:paraId="5FDD6498"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0</w:t>
            </w:r>
          </w:p>
        </w:tc>
      </w:tr>
      <w:tr w:rsidR="00C43D92" w:rsidRPr="00705676" w14:paraId="0F822D7A" w14:textId="77777777" w:rsidTr="00A76166">
        <w:tc>
          <w:tcPr>
            <w:tcW w:w="2694" w:type="dxa"/>
          </w:tcPr>
          <w:p w14:paraId="141B174C"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2. Low-Intermediate risk</w:t>
            </w:r>
          </w:p>
        </w:tc>
        <w:tc>
          <w:tcPr>
            <w:tcW w:w="1580" w:type="dxa"/>
          </w:tcPr>
          <w:p w14:paraId="6E597D06" w14:textId="77777777" w:rsidR="00C43D92" w:rsidRPr="00705676" w:rsidRDefault="00C43D92" w:rsidP="00A76166">
            <w:pPr>
              <w:rPr>
                <w:rFonts w:ascii="Times New Roman" w:hAnsi="Times New Roman" w:cs="Times New Roman"/>
                <w:sz w:val="24"/>
                <w:szCs w:val="24"/>
              </w:rPr>
            </w:pPr>
            <w:r>
              <w:rPr>
                <w:rFonts w:ascii="Times New Roman" w:hAnsi="Times New Roman" w:cs="Times New Roman"/>
                <w:sz w:val="24"/>
                <w:szCs w:val="24"/>
              </w:rPr>
              <w:t>-0.81 to 0.50</w:t>
            </w:r>
          </w:p>
        </w:tc>
        <w:tc>
          <w:tcPr>
            <w:tcW w:w="1270" w:type="dxa"/>
          </w:tcPr>
          <w:p w14:paraId="7A1E34C7"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34.0%</w:t>
            </w:r>
          </w:p>
        </w:tc>
        <w:tc>
          <w:tcPr>
            <w:tcW w:w="1271" w:type="dxa"/>
          </w:tcPr>
          <w:p w14:paraId="73DBC22E"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17</w:t>
            </w:r>
          </w:p>
        </w:tc>
        <w:tc>
          <w:tcPr>
            <w:tcW w:w="1271" w:type="dxa"/>
          </w:tcPr>
          <w:p w14:paraId="50B563B5" w14:textId="77777777" w:rsidR="00C43D92" w:rsidRPr="00705676" w:rsidRDefault="00C43D92" w:rsidP="00A76166">
            <w:pPr>
              <w:rPr>
                <w:rFonts w:ascii="Times New Roman" w:hAnsi="Times New Roman" w:cs="Times New Roman"/>
                <w:sz w:val="24"/>
                <w:szCs w:val="24"/>
              </w:rPr>
            </w:pPr>
            <w:r>
              <w:rPr>
                <w:rFonts w:ascii="Times New Roman" w:hAnsi="Times New Roman" w:cs="Times New Roman"/>
                <w:sz w:val="24"/>
                <w:szCs w:val="24"/>
              </w:rPr>
              <w:t>32.5</w:t>
            </w:r>
            <w:r w:rsidRPr="00705676">
              <w:rPr>
                <w:rFonts w:ascii="Times New Roman" w:hAnsi="Times New Roman" w:cs="Times New Roman"/>
                <w:sz w:val="24"/>
                <w:szCs w:val="24"/>
              </w:rPr>
              <w:t>%</w:t>
            </w:r>
          </w:p>
        </w:tc>
        <w:tc>
          <w:tcPr>
            <w:tcW w:w="1271" w:type="dxa"/>
          </w:tcPr>
          <w:p w14:paraId="59BF007A"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8</w:t>
            </w:r>
          </w:p>
        </w:tc>
      </w:tr>
      <w:tr w:rsidR="00C43D92" w:rsidRPr="00705676" w14:paraId="3732F15D" w14:textId="77777777" w:rsidTr="00A76166">
        <w:tc>
          <w:tcPr>
            <w:tcW w:w="2694" w:type="dxa"/>
          </w:tcPr>
          <w:p w14:paraId="10175D0B"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3. Moderate risk</w:t>
            </w:r>
          </w:p>
        </w:tc>
        <w:tc>
          <w:tcPr>
            <w:tcW w:w="1580" w:type="dxa"/>
          </w:tcPr>
          <w:p w14:paraId="6B59198E" w14:textId="77777777" w:rsidR="00C43D92" w:rsidRPr="00705676" w:rsidRDefault="00C43D92" w:rsidP="00A76166">
            <w:pPr>
              <w:rPr>
                <w:rFonts w:ascii="Times New Roman" w:hAnsi="Times New Roman" w:cs="Times New Roman"/>
                <w:sz w:val="24"/>
                <w:szCs w:val="24"/>
              </w:rPr>
            </w:pPr>
            <w:r>
              <w:rPr>
                <w:rFonts w:ascii="Times New Roman" w:hAnsi="Times New Roman" w:cs="Times New Roman"/>
                <w:sz w:val="24"/>
                <w:szCs w:val="24"/>
              </w:rPr>
              <w:t>0.50 to 2.0</w:t>
            </w:r>
            <w:r w:rsidRPr="00705676">
              <w:rPr>
                <w:rFonts w:ascii="Times New Roman" w:hAnsi="Times New Roman" w:cs="Times New Roman"/>
                <w:sz w:val="24"/>
                <w:szCs w:val="24"/>
              </w:rPr>
              <w:t>3</w:t>
            </w:r>
          </w:p>
        </w:tc>
        <w:tc>
          <w:tcPr>
            <w:tcW w:w="1270" w:type="dxa"/>
          </w:tcPr>
          <w:p w14:paraId="54363D05"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34.0%</w:t>
            </w:r>
          </w:p>
        </w:tc>
        <w:tc>
          <w:tcPr>
            <w:tcW w:w="1271" w:type="dxa"/>
          </w:tcPr>
          <w:p w14:paraId="3FCFB9F7"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70</w:t>
            </w:r>
          </w:p>
        </w:tc>
        <w:tc>
          <w:tcPr>
            <w:tcW w:w="1271" w:type="dxa"/>
          </w:tcPr>
          <w:p w14:paraId="1F1E07B5" w14:textId="77777777" w:rsidR="00C43D92" w:rsidRPr="00705676" w:rsidRDefault="00C43D92" w:rsidP="00A76166">
            <w:pPr>
              <w:rPr>
                <w:rFonts w:ascii="Times New Roman" w:hAnsi="Times New Roman" w:cs="Times New Roman"/>
                <w:sz w:val="24"/>
                <w:szCs w:val="24"/>
              </w:rPr>
            </w:pPr>
            <w:r>
              <w:rPr>
                <w:rFonts w:ascii="Times New Roman" w:hAnsi="Times New Roman" w:cs="Times New Roman"/>
                <w:sz w:val="24"/>
                <w:szCs w:val="24"/>
              </w:rPr>
              <w:t>38.6</w:t>
            </w:r>
            <w:r w:rsidRPr="00705676">
              <w:rPr>
                <w:rFonts w:ascii="Times New Roman" w:hAnsi="Times New Roman" w:cs="Times New Roman"/>
                <w:sz w:val="24"/>
                <w:szCs w:val="24"/>
              </w:rPr>
              <w:t>%</w:t>
            </w:r>
          </w:p>
        </w:tc>
        <w:tc>
          <w:tcPr>
            <w:tcW w:w="1271" w:type="dxa"/>
          </w:tcPr>
          <w:p w14:paraId="5E1A6F76" w14:textId="77777777" w:rsidR="00C43D92" w:rsidRPr="00705676" w:rsidRDefault="00C43D92" w:rsidP="00A76166">
            <w:pPr>
              <w:rPr>
                <w:rFonts w:ascii="Times New Roman" w:hAnsi="Times New Roman" w:cs="Times New Roman"/>
                <w:sz w:val="24"/>
                <w:szCs w:val="24"/>
              </w:rPr>
            </w:pPr>
            <w:r>
              <w:rPr>
                <w:rFonts w:ascii="Times New Roman" w:hAnsi="Times New Roman" w:cs="Times New Roman"/>
                <w:sz w:val="24"/>
                <w:szCs w:val="24"/>
              </w:rPr>
              <w:t>65</w:t>
            </w:r>
          </w:p>
        </w:tc>
      </w:tr>
      <w:tr w:rsidR="00C43D92" w:rsidRPr="00705676" w14:paraId="271E24E7" w14:textId="77777777" w:rsidTr="00A76166">
        <w:tc>
          <w:tcPr>
            <w:tcW w:w="2694" w:type="dxa"/>
          </w:tcPr>
          <w:p w14:paraId="38623B0D"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4. High risk</w:t>
            </w:r>
          </w:p>
        </w:tc>
        <w:tc>
          <w:tcPr>
            <w:tcW w:w="1580" w:type="dxa"/>
          </w:tcPr>
          <w:p w14:paraId="2B803964" w14:textId="77777777" w:rsidR="00C43D92" w:rsidRPr="00705676" w:rsidRDefault="00C43D92" w:rsidP="00A76166">
            <w:pPr>
              <w:rPr>
                <w:rFonts w:ascii="Times New Roman" w:hAnsi="Times New Roman" w:cs="Times New Roman"/>
                <w:sz w:val="24"/>
                <w:szCs w:val="24"/>
              </w:rPr>
            </w:pPr>
            <w:r>
              <w:rPr>
                <w:rFonts w:ascii="Times New Roman" w:hAnsi="Times New Roman" w:cs="Times New Roman"/>
                <w:sz w:val="24"/>
                <w:szCs w:val="24"/>
              </w:rPr>
              <w:t>&gt; 2.0</w:t>
            </w:r>
            <w:r w:rsidRPr="00705676">
              <w:rPr>
                <w:rFonts w:ascii="Times New Roman" w:hAnsi="Times New Roman" w:cs="Times New Roman"/>
                <w:sz w:val="24"/>
                <w:szCs w:val="24"/>
              </w:rPr>
              <w:t>3</w:t>
            </w:r>
          </w:p>
        </w:tc>
        <w:tc>
          <w:tcPr>
            <w:tcW w:w="1270" w:type="dxa"/>
          </w:tcPr>
          <w:p w14:paraId="712678BB"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16.0%</w:t>
            </w:r>
          </w:p>
        </w:tc>
        <w:tc>
          <w:tcPr>
            <w:tcW w:w="1271" w:type="dxa"/>
          </w:tcPr>
          <w:p w14:paraId="6BF2A21B" w14:textId="77777777" w:rsidR="00C43D92" w:rsidRPr="00705676" w:rsidRDefault="00C43D92" w:rsidP="00A76166">
            <w:pPr>
              <w:rPr>
                <w:rFonts w:ascii="Times New Roman" w:hAnsi="Times New Roman" w:cs="Times New Roman"/>
                <w:sz w:val="24"/>
                <w:szCs w:val="24"/>
              </w:rPr>
            </w:pPr>
            <w:r w:rsidRPr="00705676">
              <w:rPr>
                <w:rFonts w:ascii="Times New Roman" w:hAnsi="Times New Roman" w:cs="Times New Roman"/>
                <w:sz w:val="24"/>
                <w:szCs w:val="24"/>
              </w:rPr>
              <w:t>117</w:t>
            </w:r>
          </w:p>
        </w:tc>
        <w:tc>
          <w:tcPr>
            <w:tcW w:w="1271" w:type="dxa"/>
          </w:tcPr>
          <w:p w14:paraId="5641CF88" w14:textId="77777777" w:rsidR="00C43D92" w:rsidRPr="00705676" w:rsidRDefault="00C43D92" w:rsidP="00A76166">
            <w:pPr>
              <w:rPr>
                <w:rFonts w:ascii="Times New Roman" w:hAnsi="Times New Roman" w:cs="Times New Roman"/>
                <w:sz w:val="24"/>
                <w:szCs w:val="24"/>
              </w:rPr>
            </w:pPr>
            <w:r>
              <w:rPr>
                <w:rFonts w:ascii="Times New Roman" w:hAnsi="Times New Roman" w:cs="Times New Roman"/>
                <w:sz w:val="24"/>
                <w:szCs w:val="24"/>
              </w:rPr>
              <w:t>13.8</w:t>
            </w:r>
            <w:r w:rsidRPr="00705676">
              <w:rPr>
                <w:rFonts w:ascii="Times New Roman" w:hAnsi="Times New Roman" w:cs="Times New Roman"/>
                <w:sz w:val="24"/>
                <w:szCs w:val="24"/>
              </w:rPr>
              <w:t>%</w:t>
            </w:r>
          </w:p>
        </w:tc>
        <w:tc>
          <w:tcPr>
            <w:tcW w:w="1271" w:type="dxa"/>
          </w:tcPr>
          <w:p w14:paraId="35C379A3" w14:textId="77777777" w:rsidR="00C43D92" w:rsidRPr="00705676" w:rsidRDefault="00C43D92" w:rsidP="00A76166">
            <w:pPr>
              <w:rPr>
                <w:rFonts w:ascii="Times New Roman" w:hAnsi="Times New Roman" w:cs="Times New Roman"/>
                <w:sz w:val="24"/>
                <w:szCs w:val="24"/>
              </w:rPr>
            </w:pPr>
            <w:r>
              <w:rPr>
                <w:rFonts w:ascii="Times New Roman" w:hAnsi="Times New Roman" w:cs="Times New Roman"/>
                <w:sz w:val="24"/>
                <w:szCs w:val="24"/>
              </w:rPr>
              <w:t>89</w:t>
            </w:r>
          </w:p>
        </w:tc>
      </w:tr>
    </w:tbl>
    <w:p w14:paraId="4D9D5A44" w14:textId="56A040E4" w:rsidR="00C43D92" w:rsidRDefault="00C43D92" w:rsidP="00212F7E">
      <w:pPr>
        <w:spacing w:after="0" w:line="240" w:lineRule="auto"/>
        <w:rPr>
          <w:rFonts w:ascii="Times New Roman" w:eastAsia="等线" w:hAnsi="Times New Roman" w:cs="Times New Roman"/>
          <w:sz w:val="24"/>
          <w:szCs w:val="24"/>
        </w:rPr>
      </w:pPr>
    </w:p>
    <w:p w14:paraId="5CE650BB" w14:textId="77777777" w:rsidR="00C43D92" w:rsidRDefault="00C43D92">
      <w:pPr>
        <w:widowControl w:val="0"/>
        <w:spacing w:after="0" w:line="240" w:lineRule="auto"/>
        <w:jc w:val="both"/>
        <w:rPr>
          <w:rFonts w:ascii="Times New Roman" w:eastAsia="等线" w:hAnsi="Times New Roman" w:cs="Times New Roman"/>
          <w:sz w:val="24"/>
          <w:szCs w:val="24"/>
        </w:rPr>
      </w:pPr>
      <w:r>
        <w:rPr>
          <w:rFonts w:ascii="Times New Roman" w:eastAsia="等线" w:hAnsi="Times New Roman" w:cs="Times New Roman"/>
          <w:sz w:val="24"/>
          <w:szCs w:val="24"/>
        </w:rPr>
        <w:br w:type="page"/>
      </w:r>
    </w:p>
    <w:p w14:paraId="23B0F47E" w14:textId="77777777" w:rsidR="00C43D92" w:rsidRDefault="00C43D92" w:rsidP="00212F7E">
      <w:pPr>
        <w:spacing w:after="0" w:line="240" w:lineRule="auto"/>
        <w:rPr>
          <w:rFonts w:ascii="Times New Roman" w:eastAsia="等线" w:hAnsi="Times New Roman" w:cs="Times New Roman"/>
          <w:sz w:val="24"/>
          <w:szCs w:val="24"/>
        </w:rPr>
      </w:pPr>
    </w:p>
    <w:p w14:paraId="426B02D2" w14:textId="6539CB9F" w:rsidR="00212F7E" w:rsidRPr="00F656B0" w:rsidRDefault="00212F7E" w:rsidP="00212F7E">
      <w:pPr>
        <w:widowControl w:val="0"/>
        <w:spacing w:after="0" w:line="480" w:lineRule="auto"/>
        <w:jc w:val="both"/>
        <w:rPr>
          <w:rFonts w:ascii="Times New Roman" w:eastAsia="等线" w:hAnsi="Times New Roman" w:cs="Times New Roman"/>
          <w:b/>
          <w:kern w:val="2"/>
          <w:sz w:val="24"/>
          <w:szCs w:val="24"/>
          <w:lang w:val="en-US"/>
        </w:rPr>
      </w:pPr>
      <w:r w:rsidRPr="00F656B0">
        <w:rPr>
          <w:rFonts w:ascii="Times New Roman" w:eastAsia="等线" w:hAnsi="Times New Roman" w:cs="Times New Roman"/>
          <w:b/>
          <w:kern w:val="2"/>
          <w:sz w:val="24"/>
          <w:szCs w:val="24"/>
          <w:lang w:val="en-US"/>
        </w:rPr>
        <w:t>Table</w:t>
      </w:r>
      <w:r w:rsidR="00C43D92">
        <w:rPr>
          <w:rFonts w:ascii="Times New Roman" w:eastAsia="等线" w:hAnsi="Times New Roman" w:cs="Times New Roman"/>
          <w:b/>
          <w:kern w:val="2"/>
          <w:sz w:val="24"/>
          <w:szCs w:val="24"/>
          <w:lang w:val="en-US"/>
        </w:rPr>
        <w:t xml:space="preserve"> S3</w:t>
      </w:r>
      <w:r w:rsidRPr="00F656B0">
        <w:rPr>
          <w:rFonts w:ascii="Times New Roman" w:eastAsia="等线" w:hAnsi="Times New Roman" w:cs="Times New Roman"/>
          <w:b/>
          <w:kern w:val="2"/>
          <w:sz w:val="24"/>
          <w:szCs w:val="24"/>
          <w:lang w:val="en-US"/>
        </w:rPr>
        <w:t xml:space="preserve">. Basic characteristics used in entropy balancing in Derivation cohort, New York cohort and Lombardy cohort </w:t>
      </w:r>
    </w:p>
    <w:tbl>
      <w:tblPr>
        <w:tblW w:w="10203" w:type="dxa"/>
        <w:tblInd w:w="-705" w:type="dxa"/>
        <w:shd w:val="clear" w:color="auto" w:fill="FFFFFF"/>
        <w:tblCellMar>
          <w:left w:w="0" w:type="dxa"/>
          <w:right w:w="0" w:type="dxa"/>
        </w:tblCellMar>
        <w:tblLook w:val="04A0" w:firstRow="1" w:lastRow="0" w:firstColumn="1" w:lastColumn="0" w:noHBand="0" w:noVBand="1"/>
      </w:tblPr>
      <w:tblGrid>
        <w:gridCol w:w="2973"/>
        <w:gridCol w:w="2694"/>
        <w:gridCol w:w="2409"/>
        <w:gridCol w:w="552"/>
        <w:gridCol w:w="1575"/>
      </w:tblGrid>
      <w:tr w:rsidR="00212F7E" w:rsidRPr="00E43090" w14:paraId="2DF245C8" w14:textId="77777777" w:rsidTr="003D53B2">
        <w:trPr>
          <w:tblHeader/>
        </w:trPr>
        <w:tc>
          <w:tcPr>
            <w:tcW w:w="2973" w:type="dxa"/>
            <w:tcBorders>
              <w:top w:val="single" w:sz="18" w:space="0" w:color="000000"/>
              <w:left w:val="nil"/>
              <w:bottom w:val="single" w:sz="8" w:space="0" w:color="000000"/>
              <w:right w:val="nil"/>
            </w:tcBorders>
            <w:shd w:val="clear" w:color="auto" w:fill="FFFFFF"/>
            <w:tcMar>
              <w:top w:w="60" w:type="dxa"/>
              <w:left w:w="60" w:type="dxa"/>
              <w:bottom w:w="60" w:type="dxa"/>
              <w:right w:w="180" w:type="dxa"/>
            </w:tcMar>
            <w:vAlign w:val="center"/>
          </w:tcPr>
          <w:p w14:paraId="1E5808C2" w14:textId="77777777" w:rsidR="00212F7E" w:rsidRPr="00E43090" w:rsidRDefault="00212F7E" w:rsidP="003D53B2">
            <w:pPr>
              <w:widowControl w:val="0"/>
              <w:spacing w:after="0" w:line="240" w:lineRule="auto"/>
              <w:jc w:val="both"/>
              <w:rPr>
                <w:rFonts w:ascii="Times New Roman" w:eastAsia="宋体" w:hAnsi="Times New Roman" w:cs="Times New Roman"/>
                <w:kern w:val="2"/>
                <w:sz w:val="24"/>
                <w:szCs w:val="24"/>
                <w:lang w:val="en-US"/>
              </w:rPr>
            </w:pPr>
          </w:p>
        </w:tc>
        <w:tc>
          <w:tcPr>
            <w:tcW w:w="2694" w:type="dxa"/>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tcPr>
          <w:p w14:paraId="3254C57B" w14:textId="77777777" w:rsidR="00212F7E" w:rsidRPr="00E43090" w:rsidRDefault="00212F7E" w:rsidP="003D53B2">
            <w:pPr>
              <w:widowControl w:val="0"/>
              <w:spacing w:after="0" w:line="240" w:lineRule="auto"/>
              <w:jc w:val="center"/>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 xml:space="preserve">Derivation cohort </w:t>
            </w:r>
          </w:p>
          <w:p w14:paraId="7928D2B3" w14:textId="77777777" w:rsidR="00212F7E" w:rsidRPr="00E43090" w:rsidRDefault="00212F7E" w:rsidP="003D53B2">
            <w:pPr>
              <w:widowControl w:val="0"/>
              <w:spacing w:after="0" w:line="240" w:lineRule="auto"/>
              <w:jc w:val="center"/>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(n=1008)</w:t>
            </w:r>
          </w:p>
        </w:tc>
        <w:tc>
          <w:tcPr>
            <w:tcW w:w="2409" w:type="dxa"/>
            <w:tcBorders>
              <w:top w:val="single" w:sz="18" w:space="0" w:color="000000"/>
              <w:left w:val="nil"/>
              <w:bottom w:val="single" w:sz="8" w:space="0" w:color="000000"/>
              <w:right w:val="nil"/>
            </w:tcBorders>
            <w:shd w:val="clear" w:color="auto" w:fill="FFFFFF"/>
            <w:vAlign w:val="center"/>
          </w:tcPr>
          <w:p w14:paraId="2E28271F" w14:textId="77777777" w:rsidR="00212F7E" w:rsidRPr="00E43090" w:rsidRDefault="00212F7E" w:rsidP="003D53B2">
            <w:pPr>
              <w:widowControl w:val="0"/>
              <w:spacing w:after="0" w:line="240" w:lineRule="auto"/>
              <w:jc w:val="center"/>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 xml:space="preserve">New York cohort </w:t>
            </w:r>
          </w:p>
          <w:p w14:paraId="5571A11C" w14:textId="77777777" w:rsidR="00212F7E" w:rsidRPr="00E43090" w:rsidRDefault="00212F7E" w:rsidP="003D53B2">
            <w:pPr>
              <w:widowControl w:val="0"/>
              <w:spacing w:after="0" w:line="240" w:lineRule="auto"/>
              <w:jc w:val="center"/>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(n=5700)</w:t>
            </w:r>
          </w:p>
        </w:tc>
        <w:tc>
          <w:tcPr>
            <w:tcW w:w="552" w:type="dxa"/>
            <w:tcBorders>
              <w:top w:val="single" w:sz="18" w:space="0" w:color="000000"/>
              <w:left w:val="nil"/>
              <w:bottom w:val="single" w:sz="8" w:space="0" w:color="000000"/>
              <w:right w:val="nil"/>
            </w:tcBorders>
            <w:shd w:val="clear" w:color="auto" w:fill="FFFFFF"/>
          </w:tcPr>
          <w:p w14:paraId="033E88A4" w14:textId="77777777" w:rsidR="00212F7E" w:rsidRPr="00E43090" w:rsidRDefault="00212F7E" w:rsidP="003D53B2">
            <w:pPr>
              <w:widowControl w:val="0"/>
              <w:spacing w:after="0" w:line="240" w:lineRule="auto"/>
              <w:jc w:val="center"/>
              <w:rPr>
                <w:rFonts w:ascii="Times New Roman" w:eastAsia="宋体" w:hAnsi="Times New Roman" w:cs="Times New Roman"/>
                <w:bCs/>
                <w:color w:val="000000"/>
                <w:kern w:val="2"/>
                <w:sz w:val="24"/>
                <w:szCs w:val="24"/>
                <w:lang w:val="en-US"/>
              </w:rPr>
            </w:pPr>
          </w:p>
        </w:tc>
        <w:tc>
          <w:tcPr>
            <w:tcW w:w="1575" w:type="dxa"/>
            <w:tcBorders>
              <w:top w:val="single" w:sz="18" w:space="0" w:color="000000"/>
              <w:left w:val="nil"/>
              <w:bottom w:val="single" w:sz="8" w:space="0" w:color="000000"/>
              <w:right w:val="nil"/>
            </w:tcBorders>
            <w:shd w:val="clear" w:color="auto" w:fill="FFFFFF"/>
          </w:tcPr>
          <w:p w14:paraId="110CAA69"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Lombardy cohort (n=1591)</w:t>
            </w:r>
          </w:p>
        </w:tc>
      </w:tr>
      <w:tr w:rsidR="00212F7E" w:rsidRPr="00E43090" w14:paraId="13D64DAE" w14:textId="77777777" w:rsidTr="003D53B2">
        <w:tc>
          <w:tcPr>
            <w:tcW w:w="2973" w:type="dxa"/>
            <w:tcBorders>
              <w:top w:val="single" w:sz="8" w:space="0" w:color="000000"/>
              <w:left w:val="nil"/>
              <w:bottom w:val="nil"/>
              <w:right w:val="nil"/>
            </w:tcBorders>
            <w:shd w:val="clear" w:color="auto" w:fill="FFFFFF"/>
            <w:noWrap/>
            <w:tcMar>
              <w:top w:w="60" w:type="dxa"/>
              <w:left w:w="60" w:type="dxa"/>
              <w:bottom w:w="60" w:type="dxa"/>
              <w:right w:w="180" w:type="dxa"/>
            </w:tcMar>
            <w:vAlign w:val="center"/>
          </w:tcPr>
          <w:p w14:paraId="426BC6A6"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Age, years</w:t>
            </w:r>
          </w:p>
        </w:tc>
        <w:tc>
          <w:tcPr>
            <w:tcW w:w="2694" w:type="dxa"/>
            <w:tcBorders>
              <w:top w:val="single" w:sz="8" w:space="0" w:color="000000"/>
              <w:left w:val="nil"/>
              <w:bottom w:val="nil"/>
              <w:right w:val="nil"/>
            </w:tcBorders>
            <w:shd w:val="clear" w:color="auto" w:fill="FFFFFF"/>
            <w:noWrap/>
            <w:tcMar>
              <w:top w:w="60" w:type="dxa"/>
              <w:left w:w="180" w:type="dxa"/>
              <w:bottom w:w="60" w:type="dxa"/>
              <w:right w:w="180" w:type="dxa"/>
            </w:tcMar>
            <w:vAlign w:val="center"/>
          </w:tcPr>
          <w:p w14:paraId="3BB0A299"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
                <w:bCs/>
                <w:color w:val="000000"/>
                <w:kern w:val="2"/>
                <w:sz w:val="24"/>
                <w:szCs w:val="24"/>
                <w:lang w:val="en-US"/>
              </w:rPr>
              <w:t xml:space="preserve">      </w:t>
            </w:r>
            <w:r w:rsidRPr="00E43090">
              <w:rPr>
                <w:rFonts w:ascii="Times New Roman" w:eastAsia="宋体" w:hAnsi="Times New Roman" w:cs="Times New Roman"/>
                <w:bCs/>
                <w:color w:val="000000"/>
                <w:kern w:val="2"/>
                <w:sz w:val="24"/>
                <w:szCs w:val="24"/>
                <w:lang w:val="en-US"/>
              </w:rPr>
              <w:t>55 (44-65)</w:t>
            </w:r>
          </w:p>
        </w:tc>
        <w:tc>
          <w:tcPr>
            <w:tcW w:w="2409" w:type="dxa"/>
            <w:tcBorders>
              <w:top w:val="single" w:sz="8" w:space="0" w:color="000000"/>
              <w:left w:val="nil"/>
              <w:bottom w:val="nil"/>
              <w:right w:val="nil"/>
            </w:tcBorders>
            <w:shd w:val="clear" w:color="auto" w:fill="FFFFFF"/>
          </w:tcPr>
          <w:p w14:paraId="025AAEB0"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
                <w:bCs/>
                <w:color w:val="000000"/>
                <w:kern w:val="2"/>
                <w:sz w:val="24"/>
                <w:szCs w:val="24"/>
                <w:lang w:val="en-US"/>
              </w:rPr>
              <w:t xml:space="preserve">      </w:t>
            </w:r>
            <w:r w:rsidRPr="00E43090">
              <w:rPr>
                <w:rFonts w:ascii="Times New Roman" w:eastAsia="宋体" w:hAnsi="Times New Roman" w:cs="Times New Roman"/>
                <w:bCs/>
                <w:color w:val="000000"/>
                <w:kern w:val="2"/>
                <w:sz w:val="24"/>
                <w:szCs w:val="24"/>
                <w:lang w:val="en-US"/>
              </w:rPr>
              <w:t>63 (52-70)</w:t>
            </w:r>
          </w:p>
        </w:tc>
        <w:tc>
          <w:tcPr>
            <w:tcW w:w="552" w:type="dxa"/>
            <w:tcBorders>
              <w:top w:val="single" w:sz="8" w:space="0" w:color="000000"/>
              <w:left w:val="nil"/>
              <w:bottom w:val="nil"/>
              <w:right w:val="nil"/>
            </w:tcBorders>
            <w:shd w:val="clear" w:color="auto" w:fill="FFFFFF"/>
          </w:tcPr>
          <w:p w14:paraId="6BEC4703" w14:textId="77777777" w:rsidR="00212F7E" w:rsidRPr="00E43090" w:rsidRDefault="00212F7E" w:rsidP="003D53B2">
            <w:pPr>
              <w:widowControl w:val="0"/>
              <w:spacing w:after="0" w:line="240" w:lineRule="auto"/>
              <w:jc w:val="both"/>
              <w:rPr>
                <w:rFonts w:ascii="Times New Roman" w:eastAsia="宋体" w:hAnsi="Times New Roman" w:cs="Times New Roman"/>
                <w:b/>
                <w:bCs/>
                <w:color w:val="000000"/>
                <w:kern w:val="2"/>
                <w:sz w:val="24"/>
                <w:szCs w:val="24"/>
                <w:lang w:val="en-US"/>
              </w:rPr>
            </w:pPr>
          </w:p>
        </w:tc>
        <w:tc>
          <w:tcPr>
            <w:tcW w:w="1575" w:type="dxa"/>
            <w:tcBorders>
              <w:top w:val="single" w:sz="8" w:space="0" w:color="000000"/>
              <w:left w:val="nil"/>
              <w:bottom w:val="nil"/>
              <w:right w:val="nil"/>
            </w:tcBorders>
            <w:shd w:val="clear" w:color="auto" w:fill="FFFFFF"/>
          </w:tcPr>
          <w:p w14:paraId="626D3D52"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63 (56-70)</w:t>
            </w:r>
          </w:p>
        </w:tc>
      </w:tr>
      <w:tr w:rsidR="00212F7E" w:rsidRPr="00E43090" w14:paraId="6D57A9E9" w14:textId="77777777" w:rsidTr="003D53B2">
        <w:tc>
          <w:tcPr>
            <w:tcW w:w="2973" w:type="dxa"/>
            <w:tcBorders>
              <w:top w:val="nil"/>
              <w:left w:val="nil"/>
              <w:bottom w:val="nil"/>
              <w:right w:val="nil"/>
            </w:tcBorders>
            <w:shd w:val="clear" w:color="auto" w:fill="FFFFFF"/>
            <w:noWrap/>
            <w:tcMar>
              <w:top w:w="60" w:type="dxa"/>
              <w:left w:w="60" w:type="dxa"/>
              <w:bottom w:w="60" w:type="dxa"/>
              <w:right w:w="180" w:type="dxa"/>
            </w:tcMar>
            <w:vAlign w:val="center"/>
          </w:tcPr>
          <w:p w14:paraId="1F6ECC5A"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Sex, female</w:t>
            </w:r>
          </w:p>
        </w:tc>
        <w:tc>
          <w:tcPr>
            <w:tcW w:w="2694" w:type="dxa"/>
            <w:tcBorders>
              <w:top w:val="nil"/>
              <w:left w:val="nil"/>
              <w:bottom w:val="nil"/>
              <w:right w:val="nil"/>
            </w:tcBorders>
            <w:shd w:val="clear" w:color="auto" w:fill="FFFFFF"/>
            <w:noWrap/>
            <w:tcMar>
              <w:top w:w="60" w:type="dxa"/>
              <w:left w:w="180" w:type="dxa"/>
              <w:bottom w:w="60" w:type="dxa"/>
              <w:right w:w="180" w:type="dxa"/>
            </w:tcMar>
            <w:vAlign w:val="center"/>
          </w:tcPr>
          <w:p w14:paraId="78A25EC0"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 xml:space="preserve">      439 (43.6%)</w:t>
            </w:r>
          </w:p>
        </w:tc>
        <w:tc>
          <w:tcPr>
            <w:tcW w:w="2409" w:type="dxa"/>
            <w:tcBorders>
              <w:top w:val="nil"/>
              <w:left w:val="nil"/>
              <w:bottom w:val="nil"/>
              <w:right w:val="nil"/>
            </w:tcBorders>
            <w:shd w:val="clear" w:color="auto" w:fill="FFFFFF"/>
          </w:tcPr>
          <w:p w14:paraId="0819E596"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
                <w:bCs/>
                <w:color w:val="000000"/>
                <w:kern w:val="2"/>
                <w:sz w:val="24"/>
                <w:szCs w:val="24"/>
                <w:lang w:val="en-US"/>
              </w:rPr>
              <w:t xml:space="preserve">      </w:t>
            </w:r>
            <w:r w:rsidRPr="00E43090">
              <w:rPr>
                <w:rFonts w:ascii="Times New Roman" w:eastAsia="宋体" w:hAnsi="Times New Roman" w:cs="Times New Roman"/>
                <w:bCs/>
                <w:color w:val="000000"/>
                <w:kern w:val="2"/>
                <w:sz w:val="24"/>
                <w:szCs w:val="24"/>
                <w:lang w:val="en-US"/>
              </w:rPr>
              <w:t>2263 (39.7%)</w:t>
            </w:r>
          </w:p>
        </w:tc>
        <w:tc>
          <w:tcPr>
            <w:tcW w:w="552" w:type="dxa"/>
            <w:tcBorders>
              <w:top w:val="nil"/>
              <w:left w:val="nil"/>
              <w:bottom w:val="nil"/>
              <w:right w:val="nil"/>
            </w:tcBorders>
            <w:shd w:val="clear" w:color="auto" w:fill="FFFFFF"/>
          </w:tcPr>
          <w:p w14:paraId="64896C74" w14:textId="77777777" w:rsidR="00212F7E" w:rsidRPr="00E43090" w:rsidRDefault="00212F7E" w:rsidP="003D53B2">
            <w:pPr>
              <w:widowControl w:val="0"/>
              <w:spacing w:after="0" w:line="240" w:lineRule="auto"/>
              <w:jc w:val="both"/>
              <w:rPr>
                <w:rFonts w:ascii="Times New Roman" w:eastAsia="宋体" w:hAnsi="Times New Roman" w:cs="Times New Roman"/>
                <w:b/>
                <w:bCs/>
                <w:color w:val="000000"/>
                <w:kern w:val="2"/>
                <w:sz w:val="24"/>
                <w:szCs w:val="24"/>
                <w:lang w:val="en-US"/>
              </w:rPr>
            </w:pPr>
          </w:p>
        </w:tc>
        <w:tc>
          <w:tcPr>
            <w:tcW w:w="1575" w:type="dxa"/>
            <w:tcBorders>
              <w:top w:val="nil"/>
              <w:left w:val="nil"/>
              <w:bottom w:val="nil"/>
              <w:right w:val="nil"/>
            </w:tcBorders>
            <w:shd w:val="clear" w:color="auto" w:fill="FFFFFF"/>
          </w:tcPr>
          <w:p w14:paraId="07128A7E"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287 (18%)</w:t>
            </w:r>
          </w:p>
        </w:tc>
      </w:tr>
      <w:tr w:rsidR="00212F7E" w:rsidRPr="00E43090" w14:paraId="3E1A5201" w14:textId="77777777" w:rsidTr="003D53B2">
        <w:tc>
          <w:tcPr>
            <w:tcW w:w="2973" w:type="dxa"/>
            <w:tcBorders>
              <w:top w:val="nil"/>
              <w:left w:val="nil"/>
              <w:bottom w:val="nil"/>
              <w:right w:val="nil"/>
            </w:tcBorders>
            <w:shd w:val="clear" w:color="auto" w:fill="FFFFFF"/>
            <w:noWrap/>
            <w:tcMar>
              <w:top w:w="60" w:type="dxa"/>
              <w:left w:w="60" w:type="dxa"/>
              <w:bottom w:w="60" w:type="dxa"/>
              <w:right w:w="180" w:type="dxa"/>
            </w:tcMar>
            <w:vAlign w:val="center"/>
          </w:tcPr>
          <w:p w14:paraId="571E3AF1"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 xml:space="preserve">Hypertension </w:t>
            </w:r>
          </w:p>
        </w:tc>
        <w:tc>
          <w:tcPr>
            <w:tcW w:w="2694" w:type="dxa"/>
            <w:tcBorders>
              <w:top w:val="nil"/>
              <w:left w:val="nil"/>
              <w:bottom w:val="nil"/>
              <w:right w:val="nil"/>
            </w:tcBorders>
            <w:shd w:val="clear" w:color="auto" w:fill="FFFFFF"/>
            <w:noWrap/>
            <w:tcMar>
              <w:top w:w="60" w:type="dxa"/>
              <w:left w:w="180" w:type="dxa"/>
              <w:bottom w:w="60" w:type="dxa"/>
              <w:right w:w="180" w:type="dxa"/>
            </w:tcMar>
            <w:vAlign w:val="center"/>
          </w:tcPr>
          <w:p w14:paraId="3DC80D96" w14:textId="77777777" w:rsidR="00212F7E" w:rsidRPr="00E43090" w:rsidRDefault="00212F7E" w:rsidP="003D53B2">
            <w:pPr>
              <w:widowControl w:val="0"/>
              <w:spacing w:after="0" w:line="240" w:lineRule="auto"/>
              <w:ind w:firstLineChars="300" w:firstLine="720"/>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232 (23.0%)</w:t>
            </w:r>
          </w:p>
        </w:tc>
        <w:tc>
          <w:tcPr>
            <w:tcW w:w="2409" w:type="dxa"/>
            <w:tcBorders>
              <w:top w:val="nil"/>
              <w:left w:val="nil"/>
              <w:bottom w:val="nil"/>
              <w:right w:val="nil"/>
            </w:tcBorders>
            <w:shd w:val="clear" w:color="auto" w:fill="FFFFFF"/>
          </w:tcPr>
          <w:p w14:paraId="3EBE0BC2"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
                <w:bCs/>
                <w:color w:val="000000"/>
                <w:kern w:val="2"/>
                <w:sz w:val="24"/>
                <w:szCs w:val="24"/>
                <w:lang w:val="en-US"/>
              </w:rPr>
              <w:t xml:space="preserve">      </w:t>
            </w:r>
            <w:r w:rsidRPr="00E43090">
              <w:rPr>
                <w:rFonts w:ascii="Times New Roman" w:eastAsia="宋体" w:hAnsi="Times New Roman" w:cs="Times New Roman"/>
                <w:bCs/>
                <w:color w:val="000000"/>
                <w:kern w:val="2"/>
                <w:sz w:val="24"/>
                <w:szCs w:val="24"/>
                <w:lang w:val="en-US"/>
              </w:rPr>
              <w:t>3026 (56.6%)</w:t>
            </w:r>
          </w:p>
        </w:tc>
        <w:tc>
          <w:tcPr>
            <w:tcW w:w="552" w:type="dxa"/>
            <w:tcBorders>
              <w:top w:val="nil"/>
              <w:left w:val="nil"/>
              <w:bottom w:val="nil"/>
              <w:right w:val="nil"/>
            </w:tcBorders>
            <w:shd w:val="clear" w:color="auto" w:fill="FFFFFF"/>
          </w:tcPr>
          <w:p w14:paraId="1BD5EA45" w14:textId="77777777" w:rsidR="00212F7E" w:rsidRPr="00E43090" w:rsidRDefault="00212F7E" w:rsidP="003D53B2">
            <w:pPr>
              <w:widowControl w:val="0"/>
              <w:spacing w:after="0" w:line="240" w:lineRule="auto"/>
              <w:jc w:val="both"/>
              <w:rPr>
                <w:rFonts w:ascii="Times New Roman" w:eastAsia="宋体" w:hAnsi="Times New Roman" w:cs="Times New Roman"/>
                <w:b/>
                <w:bCs/>
                <w:color w:val="000000"/>
                <w:kern w:val="2"/>
                <w:sz w:val="24"/>
                <w:szCs w:val="24"/>
                <w:lang w:val="en-US"/>
              </w:rPr>
            </w:pPr>
          </w:p>
        </w:tc>
        <w:tc>
          <w:tcPr>
            <w:tcW w:w="1575" w:type="dxa"/>
            <w:tcBorders>
              <w:top w:val="nil"/>
              <w:left w:val="nil"/>
              <w:bottom w:val="nil"/>
              <w:right w:val="nil"/>
            </w:tcBorders>
            <w:shd w:val="clear" w:color="auto" w:fill="FFFFFF"/>
          </w:tcPr>
          <w:p w14:paraId="788915E8"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509 (49%)</w:t>
            </w:r>
          </w:p>
        </w:tc>
      </w:tr>
      <w:tr w:rsidR="00212F7E" w:rsidRPr="00E43090" w14:paraId="7F9ACC19" w14:textId="77777777" w:rsidTr="003D53B2">
        <w:tc>
          <w:tcPr>
            <w:tcW w:w="2973" w:type="dxa"/>
            <w:tcBorders>
              <w:top w:val="nil"/>
              <w:left w:val="nil"/>
              <w:bottom w:val="nil"/>
              <w:right w:val="nil"/>
            </w:tcBorders>
            <w:shd w:val="clear" w:color="auto" w:fill="FFFFFF"/>
            <w:noWrap/>
            <w:tcMar>
              <w:top w:w="60" w:type="dxa"/>
              <w:left w:w="60" w:type="dxa"/>
              <w:bottom w:w="60" w:type="dxa"/>
              <w:right w:w="180" w:type="dxa"/>
            </w:tcMar>
            <w:vAlign w:val="center"/>
          </w:tcPr>
          <w:p w14:paraId="12C8B96C"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Coronary heart disease</w:t>
            </w:r>
          </w:p>
        </w:tc>
        <w:tc>
          <w:tcPr>
            <w:tcW w:w="2694" w:type="dxa"/>
            <w:tcBorders>
              <w:top w:val="nil"/>
              <w:left w:val="nil"/>
              <w:bottom w:val="nil"/>
              <w:right w:val="nil"/>
            </w:tcBorders>
            <w:shd w:val="clear" w:color="auto" w:fill="FFFFFF"/>
            <w:noWrap/>
            <w:tcMar>
              <w:top w:w="60" w:type="dxa"/>
              <w:left w:w="180" w:type="dxa"/>
              <w:bottom w:w="60" w:type="dxa"/>
              <w:right w:w="180" w:type="dxa"/>
            </w:tcMar>
            <w:vAlign w:val="center"/>
          </w:tcPr>
          <w:p w14:paraId="397E1B88" w14:textId="77777777" w:rsidR="00212F7E" w:rsidRPr="00E43090" w:rsidRDefault="00212F7E" w:rsidP="003D53B2">
            <w:pPr>
              <w:widowControl w:val="0"/>
              <w:spacing w:after="0" w:line="240" w:lineRule="auto"/>
              <w:ind w:firstLineChars="300" w:firstLine="720"/>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32 (3.2%)</w:t>
            </w:r>
          </w:p>
        </w:tc>
        <w:tc>
          <w:tcPr>
            <w:tcW w:w="2409" w:type="dxa"/>
            <w:tcBorders>
              <w:top w:val="nil"/>
              <w:left w:val="nil"/>
              <w:bottom w:val="nil"/>
              <w:right w:val="nil"/>
            </w:tcBorders>
            <w:shd w:val="clear" w:color="auto" w:fill="FFFFFF"/>
          </w:tcPr>
          <w:p w14:paraId="35F30C32"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
                <w:bCs/>
                <w:color w:val="000000"/>
                <w:kern w:val="2"/>
                <w:sz w:val="24"/>
                <w:szCs w:val="24"/>
                <w:lang w:val="en-US"/>
              </w:rPr>
              <w:t xml:space="preserve">      </w:t>
            </w:r>
            <w:r w:rsidRPr="00E43090">
              <w:rPr>
                <w:rFonts w:ascii="Times New Roman" w:eastAsia="宋体" w:hAnsi="Times New Roman" w:cs="Times New Roman"/>
                <w:bCs/>
                <w:color w:val="000000"/>
                <w:kern w:val="2"/>
                <w:sz w:val="24"/>
                <w:szCs w:val="24"/>
                <w:lang w:val="en-US"/>
              </w:rPr>
              <w:t>595 (11.1%)</w:t>
            </w:r>
          </w:p>
        </w:tc>
        <w:tc>
          <w:tcPr>
            <w:tcW w:w="552" w:type="dxa"/>
            <w:tcBorders>
              <w:top w:val="nil"/>
              <w:left w:val="nil"/>
              <w:bottom w:val="nil"/>
              <w:right w:val="nil"/>
            </w:tcBorders>
            <w:shd w:val="clear" w:color="auto" w:fill="FFFFFF"/>
          </w:tcPr>
          <w:p w14:paraId="4827A132" w14:textId="77777777" w:rsidR="00212F7E" w:rsidRPr="00E43090" w:rsidRDefault="00212F7E" w:rsidP="003D53B2">
            <w:pPr>
              <w:widowControl w:val="0"/>
              <w:spacing w:after="0" w:line="240" w:lineRule="auto"/>
              <w:jc w:val="both"/>
              <w:rPr>
                <w:rFonts w:ascii="Times New Roman" w:eastAsia="宋体" w:hAnsi="Times New Roman" w:cs="Times New Roman"/>
                <w:b/>
                <w:bCs/>
                <w:color w:val="000000"/>
                <w:kern w:val="2"/>
                <w:sz w:val="24"/>
                <w:szCs w:val="24"/>
                <w:lang w:val="en-US"/>
              </w:rPr>
            </w:pPr>
          </w:p>
        </w:tc>
        <w:tc>
          <w:tcPr>
            <w:tcW w:w="1575" w:type="dxa"/>
            <w:tcBorders>
              <w:top w:val="nil"/>
              <w:left w:val="nil"/>
              <w:bottom w:val="nil"/>
              <w:right w:val="nil"/>
            </w:tcBorders>
            <w:shd w:val="clear" w:color="auto" w:fill="FFFFFF"/>
          </w:tcPr>
          <w:p w14:paraId="335FDC7F"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223 (21%)</w:t>
            </w:r>
          </w:p>
        </w:tc>
      </w:tr>
      <w:tr w:rsidR="00212F7E" w:rsidRPr="00E43090" w14:paraId="2914A95F" w14:textId="77777777" w:rsidTr="003D53B2">
        <w:tc>
          <w:tcPr>
            <w:tcW w:w="2973" w:type="dxa"/>
            <w:tcBorders>
              <w:top w:val="nil"/>
              <w:left w:val="nil"/>
              <w:bottom w:val="nil"/>
              <w:right w:val="nil"/>
            </w:tcBorders>
            <w:shd w:val="clear" w:color="auto" w:fill="FFFFFF"/>
            <w:noWrap/>
            <w:tcMar>
              <w:top w:w="60" w:type="dxa"/>
              <w:left w:w="60" w:type="dxa"/>
              <w:bottom w:w="60" w:type="dxa"/>
              <w:right w:w="180" w:type="dxa"/>
            </w:tcMar>
            <w:vAlign w:val="center"/>
          </w:tcPr>
          <w:p w14:paraId="7094E4B9"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 xml:space="preserve">Diabetes </w:t>
            </w:r>
          </w:p>
        </w:tc>
        <w:tc>
          <w:tcPr>
            <w:tcW w:w="2694" w:type="dxa"/>
            <w:tcBorders>
              <w:top w:val="nil"/>
              <w:left w:val="nil"/>
              <w:bottom w:val="nil"/>
              <w:right w:val="nil"/>
            </w:tcBorders>
            <w:shd w:val="clear" w:color="auto" w:fill="FFFFFF"/>
            <w:noWrap/>
            <w:tcMar>
              <w:top w:w="60" w:type="dxa"/>
              <w:left w:w="180" w:type="dxa"/>
              <w:bottom w:w="60" w:type="dxa"/>
              <w:right w:w="180" w:type="dxa"/>
            </w:tcMar>
            <w:vAlign w:val="center"/>
          </w:tcPr>
          <w:p w14:paraId="1B1780F9"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
                <w:bCs/>
                <w:color w:val="000000"/>
                <w:kern w:val="2"/>
                <w:sz w:val="24"/>
                <w:szCs w:val="24"/>
                <w:lang w:val="en-US"/>
              </w:rPr>
              <w:t xml:space="preserve">      </w:t>
            </w:r>
            <w:r w:rsidRPr="00E43090">
              <w:rPr>
                <w:rFonts w:ascii="Times New Roman" w:eastAsia="宋体" w:hAnsi="Times New Roman" w:cs="Times New Roman"/>
                <w:bCs/>
                <w:color w:val="000000"/>
                <w:kern w:val="2"/>
                <w:sz w:val="24"/>
                <w:szCs w:val="24"/>
                <w:lang w:val="en-US"/>
              </w:rPr>
              <w:t>110 (10.9%)</w:t>
            </w:r>
          </w:p>
        </w:tc>
        <w:tc>
          <w:tcPr>
            <w:tcW w:w="2409" w:type="dxa"/>
            <w:tcBorders>
              <w:top w:val="nil"/>
              <w:left w:val="nil"/>
              <w:bottom w:val="nil"/>
              <w:right w:val="nil"/>
            </w:tcBorders>
            <w:shd w:val="clear" w:color="auto" w:fill="FFFFFF"/>
          </w:tcPr>
          <w:p w14:paraId="6FBB9C5B"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 xml:space="preserve">      1808 (33.8%)</w:t>
            </w:r>
          </w:p>
        </w:tc>
        <w:tc>
          <w:tcPr>
            <w:tcW w:w="552" w:type="dxa"/>
            <w:tcBorders>
              <w:top w:val="nil"/>
              <w:left w:val="nil"/>
              <w:bottom w:val="nil"/>
              <w:right w:val="nil"/>
            </w:tcBorders>
            <w:shd w:val="clear" w:color="auto" w:fill="FFFFFF"/>
          </w:tcPr>
          <w:p w14:paraId="0B6A4F57"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p>
        </w:tc>
        <w:tc>
          <w:tcPr>
            <w:tcW w:w="1575" w:type="dxa"/>
            <w:tcBorders>
              <w:top w:val="nil"/>
              <w:left w:val="nil"/>
              <w:bottom w:val="nil"/>
              <w:right w:val="nil"/>
            </w:tcBorders>
            <w:shd w:val="clear" w:color="auto" w:fill="FFFFFF"/>
          </w:tcPr>
          <w:p w14:paraId="08726EE3"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180 (17%)</w:t>
            </w:r>
          </w:p>
        </w:tc>
      </w:tr>
      <w:tr w:rsidR="00212F7E" w:rsidRPr="00E43090" w14:paraId="126F0B5D" w14:textId="77777777" w:rsidTr="003D53B2">
        <w:tc>
          <w:tcPr>
            <w:tcW w:w="2973" w:type="dxa"/>
            <w:tcBorders>
              <w:top w:val="nil"/>
              <w:left w:val="nil"/>
              <w:bottom w:val="single" w:sz="18" w:space="0" w:color="000000"/>
              <w:right w:val="nil"/>
            </w:tcBorders>
            <w:shd w:val="clear" w:color="auto" w:fill="FFFFFF"/>
            <w:noWrap/>
            <w:tcMar>
              <w:top w:w="60" w:type="dxa"/>
              <w:left w:w="60" w:type="dxa"/>
              <w:bottom w:w="60" w:type="dxa"/>
              <w:right w:w="180" w:type="dxa"/>
            </w:tcMar>
            <w:vAlign w:val="center"/>
          </w:tcPr>
          <w:p w14:paraId="18B2701D"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 xml:space="preserve">Malignancy  </w:t>
            </w:r>
          </w:p>
        </w:tc>
        <w:tc>
          <w:tcPr>
            <w:tcW w:w="2694" w:type="dxa"/>
            <w:tcBorders>
              <w:top w:val="nil"/>
              <w:left w:val="nil"/>
              <w:bottom w:val="single" w:sz="18" w:space="0" w:color="000000"/>
              <w:right w:val="nil"/>
            </w:tcBorders>
            <w:shd w:val="clear" w:color="auto" w:fill="FFFFFF"/>
            <w:noWrap/>
            <w:tcMar>
              <w:top w:w="60" w:type="dxa"/>
              <w:left w:w="180" w:type="dxa"/>
              <w:bottom w:w="60" w:type="dxa"/>
              <w:right w:w="180" w:type="dxa"/>
            </w:tcMar>
            <w:vAlign w:val="center"/>
          </w:tcPr>
          <w:p w14:paraId="1083D0C5" w14:textId="77777777" w:rsidR="00212F7E" w:rsidRPr="00E43090" w:rsidRDefault="00212F7E" w:rsidP="003D53B2">
            <w:pPr>
              <w:widowControl w:val="0"/>
              <w:spacing w:after="0" w:line="240" w:lineRule="auto"/>
              <w:ind w:firstLineChars="300" w:firstLine="720"/>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31 (3.1%)</w:t>
            </w:r>
          </w:p>
        </w:tc>
        <w:tc>
          <w:tcPr>
            <w:tcW w:w="2409" w:type="dxa"/>
            <w:tcBorders>
              <w:top w:val="nil"/>
              <w:left w:val="nil"/>
              <w:bottom w:val="single" w:sz="18" w:space="0" w:color="000000"/>
              <w:right w:val="nil"/>
            </w:tcBorders>
            <w:shd w:val="clear" w:color="auto" w:fill="FFFFFF"/>
          </w:tcPr>
          <w:p w14:paraId="2BECCCF1"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
                <w:bCs/>
                <w:color w:val="000000"/>
                <w:kern w:val="2"/>
                <w:sz w:val="24"/>
                <w:szCs w:val="24"/>
                <w:lang w:val="en-US"/>
              </w:rPr>
              <w:t xml:space="preserve">      </w:t>
            </w:r>
            <w:r w:rsidRPr="00E43090">
              <w:rPr>
                <w:rFonts w:ascii="Times New Roman" w:eastAsia="宋体" w:hAnsi="Times New Roman" w:cs="Times New Roman"/>
                <w:bCs/>
                <w:color w:val="000000"/>
                <w:kern w:val="2"/>
                <w:sz w:val="24"/>
                <w:szCs w:val="24"/>
                <w:lang w:val="en-US"/>
              </w:rPr>
              <w:t>320 (6%)</w:t>
            </w:r>
          </w:p>
        </w:tc>
        <w:tc>
          <w:tcPr>
            <w:tcW w:w="552" w:type="dxa"/>
            <w:tcBorders>
              <w:top w:val="nil"/>
              <w:left w:val="nil"/>
              <w:bottom w:val="single" w:sz="18" w:space="0" w:color="000000"/>
              <w:right w:val="nil"/>
            </w:tcBorders>
            <w:shd w:val="clear" w:color="auto" w:fill="FFFFFF"/>
          </w:tcPr>
          <w:p w14:paraId="367EF5F2" w14:textId="77777777" w:rsidR="00212F7E" w:rsidRPr="00E43090" w:rsidRDefault="00212F7E" w:rsidP="003D53B2">
            <w:pPr>
              <w:widowControl w:val="0"/>
              <w:spacing w:after="0" w:line="240" w:lineRule="auto"/>
              <w:jc w:val="both"/>
              <w:rPr>
                <w:rFonts w:ascii="Times New Roman" w:eastAsia="宋体" w:hAnsi="Times New Roman" w:cs="Times New Roman"/>
                <w:b/>
                <w:bCs/>
                <w:color w:val="000000"/>
                <w:kern w:val="2"/>
                <w:sz w:val="24"/>
                <w:szCs w:val="24"/>
                <w:lang w:val="en-US"/>
              </w:rPr>
            </w:pPr>
          </w:p>
        </w:tc>
        <w:tc>
          <w:tcPr>
            <w:tcW w:w="1575" w:type="dxa"/>
            <w:tcBorders>
              <w:top w:val="nil"/>
              <w:left w:val="nil"/>
              <w:bottom w:val="single" w:sz="18" w:space="0" w:color="000000"/>
              <w:right w:val="nil"/>
            </w:tcBorders>
            <w:shd w:val="clear" w:color="auto" w:fill="FFFFFF"/>
          </w:tcPr>
          <w:p w14:paraId="3FAE07D3" w14:textId="77777777" w:rsidR="00212F7E" w:rsidRPr="00E43090" w:rsidRDefault="00212F7E" w:rsidP="003D53B2">
            <w:pPr>
              <w:widowControl w:val="0"/>
              <w:spacing w:after="0" w:line="240" w:lineRule="auto"/>
              <w:jc w:val="both"/>
              <w:rPr>
                <w:rFonts w:ascii="Times New Roman" w:eastAsia="宋体" w:hAnsi="Times New Roman" w:cs="Times New Roman"/>
                <w:bCs/>
                <w:color w:val="000000"/>
                <w:kern w:val="2"/>
                <w:sz w:val="24"/>
                <w:szCs w:val="24"/>
                <w:lang w:val="en-US"/>
              </w:rPr>
            </w:pPr>
            <w:r w:rsidRPr="00E43090">
              <w:rPr>
                <w:rFonts w:ascii="Times New Roman" w:eastAsia="宋体" w:hAnsi="Times New Roman" w:cs="Times New Roman"/>
                <w:bCs/>
                <w:color w:val="000000"/>
                <w:kern w:val="2"/>
                <w:sz w:val="24"/>
                <w:szCs w:val="24"/>
                <w:lang w:val="en-US"/>
              </w:rPr>
              <w:t>81 (8%)</w:t>
            </w:r>
          </w:p>
        </w:tc>
      </w:tr>
    </w:tbl>
    <w:p w14:paraId="49139CDE" w14:textId="77777777" w:rsidR="00212F7E" w:rsidRDefault="00212F7E" w:rsidP="00212F7E">
      <w:pPr>
        <w:autoSpaceDE w:val="0"/>
        <w:autoSpaceDN w:val="0"/>
        <w:adjustRightInd w:val="0"/>
        <w:spacing w:line="480" w:lineRule="auto"/>
        <w:rPr>
          <w:rFonts w:ascii="Times New Roman" w:hAnsi="Times New Roman" w:cs="Times New Roman"/>
          <w:b/>
          <w:sz w:val="24"/>
          <w:szCs w:val="24"/>
        </w:rPr>
      </w:pPr>
    </w:p>
    <w:p w14:paraId="1039A25B" w14:textId="3158568B" w:rsidR="00212F7E" w:rsidRPr="00C43D92" w:rsidRDefault="00212F7E" w:rsidP="00212F7E">
      <w:pPr>
        <w:spacing w:after="0" w:line="240" w:lineRule="auto"/>
        <w:rPr>
          <w:rFonts w:ascii="Times New Roman" w:hAnsi="Times New Roman" w:cs="Times New Roman" w:hint="eastAsia"/>
          <w:b/>
          <w:sz w:val="24"/>
          <w:szCs w:val="24"/>
        </w:rPr>
      </w:pPr>
      <w:r>
        <w:rPr>
          <w:rFonts w:ascii="Times New Roman" w:hAnsi="Times New Roman" w:cs="Times New Roman"/>
          <w:b/>
          <w:sz w:val="24"/>
          <w:szCs w:val="24"/>
        </w:rPr>
        <w:br w:type="page"/>
      </w:r>
    </w:p>
    <w:p w14:paraId="484ED6BF" w14:textId="77777777" w:rsidR="00212F7E" w:rsidRPr="00F656B0" w:rsidRDefault="00212F7E" w:rsidP="00212F7E">
      <w:pPr>
        <w:autoSpaceDE w:val="0"/>
        <w:autoSpaceDN w:val="0"/>
        <w:adjustRightInd w:val="0"/>
        <w:spacing w:line="480" w:lineRule="auto"/>
        <w:rPr>
          <w:rFonts w:ascii="Times New Roman" w:hAnsi="Times New Roman" w:cs="Times New Roman"/>
          <w:b/>
          <w:sz w:val="24"/>
          <w:szCs w:val="24"/>
        </w:rPr>
      </w:pPr>
      <w:r w:rsidRPr="00F656B0">
        <w:rPr>
          <w:rFonts w:ascii="Times New Roman" w:hAnsi="Times New Roman" w:cs="Times New Roman"/>
          <w:b/>
          <w:sz w:val="24"/>
          <w:szCs w:val="24"/>
        </w:rPr>
        <w:lastRenderedPageBreak/>
        <w:t>Table S4. “Baseline”</w:t>
      </w:r>
      <w:r w:rsidRPr="00F656B0">
        <w:rPr>
          <w:rFonts w:ascii="Times New Roman" w:eastAsia="等线" w:hAnsi="Times New Roman" w:cs="Times New Roman"/>
          <w:b/>
          <w:sz w:val="24"/>
          <w:szCs w:val="24"/>
        </w:rPr>
        <w:t>†</w:t>
      </w:r>
      <w:r w:rsidRPr="00F656B0">
        <w:rPr>
          <w:rFonts w:ascii="Times New Roman" w:hAnsi="Times New Roman" w:cs="Times New Roman"/>
          <w:b/>
          <w:sz w:val="24"/>
          <w:szCs w:val="24"/>
        </w:rPr>
        <w:t xml:space="preserve"> survival probability (New York</w:t>
      </w:r>
      <w:r>
        <w:rPr>
          <w:rFonts w:ascii="Times New Roman" w:hAnsi="Times New Roman" w:cs="Times New Roman"/>
          <w:b/>
          <w:sz w:val="24"/>
          <w:szCs w:val="24"/>
        </w:rPr>
        <w:t>, USA</w:t>
      </w:r>
      <w:r w:rsidRPr="00F656B0">
        <w:rPr>
          <w:rFonts w:ascii="Times New Roman" w:hAnsi="Times New Roman" w:cs="Times New Roman"/>
          <w:b/>
          <w:sz w:val="24"/>
          <w:szCs w:val="24"/>
        </w:rPr>
        <w:t>)</w:t>
      </w:r>
    </w:p>
    <w:tbl>
      <w:tblPr>
        <w:tblStyle w:val="ae"/>
        <w:tblW w:w="5000" w:type="pct"/>
        <w:tblLook w:val="04A0" w:firstRow="1" w:lastRow="0" w:firstColumn="1" w:lastColumn="0" w:noHBand="0" w:noVBand="1"/>
      </w:tblPr>
      <w:tblGrid>
        <w:gridCol w:w="1215"/>
        <w:gridCol w:w="3293"/>
        <w:gridCol w:w="1215"/>
        <w:gridCol w:w="3293"/>
      </w:tblGrid>
      <w:tr w:rsidR="00212F7E" w:rsidRPr="00705676" w14:paraId="034DF4A1" w14:textId="77777777" w:rsidTr="003D53B2">
        <w:tc>
          <w:tcPr>
            <w:tcW w:w="674" w:type="pct"/>
          </w:tcPr>
          <w:p w14:paraId="1391445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Day</w:t>
            </w:r>
          </w:p>
        </w:tc>
        <w:tc>
          <w:tcPr>
            <w:tcW w:w="1826" w:type="pct"/>
          </w:tcPr>
          <w:p w14:paraId="46F7871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Survival</w:t>
            </w:r>
          </w:p>
        </w:tc>
        <w:tc>
          <w:tcPr>
            <w:tcW w:w="674" w:type="pct"/>
          </w:tcPr>
          <w:p w14:paraId="21071E4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Day</w:t>
            </w:r>
          </w:p>
        </w:tc>
        <w:tc>
          <w:tcPr>
            <w:tcW w:w="1826" w:type="pct"/>
          </w:tcPr>
          <w:p w14:paraId="2921733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Survival</w:t>
            </w:r>
          </w:p>
        </w:tc>
      </w:tr>
      <w:tr w:rsidR="00212F7E" w:rsidRPr="00705676" w14:paraId="6B807FB3" w14:textId="77777777" w:rsidTr="003D53B2">
        <w:tc>
          <w:tcPr>
            <w:tcW w:w="674" w:type="pct"/>
          </w:tcPr>
          <w:p w14:paraId="60AE6A5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w:t>
            </w:r>
          </w:p>
        </w:tc>
        <w:tc>
          <w:tcPr>
            <w:tcW w:w="1826" w:type="pct"/>
            <w:vAlign w:val="center"/>
          </w:tcPr>
          <w:p w14:paraId="1E31E7F2"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99.67%</w:t>
            </w:r>
          </w:p>
        </w:tc>
        <w:tc>
          <w:tcPr>
            <w:tcW w:w="674" w:type="pct"/>
            <w:vAlign w:val="center"/>
          </w:tcPr>
          <w:p w14:paraId="7B9BE7B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16</w:t>
            </w:r>
          </w:p>
        </w:tc>
        <w:tc>
          <w:tcPr>
            <w:tcW w:w="1826" w:type="pct"/>
            <w:vAlign w:val="center"/>
          </w:tcPr>
          <w:p w14:paraId="2714FED2"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91.89%</w:t>
            </w:r>
          </w:p>
        </w:tc>
      </w:tr>
      <w:tr w:rsidR="00212F7E" w:rsidRPr="00705676" w14:paraId="6855D40E" w14:textId="77777777" w:rsidTr="003D53B2">
        <w:tc>
          <w:tcPr>
            <w:tcW w:w="674" w:type="pct"/>
          </w:tcPr>
          <w:p w14:paraId="3BAFE5D2"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2</w:t>
            </w:r>
          </w:p>
        </w:tc>
        <w:tc>
          <w:tcPr>
            <w:tcW w:w="1826" w:type="pct"/>
            <w:vAlign w:val="center"/>
          </w:tcPr>
          <w:p w14:paraId="6610836D"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99.05%</w:t>
            </w:r>
          </w:p>
        </w:tc>
        <w:tc>
          <w:tcPr>
            <w:tcW w:w="674" w:type="pct"/>
            <w:vAlign w:val="center"/>
          </w:tcPr>
          <w:p w14:paraId="228EDA2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17</w:t>
            </w:r>
          </w:p>
        </w:tc>
        <w:tc>
          <w:tcPr>
            <w:tcW w:w="1826" w:type="pct"/>
            <w:vAlign w:val="center"/>
          </w:tcPr>
          <w:p w14:paraId="5D53865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91.81%</w:t>
            </w:r>
          </w:p>
        </w:tc>
      </w:tr>
      <w:tr w:rsidR="00212F7E" w:rsidRPr="00705676" w14:paraId="03FDAB60" w14:textId="77777777" w:rsidTr="003D53B2">
        <w:tc>
          <w:tcPr>
            <w:tcW w:w="674" w:type="pct"/>
          </w:tcPr>
          <w:p w14:paraId="3FB5011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3</w:t>
            </w:r>
          </w:p>
        </w:tc>
        <w:tc>
          <w:tcPr>
            <w:tcW w:w="1826" w:type="pct"/>
            <w:vAlign w:val="center"/>
          </w:tcPr>
          <w:p w14:paraId="1DF8A22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98.67%</w:t>
            </w:r>
          </w:p>
        </w:tc>
        <w:tc>
          <w:tcPr>
            <w:tcW w:w="674" w:type="pct"/>
            <w:vAlign w:val="center"/>
          </w:tcPr>
          <w:p w14:paraId="6672A71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18</w:t>
            </w:r>
          </w:p>
        </w:tc>
        <w:tc>
          <w:tcPr>
            <w:tcW w:w="1826" w:type="pct"/>
            <w:vAlign w:val="center"/>
          </w:tcPr>
          <w:p w14:paraId="5780D1C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91.66%</w:t>
            </w:r>
          </w:p>
        </w:tc>
      </w:tr>
      <w:tr w:rsidR="00212F7E" w:rsidRPr="00705676" w14:paraId="5BCB3F0E" w14:textId="77777777" w:rsidTr="003D53B2">
        <w:tc>
          <w:tcPr>
            <w:tcW w:w="674" w:type="pct"/>
          </w:tcPr>
          <w:p w14:paraId="35A425B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4</w:t>
            </w:r>
          </w:p>
        </w:tc>
        <w:tc>
          <w:tcPr>
            <w:tcW w:w="1826" w:type="pct"/>
            <w:vAlign w:val="center"/>
          </w:tcPr>
          <w:p w14:paraId="7546CA6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97.96%</w:t>
            </w:r>
          </w:p>
        </w:tc>
        <w:tc>
          <w:tcPr>
            <w:tcW w:w="674" w:type="pct"/>
            <w:vAlign w:val="center"/>
          </w:tcPr>
          <w:p w14:paraId="37CF6F64"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19</w:t>
            </w:r>
          </w:p>
        </w:tc>
        <w:tc>
          <w:tcPr>
            <w:tcW w:w="1826" w:type="pct"/>
            <w:vAlign w:val="center"/>
          </w:tcPr>
          <w:p w14:paraId="2BF11BFB"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90.98%</w:t>
            </w:r>
          </w:p>
        </w:tc>
      </w:tr>
      <w:tr w:rsidR="00212F7E" w:rsidRPr="00705676" w14:paraId="70E5E242" w14:textId="77777777" w:rsidTr="003D53B2">
        <w:tc>
          <w:tcPr>
            <w:tcW w:w="674" w:type="pct"/>
          </w:tcPr>
          <w:p w14:paraId="1F3ED1E2"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5</w:t>
            </w:r>
          </w:p>
        </w:tc>
        <w:tc>
          <w:tcPr>
            <w:tcW w:w="1826" w:type="pct"/>
            <w:vAlign w:val="center"/>
          </w:tcPr>
          <w:p w14:paraId="48067DC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97.58%</w:t>
            </w:r>
          </w:p>
        </w:tc>
        <w:tc>
          <w:tcPr>
            <w:tcW w:w="674" w:type="pct"/>
            <w:vAlign w:val="center"/>
          </w:tcPr>
          <w:p w14:paraId="3C1326D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20</w:t>
            </w:r>
          </w:p>
        </w:tc>
        <w:tc>
          <w:tcPr>
            <w:tcW w:w="1826" w:type="pct"/>
            <w:vAlign w:val="center"/>
          </w:tcPr>
          <w:p w14:paraId="45C6A64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90.52%</w:t>
            </w:r>
          </w:p>
        </w:tc>
      </w:tr>
      <w:tr w:rsidR="00212F7E" w:rsidRPr="00705676" w14:paraId="16635FBB" w14:textId="77777777" w:rsidTr="003D53B2">
        <w:tc>
          <w:tcPr>
            <w:tcW w:w="674" w:type="pct"/>
          </w:tcPr>
          <w:p w14:paraId="3E25F07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6</w:t>
            </w:r>
          </w:p>
        </w:tc>
        <w:tc>
          <w:tcPr>
            <w:tcW w:w="1826" w:type="pct"/>
            <w:vAlign w:val="center"/>
          </w:tcPr>
          <w:p w14:paraId="5086F40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96.69%</w:t>
            </w:r>
          </w:p>
        </w:tc>
        <w:tc>
          <w:tcPr>
            <w:tcW w:w="674" w:type="pct"/>
            <w:vAlign w:val="center"/>
          </w:tcPr>
          <w:p w14:paraId="644D62F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21</w:t>
            </w:r>
          </w:p>
        </w:tc>
        <w:tc>
          <w:tcPr>
            <w:tcW w:w="1826" w:type="pct"/>
            <w:vAlign w:val="center"/>
          </w:tcPr>
          <w:p w14:paraId="07DBCD6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90.06%</w:t>
            </w:r>
          </w:p>
        </w:tc>
      </w:tr>
      <w:tr w:rsidR="00212F7E" w:rsidRPr="00705676" w14:paraId="1C7E6A12" w14:textId="77777777" w:rsidTr="003D53B2">
        <w:tc>
          <w:tcPr>
            <w:tcW w:w="674" w:type="pct"/>
          </w:tcPr>
          <w:p w14:paraId="7D5C39B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7</w:t>
            </w:r>
          </w:p>
        </w:tc>
        <w:tc>
          <w:tcPr>
            <w:tcW w:w="1826" w:type="pct"/>
            <w:vAlign w:val="center"/>
          </w:tcPr>
          <w:p w14:paraId="561EDE79"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95.99%</w:t>
            </w:r>
          </w:p>
        </w:tc>
        <w:tc>
          <w:tcPr>
            <w:tcW w:w="674" w:type="pct"/>
            <w:vAlign w:val="center"/>
          </w:tcPr>
          <w:p w14:paraId="79499C6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22</w:t>
            </w:r>
          </w:p>
        </w:tc>
        <w:tc>
          <w:tcPr>
            <w:tcW w:w="1826" w:type="pct"/>
            <w:vAlign w:val="center"/>
          </w:tcPr>
          <w:p w14:paraId="1801EA1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89.55%</w:t>
            </w:r>
          </w:p>
        </w:tc>
      </w:tr>
      <w:tr w:rsidR="00212F7E" w:rsidRPr="00705676" w14:paraId="0C4C4A7E" w14:textId="77777777" w:rsidTr="003D53B2">
        <w:tc>
          <w:tcPr>
            <w:tcW w:w="674" w:type="pct"/>
          </w:tcPr>
          <w:p w14:paraId="38B7F5B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8</w:t>
            </w:r>
          </w:p>
        </w:tc>
        <w:tc>
          <w:tcPr>
            <w:tcW w:w="1826" w:type="pct"/>
            <w:vAlign w:val="center"/>
          </w:tcPr>
          <w:p w14:paraId="045ABB7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95.57%</w:t>
            </w:r>
          </w:p>
        </w:tc>
        <w:tc>
          <w:tcPr>
            <w:tcW w:w="674" w:type="pct"/>
            <w:vAlign w:val="center"/>
          </w:tcPr>
          <w:p w14:paraId="27D65E02"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23</w:t>
            </w:r>
          </w:p>
        </w:tc>
        <w:tc>
          <w:tcPr>
            <w:tcW w:w="1826" w:type="pct"/>
            <w:vAlign w:val="center"/>
          </w:tcPr>
          <w:p w14:paraId="65E138C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89.32%</w:t>
            </w:r>
          </w:p>
        </w:tc>
      </w:tr>
      <w:tr w:rsidR="00212F7E" w:rsidRPr="00705676" w14:paraId="12F829A2" w14:textId="77777777" w:rsidTr="003D53B2">
        <w:tc>
          <w:tcPr>
            <w:tcW w:w="674" w:type="pct"/>
          </w:tcPr>
          <w:p w14:paraId="65D2849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9</w:t>
            </w:r>
          </w:p>
        </w:tc>
        <w:tc>
          <w:tcPr>
            <w:tcW w:w="1826" w:type="pct"/>
            <w:vAlign w:val="center"/>
          </w:tcPr>
          <w:p w14:paraId="58354CE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95.18%</w:t>
            </w:r>
          </w:p>
        </w:tc>
        <w:tc>
          <w:tcPr>
            <w:tcW w:w="674" w:type="pct"/>
            <w:vAlign w:val="center"/>
          </w:tcPr>
          <w:p w14:paraId="0FD40EA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24</w:t>
            </w:r>
          </w:p>
        </w:tc>
        <w:tc>
          <w:tcPr>
            <w:tcW w:w="1826" w:type="pct"/>
            <w:vAlign w:val="center"/>
          </w:tcPr>
          <w:p w14:paraId="554353F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88.80%</w:t>
            </w:r>
          </w:p>
        </w:tc>
      </w:tr>
      <w:tr w:rsidR="00212F7E" w:rsidRPr="00705676" w14:paraId="1B44BB8D" w14:textId="77777777" w:rsidTr="003D53B2">
        <w:tc>
          <w:tcPr>
            <w:tcW w:w="674" w:type="pct"/>
          </w:tcPr>
          <w:p w14:paraId="5561E09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10</w:t>
            </w:r>
          </w:p>
        </w:tc>
        <w:tc>
          <w:tcPr>
            <w:tcW w:w="1826" w:type="pct"/>
            <w:vAlign w:val="center"/>
          </w:tcPr>
          <w:p w14:paraId="26F248F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94.60%</w:t>
            </w:r>
          </w:p>
        </w:tc>
        <w:tc>
          <w:tcPr>
            <w:tcW w:w="674" w:type="pct"/>
            <w:vAlign w:val="center"/>
          </w:tcPr>
          <w:p w14:paraId="37E6F1F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25</w:t>
            </w:r>
          </w:p>
        </w:tc>
        <w:tc>
          <w:tcPr>
            <w:tcW w:w="1826" w:type="pct"/>
            <w:vAlign w:val="center"/>
          </w:tcPr>
          <w:p w14:paraId="31DD8BB0"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88.76%</w:t>
            </w:r>
          </w:p>
        </w:tc>
      </w:tr>
      <w:tr w:rsidR="00212F7E" w:rsidRPr="00705676" w14:paraId="28B6D4C6" w14:textId="77777777" w:rsidTr="003D53B2">
        <w:tc>
          <w:tcPr>
            <w:tcW w:w="674" w:type="pct"/>
          </w:tcPr>
          <w:p w14:paraId="36DBD72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11</w:t>
            </w:r>
          </w:p>
        </w:tc>
        <w:tc>
          <w:tcPr>
            <w:tcW w:w="1826" w:type="pct"/>
            <w:vAlign w:val="center"/>
          </w:tcPr>
          <w:p w14:paraId="2ADADA1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93.96%</w:t>
            </w:r>
          </w:p>
        </w:tc>
        <w:tc>
          <w:tcPr>
            <w:tcW w:w="674" w:type="pct"/>
            <w:vAlign w:val="center"/>
          </w:tcPr>
          <w:p w14:paraId="28ECE6F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26</w:t>
            </w:r>
          </w:p>
        </w:tc>
        <w:tc>
          <w:tcPr>
            <w:tcW w:w="1826" w:type="pct"/>
            <w:vAlign w:val="center"/>
          </w:tcPr>
          <w:p w14:paraId="23665AD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88.74%</w:t>
            </w:r>
          </w:p>
        </w:tc>
      </w:tr>
      <w:tr w:rsidR="00212F7E" w:rsidRPr="00705676" w14:paraId="68CBD6C2" w14:textId="77777777" w:rsidTr="003D53B2">
        <w:tc>
          <w:tcPr>
            <w:tcW w:w="674" w:type="pct"/>
          </w:tcPr>
          <w:p w14:paraId="090D896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12</w:t>
            </w:r>
          </w:p>
        </w:tc>
        <w:tc>
          <w:tcPr>
            <w:tcW w:w="1826" w:type="pct"/>
            <w:vAlign w:val="center"/>
          </w:tcPr>
          <w:p w14:paraId="675CBCE2"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93.48%</w:t>
            </w:r>
          </w:p>
        </w:tc>
        <w:tc>
          <w:tcPr>
            <w:tcW w:w="674" w:type="pct"/>
            <w:vAlign w:val="center"/>
          </w:tcPr>
          <w:p w14:paraId="6BC7181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27</w:t>
            </w:r>
          </w:p>
        </w:tc>
        <w:tc>
          <w:tcPr>
            <w:tcW w:w="1826" w:type="pct"/>
            <w:vAlign w:val="center"/>
          </w:tcPr>
          <w:p w14:paraId="4FF4436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88.71%</w:t>
            </w:r>
          </w:p>
        </w:tc>
      </w:tr>
      <w:tr w:rsidR="00212F7E" w:rsidRPr="00705676" w14:paraId="4320404A" w14:textId="77777777" w:rsidTr="003D53B2">
        <w:tc>
          <w:tcPr>
            <w:tcW w:w="674" w:type="pct"/>
          </w:tcPr>
          <w:p w14:paraId="6EFABDB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13</w:t>
            </w:r>
          </w:p>
        </w:tc>
        <w:tc>
          <w:tcPr>
            <w:tcW w:w="1826" w:type="pct"/>
            <w:vAlign w:val="center"/>
          </w:tcPr>
          <w:p w14:paraId="244D359B"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92.81%</w:t>
            </w:r>
          </w:p>
        </w:tc>
        <w:tc>
          <w:tcPr>
            <w:tcW w:w="674" w:type="pct"/>
            <w:vAlign w:val="center"/>
          </w:tcPr>
          <w:p w14:paraId="410E353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28</w:t>
            </w:r>
          </w:p>
        </w:tc>
        <w:tc>
          <w:tcPr>
            <w:tcW w:w="1826" w:type="pct"/>
            <w:vAlign w:val="center"/>
          </w:tcPr>
          <w:p w14:paraId="591CDB9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88.64%</w:t>
            </w:r>
          </w:p>
        </w:tc>
      </w:tr>
      <w:tr w:rsidR="00212F7E" w:rsidRPr="00705676" w14:paraId="5D4E2248" w14:textId="77777777" w:rsidTr="003D53B2">
        <w:tc>
          <w:tcPr>
            <w:tcW w:w="674" w:type="pct"/>
          </w:tcPr>
          <w:p w14:paraId="474F1EF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14</w:t>
            </w:r>
          </w:p>
        </w:tc>
        <w:tc>
          <w:tcPr>
            <w:tcW w:w="1826" w:type="pct"/>
            <w:vAlign w:val="center"/>
          </w:tcPr>
          <w:p w14:paraId="4163B98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92.64%</w:t>
            </w:r>
          </w:p>
        </w:tc>
        <w:tc>
          <w:tcPr>
            <w:tcW w:w="674" w:type="pct"/>
            <w:vAlign w:val="center"/>
          </w:tcPr>
          <w:p w14:paraId="29D15B0B"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29</w:t>
            </w:r>
          </w:p>
        </w:tc>
        <w:tc>
          <w:tcPr>
            <w:tcW w:w="1826" w:type="pct"/>
            <w:vAlign w:val="center"/>
          </w:tcPr>
          <w:p w14:paraId="5F9E772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88.28%</w:t>
            </w:r>
          </w:p>
        </w:tc>
      </w:tr>
      <w:tr w:rsidR="00212F7E" w:rsidRPr="00705676" w14:paraId="25EDAA56" w14:textId="77777777" w:rsidTr="003D53B2">
        <w:tc>
          <w:tcPr>
            <w:tcW w:w="674" w:type="pct"/>
          </w:tcPr>
          <w:p w14:paraId="1985FB7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15</w:t>
            </w:r>
          </w:p>
        </w:tc>
        <w:tc>
          <w:tcPr>
            <w:tcW w:w="1826" w:type="pct"/>
            <w:vAlign w:val="center"/>
          </w:tcPr>
          <w:p w14:paraId="440C35B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91.99%</w:t>
            </w:r>
          </w:p>
        </w:tc>
        <w:tc>
          <w:tcPr>
            <w:tcW w:w="674" w:type="pct"/>
            <w:vAlign w:val="center"/>
          </w:tcPr>
          <w:p w14:paraId="23752CC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30</w:t>
            </w:r>
          </w:p>
        </w:tc>
        <w:tc>
          <w:tcPr>
            <w:tcW w:w="1826" w:type="pct"/>
            <w:vAlign w:val="center"/>
          </w:tcPr>
          <w:p w14:paraId="6144C2A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88.06%</w:t>
            </w:r>
          </w:p>
        </w:tc>
      </w:tr>
    </w:tbl>
    <w:p w14:paraId="29AC7B43" w14:textId="77777777" w:rsidR="00212F7E" w:rsidRPr="00705676" w:rsidRDefault="00212F7E" w:rsidP="00212F7E">
      <w:pPr>
        <w:autoSpaceDE w:val="0"/>
        <w:autoSpaceDN w:val="0"/>
        <w:adjustRightInd w:val="0"/>
        <w:spacing w:line="48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 xml:space="preserve">† this baseline refers to an “average” patient with PI </w:t>
      </w:r>
      <w:r>
        <w:rPr>
          <w:rFonts w:ascii="Times New Roman" w:eastAsia="等线" w:hAnsi="Times New Roman" w:cs="Times New Roman"/>
          <w:sz w:val="24"/>
          <w:szCs w:val="24"/>
        </w:rPr>
        <w:t>0.</w:t>
      </w:r>
      <w:r w:rsidRPr="00705676">
        <w:rPr>
          <w:rFonts w:ascii="Times New Roman" w:eastAsia="等线" w:hAnsi="Times New Roman" w:cs="Times New Roman"/>
          <w:sz w:val="24"/>
          <w:szCs w:val="24"/>
        </w:rPr>
        <w:t>566</w:t>
      </w:r>
      <w:r>
        <w:rPr>
          <w:rFonts w:ascii="Times New Roman" w:eastAsia="等线" w:hAnsi="Times New Roman" w:cs="Times New Roman"/>
          <w:sz w:val="24"/>
          <w:szCs w:val="24"/>
        </w:rPr>
        <w:t>2</w:t>
      </w:r>
      <w:r w:rsidRPr="00705676">
        <w:rPr>
          <w:rFonts w:ascii="Times New Roman" w:eastAsia="等线" w:hAnsi="Times New Roman" w:cs="Times New Roman"/>
          <w:sz w:val="24"/>
          <w:szCs w:val="24"/>
        </w:rPr>
        <w:t>.</w:t>
      </w:r>
    </w:p>
    <w:p w14:paraId="590180E5" w14:textId="77777777" w:rsidR="00212F7E" w:rsidRPr="00705676" w:rsidRDefault="00212F7E" w:rsidP="00212F7E">
      <w:pPr>
        <w:spacing w:after="0" w:line="240" w:lineRule="auto"/>
        <w:rPr>
          <w:rFonts w:ascii="Times New Roman" w:hAnsi="Times New Roman" w:cs="Times New Roman"/>
          <w:sz w:val="24"/>
          <w:szCs w:val="24"/>
        </w:rPr>
      </w:pPr>
      <w:r w:rsidRPr="00705676">
        <w:rPr>
          <w:rFonts w:ascii="Times New Roman" w:hAnsi="Times New Roman" w:cs="Times New Roman"/>
          <w:sz w:val="24"/>
          <w:szCs w:val="24"/>
        </w:rPr>
        <w:br w:type="page"/>
      </w:r>
    </w:p>
    <w:p w14:paraId="29BABCF1" w14:textId="77777777" w:rsidR="00212F7E" w:rsidRPr="00F656B0" w:rsidRDefault="00212F7E" w:rsidP="00212F7E">
      <w:pPr>
        <w:autoSpaceDE w:val="0"/>
        <w:autoSpaceDN w:val="0"/>
        <w:adjustRightInd w:val="0"/>
        <w:spacing w:line="480" w:lineRule="auto"/>
        <w:rPr>
          <w:rFonts w:ascii="Times New Roman" w:hAnsi="Times New Roman" w:cs="Times New Roman"/>
          <w:b/>
          <w:sz w:val="24"/>
          <w:szCs w:val="24"/>
        </w:rPr>
      </w:pPr>
      <w:r w:rsidRPr="00F656B0">
        <w:rPr>
          <w:rFonts w:ascii="Times New Roman" w:hAnsi="Times New Roman" w:cs="Times New Roman"/>
          <w:b/>
          <w:sz w:val="24"/>
          <w:szCs w:val="24"/>
        </w:rPr>
        <w:lastRenderedPageBreak/>
        <w:t>Table S5. “Baseline”</w:t>
      </w:r>
      <w:r w:rsidRPr="00F656B0">
        <w:rPr>
          <w:rFonts w:ascii="Times New Roman" w:eastAsia="等线" w:hAnsi="Times New Roman" w:cs="Times New Roman"/>
          <w:b/>
          <w:sz w:val="24"/>
          <w:szCs w:val="24"/>
        </w:rPr>
        <w:t>†</w:t>
      </w:r>
      <w:r w:rsidRPr="00F656B0">
        <w:rPr>
          <w:rFonts w:ascii="Times New Roman" w:hAnsi="Times New Roman" w:cs="Times New Roman"/>
          <w:b/>
          <w:sz w:val="24"/>
          <w:szCs w:val="24"/>
        </w:rPr>
        <w:t xml:space="preserve"> survival probability (Lombardy</w:t>
      </w:r>
      <w:r>
        <w:rPr>
          <w:rFonts w:ascii="Times New Roman" w:hAnsi="Times New Roman" w:cs="Times New Roman"/>
          <w:b/>
          <w:sz w:val="24"/>
          <w:szCs w:val="24"/>
        </w:rPr>
        <w:t>, Italy</w:t>
      </w:r>
      <w:r w:rsidRPr="00F656B0">
        <w:rPr>
          <w:rFonts w:ascii="Times New Roman" w:hAnsi="Times New Roman" w:cs="Times New Roman"/>
          <w:b/>
          <w:sz w:val="24"/>
          <w:szCs w:val="24"/>
        </w:rPr>
        <w:t>)</w:t>
      </w:r>
    </w:p>
    <w:tbl>
      <w:tblPr>
        <w:tblStyle w:val="ae"/>
        <w:tblW w:w="5000" w:type="pct"/>
        <w:tblLook w:val="04A0" w:firstRow="1" w:lastRow="0" w:firstColumn="1" w:lastColumn="0" w:noHBand="0" w:noVBand="1"/>
      </w:tblPr>
      <w:tblGrid>
        <w:gridCol w:w="1246"/>
        <w:gridCol w:w="3262"/>
        <w:gridCol w:w="1246"/>
        <w:gridCol w:w="3262"/>
      </w:tblGrid>
      <w:tr w:rsidR="00212F7E" w:rsidRPr="00705676" w14:paraId="73AEA20C" w14:textId="77777777" w:rsidTr="003D53B2">
        <w:tc>
          <w:tcPr>
            <w:tcW w:w="691" w:type="pct"/>
          </w:tcPr>
          <w:p w14:paraId="7BEF24A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Day</w:t>
            </w:r>
          </w:p>
        </w:tc>
        <w:tc>
          <w:tcPr>
            <w:tcW w:w="1809" w:type="pct"/>
          </w:tcPr>
          <w:p w14:paraId="205E9A0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Survival</w:t>
            </w:r>
          </w:p>
        </w:tc>
        <w:tc>
          <w:tcPr>
            <w:tcW w:w="691" w:type="pct"/>
          </w:tcPr>
          <w:p w14:paraId="6847B33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Day</w:t>
            </w:r>
          </w:p>
        </w:tc>
        <w:tc>
          <w:tcPr>
            <w:tcW w:w="1809" w:type="pct"/>
          </w:tcPr>
          <w:p w14:paraId="21B3396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Survival</w:t>
            </w:r>
          </w:p>
        </w:tc>
      </w:tr>
      <w:tr w:rsidR="00212F7E" w:rsidRPr="00705676" w14:paraId="083C2197" w14:textId="77777777" w:rsidTr="003D53B2">
        <w:tc>
          <w:tcPr>
            <w:tcW w:w="691" w:type="pct"/>
          </w:tcPr>
          <w:p w14:paraId="0D8BA0F2" w14:textId="77777777" w:rsidR="00212F7E" w:rsidRPr="00705676" w:rsidRDefault="00212F7E" w:rsidP="003D53B2">
            <w:pPr>
              <w:spacing w:after="0" w:line="240" w:lineRule="auto"/>
              <w:rPr>
                <w:rFonts w:ascii="Times New Roman" w:eastAsia="等线" w:hAnsi="Times New Roman" w:cs="Times New Roman"/>
                <w:sz w:val="24"/>
                <w:szCs w:val="24"/>
              </w:rPr>
            </w:pPr>
            <w:bookmarkStart w:id="3" w:name="_Hlk40097989"/>
            <w:r w:rsidRPr="00705676">
              <w:rPr>
                <w:rFonts w:ascii="Times New Roman" w:eastAsia="等线" w:hAnsi="Times New Roman" w:cs="Times New Roman"/>
                <w:sz w:val="24"/>
                <w:szCs w:val="24"/>
              </w:rPr>
              <w:t>1</w:t>
            </w:r>
          </w:p>
        </w:tc>
        <w:tc>
          <w:tcPr>
            <w:tcW w:w="1809" w:type="pct"/>
            <w:vAlign w:val="center"/>
          </w:tcPr>
          <w:p w14:paraId="40AA1DA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99.64%</w:t>
            </w:r>
          </w:p>
        </w:tc>
        <w:tc>
          <w:tcPr>
            <w:tcW w:w="691" w:type="pct"/>
            <w:vAlign w:val="center"/>
          </w:tcPr>
          <w:p w14:paraId="59419E2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16</w:t>
            </w:r>
          </w:p>
        </w:tc>
        <w:tc>
          <w:tcPr>
            <w:tcW w:w="1809" w:type="pct"/>
            <w:vAlign w:val="center"/>
          </w:tcPr>
          <w:p w14:paraId="455C7D3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92.52%</w:t>
            </w:r>
          </w:p>
        </w:tc>
      </w:tr>
      <w:tr w:rsidR="00212F7E" w:rsidRPr="00705676" w14:paraId="58FF4155" w14:textId="77777777" w:rsidTr="003D53B2">
        <w:tc>
          <w:tcPr>
            <w:tcW w:w="691" w:type="pct"/>
          </w:tcPr>
          <w:p w14:paraId="05E14E5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2</w:t>
            </w:r>
          </w:p>
        </w:tc>
        <w:tc>
          <w:tcPr>
            <w:tcW w:w="1809" w:type="pct"/>
            <w:vAlign w:val="center"/>
          </w:tcPr>
          <w:p w14:paraId="2F8700B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99.20%</w:t>
            </w:r>
          </w:p>
        </w:tc>
        <w:tc>
          <w:tcPr>
            <w:tcW w:w="691" w:type="pct"/>
            <w:vAlign w:val="center"/>
          </w:tcPr>
          <w:p w14:paraId="69339DF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17</w:t>
            </w:r>
          </w:p>
        </w:tc>
        <w:tc>
          <w:tcPr>
            <w:tcW w:w="1809" w:type="pct"/>
            <w:vAlign w:val="center"/>
          </w:tcPr>
          <w:p w14:paraId="7C40B22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92.41%</w:t>
            </w:r>
          </w:p>
        </w:tc>
      </w:tr>
      <w:tr w:rsidR="00212F7E" w:rsidRPr="00705676" w14:paraId="2D1D6789" w14:textId="77777777" w:rsidTr="003D53B2">
        <w:tc>
          <w:tcPr>
            <w:tcW w:w="691" w:type="pct"/>
          </w:tcPr>
          <w:p w14:paraId="537A388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3</w:t>
            </w:r>
          </w:p>
        </w:tc>
        <w:tc>
          <w:tcPr>
            <w:tcW w:w="1809" w:type="pct"/>
            <w:vAlign w:val="center"/>
          </w:tcPr>
          <w:p w14:paraId="12D6E33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98.82%</w:t>
            </w:r>
          </w:p>
        </w:tc>
        <w:tc>
          <w:tcPr>
            <w:tcW w:w="691" w:type="pct"/>
            <w:vAlign w:val="center"/>
          </w:tcPr>
          <w:p w14:paraId="58D8795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18</w:t>
            </w:r>
          </w:p>
        </w:tc>
        <w:tc>
          <w:tcPr>
            <w:tcW w:w="1809" w:type="pct"/>
            <w:vAlign w:val="center"/>
          </w:tcPr>
          <w:p w14:paraId="03B40B2D"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92.28%</w:t>
            </w:r>
          </w:p>
        </w:tc>
      </w:tr>
      <w:tr w:rsidR="00212F7E" w:rsidRPr="00705676" w14:paraId="7159F3F2" w14:textId="77777777" w:rsidTr="003D53B2">
        <w:tc>
          <w:tcPr>
            <w:tcW w:w="691" w:type="pct"/>
          </w:tcPr>
          <w:p w14:paraId="5C19B05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4</w:t>
            </w:r>
          </w:p>
        </w:tc>
        <w:tc>
          <w:tcPr>
            <w:tcW w:w="1809" w:type="pct"/>
            <w:vAlign w:val="center"/>
          </w:tcPr>
          <w:p w14:paraId="608F9F19"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98.18%</w:t>
            </w:r>
          </w:p>
        </w:tc>
        <w:tc>
          <w:tcPr>
            <w:tcW w:w="691" w:type="pct"/>
            <w:vAlign w:val="center"/>
          </w:tcPr>
          <w:p w14:paraId="00D76E95"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19</w:t>
            </w:r>
          </w:p>
        </w:tc>
        <w:tc>
          <w:tcPr>
            <w:tcW w:w="1809" w:type="pct"/>
            <w:vAlign w:val="center"/>
          </w:tcPr>
          <w:p w14:paraId="63B9FE34"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91.66%</w:t>
            </w:r>
          </w:p>
        </w:tc>
      </w:tr>
      <w:tr w:rsidR="00212F7E" w:rsidRPr="00705676" w14:paraId="21F6D539" w14:textId="77777777" w:rsidTr="003D53B2">
        <w:tc>
          <w:tcPr>
            <w:tcW w:w="691" w:type="pct"/>
          </w:tcPr>
          <w:p w14:paraId="22F0752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5</w:t>
            </w:r>
          </w:p>
        </w:tc>
        <w:tc>
          <w:tcPr>
            <w:tcW w:w="1809" w:type="pct"/>
            <w:vAlign w:val="center"/>
          </w:tcPr>
          <w:p w14:paraId="7DCB959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97.84%</w:t>
            </w:r>
          </w:p>
        </w:tc>
        <w:tc>
          <w:tcPr>
            <w:tcW w:w="691" w:type="pct"/>
            <w:vAlign w:val="center"/>
          </w:tcPr>
          <w:p w14:paraId="06377B3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20</w:t>
            </w:r>
          </w:p>
        </w:tc>
        <w:tc>
          <w:tcPr>
            <w:tcW w:w="1809" w:type="pct"/>
            <w:vAlign w:val="center"/>
          </w:tcPr>
          <w:p w14:paraId="197E6BB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91.40%</w:t>
            </w:r>
          </w:p>
        </w:tc>
      </w:tr>
      <w:tr w:rsidR="00212F7E" w:rsidRPr="00705676" w14:paraId="2B4B36CE" w14:textId="77777777" w:rsidTr="003D53B2">
        <w:tc>
          <w:tcPr>
            <w:tcW w:w="691" w:type="pct"/>
          </w:tcPr>
          <w:p w14:paraId="155EB6B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6</w:t>
            </w:r>
          </w:p>
        </w:tc>
        <w:tc>
          <w:tcPr>
            <w:tcW w:w="1809" w:type="pct"/>
            <w:vAlign w:val="center"/>
          </w:tcPr>
          <w:p w14:paraId="6D94372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97.23%</w:t>
            </w:r>
          </w:p>
        </w:tc>
        <w:tc>
          <w:tcPr>
            <w:tcW w:w="691" w:type="pct"/>
            <w:vAlign w:val="center"/>
          </w:tcPr>
          <w:p w14:paraId="6A141D7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21</w:t>
            </w:r>
          </w:p>
        </w:tc>
        <w:tc>
          <w:tcPr>
            <w:tcW w:w="1809" w:type="pct"/>
            <w:vAlign w:val="center"/>
          </w:tcPr>
          <w:p w14:paraId="20BA6F44"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91.28%</w:t>
            </w:r>
          </w:p>
        </w:tc>
      </w:tr>
      <w:tr w:rsidR="00212F7E" w:rsidRPr="00705676" w14:paraId="73C8840E" w14:textId="77777777" w:rsidTr="003D53B2">
        <w:tc>
          <w:tcPr>
            <w:tcW w:w="691" w:type="pct"/>
          </w:tcPr>
          <w:p w14:paraId="7F82520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7</w:t>
            </w:r>
          </w:p>
        </w:tc>
        <w:tc>
          <w:tcPr>
            <w:tcW w:w="1809" w:type="pct"/>
            <w:vAlign w:val="center"/>
          </w:tcPr>
          <w:p w14:paraId="4591C48A"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96.75%</w:t>
            </w:r>
          </w:p>
        </w:tc>
        <w:tc>
          <w:tcPr>
            <w:tcW w:w="691" w:type="pct"/>
            <w:vAlign w:val="center"/>
          </w:tcPr>
          <w:p w14:paraId="042DAE7D"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22</w:t>
            </w:r>
          </w:p>
        </w:tc>
        <w:tc>
          <w:tcPr>
            <w:tcW w:w="1809" w:type="pct"/>
            <w:vAlign w:val="center"/>
          </w:tcPr>
          <w:p w14:paraId="678BA86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90.49%</w:t>
            </w:r>
          </w:p>
        </w:tc>
      </w:tr>
      <w:tr w:rsidR="00212F7E" w:rsidRPr="00705676" w14:paraId="53734390" w14:textId="77777777" w:rsidTr="003D53B2">
        <w:tc>
          <w:tcPr>
            <w:tcW w:w="691" w:type="pct"/>
          </w:tcPr>
          <w:p w14:paraId="6E7F0AF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8</w:t>
            </w:r>
          </w:p>
        </w:tc>
        <w:tc>
          <w:tcPr>
            <w:tcW w:w="1809" w:type="pct"/>
            <w:vAlign w:val="center"/>
          </w:tcPr>
          <w:p w14:paraId="1AD4859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96.27%</w:t>
            </w:r>
          </w:p>
        </w:tc>
        <w:tc>
          <w:tcPr>
            <w:tcW w:w="691" w:type="pct"/>
            <w:vAlign w:val="center"/>
          </w:tcPr>
          <w:p w14:paraId="6614CB70"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23</w:t>
            </w:r>
          </w:p>
        </w:tc>
        <w:tc>
          <w:tcPr>
            <w:tcW w:w="1809" w:type="pct"/>
            <w:vAlign w:val="center"/>
          </w:tcPr>
          <w:p w14:paraId="46CD77A1"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90.18%</w:t>
            </w:r>
          </w:p>
        </w:tc>
      </w:tr>
      <w:tr w:rsidR="00212F7E" w:rsidRPr="00705676" w14:paraId="092BABFF" w14:textId="77777777" w:rsidTr="003D53B2">
        <w:tc>
          <w:tcPr>
            <w:tcW w:w="691" w:type="pct"/>
          </w:tcPr>
          <w:p w14:paraId="07F3D09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9</w:t>
            </w:r>
          </w:p>
        </w:tc>
        <w:tc>
          <w:tcPr>
            <w:tcW w:w="1809" w:type="pct"/>
            <w:vAlign w:val="center"/>
          </w:tcPr>
          <w:p w14:paraId="2F97070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95.98%</w:t>
            </w:r>
          </w:p>
        </w:tc>
        <w:tc>
          <w:tcPr>
            <w:tcW w:w="691" w:type="pct"/>
            <w:vAlign w:val="center"/>
          </w:tcPr>
          <w:p w14:paraId="4FF66CC4"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24</w:t>
            </w:r>
          </w:p>
        </w:tc>
        <w:tc>
          <w:tcPr>
            <w:tcW w:w="1809" w:type="pct"/>
            <w:vAlign w:val="center"/>
          </w:tcPr>
          <w:p w14:paraId="3BB77C6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89.89%</w:t>
            </w:r>
          </w:p>
        </w:tc>
      </w:tr>
      <w:tr w:rsidR="00212F7E" w:rsidRPr="00705676" w14:paraId="1D0BC93E" w14:textId="77777777" w:rsidTr="003D53B2">
        <w:tc>
          <w:tcPr>
            <w:tcW w:w="691" w:type="pct"/>
          </w:tcPr>
          <w:p w14:paraId="6B721ACB"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10</w:t>
            </w:r>
          </w:p>
        </w:tc>
        <w:tc>
          <w:tcPr>
            <w:tcW w:w="1809" w:type="pct"/>
            <w:vAlign w:val="center"/>
          </w:tcPr>
          <w:p w14:paraId="137AD0B0"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95.41%</w:t>
            </w:r>
          </w:p>
        </w:tc>
        <w:tc>
          <w:tcPr>
            <w:tcW w:w="691" w:type="pct"/>
            <w:vAlign w:val="center"/>
          </w:tcPr>
          <w:p w14:paraId="69A4BBFD"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25</w:t>
            </w:r>
          </w:p>
        </w:tc>
        <w:tc>
          <w:tcPr>
            <w:tcW w:w="1809" w:type="pct"/>
            <w:vAlign w:val="center"/>
          </w:tcPr>
          <w:p w14:paraId="6FCCC0C2"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89.87%</w:t>
            </w:r>
          </w:p>
        </w:tc>
      </w:tr>
      <w:tr w:rsidR="00212F7E" w:rsidRPr="00705676" w14:paraId="3495B140" w14:textId="77777777" w:rsidTr="003D53B2">
        <w:tc>
          <w:tcPr>
            <w:tcW w:w="691" w:type="pct"/>
          </w:tcPr>
          <w:p w14:paraId="6833FF40"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11</w:t>
            </w:r>
          </w:p>
        </w:tc>
        <w:tc>
          <w:tcPr>
            <w:tcW w:w="1809" w:type="pct"/>
            <w:vAlign w:val="center"/>
          </w:tcPr>
          <w:p w14:paraId="2DD42F24"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94.55%</w:t>
            </w:r>
          </w:p>
        </w:tc>
        <w:tc>
          <w:tcPr>
            <w:tcW w:w="691" w:type="pct"/>
            <w:vAlign w:val="center"/>
          </w:tcPr>
          <w:p w14:paraId="40213957"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26</w:t>
            </w:r>
          </w:p>
        </w:tc>
        <w:tc>
          <w:tcPr>
            <w:tcW w:w="1809" w:type="pct"/>
            <w:vAlign w:val="center"/>
          </w:tcPr>
          <w:p w14:paraId="55A1A07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89.84%</w:t>
            </w:r>
          </w:p>
        </w:tc>
      </w:tr>
      <w:tr w:rsidR="00212F7E" w:rsidRPr="00705676" w14:paraId="3FA445CC" w14:textId="77777777" w:rsidTr="003D53B2">
        <w:tc>
          <w:tcPr>
            <w:tcW w:w="691" w:type="pct"/>
          </w:tcPr>
          <w:p w14:paraId="6DBDAAA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12</w:t>
            </w:r>
          </w:p>
        </w:tc>
        <w:tc>
          <w:tcPr>
            <w:tcW w:w="1809" w:type="pct"/>
            <w:vAlign w:val="center"/>
          </w:tcPr>
          <w:p w14:paraId="2049CB8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94.06%</w:t>
            </w:r>
          </w:p>
        </w:tc>
        <w:tc>
          <w:tcPr>
            <w:tcW w:w="691" w:type="pct"/>
            <w:vAlign w:val="center"/>
          </w:tcPr>
          <w:p w14:paraId="4A11A653"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27</w:t>
            </w:r>
          </w:p>
        </w:tc>
        <w:tc>
          <w:tcPr>
            <w:tcW w:w="1809" w:type="pct"/>
            <w:vAlign w:val="center"/>
          </w:tcPr>
          <w:p w14:paraId="2226A56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89.79%</w:t>
            </w:r>
          </w:p>
        </w:tc>
      </w:tr>
      <w:tr w:rsidR="00212F7E" w:rsidRPr="00705676" w14:paraId="4B8E9BC6" w14:textId="77777777" w:rsidTr="003D53B2">
        <w:tc>
          <w:tcPr>
            <w:tcW w:w="691" w:type="pct"/>
          </w:tcPr>
          <w:p w14:paraId="1C1673B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13</w:t>
            </w:r>
          </w:p>
        </w:tc>
        <w:tc>
          <w:tcPr>
            <w:tcW w:w="1809" w:type="pct"/>
            <w:vAlign w:val="center"/>
          </w:tcPr>
          <w:p w14:paraId="2462B7D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93.61%</w:t>
            </w:r>
          </w:p>
        </w:tc>
        <w:tc>
          <w:tcPr>
            <w:tcW w:w="691" w:type="pct"/>
            <w:vAlign w:val="center"/>
          </w:tcPr>
          <w:p w14:paraId="7A342E1D"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28</w:t>
            </w:r>
          </w:p>
        </w:tc>
        <w:tc>
          <w:tcPr>
            <w:tcW w:w="1809" w:type="pct"/>
            <w:vAlign w:val="center"/>
          </w:tcPr>
          <w:p w14:paraId="3ED9FB68"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89.68%</w:t>
            </w:r>
          </w:p>
        </w:tc>
      </w:tr>
      <w:tr w:rsidR="00212F7E" w:rsidRPr="00705676" w14:paraId="7CC5A3D5" w14:textId="77777777" w:rsidTr="003D53B2">
        <w:tc>
          <w:tcPr>
            <w:tcW w:w="691" w:type="pct"/>
          </w:tcPr>
          <w:p w14:paraId="38FAD059"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14</w:t>
            </w:r>
          </w:p>
        </w:tc>
        <w:tc>
          <w:tcPr>
            <w:tcW w:w="1809" w:type="pct"/>
            <w:vAlign w:val="center"/>
          </w:tcPr>
          <w:p w14:paraId="0917C2D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93.18%</w:t>
            </w:r>
          </w:p>
        </w:tc>
        <w:tc>
          <w:tcPr>
            <w:tcW w:w="691" w:type="pct"/>
            <w:vAlign w:val="center"/>
          </w:tcPr>
          <w:p w14:paraId="6F9BA4F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29</w:t>
            </w:r>
          </w:p>
        </w:tc>
        <w:tc>
          <w:tcPr>
            <w:tcW w:w="1809" w:type="pct"/>
            <w:vAlign w:val="center"/>
          </w:tcPr>
          <w:p w14:paraId="4115CF7C"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89.56%</w:t>
            </w:r>
          </w:p>
        </w:tc>
      </w:tr>
      <w:tr w:rsidR="00212F7E" w:rsidRPr="00705676" w14:paraId="08E253BA" w14:textId="77777777" w:rsidTr="003D53B2">
        <w:tc>
          <w:tcPr>
            <w:tcW w:w="691" w:type="pct"/>
          </w:tcPr>
          <w:p w14:paraId="452B0FC6"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15</w:t>
            </w:r>
          </w:p>
        </w:tc>
        <w:tc>
          <w:tcPr>
            <w:tcW w:w="1809" w:type="pct"/>
            <w:vAlign w:val="center"/>
          </w:tcPr>
          <w:p w14:paraId="20090044"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92.64%</w:t>
            </w:r>
          </w:p>
        </w:tc>
        <w:tc>
          <w:tcPr>
            <w:tcW w:w="691" w:type="pct"/>
            <w:vAlign w:val="center"/>
          </w:tcPr>
          <w:p w14:paraId="145BE24F"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30</w:t>
            </w:r>
          </w:p>
        </w:tc>
        <w:tc>
          <w:tcPr>
            <w:tcW w:w="1809" w:type="pct"/>
            <w:vAlign w:val="center"/>
          </w:tcPr>
          <w:p w14:paraId="2405AD9E" w14:textId="77777777" w:rsidR="00212F7E" w:rsidRPr="00705676" w:rsidRDefault="00212F7E" w:rsidP="003D53B2">
            <w:pPr>
              <w:spacing w:after="0" w:line="240" w:lineRule="auto"/>
              <w:rPr>
                <w:rFonts w:ascii="Times New Roman" w:eastAsia="等线" w:hAnsi="Times New Roman" w:cs="Times New Roman"/>
                <w:sz w:val="24"/>
                <w:szCs w:val="24"/>
              </w:rPr>
            </w:pPr>
            <w:r w:rsidRPr="00705676">
              <w:rPr>
                <w:rFonts w:ascii="Times New Roman" w:eastAsia="等线" w:hAnsi="Times New Roman" w:cs="Times New Roman"/>
                <w:color w:val="000000"/>
                <w:sz w:val="24"/>
              </w:rPr>
              <w:t>89.28%</w:t>
            </w:r>
          </w:p>
        </w:tc>
      </w:tr>
    </w:tbl>
    <w:bookmarkEnd w:id="3"/>
    <w:p w14:paraId="6DB2CB6D" w14:textId="77777777" w:rsidR="00212F7E" w:rsidRPr="00705676" w:rsidRDefault="00212F7E" w:rsidP="00212F7E">
      <w:pPr>
        <w:autoSpaceDE w:val="0"/>
        <w:autoSpaceDN w:val="0"/>
        <w:adjustRightInd w:val="0"/>
        <w:spacing w:line="480" w:lineRule="auto"/>
        <w:rPr>
          <w:rFonts w:ascii="Times New Roman" w:eastAsia="等线" w:hAnsi="Times New Roman" w:cs="Times New Roman"/>
          <w:sz w:val="24"/>
          <w:szCs w:val="24"/>
        </w:rPr>
      </w:pPr>
      <w:r w:rsidRPr="00705676">
        <w:rPr>
          <w:rFonts w:ascii="Times New Roman" w:eastAsia="等线" w:hAnsi="Times New Roman" w:cs="Times New Roman"/>
          <w:sz w:val="24"/>
          <w:szCs w:val="24"/>
        </w:rPr>
        <w:t xml:space="preserve">† this baseline refers to an “average” patient with PI </w:t>
      </w:r>
      <w:r>
        <w:rPr>
          <w:rFonts w:ascii="Times New Roman" w:eastAsia="等线" w:hAnsi="Times New Roman" w:cs="Times New Roman"/>
          <w:sz w:val="24"/>
          <w:szCs w:val="24"/>
        </w:rPr>
        <w:t>0.</w:t>
      </w:r>
      <w:r w:rsidRPr="00705676">
        <w:rPr>
          <w:rFonts w:ascii="Times New Roman" w:eastAsia="等线" w:hAnsi="Times New Roman" w:cs="Times New Roman"/>
          <w:sz w:val="24"/>
          <w:szCs w:val="24"/>
        </w:rPr>
        <w:t>566</w:t>
      </w:r>
      <w:r>
        <w:rPr>
          <w:rFonts w:ascii="Times New Roman" w:eastAsia="等线" w:hAnsi="Times New Roman" w:cs="Times New Roman"/>
          <w:sz w:val="24"/>
          <w:szCs w:val="24"/>
        </w:rPr>
        <w:t>2</w:t>
      </w:r>
      <w:r w:rsidRPr="00705676">
        <w:rPr>
          <w:rFonts w:ascii="Times New Roman" w:eastAsia="等线" w:hAnsi="Times New Roman" w:cs="Times New Roman"/>
          <w:sz w:val="24"/>
          <w:szCs w:val="24"/>
        </w:rPr>
        <w:t>.</w:t>
      </w:r>
    </w:p>
    <w:p w14:paraId="7F331206" w14:textId="77777777" w:rsidR="00212F7E" w:rsidRPr="00E43090" w:rsidRDefault="00212F7E" w:rsidP="00212F7E">
      <w:pPr>
        <w:spacing w:after="0" w:line="240" w:lineRule="auto"/>
        <w:rPr>
          <w:rFonts w:ascii="Times New Roman" w:hAnsi="Times New Roman" w:cs="Times New Roman"/>
          <w:b/>
          <w:iCs/>
          <w:color w:val="000000" w:themeColor="text1"/>
          <w:sz w:val="24"/>
          <w:szCs w:val="24"/>
          <w:lang w:val="en-US"/>
        </w:rPr>
      </w:pPr>
      <w:r w:rsidRPr="00E43090">
        <w:rPr>
          <w:rFonts w:ascii="Times New Roman" w:hAnsi="Times New Roman" w:cs="Times New Roman"/>
          <w:b/>
          <w:i/>
          <w:color w:val="000000" w:themeColor="text1"/>
          <w:sz w:val="24"/>
          <w:szCs w:val="24"/>
        </w:rPr>
        <w:br w:type="page"/>
      </w:r>
    </w:p>
    <w:p w14:paraId="65477314" w14:textId="77777777" w:rsidR="00212F7E" w:rsidRPr="00E43090" w:rsidRDefault="00212F7E" w:rsidP="00212F7E">
      <w:pPr>
        <w:pStyle w:val="a4"/>
        <w:keepNext/>
        <w:rPr>
          <w:rFonts w:ascii="Times New Roman" w:hAnsi="Times New Roman" w:cs="Times New Roman"/>
          <w:b/>
          <w:i w:val="0"/>
          <w:color w:val="000000" w:themeColor="text1"/>
          <w:sz w:val="24"/>
          <w:szCs w:val="24"/>
        </w:rPr>
        <w:sectPr w:rsidR="00212F7E" w:rsidRPr="00E43090">
          <w:headerReference w:type="default" r:id="rId8"/>
          <w:pgSz w:w="11906" w:h="16838"/>
          <w:pgMar w:top="1440" w:right="1440" w:bottom="1440" w:left="1440" w:header="708" w:footer="708" w:gutter="0"/>
          <w:cols w:space="708"/>
          <w:docGrid w:type="lines" w:linePitch="312"/>
        </w:sectPr>
      </w:pPr>
    </w:p>
    <w:p w14:paraId="0116ACB2" w14:textId="77777777" w:rsidR="00212F7E" w:rsidRPr="00E43090" w:rsidRDefault="00212F7E" w:rsidP="00212F7E">
      <w:pPr>
        <w:pStyle w:val="a4"/>
        <w:keepNext/>
        <w:rPr>
          <w:rFonts w:ascii="Times New Roman" w:hAnsi="Times New Roman" w:cs="Times New Roman"/>
          <w:b/>
          <w:i w:val="0"/>
          <w:color w:val="000000" w:themeColor="text1"/>
          <w:sz w:val="24"/>
          <w:szCs w:val="24"/>
        </w:rPr>
      </w:pPr>
      <w:r w:rsidRPr="00E43090">
        <w:rPr>
          <w:rFonts w:ascii="Times New Roman" w:hAnsi="Times New Roman" w:cs="Times New Roman"/>
          <w:b/>
          <w:i w:val="0"/>
          <w:color w:val="000000" w:themeColor="text1"/>
          <w:sz w:val="24"/>
          <w:szCs w:val="24"/>
        </w:rPr>
        <w:lastRenderedPageBreak/>
        <w:t xml:space="preserve">Table </w:t>
      </w:r>
      <w:r>
        <w:rPr>
          <w:rFonts w:ascii="Times New Roman" w:hAnsi="Times New Roman" w:cs="Times New Roman"/>
          <w:b/>
          <w:i w:val="0"/>
          <w:color w:val="000000" w:themeColor="text1"/>
          <w:sz w:val="24"/>
          <w:szCs w:val="24"/>
        </w:rPr>
        <w:t>S6</w:t>
      </w:r>
      <w:r w:rsidRPr="00E43090">
        <w:rPr>
          <w:rFonts w:ascii="Times New Roman" w:hAnsi="Times New Roman" w:cs="Times New Roman"/>
          <w:b/>
          <w:i w:val="0"/>
          <w:color w:val="000000" w:themeColor="text1"/>
          <w:sz w:val="24"/>
          <w:szCs w:val="24"/>
        </w:rPr>
        <w:t xml:space="preserve"> Methodology quality assessment based on PROBAST risk of bias assessment tool</w:t>
      </w:r>
    </w:p>
    <w:tbl>
      <w:tblPr>
        <w:tblStyle w:val="1"/>
        <w:tblW w:w="12920" w:type="dxa"/>
        <w:tblLook w:val="04A0" w:firstRow="1" w:lastRow="0" w:firstColumn="1" w:lastColumn="0" w:noHBand="0" w:noVBand="1"/>
      </w:tblPr>
      <w:tblGrid>
        <w:gridCol w:w="5160"/>
        <w:gridCol w:w="2065"/>
        <w:gridCol w:w="5695"/>
      </w:tblGrid>
      <w:tr w:rsidR="00212F7E" w:rsidRPr="00E43090" w14:paraId="125D03F3" w14:textId="77777777" w:rsidTr="003D53B2">
        <w:trPr>
          <w:trHeight w:val="416"/>
        </w:trPr>
        <w:tc>
          <w:tcPr>
            <w:tcW w:w="5160" w:type="dxa"/>
            <w:shd w:val="clear" w:color="auto" w:fill="BDD6EE"/>
            <w:vAlign w:val="center"/>
          </w:tcPr>
          <w:p w14:paraId="5DEBE7C1"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Question</w:t>
            </w:r>
          </w:p>
        </w:tc>
        <w:tc>
          <w:tcPr>
            <w:tcW w:w="2065" w:type="dxa"/>
            <w:shd w:val="clear" w:color="auto" w:fill="BDD6EE"/>
            <w:vAlign w:val="center"/>
          </w:tcPr>
          <w:p w14:paraId="3E26AEB5"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Answer</w:t>
            </w:r>
          </w:p>
        </w:tc>
        <w:tc>
          <w:tcPr>
            <w:tcW w:w="5695" w:type="dxa"/>
            <w:shd w:val="clear" w:color="auto" w:fill="BDD6EE"/>
            <w:vAlign w:val="center"/>
          </w:tcPr>
          <w:p w14:paraId="6D0921A7"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Rationale</w:t>
            </w:r>
          </w:p>
        </w:tc>
      </w:tr>
      <w:tr w:rsidR="00212F7E" w:rsidRPr="00E43090" w14:paraId="64D40820" w14:textId="77777777" w:rsidTr="003D53B2">
        <w:trPr>
          <w:trHeight w:val="550"/>
        </w:trPr>
        <w:tc>
          <w:tcPr>
            <w:tcW w:w="5160" w:type="dxa"/>
            <w:shd w:val="clear" w:color="auto" w:fill="BDD6EE"/>
            <w:vAlign w:val="center"/>
          </w:tcPr>
          <w:p w14:paraId="156D338F"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Domain 1:  Participants</w:t>
            </w:r>
          </w:p>
        </w:tc>
        <w:tc>
          <w:tcPr>
            <w:tcW w:w="2065" w:type="dxa"/>
            <w:shd w:val="clear" w:color="auto" w:fill="BDD6EE"/>
            <w:vAlign w:val="center"/>
          </w:tcPr>
          <w:p w14:paraId="195FA3DB" w14:textId="77777777" w:rsidR="00212F7E" w:rsidRPr="00E43090" w:rsidRDefault="00212F7E" w:rsidP="003D53B2">
            <w:pPr>
              <w:spacing w:after="0"/>
              <w:rPr>
                <w:rFonts w:ascii="Times New Roman" w:eastAsia="Times New Roman" w:hAnsi="Times New Roman" w:cs="Times New Roman"/>
                <w:b/>
                <w:bCs/>
                <w:color w:val="000000"/>
                <w:sz w:val="20"/>
                <w:lang w:val="en-US"/>
              </w:rPr>
            </w:pPr>
          </w:p>
        </w:tc>
        <w:tc>
          <w:tcPr>
            <w:tcW w:w="5695" w:type="dxa"/>
            <w:shd w:val="clear" w:color="auto" w:fill="BDD6EE"/>
            <w:vAlign w:val="center"/>
          </w:tcPr>
          <w:p w14:paraId="051DD72A" w14:textId="77777777" w:rsidR="00212F7E" w:rsidRPr="00E43090" w:rsidRDefault="00212F7E" w:rsidP="003D53B2">
            <w:pPr>
              <w:spacing w:after="0"/>
              <w:rPr>
                <w:rFonts w:ascii="Times New Roman" w:eastAsia="Times New Roman" w:hAnsi="Times New Roman" w:cs="Times New Roman"/>
                <w:sz w:val="20"/>
                <w:lang w:val="en-US"/>
              </w:rPr>
            </w:pPr>
          </w:p>
        </w:tc>
      </w:tr>
      <w:tr w:rsidR="00212F7E" w:rsidRPr="00E43090" w14:paraId="67B24177" w14:textId="77777777" w:rsidTr="003D53B2">
        <w:trPr>
          <w:trHeight w:val="763"/>
        </w:trPr>
        <w:tc>
          <w:tcPr>
            <w:tcW w:w="5160" w:type="dxa"/>
            <w:shd w:val="clear" w:color="auto" w:fill="auto"/>
            <w:vAlign w:val="center"/>
          </w:tcPr>
          <w:p w14:paraId="3548915C"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1·1 Were appropriate data sources used, e.g., cohort, RCT or nested case-control study data?</w:t>
            </w:r>
          </w:p>
        </w:tc>
        <w:tc>
          <w:tcPr>
            <w:tcW w:w="2065" w:type="dxa"/>
            <w:shd w:val="clear" w:color="auto" w:fill="auto"/>
            <w:noWrap/>
            <w:vAlign w:val="center"/>
          </w:tcPr>
          <w:p w14:paraId="3BFD592E"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Yes</w:t>
            </w:r>
          </w:p>
        </w:tc>
        <w:tc>
          <w:tcPr>
            <w:tcW w:w="5695" w:type="dxa"/>
            <w:shd w:val="clear" w:color="auto" w:fill="auto"/>
            <w:vAlign w:val="center"/>
          </w:tcPr>
          <w:p w14:paraId="0152FCA0"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Cohort design was used.</w:t>
            </w:r>
          </w:p>
        </w:tc>
      </w:tr>
      <w:tr w:rsidR="00212F7E" w:rsidRPr="00E43090" w14:paraId="0E4FEA72" w14:textId="77777777" w:rsidTr="003D53B2">
        <w:trPr>
          <w:trHeight w:val="703"/>
        </w:trPr>
        <w:tc>
          <w:tcPr>
            <w:tcW w:w="5160" w:type="dxa"/>
            <w:shd w:val="clear" w:color="auto" w:fill="auto"/>
            <w:vAlign w:val="center"/>
          </w:tcPr>
          <w:p w14:paraId="3C866D0A"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1·2 Were all inclusions and exclusions of participants appropriate?</w:t>
            </w:r>
          </w:p>
        </w:tc>
        <w:tc>
          <w:tcPr>
            <w:tcW w:w="2065" w:type="dxa"/>
            <w:shd w:val="clear" w:color="auto" w:fill="auto"/>
            <w:noWrap/>
            <w:vAlign w:val="center"/>
          </w:tcPr>
          <w:p w14:paraId="0C11F2C6"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Times New Roman" w:hAnsi="Times New Roman" w:cs="Times New Roman"/>
                <w:color w:val="000000"/>
                <w:sz w:val="20"/>
                <w:lang w:val="en-US"/>
              </w:rPr>
              <w:t xml:space="preserve">Probably </w:t>
            </w:r>
            <w:r w:rsidRPr="00E43090">
              <w:rPr>
                <w:rFonts w:ascii="Times New Roman" w:eastAsia="宋体" w:hAnsi="Times New Roman" w:cs="Times New Roman"/>
                <w:color w:val="000000"/>
                <w:sz w:val="20"/>
                <w:lang w:val="en-US"/>
              </w:rPr>
              <w:t>yes</w:t>
            </w:r>
          </w:p>
        </w:tc>
        <w:tc>
          <w:tcPr>
            <w:tcW w:w="5695" w:type="dxa"/>
            <w:shd w:val="clear" w:color="auto" w:fill="auto"/>
            <w:vAlign w:val="center"/>
          </w:tcPr>
          <w:p w14:paraId="279B5D1D" w14:textId="77777777" w:rsidR="00212F7E" w:rsidRPr="00BE0281" w:rsidRDefault="00212F7E" w:rsidP="003D53B2">
            <w:pPr>
              <w:spacing w:after="0" w:line="240" w:lineRule="auto"/>
              <w:rPr>
                <w:rFonts w:ascii="Times New Roman" w:eastAsia="宋体" w:hAnsi="Times New Roman" w:cs="Times New Roman"/>
                <w:color w:val="000000"/>
                <w:sz w:val="20"/>
                <w:lang w:val="en-US"/>
              </w:rPr>
            </w:pPr>
            <w:r w:rsidRPr="00BE0281">
              <w:rPr>
                <w:rFonts w:ascii="Times New Roman" w:eastAsia="宋体" w:hAnsi="Times New Roman" w:cs="Times New Roman"/>
                <w:color w:val="000000"/>
                <w:sz w:val="20"/>
                <w:lang w:val="en-US"/>
              </w:rPr>
              <w:t>The patients had no event (either death or discharge) at the end of follow-up date were excluded from the model development cohort. This is not model developers’ choice, but due to data availability. Given the time between end of accrual and end of follow-up was 40 days, the actual proportion of excluded patients was very small, and the potential risk of bias can be mitigated.</w:t>
            </w:r>
          </w:p>
        </w:tc>
      </w:tr>
      <w:tr w:rsidR="00212F7E" w:rsidRPr="00E43090" w14:paraId="3FC606AE" w14:textId="77777777" w:rsidTr="003D53B2">
        <w:trPr>
          <w:trHeight w:val="442"/>
        </w:trPr>
        <w:tc>
          <w:tcPr>
            <w:tcW w:w="5160" w:type="dxa"/>
            <w:shd w:val="clear" w:color="auto" w:fill="9CC2E5"/>
            <w:vAlign w:val="center"/>
          </w:tcPr>
          <w:p w14:paraId="2AE1C0C7"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Overall risk of bias of Domain 1</w:t>
            </w:r>
          </w:p>
        </w:tc>
        <w:tc>
          <w:tcPr>
            <w:tcW w:w="2065" w:type="dxa"/>
            <w:shd w:val="clear" w:color="auto" w:fill="92D050"/>
            <w:noWrap/>
            <w:vAlign w:val="center"/>
          </w:tcPr>
          <w:p w14:paraId="31AD4FF6"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Low risk of bias</w:t>
            </w:r>
          </w:p>
        </w:tc>
        <w:tc>
          <w:tcPr>
            <w:tcW w:w="5695" w:type="dxa"/>
            <w:shd w:val="clear" w:color="auto" w:fill="9CC2E5"/>
            <w:vAlign w:val="center"/>
          </w:tcPr>
          <w:p w14:paraId="60E156A6" w14:textId="77777777" w:rsidR="00212F7E" w:rsidRPr="00E43090" w:rsidRDefault="00212F7E" w:rsidP="003D53B2">
            <w:pPr>
              <w:spacing w:after="0"/>
              <w:rPr>
                <w:rFonts w:ascii="Times New Roman" w:eastAsia="Times New Roman" w:hAnsi="Times New Roman" w:cs="Times New Roman"/>
                <w:b/>
                <w:bCs/>
                <w:color w:val="000000"/>
                <w:sz w:val="20"/>
                <w:lang w:val="en-US"/>
              </w:rPr>
            </w:pPr>
          </w:p>
        </w:tc>
      </w:tr>
      <w:tr w:rsidR="00212F7E" w:rsidRPr="00E43090" w14:paraId="6CCDFDA3" w14:textId="77777777" w:rsidTr="003D53B2">
        <w:trPr>
          <w:trHeight w:val="447"/>
        </w:trPr>
        <w:tc>
          <w:tcPr>
            <w:tcW w:w="5160" w:type="dxa"/>
            <w:shd w:val="clear" w:color="auto" w:fill="BDD6EE"/>
            <w:vAlign w:val="center"/>
          </w:tcPr>
          <w:p w14:paraId="2AFB1C07"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Domain 2:  Predictors</w:t>
            </w:r>
          </w:p>
        </w:tc>
        <w:tc>
          <w:tcPr>
            <w:tcW w:w="2065" w:type="dxa"/>
            <w:shd w:val="clear" w:color="auto" w:fill="BDD6EE"/>
            <w:vAlign w:val="center"/>
          </w:tcPr>
          <w:p w14:paraId="7E6EF1B6" w14:textId="77777777" w:rsidR="00212F7E" w:rsidRPr="00E43090" w:rsidRDefault="00212F7E" w:rsidP="003D53B2">
            <w:pPr>
              <w:spacing w:after="0"/>
              <w:rPr>
                <w:rFonts w:ascii="Times New Roman" w:eastAsia="Times New Roman" w:hAnsi="Times New Roman" w:cs="Times New Roman"/>
                <w:b/>
                <w:bCs/>
                <w:color w:val="000000"/>
                <w:sz w:val="20"/>
                <w:lang w:val="en-US"/>
              </w:rPr>
            </w:pPr>
          </w:p>
        </w:tc>
        <w:tc>
          <w:tcPr>
            <w:tcW w:w="5695" w:type="dxa"/>
            <w:shd w:val="clear" w:color="auto" w:fill="BDD6EE"/>
            <w:vAlign w:val="center"/>
          </w:tcPr>
          <w:p w14:paraId="013BC3AA" w14:textId="77777777" w:rsidR="00212F7E" w:rsidRPr="00E43090" w:rsidRDefault="00212F7E" w:rsidP="003D53B2">
            <w:pPr>
              <w:spacing w:after="0"/>
              <w:rPr>
                <w:rFonts w:ascii="Times New Roman" w:eastAsia="Times New Roman" w:hAnsi="Times New Roman" w:cs="Times New Roman"/>
                <w:sz w:val="20"/>
                <w:lang w:val="en-US"/>
              </w:rPr>
            </w:pPr>
          </w:p>
        </w:tc>
      </w:tr>
      <w:tr w:rsidR="00212F7E" w:rsidRPr="00E43090" w14:paraId="2CCB9260" w14:textId="77777777" w:rsidTr="003D53B2">
        <w:trPr>
          <w:trHeight w:val="880"/>
        </w:trPr>
        <w:tc>
          <w:tcPr>
            <w:tcW w:w="5160" w:type="dxa"/>
            <w:vAlign w:val="center"/>
          </w:tcPr>
          <w:p w14:paraId="35884EDA"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2·1 Were predictors defined and assessed in a similar way for all participants?</w:t>
            </w:r>
          </w:p>
        </w:tc>
        <w:tc>
          <w:tcPr>
            <w:tcW w:w="2065" w:type="dxa"/>
            <w:noWrap/>
            <w:vAlign w:val="center"/>
          </w:tcPr>
          <w:p w14:paraId="4945D125"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Probably yes</w:t>
            </w:r>
          </w:p>
        </w:tc>
        <w:tc>
          <w:tcPr>
            <w:tcW w:w="5695" w:type="dxa"/>
            <w:vAlign w:val="center"/>
          </w:tcPr>
          <w:p w14:paraId="16754B04" w14:textId="77777777" w:rsidR="00212F7E" w:rsidRPr="00BE0281" w:rsidRDefault="00212F7E" w:rsidP="00BE0281">
            <w:pPr>
              <w:spacing w:after="0" w:line="240" w:lineRule="auto"/>
              <w:rPr>
                <w:rFonts w:ascii="Times New Roman" w:eastAsia="宋体" w:hAnsi="Times New Roman" w:cs="Times New Roman"/>
                <w:color w:val="000000"/>
                <w:sz w:val="20"/>
                <w:lang w:val="en-US"/>
              </w:rPr>
            </w:pPr>
            <w:r w:rsidRPr="00BE0281">
              <w:rPr>
                <w:rFonts w:ascii="Times New Roman" w:eastAsia="宋体" w:hAnsi="Times New Roman" w:cs="Times New Roman"/>
                <w:color w:val="000000"/>
                <w:sz w:val="20"/>
                <w:lang w:val="en-US"/>
              </w:rPr>
              <w:t>Most of the predictors were patient characteristics and laboratory tests, which had standard definition. The scope of chronic disease history may be slightly different between the two hospitals. In general, all predictors can be considered as assessed in a similar way.</w:t>
            </w:r>
          </w:p>
        </w:tc>
      </w:tr>
      <w:tr w:rsidR="00212F7E" w:rsidRPr="00E43090" w14:paraId="1696A7BD" w14:textId="77777777" w:rsidTr="003D53B2">
        <w:trPr>
          <w:trHeight w:val="710"/>
        </w:trPr>
        <w:tc>
          <w:tcPr>
            <w:tcW w:w="5160" w:type="dxa"/>
            <w:vAlign w:val="center"/>
          </w:tcPr>
          <w:p w14:paraId="18BB3003"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2·2 Were predictor assessments made without knowledge of outcome data?</w:t>
            </w:r>
          </w:p>
        </w:tc>
        <w:tc>
          <w:tcPr>
            <w:tcW w:w="2065" w:type="dxa"/>
            <w:vAlign w:val="center"/>
          </w:tcPr>
          <w:p w14:paraId="602DB356"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Yes</w:t>
            </w:r>
          </w:p>
        </w:tc>
        <w:tc>
          <w:tcPr>
            <w:tcW w:w="5695" w:type="dxa"/>
            <w:vAlign w:val="center"/>
          </w:tcPr>
          <w:p w14:paraId="5445D8B0"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宋体" w:hAnsi="Times New Roman" w:cs="Times New Roman"/>
                <w:color w:val="000000"/>
                <w:sz w:val="20"/>
                <w:lang w:val="en-US"/>
              </w:rPr>
              <w:t>All</w:t>
            </w:r>
            <w:r w:rsidRPr="00E43090">
              <w:rPr>
                <w:rFonts w:ascii="Times New Roman" w:eastAsia="Times New Roman" w:hAnsi="Times New Roman" w:cs="Times New Roman"/>
                <w:color w:val="000000"/>
                <w:sz w:val="20"/>
                <w:lang w:val="en-US"/>
              </w:rPr>
              <w:t xml:space="preserve"> </w:t>
            </w:r>
            <w:r w:rsidRPr="00E43090">
              <w:rPr>
                <w:rFonts w:ascii="Times New Roman" w:eastAsia="宋体" w:hAnsi="Times New Roman" w:cs="Times New Roman"/>
                <w:color w:val="000000"/>
                <w:sz w:val="20"/>
                <w:lang w:val="en-US"/>
              </w:rPr>
              <w:t>predictors</w:t>
            </w:r>
            <w:r w:rsidRPr="00E43090">
              <w:rPr>
                <w:rFonts w:ascii="Times New Roman" w:eastAsia="Times New Roman" w:hAnsi="Times New Roman" w:cs="Times New Roman"/>
                <w:color w:val="000000"/>
                <w:sz w:val="20"/>
                <w:lang w:val="en-US"/>
              </w:rPr>
              <w:t xml:space="preserve"> were collected at patients</w:t>
            </w:r>
            <w:r w:rsidRPr="00E43090">
              <w:rPr>
                <w:rFonts w:ascii="Times New Roman" w:eastAsia="宋体" w:hAnsi="Times New Roman" w:cs="Times New Roman"/>
                <w:color w:val="000000"/>
                <w:sz w:val="20"/>
                <w:lang w:val="en-US"/>
              </w:rPr>
              <w:t xml:space="preserve"> admission</w:t>
            </w:r>
            <w:r w:rsidRPr="00E43090">
              <w:rPr>
                <w:rFonts w:ascii="Times New Roman" w:eastAsia="Times New Roman" w:hAnsi="Times New Roman" w:cs="Times New Roman"/>
                <w:color w:val="000000"/>
                <w:sz w:val="20"/>
                <w:lang w:val="en-US"/>
              </w:rPr>
              <w:t>.</w:t>
            </w:r>
          </w:p>
        </w:tc>
      </w:tr>
      <w:tr w:rsidR="00212F7E" w:rsidRPr="00E43090" w14:paraId="7F11C7B7" w14:textId="77777777" w:rsidTr="003D53B2">
        <w:trPr>
          <w:trHeight w:val="749"/>
        </w:trPr>
        <w:tc>
          <w:tcPr>
            <w:tcW w:w="5160" w:type="dxa"/>
            <w:vAlign w:val="center"/>
          </w:tcPr>
          <w:p w14:paraId="2CADC24C"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2·3 Are all predictors available at the time the model is intended to be used?</w:t>
            </w:r>
          </w:p>
        </w:tc>
        <w:tc>
          <w:tcPr>
            <w:tcW w:w="2065" w:type="dxa"/>
            <w:vAlign w:val="center"/>
          </w:tcPr>
          <w:p w14:paraId="21039FC6"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Yes</w:t>
            </w:r>
          </w:p>
        </w:tc>
        <w:tc>
          <w:tcPr>
            <w:tcW w:w="5695" w:type="dxa"/>
            <w:vAlign w:val="center"/>
          </w:tcPr>
          <w:p w14:paraId="23153151"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 xml:space="preserve">All predictors </w:t>
            </w:r>
            <w:r w:rsidRPr="00E43090">
              <w:rPr>
                <w:rFonts w:ascii="Times New Roman" w:eastAsia="宋体" w:hAnsi="Times New Roman" w:cs="Times New Roman"/>
                <w:color w:val="000000"/>
                <w:sz w:val="20"/>
                <w:lang w:val="en-US"/>
              </w:rPr>
              <w:t>included in the final model were patient characteristics and l</w:t>
            </w:r>
            <w:r w:rsidRPr="00E43090">
              <w:rPr>
                <w:rFonts w:ascii="Times New Roman" w:eastAsia="Times New Roman" w:hAnsi="Times New Roman" w:cs="Times New Roman"/>
                <w:color w:val="000000"/>
                <w:sz w:val="20"/>
                <w:lang w:val="en-US"/>
              </w:rPr>
              <w:t xml:space="preserve">aboratory </w:t>
            </w:r>
            <w:r w:rsidRPr="00E43090">
              <w:rPr>
                <w:rFonts w:ascii="Times New Roman" w:eastAsia="宋体" w:hAnsi="Times New Roman" w:cs="Times New Roman"/>
                <w:color w:val="000000"/>
                <w:sz w:val="20"/>
                <w:lang w:val="en-US"/>
              </w:rPr>
              <w:t>tests, which were</w:t>
            </w:r>
            <w:r w:rsidRPr="00E43090">
              <w:rPr>
                <w:rFonts w:ascii="Times New Roman" w:eastAsia="Times New Roman" w:hAnsi="Times New Roman" w:cs="Times New Roman"/>
                <w:color w:val="000000"/>
                <w:sz w:val="20"/>
                <w:lang w:val="en-US"/>
              </w:rPr>
              <w:t xml:space="preserve"> easy to access·</w:t>
            </w:r>
          </w:p>
        </w:tc>
      </w:tr>
      <w:tr w:rsidR="00212F7E" w:rsidRPr="00E43090" w14:paraId="6F5F31AA" w14:textId="77777777" w:rsidTr="003D53B2">
        <w:trPr>
          <w:trHeight w:val="462"/>
        </w:trPr>
        <w:tc>
          <w:tcPr>
            <w:tcW w:w="5160" w:type="dxa"/>
            <w:shd w:val="clear" w:color="auto" w:fill="9CC2E5"/>
            <w:vAlign w:val="center"/>
          </w:tcPr>
          <w:p w14:paraId="6827A8C5"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Overall risk of bias of Domain 2</w:t>
            </w:r>
          </w:p>
        </w:tc>
        <w:tc>
          <w:tcPr>
            <w:tcW w:w="2065" w:type="dxa"/>
            <w:shd w:val="clear" w:color="auto" w:fill="92D050"/>
            <w:noWrap/>
            <w:vAlign w:val="center"/>
          </w:tcPr>
          <w:p w14:paraId="54827FFB"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Low risk of bias</w:t>
            </w:r>
          </w:p>
        </w:tc>
        <w:tc>
          <w:tcPr>
            <w:tcW w:w="5695" w:type="dxa"/>
            <w:shd w:val="clear" w:color="auto" w:fill="9CC2E5"/>
            <w:vAlign w:val="center"/>
          </w:tcPr>
          <w:p w14:paraId="2D74A809" w14:textId="77777777" w:rsidR="00212F7E" w:rsidRPr="00E43090" w:rsidRDefault="00212F7E" w:rsidP="003D53B2">
            <w:pPr>
              <w:spacing w:after="0"/>
              <w:rPr>
                <w:rFonts w:ascii="Times New Roman" w:eastAsia="Times New Roman" w:hAnsi="Times New Roman" w:cs="Times New Roman"/>
                <w:b/>
                <w:bCs/>
                <w:color w:val="000000"/>
                <w:sz w:val="20"/>
                <w:lang w:val="en-US"/>
              </w:rPr>
            </w:pPr>
          </w:p>
        </w:tc>
      </w:tr>
      <w:tr w:rsidR="00212F7E" w:rsidRPr="00E43090" w14:paraId="2C31D437" w14:textId="77777777" w:rsidTr="003D53B2">
        <w:trPr>
          <w:trHeight w:val="415"/>
        </w:trPr>
        <w:tc>
          <w:tcPr>
            <w:tcW w:w="5160" w:type="dxa"/>
            <w:shd w:val="clear" w:color="auto" w:fill="BDD6EE"/>
            <w:vAlign w:val="center"/>
          </w:tcPr>
          <w:p w14:paraId="32014324"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lastRenderedPageBreak/>
              <w:t>Domain 3: Outcome</w:t>
            </w:r>
          </w:p>
        </w:tc>
        <w:tc>
          <w:tcPr>
            <w:tcW w:w="2065" w:type="dxa"/>
            <w:shd w:val="clear" w:color="auto" w:fill="BDD6EE"/>
            <w:vAlign w:val="center"/>
          </w:tcPr>
          <w:p w14:paraId="757983A2" w14:textId="77777777" w:rsidR="00212F7E" w:rsidRPr="00E43090" w:rsidRDefault="00212F7E" w:rsidP="003D53B2">
            <w:pPr>
              <w:spacing w:after="0"/>
              <w:rPr>
                <w:rFonts w:ascii="Times New Roman" w:eastAsia="Times New Roman" w:hAnsi="Times New Roman" w:cs="Times New Roman"/>
                <w:b/>
                <w:bCs/>
                <w:color w:val="000000"/>
                <w:sz w:val="20"/>
                <w:lang w:val="en-US"/>
              </w:rPr>
            </w:pPr>
          </w:p>
        </w:tc>
        <w:tc>
          <w:tcPr>
            <w:tcW w:w="5695" w:type="dxa"/>
            <w:shd w:val="clear" w:color="auto" w:fill="BDD6EE"/>
            <w:vAlign w:val="center"/>
          </w:tcPr>
          <w:p w14:paraId="51BBC999" w14:textId="77777777" w:rsidR="00212F7E" w:rsidRPr="00E43090" w:rsidRDefault="00212F7E" w:rsidP="003D53B2">
            <w:pPr>
              <w:spacing w:after="0"/>
              <w:rPr>
                <w:rFonts w:ascii="Times New Roman" w:eastAsia="Times New Roman" w:hAnsi="Times New Roman" w:cs="Times New Roman"/>
                <w:sz w:val="20"/>
                <w:lang w:val="en-US"/>
              </w:rPr>
            </w:pPr>
          </w:p>
        </w:tc>
      </w:tr>
      <w:tr w:rsidR="00212F7E" w:rsidRPr="00E43090" w14:paraId="5313253F" w14:textId="77777777" w:rsidTr="003D53B2">
        <w:trPr>
          <w:trHeight w:val="1353"/>
        </w:trPr>
        <w:tc>
          <w:tcPr>
            <w:tcW w:w="5160" w:type="dxa"/>
            <w:shd w:val="clear" w:color="auto" w:fill="auto"/>
            <w:vAlign w:val="center"/>
          </w:tcPr>
          <w:p w14:paraId="0EA70F76"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3·1 Was the outcome determined appropriately?</w:t>
            </w:r>
          </w:p>
        </w:tc>
        <w:tc>
          <w:tcPr>
            <w:tcW w:w="2065" w:type="dxa"/>
            <w:shd w:val="clear" w:color="auto" w:fill="auto"/>
            <w:vAlign w:val="center"/>
          </w:tcPr>
          <w:p w14:paraId="3A08CE4D"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Yes</w:t>
            </w:r>
          </w:p>
        </w:tc>
        <w:tc>
          <w:tcPr>
            <w:tcW w:w="5695" w:type="dxa"/>
            <w:shd w:val="clear" w:color="auto" w:fill="auto"/>
            <w:vAlign w:val="center"/>
          </w:tcPr>
          <w:p w14:paraId="7EDF2ECB"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宋体" w:hAnsi="Times New Roman" w:cs="Times New Roman"/>
                <w:color w:val="000000"/>
                <w:sz w:val="20"/>
                <w:lang w:val="en-US"/>
              </w:rPr>
              <w:t>In-hospital death was an event of interest for admitted patients with COVID-19. Discharge was properly considered as a competing risk event of in-hospital death, this is an advantage of this study compared with other studies (in which discharge was censored)</w:t>
            </w:r>
            <w:r w:rsidRPr="00E43090">
              <w:rPr>
                <w:rFonts w:ascii="Times New Roman" w:eastAsia="Times New Roman" w:hAnsi="Times New Roman" w:cs="Times New Roman"/>
                <w:color w:val="000000"/>
                <w:sz w:val="20"/>
                <w:lang w:val="en-US"/>
              </w:rPr>
              <w:t>.</w:t>
            </w:r>
          </w:p>
        </w:tc>
      </w:tr>
      <w:tr w:rsidR="00212F7E" w:rsidRPr="00E43090" w14:paraId="4C6D1F86" w14:textId="77777777" w:rsidTr="003D53B2">
        <w:trPr>
          <w:trHeight w:val="520"/>
        </w:trPr>
        <w:tc>
          <w:tcPr>
            <w:tcW w:w="5160" w:type="dxa"/>
            <w:vAlign w:val="center"/>
          </w:tcPr>
          <w:p w14:paraId="2088B356"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3·2 Was a pre-specified or standard outcome definition used?</w:t>
            </w:r>
          </w:p>
        </w:tc>
        <w:tc>
          <w:tcPr>
            <w:tcW w:w="2065" w:type="dxa"/>
            <w:noWrap/>
            <w:vAlign w:val="center"/>
          </w:tcPr>
          <w:p w14:paraId="3754AEBA"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Yes</w:t>
            </w:r>
          </w:p>
        </w:tc>
        <w:tc>
          <w:tcPr>
            <w:tcW w:w="5695" w:type="dxa"/>
            <w:vAlign w:val="center"/>
          </w:tcPr>
          <w:p w14:paraId="46BFF029"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In-hospital death was a hard end-point.</w:t>
            </w:r>
          </w:p>
        </w:tc>
      </w:tr>
      <w:tr w:rsidR="00212F7E" w:rsidRPr="00E43090" w14:paraId="073A5248" w14:textId="77777777" w:rsidTr="003D53B2">
        <w:trPr>
          <w:trHeight w:val="556"/>
        </w:trPr>
        <w:tc>
          <w:tcPr>
            <w:tcW w:w="5160" w:type="dxa"/>
            <w:vAlign w:val="center"/>
          </w:tcPr>
          <w:p w14:paraId="115F2E3A"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3·3 Were predictors excluded from the outcome definition?</w:t>
            </w:r>
          </w:p>
        </w:tc>
        <w:tc>
          <w:tcPr>
            <w:tcW w:w="2065" w:type="dxa"/>
            <w:noWrap/>
            <w:vAlign w:val="center"/>
          </w:tcPr>
          <w:p w14:paraId="0B7D12AF"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Yes</w:t>
            </w:r>
          </w:p>
        </w:tc>
        <w:tc>
          <w:tcPr>
            <w:tcW w:w="5695" w:type="dxa"/>
            <w:vAlign w:val="center"/>
          </w:tcPr>
          <w:p w14:paraId="58426C1C"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In-hospital death was objective.</w:t>
            </w:r>
          </w:p>
        </w:tc>
      </w:tr>
      <w:tr w:rsidR="00212F7E" w:rsidRPr="00E43090" w14:paraId="4FD58FB3" w14:textId="77777777" w:rsidTr="003D53B2">
        <w:trPr>
          <w:trHeight w:val="692"/>
        </w:trPr>
        <w:tc>
          <w:tcPr>
            <w:tcW w:w="5160" w:type="dxa"/>
            <w:vAlign w:val="center"/>
          </w:tcPr>
          <w:p w14:paraId="63733B0B"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3·4 Was the outcome defined and determined in a similar way for all participants?</w:t>
            </w:r>
          </w:p>
        </w:tc>
        <w:tc>
          <w:tcPr>
            <w:tcW w:w="2065" w:type="dxa"/>
            <w:noWrap/>
            <w:vAlign w:val="center"/>
          </w:tcPr>
          <w:p w14:paraId="56ACF940"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Yes</w:t>
            </w:r>
          </w:p>
        </w:tc>
        <w:tc>
          <w:tcPr>
            <w:tcW w:w="5695" w:type="dxa"/>
            <w:vAlign w:val="center"/>
          </w:tcPr>
          <w:p w14:paraId="44E2E770"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宋体" w:hAnsi="Times New Roman" w:cs="Times New Roman"/>
                <w:color w:val="000000"/>
                <w:sz w:val="20"/>
                <w:lang w:val="en-US"/>
              </w:rPr>
              <w:t>In-hospital death was objective.</w:t>
            </w:r>
          </w:p>
        </w:tc>
      </w:tr>
      <w:tr w:rsidR="00212F7E" w:rsidRPr="00E43090" w14:paraId="1636909E" w14:textId="77777777" w:rsidTr="003D53B2">
        <w:trPr>
          <w:trHeight w:val="702"/>
        </w:trPr>
        <w:tc>
          <w:tcPr>
            <w:tcW w:w="5160" w:type="dxa"/>
            <w:vAlign w:val="center"/>
          </w:tcPr>
          <w:p w14:paraId="4EF6A1F7"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3·5 Was the outcome determined without knowledge of predictor information?</w:t>
            </w:r>
          </w:p>
        </w:tc>
        <w:tc>
          <w:tcPr>
            <w:tcW w:w="2065" w:type="dxa"/>
            <w:vAlign w:val="center"/>
          </w:tcPr>
          <w:p w14:paraId="66B055B2"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Yes</w:t>
            </w:r>
          </w:p>
        </w:tc>
        <w:tc>
          <w:tcPr>
            <w:tcW w:w="5695" w:type="dxa"/>
            <w:vAlign w:val="center"/>
          </w:tcPr>
          <w:p w14:paraId="15D48D1F"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宋体" w:hAnsi="Times New Roman" w:cs="Times New Roman"/>
                <w:color w:val="000000"/>
                <w:sz w:val="20"/>
                <w:lang w:val="en-US"/>
              </w:rPr>
              <w:t>In-hospital death was objective.</w:t>
            </w:r>
          </w:p>
        </w:tc>
      </w:tr>
      <w:tr w:rsidR="00212F7E" w:rsidRPr="00E43090" w14:paraId="2237B677" w14:textId="77777777" w:rsidTr="003D53B2">
        <w:trPr>
          <w:trHeight w:val="699"/>
        </w:trPr>
        <w:tc>
          <w:tcPr>
            <w:tcW w:w="5160" w:type="dxa"/>
            <w:vAlign w:val="center"/>
          </w:tcPr>
          <w:p w14:paraId="4656B346"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3·6 Was the time interval between predictor assessment and outcome determination appropriate?</w:t>
            </w:r>
          </w:p>
        </w:tc>
        <w:tc>
          <w:tcPr>
            <w:tcW w:w="2065" w:type="dxa"/>
            <w:vAlign w:val="center"/>
          </w:tcPr>
          <w:p w14:paraId="07284EEA"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Yes</w:t>
            </w:r>
          </w:p>
        </w:tc>
        <w:tc>
          <w:tcPr>
            <w:tcW w:w="5695" w:type="dxa"/>
            <w:vAlign w:val="center"/>
          </w:tcPr>
          <w:p w14:paraId="30680940"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宋体" w:hAnsi="Times New Roman" w:cs="Times New Roman"/>
                <w:color w:val="000000"/>
                <w:sz w:val="20"/>
                <w:lang w:val="en-US"/>
              </w:rPr>
              <w:t xml:space="preserve">All patients were staying in the hospitals and continuously followed up till discharge, death or the end of follow-up (which was </w:t>
            </w:r>
            <w:r w:rsidRPr="00A82924">
              <w:rPr>
                <w:rFonts w:ascii="Times New Roman" w:eastAsia="宋体" w:hAnsi="Times New Roman" w:cs="Times New Roman"/>
                <w:color w:val="000000"/>
                <w:sz w:val="20"/>
                <w:lang w:val="en-US"/>
              </w:rPr>
              <w:t>40 days after end of accrual). The time interval between predictor assessment and outcome determination</w:t>
            </w:r>
            <w:r w:rsidRPr="00E43090">
              <w:rPr>
                <w:rFonts w:ascii="Times New Roman" w:eastAsia="宋体" w:hAnsi="Times New Roman" w:cs="Times New Roman"/>
                <w:color w:val="000000"/>
                <w:sz w:val="20"/>
                <w:lang w:val="en-US"/>
              </w:rPr>
              <w:t xml:space="preserve"> is sufficient.</w:t>
            </w:r>
            <w:r w:rsidRPr="00A82924">
              <w:rPr>
                <w:rFonts w:ascii="Times New Roman" w:eastAsia="宋体" w:hAnsi="Times New Roman" w:cs="Times New Roman"/>
                <w:color w:val="000000"/>
                <w:sz w:val="20"/>
                <w:lang w:val="en-US"/>
              </w:rPr>
              <w:t xml:space="preserve"> </w:t>
            </w:r>
          </w:p>
        </w:tc>
      </w:tr>
      <w:tr w:rsidR="00212F7E" w:rsidRPr="00E43090" w14:paraId="11976D53" w14:textId="77777777" w:rsidTr="003D53B2">
        <w:trPr>
          <w:trHeight w:val="421"/>
        </w:trPr>
        <w:tc>
          <w:tcPr>
            <w:tcW w:w="5160" w:type="dxa"/>
            <w:shd w:val="clear" w:color="auto" w:fill="9CC2E5"/>
            <w:vAlign w:val="center"/>
          </w:tcPr>
          <w:p w14:paraId="4E5FC161"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Overall risk of bias of Domain 3</w:t>
            </w:r>
          </w:p>
        </w:tc>
        <w:tc>
          <w:tcPr>
            <w:tcW w:w="2065" w:type="dxa"/>
            <w:shd w:val="clear" w:color="auto" w:fill="92D050"/>
            <w:noWrap/>
            <w:vAlign w:val="center"/>
          </w:tcPr>
          <w:p w14:paraId="4A8A9163"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宋体" w:hAnsi="Times New Roman" w:cs="Times New Roman"/>
                <w:b/>
                <w:bCs/>
                <w:color w:val="000000"/>
                <w:sz w:val="20"/>
                <w:shd w:val="clear" w:color="auto" w:fill="92D050"/>
                <w:lang w:val="en-US"/>
              </w:rPr>
              <w:t>Low</w:t>
            </w:r>
            <w:r w:rsidRPr="00E43090">
              <w:rPr>
                <w:rFonts w:ascii="Times New Roman" w:eastAsia="Times New Roman" w:hAnsi="Times New Roman" w:cs="Times New Roman"/>
                <w:b/>
                <w:bCs/>
                <w:color w:val="000000"/>
                <w:sz w:val="20"/>
                <w:shd w:val="clear" w:color="auto" w:fill="92D050"/>
                <w:lang w:val="en-US"/>
              </w:rPr>
              <w:t xml:space="preserve"> risk of bias</w:t>
            </w:r>
          </w:p>
        </w:tc>
        <w:tc>
          <w:tcPr>
            <w:tcW w:w="5695" w:type="dxa"/>
            <w:shd w:val="clear" w:color="auto" w:fill="9CC2E5"/>
            <w:vAlign w:val="center"/>
          </w:tcPr>
          <w:p w14:paraId="40F85310" w14:textId="77777777" w:rsidR="00212F7E" w:rsidRPr="00E43090" w:rsidRDefault="00212F7E" w:rsidP="003D53B2">
            <w:pPr>
              <w:spacing w:after="0"/>
              <w:rPr>
                <w:rFonts w:ascii="Times New Roman" w:eastAsia="Times New Roman" w:hAnsi="Times New Roman" w:cs="Times New Roman"/>
                <w:b/>
                <w:bCs/>
                <w:color w:val="000000"/>
                <w:sz w:val="20"/>
                <w:lang w:val="en-US"/>
              </w:rPr>
            </w:pPr>
          </w:p>
        </w:tc>
      </w:tr>
      <w:tr w:rsidR="00212F7E" w:rsidRPr="00E43090" w14:paraId="058CEDA0" w14:textId="77777777" w:rsidTr="003D53B2">
        <w:trPr>
          <w:trHeight w:val="412"/>
        </w:trPr>
        <w:tc>
          <w:tcPr>
            <w:tcW w:w="5160" w:type="dxa"/>
            <w:shd w:val="clear" w:color="auto" w:fill="BDD6EE"/>
            <w:noWrap/>
            <w:vAlign w:val="center"/>
          </w:tcPr>
          <w:p w14:paraId="7949BAD4"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Domain 4: Analysis</w:t>
            </w:r>
          </w:p>
        </w:tc>
        <w:tc>
          <w:tcPr>
            <w:tcW w:w="2065" w:type="dxa"/>
            <w:shd w:val="clear" w:color="auto" w:fill="BDD6EE"/>
            <w:noWrap/>
            <w:vAlign w:val="center"/>
          </w:tcPr>
          <w:p w14:paraId="1C914144" w14:textId="77777777" w:rsidR="00212F7E" w:rsidRPr="00E43090" w:rsidRDefault="00212F7E" w:rsidP="003D53B2">
            <w:pPr>
              <w:spacing w:after="0"/>
              <w:rPr>
                <w:rFonts w:ascii="Times New Roman" w:eastAsia="Times New Roman" w:hAnsi="Times New Roman" w:cs="Times New Roman"/>
                <w:b/>
                <w:bCs/>
                <w:color w:val="000000"/>
                <w:sz w:val="20"/>
                <w:lang w:val="en-US"/>
              </w:rPr>
            </w:pPr>
          </w:p>
        </w:tc>
        <w:tc>
          <w:tcPr>
            <w:tcW w:w="5695" w:type="dxa"/>
            <w:shd w:val="clear" w:color="auto" w:fill="BDD6EE"/>
            <w:noWrap/>
            <w:vAlign w:val="center"/>
          </w:tcPr>
          <w:p w14:paraId="0B819710" w14:textId="77777777" w:rsidR="00212F7E" w:rsidRPr="00E43090" w:rsidRDefault="00212F7E" w:rsidP="003D53B2">
            <w:pPr>
              <w:spacing w:after="0"/>
              <w:rPr>
                <w:rFonts w:ascii="Times New Roman" w:eastAsia="Times New Roman" w:hAnsi="Times New Roman" w:cs="Times New Roman"/>
                <w:sz w:val="20"/>
                <w:lang w:val="en-US"/>
              </w:rPr>
            </w:pPr>
          </w:p>
        </w:tc>
      </w:tr>
      <w:tr w:rsidR="00212F7E" w:rsidRPr="00E43090" w14:paraId="2F06A546" w14:textId="77777777" w:rsidTr="003D53B2">
        <w:trPr>
          <w:trHeight w:val="759"/>
        </w:trPr>
        <w:tc>
          <w:tcPr>
            <w:tcW w:w="5160" w:type="dxa"/>
            <w:shd w:val="clear" w:color="auto" w:fill="auto"/>
            <w:vAlign w:val="center"/>
          </w:tcPr>
          <w:p w14:paraId="0A84B811"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4·1 Were there a reasonable number of participants with the outcome?</w:t>
            </w:r>
          </w:p>
        </w:tc>
        <w:tc>
          <w:tcPr>
            <w:tcW w:w="2065" w:type="dxa"/>
            <w:shd w:val="clear" w:color="auto" w:fill="auto"/>
            <w:noWrap/>
            <w:vAlign w:val="center"/>
          </w:tcPr>
          <w:p w14:paraId="20962CB5"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Yes</w:t>
            </w:r>
          </w:p>
        </w:tc>
        <w:tc>
          <w:tcPr>
            <w:tcW w:w="5695" w:type="dxa"/>
            <w:shd w:val="clear" w:color="auto" w:fill="auto"/>
            <w:vAlign w:val="center"/>
          </w:tcPr>
          <w:p w14:paraId="3C3DEF00" w14:textId="77777777" w:rsidR="00212F7E" w:rsidRPr="00BE0281"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 xml:space="preserve">The total </w:t>
            </w:r>
            <w:r w:rsidRPr="00BE0281">
              <w:rPr>
                <w:rFonts w:ascii="Times New Roman" w:eastAsia="宋体" w:hAnsi="Times New Roman" w:cs="Times New Roman"/>
                <w:color w:val="000000"/>
                <w:sz w:val="20"/>
                <w:lang w:val="en-US"/>
              </w:rPr>
              <w:t xml:space="preserve">number of candidate variables was 11, and the number of events was 211, so the number of </w:t>
            </w:r>
            <w:bookmarkStart w:id="4" w:name="_GoBack"/>
            <w:bookmarkEnd w:id="4"/>
            <w:r w:rsidRPr="00BE0281">
              <w:rPr>
                <w:rFonts w:ascii="Times New Roman" w:eastAsia="宋体" w:hAnsi="Times New Roman" w:cs="Times New Roman"/>
                <w:color w:val="000000"/>
                <w:sz w:val="20"/>
                <w:lang w:val="en-US"/>
              </w:rPr>
              <w:t>events per variable (EPV) =211/11≈19, which was reasonable</w:t>
            </w:r>
            <w:r w:rsidRPr="00E43090">
              <w:rPr>
                <w:rFonts w:ascii="Times New Roman" w:eastAsia="宋体" w:hAnsi="Times New Roman" w:cs="Times New Roman"/>
                <w:color w:val="000000"/>
                <w:sz w:val="20"/>
                <w:lang w:val="en-US"/>
              </w:rPr>
              <w:t>.</w:t>
            </w:r>
          </w:p>
        </w:tc>
      </w:tr>
      <w:tr w:rsidR="00212F7E" w:rsidRPr="00E43090" w14:paraId="453CF2F5" w14:textId="77777777" w:rsidTr="003D53B2">
        <w:trPr>
          <w:trHeight w:val="995"/>
        </w:trPr>
        <w:tc>
          <w:tcPr>
            <w:tcW w:w="5160" w:type="dxa"/>
            <w:shd w:val="clear" w:color="auto" w:fill="auto"/>
            <w:vAlign w:val="center"/>
          </w:tcPr>
          <w:p w14:paraId="2CFF32D7"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4·2 Were continuous and categorical predictors handled appropriately?</w:t>
            </w:r>
          </w:p>
        </w:tc>
        <w:tc>
          <w:tcPr>
            <w:tcW w:w="2065" w:type="dxa"/>
            <w:shd w:val="clear" w:color="auto" w:fill="auto"/>
            <w:noWrap/>
            <w:vAlign w:val="center"/>
          </w:tcPr>
          <w:p w14:paraId="554E35B9"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Yes</w:t>
            </w:r>
          </w:p>
        </w:tc>
        <w:tc>
          <w:tcPr>
            <w:tcW w:w="5695" w:type="dxa"/>
            <w:shd w:val="clear" w:color="auto" w:fill="auto"/>
            <w:vAlign w:val="center"/>
          </w:tcPr>
          <w:p w14:paraId="346FEF52" w14:textId="77777777" w:rsidR="00212F7E" w:rsidRPr="00BE0281" w:rsidRDefault="00212F7E" w:rsidP="003D53B2">
            <w:pPr>
              <w:spacing w:after="0"/>
              <w:rPr>
                <w:rFonts w:ascii="Times New Roman" w:eastAsia="宋体" w:hAnsi="Times New Roman" w:cs="Times New Roman"/>
                <w:color w:val="000000"/>
                <w:sz w:val="20"/>
                <w:lang w:val="en-US"/>
              </w:rPr>
            </w:pPr>
            <w:r w:rsidRPr="00BE0281">
              <w:rPr>
                <w:rFonts w:ascii="Times New Roman" w:eastAsia="宋体" w:hAnsi="Times New Roman" w:cs="Times New Roman"/>
                <w:color w:val="000000"/>
                <w:sz w:val="20"/>
                <w:lang w:val="en-US"/>
              </w:rPr>
              <w:t xml:space="preserve">Functional form of the relation between continuous variables and outcome was investigated, and suitable variable transformations </w:t>
            </w:r>
            <w:r w:rsidRPr="00BE0281">
              <w:rPr>
                <w:rFonts w:ascii="Times New Roman" w:eastAsia="宋体" w:hAnsi="Times New Roman" w:cs="Times New Roman"/>
                <w:color w:val="000000"/>
                <w:sz w:val="20"/>
                <w:lang w:val="en-US"/>
              </w:rPr>
              <w:lastRenderedPageBreak/>
              <w:t>were performed in case the linear assumption did not hold. No categorization was done for continuous variables.</w:t>
            </w:r>
          </w:p>
        </w:tc>
      </w:tr>
      <w:tr w:rsidR="00212F7E" w:rsidRPr="00E43090" w14:paraId="262B360F" w14:textId="77777777" w:rsidTr="003D53B2">
        <w:trPr>
          <w:trHeight w:val="757"/>
        </w:trPr>
        <w:tc>
          <w:tcPr>
            <w:tcW w:w="5160" w:type="dxa"/>
            <w:shd w:val="clear" w:color="auto" w:fill="auto"/>
            <w:vAlign w:val="center"/>
          </w:tcPr>
          <w:p w14:paraId="4E41767F"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lastRenderedPageBreak/>
              <w:t>4·3 Were all enrolled participants included in the analysis?</w:t>
            </w:r>
          </w:p>
        </w:tc>
        <w:tc>
          <w:tcPr>
            <w:tcW w:w="2065" w:type="dxa"/>
            <w:shd w:val="clear" w:color="auto" w:fill="auto"/>
            <w:vAlign w:val="center"/>
          </w:tcPr>
          <w:p w14:paraId="406BC9A4"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Yes</w:t>
            </w:r>
          </w:p>
        </w:tc>
        <w:tc>
          <w:tcPr>
            <w:tcW w:w="5695" w:type="dxa"/>
            <w:shd w:val="clear" w:color="auto" w:fill="auto"/>
            <w:vAlign w:val="center"/>
          </w:tcPr>
          <w:p w14:paraId="02237AD0"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All patients met the inclusion criteria were included in the analysis.</w:t>
            </w:r>
          </w:p>
        </w:tc>
      </w:tr>
      <w:tr w:rsidR="00212F7E" w:rsidRPr="00E43090" w14:paraId="3B1BB805" w14:textId="77777777" w:rsidTr="003D53B2">
        <w:trPr>
          <w:trHeight w:val="747"/>
        </w:trPr>
        <w:tc>
          <w:tcPr>
            <w:tcW w:w="5160" w:type="dxa"/>
            <w:shd w:val="clear" w:color="auto" w:fill="auto"/>
            <w:vAlign w:val="center"/>
          </w:tcPr>
          <w:p w14:paraId="62C5B5A4"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4·4 Were participants with missing data handled appropriately?</w:t>
            </w:r>
          </w:p>
        </w:tc>
        <w:tc>
          <w:tcPr>
            <w:tcW w:w="2065" w:type="dxa"/>
            <w:shd w:val="clear" w:color="auto" w:fill="auto"/>
            <w:noWrap/>
            <w:vAlign w:val="center"/>
          </w:tcPr>
          <w:p w14:paraId="55D63D67" w14:textId="77777777" w:rsidR="00212F7E" w:rsidRPr="00E43090" w:rsidRDefault="00212F7E" w:rsidP="003D53B2">
            <w:pPr>
              <w:spacing w:after="0"/>
              <w:rPr>
                <w:rFonts w:ascii="Times New Roman" w:eastAsia="宋体" w:hAnsi="Times New Roman" w:cs="Times New Roman"/>
                <w:color w:val="000000"/>
                <w:sz w:val="20"/>
                <w:lang w:val="en-US"/>
              </w:rPr>
            </w:pPr>
            <w:r w:rsidRPr="00BE0281">
              <w:rPr>
                <w:rFonts w:ascii="Times New Roman" w:eastAsia="宋体" w:hAnsi="Times New Roman" w:cs="Times New Roman"/>
                <w:color w:val="000000"/>
                <w:sz w:val="20"/>
                <w:lang w:val="en-US"/>
              </w:rPr>
              <w:t xml:space="preserve">Probably </w:t>
            </w:r>
            <w:r w:rsidRPr="00E43090">
              <w:rPr>
                <w:rFonts w:ascii="Times New Roman" w:eastAsia="宋体" w:hAnsi="Times New Roman" w:cs="Times New Roman"/>
                <w:color w:val="000000"/>
                <w:sz w:val="20"/>
                <w:lang w:val="en-US"/>
              </w:rPr>
              <w:t>yes</w:t>
            </w:r>
          </w:p>
        </w:tc>
        <w:tc>
          <w:tcPr>
            <w:tcW w:w="5695" w:type="dxa"/>
            <w:shd w:val="clear" w:color="auto" w:fill="auto"/>
            <w:vAlign w:val="center"/>
          </w:tcPr>
          <w:p w14:paraId="16FE76AE"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Predictors with high percentage of missing value were excluded from the final model.</w:t>
            </w:r>
          </w:p>
        </w:tc>
      </w:tr>
      <w:tr w:rsidR="00212F7E" w:rsidRPr="00E43090" w14:paraId="1D419F97" w14:textId="77777777" w:rsidTr="003D53B2">
        <w:trPr>
          <w:trHeight w:val="782"/>
        </w:trPr>
        <w:tc>
          <w:tcPr>
            <w:tcW w:w="5160" w:type="dxa"/>
            <w:shd w:val="clear" w:color="auto" w:fill="auto"/>
            <w:vAlign w:val="center"/>
          </w:tcPr>
          <w:p w14:paraId="316F643F"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 xml:space="preserve">4·5 Was selection of predictors based on </w:t>
            </w:r>
            <w:proofErr w:type="spellStart"/>
            <w:r w:rsidRPr="00E43090">
              <w:rPr>
                <w:rFonts w:ascii="Times New Roman" w:eastAsia="Times New Roman" w:hAnsi="Times New Roman" w:cs="Times New Roman"/>
                <w:color w:val="000000"/>
                <w:sz w:val="20"/>
                <w:lang w:val="en-US"/>
              </w:rPr>
              <w:t>univariable</w:t>
            </w:r>
            <w:proofErr w:type="spellEnd"/>
            <w:r w:rsidRPr="00E43090">
              <w:rPr>
                <w:rFonts w:ascii="Times New Roman" w:eastAsia="Times New Roman" w:hAnsi="Times New Roman" w:cs="Times New Roman"/>
                <w:color w:val="000000"/>
                <w:sz w:val="20"/>
                <w:lang w:val="en-US"/>
              </w:rPr>
              <w:t xml:space="preserve"> analysis avoided?</w:t>
            </w:r>
          </w:p>
        </w:tc>
        <w:tc>
          <w:tcPr>
            <w:tcW w:w="2065" w:type="dxa"/>
            <w:shd w:val="clear" w:color="auto" w:fill="auto"/>
            <w:noWrap/>
            <w:vAlign w:val="center"/>
          </w:tcPr>
          <w:p w14:paraId="196582DB"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Yes</w:t>
            </w:r>
          </w:p>
        </w:tc>
        <w:tc>
          <w:tcPr>
            <w:tcW w:w="5695" w:type="dxa"/>
            <w:shd w:val="clear" w:color="auto" w:fill="auto"/>
            <w:vAlign w:val="center"/>
          </w:tcPr>
          <w:p w14:paraId="6659C759"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 xml:space="preserve">Variable selection was based on multivariable analysis, and </w:t>
            </w:r>
            <w:proofErr w:type="spellStart"/>
            <w:r w:rsidRPr="00E43090">
              <w:rPr>
                <w:rFonts w:ascii="Times New Roman" w:eastAsia="宋体" w:hAnsi="Times New Roman" w:cs="Times New Roman"/>
                <w:color w:val="000000"/>
                <w:sz w:val="20"/>
                <w:lang w:val="en-US"/>
              </w:rPr>
              <w:t>u</w:t>
            </w:r>
            <w:r w:rsidRPr="00BE0281">
              <w:rPr>
                <w:rFonts w:ascii="Times New Roman" w:eastAsia="宋体" w:hAnsi="Times New Roman" w:cs="Times New Roman"/>
                <w:color w:val="000000"/>
                <w:sz w:val="20"/>
                <w:lang w:val="en-US"/>
              </w:rPr>
              <w:t>nivariable</w:t>
            </w:r>
            <w:proofErr w:type="spellEnd"/>
            <w:r w:rsidRPr="00E43090">
              <w:rPr>
                <w:rFonts w:ascii="Times New Roman" w:eastAsia="宋体" w:hAnsi="Times New Roman" w:cs="Times New Roman"/>
                <w:color w:val="000000"/>
                <w:sz w:val="20"/>
                <w:lang w:val="en-US"/>
              </w:rPr>
              <w:t xml:space="preserve"> was performed for investigating the non-linear relation.</w:t>
            </w:r>
          </w:p>
        </w:tc>
      </w:tr>
      <w:tr w:rsidR="00212F7E" w:rsidRPr="00E43090" w14:paraId="0C344ED3" w14:textId="77777777" w:rsidTr="003D53B2">
        <w:trPr>
          <w:trHeight w:val="1080"/>
        </w:trPr>
        <w:tc>
          <w:tcPr>
            <w:tcW w:w="5160" w:type="dxa"/>
            <w:shd w:val="clear" w:color="auto" w:fill="auto"/>
            <w:vAlign w:val="center"/>
          </w:tcPr>
          <w:p w14:paraId="799419CD"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4·6 Were complexities in the data (e.g., censoring, competing risks, sampling of controls) accounted for appropriately?</w:t>
            </w:r>
          </w:p>
        </w:tc>
        <w:tc>
          <w:tcPr>
            <w:tcW w:w="2065" w:type="dxa"/>
            <w:shd w:val="clear" w:color="auto" w:fill="auto"/>
            <w:vAlign w:val="center"/>
          </w:tcPr>
          <w:p w14:paraId="41AEC549"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Yes</w:t>
            </w:r>
          </w:p>
        </w:tc>
        <w:tc>
          <w:tcPr>
            <w:tcW w:w="5695" w:type="dxa"/>
            <w:shd w:val="clear" w:color="auto" w:fill="auto"/>
            <w:vAlign w:val="center"/>
          </w:tcPr>
          <w:p w14:paraId="68D34614" w14:textId="77777777" w:rsidR="00212F7E" w:rsidRPr="00BE0281"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Discharge was properly considered as a competing risk event of in-hospital death in the analysis.</w:t>
            </w:r>
          </w:p>
        </w:tc>
      </w:tr>
      <w:tr w:rsidR="00212F7E" w:rsidRPr="00E43090" w14:paraId="4334DFD3" w14:textId="77777777" w:rsidTr="003D53B2">
        <w:trPr>
          <w:trHeight w:val="717"/>
        </w:trPr>
        <w:tc>
          <w:tcPr>
            <w:tcW w:w="5160" w:type="dxa"/>
            <w:vAlign w:val="center"/>
          </w:tcPr>
          <w:p w14:paraId="4DC0BB29"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4·7 Were relevant model performance measures evaluated appropriately?</w:t>
            </w:r>
          </w:p>
        </w:tc>
        <w:tc>
          <w:tcPr>
            <w:tcW w:w="2065" w:type="dxa"/>
            <w:noWrap/>
            <w:vAlign w:val="center"/>
          </w:tcPr>
          <w:p w14:paraId="75D8EACF"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Yes</w:t>
            </w:r>
          </w:p>
        </w:tc>
        <w:tc>
          <w:tcPr>
            <w:tcW w:w="5695" w:type="dxa"/>
            <w:vAlign w:val="center"/>
          </w:tcPr>
          <w:p w14:paraId="1DB4FC04" w14:textId="77777777" w:rsidR="00212F7E" w:rsidRPr="00BE0281" w:rsidRDefault="00212F7E" w:rsidP="003D53B2">
            <w:pPr>
              <w:spacing w:after="0"/>
              <w:rPr>
                <w:rFonts w:ascii="Times New Roman" w:eastAsia="宋体" w:hAnsi="Times New Roman" w:cs="Times New Roman"/>
                <w:color w:val="000000"/>
                <w:sz w:val="20"/>
                <w:lang w:val="en-US"/>
              </w:rPr>
            </w:pPr>
            <w:r w:rsidRPr="00BE0281">
              <w:rPr>
                <w:rFonts w:ascii="Times New Roman" w:eastAsia="宋体" w:hAnsi="Times New Roman" w:cs="Times New Roman"/>
                <w:color w:val="000000"/>
                <w:sz w:val="20"/>
                <w:lang w:val="en-US"/>
              </w:rPr>
              <w:t xml:space="preserve">Discrimination was assessed by </w:t>
            </w:r>
            <w:r w:rsidRPr="00E43090">
              <w:rPr>
                <w:rFonts w:ascii="Times New Roman" w:eastAsia="宋体" w:hAnsi="Times New Roman" w:cs="Times New Roman"/>
                <w:color w:val="000000"/>
                <w:sz w:val="20"/>
                <w:lang w:val="en-US"/>
              </w:rPr>
              <w:t>C-statistics</w:t>
            </w:r>
            <w:r w:rsidRPr="00BE0281">
              <w:rPr>
                <w:rFonts w:ascii="Times New Roman" w:eastAsia="宋体" w:hAnsi="Times New Roman" w:cs="Times New Roman"/>
                <w:color w:val="000000"/>
                <w:sz w:val="20"/>
                <w:lang w:val="en-US"/>
              </w:rPr>
              <w:t>, and calibration curve was used to assess calibration.</w:t>
            </w:r>
          </w:p>
        </w:tc>
      </w:tr>
      <w:tr w:rsidR="00212F7E" w:rsidRPr="00E43090" w14:paraId="084E90F4" w14:textId="77777777" w:rsidTr="003D53B2">
        <w:trPr>
          <w:trHeight w:val="820"/>
        </w:trPr>
        <w:tc>
          <w:tcPr>
            <w:tcW w:w="5160" w:type="dxa"/>
            <w:shd w:val="clear" w:color="auto" w:fill="auto"/>
            <w:vAlign w:val="center"/>
          </w:tcPr>
          <w:p w14:paraId="5E7B683C"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4·8 Were model overfitting and optimism in model performance accounted for?</w:t>
            </w:r>
          </w:p>
        </w:tc>
        <w:tc>
          <w:tcPr>
            <w:tcW w:w="2065" w:type="dxa"/>
            <w:shd w:val="clear" w:color="auto" w:fill="auto"/>
            <w:noWrap/>
            <w:vAlign w:val="center"/>
          </w:tcPr>
          <w:p w14:paraId="3F5AA3AF"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Yes</w:t>
            </w:r>
          </w:p>
        </w:tc>
        <w:tc>
          <w:tcPr>
            <w:tcW w:w="5695" w:type="dxa"/>
            <w:shd w:val="clear" w:color="auto" w:fill="auto"/>
            <w:vAlign w:val="center"/>
          </w:tcPr>
          <w:p w14:paraId="13463AE8"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Optimism in model performance was adjusted with bootstrapping internal validation, a shrinkage factor was multiplied to the linear predictor to prevent overfitting.</w:t>
            </w:r>
          </w:p>
        </w:tc>
      </w:tr>
      <w:tr w:rsidR="00212F7E" w:rsidRPr="00E43090" w14:paraId="47709781" w14:textId="77777777" w:rsidTr="003D53B2">
        <w:trPr>
          <w:trHeight w:val="841"/>
        </w:trPr>
        <w:tc>
          <w:tcPr>
            <w:tcW w:w="5160" w:type="dxa"/>
            <w:shd w:val="clear" w:color="auto" w:fill="auto"/>
            <w:vAlign w:val="center"/>
          </w:tcPr>
          <w:p w14:paraId="491B9CBC" w14:textId="77777777" w:rsidR="00212F7E" w:rsidRPr="00E43090" w:rsidRDefault="00212F7E" w:rsidP="003D53B2">
            <w:pPr>
              <w:spacing w:after="0"/>
              <w:rPr>
                <w:rFonts w:ascii="Times New Roman" w:eastAsia="Times New Roman" w:hAnsi="Times New Roman" w:cs="Times New Roman"/>
                <w:color w:val="000000"/>
                <w:sz w:val="20"/>
                <w:lang w:val="en-US"/>
              </w:rPr>
            </w:pPr>
            <w:r w:rsidRPr="00E43090">
              <w:rPr>
                <w:rFonts w:ascii="Times New Roman" w:eastAsia="Times New Roman" w:hAnsi="Times New Roman" w:cs="Times New Roman"/>
                <w:color w:val="000000"/>
                <w:sz w:val="20"/>
                <w:lang w:val="en-US"/>
              </w:rPr>
              <w:t>4·9 Do predictors and their assigned weights in the final model correspond to the results from multivariable analysis?</w:t>
            </w:r>
          </w:p>
        </w:tc>
        <w:tc>
          <w:tcPr>
            <w:tcW w:w="2065" w:type="dxa"/>
            <w:shd w:val="clear" w:color="auto" w:fill="auto"/>
            <w:noWrap/>
            <w:vAlign w:val="center"/>
          </w:tcPr>
          <w:p w14:paraId="4358A5B3"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Yes</w:t>
            </w:r>
          </w:p>
        </w:tc>
        <w:tc>
          <w:tcPr>
            <w:tcW w:w="5695" w:type="dxa"/>
            <w:shd w:val="clear" w:color="auto" w:fill="auto"/>
            <w:vAlign w:val="center"/>
          </w:tcPr>
          <w:p w14:paraId="3AD98FDB" w14:textId="77777777" w:rsidR="00212F7E" w:rsidRPr="00E43090" w:rsidRDefault="00212F7E" w:rsidP="003D53B2">
            <w:pPr>
              <w:spacing w:after="0"/>
              <w:rPr>
                <w:rFonts w:ascii="Times New Roman" w:eastAsia="宋体" w:hAnsi="Times New Roman" w:cs="Times New Roman"/>
                <w:color w:val="000000"/>
                <w:sz w:val="20"/>
                <w:lang w:val="en-US"/>
              </w:rPr>
            </w:pPr>
            <w:r w:rsidRPr="00E43090">
              <w:rPr>
                <w:rFonts w:ascii="Times New Roman" w:eastAsia="宋体" w:hAnsi="Times New Roman" w:cs="Times New Roman"/>
                <w:color w:val="000000"/>
                <w:sz w:val="20"/>
                <w:lang w:val="en-US"/>
              </w:rPr>
              <w:t>Coefficients of the multivariable Cox model was directly used in the calculation of the prognostic index (PI).</w:t>
            </w:r>
          </w:p>
        </w:tc>
      </w:tr>
      <w:tr w:rsidR="00212F7E" w:rsidRPr="00E43090" w14:paraId="70F34405" w14:textId="77777777" w:rsidTr="003D53B2">
        <w:trPr>
          <w:trHeight w:val="439"/>
        </w:trPr>
        <w:tc>
          <w:tcPr>
            <w:tcW w:w="5160" w:type="dxa"/>
            <w:shd w:val="clear" w:color="auto" w:fill="9CC2E5"/>
            <w:vAlign w:val="center"/>
          </w:tcPr>
          <w:p w14:paraId="45710CA0"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Times New Roman" w:hAnsi="Times New Roman" w:cs="Times New Roman"/>
                <w:b/>
                <w:bCs/>
                <w:color w:val="000000"/>
                <w:sz w:val="20"/>
                <w:lang w:val="en-US"/>
              </w:rPr>
              <w:t>Overall risk of bias of Domain 4</w:t>
            </w:r>
          </w:p>
        </w:tc>
        <w:tc>
          <w:tcPr>
            <w:tcW w:w="2065" w:type="dxa"/>
            <w:shd w:val="clear" w:color="auto" w:fill="92D050"/>
            <w:noWrap/>
            <w:vAlign w:val="center"/>
          </w:tcPr>
          <w:p w14:paraId="1CFE2B05" w14:textId="77777777" w:rsidR="00212F7E" w:rsidRPr="00E43090" w:rsidRDefault="00212F7E" w:rsidP="003D53B2">
            <w:pPr>
              <w:spacing w:after="0"/>
              <w:rPr>
                <w:rFonts w:ascii="Times New Roman" w:eastAsia="Times New Roman" w:hAnsi="Times New Roman" w:cs="Times New Roman"/>
                <w:b/>
                <w:bCs/>
                <w:color w:val="000000"/>
                <w:sz w:val="20"/>
                <w:lang w:val="en-US"/>
              </w:rPr>
            </w:pPr>
            <w:r w:rsidRPr="00E43090">
              <w:rPr>
                <w:rFonts w:ascii="Times New Roman" w:eastAsia="宋体" w:hAnsi="Times New Roman" w:cs="Times New Roman"/>
                <w:b/>
                <w:bCs/>
                <w:color w:val="000000"/>
                <w:sz w:val="20"/>
                <w:lang w:val="en-US"/>
              </w:rPr>
              <w:t>Low</w:t>
            </w:r>
            <w:r w:rsidRPr="00E43090">
              <w:rPr>
                <w:rFonts w:ascii="Times New Roman" w:eastAsia="Times New Roman" w:hAnsi="Times New Roman" w:cs="Times New Roman"/>
                <w:b/>
                <w:bCs/>
                <w:color w:val="000000"/>
                <w:sz w:val="20"/>
                <w:lang w:val="en-US"/>
              </w:rPr>
              <w:t xml:space="preserve"> risk of bias</w:t>
            </w:r>
          </w:p>
        </w:tc>
        <w:tc>
          <w:tcPr>
            <w:tcW w:w="5695" w:type="dxa"/>
            <w:shd w:val="clear" w:color="auto" w:fill="9CC2E5"/>
            <w:vAlign w:val="center"/>
          </w:tcPr>
          <w:p w14:paraId="5DC530F0" w14:textId="77777777" w:rsidR="00212F7E" w:rsidRPr="00E43090" w:rsidRDefault="00212F7E" w:rsidP="003D53B2">
            <w:pPr>
              <w:spacing w:after="0"/>
              <w:rPr>
                <w:rFonts w:ascii="Times New Roman" w:eastAsia="Times New Roman" w:hAnsi="Times New Roman" w:cs="Times New Roman"/>
                <w:b/>
                <w:bCs/>
                <w:color w:val="000000"/>
                <w:sz w:val="20"/>
                <w:lang w:val="en-US"/>
              </w:rPr>
            </w:pPr>
          </w:p>
        </w:tc>
      </w:tr>
    </w:tbl>
    <w:p w14:paraId="472188BA" w14:textId="2CF9EA1E" w:rsidR="00782C14" w:rsidRDefault="00782C14" w:rsidP="00FE4F0F"/>
    <w:sectPr w:rsidR="00782C14" w:rsidSect="00212F7E">
      <w:pgSz w:w="16838" w:h="11906" w:orient="landscape"/>
      <w:pgMar w:top="1440" w:right="1440" w:bottom="1440" w:left="1440" w:header="706" w:footer="706" w:gutter="0"/>
      <w:cols w:space="708"/>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56AC9" w14:textId="77777777" w:rsidR="00D2382C" w:rsidRDefault="00D2382C">
      <w:pPr>
        <w:spacing w:after="0" w:line="240" w:lineRule="auto"/>
      </w:pPr>
      <w:r>
        <w:separator/>
      </w:r>
    </w:p>
  </w:endnote>
  <w:endnote w:type="continuationSeparator" w:id="0">
    <w:p w14:paraId="0C544315" w14:textId="77777777" w:rsidR="00D2382C" w:rsidRDefault="00D2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65DD8" w14:textId="77777777" w:rsidR="00D2382C" w:rsidRDefault="00D2382C">
      <w:pPr>
        <w:spacing w:after="0" w:line="240" w:lineRule="auto"/>
      </w:pPr>
      <w:r>
        <w:separator/>
      </w:r>
    </w:p>
  </w:footnote>
  <w:footnote w:type="continuationSeparator" w:id="0">
    <w:p w14:paraId="0EDCD08E" w14:textId="77777777" w:rsidR="00D2382C" w:rsidRDefault="00D23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500939"/>
    </w:sdtPr>
    <w:sdtEndPr/>
    <w:sdtContent>
      <w:p w14:paraId="6824B11A" w14:textId="355EBD6E" w:rsidR="00C72BD7" w:rsidRDefault="009A7430">
        <w:pPr>
          <w:pStyle w:val="ac"/>
          <w:jc w:val="right"/>
        </w:pPr>
        <w:r>
          <w:fldChar w:fldCharType="begin"/>
        </w:r>
        <w:r>
          <w:instrText>PAGE   \* MERGEFORMAT</w:instrText>
        </w:r>
        <w:r>
          <w:fldChar w:fldCharType="separate"/>
        </w:r>
        <w:r w:rsidR="00A82924" w:rsidRPr="00A82924">
          <w:rPr>
            <w:noProof/>
            <w:lang w:val="zh-CN"/>
          </w:rPr>
          <w:t>11</w:t>
        </w:r>
        <w:r>
          <w:fldChar w:fldCharType="end"/>
        </w:r>
      </w:p>
    </w:sdtContent>
  </w:sdt>
  <w:p w14:paraId="62AB20E3" w14:textId="77777777" w:rsidR="00C72BD7" w:rsidRDefault="00D2382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2E2D"/>
    <w:multiLevelType w:val="multilevel"/>
    <w:tmpl w:val="92AAEE84"/>
    <w:lvl w:ilvl="0">
      <w:start w:val="1"/>
      <w:numFmt w:val="decimal"/>
      <w:lvlText w:val="%1."/>
      <w:lvlJc w:val="left"/>
      <w:pPr>
        <w:ind w:left="938" w:hanging="360"/>
      </w:pPr>
      <w:rPr>
        <w:rFonts w:hint="default"/>
      </w:rPr>
    </w:lvl>
    <w:lvl w:ilvl="1">
      <w:start w:val="3"/>
      <w:numFmt w:val="decimal"/>
      <w:isLgl/>
      <w:lvlText w:val="%1.%2"/>
      <w:lvlJc w:val="left"/>
      <w:pPr>
        <w:ind w:left="93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298" w:hanging="720"/>
      </w:pPr>
      <w:rPr>
        <w:rFonts w:hint="default"/>
      </w:rPr>
    </w:lvl>
    <w:lvl w:ilvl="4">
      <w:start w:val="1"/>
      <w:numFmt w:val="decimal"/>
      <w:isLgl/>
      <w:lvlText w:val="%1.%2.%3.%4.%5"/>
      <w:lvlJc w:val="left"/>
      <w:pPr>
        <w:ind w:left="1658" w:hanging="1080"/>
      </w:pPr>
      <w:rPr>
        <w:rFonts w:hint="default"/>
      </w:rPr>
    </w:lvl>
    <w:lvl w:ilvl="5">
      <w:start w:val="1"/>
      <w:numFmt w:val="decimal"/>
      <w:isLgl/>
      <w:lvlText w:val="%1.%2.%3.%4.%5.%6"/>
      <w:lvlJc w:val="left"/>
      <w:pPr>
        <w:ind w:left="1658" w:hanging="1080"/>
      </w:pPr>
      <w:rPr>
        <w:rFonts w:hint="default"/>
      </w:rPr>
    </w:lvl>
    <w:lvl w:ilvl="6">
      <w:start w:val="1"/>
      <w:numFmt w:val="decimal"/>
      <w:isLgl/>
      <w:lvlText w:val="%1.%2.%3.%4.%5.%6.%7"/>
      <w:lvlJc w:val="left"/>
      <w:pPr>
        <w:ind w:left="2018" w:hanging="1440"/>
      </w:pPr>
      <w:rPr>
        <w:rFonts w:hint="default"/>
      </w:rPr>
    </w:lvl>
    <w:lvl w:ilvl="7">
      <w:start w:val="1"/>
      <w:numFmt w:val="decimal"/>
      <w:isLgl/>
      <w:lvlText w:val="%1.%2.%3.%4.%5.%6.%7.%8"/>
      <w:lvlJc w:val="left"/>
      <w:pPr>
        <w:ind w:left="2018" w:hanging="1440"/>
      </w:pPr>
      <w:rPr>
        <w:rFonts w:hint="default"/>
      </w:rPr>
    </w:lvl>
    <w:lvl w:ilvl="8">
      <w:start w:val="1"/>
      <w:numFmt w:val="decimal"/>
      <w:isLgl/>
      <w:lvlText w:val="%1.%2.%3.%4.%5.%6.%7.%8.%9"/>
      <w:lvlJc w:val="left"/>
      <w:pPr>
        <w:ind w:left="201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MjcyMza1MLU0NrBU0lEKTi0uzszPAykwqgUAy4QZeywAAAA="/>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w55p2vuxww0re29rop09wxvd90wfwxpfet&quot;&gt;Yongfu-Converted&lt;record-ids&gt;&lt;item&gt;245506&lt;/item&gt;&lt;/record-ids&gt;&lt;/item&gt;&lt;/Libraries&gt;"/>
  </w:docVars>
  <w:rsids>
    <w:rsidRoot w:val="00FE4F0F"/>
    <w:rsid w:val="00066D3C"/>
    <w:rsid w:val="000C4336"/>
    <w:rsid w:val="000E0850"/>
    <w:rsid w:val="000F7769"/>
    <w:rsid w:val="00212F7E"/>
    <w:rsid w:val="002B3DD9"/>
    <w:rsid w:val="00782C14"/>
    <w:rsid w:val="00964A8F"/>
    <w:rsid w:val="009A7430"/>
    <w:rsid w:val="00A82924"/>
    <w:rsid w:val="00AE6FD8"/>
    <w:rsid w:val="00BE0281"/>
    <w:rsid w:val="00C43D92"/>
    <w:rsid w:val="00D2382C"/>
    <w:rsid w:val="00FE4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A5B2"/>
  <w15:chartTrackingRefBased/>
  <w15:docId w15:val="{0B64962C-B37C-40A2-B840-8825FEC0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F0F"/>
    <w:pPr>
      <w:widowControl/>
      <w:spacing w:after="200" w:line="276" w:lineRule="auto"/>
      <w:jc w:val="left"/>
    </w:pPr>
    <w:rPr>
      <w:kern w:val="0"/>
      <w:sz w:val="22"/>
      <w:lang w:val="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F0F"/>
    <w:pPr>
      <w:ind w:left="720"/>
      <w:contextualSpacing/>
    </w:pPr>
  </w:style>
  <w:style w:type="paragraph" w:styleId="a4">
    <w:name w:val="caption"/>
    <w:basedOn w:val="a"/>
    <w:next w:val="a"/>
    <w:uiPriority w:val="35"/>
    <w:unhideWhenUsed/>
    <w:qFormat/>
    <w:rsid w:val="00066D3C"/>
    <w:pPr>
      <w:spacing w:line="240" w:lineRule="auto"/>
    </w:pPr>
    <w:rPr>
      <w:i/>
      <w:iCs/>
      <w:color w:val="44546A" w:themeColor="text2"/>
      <w:sz w:val="18"/>
      <w:szCs w:val="18"/>
      <w:lang w:val="en-US"/>
    </w:rPr>
  </w:style>
  <w:style w:type="character" w:styleId="a5">
    <w:name w:val="annotation reference"/>
    <w:basedOn w:val="a0"/>
    <w:uiPriority w:val="99"/>
    <w:semiHidden/>
    <w:unhideWhenUsed/>
    <w:rsid w:val="000C4336"/>
    <w:rPr>
      <w:sz w:val="16"/>
      <w:szCs w:val="16"/>
    </w:rPr>
  </w:style>
  <w:style w:type="paragraph" w:styleId="a6">
    <w:name w:val="annotation text"/>
    <w:basedOn w:val="a"/>
    <w:link w:val="a7"/>
    <w:uiPriority w:val="99"/>
    <w:semiHidden/>
    <w:unhideWhenUsed/>
    <w:rsid w:val="000C4336"/>
    <w:pPr>
      <w:spacing w:line="240" w:lineRule="auto"/>
    </w:pPr>
    <w:rPr>
      <w:sz w:val="20"/>
      <w:szCs w:val="20"/>
    </w:rPr>
  </w:style>
  <w:style w:type="character" w:customStyle="1" w:styleId="a7">
    <w:name w:val="批注文字 字符"/>
    <w:basedOn w:val="a0"/>
    <w:link w:val="a6"/>
    <w:uiPriority w:val="99"/>
    <w:semiHidden/>
    <w:rsid w:val="000C4336"/>
    <w:rPr>
      <w:kern w:val="0"/>
      <w:sz w:val="20"/>
      <w:szCs w:val="20"/>
      <w:lang w:val="nl-NL"/>
    </w:rPr>
  </w:style>
  <w:style w:type="paragraph" w:styleId="a8">
    <w:name w:val="annotation subject"/>
    <w:basedOn w:val="a6"/>
    <w:next w:val="a6"/>
    <w:link w:val="a9"/>
    <w:uiPriority w:val="99"/>
    <w:semiHidden/>
    <w:unhideWhenUsed/>
    <w:rsid w:val="000C4336"/>
    <w:rPr>
      <w:b/>
      <w:bCs/>
    </w:rPr>
  </w:style>
  <w:style w:type="character" w:customStyle="1" w:styleId="a9">
    <w:name w:val="批注主题 字符"/>
    <w:basedOn w:val="a7"/>
    <w:link w:val="a8"/>
    <w:uiPriority w:val="99"/>
    <w:semiHidden/>
    <w:rsid w:val="000C4336"/>
    <w:rPr>
      <w:b/>
      <w:bCs/>
      <w:kern w:val="0"/>
      <w:sz w:val="20"/>
      <w:szCs w:val="20"/>
      <w:lang w:val="nl-NL"/>
    </w:rPr>
  </w:style>
  <w:style w:type="paragraph" w:styleId="aa">
    <w:name w:val="Balloon Text"/>
    <w:basedOn w:val="a"/>
    <w:link w:val="ab"/>
    <w:uiPriority w:val="99"/>
    <w:semiHidden/>
    <w:unhideWhenUsed/>
    <w:rsid w:val="000C4336"/>
    <w:pPr>
      <w:spacing w:after="0" w:line="240" w:lineRule="auto"/>
    </w:pPr>
    <w:rPr>
      <w:rFonts w:ascii="Segoe UI" w:hAnsi="Segoe UI" w:cs="Segoe UI"/>
      <w:sz w:val="18"/>
      <w:szCs w:val="18"/>
    </w:rPr>
  </w:style>
  <w:style w:type="character" w:customStyle="1" w:styleId="ab">
    <w:name w:val="批注框文本 字符"/>
    <w:basedOn w:val="a0"/>
    <w:link w:val="aa"/>
    <w:uiPriority w:val="99"/>
    <w:semiHidden/>
    <w:rsid w:val="000C4336"/>
    <w:rPr>
      <w:rFonts w:ascii="Segoe UI" w:hAnsi="Segoe UI" w:cs="Segoe UI"/>
      <w:kern w:val="0"/>
      <w:sz w:val="18"/>
      <w:szCs w:val="18"/>
      <w:lang w:val="nl-NL"/>
    </w:rPr>
  </w:style>
  <w:style w:type="paragraph" w:customStyle="1" w:styleId="EndNoteBibliographyTitle">
    <w:name w:val="EndNote Bibliography Title"/>
    <w:basedOn w:val="a"/>
    <w:link w:val="EndNoteBibliographyTitleChar"/>
    <w:rsid w:val="000F7769"/>
    <w:pPr>
      <w:spacing w:after="0"/>
      <w:jc w:val="center"/>
    </w:pPr>
    <w:rPr>
      <w:rFonts w:ascii="Calibri" w:hAnsi="Calibri" w:cs="Calibri"/>
      <w:noProof/>
    </w:rPr>
  </w:style>
  <w:style w:type="character" w:customStyle="1" w:styleId="EndNoteBibliographyTitleChar">
    <w:name w:val="EndNote Bibliography Title Char"/>
    <w:basedOn w:val="a0"/>
    <w:link w:val="EndNoteBibliographyTitle"/>
    <w:rsid w:val="000F7769"/>
    <w:rPr>
      <w:rFonts w:ascii="Calibri" w:hAnsi="Calibri" w:cs="Calibri"/>
      <w:noProof/>
      <w:kern w:val="0"/>
      <w:sz w:val="22"/>
      <w:lang w:val="nl-NL"/>
    </w:rPr>
  </w:style>
  <w:style w:type="paragraph" w:customStyle="1" w:styleId="EndNoteBibliography">
    <w:name w:val="EndNote Bibliography"/>
    <w:basedOn w:val="a"/>
    <w:link w:val="EndNoteBibliographyChar"/>
    <w:rsid w:val="000F7769"/>
    <w:pPr>
      <w:spacing w:line="240" w:lineRule="auto"/>
    </w:pPr>
    <w:rPr>
      <w:rFonts w:ascii="Calibri" w:hAnsi="Calibri" w:cs="Calibri"/>
      <w:noProof/>
    </w:rPr>
  </w:style>
  <w:style w:type="character" w:customStyle="1" w:styleId="EndNoteBibliographyChar">
    <w:name w:val="EndNote Bibliography Char"/>
    <w:basedOn w:val="a0"/>
    <w:link w:val="EndNoteBibliography"/>
    <w:rsid w:val="000F7769"/>
    <w:rPr>
      <w:rFonts w:ascii="Calibri" w:hAnsi="Calibri" w:cs="Calibri"/>
      <w:noProof/>
      <w:kern w:val="0"/>
      <w:sz w:val="22"/>
      <w:lang w:val="nl-NL"/>
    </w:rPr>
  </w:style>
  <w:style w:type="paragraph" w:styleId="ac">
    <w:name w:val="header"/>
    <w:basedOn w:val="a"/>
    <w:link w:val="ad"/>
    <w:uiPriority w:val="99"/>
    <w:unhideWhenUsed/>
    <w:rsid w:val="00212F7E"/>
    <w:pPr>
      <w:pBdr>
        <w:bottom w:val="single" w:sz="6" w:space="1" w:color="auto"/>
      </w:pBdr>
      <w:tabs>
        <w:tab w:val="center" w:pos="4153"/>
        <w:tab w:val="right" w:pos="8306"/>
      </w:tabs>
      <w:snapToGrid w:val="0"/>
      <w:spacing w:line="240" w:lineRule="auto"/>
      <w:jc w:val="center"/>
    </w:pPr>
    <w:rPr>
      <w:sz w:val="18"/>
      <w:szCs w:val="18"/>
    </w:rPr>
  </w:style>
  <w:style w:type="character" w:customStyle="1" w:styleId="ad">
    <w:name w:val="页眉 字符"/>
    <w:basedOn w:val="a0"/>
    <w:link w:val="ac"/>
    <w:uiPriority w:val="99"/>
    <w:qFormat/>
    <w:rsid w:val="00212F7E"/>
    <w:rPr>
      <w:kern w:val="0"/>
      <w:sz w:val="18"/>
      <w:szCs w:val="18"/>
      <w:lang w:val="nl-NL"/>
    </w:rPr>
  </w:style>
  <w:style w:type="table" w:styleId="ae">
    <w:name w:val="Table Grid"/>
    <w:basedOn w:val="a1"/>
    <w:uiPriority w:val="59"/>
    <w:rsid w:val="00212F7E"/>
    <w:pPr>
      <w:widowControl/>
      <w:jc w:val="left"/>
    </w:pPr>
    <w:rPr>
      <w:kern w:val="0"/>
      <w:sz w:val="22"/>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e"/>
    <w:uiPriority w:val="39"/>
    <w:qFormat/>
    <w:rsid w:val="00212F7E"/>
    <w:pPr>
      <w:widowControl/>
      <w:jc w:val="lef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Chen</dc:creator>
  <cp:keywords/>
  <dc:description/>
  <cp:lastModifiedBy>Simon Chen</cp:lastModifiedBy>
  <cp:revision>9</cp:revision>
  <dcterms:created xsi:type="dcterms:W3CDTF">2020-05-13T06:31:00Z</dcterms:created>
  <dcterms:modified xsi:type="dcterms:W3CDTF">2020-05-13T11:09:00Z</dcterms:modified>
</cp:coreProperties>
</file>