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5294" w14:textId="45C50C9F" w:rsidR="009A2EAD" w:rsidRPr="00AD54A2" w:rsidRDefault="009A2EAD" w:rsidP="009A2EAD">
      <w:pPr>
        <w:pStyle w:val="Didascalia"/>
        <w:rPr>
          <w:lang w:val="en-US"/>
        </w:rPr>
      </w:pPr>
      <w:r w:rsidRPr="00AD54A2">
        <w:rPr>
          <w:b/>
          <w:bCs/>
          <w:i w:val="0"/>
          <w:iCs w:val="0"/>
          <w:color w:val="auto"/>
          <w:sz w:val="24"/>
          <w:szCs w:val="24"/>
          <w:lang w:val="en-US"/>
        </w:rPr>
        <w:t>Supplementary Table 1</w:t>
      </w:r>
      <w:r w:rsidRPr="00AD54A2">
        <w:rPr>
          <w:i w:val="0"/>
          <w:iCs w:val="0"/>
          <w:color w:val="auto"/>
          <w:sz w:val="24"/>
          <w:szCs w:val="24"/>
          <w:lang w:val="en-US"/>
        </w:rPr>
        <w:t xml:space="preserve"> Blood and </w:t>
      </w:r>
      <w:r w:rsidR="00635A27">
        <w:rPr>
          <w:i w:val="0"/>
          <w:iCs w:val="0"/>
          <w:color w:val="auto"/>
          <w:sz w:val="24"/>
          <w:szCs w:val="24"/>
          <w:lang w:val="en-US"/>
        </w:rPr>
        <w:t>cerebrospinal fluid</w:t>
      </w:r>
      <w:r w:rsidRPr="00AD54A2">
        <w:rPr>
          <w:i w:val="0"/>
          <w:iCs w:val="0"/>
          <w:color w:val="auto"/>
          <w:sz w:val="24"/>
          <w:szCs w:val="24"/>
          <w:lang w:val="en-US"/>
        </w:rPr>
        <w:t xml:space="preserve"> analyses </w:t>
      </w:r>
    </w:p>
    <w:tbl>
      <w:tblPr>
        <w:tblStyle w:val="Grigliatabella"/>
        <w:tblW w:w="7146" w:type="dxa"/>
        <w:tblLook w:val="04A0" w:firstRow="1" w:lastRow="0" w:firstColumn="1" w:lastColumn="0" w:noHBand="0" w:noVBand="1"/>
      </w:tblPr>
      <w:tblGrid>
        <w:gridCol w:w="2958"/>
        <w:gridCol w:w="893"/>
        <w:gridCol w:w="916"/>
        <w:gridCol w:w="893"/>
        <w:gridCol w:w="1486"/>
      </w:tblGrid>
      <w:tr w:rsidR="009A2EAD" w:rsidRPr="00AD54A2" w14:paraId="44AF1F09" w14:textId="77777777" w:rsidTr="00D5158F">
        <w:trPr>
          <w:trHeight w:val="190"/>
        </w:trPr>
        <w:tc>
          <w:tcPr>
            <w:tcW w:w="0" w:type="auto"/>
            <w:tcBorders>
              <w:right w:val="single" w:sz="4" w:space="0" w:color="000000" w:themeColor="text1"/>
            </w:tcBorders>
            <w:vAlign w:val="center"/>
          </w:tcPr>
          <w:p w14:paraId="47BBBAC0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FFFFFF"/>
            </w:tcBorders>
            <w:vAlign w:val="center"/>
          </w:tcPr>
          <w:p w14:paraId="07F8406E" w14:textId="77777777" w:rsidR="009A2EAD" w:rsidRPr="00AD54A2" w:rsidRDefault="009A2EAD" w:rsidP="00D5158F">
            <w:pPr>
              <w:pStyle w:val="Didascalia"/>
              <w:jc w:val="center"/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>Day 1</w:t>
            </w: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CC65EB" w14:textId="77777777" w:rsidR="009A2EAD" w:rsidRPr="00AD54A2" w:rsidRDefault="009A2EAD" w:rsidP="00D5158F">
            <w:pPr>
              <w:pStyle w:val="Didascalia"/>
              <w:jc w:val="center"/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>Day 4</w:t>
            </w:r>
          </w:p>
        </w:tc>
        <w:tc>
          <w:tcPr>
            <w:tcW w:w="0" w:type="auto"/>
            <w:tcBorders>
              <w:left w:val="single" w:sz="4" w:space="0" w:color="FFFFFF"/>
              <w:right w:val="single" w:sz="4" w:space="0" w:color="000000" w:themeColor="text1"/>
            </w:tcBorders>
            <w:vAlign w:val="center"/>
          </w:tcPr>
          <w:p w14:paraId="116EDDC9" w14:textId="77777777" w:rsidR="009A2EAD" w:rsidRPr="00AD54A2" w:rsidRDefault="009A2EAD" w:rsidP="00D5158F">
            <w:pPr>
              <w:pStyle w:val="Didascalia"/>
              <w:jc w:val="center"/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>Day 8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  <w:vAlign w:val="center"/>
          </w:tcPr>
          <w:p w14:paraId="653F33B2" w14:textId="77777777" w:rsidR="009A2EAD" w:rsidRPr="00AD54A2" w:rsidRDefault="009A2EAD" w:rsidP="00D5158F">
            <w:pPr>
              <w:pStyle w:val="Didascalia"/>
              <w:jc w:val="center"/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>Cut-offs</w:t>
            </w:r>
          </w:p>
        </w:tc>
      </w:tr>
      <w:tr w:rsidR="009A2EAD" w:rsidRPr="00AD54A2" w14:paraId="64DA2E92" w14:textId="77777777" w:rsidTr="00D5158F">
        <w:trPr>
          <w:trHeight w:val="247"/>
        </w:trPr>
        <w:tc>
          <w:tcPr>
            <w:tcW w:w="0" w:type="auto"/>
            <w:gridSpan w:val="5"/>
            <w:vAlign w:val="center"/>
          </w:tcPr>
          <w:p w14:paraId="0D468147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Blood analyses</w:t>
            </w:r>
          </w:p>
        </w:tc>
      </w:tr>
      <w:tr w:rsidR="009A2EAD" w:rsidRPr="00AD54A2" w14:paraId="694A2765" w14:textId="77777777" w:rsidTr="00D5158F">
        <w:trPr>
          <w:trHeight w:val="239"/>
        </w:trPr>
        <w:tc>
          <w:tcPr>
            <w:tcW w:w="0" w:type="auto"/>
            <w:tcBorders>
              <w:bottom w:val="single" w:sz="4" w:space="0" w:color="FFFFFF"/>
            </w:tcBorders>
            <w:vAlign w:val="center"/>
          </w:tcPr>
          <w:p w14:paraId="21399692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WBC, x10</w:t>
            </w:r>
            <w:r w:rsidRPr="00AD54A2">
              <w:rPr>
                <w:sz w:val="20"/>
                <w:szCs w:val="20"/>
                <w:vertAlign w:val="superscript"/>
              </w:rPr>
              <w:t>3</w:t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uL</w:t>
            </w:r>
            <w:proofErr w:type="spellEnd"/>
          </w:p>
        </w:tc>
        <w:tc>
          <w:tcPr>
            <w:tcW w:w="0" w:type="auto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952185C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6.3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7D598A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12.24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6CE0CDFC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9.37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074B27FF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4.00-10.80</w:t>
            </w:r>
          </w:p>
        </w:tc>
      </w:tr>
      <w:tr w:rsidR="009A2EAD" w:rsidRPr="00AD54A2" w14:paraId="090ECDC5" w14:textId="77777777" w:rsidTr="00D5158F">
        <w:trPr>
          <w:trHeight w:val="247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CD62BA6" w14:textId="3381FF1D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Neutrophils, x10</w:t>
            </w:r>
            <w:r w:rsidRPr="00AD54A2">
              <w:rPr>
                <w:sz w:val="20"/>
                <w:szCs w:val="20"/>
                <w:vertAlign w:val="superscript"/>
              </w:rPr>
              <w:t>3</w:t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5576F8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4.37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C1BEA5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11.37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1FBB7C69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6.55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76A09205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1.50-8.00</w:t>
            </w:r>
          </w:p>
        </w:tc>
      </w:tr>
      <w:tr w:rsidR="009A2EAD" w:rsidRPr="00AD54A2" w14:paraId="55759D5D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7F8AD1A" w14:textId="34A91295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Lymphoc</w:t>
            </w:r>
            <w:r w:rsidR="00A4148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y</w:t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tes, x10</w:t>
            </w:r>
            <w:r w:rsidRPr="00AD54A2">
              <w:rPr>
                <w:sz w:val="20"/>
                <w:szCs w:val="20"/>
                <w:vertAlign w:val="superscript"/>
              </w:rPr>
              <w:t>3</w:t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156A34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1.03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9829BA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0285A070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1.79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5B689053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0.90-4.00</w:t>
            </w:r>
          </w:p>
        </w:tc>
      </w:tr>
      <w:tr w:rsidR="009A2EAD" w:rsidRPr="00AD54A2" w14:paraId="731D918F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C22E822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Hb</w:t>
            </w:r>
            <w:proofErr w:type="spellEnd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, mg/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dL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3010AF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15.4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FCC31F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63D642EB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highlight w:val="magenta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14.6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2DD22D38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14.00-18.00</w:t>
            </w:r>
          </w:p>
        </w:tc>
      </w:tr>
      <w:tr w:rsidR="009A2EAD" w:rsidRPr="00AD54A2" w14:paraId="48115B67" w14:textId="77777777" w:rsidTr="00D5158F">
        <w:trPr>
          <w:trHeight w:val="247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0662172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PLT, x10</w:t>
            </w:r>
            <w:r w:rsidRPr="00AD54A2">
              <w:rPr>
                <w:sz w:val="20"/>
                <w:szCs w:val="20"/>
                <w:vertAlign w:val="superscript"/>
              </w:rPr>
              <w:t>3</w:t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1DEE0C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42482F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313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65D7F66F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2915E57B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130-400</w:t>
            </w:r>
          </w:p>
        </w:tc>
      </w:tr>
      <w:tr w:rsidR="009A2EAD" w:rsidRPr="00AD54A2" w14:paraId="68D9DC05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CEC4F57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CRP, mg/L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AC9D09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2.8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1159B5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19AB3CEA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594C8D69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 w:rsidR="009A2EAD" w:rsidRPr="00AD54A2" w14:paraId="624B99BB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8DA94B8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Fibrinogen mg/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dL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8815B5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B5A9CE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5B4010A3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43CB1E06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170-410</w:t>
            </w:r>
          </w:p>
        </w:tc>
      </w:tr>
      <w:tr w:rsidR="009A2EAD" w:rsidRPr="00AD54A2" w14:paraId="1F683568" w14:textId="77777777" w:rsidTr="00D5158F">
        <w:trPr>
          <w:trHeight w:val="247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95574B4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D-Dimer, ng/mL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6AC1BB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968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970072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759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4BF8E344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highlight w:val="magenta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895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263376FB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sym w:font="Symbol" w:char="F03C"/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232</w:t>
            </w:r>
          </w:p>
        </w:tc>
      </w:tr>
      <w:tr w:rsidR="009A2EAD" w:rsidRPr="00AD54A2" w14:paraId="154DC4DB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BD58F6C" w14:textId="35559770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Ferritin</w:t>
            </w:r>
            <w:r w:rsid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150028"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mg/</w:t>
            </w:r>
            <w:r w:rsid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 w:rsidR="00150028"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L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EC2EB9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C95F39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0556FCC1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highlight w:val="magenta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752B32EE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200-350</w:t>
            </w:r>
          </w:p>
        </w:tc>
      </w:tr>
      <w:tr w:rsidR="009A2EAD" w:rsidRPr="00AD54A2" w14:paraId="1EBEC16C" w14:textId="77777777" w:rsidTr="00EF6730">
        <w:trPr>
          <w:trHeight w:val="239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6385CAB7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CSF analyses</w:t>
            </w:r>
          </w:p>
        </w:tc>
      </w:tr>
      <w:tr w:rsidR="009A2EAD" w:rsidRPr="00AD54A2" w14:paraId="6FF58C12" w14:textId="77777777" w:rsidTr="00EF6730">
        <w:trPr>
          <w:trHeight w:val="239"/>
        </w:trPr>
        <w:tc>
          <w:tcPr>
            <w:tcW w:w="0" w:type="auto"/>
            <w:tcBorders>
              <w:bottom w:val="nil"/>
            </w:tcBorders>
            <w:vAlign w:val="center"/>
          </w:tcPr>
          <w:p w14:paraId="170F1824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Cell count/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uL</w:t>
            </w:r>
            <w:proofErr w:type="spellEnd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, n</w:t>
            </w:r>
          </w:p>
        </w:tc>
        <w:tc>
          <w:tcPr>
            <w:tcW w:w="0" w:type="auto"/>
            <w:tcBorders>
              <w:bottom w:val="nil"/>
              <w:right w:val="single" w:sz="4" w:space="0" w:color="FFFFFF"/>
            </w:tcBorders>
            <w:vAlign w:val="center"/>
          </w:tcPr>
          <w:p w14:paraId="391DD0A1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7D98921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left w:val="single" w:sz="4" w:space="0" w:color="FFFFFF"/>
              <w:bottom w:val="nil"/>
              <w:right w:val="single" w:sz="4" w:space="0" w:color="000000" w:themeColor="text1"/>
            </w:tcBorders>
            <w:vAlign w:val="center"/>
          </w:tcPr>
          <w:p w14:paraId="7F6E8C41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nil"/>
            </w:tcBorders>
            <w:vAlign w:val="center"/>
          </w:tcPr>
          <w:p w14:paraId="4F078E93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sym w:font="Symbol" w:char="F03C"/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4</w:t>
            </w:r>
          </w:p>
        </w:tc>
      </w:tr>
      <w:tr w:rsidR="00150028" w:rsidRPr="00AD54A2" w14:paraId="5C4A6DF7" w14:textId="77777777" w:rsidTr="00EF6730">
        <w:trPr>
          <w:trHeight w:val="239"/>
        </w:trPr>
        <w:tc>
          <w:tcPr>
            <w:tcW w:w="0" w:type="auto"/>
            <w:tcBorders>
              <w:top w:val="nil"/>
              <w:bottom w:val="single" w:sz="4" w:space="0" w:color="FFFFFF"/>
            </w:tcBorders>
            <w:vAlign w:val="center"/>
          </w:tcPr>
          <w:p w14:paraId="7F2E0BB4" w14:textId="1600EE4A" w:rsidR="00150028" w:rsidRPr="00150028" w:rsidRDefault="00150028" w:rsidP="00150028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Of which, % lymphocytes</w:t>
            </w:r>
          </w:p>
        </w:tc>
        <w:tc>
          <w:tcPr>
            <w:tcW w:w="0" w:type="auto"/>
            <w:tcBorders>
              <w:top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483FC0B" w14:textId="3CC237D1" w:rsidR="00150028" w:rsidRPr="00150028" w:rsidRDefault="00150028" w:rsidP="00150028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68EB03" w14:textId="01E429D7" w:rsidR="00150028" w:rsidRPr="00150028" w:rsidRDefault="00150028" w:rsidP="00150028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320CDB0F" w14:textId="2925D993" w:rsidR="00150028" w:rsidRPr="00150028" w:rsidRDefault="00150028" w:rsidP="00150028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323CA9CA" w14:textId="77777777" w:rsidR="00150028" w:rsidRPr="00150028" w:rsidRDefault="00150028" w:rsidP="00150028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9A2EAD" w:rsidRPr="00AD54A2" w14:paraId="0F6CB83E" w14:textId="77777777" w:rsidTr="00D5158F">
        <w:trPr>
          <w:trHeight w:val="247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A0B733E" w14:textId="5285B89E" w:rsidR="009A2EAD" w:rsidRPr="00150028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Protein, mg/</w:t>
            </w:r>
            <w:proofErr w:type="spellStart"/>
            <w:r w:rsid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50F028" w14:textId="151493A0" w:rsidR="009A2EAD" w:rsidRPr="00150028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69</w:t>
            </w:r>
            <w:r w:rsid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.</w:t>
            </w: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1A182F" w14:textId="4B0BD14A" w:rsidR="009A2EAD" w:rsidRPr="00150028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12</w:t>
            </w:r>
            <w:r w:rsid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7.</w:t>
            </w: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541E7AE5" w14:textId="1F68DDE0" w:rsidR="009A2EAD" w:rsidRPr="00150028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91</w:t>
            </w:r>
            <w:r w:rsid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.</w:t>
            </w: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305D8965" w14:textId="015C6455" w:rsidR="009A2EAD" w:rsidRPr="00150028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50028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15-45</w:t>
            </w:r>
          </w:p>
        </w:tc>
      </w:tr>
      <w:tr w:rsidR="009A2EAD" w:rsidRPr="00AD54A2" w14:paraId="584B5B86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8E4E01D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Glucose, mg/</w:t>
            </w:r>
            <w:proofErr w:type="spellStart"/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dL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769E36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A06A1D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7913B4F8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04129784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50-100</w:t>
            </w:r>
          </w:p>
        </w:tc>
      </w:tr>
      <w:tr w:rsidR="009A2EAD" w:rsidRPr="00AD54A2" w14:paraId="4210E37E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E0302D6" w14:textId="374B8C31" w:rsidR="009A2EAD" w:rsidRPr="00AD54A2" w:rsidRDefault="00762B24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SARS-CoV-2</w:t>
            </w:r>
            <w:r w:rsidR="009A2EAD"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R</w:t>
            </w: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NA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90BFCF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Neg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1B298A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Neg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1D155599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5681867A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Negative</w:t>
            </w:r>
          </w:p>
        </w:tc>
      </w:tr>
      <w:tr w:rsidR="009A2EAD" w:rsidRPr="00AD54A2" w14:paraId="24CF541A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CF42534" w14:textId="77777777" w:rsidR="009A2EAD" w:rsidRPr="00AD54A2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Link index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43F9DB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D528B8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7387CC5E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3BB834D3" w14:textId="77777777" w:rsidR="009A2EAD" w:rsidRPr="00AD54A2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D54A2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0.1-0.7</w:t>
            </w:r>
          </w:p>
        </w:tc>
      </w:tr>
      <w:tr w:rsidR="009A2EAD" w:rsidRPr="008D59EB" w14:paraId="5B9B5F40" w14:textId="77777777" w:rsidTr="0060023D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0DA2DEE" w14:textId="77777777" w:rsidR="009A2EAD" w:rsidRPr="008D59EB" w:rsidRDefault="009A2EAD" w:rsidP="00D5158F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Oligoclonal bands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20DE0D" w14:textId="77777777" w:rsidR="009A2EAD" w:rsidRPr="008D59EB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F3635A" w14:textId="77777777" w:rsidR="009A2EAD" w:rsidRPr="008D59EB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Neg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54374A3D" w14:textId="77777777" w:rsidR="009A2EAD" w:rsidRPr="008D59EB" w:rsidRDefault="009A2EAD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6827D821" w14:textId="77777777" w:rsidR="009A2EAD" w:rsidRPr="008D59EB" w:rsidRDefault="00035FD7" w:rsidP="00D5158F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Negative</w:t>
            </w:r>
          </w:p>
        </w:tc>
      </w:tr>
      <w:tr w:rsidR="0060023D" w:rsidRPr="008D59EB" w14:paraId="6D39B06C" w14:textId="77777777" w:rsidTr="0060023D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2A1FE5A" w14:textId="77777777" w:rsidR="0060023D" w:rsidRPr="008D59EB" w:rsidRDefault="0060023D" w:rsidP="0060023D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IL-6, </w:t>
            </w:r>
            <w:proofErr w:type="spellStart"/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pg</w:t>
            </w:r>
            <w:proofErr w:type="spellEnd"/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/mL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A7B64F" w14:textId="77777777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09D906" w14:textId="77777777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</w:t>
            </w:r>
            <w:r w:rsidR="00AC594D"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.</w:t>
            </w: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20D7C3B4" w14:textId="77777777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</w:t>
            </w:r>
            <w:r w:rsidR="00AC594D"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.</w:t>
            </w: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107B8212" w14:textId="2A084D6D" w:rsidR="0060023D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&lt;1.30</w:t>
            </w:r>
          </w:p>
        </w:tc>
      </w:tr>
      <w:tr w:rsidR="0060023D" w:rsidRPr="008D59EB" w14:paraId="4BEC21FB" w14:textId="77777777" w:rsidTr="0060023D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9320ECD" w14:textId="77777777" w:rsidR="0060023D" w:rsidRPr="008D59EB" w:rsidRDefault="0060023D" w:rsidP="0060023D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IL-8, </w:t>
            </w:r>
            <w:proofErr w:type="spellStart"/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pg</w:t>
            </w:r>
            <w:proofErr w:type="spellEnd"/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/mL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6EBA24" w14:textId="77777777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E7F7F4" w14:textId="684E08D8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&gt;110</w:t>
            </w:r>
            <w:r w:rsidR="00762B24"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782035A9" w14:textId="77777777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06B7956D" w14:textId="3194D69E" w:rsidR="0060023D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&lt;72 </w:t>
            </w:r>
          </w:p>
        </w:tc>
      </w:tr>
      <w:tr w:rsidR="00A4148B" w:rsidRPr="008D59EB" w14:paraId="48A54325" w14:textId="77777777" w:rsidTr="0060023D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F09FA6" w14:textId="0B3F50D0" w:rsidR="00A4148B" w:rsidRPr="008D59EB" w:rsidRDefault="00A4148B" w:rsidP="00A4148B">
            <w:pPr>
              <w:pStyle w:val="Didascalia"/>
              <w:rPr>
                <w:i w:val="0"/>
                <w:iCs w:val="0"/>
                <w:color w:val="auto"/>
                <w:sz w:val="20"/>
                <w:szCs w:val="20"/>
                <w:lang w:val="sv-SE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sv-SE"/>
              </w:rPr>
              <w:t>TNF-</w:t>
            </w: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sym w:font="Symbol" w:char="F061"/>
            </w:r>
            <w:r w:rsidRPr="008D59EB">
              <w:rPr>
                <w:i w:val="0"/>
                <w:iCs w:val="0"/>
                <w:color w:val="auto"/>
                <w:sz w:val="20"/>
                <w:szCs w:val="20"/>
                <w:lang w:val="sv-SE"/>
              </w:rPr>
              <w:t>, pg/</w:t>
            </w:r>
            <w:proofErr w:type="spellStart"/>
            <w:r w:rsidRPr="008D59EB">
              <w:rPr>
                <w:i w:val="0"/>
                <w:iCs w:val="0"/>
                <w:color w:val="auto"/>
                <w:sz w:val="20"/>
                <w:szCs w:val="20"/>
                <w:lang w:val="sv-SE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295FED" w14:textId="07A81F5D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51B88D" w14:textId="57C7EC41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1.31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7721CE90" w14:textId="67C5E5BB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0.28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66FE663E" w14:textId="7559A5EC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&lt;0.2</w:t>
            </w:r>
          </w:p>
        </w:tc>
      </w:tr>
      <w:tr w:rsidR="00A4148B" w:rsidRPr="008D59EB" w14:paraId="6A04C07F" w14:textId="77777777" w:rsidTr="0060023D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8DB11D3" w14:textId="201E0CD1" w:rsidR="00A4148B" w:rsidRPr="008D59EB" w:rsidRDefault="00A4148B" w:rsidP="00A4148B">
            <w:pPr>
              <w:rPr>
                <w:sz w:val="20"/>
                <w:szCs w:val="20"/>
                <w:lang w:val="sv-SE"/>
              </w:rPr>
            </w:pPr>
            <w:r w:rsidRPr="008D59E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β</w:t>
            </w:r>
            <w:r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2M, mg/L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47D48D" w14:textId="73C1A939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B1D34D" w14:textId="00F70AA1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3.06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66042602" w14:textId="4BFECCD8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3.88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4833104A" w14:textId="7DBEE9D8" w:rsidR="00A4148B" w:rsidRPr="008D59EB" w:rsidRDefault="00A4148B" w:rsidP="00A4148B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&lt;1.8</w:t>
            </w:r>
          </w:p>
        </w:tc>
      </w:tr>
      <w:tr w:rsidR="0060023D" w:rsidRPr="008D59EB" w14:paraId="362AD83D" w14:textId="77777777" w:rsidTr="00A4148B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B3091CF" w14:textId="4DD9A4D1" w:rsidR="00762B24" w:rsidRPr="008D59EB" w:rsidRDefault="00635A27" w:rsidP="00A4148B">
            <w:pPr>
              <w:rPr>
                <w:sz w:val="20"/>
                <w:szCs w:val="20"/>
                <w:lang w:val="sv-SE"/>
              </w:rPr>
            </w:pPr>
            <w:r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Tau</w:t>
            </w:r>
            <w:r w:rsidR="00762B24"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, pg/</w:t>
            </w:r>
            <w:proofErr w:type="spellStart"/>
            <w:r w:rsidR="00762B24"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567183" w14:textId="77777777" w:rsidR="0060023D" w:rsidRPr="008D59EB" w:rsidRDefault="0060023D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4D9B16" w14:textId="7749A3BC" w:rsidR="0060023D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231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  <w:vAlign w:val="center"/>
          </w:tcPr>
          <w:p w14:paraId="5843756E" w14:textId="785B3DE2" w:rsidR="0060023D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441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</w:tcBorders>
            <w:vAlign w:val="center"/>
          </w:tcPr>
          <w:p w14:paraId="2EFCE004" w14:textId="010A5098" w:rsidR="0060023D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&lt;479</w:t>
            </w:r>
          </w:p>
        </w:tc>
      </w:tr>
      <w:tr w:rsidR="00A4148B" w:rsidRPr="008D59EB" w14:paraId="3B2AB036" w14:textId="77777777" w:rsidTr="00D5158F">
        <w:trPr>
          <w:trHeight w:val="239"/>
        </w:trPr>
        <w:tc>
          <w:tcPr>
            <w:tcW w:w="0" w:type="auto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031BF630" w14:textId="6461F551" w:rsidR="00A4148B" w:rsidRPr="008D59EB" w:rsidRDefault="00A4148B" w:rsidP="00A4148B">
            <w:pPr>
              <w:rPr>
                <w:sz w:val="20"/>
                <w:szCs w:val="20"/>
                <w:lang w:val="sv-SE"/>
              </w:rPr>
            </w:pPr>
            <w:proofErr w:type="spellStart"/>
            <w:r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NfL</w:t>
            </w:r>
            <w:proofErr w:type="spellEnd"/>
            <w:r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, pg/</w:t>
            </w:r>
            <w:proofErr w:type="spellStart"/>
            <w:r w:rsidRPr="008D59EB">
              <w:rPr>
                <w:rFonts w:ascii="Times New Roman" w:hAnsi="Times New Roman" w:cs="Times New Roman"/>
                <w:sz w:val="20"/>
                <w:szCs w:val="20"/>
                <w:lang w:val="sv-SE" w:eastAsia="it-IT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2C03A98" w14:textId="6785DB9A" w:rsidR="00A4148B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394CB0B" w14:textId="2A7B0C34" w:rsidR="00A4148B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975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7E3E05BC" w14:textId="1FEA5C25" w:rsidR="00A4148B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807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14:paraId="2C6F0BF6" w14:textId="6FB6EB45" w:rsidR="00A4148B" w:rsidRPr="008D59EB" w:rsidRDefault="00A4148B" w:rsidP="0060023D">
            <w:pPr>
              <w:pStyle w:val="Didascalia"/>
              <w:jc w:val="center"/>
              <w:rPr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8D59EB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>&lt;1850</w:t>
            </w:r>
          </w:p>
        </w:tc>
      </w:tr>
    </w:tbl>
    <w:p w14:paraId="24B66D62" w14:textId="77777777" w:rsidR="009A2EAD" w:rsidRPr="008D59EB" w:rsidRDefault="009A2EAD" w:rsidP="009A2EAD">
      <w:pPr>
        <w:rPr>
          <w:rFonts w:ascii="Times New Roman" w:hAnsi="Times New Roman" w:cs="Times New Roman"/>
          <w:b/>
          <w:lang w:val="en-US"/>
        </w:rPr>
      </w:pPr>
    </w:p>
    <w:p w14:paraId="058F1E8C" w14:textId="77777777" w:rsidR="009A2EAD" w:rsidRPr="008D59EB" w:rsidRDefault="009A2EAD" w:rsidP="009A2EAD">
      <w:pPr>
        <w:rPr>
          <w:rFonts w:ascii="Times New Roman" w:hAnsi="Times New Roman" w:cs="Times New Roman"/>
          <w:b/>
          <w:lang w:val="en-US"/>
        </w:rPr>
      </w:pPr>
    </w:p>
    <w:p w14:paraId="5E93A172" w14:textId="7316F62D" w:rsidR="009A2EAD" w:rsidRPr="00AD54A2" w:rsidRDefault="009A2EAD" w:rsidP="009A2EAD">
      <w:pPr>
        <w:rPr>
          <w:rFonts w:ascii="Times New Roman" w:hAnsi="Times New Roman" w:cs="Times New Roman"/>
          <w:lang w:val="en-US"/>
        </w:rPr>
      </w:pPr>
      <w:r w:rsidRPr="008D59EB">
        <w:rPr>
          <w:rFonts w:ascii="Times New Roman" w:hAnsi="Times New Roman" w:cs="Times New Roman"/>
          <w:b/>
          <w:lang w:val="en-US"/>
        </w:rPr>
        <w:t>Abbreviations:</w:t>
      </w:r>
      <w:r w:rsidRPr="008D59EB">
        <w:rPr>
          <w:rFonts w:ascii="Times New Roman" w:hAnsi="Times New Roman" w:cs="Times New Roman"/>
          <w:lang w:val="en-US"/>
        </w:rPr>
        <w:t xml:space="preserve"> </w:t>
      </w:r>
      <w:r w:rsidR="00635A27" w:rsidRPr="008D59EB">
        <w:rPr>
          <w:rFonts w:ascii="Times New Roman" w:hAnsi="Times New Roman" w:cs="Times New Roman"/>
          <w:lang w:val="en-US"/>
        </w:rPr>
        <w:t xml:space="preserve">WBC, white blood cells; </w:t>
      </w:r>
      <w:proofErr w:type="spellStart"/>
      <w:r w:rsidR="00635A27" w:rsidRPr="008D59EB">
        <w:rPr>
          <w:rFonts w:ascii="Times New Roman" w:hAnsi="Times New Roman" w:cs="Times New Roman"/>
          <w:lang w:val="en-US"/>
        </w:rPr>
        <w:t>Hb</w:t>
      </w:r>
      <w:proofErr w:type="spellEnd"/>
      <w:r w:rsidR="00635A27" w:rsidRPr="008D59EB">
        <w:rPr>
          <w:rFonts w:ascii="Times New Roman" w:hAnsi="Times New Roman" w:cs="Times New Roman"/>
          <w:lang w:val="en-US"/>
        </w:rPr>
        <w:t xml:space="preserve">, hemoglobin; PLT, platelets; </w:t>
      </w:r>
      <w:r w:rsidRPr="008D59EB">
        <w:rPr>
          <w:rFonts w:ascii="Times New Roman" w:hAnsi="Times New Roman" w:cs="Times New Roman"/>
          <w:lang w:val="en-US"/>
        </w:rPr>
        <w:t xml:space="preserve">CRP, C-reactive </w:t>
      </w:r>
      <w:r w:rsidR="00635A27" w:rsidRPr="008D59EB">
        <w:rPr>
          <w:rFonts w:ascii="Times New Roman" w:hAnsi="Times New Roman" w:cs="Times New Roman"/>
          <w:lang w:val="en-US"/>
        </w:rPr>
        <w:t>p</w:t>
      </w:r>
      <w:r w:rsidRPr="008D59EB">
        <w:rPr>
          <w:rFonts w:ascii="Times New Roman" w:hAnsi="Times New Roman" w:cs="Times New Roman"/>
          <w:lang w:val="en-US"/>
        </w:rPr>
        <w:t>rotein; CSF, cerebrospinal fluid</w:t>
      </w:r>
      <w:r w:rsidR="0060023D" w:rsidRPr="008D59EB">
        <w:rPr>
          <w:rFonts w:ascii="Times New Roman" w:hAnsi="Times New Roman" w:cs="Times New Roman"/>
          <w:lang w:val="en-US"/>
        </w:rPr>
        <w:t>;</w:t>
      </w:r>
      <w:r w:rsidRPr="008D59EB">
        <w:rPr>
          <w:rFonts w:ascii="Times New Roman" w:hAnsi="Times New Roman" w:cs="Times New Roman"/>
          <w:lang w:val="en-US"/>
        </w:rPr>
        <w:t xml:space="preserve"> </w:t>
      </w:r>
      <w:r w:rsidR="00635A27" w:rsidRPr="008D59EB">
        <w:rPr>
          <w:rFonts w:ascii="Times New Roman" w:hAnsi="Times New Roman" w:cs="Times New Roman"/>
          <w:lang w:val="en-US"/>
        </w:rPr>
        <w:t>i</w:t>
      </w:r>
      <w:r w:rsidR="0060023D" w:rsidRPr="008D59EB">
        <w:rPr>
          <w:rFonts w:ascii="Times New Roman" w:hAnsi="Times New Roman" w:cs="Times New Roman"/>
          <w:lang w:val="en-US"/>
        </w:rPr>
        <w:t xml:space="preserve">nterleukin 6, IL-6; </w:t>
      </w:r>
      <w:r w:rsidR="00635A27" w:rsidRPr="008D59EB">
        <w:rPr>
          <w:rFonts w:ascii="Times New Roman" w:hAnsi="Times New Roman" w:cs="Times New Roman"/>
          <w:lang w:val="en-US"/>
        </w:rPr>
        <w:t>i</w:t>
      </w:r>
      <w:r w:rsidR="0060023D" w:rsidRPr="008D59EB">
        <w:rPr>
          <w:rFonts w:ascii="Times New Roman" w:hAnsi="Times New Roman" w:cs="Times New Roman"/>
          <w:lang w:val="en-US"/>
        </w:rPr>
        <w:t>nterleukin</w:t>
      </w:r>
      <w:r w:rsidR="0060023D" w:rsidRPr="00EE6923">
        <w:rPr>
          <w:rFonts w:ascii="Times New Roman" w:hAnsi="Times New Roman" w:cs="Times New Roman"/>
          <w:lang w:val="en-US"/>
        </w:rPr>
        <w:t xml:space="preserve"> 8, IL-8; </w:t>
      </w:r>
      <w:r w:rsidR="00EE6923" w:rsidRPr="00EE6923">
        <w:rPr>
          <w:rFonts w:ascii="Times New Roman" w:hAnsi="Times New Roman" w:cs="Times New Roman"/>
          <w:lang w:val="en-US"/>
        </w:rPr>
        <w:t>TNF-</w:t>
      </w:r>
      <w:r w:rsidR="00EE6923" w:rsidRPr="00F0470C">
        <w:rPr>
          <w:rFonts w:ascii="Times New Roman" w:hAnsi="Times New Roman" w:cs="Times New Roman"/>
          <w:lang w:val="en-US"/>
        </w:rPr>
        <w:sym w:font="Symbol" w:char="F061"/>
      </w:r>
      <w:r w:rsidR="00EE6923" w:rsidRPr="00F0470C">
        <w:rPr>
          <w:rFonts w:ascii="Times New Roman" w:hAnsi="Times New Roman" w:cs="Times New Roman"/>
          <w:lang w:val="en-US"/>
        </w:rPr>
        <w:t xml:space="preserve">, </w:t>
      </w:r>
      <w:r w:rsidR="00635A27">
        <w:rPr>
          <w:rFonts w:ascii="Times New Roman" w:hAnsi="Times New Roman" w:cs="Times New Roman"/>
          <w:lang w:val="en-US"/>
        </w:rPr>
        <w:t>t</w:t>
      </w:r>
      <w:r w:rsidR="00EE6923" w:rsidRPr="00F0470C">
        <w:rPr>
          <w:rFonts w:ascii="Times New Roman" w:hAnsi="Times New Roman" w:cs="Times New Roman"/>
          <w:lang w:val="en-US"/>
        </w:rPr>
        <w:t xml:space="preserve">umor </w:t>
      </w:r>
      <w:r w:rsidR="00635A27">
        <w:rPr>
          <w:rFonts w:ascii="Times New Roman" w:hAnsi="Times New Roman" w:cs="Times New Roman"/>
          <w:lang w:val="en-US"/>
        </w:rPr>
        <w:t>n</w:t>
      </w:r>
      <w:r w:rsidR="00EE6923" w:rsidRPr="00F0470C">
        <w:rPr>
          <w:rFonts w:ascii="Times New Roman" w:hAnsi="Times New Roman" w:cs="Times New Roman"/>
          <w:lang w:val="en-US"/>
        </w:rPr>
        <w:t xml:space="preserve">ecrosis </w:t>
      </w:r>
      <w:r w:rsidR="00635A27">
        <w:rPr>
          <w:rFonts w:ascii="Times New Roman" w:hAnsi="Times New Roman" w:cs="Times New Roman"/>
          <w:lang w:val="en-US"/>
        </w:rPr>
        <w:t>f</w:t>
      </w:r>
      <w:r w:rsidR="00EE6923" w:rsidRPr="00F0470C">
        <w:rPr>
          <w:rFonts w:ascii="Times New Roman" w:hAnsi="Times New Roman" w:cs="Times New Roman"/>
          <w:lang w:val="en-US"/>
        </w:rPr>
        <w:t>actor alpha;</w:t>
      </w:r>
      <w:r w:rsidR="00EE6923" w:rsidRPr="00EE6923">
        <w:rPr>
          <w:rFonts w:ascii="Times New Roman" w:hAnsi="Times New Roman" w:cs="Times New Roman"/>
          <w:lang w:val="en-US"/>
        </w:rPr>
        <w:t xml:space="preserve"> </w:t>
      </w:r>
      <w:r w:rsidR="00635A27">
        <w:rPr>
          <w:rFonts w:ascii="Times New Roman" w:hAnsi="Times New Roman" w:cs="Times New Roman"/>
          <w:lang w:val="en-US"/>
        </w:rPr>
        <w:t xml:space="preserve">β2M, β2-microglobulin; </w:t>
      </w:r>
      <w:proofErr w:type="spellStart"/>
      <w:r w:rsidR="00635A27">
        <w:rPr>
          <w:rFonts w:ascii="Times New Roman" w:hAnsi="Times New Roman" w:cs="Times New Roman"/>
          <w:lang w:val="en-US"/>
        </w:rPr>
        <w:t>NfL</w:t>
      </w:r>
      <w:proofErr w:type="spellEnd"/>
      <w:r w:rsidR="00635A27">
        <w:rPr>
          <w:rFonts w:ascii="Times New Roman" w:hAnsi="Times New Roman" w:cs="Times New Roman"/>
          <w:lang w:val="en-US"/>
        </w:rPr>
        <w:t>, neurofilament light.</w:t>
      </w:r>
    </w:p>
    <w:p w14:paraId="60A58248" w14:textId="77777777" w:rsidR="009A2EAD" w:rsidRPr="00AD54A2" w:rsidRDefault="009A2EAD" w:rsidP="009A2EAD">
      <w:pPr>
        <w:rPr>
          <w:rFonts w:ascii="Times New Roman" w:hAnsi="Times New Roman" w:cs="Times New Roman"/>
          <w:lang w:val="en-US"/>
        </w:rPr>
      </w:pPr>
    </w:p>
    <w:p w14:paraId="152406EC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48663C32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0E3A1EB8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6875FC81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6160F14B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5D7E0391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476AC622" w14:textId="77777777" w:rsidR="00EF6730" w:rsidRDefault="00EF6730">
      <w:pPr>
        <w:rPr>
          <w:rFonts w:ascii="Times New Roman" w:hAnsi="Times New Roman" w:cs="Times New Roman"/>
          <w:lang w:val="en-US"/>
        </w:rPr>
      </w:pPr>
    </w:p>
    <w:p w14:paraId="3DD8F5FA" w14:textId="1D25ED4F" w:rsidR="00182BE5" w:rsidRPr="00182BE5" w:rsidRDefault="009A2EAD">
      <w:pPr>
        <w:rPr>
          <w:rFonts w:ascii="Times New Roman" w:hAnsi="Times New Roman" w:cs="Times New Roman"/>
          <w:lang w:val="en-US"/>
        </w:rPr>
      </w:pPr>
      <w:r w:rsidRPr="00AD54A2">
        <w:rPr>
          <w:rFonts w:ascii="Times New Roman" w:hAnsi="Times New Roman" w:cs="Times New Roman"/>
          <w:lang w:val="en-US"/>
        </w:rPr>
        <w:t>Immunological screening included antibodies against ENA, ANA, ANCA</w:t>
      </w:r>
      <w:r w:rsidR="00436119" w:rsidRPr="00AD54A2">
        <w:rPr>
          <w:rFonts w:ascii="Times New Roman" w:hAnsi="Times New Roman" w:cs="Times New Roman"/>
          <w:lang w:val="en-US"/>
        </w:rPr>
        <w:t>, NMDAR, LGI1, CASPR2, GABA</w:t>
      </w:r>
      <w:r w:rsidR="00436119" w:rsidRPr="00182BE5">
        <w:rPr>
          <w:rFonts w:ascii="Times New Roman" w:hAnsi="Times New Roman" w:cs="Times New Roman"/>
          <w:lang w:val="en-US"/>
        </w:rPr>
        <w:t>A</w:t>
      </w:r>
      <w:r w:rsidR="00436119" w:rsidRPr="00AD54A2">
        <w:rPr>
          <w:rFonts w:ascii="Times New Roman" w:hAnsi="Times New Roman" w:cs="Times New Roman"/>
          <w:lang w:val="en-US"/>
        </w:rPr>
        <w:t>R, GABA</w:t>
      </w:r>
      <w:r w:rsidR="00436119" w:rsidRPr="00182BE5">
        <w:rPr>
          <w:rFonts w:ascii="Times New Roman" w:hAnsi="Times New Roman" w:cs="Times New Roman"/>
          <w:lang w:val="en-US"/>
        </w:rPr>
        <w:t>B</w:t>
      </w:r>
      <w:r w:rsidR="00436119" w:rsidRPr="00AD54A2">
        <w:rPr>
          <w:rFonts w:ascii="Times New Roman" w:hAnsi="Times New Roman" w:cs="Times New Roman"/>
          <w:lang w:val="en-US"/>
        </w:rPr>
        <w:t xml:space="preserve">R and AMPAR, Ri, </w:t>
      </w:r>
      <w:proofErr w:type="spellStart"/>
      <w:r w:rsidR="00436119" w:rsidRPr="00AD54A2">
        <w:rPr>
          <w:rFonts w:ascii="Times New Roman" w:hAnsi="Times New Roman" w:cs="Times New Roman"/>
          <w:lang w:val="en-US"/>
        </w:rPr>
        <w:t>Yo</w:t>
      </w:r>
      <w:proofErr w:type="spellEnd"/>
      <w:r w:rsidR="00436119" w:rsidRPr="00AD54A2">
        <w:rPr>
          <w:rFonts w:ascii="Times New Roman" w:hAnsi="Times New Roman" w:cs="Times New Roman"/>
          <w:lang w:val="en-US"/>
        </w:rPr>
        <w:t xml:space="preserve">, Ma2, Hu, </w:t>
      </w:r>
      <w:proofErr w:type="spellStart"/>
      <w:r w:rsidR="00436119" w:rsidRPr="00AD54A2">
        <w:rPr>
          <w:rFonts w:ascii="Times New Roman" w:hAnsi="Times New Roman" w:cs="Times New Roman"/>
          <w:lang w:val="en-US"/>
        </w:rPr>
        <w:t>Amphiphysin</w:t>
      </w:r>
      <w:proofErr w:type="spellEnd"/>
      <w:r w:rsidR="00436119" w:rsidRPr="00AD54A2">
        <w:rPr>
          <w:rFonts w:ascii="Times New Roman" w:hAnsi="Times New Roman" w:cs="Times New Roman"/>
          <w:lang w:val="en-US"/>
        </w:rPr>
        <w:t>,</w:t>
      </w:r>
      <w:r w:rsidRPr="00AD54A2">
        <w:rPr>
          <w:rFonts w:ascii="Times New Roman" w:hAnsi="Times New Roman" w:cs="Times New Roman"/>
          <w:lang w:val="en-US"/>
        </w:rPr>
        <w:t xml:space="preserve"> Complement, Typhoid function</w:t>
      </w:r>
      <w:r w:rsidR="00D04D70">
        <w:rPr>
          <w:rFonts w:ascii="Times New Roman" w:hAnsi="Times New Roman" w:cs="Times New Roman"/>
          <w:lang w:val="en-US"/>
        </w:rPr>
        <w:t xml:space="preserve"> </w:t>
      </w:r>
      <w:r w:rsidR="00D04D70" w:rsidRPr="00150028">
        <w:rPr>
          <w:rFonts w:ascii="Times New Roman" w:hAnsi="Times New Roman" w:cs="Times New Roman"/>
          <w:lang w:val="en-US"/>
        </w:rPr>
        <w:t>and a</w:t>
      </w:r>
      <w:r w:rsidR="00150028" w:rsidRPr="00150028">
        <w:rPr>
          <w:rFonts w:ascii="Times New Roman" w:hAnsi="Times New Roman" w:cs="Times New Roman"/>
          <w:lang w:val="en-US"/>
        </w:rPr>
        <w:t>utoimmunity (anti-thyroglobulin, anti-thyroid peroxidase), IgM and IgG for Borrelia Burgdorferi. CSF viral screening included HSV-1, HSV-2, HSV-6, HSV-8, Epstein-Barr Virus, Varicella-</w:t>
      </w:r>
      <w:proofErr w:type="spellStart"/>
      <w:r w:rsidR="00150028" w:rsidRPr="00150028">
        <w:rPr>
          <w:rFonts w:ascii="Times New Roman" w:hAnsi="Times New Roman" w:cs="Times New Roman"/>
          <w:lang w:val="en-US"/>
        </w:rPr>
        <w:t>zooster</w:t>
      </w:r>
      <w:proofErr w:type="spellEnd"/>
      <w:r w:rsidR="00150028" w:rsidRPr="00150028">
        <w:rPr>
          <w:rFonts w:ascii="Times New Roman" w:hAnsi="Times New Roman" w:cs="Times New Roman"/>
          <w:lang w:val="en-US"/>
        </w:rPr>
        <w:t xml:space="preserve"> virus (human alpha herpesvirus 3, HHV-3)</w:t>
      </w:r>
      <w:r w:rsidR="00150028">
        <w:rPr>
          <w:rFonts w:ascii="Times New Roman" w:hAnsi="Times New Roman" w:cs="Times New Roman"/>
          <w:lang w:val="en-US"/>
        </w:rPr>
        <w:t xml:space="preserve">, adenovirus </w:t>
      </w:r>
      <w:r w:rsidR="00150028" w:rsidRPr="00150028">
        <w:rPr>
          <w:rFonts w:ascii="Times New Roman" w:hAnsi="Times New Roman" w:cs="Times New Roman"/>
          <w:lang w:val="en-US"/>
        </w:rPr>
        <w:t>and enterovirus)</w:t>
      </w:r>
    </w:p>
    <w:p w14:paraId="116AB522" w14:textId="751D7480" w:rsidR="00A83FB8" w:rsidRPr="002F4011" w:rsidRDefault="00637618" w:rsidP="002F4011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D04D70">
        <w:rPr>
          <w:rFonts w:ascii="Times New Roman" w:hAnsi="Times New Roman" w:cs="Times New Roman"/>
          <w:lang w:val="en-US"/>
        </w:rPr>
        <w:t xml:space="preserve">CSF </w:t>
      </w:r>
      <w:r w:rsidR="002A1500" w:rsidRPr="00D04D70">
        <w:rPr>
          <w:rFonts w:ascii="Times New Roman" w:hAnsi="Times New Roman" w:cs="Times New Roman"/>
          <w:lang w:val="en-US"/>
        </w:rPr>
        <w:t>s</w:t>
      </w:r>
      <w:r w:rsidRPr="00D04D70">
        <w:rPr>
          <w:rFonts w:ascii="Times New Roman" w:hAnsi="Times New Roman" w:cs="Times New Roman"/>
          <w:lang w:val="en-US"/>
        </w:rPr>
        <w:t>amples were analy</w:t>
      </w:r>
      <w:r w:rsidR="005114CA" w:rsidRPr="00D04D70">
        <w:rPr>
          <w:rFonts w:ascii="Times New Roman" w:hAnsi="Times New Roman" w:cs="Times New Roman"/>
          <w:lang w:val="en-US"/>
        </w:rPr>
        <w:t>z</w:t>
      </w:r>
      <w:r w:rsidRPr="00D04D70">
        <w:rPr>
          <w:rFonts w:ascii="Times New Roman" w:hAnsi="Times New Roman" w:cs="Times New Roman"/>
          <w:lang w:val="en-US"/>
        </w:rPr>
        <w:t>e</w:t>
      </w:r>
      <w:r w:rsidR="005114CA" w:rsidRPr="00D04D70">
        <w:rPr>
          <w:rFonts w:ascii="Times New Roman" w:hAnsi="Times New Roman" w:cs="Times New Roman"/>
          <w:lang w:val="en-US"/>
        </w:rPr>
        <w:t>d</w:t>
      </w:r>
      <w:r w:rsidRPr="00D04D70">
        <w:rPr>
          <w:rFonts w:ascii="Times New Roman" w:hAnsi="Times New Roman" w:cs="Times New Roman"/>
          <w:lang w:val="en-US"/>
        </w:rPr>
        <w:t xml:space="preserve"> at the Clinical Neurochemistry Laboratory at </w:t>
      </w:r>
      <w:proofErr w:type="spellStart"/>
      <w:r w:rsidRPr="00D04D70">
        <w:rPr>
          <w:rFonts w:ascii="Times New Roman" w:hAnsi="Times New Roman" w:cs="Times New Roman"/>
          <w:lang w:val="en-US"/>
        </w:rPr>
        <w:t>Sahlgrenska</w:t>
      </w:r>
      <w:proofErr w:type="spellEnd"/>
      <w:r w:rsidRPr="00D04D70">
        <w:rPr>
          <w:rFonts w:ascii="Times New Roman" w:hAnsi="Times New Roman" w:cs="Times New Roman"/>
          <w:lang w:val="en-US"/>
        </w:rPr>
        <w:t xml:space="preserve"> University Hospital (</w:t>
      </w:r>
      <w:proofErr w:type="spellStart"/>
      <w:r w:rsidR="002F4011" w:rsidRPr="00D04D70">
        <w:rPr>
          <w:rFonts w:ascii="Times New Roman" w:hAnsi="Times New Roman" w:cs="Times New Roman"/>
          <w:lang w:val="en-US"/>
        </w:rPr>
        <w:t>Mölndal</w:t>
      </w:r>
      <w:proofErr w:type="spellEnd"/>
      <w:r w:rsidRPr="00D04D70">
        <w:rPr>
          <w:rFonts w:ascii="Times New Roman" w:hAnsi="Times New Roman" w:cs="Times New Roman"/>
          <w:lang w:val="en-US"/>
        </w:rPr>
        <w:t>, Sweden). CSF concentrations of</w:t>
      </w:r>
      <w:r w:rsidR="005114CA" w:rsidRPr="00D04D70">
        <w:rPr>
          <w:rFonts w:ascii="Times New Roman" w:hAnsi="Times New Roman" w:cs="Times New Roman"/>
          <w:lang w:val="en-US"/>
        </w:rPr>
        <w:t xml:space="preserve"> IL-6,</w:t>
      </w:r>
      <w:r w:rsidRPr="00D04D70">
        <w:rPr>
          <w:rFonts w:ascii="Times New Roman" w:hAnsi="Times New Roman" w:cs="Times New Roman"/>
          <w:lang w:val="en-US"/>
        </w:rPr>
        <w:t xml:space="preserve"> IL-8</w:t>
      </w:r>
      <w:r w:rsidR="005114CA" w:rsidRPr="00D04D70">
        <w:rPr>
          <w:rFonts w:ascii="Times New Roman" w:hAnsi="Times New Roman" w:cs="Times New Roman"/>
          <w:lang w:val="en-US"/>
        </w:rPr>
        <w:t xml:space="preserve"> and</w:t>
      </w:r>
      <w:r w:rsidRPr="00D04D70">
        <w:rPr>
          <w:rFonts w:ascii="Times New Roman" w:hAnsi="Times New Roman" w:cs="Times New Roman"/>
          <w:lang w:val="en-US"/>
        </w:rPr>
        <w:t xml:space="preserve"> TNF-</w:t>
      </w:r>
      <w:r w:rsidR="005114CA" w:rsidRPr="00D04D70">
        <w:rPr>
          <w:rFonts w:ascii="Times New Roman" w:hAnsi="Times New Roman" w:cs="Times New Roman"/>
          <w:lang w:val="en-US"/>
        </w:rPr>
        <w:t>α</w:t>
      </w:r>
      <w:r w:rsidR="008F7FE1" w:rsidRPr="00D04D70">
        <w:rPr>
          <w:rFonts w:ascii="Times New Roman" w:hAnsi="Times New Roman" w:cs="Times New Roman"/>
          <w:lang w:val="en-US"/>
        </w:rPr>
        <w:t xml:space="preserve"> </w:t>
      </w:r>
      <w:r w:rsidRPr="00D04D70">
        <w:rPr>
          <w:rFonts w:ascii="Times New Roman" w:hAnsi="Times New Roman" w:cs="Times New Roman"/>
          <w:lang w:val="en-US"/>
        </w:rPr>
        <w:t>w</w:t>
      </w:r>
      <w:r w:rsidR="005114CA" w:rsidRPr="00D04D70">
        <w:rPr>
          <w:rFonts w:ascii="Times New Roman" w:hAnsi="Times New Roman" w:cs="Times New Roman"/>
          <w:lang w:val="en-US"/>
        </w:rPr>
        <w:t>ere</w:t>
      </w:r>
      <w:r w:rsidRPr="00D04D70">
        <w:rPr>
          <w:rFonts w:ascii="Times New Roman" w:hAnsi="Times New Roman" w:cs="Times New Roman"/>
          <w:lang w:val="en-US"/>
        </w:rPr>
        <w:t xml:space="preserve"> </w:t>
      </w:r>
      <w:r w:rsidR="005114CA" w:rsidRPr="00D04D70">
        <w:rPr>
          <w:rFonts w:ascii="Times New Roman" w:hAnsi="Times New Roman" w:cs="Times New Roman"/>
          <w:lang w:val="en-US"/>
        </w:rPr>
        <w:t xml:space="preserve">measured </w:t>
      </w:r>
      <w:r w:rsidRPr="00D04D70">
        <w:rPr>
          <w:rFonts w:ascii="Times New Roman" w:hAnsi="Times New Roman" w:cs="Times New Roman"/>
          <w:lang w:val="en-US"/>
        </w:rPr>
        <w:t>using a Mesoscale Discovery (MSD)</w:t>
      </w:r>
      <w:r w:rsidR="005114CA" w:rsidRPr="00D04D70">
        <w:rPr>
          <w:rFonts w:ascii="Times New Roman" w:hAnsi="Times New Roman" w:cs="Times New Roman"/>
          <w:lang w:val="en-US"/>
        </w:rPr>
        <w:t xml:space="preserve"> multiplexed</w:t>
      </w:r>
      <w:r w:rsidRPr="00D04D70">
        <w:rPr>
          <w:rFonts w:ascii="Times New Roman" w:hAnsi="Times New Roman" w:cs="Times New Roman"/>
          <w:lang w:val="en-US"/>
        </w:rPr>
        <w:t xml:space="preserve"> immunoassay (</w:t>
      </w:r>
      <w:r w:rsidR="005114CA" w:rsidRPr="00D04D70">
        <w:rPr>
          <w:rFonts w:ascii="Times New Roman" w:hAnsi="Times New Roman" w:cs="Times New Roman"/>
          <w:lang w:val="en-US"/>
        </w:rPr>
        <w:t>MSD, Rockville, MD</w:t>
      </w:r>
      <w:r w:rsidRPr="00D04D70">
        <w:rPr>
          <w:rFonts w:ascii="Times New Roman" w:hAnsi="Times New Roman" w:cs="Times New Roman"/>
          <w:lang w:val="en-US"/>
        </w:rPr>
        <w:t xml:space="preserve">). </w:t>
      </w:r>
      <w:r w:rsidR="005114CA" w:rsidRPr="00D04D70">
        <w:rPr>
          <w:rFonts w:ascii="Times New Roman" w:hAnsi="Times New Roman" w:cs="Times New Roman"/>
          <w:lang w:val="en-US"/>
        </w:rPr>
        <w:t xml:space="preserve">CSF β2M concentration was measured by nephelometry on a </w:t>
      </w:r>
      <w:proofErr w:type="spellStart"/>
      <w:r w:rsidR="005114CA" w:rsidRPr="00D04D70">
        <w:rPr>
          <w:rFonts w:ascii="Times New Roman" w:hAnsi="Times New Roman" w:cs="Times New Roman"/>
          <w:lang w:val="en-US"/>
        </w:rPr>
        <w:t>BNProSpec</w:t>
      </w:r>
      <w:proofErr w:type="spellEnd"/>
      <w:r w:rsidR="005114CA" w:rsidRPr="00D04D70">
        <w:rPr>
          <w:rFonts w:ascii="Times New Roman" w:hAnsi="Times New Roman" w:cs="Times New Roman"/>
          <w:lang w:val="en-US"/>
        </w:rPr>
        <w:t xml:space="preserve"> instrument (Dade Behring, Deerfield, IL), CSF tau concentration was measured by </w:t>
      </w:r>
      <w:proofErr w:type="spellStart"/>
      <w:r w:rsidR="005114CA" w:rsidRPr="00D04D70">
        <w:rPr>
          <w:rFonts w:ascii="Times New Roman" w:hAnsi="Times New Roman" w:cs="Times New Roman"/>
          <w:lang w:val="en-US"/>
        </w:rPr>
        <w:t>Lumipulse</w:t>
      </w:r>
      <w:proofErr w:type="spellEnd"/>
      <w:r w:rsidR="005114CA" w:rsidRPr="00D04D7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114CA" w:rsidRPr="00D04D70">
        <w:rPr>
          <w:rFonts w:ascii="Times New Roman" w:hAnsi="Times New Roman" w:cs="Times New Roman"/>
          <w:lang w:val="en-US"/>
        </w:rPr>
        <w:t>Fujirebio</w:t>
      </w:r>
      <w:proofErr w:type="spellEnd"/>
      <w:r w:rsidR="005114CA" w:rsidRPr="00D04D70">
        <w:rPr>
          <w:rFonts w:ascii="Times New Roman" w:hAnsi="Times New Roman" w:cs="Times New Roman"/>
          <w:lang w:val="en-US"/>
        </w:rPr>
        <w:t xml:space="preserve">, Ghent, Belgium). CSF </w:t>
      </w:r>
      <w:proofErr w:type="spellStart"/>
      <w:r w:rsidR="005114CA" w:rsidRPr="00D04D70">
        <w:rPr>
          <w:rFonts w:ascii="Times New Roman" w:hAnsi="Times New Roman" w:cs="Times New Roman"/>
          <w:lang w:val="en-US"/>
        </w:rPr>
        <w:t>NfL</w:t>
      </w:r>
      <w:proofErr w:type="spellEnd"/>
      <w:r w:rsidR="005114CA" w:rsidRPr="00D04D70">
        <w:rPr>
          <w:rFonts w:ascii="Times New Roman" w:hAnsi="Times New Roman" w:cs="Times New Roman"/>
          <w:lang w:val="en-US"/>
        </w:rPr>
        <w:t xml:space="preserve"> concentration was measured using an in house enzyme-linked immunosorbent assay (Gaetani L et al., </w:t>
      </w:r>
      <w:proofErr w:type="spellStart"/>
      <w:r w:rsidR="005114CA" w:rsidRPr="00D04D70">
        <w:rPr>
          <w:rFonts w:ascii="Times New Roman" w:hAnsi="Times New Roman" w:cs="Times New Roman"/>
          <w:lang w:val="en-US"/>
        </w:rPr>
        <w:t>Alzheimers</w:t>
      </w:r>
      <w:proofErr w:type="spellEnd"/>
      <w:r w:rsidR="005114CA" w:rsidRPr="00D04D70">
        <w:rPr>
          <w:rFonts w:ascii="Times New Roman" w:hAnsi="Times New Roman" w:cs="Times New Roman"/>
          <w:lang w:val="en-US"/>
        </w:rPr>
        <w:t xml:space="preserve"> Res </w:t>
      </w:r>
      <w:proofErr w:type="spellStart"/>
      <w:r w:rsidR="005114CA" w:rsidRPr="00D04D70">
        <w:rPr>
          <w:rFonts w:ascii="Times New Roman" w:hAnsi="Times New Roman" w:cs="Times New Roman"/>
          <w:lang w:val="en-US"/>
        </w:rPr>
        <w:t>Ther</w:t>
      </w:r>
      <w:proofErr w:type="spellEnd"/>
      <w:r w:rsidR="005114CA" w:rsidRPr="00D04D70">
        <w:rPr>
          <w:rFonts w:ascii="Times New Roman" w:hAnsi="Times New Roman" w:cs="Times New Roman"/>
          <w:lang w:val="en-US"/>
        </w:rPr>
        <w:t>. 2018 Jan 23;10(1):8). All analyses were performed by board-certified laboratory technicians who were blinded to clinical data.</w:t>
      </w:r>
      <w:r w:rsidR="005114CA">
        <w:rPr>
          <w:rFonts w:ascii="Times New Roman" w:hAnsi="Times New Roman" w:cs="Times New Roman"/>
          <w:lang w:val="en-US"/>
        </w:rPr>
        <w:t xml:space="preserve"> </w:t>
      </w:r>
    </w:p>
    <w:p w14:paraId="45B399DD" w14:textId="77777777" w:rsidR="00A83FB8" w:rsidRPr="00436119" w:rsidRDefault="00A83FB8">
      <w:pPr>
        <w:rPr>
          <w:lang w:val="en-US"/>
        </w:rPr>
      </w:pPr>
    </w:p>
    <w:p w14:paraId="16229C30" w14:textId="77777777" w:rsidR="00A83FB8" w:rsidRPr="0060023D" w:rsidRDefault="00A83FB8" w:rsidP="00A83FB8">
      <w:pPr>
        <w:rPr>
          <w:lang w:val="en-US"/>
        </w:rPr>
      </w:pPr>
    </w:p>
    <w:sectPr w:rsidR="00A83FB8" w:rsidRPr="0060023D" w:rsidSect="00C462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08"/>
    <w:rsid w:val="00035FD7"/>
    <w:rsid w:val="000F5C22"/>
    <w:rsid w:val="00150028"/>
    <w:rsid w:val="00182BE5"/>
    <w:rsid w:val="001F11BD"/>
    <w:rsid w:val="001F5A35"/>
    <w:rsid w:val="002A1500"/>
    <w:rsid w:val="002A3443"/>
    <w:rsid w:val="002F4011"/>
    <w:rsid w:val="00436119"/>
    <w:rsid w:val="0050138B"/>
    <w:rsid w:val="005114CA"/>
    <w:rsid w:val="005E7F0D"/>
    <w:rsid w:val="0060023D"/>
    <w:rsid w:val="00635A27"/>
    <w:rsid w:val="00637618"/>
    <w:rsid w:val="00762B24"/>
    <w:rsid w:val="007B6008"/>
    <w:rsid w:val="007B6CC5"/>
    <w:rsid w:val="00811D1A"/>
    <w:rsid w:val="00842574"/>
    <w:rsid w:val="00861597"/>
    <w:rsid w:val="00897AB6"/>
    <w:rsid w:val="008D59EB"/>
    <w:rsid w:val="008F7FE1"/>
    <w:rsid w:val="009339FE"/>
    <w:rsid w:val="009A2EAD"/>
    <w:rsid w:val="009D07EA"/>
    <w:rsid w:val="00A4148B"/>
    <w:rsid w:val="00A42C84"/>
    <w:rsid w:val="00A83FB8"/>
    <w:rsid w:val="00AC594D"/>
    <w:rsid w:val="00AD54A2"/>
    <w:rsid w:val="00B2713A"/>
    <w:rsid w:val="00B936D5"/>
    <w:rsid w:val="00C4622B"/>
    <w:rsid w:val="00CF4AF8"/>
    <w:rsid w:val="00CF5717"/>
    <w:rsid w:val="00D04D70"/>
    <w:rsid w:val="00D35287"/>
    <w:rsid w:val="00DD22FC"/>
    <w:rsid w:val="00E1059A"/>
    <w:rsid w:val="00EA2AA0"/>
    <w:rsid w:val="00EE6923"/>
    <w:rsid w:val="00EF6730"/>
    <w:rsid w:val="00F0470C"/>
    <w:rsid w:val="00F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C63C"/>
  <w15:chartTrackingRefBased/>
  <w15:docId w15:val="{97E8E11A-7DDE-C743-8BB0-8C69A403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3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9A2EAD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A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83F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unhideWhenUsed/>
    <w:rsid w:val="00A83F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3FB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83FB8"/>
  </w:style>
  <w:style w:type="character" w:customStyle="1" w:styleId="highlight">
    <w:name w:val="highlight"/>
    <w:basedOn w:val="Carpredefinitoparagrafo"/>
    <w:rsid w:val="00A83FB8"/>
  </w:style>
  <w:style w:type="character" w:styleId="Rimandocommento">
    <w:name w:val="annotation reference"/>
    <w:basedOn w:val="Carpredefinitoparagrafo"/>
    <w:uiPriority w:val="99"/>
    <w:semiHidden/>
    <w:unhideWhenUsed/>
    <w:rsid w:val="00635A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A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A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A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A2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A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2020-04-30T18:48:00Z</dcterms:created>
  <dcterms:modified xsi:type="dcterms:W3CDTF">2020-04-30T18:48:00Z</dcterms:modified>
</cp:coreProperties>
</file>