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9A" w:rsidRDefault="00A3401A" w:rsidP="00A3401A">
      <w:pPr>
        <w:jc w:val="center"/>
        <w:rPr>
          <w:rFonts w:ascii="Times New Roman" w:hAnsi="Times New Roman" w:cs="Times New Roman"/>
          <w:b/>
        </w:rPr>
      </w:pPr>
      <w:r w:rsidRPr="00A3401A">
        <w:rPr>
          <w:rFonts w:ascii="Times New Roman" w:hAnsi="Times New Roman" w:cs="Times New Roman"/>
          <w:b/>
        </w:rPr>
        <w:t>Supplementary materials</w:t>
      </w:r>
    </w:p>
    <w:p w:rsidR="004C406E" w:rsidRDefault="004C406E" w:rsidP="004C406E">
      <w:pPr>
        <w:rPr>
          <w:rFonts w:ascii="Times New Roman" w:hAnsi="Times New Roman" w:cs="Times New Roman"/>
          <w:b/>
        </w:rPr>
      </w:pPr>
      <w:r w:rsidRPr="00A3401A">
        <w:rPr>
          <w:rFonts w:ascii="Times New Roman" w:hAnsi="Times New Roman" w:cs="Times New Roman"/>
          <w:b/>
        </w:rPr>
        <w:t>Supplementary</w:t>
      </w:r>
      <w:r>
        <w:rPr>
          <w:rFonts w:ascii="Times New Roman" w:hAnsi="Times New Roman" w:cs="Times New Roman"/>
          <w:b/>
        </w:rPr>
        <w:t xml:space="preserve"> method</w:t>
      </w:r>
    </w:p>
    <w:p w:rsidR="00F510F7" w:rsidRDefault="00F510F7" w:rsidP="004C406E">
      <w:pPr>
        <w:rPr>
          <w:rFonts w:ascii="Times New Roman" w:hAnsi="Times New Roman" w:cs="Times New Roman"/>
          <w:b/>
        </w:rPr>
      </w:pPr>
      <w:r>
        <w:rPr>
          <w:rFonts w:ascii="Times New Roman" w:hAnsi="Times New Roman" w:cs="Times New Roman" w:hint="eastAsia"/>
          <w:b/>
        </w:rPr>
        <w:t xml:space="preserve">The </w:t>
      </w:r>
      <w:r w:rsidR="003B7636">
        <w:rPr>
          <w:rFonts w:ascii="Times New Roman" w:hAnsi="Times New Roman" w:cs="Times New Roman"/>
          <w:b/>
        </w:rPr>
        <w:t>highest</w:t>
      </w:r>
      <w:r>
        <w:rPr>
          <w:rFonts w:ascii="Times New Roman" w:hAnsi="Times New Roman" w:cs="Times New Roman"/>
          <w:b/>
        </w:rPr>
        <w:t>-level emergency response of Guangdong</w:t>
      </w:r>
    </w:p>
    <w:p w:rsidR="00113E12" w:rsidRDefault="00113E12" w:rsidP="00113E12">
      <w:pPr>
        <w:ind w:firstLineChars="150" w:firstLine="315"/>
        <w:rPr>
          <w:rFonts w:ascii="Times New Roman" w:hAnsi="Times New Roman" w:cs="Times New Roman"/>
        </w:rPr>
      </w:pPr>
      <w:r w:rsidRPr="00767E62">
        <w:rPr>
          <w:rFonts w:ascii="Times New Roman" w:hAnsi="Times New Roman" w:cs="Times New Roman"/>
        </w:rPr>
        <w:t xml:space="preserve">On January 23, 2020, Guangdong initiated the highest provincial emergency response, including 16 </w:t>
      </w:r>
      <w:r>
        <w:rPr>
          <w:rFonts w:ascii="Times New Roman" w:hAnsi="Times New Roman" w:cs="Times New Roman"/>
        </w:rPr>
        <w:t>control</w:t>
      </w:r>
      <w:r w:rsidRPr="00767E62">
        <w:rPr>
          <w:rFonts w:ascii="Times New Roman" w:hAnsi="Times New Roman" w:cs="Times New Roman"/>
        </w:rPr>
        <w:t xml:space="preserve"> measures:</w:t>
      </w:r>
    </w:p>
    <w:p w:rsidR="00113E12" w:rsidRPr="008741F0" w:rsidRDefault="00113E12" w:rsidP="00113E12">
      <w:pPr>
        <w:pStyle w:val="a8"/>
        <w:numPr>
          <w:ilvl w:val="0"/>
          <w:numId w:val="1"/>
        </w:numPr>
        <w:ind w:firstLineChars="0"/>
        <w:rPr>
          <w:rFonts w:ascii="Times New Roman" w:hAnsi="Times New Roman" w:cs="Times New Roman"/>
        </w:rPr>
      </w:pPr>
      <w:r w:rsidRPr="008741F0">
        <w:rPr>
          <w:rFonts w:ascii="Times New Roman" w:hAnsi="Times New Roman" w:cs="Times New Roman"/>
        </w:rPr>
        <w:t>Sounding prevention and control mechanisms. The main leaders of the government are responsible for the overall responsibility and the leaders in charge are specifically responsible for setting up special teams to follow up and deal with the situation, formulation a plan of action in an integrated manner, reporting and releasing information on the “Four Ones” mechanism for dealing with emergencies of a unified caliber, and organizing the response and disposal work in an orderly manner.</w:t>
      </w:r>
    </w:p>
    <w:p w:rsidR="00113E12" w:rsidRPr="002A1A8C" w:rsidRDefault="00113E12" w:rsidP="00113E12">
      <w:pPr>
        <w:pStyle w:val="a8"/>
        <w:numPr>
          <w:ilvl w:val="0"/>
          <w:numId w:val="1"/>
        </w:numPr>
        <w:ind w:firstLineChars="0"/>
        <w:rPr>
          <w:rFonts w:ascii="Times New Roman" w:hAnsi="Times New Roman" w:cs="Times New Roman"/>
        </w:rPr>
      </w:pPr>
      <w:r w:rsidRPr="002A1A8C">
        <w:rPr>
          <w:rFonts w:ascii="Times New Roman" w:hAnsi="Times New Roman" w:cs="Times New Roman"/>
        </w:rPr>
        <w:t>Strengthenin</w:t>
      </w:r>
      <w:r>
        <w:rPr>
          <w:rFonts w:ascii="Times New Roman" w:hAnsi="Times New Roman" w:cs="Times New Roman"/>
        </w:rPr>
        <w:t xml:space="preserve">g joint prevention and control, including </w:t>
      </w:r>
      <w:r w:rsidRPr="002A1A8C">
        <w:rPr>
          <w:rFonts w:ascii="Times New Roman" w:hAnsi="Times New Roman" w:cs="Times New Roman"/>
        </w:rPr>
        <w:t>strengthen</w:t>
      </w:r>
      <w:r>
        <w:rPr>
          <w:rFonts w:ascii="Times New Roman" w:hAnsi="Times New Roman" w:cs="Times New Roman"/>
        </w:rPr>
        <w:t>ing</w:t>
      </w:r>
      <w:r w:rsidRPr="002A1A8C">
        <w:rPr>
          <w:rFonts w:ascii="Times New Roman" w:hAnsi="Times New Roman" w:cs="Times New Roman"/>
        </w:rPr>
        <w:t xml:space="preserve"> the exchange of information and interaction of measures among departments, quickly form</w:t>
      </w:r>
      <w:r>
        <w:rPr>
          <w:rFonts w:ascii="Times New Roman" w:hAnsi="Times New Roman" w:cs="Times New Roman"/>
        </w:rPr>
        <w:t>ing</w:t>
      </w:r>
      <w:r w:rsidRPr="002A1A8C">
        <w:rPr>
          <w:rFonts w:ascii="Times New Roman" w:hAnsi="Times New Roman" w:cs="Times New Roman"/>
        </w:rPr>
        <w:t xml:space="preserve"> cooperative forces</w:t>
      </w:r>
      <w:r>
        <w:rPr>
          <w:rFonts w:ascii="Times New Roman" w:hAnsi="Times New Roman" w:cs="Times New Roman"/>
        </w:rPr>
        <w:t xml:space="preserve"> for prevention and control, </w:t>
      </w:r>
      <w:r w:rsidRPr="002A1A8C">
        <w:rPr>
          <w:rFonts w:ascii="Times New Roman" w:hAnsi="Times New Roman" w:cs="Times New Roman"/>
        </w:rPr>
        <w:t>hold</w:t>
      </w:r>
      <w:r>
        <w:rPr>
          <w:rFonts w:ascii="Times New Roman" w:hAnsi="Times New Roman" w:cs="Times New Roman"/>
        </w:rPr>
        <w:t>ing</w:t>
      </w:r>
      <w:r w:rsidRPr="002A1A8C">
        <w:rPr>
          <w:rFonts w:ascii="Times New Roman" w:hAnsi="Times New Roman" w:cs="Times New Roman"/>
        </w:rPr>
        <w:t xml:space="preserve"> regular meetings to study and assess the development trend of the epidemic, agree</w:t>
      </w:r>
      <w:r>
        <w:rPr>
          <w:rFonts w:ascii="Times New Roman" w:hAnsi="Times New Roman" w:cs="Times New Roman"/>
        </w:rPr>
        <w:t>ing</w:t>
      </w:r>
      <w:r w:rsidRPr="002A1A8C">
        <w:rPr>
          <w:rFonts w:ascii="Times New Roman" w:hAnsi="Times New Roman" w:cs="Times New Roman"/>
        </w:rPr>
        <w:t xml:space="preserve"> on prevention and control policies, response plans and major measures, coordinat</w:t>
      </w:r>
      <w:r>
        <w:rPr>
          <w:rFonts w:ascii="Times New Roman" w:hAnsi="Times New Roman" w:cs="Times New Roman"/>
        </w:rPr>
        <w:t>ing and guiding</w:t>
      </w:r>
      <w:r w:rsidRPr="002A1A8C">
        <w:rPr>
          <w:rFonts w:ascii="Times New Roman" w:hAnsi="Times New Roman" w:cs="Times New Roman"/>
        </w:rPr>
        <w:t xml:space="preserve"> local departments in implementing measures for prevention and control of the epidemic, medical treatment, scientific research, foreign affairs communication, propaganda campaigns and material security, and </w:t>
      </w:r>
      <w:r>
        <w:rPr>
          <w:rFonts w:ascii="Times New Roman" w:hAnsi="Times New Roman" w:cs="Times New Roman"/>
        </w:rPr>
        <w:t>organizing</w:t>
      </w:r>
      <w:r w:rsidRPr="002A1A8C">
        <w:rPr>
          <w:rFonts w:ascii="Times New Roman" w:hAnsi="Times New Roman" w:cs="Times New Roman"/>
        </w:rPr>
        <w:t xml:space="preserve"> supervision and inspection of local implementation.</w:t>
      </w:r>
    </w:p>
    <w:p w:rsidR="00113E12" w:rsidRDefault="00113E12" w:rsidP="00113E12">
      <w:pPr>
        <w:pStyle w:val="a8"/>
        <w:numPr>
          <w:ilvl w:val="0"/>
          <w:numId w:val="1"/>
        </w:numPr>
        <w:ind w:firstLineChars="0"/>
        <w:rPr>
          <w:rFonts w:ascii="Times New Roman" w:hAnsi="Times New Roman" w:cs="Times New Roman"/>
        </w:rPr>
      </w:pPr>
      <w:r w:rsidRPr="0037051A">
        <w:rPr>
          <w:rFonts w:ascii="Times New Roman" w:hAnsi="Times New Roman" w:cs="Times New Roman"/>
        </w:rPr>
        <w:t>Prevention of the spread of the epidemic. Implement control measures to minimize public gatherings and immediately stop public gatherings where there is a clear risk of cross-infection. Temporary expropriation of houses, transport and related facilities and equipment, depending on the needs of epidemic prevention and control</w:t>
      </w:r>
      <w:r>
        <w:rPr>
          <w:rFonts w:ascii="Times New Roman" w:hAnsi="Times New Roman" w:cs="Times New Roman" w:hint="eastAsia"/>
        </w:rPr>
        <w:t xml:space="preserve">. </w:t>
      </w:r>
    </w:p>
    <w:p w:rsidR="00113E12" w:rsidRPr="008741F0" w:rsidRDefault="00113E12" w:rsidP="00113E12">
      <w:pPr>
        <w:pStyle w:val="a8"/>
        <w:numPr>
          <w:ilvl w:val="0"/>
          <w:numId w:val="1"/>
        </w:numPr>
        <w:ind w:firstLineChars="0"/>
        <w:rPr>
          <w:rFonts w:ascii="Times New Roman" w:hAnsi="Times New Roman" w:cs="Times New Roman"/>
        </w:rPr>
      </w:pPr>
      <w:r w:rsidRPr="008741F0">
        <w:rPr>
          <w:rFonts w:ascii="Times New Roman" w:hAnsi="Times New Roman" w:cs="Times New Roman"/>
        </w:rPr>
        <w:t>Strengthening case management. In-situ isolation, in-situ observation and in-situ treatment of patients with infectious diseases and suspected patients. Effective isolation of close contacts and medical observation.</w:t>
      </w:r>
    </w:p>
    <w:p w:rsidR="00113E12" w:rsidRPr="008741F0" w:rsidRDefault="00113E12" w:rsidP="00113E12">
      <w:pPr>
        <w:pStyle w:val="a8"/>
        <w:numPr>
          <w:ilvl w:val="0"/>
          <w:numId w:val="1"/>
        </w:numPr>
        <w:ind w:firstLineChars="0"/>
        <w:rPr>
          <w:rFonts w:ascii="Times New Roman" w:hAnsi="Times New Roman" w:cs="Times New Roman"/>
        </w:rPr>
      </w:pPr>
      <w:r w:rsidRPr="008741F0">
        <w:rPr>
          <w:rFonts w:ascii="Times New Roman" w:hAnsi="Times New Roman" w:cs="Times New Roman"/>
        </w:rPr>
        <w:t>Implement traffic quarantine. Civil aviation, railway and transportation departments and health and public security departments shall establish joint quarantine stations at airports, docks, railway stations and interprovincial long-distance bus and passenger terminals, conduct temperature tests on all incoming and outgoing passengers, temporarily isolate and detain patients, suspected patients and their close contacts for testing, and transfer them to designated bodies of local health and health administration departments. Strengthen inspection and quarantine at ports of entry and exit.</w:t>
      </w:r>
    </w:p>
    <w:p w:rsidR="00113E12" w:rsidRDefault="00113E12" w:rsidP="00113E12">
      <w:pPr>
        <w:pStyle w:val="a8"/>
        <w:numPr>
          <w:ilvl w:val="0"/>
          <w:numId w:val="1"/>
        </w:numPr>
        <w:ind w:firstLineChars="0"/>
        <w:rPr>
          <w:rFonts w:ascii="Times New Roman" w:hAnsi="Times New Roman" w:cs="Times New Roman"/>
        </w:rPr>
      </w:pPr>
      <w:r w:rsidRPr="008741F0">
        <w:rPr>
          <w:rFonts w:ascii="Times New Roman" w:hAnsi="Times New Roman" w:cs="Times New Roman"/>
        </w:rPr>
        <w:t>Full rescue of the patient. Strengthen capacity building of designated hospitals and reserve hospitals. In accordance with the principle of "concentrating cases, experts, resources and treatment", establishing and perfecting the operational mechanism for medical treatment, concentrating confirmed cases in designated medical institutions, making every effort to save and treat patients and ensuring that the death rate is reduced to a minimum</w:t>
      </w:r>
      <w:r>
        <w:rPr>
          <w:rFonts w:ascii="Times New Roman" w:hAnsi="Times New Roman" w:cs="Times New Roman" w:hint="eastAsia"/>
        </w:rPr>
        <w:t xml:space="preserve">. </w:t>
      </w:r>
    </w:p>
    <w:p w:rsidR="00113E12" w:rsidRDefault="00113E12" w:rsidP="00113E12">
      <w:pPr>
        <w:pStyle w:val="a8"/>
        <w:numPr>
          <w:ilvl w:val="0"/>
          <w:numId w:val="1"/>
        </w:numPr>
        <w:ind w:firstLineChars="0"/>
        <w:rPr>
          <w:rFonts w:ascii="Times New Roman" w:hAnsi="Times New Roman" w:cs="Times New Roman"/>
        </w:rPr>
      </w:pPr>
      <w:r w:rsidRPr="008741F0">
        <w:rPr>
          <w:rFonts w:ascii="Times New Roman" w:hAnsi="Times New Roman" w:cs="Times New Roman"/>
        </w:rPr>
        <w:t>Protection of medical personnel. To protect the health and safety of medical personnel by implementing the most thorough safety precautions for medical personnel. Measures to prevent infections in the hospital are strictly implemented and all medical staff and persons entering the hospital are required to wear masks. Relevant departments strengthen the standardized management of medical waste throughout the process to prevent secondary contamination and transmission</w:t>
      </w:r>
      <w:r>
        <w:rPr>
          <w:rFonts w:ascii="Times New Roman" w:hAnsi="Times New Roman" w:cs="Times New Roman" w:hint="eastAsia"/>
        </w:rPr>
        <w:t xml:space="preserve">. </w:t>
      </w:r>
    </w:p>
    <w:p w:rsidR="00113E12" w:rsidRPr="00B77A71" w:rsidRDefault="00113E12" w:rsidP="00113E12">
      <w:pPr>
        <w:pStyle w:val="a8"/>
        <w:numPr>
          <w:ilvl w:val="0"/>
          <w:numId w:val="1"/>
        </w:numPr>
        <w:ind w:firstLineChars="0"/>
        <w:rPr>
          <w:rFonts w:ascii="Times New Roman" w:hAnsi="Times New Roman" w:cs="Times New Roman"/>
        </w:rPr>
      </w:pPr>
      <w:r w:rsidRPr="00B77A71">
        <w:rPr>
          <w:rFonts w:ascii="Times New Roman" w:hAnsi="Times New Roman" w:cs="Times New Roman"/>
        </w:rPr>
        <w:lastRenderedPageBreak/>
        <w:t>Focus on key populations. Strengthen the management of patients, suspected patients, and close contacts. Monitoring and screening of persons coming to Guangdong from highly affected areas. Pay close attention to the elderly population, and make good preparations for the prevention and control of epidemics in the homes for aged people. Provide health tips and health manage</w:t>
      </w:r>
      <w:r>
        <w:rPr>
          <w:rFonts w:ascii="Times New Roman" w:hAnsi="Times New Roman" w:cs="Times New Roman"/>
        </w:rPr>
        <w:t xml:space="preserve">ment for returning teachers, </w:t>
      </w:r>
      <w:r w:rsidRPr="00B77A71">
        <w:rPr>
          <w:rFonts w:ascii="Times New Roman" w:hAnsi="Times New Roman" w:cs="Times New Roman"/>
        </w:rPr>
        <w:t>students and returning staff.</w:t>
      </w:r>
    </w:p>
    <w:p w:rsidR="00113E12" w:rsidRDefault="00113E12" w:rsidP="00113E12">
      <w:pPr>
        <w:pStyle w:val="a8"/>
        <w:numPr>
          <w:ilvl w:val="0"/>
          <w:numId w:val="1"/>
        </w:numPr>
        <w:ind w:firstLineChars="0"/>
        <w:rPr>
          <w:rFonts w:ascii="Times New Roman" w:hAnsi="Times New Roman" w:cs="Times New Roman"/>
        </w:rPr>
      </w:pPr>
      <w:r w:rsidRPr="00B77A71">
        <w:rPr>
          <w:rFonts w:ascii="Times New Roman" w:hAnsi="Times New Roman" w:cs="Times New Roman"/>
        </w:rPr>
        <w:t>Strengthening the</w:t>
      </w:r>
      <w:r>
        <w:rPr>
          <w:rFonts w:ascii="Times New Roman" w:hAnsi="Times New Roman" w:cs="Times New Roman"/>
        </w:rPr>
        <w:t xml:space="preserve"> s</w:t>
      </w:r>
      <w:r w:rsidRPr="00B77A71">
        <w:rPr>
          <w:rFonts w:ascii="Times New Roman" w:hAnsi="Times New Roman" w:cs="Times New Roman"/>
        </w:rPr>
        <w:t>cientific research, including the emergency technical research, tracing the source of the disease, mapping the epidemiological characteristics of pneumonia in new coronavirus infections, determining the pathogen and its biological characteristics, proposing effective prevention and control measures, and rapidly applying the research results to the clinic.</w:t>
      </w:r>
    </w:p>
    <w:p w:rsidR="00113E12" w:rsidRDefault="00113E12" w:rsidP="00113E12">
      <w:pPr>
        <w:pStyle w:val="a8"/>
        <w:numPr>
          <w:ilvl w:val="0"/>
          <w:numId w:val="1"/>
        </w:numPr>
        <w:ind w:firstLineChars="0"/>
        <w:rPr>
          <w:rFonts w:ascii="Times New Roman" w:hAnsi="Times New Roman" w:cs="Times New Roman"/>
        </w:rPr>
      </w:pPr>
      <w:r w:rsidRPr="00B77A71">
        <w:rPr>
          <w:rFonts w:ascii="Times New Roman" w:hAnsi="Times New Roman" w:cs="Times New Roman"/>
        </w:rPr>
        <w:t>Focus on humanistic care. Implementing humane care for patients and isolated people and providing timely mental health guidance</w:t>
      </w:r>
      <w:r>
        <w:rPr>
          <w:rFonts w:ascii="Times New Roman" w:hAnsi="Times New Roman" w:cs="Times New Roman"/>
        </w:rPr>
        <w:t xml:space="preserve">. </w:t>
      </w:r>
    </w:p>
    <w:p w:rsidR="00113E12" w:rsidRPr="00B77A71" w:rsidRDefault="00113E12" w:rsidP="00113E12">
      <w:pPr>
        <w:pStyle w:val="a8"/>
        <w:numPr>
          <w:ilvl w:val="0"/>
          <w:numId w:val="1"/>
        </w:numPr>
        <w:ind w:firstLineChars="0"/>
        <w:rPr>
          <w:rFonts w:ascii="Times New Roman" w:hAnsi="Times New Roman" w:cs="Times New Roman"/>
        </w:rPr>
      </w:pPr>
      <w:r w:rsidRPr="00B77A71">
        <w:rPr>
          <w:rFonts w:ascii="Times New Roman" w:hAnsi="Times New Roman" w:cs="Times New Roman"/>
        </w:rPr>
        <w:t>Intensify environmental remediation. To carry out an in-depth patriotic health campaign to clean up the environmental health of key areas, zones and places, and to eliminate vector breeding grounds.</w:t>
      </w:r>
    </w:p>
    <w:p w:rsidR="00113E12" w:rsidRDefault="00113E12" w:rsidP="00113E12">
      <w:pPr>
        <w:pStyle w:val="a8"/>
        <w:numPr>
          <w:ilvl w:val="0"/>
          <w:numId w:val="1"/>
        </w:numPr>
        <w:ind w:firstLineChars="0"/>
        <w:rPr>
          <w:rFonts w:ascii="Times New Roman" w:hAnsi="Times New Roman" w:cs="Times New Roman"/>
        </w:rPr>
      </w:pPr>
      <w:r w:rsidRPr="00B77A71">
        <w:rPr>
          <w:rFonts w:ascii="Times New Roman" w:hAnsi="Times New Roman" w:cs="Times New Roman"/>
        </w:rPr>
        <w:t>Conducting group guard and control. To mobilize the masses in depth, the streets, townships (townships), neighborhood committees and village committees will do their utmost to assist the health administration in coordinating the relevant units and medical institutions, and to do a good job of collecting information on the epidemic, reporting it, isolating people and implementing public health measures.</w:t>
      </w:r>
    </w:p>
    <w:p w:rsidR="00113E12" w:rsidRDefault="00113E12" w:rsidP="00113E12">
      <w:pPr>
        <w:pStyle w:val="a8"/>
        <w:numPr>
          <w:ilvl w:val="0"/>
          <w:numId w:val="1"/>
        </w:numPr>
        <w:ind w:firstLineChars="0"/>
        <w:rPr>
          <w:rFonts w:ascii="Times New Roman" w:hAnsi="Times New Roman" w:cs="Times New Roman"/>
        </w:rPr>
      </w:pPr>
      <w:r w:rsidRPr="001B68F2">
        <w:rPr>
          <w:rFonts w:ascii="Times New Roman" w:hAnsi="Times New Roman" w:cs="Times New Roman"/>
        </w:rPr>
        <w:t>Regulation of information dissemination. Implementing strict epidemic reporting, information dissemination and public opinion control, strengthening public opinion guidance, releasing timely and transparent information on the epidemic and prevention and control work, resolving doubts and confusion scientifically and responding objectively to social concerns</w:t>
      </w:r>
      <w:r>
        <w:rPr>
          <w:rFonts w:ascii="Times New Roman" w:hAnsi="Times New Roman" w:cs="Times New Roman"/>
        </w:rPr>
        <w:t>.</w:t>
      </w:r>
    </w:p>
    <w:p w:rsidR="00113E12" w:rsidRDefault="00113E12" w:rsidP="00113E12">
      <w:pPr>
        <w:pStyle w:val="a8"/>
        <w:numPr>
          <w:ilvl w:val="0"/>
          <w:numId w:val="1"/>
        </w:numPr>
        <w:ind w:firstLineChars="0"/>
        <w:rPr>
          <w:rFonts w:ascii="Times New Roman" w:hAnsi="Times New Roman" w:cs="Times New Roman"/>
        </w:rPr>
      </w:pPr>
      <w:r w:rsidRPr="001B68F2">
        <w:rPr>
          <w:rFonts w:ascii="Times New Roman" w:hAnsi="Times New Roman" w:cs="Times New Roman"/>
        </w:rPr>
        <w:t>To strengthen the dissemination of information on science. To carry out comprehensive publicity and guidance on prevention and control knowledge to raise the nation's awareness of protection and the health literacy of the population.</w:t>
      </w:r>
      <w:r>
        <w:rPr>
          <w:rFonts w:ascii="Times New Roman" w:hAnsi="Times New Roman" w:cs="Times New Roman"/>
        </w:rPr>
        <w:br/>
        <w:t xml:space="preserve">    15. </w:t>
      </w:r>
      <w:r w:rsidRPr="001B68F2">
        <w:rPr>
          <w:rFonts w:ascii="Times New Roman" w:hAnsi="Times New Roman" w:cs="Times New Roman"/>
        </w:rPr>
        <w:t>To provide material security. Implementation of negative pressure ambulances, negative pressure wards, therapeutic drugs, sterilization drugs, testing reagents, medical equipment, protective supplies and other guarantees.</w:t>
      </w:r>
    </w:p>
    <w:p w:rsidR="00113E12" w:rsidRPr="00113E12" w:rsidRDefault="00113E12" w:rsidP="00113E12">
      <w:pPr>
        <w:pStyle w:val="a8"/>
        <w:numPr>
          <w:ilvl w:val="0"/>
          <w:numId w:val="1"/>
        </w:numPr>
        <w:ind w:firstLineChars="0"/>
        <w:rPr>
          <w:rFonts w:ascii="Times New Roman" w:hAnsi="Times New Roman" w:cs="Times New Roman"/>
        </w:rPr>
      </w:pPr>
      <w:r w:rsidRPr="00113E12">
        <w:rPr>
          <w:rFonts w:ascii="Times New Roman" w:hAnsi="Times New Roman" w:cs="Times New Roman"/>
        </w:rPr>
        <w:t xml:space="preserve">Maintaining social stability. To strengthen the production and deployment of urgently needed supplies, ensure the supply of commodities, suppress prices and prevent looting. Strictly crack down on illegal crimes such as </w:t>
      </w:r>
      <w:proofErr w:type="spellStart"/>
      <w:r w:rsidRPr="00113E12">
        <w:rPr>
          <w:rFonts w:ascii="Times New Roman" w:hAnsi="Times New Roman" w:cs="Times New Roman"/>
        </w:rPr>
        <w:t>rumour</w:t>
      </w:r>
      <w:proofErr w:type="spellEnd"/>
      <w:r w:rsidRPr="00113E12">
        <w:rPr>
          <w:rFonts w:ascii="Times New Roman" w:hAnsi="Times New Roman" w:cs="Times New Roman"/>
        </w:rPr>
        <w:t>-mongering, inflated prices, hoarding, counterfeiting and selling and disturbing social order.</w:t>
      </w:r>
    </w:p>
    <w:p w:rsidR="00113E12" w:rsidRDefault="00113E12" w:rsidP="00113E12">
      <w:pPr>
        <w:rPr>
          <w:rFonts w:ascii="Times New Roman" w:hAnsi="Times New Roman" w:cs="Times New Roman"/>
        </w:rPr>
      </w:pPr>
    </w:p>
    <w:p w:rsidR="00113E12" w:rsidRPr="00113E12" w:rsidRDefault="00113E12" w:rsidP="00113E12">
      <w:pPr>
        <w:rPr>
          <w:rFonts w:ascii="Times New Roman" w:hAnsi="Times New Roman" w:cs="Times New Roman"/>
          <w:b/>
        </w:rPr>
      </w:pPr>
      <w:r w:rsidRPr="00113E12">
        <w:rPr>
          <w:rFonts w:ascii="Times New Roman" w:hAnsi="Times New Roman" w:cs="Times New Roman"/>
          <w:b/>
        </w:rPr>
        <w:t>“</w:t>
      </w:r>
      <w:r w:rsidRPr="00113E12">
        <w:rPr>
          <w:rFonts w:ascii="Times New Roman" w:hAnsi="Times New Roman" w:cs="Times New Roman" w:hint="eastAsia"/>
          <w:b/>
        </w:rPr>
        <w:t xml:space="preserve">Five 100%, </w:t>
      </w:r>
      <w:r w:rsidR="0011759B">
        <w:rPr>
          <w:rFonts w:ascii="Times New Roman" w:hAnsi="Times New Roman" w:cs="Times New Roman" w:hint="eastAsia"/>
          <w:b/>
        </w:rPr>
        <w:t>t</w:t>
      </w:r>
      <w:r w:rsidRPr="00113E12">
        <w:rPr>
          <w:rFonts w:ascii="Times New Roman" w:hAnsi="Times New Roman" w:cs="Times New Roman" w:hint="eastAsia"/>
          <w:b/>
        </w:rPr>
        <w:t>en must</w:t>
      </w:r>
      <w:r w:rsidRPr="00113E12">
        <w:rPr>
          <w:rFonts w:ascii="Times New Roman" w:hAnsi="Times New Roman" w:cs="Times New Roman"/>
          <w:b/>
        </w:rPr>
        <w:t>” policy</w:t>
      </w:r>
    </w:p>
    <w:p w:rsidR="00113E12" w:rsidRDefault="00113E12" w:rsidP="00113E12">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Five 100%</w:t>
      </w:r>
      <w:r>
        <w:rPr>
          <w:rFonts w:ascii="Times New Roman" w:hAnsi="Times New Roman" w:cs="Times New Roman" w:hint="eastAsia"/>
        </w:rPr>
        <w:t>”</w:t>
      </w:r>
    </w:p>
    <w:p w:rsidR="00113E12" w:rsidRPr="00767E62" w:rsidRDefault="00113E12" w:rsidP="00113E12">
      <w:pPr>
        <w:rPr>
          <w:rFonts w:ascii="Times New Roman" w:hAnsi="Times New Roman" w:cs="Times New Roman"/>
        </w:rPr>
      </w:pPr>
      <w:r w:rsidRPr="00767E62">
        <w:rPr>
          <w:rFonts w:ascii="Times New Roman" w:hAnsi="Times New Roman" w:cs="Times New Roman"/>
        </w:rPr>
        <w:t xml:space="preserve">100% enclosed management of </w:t>
      </w:r>
      <w:r>
        <w:rPr>
          <w:rFonts w:ascii="Times New Roman" w:hAnsi="Times New Roman" w:cs="Times New Roman"/>
        </w:rPr>
        <w:t>community plots</w:t>
      </w:r>
    </w:p>
    <w:p w:rsidR="00113E12" w:rsidRDefault="00113E12" w:rsidP="00113E12">
      <w:pPr>
        <w:rPr>
          <w:rFonts w:ascii="Times New Roman" w:hAnsi="Times New Roman" w:cs="Times New Roman"/>
        </w:rPr>
      </w:pPr>
      <w:r w:rsidRPr="00767E62">
        <w:rPr>
          <w:rFonts w:ascii="Times New Roman" w:hAnsi="Times New Roman" w:cs="Times New Roman"/>
        </w:rPr>
        <w:t>100%</w:t>
      </w:r>
      <w:r w:rsidRPr="001642C4">
        <w:rPr>
          <w:rFonts w:ascii="Times New Roman" w:hAnsi="Times New Roman" w:cs="Times New Roman"/>
        </w:rPr>
        <w:t xml:space="preserve"> residential isolation of </w:t>
      </w:r>
      <w:r>
        <w:rPr>
          <w:rFonts w:ascii="Times New Roman" w:hAnsi="Times New Roman" w:cs="Times New Roman"/>
        </w:rPr>
        <w:t>people</w:t>
      </w:r>
      <w:r w:rsidRPr="001642C4">
        <w:rPr>
          <w:rFonts w:ascii="Times New Roman" w:hAnsi="Times New Roman" w:cs="Times New Roman"/>
        </w:rPr>
        <w:t xml:space="preserve"> with a history of travel to key outbreak areas for </w:t>
      </w:r>
      <w:r>
        <w:rPr>
          <w:rFonts w:ascii="Times New Roman" w:hAnsi="Times New Roman" w:cs="Times New Roman"/>
        </w:rPr>
        <w:t>the recent</w:t>
      </w:r>
      <w:r w:rsidRPr="001642C4">
        <w:rPr>
          <w:rFonts w:ascii="Times New Roman" w:hAnsi="Times New Roman" w:cs="Times New Roman"/>
        </w:rPr>
        <w:t xml:space="preserve"> 14 days</w:t>
      </w:r>
    </w:p>
    <w:p w:rsidR="00113E12" w:rsidRDefault="00113E12" w:rsidP="00113E12">
      <w:pPr>
        <w:rPr>
          <w:rFonts w:ascii="Times New Roman" w:hAnsi="Times New Roman" w:cs="Times New Roman"/>
        </w:rPr>
      </w:pPr>
      <w:r w:rsidRPr="00767E62">
        <w:rPr>
          <w:rFonts w:ascii="Times New Roman" w:hAnsi="Times New Roman" w:cs="Times New Roman"/>
        </w:rPr>
        <w:t>100%</w:t>
      </w:r>
      <w:r w:rsidRPr="001642C4">
        <w:rPr>
          <w:rFonts w:ascii="Times New Roman" w:hAnsi="Times New Roman" w:cs="Times New Roman"/>
        </w:rPr>
        <w:t xml:space="preserve"> centralized isolation of </w:t>
      </w:r>
      <w:r>
        <w:rPr>
          <w:rFonts w:ascii="Times New Roman" w:hAnsi="Times New Roman" w:cs="Times New Roman"/>
        </w:rPr>
        <w:t xml:space="preserve">people </w:t>
      </w:r>
      <w:r w:rsidRPr="001642C4">
        <w:rPr>
          <w:rFonts w:ascii="Times New Roman" w:hAnsi="Times New Roman" w:cs="Times New Roman"/>
        </w:rPr>
        <w:t>with a history of close contact with</w:t>
      </w:r>
      <w:r>
        <w:rPr>
          <w:rFonts w:ascii="Times New Roman" w:hAnsi="Times New Roman" w:cs="Times New Roman"/>
        </w:rPr>
        <w:t xml:space="preserve"> the</w:t>
      </w:r>
      <w:r w:rsidRPr="001642C4">
        <w:rPr>
          <w:rFonts w:ascii="Times New Roman" w:hAnsi="Times New Roman" w:cs="Times New Roman"/>
        </w:rPr>
        <w:t xml:space="preserve"> cases</w:t>
      </w:r>
    </w:p>
    <w:p w:rsidR="00113E12" w:rsidRDefault="00113E12" w:rsidP="00113E12">
      <w:pPr>
        <w:rPr>
          <w:rFonts w:ascii="Times New Roman" w:hAnsi="Times New Roman" w:cs="Times New Roman"/>
        </w:rPr>
      </w:pPr>
      <w:r w:rsidRPr="001642C4">
        <w:rPr>
          <w:rFonts w:ascii="Times New Roman" w:hAnsi="Times New Roman" w:cs="Times New Roman"/>
        </w:rPr>
        <w:t>100% two-way body temperature testing in and out of</w:t>
      </w:r>
      <w:r>
        <w:rPr>
          <w:rFonts w:ascii="Times New Roman" w:hAnsi="Times New Roman" w:cs="Times New Roman"/>
        </w:rPr>
        <w:t xml:space="preserve"> the community</w:t>
      </w:r>
    </w:p>
    <w:p w:rsidR="00113E12" w:rsidRDefault="00113E12" w:rsidP="00113E12">
      <w:pPr>
        <w:rPr>
          <w:rFonts w:ascii="Times New Roman" w:hAnsi="Times New Roman" w:cs="Times New Roman"/>
        </w:rPr>
      </w:pPr>
      <w:r w:rsidRPr="001642C4">
        <w:rPr>
          <w:rFonts w:ascii="Times New Roman" w:hAnsi="Times New Roman" w:cs="Times New Roman"/>
        </w:rPr>
        <w:t>100%</w:t>
      </w:r>
      <w:r>
        <w:rPr>
          <w:rFonts w:ascii="Times New Roman" w:hAnsi="Times New Roman" w:cs="Times New Roman"/>
        </w:rPr>
        <w:t xml:space="preserve"> publicity, registration and fulfilling responsibility for the landlords and </w:t>
      </w:r>
      <w:r w:rsidRPr="007C3494">
        <w:rPr>
          <w:rFonts w:ascii="Times New Roman" w:hAnsi="Times New Roman" w:cs="Times New Roman"/>
        </w:rPr>
        <w:t>tenants of the rental properties</w:t>
      </w:r>
    </w:p>
    <w:p w:rsidR="00113E12" w:rsidRDefault="00113E12" w:rsidP="00113E12">
      <w:pPr>
        <w:rPr>
          <w:rFonts w:ascii="Times New Roman" w:hAnsi="Times New Roman" w:cs="Times New Roman"/>
        </w:rPr>
      </w:pPr>
    </w:p>
    <w:p w:rsidR="00113E12" w:rsidRPr="001642C4" w:rsidRDefault="00113E12" w:rsidP="00113E12">
      <w:pPr>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 xml:space="preserve">Ten </w:t>
      </w:r>
      <w:r>
        <w:rPr>
          <w:rFonts w:ascii="Times New Roman" w:hAnsi="Times New Roman" w:cs="Times New Roman"/>
        </w:rPr>
        <w:t>must”</w:t>
      </w:r>
    </w:p>
    <w:p w:rsidR="00113E12" w:rsidRDefault="00113E12" w:rsidP="00113E12">
      <w:pPr>
        <w:numPr>
          <w:ilvl w:val="0"/>
          <w:numId w:val="2"/>
        </w:numPr>
        <w:rPr>
          <w:rFonts w:ascii="Times New Roman" w:hAnsi="Times New Roman" w:cs="Times New Roman"/>
        </w:rPr>
      </w:pPr>
      <w:r w:rsidRPr="00CD0721">
        <w:rPr>
          <w:rFonts w:ascii="Times New Roman" w:hAnsi="Times New Roman" w:cs="Times New Roman"/>
        </w:rPr>
        <w:t xml:space="preserve">All </w:t>
      </w:r>
      <w:r>
        <w:rPr>
          <w:rFonts w:ascii="Times New Roman" w:hAnsi="Times New Roman" w:cs="Times New Roman"/>
        </w:rPr>
        <w:t>communities</w:t>
      </w:r>
      <w:r w:rsidRPr="00CD0721">
        <w:rPr>
          <w:rFonts w:ascii="Times New Roman" w:hAnsi="Times New Roman" w:cs="Times New Roman"/>
        </w:rPr>
        <w:t xml:space="preserve"> and villages in the city are provided with inspection and registration cards at all entrances and exits</w:t>
      </w:r>
      <w:r>
        <w:rPr>
          <w:rFonts w:ascii="Times New Roman" w:hAnsi="Times New Roman" w:cs="Times New Roman"/>
        </w:rPr>
        <w:t>; minimizing</w:t>
      </w:r>
      <w:r w:rsidRPr="00CD0721">
        <w:rPr>
          <w:rFonts w:ascii="Times New Roman" w:hAnsi="Times New Roman" w:cs="Times New Roman"/>
        </w:rPr>
        <w:t xml:space="preserve"> the number of entrances and exits</w:t>
      </w:r>
    </w:p>
    <w:p w:rsidR="00113E12" w:rsidRPr="00CD0721" w:rsidRDefault="00113E12" w:rsidP="00113E12">
      <w:pPr>
        <w:rPr>
          <w:rFonts w:ascii="Times New Roman" w:hAnsi="Times New Roman" w:cs="Times New Roman"/>
        </w:rPr>
      </w:pPr>
      <w:r>
        <w:rPr>
          <w:rFonts w:ascii="Times New Roman" w:hAnsi="Times New Roman" w:cs="Times New Roman"/>
        </w:rPr>
        <w:t xml:space="preserve">2. </w:t>
      </w:r>
      <w:r w:rsidRPr="00CD0721">
        <w:rPr>
          <w:rFonts w:ascii="Times New Roman" w:hAnsi="Times New Roman" w:cs="Times New Roman"/>
        </w:rPr>
        <w:t>Communities, together with relevant units, will notify all residents in Hubei that they will not return to the city for the time being, and those who have already returned to the city will strictly enforce household isolation measures.</w:t>
      </w:r>
    </w:p>
    <w:p w:rsidR="00113E12" w:rsidRDefault="00113E12" w:rsidP="00113E12">
      <w:pPr>
        <w:rPr>
          <w:rFonts w:ascii="Times New Roman" w:hAnsi="Times New Roman" w:cs="Times New Roman"/>
        </w:rPr>
      </w:pPr>
      <w:r>
        <w:rPr>
          <w:rFonts w:ascii="Times New Roman" w:hAnsi="Times New Roman" w:cs="Times New Roman" w:hint="eastAsia"/>
        </w:rPr>
        <w:t>3.</w:t>
      </w:r>
      <w:r w:rsidRPr="00CD0721">
        <w:t xml:space="preserve"> </w:t>
      </w:r>
      <w:r w:rsidRPr="00CD0721">
        <w:rPr>
          <w:rFonts w:ascii="Times New Roman" w:hAnsi="Times New Roman" w:cs="Times New Roman"/>
        </w:rPr>
        <w:t>All fever patients are reported to the community in the first instance, registered with identity information and contact numbers, and sent to hospitals for treatment in a timely manner</w:t>
      </w:r>
    </w:p>
    <w:p w:rsidR="00113E12" w:rsidRDefault="00113E12" w:rsidP="00113E12">
      <w:pPr>
        <w:rPr>
          <w:rFonts w:ascii="Times New Roman" w:hAnsi="Times New Roman" w:cs="Times New Roman"/>
        </w:rPr>
      </w:pPr>
      <w:r>
        <w:rPr>
          <w:rFonts w:ascii="Times New Roman" w:hAnsi="Times New Roman" w:cs="Times New Roman"/>
        </w:rPr>
        <w:t>4. Externals</w:t>
      </w:r>
      <w:r w:rsidRPr="00CD0721">
        <w:rPr>
          <w:rFonts w:ascii="Times New Roman" w:hAnsi="Times New Roman" w:cs="Times New Roman"/>
        </w:rPr>
        <w:t xml:space="preserve"> and vehicles are not allowed to enter the community, and special cases with the consent of the residents to enter must be registered for the record</w:t>
      </w:r>
    </w:p>
    <w:p w:rsidR="00113E12" w:rsidRDefault="00113E12" w:rsidP="00113E12">
      <w:pPr>
        <w:rPr>
          <w:rFonts w:ascii="Times New Roman" w:hAnsi="Times New Roman" w:cs="Times New Roman"/>
        </w:rPr>
      </w:pPr>
      <w:r>
        <w:rPr>
          <w:rFonts w:ascii="Times New Roman" w:hAnsi="Times New Roman" w:cs="Times New Roman"/>
        </w:rPr>
        <w:t xml:space="preserve">5. </w:t>
      </w:r>
      <w:r w:rsidRPr="00CD0721">
        <w:rPr>
          <w:rFonts w:ascii="Times New Roman" w:hAnsi="Times New Roman" w:cs="Times New Roman"/>
        </w:rPr>
        <w:t>All households returning to Shenzhen from out-of-town trips, visits to relatives, etc. will be screened and asked about their residence history, travel history, contact history within the last 14 days</w:t>
      </w:r>
    </w:p>
    <w:p w:rsidR="00113E12" w:rsidRDefault="00113E12" w:rsidP="00113E12">
      <w:pPr>
        <w:rPr>
          <w:rFonts w:ascii="Times New Roman" w:hAnsi="Times New Roman" w:cs="Times New Roman"/>
        </w:rPr>
      </w:pPr>
      <w:r>
        <w:rPr>
          <w:rFonts w:ascii="Times New Roman" w:hAnsi="Times New Roman" w:cs="Times New Roman"/>
        </w:rPr>
        <w:t xml:space="preserve">6. </w:t>
      </w:r>
      <w:r w:rsidRPr="00EE4211">
        <w:rPr>
          <w:rFonts w:ascii="Times New Roman" w:hAnsi="Times New Roman" w:cs="Times New Roman"/>
        </w:rPr>
        <w:t>A 14-day hard quarantine will be imposed on all units in residential buildings with confirmed cases, and a notice entitled "Quarantine management in this building due to epidemic prevention and control" will be posted in a prominent place</w:t>
      </w:r>
    </w:p>
    <w:p w:rsidR="00113E12" w:rsidRDefault="00113E12" w:rsidP="00113E12">
      <w:pPr>
        <w:rPr>
          <w:rFonts w:ascii="Times New Roman" w:hAnsi="Times New Roman" w:cs="Times New Roman"/>
        </w:rPr>
      </w:pPr>
      <w:r>
        <w:rPr>
          <w:rFonts w:ascii="Times New Roman" w:hAnsi="Times New Roman" w:cs="Times New Roman"/>
        </w:rPr>
        <w:t xml:space="preserve">7. </w:t>
      </w:r>
      <w:r w:rsidRPr="00EE4211">
        <w:rPr>
          <w:rFonts w:ascii="Times New Roman" w:hAnsi="Times New Roman" w:cs="Times New Roman"/>
        </w:rPr>
        <w:t>All takeaway, courier, delivery, etc. will be delivered without contact and will be accessible at the entrances and exits of the community</w:t>
      </w:r>
    </w:p>
    <w:p w:rsidR="00113E12" w:rsidRDefault="00113E12" w:rsidP="00113E12">
      <w:pPr>
        <w:rPr>
          <w:rFonts w:ascii="Times New Roman" w:hAnsi="Times New Roman" w:cs="Times New Roman"/>
        </w:rPr>
      </w:pPr>
      <w:r>
        <w:rPr>
          <w:rFonts w:ascii="Times New Roman" w:hAnsi="Times New Roman" w:cs="Times New Roman"/>
        </w:rPr>
        <w:t xml:space="preserve">8. </w:t>
      </w:r>
      <w:r w:rsidRPr="00EE4211">
        <w:rPr>
          <w:rFonts w:ascii="Times New Roman" w:hAnsi="Times New Roman" w:cs="Times New Roman"/>
        </w:rPr>
        <w:t xml:space="preserve">All residents in </w:t>
      </w:r>
      <w:r>
        <w:rPr>
          <w:rFonts w:ascii="Times New Roman" w:hAnsi="Times New Roman" w:cs="Times New Roman"/>
        </w:rPr>
        <w:t>communities</w:t>
      </w:r>
      <w:r w:rsidRPr="00EE4211">
        <w:rPr>
          <w:rFonts w:ascii="Times New Roman" w:hAnsi="Times New Roman" w:cs="Times New Roman"/>
        </w:rPr>
        <w:t xml:space="preserve"> do not </w:t>
      </w:r>
      <w:r>
        <w:rPr>
          <w:rFonts w:ascii="Times New Roman" w:hAnsi="Times New Roman" w:cs="Times New Roman"/>
        </w:rPr>
        <w:t>visit each other</w:t>
      </w:r>
      <w:r w:rsidRPr="00EE4211">
        <w:rPr>
          <w:rFonts w:ascii="Times New Roman" w:hAnsi="Times New Roman" w:cs="Times New Roman"/>
        </w:rPr>
        <w:t>, do not gather for meals, and strictly implement the requirement to wear masks in public places</w:t>
      </w:r>
    </w:p>
    <w:p w:rsidR="00113E12" w:rsidRDefault="00113E12" w:rsidP="00113E12">
      <w:pPr>
        <w:rPr>
          <w:rFonts w:ascii="Times New Roman" w:hAnsi="Times New Roman" w:cs="Times New Roman"/>
        </w:rPr>
      </w:pPr>
      <w:r>
        <w:rPr>
          <w:rFonts w:ascii="Times New Roman" w:hAnsi="Times New Roman" w:cs="Times New Roman"/>
        </w:rPr>
        <w:t xml:space="preserve">9. </w:t>
      </w:r>
      <w:r w:rsidRPr="00EE4211">
        <w:rPr>
          <w:rFonts w:ascii="Times New Roman" w:hAnsi="Times New Roman" w:cs="Times New Roman"/>
        </w:rPr>
        <w:t>Daily disinfection of buildings, elevators and small enclosed areas so that no dead space is left</w:t>
      </w:r>
    </w:p>
    <w:p w:rsidR="00113E12" w:rsidRPr="00767E62" w:rsidRDefault="00113E12" w:rsidP="00113E12">
      <w:pPr>
        <w:rPr>
          <w:rFonts w:ascii="Times New Roman" w:hAnsi="Times New Roman" w:cs="Times New Roman"/>
        </w:rPr>
      </w:pPr>
      <w:r>
        <w:rPr>
          <w:rFonts w:ascii="Times New Roman" w:hAnsi="Times New Roman" w:cs="Times New Roman"/>
        </w:rPr>
        <w:t xml:space="preserve">10. </w:t>
      </w:r>
      <w:r w:rsidRPr="00EE4211">
        <w:rPr>
          <w:rFonts w:ascii="Times New Roman" w:hAnsi="Times New Roman" w:cs="Times New Roman"/>
        </w:rPr>
        <w:t>Closure of all public places in the community that are not essential to the life of the population and cessation of all mass events</w:t>
      </w:r>
      <w:r>
        <w:rPr>
          <w:rFonts w:ascii="Times New Roman" w:hAnsi="Times New Roman" w:cs="Times New Roman" w:hint="eastAsia"/>
        </w:rPr>
        <w:t>.</w:t>
      </w:r>
    </w:p>
    <w:p w:rsidR="00113E12" w:rsidRPr="00113E12" w:rsidRDefault="00113E12" w:rsidP="004C406E">
      <w:pPr>
        <w:rPr>
          <w:rFonts w:ascii="Times New Roman" w:hAnsi="Times New Roman" w:cs="Times New Roman"/>
          <w:b/>
        </w:rPr>
      </w:pPr>
    </w:p>
    <w:p w:rsidR="00F510F7" w:rsidRDefault="00F510F7" w:rsidP="004C406E">
      <w:pPr>
        <w:rPr>
          <w:rFonts w:ascii="Times New Roman" w:hAnsi="Times New Roman" w:cs="Times New Roman"/>
          <w:b/>
        </w:rPr>
      </w:pPr>
    </w:p>
    <w:p w:rsidR="00F510F7" w:rsidRDefault="00F510F7" w:rsidP="004C406E">
      <w:pPr>
        <w:rPr>
          <w:rFonts w:ascii="Times New Roman" w:hAnsi="Times New Roman" w:cs="Times New Roman"/>
          <w:b/>
        </w:rPr>
        <w:sectPr w:rsidR="00F510F7">
          <w:pgSz w:w="11906" w:h="16838"/>
          <w:pgMar w:top="1440" w:right="1800" w:bottom="1440" w:left="1800" w:header="851" w:footer="992" w:gutter="0"/>
          <w:cols w:space="425"/>
          <w:docGrid w:type="lines" w:linePitch="312"/>
        </w:sectPr>
      </w:pPr>
    </w:p>
    <w:p w:rsidR="00737364" w:rsidRPr="00916232" w:rsidRDefault="00737364" w:rsidP="00737364">
      <w:pPr>
        <w:autoSpaceDE w:val="0"/>
        <w:autoSpaceDN w:val="0"/>
        <w:adjustRightInd w:val="0"/>
        <w:jc w:val="left"/>
        <w:rPr>
          <w:rFonts w:ascii="Times New Roman" w:hAnsi="Times New Roman" w:cs="Times New Roman"/>
          <w:b/>
        </w:rPr>
      </w:pPr>
      <w:r w:rsidRPr="00916232">
        <w:rPr>
          <w:rFonts w:ascii="Times New Roman" w:hAnsi="Times New Roman" w:cs="Times New Roman"/>
          <w:b/>
        </w:rPr>
        <w:lastRenderedPageBreak/>
        <w:t>Table S</w:t>
      </w:r>
      <w:r>
        <w:rPr>
          <w:rFonts w:ascii="Times New Roman" w:hAnsi="Times New Roman" w:cs="Times New Roman" w:hint="eastAsia"/>
          <w:b/>
        </w:rPr>
        <w:t>1</w:t>
      </w:r>
      <w:r w:rsidRPr="00916232">
        <w:rPr>
          <w:rFonts w:ascii="Times New Roman" w:hAnsi="Times New Roman" w:cs="Times New Roman"/>
          <w:b/>
        </w:rPr>
        <w:t xml:space="preserve">. </w:t>
      </w:r>
      <w:r>
        <w:rPr>
          <w:rFonts w:ascii="Times New Roman" w:hAnsi="Times New Roman" w:cs="Times New Roman" w:hint="eastAsia"/>
          <w:b/>
        </w:rPr>
        <w:t>The daily rate for the COVID-19 cases stratified by age and sex across the four periods</w:t>
      </w:r>
      <w:r w:rsidRPr="00916232">
        <w:rPr>
          <w:rFonts w:ascii="Times New Roman" w:hAnsi="Times New Roman" w:cs="Times New Roman"/>
          <w:b/>
        </w:rPr>
        <w:t xml:space="preserve"> </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9"/>
        <w:gridCol w:w="2591"/>
        <w:gridCol w:w="2441"/>
        <w:gridCol w:w="2441"/>
        <w:gridCol w:w="1871"/>
        <w:gridCol w:w="1871"/>
      </w:tblGrid>
      <w:tr w:rsidR="00737364" w:rsidRPr="00A3401A" w:rsidTr="00FF3B07">
        <w:tc>
          <w:tcPr>
            <w:tcW w:w="1044" w:type="pct"/>
            <w:tcBorders>
              <w:top w:val="single" w:sz="4" w:space="0" w:color="auto"/>
              <w:bottom w:val="single" w:sz="4" w:space="0" w:color="auto"/>
            </w:tcBorders>
          </w:tcPr>
          <w:p w:rsidR="00737364" w:rsidRPr="00A3401A"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Characteristics</w:t>
            </w:r>
          </w:p>
        </w:tc>
        <w:tc>
          <w:tcPr>
            <w:tcW w:w="914" w:type="pct"/>
            <w:tcBorders>
              <w:top w:val="single" w:sz="4" w:space="0" w:color="auto"/>
              <w:bottom w:val="single" w:sz="4" w:space="0" w:color="auto"/>
            </w:tcBorders>
          </w:tcPr>
          <w:p w:rsidR="00737364" w:rsidRPr="00A3401A"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rPr>
              <w:t>Jan 1-15</w:t>
            </w:r>
          </w:p>
        </w:tc>
        <w:tc>
          <w:tcPr>
            <w:tcW w:w="861" w:type="pct"/>
            <w:tcBorders>
              <w:top w:val="single" w:sz="4" w:space="0" w:color="auto"/>
              <w:bottom w:val="single" w:sz="4" w:space="0" w:color="auto"/>
            </w:tcBorders>
          </w:tcPr>
          <w:p w:rsidR="00737364" w:rsidRPr="00A3401A" w:rsidRDefault="00737364" w:rsidP="00FF3B07">
            <w:pPr>
              <w:autoSpaceDE w:val="0"/>
              <w:autoSpaceDN w:val="0"/>
              <w:adjustRightInd w:val="0"/>
              <w:rPr>
                <w:rFonts w:ascii="Times New Roman" w:hAnsi="Times New Roman" w:cs="Times New Roman"/>
              </w:rPr>
            </w:pPr>
            <w:r>
              <w:rPr>
                <w:rFonts w:ascii="Times New Roman" w:hAnsi="Times New Roman" w:cs="Times New Roman"/>
              </w:rPr>
              <w:t>Jan 16-22</w:t>
            </w:r>
          </w:p>
        </w:tc>
        <w:tc>
          <w:tcPr>
            <w:tcW w:w="861" w:type="pct"/>
            <w:tcBorders>
              <w:top w:val="single" w:sz="4" w:space="0" w:color="auto"/>
              <w:bottom w:val="single" w:sz="4" w:space="0" w:color="auto"/>
            </w:tcBorders>
          </w:tcPr>
          <w:p w:rsidR="00737364" w:rsidRPr="00A3401A" w:rsidRDefault="00737364" w:rsidP="00FF3B07">
            <w:pPr>
              <w:autoSpaceDE w:val="0"/>
              <w:autoSpaceDN w:val="0"/>
              <w:adjustRightInd w:val="0"/>
              <w:jc w:val="center"/>
              <w:rPr>
                <w:rFonts w:ascii="Times New Roman" w:hAnsi="Times New Roman" w:cs="Times New Roman"/>
              </w:rPr>
            </w:pPr>
            <w:r w:rsidRPr="00A3401A">
              <w:rPr>
                <w:rFonts w:ascii="Times New Roman" w:hAnsi="Times New Roman" w:cs="Times New Roman"/>
              </w:rPr>
              <w:t>Jan 2</w:t>
            </w:r>
            <w:r>
              <w:rPr>
                <w:rFonts w:ascii="Times New Roman" w:hAnsi="Times New Roman" w:cs="Times New Roman" w:hint="eastAsia"/>
              </w:rPr>
              <w:t>3</w:t>
            </w:r>
            <w:r>
              <w:rPr>
                <w:rFonts w:ascii="Times New Roman" w:hAnsi="Times New Roman" w:cs="Times New Roman"/>
              </w:rPr>
              <w:t>-Feb 5</w:t>
            </w:r>
          </w:p>
        </w:tc>
        <w:tc>
          <w:tcPr>
            <w:tcW w:w="660" w:type="pct"/>
            <w:tcBorders>
              <w:top w:val="single" w:sz="4" w:space="0" w:color="auto"/>
              <w:bottom w:val="single" w:sz="4" w:space="0" w:color="auto"/>
            </w:tcBorders>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rPr>
              <w:t>Feb 6-14</w:t>
            </w:r>
          </w:p>
        </w:tc>
        <w:tc>
          <w:tcPr>
            <w:tcW w:w="660" w:type="pct"/>
            <w:tcBorders>
              <w:top w:val="single" w:sz="4" w:space="0" w:color="auto"/>
              <w:bottom w:val="single" w:sz="4" w:space="0" w:color="auto"/>
            </w:tcBorders>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Total</w:t>
            </w:r>
          </w:p>
        </w:tc>
      </w:tr>
      <w:tr w:rsidR="00737364" w:rsidRPr="00A3401A" w:rsidTr="00FF3B07">
        <w:tc>
          <w:tcPr>
            <w:tcW w:w="1044" w:type="pct"/>
            <w:tcBorders>
              <w:top w:val="single" w:sz="4" w:space="0" w:color="auto"/>
            </w:tcBorders>
          </w:tcPr>
          <w:p w:rsidR="00737364"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All cases</w:t>
            </w:r>
          </w:p>
        </w:tc>
        <w:tc>
          <w:tcPr>
            <w:tcW w:w="914" w:type="pct"/>
            <w:tcBorders>
              <w:top w:val="single" w:sz="4" w:space="0" w:color="auto"/>
            </w:tcBorders>
          </w:tcPr>
          <w:p w:rsidR="00737364" w:rsidRPr="00A3401A"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9.3</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5.7 to 14.3)</w:t>
            </w:r>
          </w:p>
        </w:tc>
        <w:tc>
          <w:tcPr>
            <w:tcW w:w="861" w:type="pct"/>
            <w:tcBorders>
              <w:top w:val="single" w:sz="4" w:space="0" w:color="auto"/>
            </w:tcBorders>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98.2 (</w:t>
            </w:r>
            <w:r>
              <w:rPr>
                <w:rFonts w:ascii="Times New Roman" w:hAnsi="Times New Roman" w:cs="Times New Roman"/>
              </w:rPr>
              <w:t>79.3 to 100)</w:t>
            </w:r>
          </w:p>
        </w:tc>
        <w:tc>
          <w:tcPr>
            <w:tcW w:w="861" w:type="pct"/>
            <w:tcBorders>
              <w:top w:val="single" w:sz="4" w:space="0" w:color="auto"/>
            </w:tcBorders>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154.4 (100 to 200)</w:t>
            </w:r>
          </w:p>
        </w:tc>
        <w:tc>
          <w:tcPr>
            <w:tcW w:w="660" w:type="pct"/>
            <w:tcBorders>
              <w:top w:val="single" w:sz="4" w:space="0" w:color="auto"/>
            </w:tcBorders>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25.7 (17.7 to 36.2)</w:t>
            </w:r>
          </w:p>
        </w:tc>
        <w:tc>
          <w:tcPr>
            <w:tcW w:w="660" w:type="pct"/>
            <w:tcBorders>
              <w:top w:val="single" w:sz="4" w:space="0" w:color="auto"/>
            </w:tcBorders>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71.5 (64.9 to 78.7)</w:t>
            </w:r>
          </w:p>
        </w:tc>
      </w:tr>
      <w:tr w:rsidR="00737364" w:rsidRPr="00A3401A" w:rsidTr="00FF3B07">
        <w:tc>
          <w:tcPr>
            <w:tcW w:w="1044" w:type="pct"/>
          </w:tcPr>
          <w:p w:rsidR="00737364"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Male</w:t>
            </w:r>
          </w:p>
        </w:tc>
        <w:tc>
          <w:tcPr>
            <w:tcW w:w="914" w:type="pct"/>
          </w:tcPr>
          <w:p w:rsidR="00737364" w:rsidRPr="00A3401A"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12.3 (6.9 to 20.5)</w:t>
            </w:r>
          </w:p>
        </w:tc>
        <w:tc>
          <w:tcPr>
            <w:tcW w:w="861"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85.5 (62.5 to 100)</w:t>
            </w:r>
          </w:p>
        </w:tc>
        <w:tc>
          <w:tcPr>
            <w:tcW w:w="861"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134.3 (100 to 200)</w:t>
            </w:r>
          </w:p>
        </w:tc>
        <w:tc>
          <w:tcPr>
            <w:tcW w:w="660"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15.8 (8.1 to 28.1)</w:t>
            </w:r>
          </w:p>
        </w:tc>
        <w:tc>
          <w:tcPr>
            <w:tcW w:w="660"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62.4 (54.1 to 71.5)</w:t>
            </w:r>
          </w:p>
        </w:tc>
      </w:tr>
      <w:tr w:rsidR="00737364" w:rsidRPr="00A3401A" w:rsidTr="00FF3B07">
        <w:tc>
          <w:tcPr>
            <w:tcW w:w="1044" w:type="pct"/>
          </w:tcPr>
          <w:p w:rsidR="00737364"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Female</w:t>
            </w:r>
          </w:p>
        </w:tc>
        <w:tc>
          <w:tcPr>
            <w:tcW w:w="914" w:type="pct"/>
          </w:tcPr>
          <w:p w:rsidR="00737364" w:rsidRPr="00A3401A"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5.6 (2.1 to 12.3)</w:t>
            </w:r>
          </w:p>
        </w:tc>
        <w:tc>
          <w:tcPr>
            <w:tcW w:w="861"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113.2 (84.2 to 160)</w:t>
            </w:r>
          </w:p>
        </w:tc>
        <w:tc>
          <w:tcPr>
            <w:tcW w:w="861"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178.2 (168 to 200)</w:t>
            </w:r>
          </w:p>
        </w:tc>
        <w:tc>
          <w:tcPr>
            <w:tcW w:w="660"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37.5 (23.6 to 56.7)</w:t>
            </w:r>
          </w:p>
        </w:tc>
        <w:tc>
          <w:tcPr>
            <w:tcW w:w="660"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82.4 (72.1 to 94)</w:t>
            </w:r>
          </w:p>
        </w:tc>
      </w:tr>
      <w:tr w:rsidR="00737364" w:rsidRPr="00A3401A" w:rsidTr="00FF3B07">
        <w:tc>
          <w:tcPr>
            <w:tcW w:w="1044" w:type="pct"/>
          </w:tcPr>
          <w:p w:rsidR="00737364"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Age group</w:t>
            </w:r>
            <w:r>
              <w:rPr>
                <w:rFonts w:ascii="Times New Roman" w:hAnsi="Times New Roman" w:cs="Times New Roman"/>
              </w:rPr>
              <w:t>s</w:t>
            </w:r>
          </w:p>
        </w:tc>
        <w:tc>
          <w:tcPr>
            <w:tcW w:w="914" w:type="pct"/>
          </w:tcPr>
          <w:p w:rsidR="00737364" w:rsidRPr="00A3401A" w:rsidRDefault="00737364" w:rsidP="00FF3B07">
            <w:pPr>
              <w:autoSpaceDE w:val="0"/>
              <w:autoSpaceDN w:val="0"/>
              <w:adjustRightInd w:val="0"/>
              <w:jc w:val="left"/>
              <w:rPr>
                <w:rFonts w:ascii="Times New Roman" w:hAnsi="Times New Roman" w:cs="Times New Roman"/>
              </w:rPr>
            </w:pPr>
          </w:p>
        </w:tc>
        <w:tc>
          <w:tcPr>
            <w:tcW w:w="861" w:type="pct"/>
          </w:tcPr>
          <w:p w:rsidR="00737364" w:rsidRPr="00A3401A" w:rsidRDefault="00737364" w:rsidP="00FF3B07">
            <w:pPr>
              <w:autoSpaceDE w:val="0"/>
              <w:autoSpaceDN w:val="0"/>
              <w:adjustRightInd w:val="0"/>
              <w:jc w:val="center"/>
              <w:rPr>
                <w:rFonts w:ascii="Times New Roman" w:hAnsi="Times New Roman" w:cs="Times New Roman"/>
              </w:rPr>
            </w:pPr>
          </w:p>
        </w:tc>
        <w:tc>
          <w:tcPr>
            <w:tcW w:w="861" w:type="pct"/>
          </w:tcPr>
          <w:p w:rsidR="00737364" w:rsidRPr="00A3401A" w:rsidRDefault="00737364" w:rsidP="00FF3B07">
            <w:pPr>
              <w:autoSpaceDE w:val="0"/>
              <w:autoSpaceDN w:val="0"/>
              <w:adjustRightInd w:val="0"/>
              <w:jc w:val="center"/>
              <w:rPr>
                <w:rFonts w:ascii="Times New Roman" w:hAnsi="Times New Roman" w:cs="Times New Roman"/>
              </w:rPr>
            </w:pPr>
          </w:p>
        </w:tc>
        <w:tc>
          <w:tcPr>
            <w:tcW w:w="660" w:type="pct"/>
          </w:tcPr>
          <w:p w:rsidR="00737364" w:rsidRPr="00A3401A" w:rsidRDefault="00737364" w:rsidP="00FF3B07">
            <w:pPr>
              <w:autoSpaceDE w:val="0"/>
              <w:autoSpaceDN w:val="0"/>
              <w:adjustRightInd w:val="0"/>
              <w:jc w:val="center"/>
              <w:rPr>
                <w:rFonts w:ascii="Times New Roman" w:hAnsi="Times New Roman" w:cs="Times New Roman"/>
              </w:rPr>
            </w:pPr>
          </w:p>
        </w:tc>
        <w:tc>
          <w:tcPr>
            <w:tcW w:w="660" w:type="pct"/>
          </w:tcPr>
          <w:p w:rsidR="00737364" w:rsidRPr="00A3401A" w:rsidRDefault="00737364" w:rsidP="00FF3B07">
            <w:pPr>
              <w:autoSpaceDE w:val="0"/>
              <w:autoSpaceDN w:val="0"/>
              <w:adjustRightInd w:val="0"/>
              <w:jc w:val="center"/>
              <w:rPr>
                <w:rFonts w:ascii="Times New Roman" w:hAnsi="Times New Roman" w:cs="Times New Roman"/>
              </w:rPr>
            </w:pPr>
          </w:p>
        </w:tc>
      </w:tr>
      <w:tr w:rsidR="00737364" w:rsidRPr="00A3401A" w:rsidTr="00FF3B07">
        <w:tc>
          <w:tcPr>
            <w:tcW w:w="1044" w:type="pct"/>
          </w:tcPr>
          <w:p w:rsidR="00737364"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0-19y</w:t>
            </w:r>
          </w:p>
        </w:tc>
        <w:tc>
          <w:tcPr>
            <w:tcW w:w="914" w:type="pct"/>
          </w:tcPr>
          <w:p w:rsidR="00737364" w:rsidRPr="00A3401A"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3.0 (0.3 to 13.9)</w:t>
            </w:r>
          </w:p>
        </w:tc>
        <w:tc>
          <w:tcPr>
            <w:tcW w:w="861"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0 (0 to 0)</w:t>
            </w:r>
          </w:p>
        </w:tc>
        <w:tc>
          <w:tcPr>
            <w:tcW w:w="861"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95.4 (65.7 to 100)</w:t>
            </w:r>
          </w:p>
        </w:tc>
        <w:tc>
          <w:tcPr>
            <w:tcW w:w="660"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9.9 (</w:t>
            </w:r>
            <w:r>
              <w:rPr>
                <w:rFonts w:ascii="Times New Roman" w:hAnsi="Times New Roman" w:cs="Times New Roman"/>
              </w:rPr>
              <w:t>2.1 to 31.7)</w:t>
            </w:r>
          </w:p>
        </w:tc>
        <w:tc>
          <w:tcPr>
            <w:tcW w:w="660"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32.7 (22.9 to 45.3)</w:t>
            </w:r>
          </w:p>
        </w:tc>
      </w:tr>
      <w:tr w:rsidR="00737364" w:rsidRPr="00A3401A" w:rsidTr="00FF3B07">
        <w:tc>
          <w:tcPr>
            <w:tcW w:w="1044" w:type="pct"/>
          </w:tcPr>
          <w:p w:rsidR="00737364"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20-39y</w:t>
            </w:r>
          </w:p>
        </w:tc>
        <w:tc>
          <w:tcPr>
            <w:tcW w:w="914" w:type="pct"/>
          </w:tcPr>
          <w:p w:rsidR="00737364" w:rsidRPr="00A3401A"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1.7 (0.4 to 5.4)</w:t>
            </w:r>
          </w:p>
        </w:tc>
        <w:tc>
          <w:tcPr>
            <w:tcW w:w="861"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45.2 (30.0 to 65.6)</w:t>
            </w:r>
          </w:p>
        </w:tc>
        <w:tc>
          <w:tcPr>
            <w:tcW w:w="861"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81.3 (65.8 to 99.5)</w:t>
            </w:r>
          </w:p>
        </w:tc>
        <w:tc>
          <w:tcPr>
            <w:tcW w:w="660"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16.9 (</w:t>
            </w:r>
            <w:r>
              <w:rPr>
                <w:rFonts w:ascii="Times New Roman" w:hAnsi="Times New Roman" w:cs="Times New Roman"/>
              </w:rPr>
              <w:t>9.2 to 28.6)</w:t>
            </w:r>
          </w:p>
        </w:tc>
        <w:tc>
          <w:tcPr>
            <w:tcW w:w="660"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36.3 (30.4 to 42.9)</w:t>
            </w:r>
          </w:p>
        </w:tc>
      </w:tr>
      <w:tr w:rsidR="00737364" w:rsidRPr="00A3401A" w:rsidTr="00FF3B07">
        <w:tc>
          <w:tcPr>
            <w:tcW w:w="1044" w:type="pct"/>
          </w:tcPr>
          <w:p w:rsidR="00737364"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40-59y</w:t>
            </w:r>
          </w:p>
        </w:tc>
        <w:tc>
          <w:tcPr>
            <w:tcW w:w="914" w:type="pct"/>
          </w:tcPr>
          <w:p w:rsidR="00737364" w:rsidRPr="00A3401A"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11.0 (3.7 to 26.2)</w:t>
            </w:r>
          </w:p>
        </w:tc>
        <w:tc>
          <w:tcPr>
            <w:tcW w:w="861"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194.5 (100 to 300)</w:t>
            </w:r>
          </w:p>
        </w:tc>
        <w:tc>
          <w:tcPr>
            <w:tcW w:w="861"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291.8 (200 to 400)</w:t>
            </w:r>
          </w:p>
        </w:tc>
        <w:tc>
          <w:tcPr>
            <w:tcW w:w="660"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45.9 (</w:t>
            </w:r>
            <w:r>
              <w:rPr>
                <w:rFonts w:ascii="Times New Roman" w:hAnsi="Times New Roman" w:cs="Times New Roman"/>
              </w:rPr>
              <w:t>23.6 to 81.3)</w:t>
            </w:r>
          </w:p>
        </w:tc>
        <w:tc>
          <w:tcPr>
            <w:tcW w:w="660" w:type="pct"/>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133.9 (100 to 200)</w:t>
            </w:r>
          </w:p>
        </w:tc>
      </w:tr>
      <w:tr w:rsidR="00737364" w:rsidRPr="00A3401A" w:rsidTr="00FF3B07">
        <w:tc>
          <w:tcPr>
            <w:tcW w:w="1044" w:type="pct"/>
            <w:tcBorders>
              <w:bottom w:val="single" w:sz="4" w:space="0" w:color="auto"/>
            </w:tcBorders>
          </w:tcPr>
          <w:p w:rsidR="00737364"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60-86y</w:t>
            </w:r>
          </w:p>
        </w:tc>
        <w:tc>
          <w:tcPr>
            <w:tcW w:w="914" w:type="pct"/>
            <w:tcBorders>
              <w:bottom w:val="single" w:sz="4" w:space="0" w:color="auto"/>
            </w:tcBorders>
          </w:tcPr>
          <w:p w:rsidR="00737364" w:rsidRPr="00A3401A" w:rsidRDefault="00737364" w:rsidP="00FF3B07">
            <w:pPr>
              <w:autoSpaceDE w:val="0"/>
              <w:autoSpaceDN w:val="0"/>
              <w:adjustRightInd w:val="0"/>
              <w:jc w:val="left"/>
              <w:rPr>
                <w:rFonts w:ascii="Times New Roman" w:hAnsi="Times New Roman" w:cs="Times New Roman"/>
              </w:rPr>
            </w:pPr>
            <w:r>
              <w:rPr>
                <w:rFonts w:ascii="Times New Roman" w:hAnsi="Times New Roman" w:cs="Times New Roman" w:hint="eastAsia"/>
              </w:rPr>
              <w:t>194 (100 to 300)</w:t>
            </w:r>
          </w:p>
        </w:tc>
        <w:tc>
          <w:tcPr>
            <w:tcW w:w="861" w:type="pct"/>
            <w:tcBorders>
              <w:bottom w:val="single" w:sz="4" w:space="0" w:color="auto"/>
            </w:tcBorders>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1170.9 (800 to 1600)</w:t>
            </w:r>
          </w:p>
        </w:tc>
        <w:tc>
          <w:tcPr>
            <w:tcW w:w="861" w:type="pct"/>
            <w:tcBorders>
              <w:bottom w:val="single" w:sz="4" w:space="0" w:color="auto"/>
            </w:tcBorders>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1152 (900 to 1500)</w:t>
            </w:r>
          </w:p>
        </w:tc>
        <w:tc>
          <w:tcPr>
            <w:tcW w:w="660" w:type="pct"/>
            <w:tcBorders>
              <w:bottom w:val="single" w:sz="4" w:space="0" w:color="auto"/>
            </w:tcBorders>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176.3 (</w:t>
            </w:r>
            <w:r>
              <w:rPr>
                <w:rFonts w:ascii="Times New Roman" w:hAnsi="Times New Roman" w:cs="Times New Roman"/>
              </w:rPr>
              <w:t>73.6 to 400)</w:t>
            </w:r>
          </w:p>
        </w:tc>
        <w:tc>
          <w:tcPr>
            <w:tcW w:w="660" w:type="pct"/>
            <w:tcBorders>
              <w:bottom w:val="single" w:sz="4" w:space="0" w:color="auto"/>
            </w:tcBorders>
          </w:tcPr>
          <w:p w:rsidR="00737364" w:rsidRPr="00A3401A" w:rsidRDefault="00737364" w:rsidP="00FF3B07">
            <w:pPr>
              <w:autoSpaceDE w:val="0"/>
              <w:autoSpaceDN w:val="0"/>
              <w:adjustRightInd w:val="0"/>
              <w:jc w:val="center"/>
              <w:rPr>
                <w:rFonts w:ascii="Times New Roman" w:hAnsi="Times New Roman" w:cs="Times New Roman"/>
              </w:rPr>
            </w:pPr>
            <w:r>
              <w:rPr>
                <w:rFonts w:ascii="Times New Roman" w:hAnsi="Times New Roman" w:cs="Times New Roman" w:hint="eastAsia"/>
              </w:rPr>
              <w:t>640.4 (500 to 800)</w:t>
            </w:r>
          </w:p>
        </w:tc>
      </w:tr>
    </w:tbl>
    <w:p w:rsidR="00737364" w:rsidRDefault="00737364" w:rsidP="00A3401A">
      <w:pPr>
        <w:autoSpaceDE w:val="0"/>
        <w:autoSpaceDN w:val="0"/>
        <w:adjustRightInd w:val="0"/>
        <w:jc w:val="left"/>
        <w:rPr>
          <w:rFonts w:ascii="Times New Roman" w:hAnsi="Times New Roman" w:cs="Times New Roman"/>
          <w:b/>
        </w:rPr>
        <w:sectPr w:rsidR="00737364" w:rsidSect="00737364">
          <w:pgSz w:w="16838" w:h="11906" w:orient="landscape"/>
          <w:pgMar w:top="1800" w:right="1440" w:bottom="1800" w:left="1440" w:header="851" w:footer="992" w:gutter="0"/>
          <w:cols w:space="425"/>
          <w:docGrid w:type="lines" w:linePitch="312"/>
        </w:sectPr>
      </w:pPr>
      <w:r>
        <w:rPr>
          <w:rFonts w:ascii="Times New Roman" w:hAnsi="Times New Roman" w:cs="Times New Roman" w:hint="eastAsia"/>
        </w:rPr>
        <w:t>D</w:t>
      </w:r>
      <w:r>
        <w:rPr>
          <w:rFonts w:ascii="Times New Roman" w:hAnsi="Times New Roman" w:cs="Times New Roman"/>
        </w:rPr>
        <w:t>ata were shown as number of confirmed cases per day per 100 million people and its 95% confidence interval.</w:t>
      </w:r>
    </w:p>
    <w:p w:rsidR="00A3401A" w:rsidRPr="00916232" w:rsidRDefault="00A3401A" w:rsidP="00A3401A">
      <w:pPr>
        <w:autoSpaceDE w:val="0"/>
        <w:autoSpaceDN w:val="0"/>
        <w:adjustRightInd w:val="0"/>
        <w:jc w:val="left"/>
        <w:rPr>
          <w:rFonts w:ascii="Times New Roman" w:hAnsi="Times New Roman" w:cs="Times New Roman"/>
          <w:b/>
        </w:rPr>
      </w:pPr>
      <w:r w:rsidRPr="00916232">
        <w:rPr>
          <w:rFonts w:ascii="Times New Roman" w:hAnsi="Times New Roman" w:cs="Times New Roman"/>
          <w:b/>
        </w:rPr>
        <w:lastRenderedPageBreak/>
        <w:t>Table S</w:t>
      </w:r>
      <w:r w:rsidR="00737364">
        <w:rPr>
          <w:rFonts w:ascii="Times New Roman" w:hAnsi="Times New Roman" w:cs="Times New Roman" w:hint="eastAsia"/>
          <w:b/>
        </w:rPr>
        <w:t>2</w:t>
      </w:r>
      <w:r w:rsidRPr="00916232">
        <w:rPr>
          <w:rFonts w:ascii="Times New Roman" w:hAnsi="Times New Roman" w:cs="Times New Roman"/>
          <w:b/>
        </w:rPr>
        <w:t>. Parameter values of the SEI</w:t>
      </w:r>
      <w:r w:rsidR="00916232">
        <w:rPr>
          <w:rFonts w:ascii="Times New Roman" w:hAnsi="Times New Roman" w:cs="Times New Roman" w:hint="eastAsia"/>
          <w:b/>
        </w:rPr>
        <w:t>A</w:t>
      </w:r>
      <w:r w:rsidRPr="00916232">
        <w:rPr>
          <w:rFonts w:ascii="Times New Roman" w:hAnsi="Times New Roman" w:cs="Times New Roman"/>
          <w:b/>
        </w:rPr>
        <w:t xml:space="preserve">R model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A3401A" w:rsidRPr="00A3401A" w:rsidTr="00010200">
        <w:tc>
          <w:tcPr>
            <w:tcW w:w="2130" w:type="dxa"/>
            <w:tcBorders>
              <w:top w:val="single" w:sz="4" w:space="0" w:color="auto"/>
              <w:bottom w:val="single" w:sz="4" w:space="0" w:color="auto"/>
            </w:tcBorders>
          </w:tcPr>
          <w:p w:rsidR="00A3401A" w:rsidRPr="00A3401A" w:rsidRDefault="00A3401A" w:rsidP="00010200">
            <w:pPr>
              <w:autoSpaceDE w:val="0"/>
              <w:autoSpaceDN w:val="0"/>
              <w:adjustRightInd w:val="0"/>
              <w:jc w:val="left"/>
              <w:rPr>
                <w:rFonts w:ascii="Times New Roman" w:hAnsi="Times New Roman" w:cs="Times New Roman"/>
              </w:rPr>
            </w:pPr>
            <w:r w:rsidRPr="00A3401A">
              <w:rPr>
                <w:rFonts w:ascii="Times New Roman" w:hAnsi="Times New Roman" w:cs="Times New Roman"/>
              </w:rPr>
              <w:t>Parameters</w:t>
            </w:r>
          </w:p>
        </w:tc>
        <w:tc>
          <w:tcPr>
            <w:tcW w:w="2130" w:type="dxa"/>
            <w:tcBorders>
              <w:top w:val="single" w:sz="4" w:space="0" w:color="auto"/>
              <w:bottom w:val="single" w:sz="4" w:space="0" w:color="auto"/>
            </w:tcBorders>
          </w:tcPr>
          <w:p w:rsidR="00A3401A" w:rsidRPr="00A3401A" w:rsidRDefault="00A3401A" w:rsidP="00010200">
            <w:pPr>
              <w:autoSpaceDE w:val="0"/>
              <w:autoSpaceDN w:val="0"/>
              <w:adjustRightInd w:val="0"/>
              <w:jc w:val="left"/>
              <w:rPr>
                <w:rFonts w:ascii="Times New Roman" w:hAnsi="Times New Roman" w:cs="Times New Roman"/>
              </w:rPr>
            </w:pPr>
            <w:r w:rsidRPr="00A3401A">
              <w:rPr>
                <w:rFonts w:ascii="Times New Roman" w:hAnsi="Times New Roman" w:cs="Times New Roman"/>
              </w:rPr>
              <w:t>Meanings</w:t>
            </w:r>
          </w:p>
        </w:tc>
        <w:tc>
          <w:tcPr>
            <w:tcW w:w="2131" w:type="dxa"/>
            <w:tcBorders>
              <w:top w:val="single" w:sz="4" w:space="0" w:color="auto"/>
              <w:bottom w:val="single" w:sz="4" w:space="0" w:color="auto"/>
            </w:tcBorders>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Before January 2</w:t>
            </w:r>
            <w:r>
              <w:rPr>
                <w:rFonts w:ascii="Times New Roman" w:hAnsi="Times New Roman" w:cs="Times New Roman" w:hint="eastAsia"/>
              </w:rPr>
              <w:t>2</w:t>
            </w:r>
          </w:p>
        </w:tc>
        <w:tc>
          <w:tcPr>
            <w:tcW w:w="2131" w:type="dxa"/>
            <w:tcBorders>
              <w:top w:val="single" w:sz="4" w:space="0" w:color="auto"/>
              <w:bottom w:val="single" w:sz="4" w:space="0" w:color="auto"/>
            </w:tcBorders>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January 2</w:t>
            </w:r>
            <w:r>
              <w:rPr>
                <w:rFonts w:ascii="Times New Roman" w:hAnsi="Times New Roman" w:cs="Times New Roman" w:hint="eastAsia"/>
              </w:rPr>
              <w:t>3</w:t>
            </w:r>
            <w:r w:rsidRPr="00A3401A">
              <w:rPr>
                <w:rFonts w:ascii="Times New Roman" w:hAnsi="Times New Roman" w:cs="Times New Roman"/>
              </w:rPr>
              <w:t>~</w:t>
            </w:r>
          </w:p>
        </w:tc>
      </w:tr>
      <w:tr w:rsidR="00A3401A" w:rsidRPr="00A3401A" w:rsidTr="00010200">
        <w:tc>
          <w:tcPr>
            <w:tcW w:w="2130" w:type="dxa"/>
            <w:tcBorders>
              <w:top w:val="single" w:sz="4" w:space="0" w:color="auto"/>
            </w:tcBorders>
          </w:tcPr>
          <w:p w:rsidR="00A3401A" w:rsidRPr="00A3401A" w:rsidRDefault="00A3401A" w:rsidP="00010200">
            <w:pPr>
              <w:autoSpaceDE w:val="0"/>
              <w:autoSpaceDN w:val="0"/>
              <w:adjustRightInd w:val="0"/>
              <w:jc w:val="left"/>
              <w:rPr>
                <w:rFonts w:ascii="Times New Roman" w:hAnsi="Times New Roman" w:cs="Times New Roman"/>
              </w:rPr>
            </w:pPr>
            <w:r w:rsidRPr="00A3401A">
              <w:rPr>
                <w:rFonts w:ascii="Times New Roman" w:hAnsi="Times New Roman" w:cs="Times New Roman"/>
              </w:rPr>
              <w:t>β</w:t>
            </w:r>
          </w:p>
        </w:tc>
        <w:tc>
          <w:tcPr>
            <w:tcW w:w="2130" w:type="dxa"/>
            <w:tcBorders>
              <w:top w:val="single" w:sz="4" w:space="0" w:color="auto"/>
            </w:tcBorders>
          </w:tcPr>
          <w:p w:rsidR="00A3401A" w:rsidRPr="00A3401A" w:rsidRDefault="00A3401A" w:rsidP="00010200">
            <w:pPr>
              <w:autoSpaceDE w:val="0"/>
              <w:autoSpaceDN w:val="0"/>
              <w:adjustRightInd w:val="0"/>
              <w:jc w:val="left"/>
              <w:rPr>
                <w:rFonts w:ascii="Times New Roman" w:hAnsi="Times New Roman" w:cs="Times New Roman"/>
              </w:rPr>
            </w:pPr>
            <w:r w:rsidRPr="00A3401A">
              <w:rPr>
                <w:rFonts w:ascii="Times New Roman" w:hAnsi="Times New Roman" w:cs="Times New Roman"/>
              </w:rPr>
              <w:t>Transmission rate of ascertained cases</w:t>
            </w:r>
          </w:p>
        </w:tc>
        <w:tc>
          <w:tcPr>
            <w:tcW w:w="2131" w:type="dxa"/>
            <w:tcBorders>
              <w:top w:val="single" w:sz="4" w:space="0" w:color="auto"/>
            </w:tcBorders>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 xml:space="preserve">2.28 </w:t>
            </w:r>
            <w:r w:rsidRPr="00A3401A">
              <w:rPr>
                <w:rFonts w:ascii="Times New Roman" w:hAnsi="Times New Roman" w:cs="Times New Roman"/>
              </w:rPr>
              <w:sym w:font="Symbol" w:char="F0B4"/>
            </w:r>
            <w:r w:rsidRPr="00A3401A">
              <w:rPr>
                <w:rFonts w:ascii="Times New Roman" w:hAnsi="Times New Roman" w:cs="Times New Roman"/>
              </w:rPr>
              <w:t xml:space="preserve"> 10</w:t>
            </w:r>
            <w:r w:rsidRPr="00A3401A">
              <w:rPr>
                <w:rFonts w:ascii="Times New Roman" w:hAnsi="Times New Roman" w:cs="Times New Roman"/>
                <w:vertAlign w:val="superscript"/>
              </w:rPr>
              <w:t>-8</w:t>
            </w:r>
          </w:p>
        </w:tc>
        <w:tc>
          <w:tcPr>
            <w:tcW w:w="2131" w:type="dxa"/>
            <w:tcBorders>
              <w:top w:val="single" w:sz="4" w:space="0" w:color="auto"/>
            </w:tcBorders>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1.21</w:t>
            </w:r>
            <w:r w:rsidRPr="00A3401A">
              <w:rPr>
                <w:rFonts w:ascii="Times New Roman" w:hAnsi="Times New Roman" w:cs="Times New Roman"/>
              </w:rPr>
              <w:sym w:font="Symbol" w:char="F0B4"/>
            </w:r>
            <w:r w:rsidRPr="00A3401A">
              <w:rPr>
                <w:rFonts w:ascii="Times New Roman" w:hAnsi="Times New Roman" w:cs="Times New Roman"/>
              </w:rPr>
              <w:t xml:space="preserve"> 10</w:t>
            </w:r>
            <w:r w:rsidRPr="00A3401A">
              <w:rPr>
                <w:rFonts w:ascii="Times New Roman" w:hAnsi="Times New Roman" w:cs="Times New Roman"/>
                <w:vertAlign w:val="superscript"/>
              </w:rPr>
              <w:t>-9</w:t>
            </w:r>
          </w:p>
        </w:tc>
      </w:tr>
      <w:tr w:rsidR="00A3401A" w:rsidRPr="00A3401A" w:rsidTr="00010200">
        <w:tc>
          <w:tcPr>
            <w:tcW w:w="2130" w:type="dxa"/>
          </w:tcPr>
          <w:p w:rsidR="00A3401A" w:rsidRPr="00A3401A" w:rsidRDefault="00A3401A" w:rsidP="00010200">
            <w:pPr>
              <w:autoSpaceDE w:val="0"/>
              <w:autoSpaceDN w:val="0"/>
              <w:adjustRightInd w:val="0"/>
              <w:jc w:val="left"/>
              <w:rPr>
                <w:rFonts w:ascii="Times New Roman" w:hAnsi="Times New Roman" w:cs="Times New Roman"/>
                <w:i/>
              </w:rPr>
            </w:pPr>
            <w:r w:rsidRPr="00A3401A">
              <w:rPr>
                <w:rFonts w:ascii="Times New Roman" w:hAnsi="Times New Roman" w:cs="Times New Roman"/>
                <w:i/>
              </w:rPr>
              <w:t>p</w:t>
            </w:r>
          </w:p>
        </w:tc>
        <w:tc>
          <w:tcPr>
            <w:tcW w:w="2130" w:type="dxa"/>
          </w:tcPr>
          <w:p w:rsidR="00A3401A" w:rsidRPr="00A3401A" w:rsidRDefault="00A3401A" w:rsidP="00010200">
            <w:pPr>
              <w:autoSpaceDE w:val="0"/>
              <w:autoSpaceDN w:val="0"/>
              <w:adjustRightInd w:val="0"/>
              <w:jc w:val="left"/>
              <w:rPr>
                <w:rFonts w:ascii="Times New Roman" w:hAnsi="Times New Roman" w:cs="Times New Roman"/>
              </w:rPr>
            </w:pPr>
            <w:r w:rsidRPr="00A3401A">
              <w:rPr>
                <w:rFonts w:ascii="Times New Roman" w:hAnsi="Times New Roman" w:cs="Times New Roman"/>
              </w:rPr>
              <w:t>Proportion of asymptomatic infections</w:t>
            </w:r>
          </w:p>
        </w:tc>
        <w:tc>
          <w:tcPr>
            <w:tcW w:w="2131" w:type="dxa"/>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0.17</w:t>
            </w:r>
          </w:p>
        </w:tc>
        <w:tc>
          <w:tcPr>
            <w:tcW w:w="2131" w:type="dxa"/>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0.17</w:t>
            </w:r>
          </w:p>
        </w:tc>
      </w:tr>
      <w:tr w:rsidR="00A3401A" w:rsidRPr="00A3401A" w:rsidTr="00010200">
        <w:tc>
          <w:tcPr>
            <w:tcW w:w="2130" w:type="dxa"/>
          </w:tcPr>
          <w:p w:rsidR="00A3401A" w:rsidRPr="00A3401A" w:rsidRDefault="00A3401A" w:rsidP="00010200">
            <w:pPr>
              <w:autoSpaceDE w:val="0"/>
              <w:autoSpaceDN w:val="0"/>
              <w:adjustRightInd w:val="0"/>
              <w:jc w:val="left"/>
              <w:rPr>
                <w:rFonts w:ascii="Times New Roman" w:hAnsi="Times New Roman" w:cs="Times New Roman"/>
                <w:i/>
              </w:rPr>
            </w:pPr>
            <w:r w:rsidRPr="00A3401A">
              <w:rPr>
                <w:rFonts w:ascii="Times New Roman" w:hAnsi="Times New Roman" w:cs="Times New Roman"/>
                <w:i/>
              </w:rPr>
              <w:t>k</w:t>
            </w:r>
          </w:p>
        </w:tc>
        <w:tc>
          <w:tcPr>
            <w:tcW w:w="2130" w:type="dxa"/>
          </w:tcPr>
          <w:p w:rsidR="00A3401A" w:rsidRPr="00A3401A" w:rsidRDefault="00A3401A" w:rsidP="00010200">
            <w:pPr>
              <w:autoSpaceDE w:val="0"/>
              <w:autoSpaceDN w:val="0"/>
              <w:adjustRightInd w:val="0"/>
              <w:jc w:val="left"/>
              <w:rPr>
                <w:rFonts w:ascii="Times New Roman" w:hAnsi="Times New Roman" w:cs="Times New Roman"/>
              </w:rPr>
            </w:pPr>
            <w:r w:rsidRPr="00A3401A">
              <w:rPr>
                <w:rFonts w:ascii="Times New Roman" w:hAnsi="Times New Roman" w:cs="Times New Roman"/>
              </w:rPr>
              <w:t>Ratio of transmission rate between</w:t>
            </w:r>
          </w:p>
          <w:p w:rsidR="00A3401A" w:rsidRPr="00A3401A" w:rsidRDefault="00A3401A" w:rsidP="00010200">
            <w:pPr>
              <w:autoSpaceDE w:val="0"/>
              <w:autoSpaceDN w:val="0"/>
              <w:adjustRightInd w:val="0"/>
              <w:jc w:val="left"/>
              <w:rPr>
                <w:rFonts w:ascii="Times New Roman" w:hAnsi="Times New Roman" w:cs="Times New Roman"/>
              </w:rPr>
            </w:pPr>
            <w:r w:rsidRPr="00A3401A">
              <w:rPr>
                <w:rFonts w:ascii="Times New Roman" w:hAnsi="Times New Roman" w:cs="Times New Roman"/>
              </w:rPr>
              <w:t>asymptomatic and symptomatic cases</w:t>
            </w:r>
          </w:p>
        </w:tc>
        <w:tc>
          <w:tcPr>
            <w:tcW w:w="2131" w:type="dxa"/>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0.5</w:t>
            </w:r>
          </w:p>
        </w:tc>
        <w:tc>
          <w:tcPr>
            <w:tcW w:w="2131" w:type="dxa"/>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0.5</w:t>
            </w:r>
          </w:p>
        </w:tc>
      </w:tr>
      <w:tr w:rsidR="00A3401A" w:rsidRPr="00A3401A" w:rsidTr="00010200">
        <w:tc>
          <w:tcPr>
            <w:tcW w:w="2130" w:type="dxa"/>
          </w:tcPr>
          <w:p w:rsidR="00A3401A" w:rsidRPr="00A3401A" w:rsidRDefault="00A3401A" w:rsidP="00010200">
            <w:pPr>
              <w:autoSpaceDE w:val="0"/>
              <w:autoSpaceDN w:val="0"/>
              <w:adjustRightInd w:val="0"/>
              <w:jc w:val="left"/>
              <w:rPr>
                <w:rFonts w:ascii="Times New Roman" w:hAnsi="Times New Roman" w:cs="Times New Roman"/>
              </w:rPr>
            </w:pPr>
            <w:r w:rsidRPr="00A3401A">
              <w:rPr>
                <w:rFonts w:ascii="Times New Roman" w:hAnsi="Times New Roman" w:cs="Times New Roman"/>
              </w:rPr>
              <w:t>ω</w:t>
            </w:r>
          </w:p>
        </w:tc>
        <w:tc>
          <w:tcPr>
            <w:tcW w:w="2130" w:type="dxa"/>
          </w:tcPr>
          <w:p w:rsidR="00A3401A" w:rsidRPr="00A3401A" w:rsidRDefault="00A3401A" w:rsidP="00010200">
            <w:pPr>
              <w:autoSpaceDE w:val="0"/>
              <w:autoSpaceDN w:val="0"/>
              <w:adjustRightInd w:val="0"/>
              <w:jc w:val="left"/>
              <w:rPr>
                <w:rFonts w:ascii="Times New Roman" w:hAnsi="Times New Roman" w:cs="Times New Roman"/>
              </w:rPr>
            </w:pPr>
            <w:r w:rsidRPr="00A3401A">
              <w:rPr>
                <w:rFonts w:ascii="Times New Roman" w:hAnsi="Times New Roman" w:cs="Times New Roman"/>
              </w:rPr>
              <w:t>Incubation period relative rate</w:t>
            </w:r>
          </w:p>
        </w:tc>
        <w:tc>
          <w:tcPr>
            <w:tcW w:w="2131" w:type="dxa"/>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0.2</w:t>
            </w:r>
          </w:p>
        </w:tc>
        <w:tc>
          <w:tcPr>
            <w:tcW w:w="2131" w:type="dxa"/>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0.2</w:t>
            </w:r>
          </w:p>
        </w:tc>
      </w:tr>
      <w:tr w:rsidR="00A3401A" w:rsidRPr="00A3401A" w:rsidTr="00010200">
        <w:tc>
          <w:tcPr>
            <w:tcW w:w="2130" w:type="dxa"/>
          </w:tcPr>
          <w:p w:rsidR="00A3401A" w:rsidRPr="00A3401A" w:rsidRDefault="00A3401A" w:rsidP="00010200">
            <w:pPr>
              <w:autoSpaceDE w:val="0"/>
              <w:autoSpaceDN w:val="0"/>
              <w:adjustRightInd w:val="0"/>
              <w:jc w:val="left"/>
              <w:rPr>
                <w:rFonts w:ascii="Times New Roman" w:hAnsi="Times New Roman" w:cs="Times New Roman"/>
              </w:rPr>
            </w:pPr>
            <w:r w:rsidRPr="00A3401A">
              <w:rPr>
                <w:rFonts w:ascii="Times New Roman" w:hAnsi="Times New Roman" w:cs="Times New Roman"/>
              </w:rPr>
              <w:t>ω'</w:t>
            </w:r>
          </w:p>
        </w:tc>
        <w:tc>
          <w:tcPr>
            <w:tcW w:w="2130" w:type="dxa"/>
          </w:tcPr>
          <w:p w:rsidR="00A3401A" w:rsidRPr="00A3401A" w:rsidRDefault="00A3401A" w:rsidP="00010200">
            <w:pPr>
              <w:autoSpaceDE w:val="0"/>
              <w:autoSpaceDN w:val="0"/>
              <w:adjustRightInd w:val="0"/>
              <w:jc w:val="left"/>
              <w:rPr>
                <w:rFonts w:ascii="Times New Roman" w:hAnsi="Times New Roman" w:cs="Times New Roman"/>
              </w:rPr>
            </w:pPr>
            <w:r w:rsidRPr="00A3401A">
              <w:rPr>
                <w:rFonts w:ascii="Times New Roman" w:hAnsi="Times New Roman" w:cs="Times New Roman"/>
              </w:rPr>
              <w:t>Latent period relative rate</w:t>
            </w:r>
          </w:p>
        </w:tc>
        <w:tc>
          <w:tcPr>
            <w:tcW w:w="2131" w:type="dxa"/>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0.2</w:t>
            </w:r>
          </w:p>
        </w:tc>
        <w:tc>
          <w:tcPr>
            <w:tcW w:w="2131" w:type="dxa"/>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0.2</w:t>
            </w:r>
          </w:p>
        </w:tc>
      </w:tr>
      <w:tr w:rsidR="00A3401A" w:rsidRPr="00A3401A" w:rsidTr="00010200">
        <w:tc>
          <w:tcPr>
            <w:tcW w:w="2130" w:type="dxa"/>
          </w:tcPr>
          <w:p w:rsidR="00A3401A" w:rsidRPr="00596EB0" w:rsidRDefault="00A3401A" w:rsidP="00010200">
            <w:pPr>
              <w:autoSpaceDE w:val="0"/>
              <w:autoSpaceDN w:val="0"/>
              <w:adjustRightInd w:val="0"/>
              <w:jc w:val="left"/>
              <w:rPr>
                <w:rFonts w:ascii="Times New Roman" w:hAnsi="Times New Roman" w:cs="Times New Roman"/>
                <w:i/>
              </w:rPr>
            </w:pPr>
            <w:r w:rsidRPr="00596EB0">
              <w:rPr>
                <w:rFonts w:ascii="Times New Roman" w:hAnsi="Times New Roman" w:cs="Times New Roman"/>
                <w:i/>
              </w:rPr>
              <w:t>r</w:t>
            </w:r>
          </w:p>
        </w:tc>
        <w:tc>
          <w:tcPr>
            <w:tcW w:w="2130" w:type="dxa"/>
          </w:tcPr>
          <w:p w:rsidR="00A3401A" w:rsidRPr="00A3401A" w:rsidRDefault="00A3401A" w:rsidP="00010200">
            <w:pPr>
              <w:autoSpaceDE w:val="0"/>
              <w:autoSpaceDN w:val="0"/>
              <w:adjustRightInd w:val="0"/>
              <w:jc w:val="left"/>
              <w:rPr>
                <w:rFonts w:ascii="Times New Roman" w:hAnsi="Times New Roman" w:cs="Times New Roman"/>
              </w:rPr>
            </w:pPr>
            <w:r w:rsidRPr="00A3401A">
              <w:rPr>
                <w:rFonts w:ascii="Times New Roman" w:hAnsi="Times New Roman" w:cs="Times New Roman"/>
              </w:rPr>
              <w:t>Removal rate of symptomatic cases</w:t>
            </w:r>
          </w:p>
        </w:tc>
        <w:tc>
          <w:tcPr>
            <w:tcW w:w="2131" w:type="dxa"/>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1/6</w:t>
            </w:r>
          </w:p>
        </w:tc>
        <w:tc>
          <w:tcPr>
            <w:tcW w:w="2131" w:type="dxa"/>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0.25</w:t>
            </w:r>
          </w:p>
        </w:tc>
      </w:tr>
      <w:tr w:rsidR="00A3401A" w:rsidRPr="00A3401A" w:rsidTr="00010200">
        <w:tc>
          <w:tcPr>
            <w:tcW w:w="2130" w:type="dxa"/>
          </w:tcPr>
          <w:p w:rsidR="00A3401A" w:rsidRPr="00A3401A" w:rsidRDefault="00A3401A" w:rsidP="00010200">
            <w:pPr>
              <w:autoSpaceDE w:val="0"/>
              <w:autoSpaceDN w:val="0"/>
              <w:adjustRightInd w:val="0"/>
              <w:jc w:val="left"/>
              <w:rPr>
                <w:rFonts w:ascii="Times New Roman" w:hAnsi="Times New Roman" w:cs="Times New Roman"/>
                <w:i/>
                <w:color w:val="000000"/>
                <w:kern w:val="0"/>
                <w:sz w:val="20"/>
                <w:szCs w:val="20"/>
                <w:lang w:bidi="ar"/>
              </w:rPr>
            </w:pPr>
            <w:r w:rsidRPr="00A3401A">
              <w:rPr>
                <w:rFonts w:ascii="Times New Roman" w:hAnsi="Times New Roman" w:cs="Times New Roman"/>
                <w:i/>
                <w:color w:val="000000"/>
                <w:kern w:val="0"/>
                <w:sz w:val="20"/>
                <w:szCs w:val="20"/>
                <w:lang w:bidi="ar"/>
              </w:rPr>
              <w:t>r’</w:t>
            </w:r>
          </w:p>
        </w:tc>
        <w:tc>
          <w:tcPr>
            <w:tcW w:w="2130" w:type="dxa"/>
          </w:tcPr>
          <w:p w:rsidR="00A3401A" w:rsidRPr="00A3401A" w:rsidRDefault="00A3401A" w:rsidP="00010200">
            <w:pPr>
              <w:autoSpaceDE w:val="0"/>
              <w:autoSpaceDN w:val="0"/>
              <w:adjustRightInd w:val="0"/>
              <w:rPr>
                <w:rFonts w:ascii="Times New Roman" w:hAnsi="Times New Roman" w:cs="Times New Roman"/>
                <w:highlight w:val="yellow"/>
              </w:rPr>
            </w:pPr>
            <w:r w:rsidRPr="00A3401A">
              <w:rPr>
                <w:rFonts w:ascii="Times New Roman" w:hAnsi="Times New Roman" w:cs="Times New Roman"/>
              </w:rPr>
              <w:t>Removal rate of asymptomatic cases</w:t>
            </w:r>
          </w:p>
        </w:tc>
        <w:tc>
          <w:tcPr>
            <w:tcW w:w="2131" w:type="dxa"/>
          </w:tcPr>
          <w:p w:rsidR="00A3401A" w:rsidRPr="00A3401A" w:rsidRDefault="00A3401A" w:rsidP="00A3401A">
            <w:pPr>
              <w:autoSpaceDE w:val="0"/>
              <w:autoSpaceDN w:val="0"/>
              <w:adjustRightInd w:val="0"/>
              <w:jc w:val="center"/>
              <w:rPr>
                <w:rFonts w:ascii="Times New Roman" w:hAnsi="Times New Roman" w:cs="Times New Roman"/>
                <w:highlight w:val="yellow"/>
              </w:rPr>
            </w:pPr>
            <w:r w:rsidRPr="00A3401A">
              <w:rPr>
                <w:rFonts w:ascii="Times New Roman" w:hAnsi="Times New Roman" w:cs="Times New Roman"/>
              </w:rPr>
              <w:t>1/6</w:t>
            </w:r>
          </w:p>
        </w:tc>
        <w:tc>
          <w:tcPr>
            <w:tcW w:w="2131" w:type="dxa"/>
          </w:tcPr>
          <w:p w:rsidR="00A3401A" w:rsidRPr="00A3401A" w:rsidRDefault="00A3401A" w:rsidP="00A3401A">
            <w:pPr>
              <w:autoSpaceDE w:val="0"/>
              <w:autoSpaceDN w:val="0"/>
              <w:adjustRightInd w:val="0"/>
              <w:jc w:val="center"/>
              <w:rPr>
                <w:rFonts w:ascii="Times New Roman" w:hAnsi="Times New Roman" w:cs="Times New Roman"/>
                <w:highlight w:val="yellow"/>
              </w:rPr>
            </w:pPr>
            <w:r w:rsidRPr="00A3401A">
              <w:rPr>
                <w:rFonts w:ascii="Times New Roman" w:hAnsi="Times New Roman" w:cs="Times New Roman"/>
              </w:rPr>
              <w:t>0.25</w:t>
            </w:r>
          </w:p>
        </w:tc>
      </w:tr>
      <w:tr w:rsidR="00A3401A" w:rsidRPr="00A3401A" w:rsidTr="00010200">
        <w:tc>
          <w:tcPr>
            <w:tcW w:w="2130" w:type="dxa"/>
          </w:tcPr>
          <w:p w:rsidR="00A3401A" w:rsidRPr="00A3401A" w:rsidRDefault="00A3401A" w:rsidP="00010200">
            <w:pPr>
              <w:autoSpaceDE w:val="0"/>
              <w:autoSpaceDN w:val="0"/>
              <w:adjustRightInd w:val="0"/>
              <w:jc w:val="left"/>
              <w:rPr>
                <w:rFonts w:ascii="Times New Roman" w:hAnsi="Times New Roman" w:cs="Times New Roman"/>
                <w:i/>
                <w:color w:val="000000"/>
                <w:kern w:val="0"/>
                <w:sz w:val="20"/>
                <w:szCs w:val="20"/>
                <w:lang w:bidi="ar"/>
              </w:rPr>
            </w:pPr>
            <w:r w:rsidRPr="00A3401A">
              <w:rPr>
                <w:rFonts w:ascii="Times New Roman" w:hAnsi="Times New Roman" w:cs="Times New Roman"/>
                <w:i/>
                <w:color w:val="000000"/>
                <w:kern w:val="0"/>
                <w:sz w:val="20"/>
                <w:szCs w:val="20"/>
                <w:lang w:bidi="ar"/>
              </w:rPr>
              <w:t>f</w:t>
            </w:r>
          </w:p>
        </w:tc>
        <w:tc>
          <w:tcPr>
            <w:tcW w:w="2130" w:type="dxa"/>
          </w:tcPr>
          <w:p w:rsidR="00A3401A" w:rsidRPr="00A3401A" w:rsidRDefault="00A3401A" w:rsidP="00010200">
            <w:pPr>
              <w:autoSpaceDE w:val="0"/>
              <w:autoSpaceDN w:val="0"/>
              <w:adjustRightInd w:val="0"/>
              <w:jc w:val="left"/>
              <w:rPr>
                <w:rFonts w:ascii="Times New Roman" w:hAnsi="Times New Roman" w:cs="Times New Roman"/>
              </w:rPr>
            </w:pPr>
            <w:r w:rsidRPr="00A3401A">
              <w:rPr>
                <w:rFonts w:ascii="Times New Roman" w:hAnsi="Times New Roman" w:cs="Times New Roman"/>
              </w:rPr>
              <w:t>case fatality rate</w:t>
            </w:r>
          </w:p>
        </w:tc>
        <w:tc>
          <w:tcPr>
            <w:tcW w:w="2131" w:type="dxa"/>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0.00718</w:t>
            </w:r>
          </w:p>
        </w:tc>
        <w:tc>
          <w:tcPr>
            <w:tcW w:w="2131" w:type="dxa"/>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0.00718</w:t>
            </w:r>
          </w:p>
        </w:tc>
      </w:tr>
      <w:tr w:rsidR="00A3401A" w:rsidRPr="00A3401A" w:rsidTr="00010200">
        <w:tc>
          <w:tcPr>
            <w:tcW w:w="2130" w:type="dxa"/>
            <w:tcBorders>
              <w:bottom w:val="single" w:sz="4" w:space="0" w:color="auto"/>
            </w:tcBorders>
          </w:tcPr>
          <w:p w:rsidR="00A3401A" w:rsidRPr="00A3401A" w:rsidRDefault="00A3401A" w:rsidP="00010200">
            <w:pPr>
              <w:autoSpaceDE w:val="0"/>
              <w:autoSpaceDN w:val="0"/>
              <w:adjustRightInd w:val="0"/>
              <w:jc w:val="left"/>
              <w:rPr>
                <w:rFonts w:ascii="Times New Roman" w:hAnsi="Times New Roman" w:cs="Times New Roman"/>
                <w:i/>
                <w:color w:val="000000"/>
                <w:kern w:val="0"/>
                <w:sz w:val="20"/>
                <w:szCs w:val="20"/>
                <w:lang w:bidi="ar"/>
              </w:rPr>
            </w:pPr>
            <w:r w:rsidRPr="00A3401A">
              <w:rPr>
                <w:rFonts w:ascii="Times New Roman" w:hAnsi="Times New Roman" w:cs="Times New Roman"/>
                <w:i/>
                <w:color w:val="000000"/>
                <w:kern w:val="0"/>
                <w:sz w:val="20"/>
                <w:szCs w:val="20"/>
                <w:lang w:bidi="ar"/>
              </w:rPr>
              <w:t>n</w:t>
            </w:r>
          </w:p>
        </w:tc>
        <w:tc>
          <w:tcPr>
            <w:tcW w:w="2130" w:type="dxa"/>
            <w:tcBorders>
              <w:bottom w:val="single" w:sz="4" w:space="0" w:color="auto"/>
            </w:tcBorders>
          </w:tcPr>
          <w:p w:rsidR="00A3401A" w:rsidRPr="00A3401A" w:rsidRDefault="00A3401A" w:rsidP="00010200">
            <w:pPr>
              <w:autoSpaceDE w:val="0"/>
              <w:autoSpaceDN w:val="0"/>
              <w:adjustRightInd w:val="0"/>
              <w:jc w:val="left"/>
              <w:rPr>
                <w:rFonts w:ascii="Times New Roman" w:hAnsi="Times New Roman" w:cs="Times New Roman"/>
                <w:iCs/>
              </w:rPr>
            </w:pPr>
            <w:r w:rsidRPr="00A3401A">
              <w:rPr>
                <w:rFonts w:ascii="Times New Roman" w:hAnsi="Times New Roman" w:cs="Times New Roman"/>
                <w:iCs/>
                <w:color w:val="000000"/>
                <w:kern w:val="0"/>
                <w:sz w:val="20"/>
                <w:szCs w:val="20"/>
                <w:lang w:bidi="ar"/>
              </w:rPr>
              <w:t>Population size</w:t>
            </w:r>
          </w:p>
        </w:tc>
        <w:tc>
          <w:tcPr>
            <w:tcW w:w="2131" w:type="dxa"/>
            <w:tcBorders>
              <w:bottom w:val="single" w:sz="4" w:space="0" w:color="auto"/>
            </w:tcBorders>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12,000,000</w:t>
            </w:r>
          </w:p>
        </w:tc>
        <w:tc>
          <w:tcPr>
            <w:tcW w:w="2131" w:type="dxa"/>
            <w:tcBorders>
              <w:bottom w:val="single" w:sz="4" w:space="0" w:color="auto"/>
            </w:tcBorders>
          </w:tcPr>
          <w:p w:rsidR="00A3401A" w:rsidRPr="00A3401A" w:rsidRDefault="00A3401A" w:rsidP="00A3401A">
            <w:pPr>
              <w:autoSpaceDE w:val="0"/>
              <w:autoSpaceDN w:val="0"/>
              <w:adjustRightInd w:val="0"/>
              <w:jc w:val="center"/>
              <w:rPr>
                <w:rFonts w:ascii="Times New Roman" w:hAnsi="Times New Roman" w:cs="Times New Roman"/>
              </w:rPr>
            </w:pPr>
            <w:r w:rsidRPr="00A3401A">
              <w:rPr>
                <w:rFonts w:ascii="Times New Roman" w:hAnsi="Times New Roman" w:cs="Times New Roman"/>
              </w:rPr>
              <w:t>12,000,000</w:t>
            </w:r>
          </w:p>
        </w:tc>
      </w:tr>
    </w:tbl>
    <w:p w:rsidR="00916232" w:rsidRDefault="00916232" w:rsidP="00A3401A">
      <w:pPr>
        <w:rPr>
          <w:rFonts w:ascii="Times New Roman" w:hAnsi="Times New Roman" w:cs="Times New Roman"/>
        </w:rPr>
        <w:sectPr w:rsidR="00916232">
          <w:pgSz w:w="11906" w:h="16838"/>
          <w:pgMar w:top="1440" w:right="1800" w:bottom="1440" w:left="1800" w:header="851" w:footer="992" w:gutter="0"/>
          <w:cols w:space="425"/>
          <w:docGrid w:type="lines" w:linePitch="312"/>
        </w:sectPr>
      </w:pPr>
    </w:p>
    <w:p w:rsidR="005649ED" w:rsidRDefault="00A40435" w:rsidP="00A52D93">
      <w:pPr>
        <w:rPr>
          <w:rFonts w:ascii="Times New Roman" w:hAnsi="Times New Roman" w:cs="Times New Roman"/>
        </w:rPr>
      </w:pPr>
      <w:r>
        <w:rPr>
          <w:rFonts w:ascii="Times New Roman" w:hAnsi="Times New Roman" w:cs="Times New Roman"/>
        </w:rPr>
        <w:lastRenderedPageBreak/>
        <w:t xml:space="preserve"> </w:t>
      </w:r>
      <w:r w:rsidR="000E457C" w:rsidRPr="000E457C">
        <w:rPr>
          <w:rFonts w:ascii="Times New Roman" w:hAnsi="Times New Roman" w:cs="Times New Roman"/>
          <w:noProof/>
        </w:rPr>
        <w:drawing>
          <wp:anchor distT="0" distB="0" distL="114300" distR="114300" simplePos="0" relativeHeight="251658752" behindDoc="0" locked="0" layoutInCell="1" allowOverlap="1" wp14:anchorId="41C90FDB" wp14:editId="597221D8">
            <wp:simplePos x="0" y="0"/>
            <wp:positionH relativeFrom="column">
              <wp:posOffset>-518160</wp:posOffset>
            </wp:positionH>
            <wp:positionV relativeFrom="paragraph">
              <wp:posOffset>381000</wp:posOffset>
            </wp:positionV>
            <wp:extent cx="6296699" cy="3657600"/>
            <wp:effectExtent l="0" t="0" r="8890" b="0"/>
            <wp:wrapSquare wrapText="bothSides"/>
            <wp:docPr id="2" name="图片 2" descr="C:\Users\ADMINI~1\AppData\Local\Temp\15876362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8763622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699"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364" w:rsidRDefault="00737364" w:rsidP="00A52D93">
      <w:pPr>
        <w:rPr>
          <w:rFonts w:ascii="Times New Roman" w:hAnsi="Times New Roman" w:cs="Times New Roman"/>
          <w:b/>
        </w:rPr>
      </w:pPr>
    </w:p>
    <w:p w:rsidR="001D7A34" w:rsidRPr="00C74627" w:rsidRDefault="00C74627" w:rsidP="00A52D93">
      <w:pPr>
        <w:rPr>
          <w:rFonts w:ascii="Times New Roman" w:hAnsi="Times New Roman" w:cs="Times New Roman"/>
          <w:b/>
        </w:rPr>
        <w:sectPr w:rsidR="001D7A34" w:rsidRPr="00C74627">
          <w:pgSz w:w="11906" w:h="16838"/>
          <w:pgMar w:top="1440" w:right="1800" w:bottom="1440" w:left="1800" w:header="851" w:footer="992" w:gutter="0"/>
          <w:cols w:space="425"/>
          <w:docGrid w:type="lines" w:linePitch="312"/>
        </w:sectPr>
      </w:pPr>
      <w:r w:rsidRPr="00C74627">
        <w:rPr>
          <w:rFonts w:ascii="Times New Roman" w:hAnsi="Times New Roman" w:cs="Times New Roman"/>
          <w:b/>
        </w:rPr>
        <w:t>Fig</w:t>
      </w:r>
      <w:r w:rsidR="0011759B">
        <w:rPr>
          <w:rFonts w:ascii="Times New Roman" w:hAnsi="Times New Roman" w:cs="Times New Roman"/>
          <w:b/>
        </w:rPr>
        <w:t>ure</w:t>
      </w:r>
      <w:r w:rsidRPr="00C74627">
        <w:rPr>
          <w:rFonts w:ascii="Times New Roman" w:hAnsi="Times New Roman" w:cs="Times New Roman"/>
          <w:b/>
        </w:rPr>
        <w:t xml:space="preserve"> S</w:t>
      </w:r>
      <w:r w:rsidR="0011759B">
        <w:rPr>
          <w:rFonts w:ascii="Times New Roman" w:hAnsi="Times New Roman" w:cs="Times New Roman"/>
          <w:b/>
        </w:rPr>
        <w:t>1</w:t>
      </w:r>
      <w:r w:rsidRPr="00C74627">
        <w:rPr>
          <w:rFonts w:ascii="Times New Roman" w:hAnsi="Times New Roman" w:cs="Times New Roman"/>
          <w:b/>
        </w:rPr>
        <w:t xml:space="preserve">.  </w:t>
      </w:r>
      <w:proofErr w:type="gramStart"/>
      <w:r w:rsidRPr="00C74627">
        <w:rPr>
          <w:rFonts w:ascii="Times New Roman" w:hAnsi="Times New Roman" w:cs="Times New Roman"/>
          <w:b/>
        </w:rPr>
        <w:t>The epidemic curve of COVID-19 cases by the illness onset date and report date in Shenzhen.</w:t>
      </w:r>
      <w:proofErr w:type="gramEnd"/>
      <w:r w:rsidRPr="00C74627">
        <w:rPr>
          <w:rFonts w:ascii="Times New Roman" w:hAnsi="Times New Roman" w:cs="Times New Roman"/>
          <w:b/>
        </w:rPr>
        <w:t xml:space="preserve"> </w:t>
      </w:r>
    </w:p>
    <w:p w:rsidR="00A3401A" w:rsidRDefault="00A3401A" w:rsidP="00916232">
      <w:pPr>
        <w:rPr>
          <w:rFonts w:ascii="Times New Roman" w:hAnsi="Times New Roman" w:cs="Times New Roman"/>
        </w:rPr>
      </w:pPr>
    </w:p>
    <w:p w:rsidR="0011759B" w:rsidRDefault="008912BE" w:rsidP="00916232">
      <w:pPr>
        <w:rPr>
          <w:rFonts w:ascii="Times New Roman" w:hAnsi="Times New Roman" w:cs="Times New Roman"/>
          <w:b/>
          <w:kern w:val="0"/>
          <w:szCs w:val="21"/>
        </w:rPr>
        <w:sectPr w:rsidR="0011759B">
          <w:pgSz w:w="11906" w:h="16838"/>
          <w:pgMar w:top="1440" w:right="1800" w:bottom="1440" w:left="1800" w:header="851" w:footer="992" w:gutter="0"/>
          <w:cols w:space="425"/>
          <w:docGrid w:type="lines" w:linePitch="312"/>
        </w:sectPr>
      </w:pPr>
      <w:r w:rsidRPr="008912BE">
        <w:rPr>
          <w:rFonts w:ascii="Times New Roman" w:hAnsi="Times New Roman" w:cs="Times New Roman"/>
          <w:noProof/>
        </w:rPr>
        <w:drawing>
          <wp:anchor distT="0" distB="0" distL="114300" distR="114300" simplePos="0" relativeHeight="251658240" behindDoc="0" locked="0" layoutInCell="1" allowOverlap="1" wp14:anchorId="17FBA431" wp14:editId="2BD6A559">
            <wp:simplePos x="0" y="0"/>
            <wp:positionH relativeFrom="column">
              <wp:posOffset>132080</wp:posOffset>
            </wp:positionH>
            <wp:positionV relativeFrom="paragraph">
              <wp:posOffset>45720</wp:posOffset>
            </wp:positionV>
            <wp:extent cx="5274310" cy="2940050"/>
            <wp:effectExtent l="0" t="0" r="2540" b="1270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8912BE">
        <w:rPr>
          <w:rFonts w:ascii="Times New Roman" w:hAnsi="Times New Roman" w:cs="Times New Roman" w:hint="eastAsia"/>
          <w:b/>
        </w:rPr>
        <w:t>Figure S</w:t>
      </w:r>
      <w:r w:rsidR="0011759B">
        <w:rPr>
          <w:rFonts w:ascii="Times New Roman" w:hAnsi="Times New Roman" w:cs="Times New Roman"/>
          <w:b/>
        </w:rPr>
        <w:t>2</w:t>
      </w:r>
      <w:r w:rsidRPr="008912BE">
        <w:rPr>
          <w:rFonts w:ascii="Times New Roman" w:hAnsi="Times New Roman" w:cs="Times New Roman" w:hint="eastAsia"/>
          <w:b/>
        </w:rPr>
        <w:t xml:space="preserve">. </w:t>
      </w:r>
      <w:r w:rsidR="00FE0AD2" w:rsidRPr="00FE0AD2">
        <w:rPr>
          <w:rFonts w:ascii="Times New Roman" w:hAnsi="Times New Roman" w:cs="Times New Roman" w:hint="eastAsia"/>
          <w:b/>
          <w:kern w:val="0"/>
          <w:szCs w:val="21"/>
        </w:rPr>
        <w:t xml:space="preserve">The geographic distribution of COVID-19 cases across 4 time periods in </w:t>
      </w:r>
      <w:r w:rsidR="00FE0AD2" w:rsidRPr="00FE0AD2">
        <w:rPr>
          <w:rFonts w:ascii="Times New Roman" w:hAnsi="Times New Roman" w:cs="Times New Roman"/>
          <w:b/>
          <w:kern w:val="0"/>
          <w:szCs w:val="21"/>
        </w:rPr>
        <w:t>the</w:t>
      </w:r>
      <w:r w:rsidR="00FE0AD2" w:rsidRPr="00FE0AD2">
        <w:rPr>
          <w:rFonts w:ascii="Times New Roman" w:hAnsi="Times New Roman" w:cs="Times New Roman" w:hint="eastAsia"/>
          <w:b/>
          <w:kern w:val="0"/>
          <w:szCs w:val="21"/>
        </w:rPr>
        <w:t xml:space="preserve"> 10 districts of Shenzhen, China. </w:t>
      </w:r>
    </w:p>
    <w:p w:rsidR="00FE0AD2" w:rsidRDefault="0011759B" w:rsidP="00916232">
      <w:pPr>
        <w:rPr>
          <w:rFonts w:ascii="Times New Roman" w:hAnsi="Times New Roman" w:cs="Times New Roman"/>
          <w:b/>
          <w:kern w:val="0"/>
          <w:szCs w:val="21"/>
        </w:rPr>
      </w:pPr>
      <w:r w:rsidRPr="00916232">
        <w:rPr>
          <w:rFonts w:ascii="Times New Roman" w:hAnsi="Times New Roman" w:cs="Times New Roman"/>
          <w:noProof/>
        </w:rPr>
        <w:lastRenderedPageBreak/>
        <w:drawing>
          <wp:inline distT="0" distB="0" distL="0" distR="0" wp14:anchorId="17CB35B1" wp14:editId="69D77F0C">
            <wp:extent cx="5274310" cy="1753235"/>
            <wp:effectExtent l="0" t="0" r="2540" b="0"/>
            <wp:docPr id="4" name="内容占位符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内容占位符 3"/>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4310" cy="1753235"/>
                    </a:xfrm>
                    <a:prstGeom prst="rect">
                      <a:avLst/>
                    </a:prstGeom>
                  </pic:spPr>
                </pic:pic>
              </a:graphicData>
            </a:graphic>
          </wp:inline>
        </w:drawing>
      </w:r>
    </w:p>
    <w:p w:rsidR="0011759B" w:rsidRDefault="0011759B" w:rsidP="0011759B">
      <w:pPr>
        <w:rPr>
          <w:rFonts w:ascii="Times New Roman" w:hAnsi="Times New Roman" w:cs="Times New Roman"/>
        </w:rPr>
      </w:pPr>
      <w:r>
        <w:rPr>
          <w:rFonts w:ascii="Times New Roman" w:hAnsi="Times New Roman" w:cs="Times New Roman" w:hint="eastAsia"/>
          <w:b/>
        </w:rPr>
        <w:t>Figure S</w:t>
      </w:r>
      <w:r>
        <w:rPr>
          <w:rFonts w:ascii="Times New Roman" w:hAnsi="Times New Roman" w:cs="Times New Roman"/>
          <w:b/>
        </w:rPr>
        <w:t>3</w:t>
      </w:r>
      <w:r>
        <w:rPr>
          <w:rFonts w:ascii="Times New Roman" w:hAnsi="Times New Roman" w:cs="Times New Roman" w:hint="eastAsia"/>
          <w:b/>
        </w:rPr>
        <w:t xml:space="preserve">. </w:t>
      </w:r>
      <w:proofErr w:type="gramStart"/>
      <w:r>
        <w:rPr>
          <w:rFonts w:ascii="Times New Roman" w:hAnsi="Times New Roman" w:cs="Times New Roman" w:hint="eastAsia"/>
          <w:b/>
        </w:rPr>
        <w:t>Illustration of the susceptible-exposed-infectious-</w:t>
      </w:r>
      <w:r w:rsidR="0038586F">
        <w:rPr>
          <w:rFonts w:ascii="Times New Roman" w:hAnsi="Times New Roman" w:cs="Times New Roman" w:hint="eastAsia"/>
          <w:b/>
        </w:rPr>
        <w:t>asymptomatic-</w:t>
      </w:r>
      <w:r>
        <w:rPr>
          <w:rFonts w:ascii="Times New Roman" w:hAnsi="Times New Roman" w:cs="Times New Roman" w:hint="eastAsia"/>
          <w:b/>
        </w:rPr>
        <w:t>recovered model.</w:t>
      </w:r>
      <w:proofErr w:type="gramEnd"/>
      <w:r>
        <w:rPr>
          <w:rFonts w:ascii="Times New Roman" w:hAnsi="Times New Roman" w:cs="Times New Roman" w:hint="eastAsia"/>
          <w:b/>
        </w:rPr>
        <w:t xml:space="preserve"> </w:t>
      </w:r>
      <w:r w:rsidRPr="00916232">
        <w:rPr>
          <w:rFonts w:ascii="Times New Roman" w:hAnsi="Times New Roman" w:cs="Times New Roman" w:hint="eastAsia"/>
        </w:rPr>
        <w:t xml:space="preserve">We </w:t>
      </w:r>
      <w:r>
        <w:rPr>
          <w:rFonts w:ascii="Times New Roman" w:hAnsi="Times New Roman" w:cs="Times New Roman" w:hint="eastAsia"/>
        </w:rPr>
        <w:t xml:space="preserve">divided the population into five compartments: S (susceptible), E (latent), I (reported infectious), A (unreported infections) and R (removed). </w:t>
      </w:r>
      <w:r w:rsidRPr="00A52D93">
        <w:rPr>
          <w:rFonts w:ascii="Times New Roman" w:hAnsi="Times New Roman" w:cs="Times New Roman" w:hint="eastAsia"/>
        </w:rPr>
        <w:t>The d</w:t>
      </w:r>
      <w:r w:rsidRPr="00A52D93">
        <w:rPr>
          <w:rFonts w:ascii="Times New Roman" w:hAnsi="Times New Roman" w:cs="Times New Roman"/>
        </w:rPr>
        <w:t>ynamics of</w:t>
      </w:r>
      <w:r w:rsidRPr="00A52D93">
        <w:rPr>
          <w:rFonts w:ascii="Times New Roman" w:hAnsi="Times New Roman" w:cs="Times New Roman" w:hint="eastAsia"/>
        </w:rPr>
        <w:t xml:space="preserve"> f</w:t>
      </w:r>
      <w:bookmarkStart w:id="0" w:name="_GoBack"/>
      <w:bookmarkEnd w:id="0"/>
      <w:r w:rsidRPr="00A52D93">
        <w:rPr>
          <w:rFonts w:ascii="Times New Roman" w:hAnsi="Times New Roman" w:cs="Times New Roman" w:hint="eastAsia"/>
        </w:rPr>
        <w:t>ive</w:t>
      </w:r>
      <w:r w:rsidRPr="00A52D93">
        <w:rPr>
          <w:rFonts w:ascii="Times New Roman" w:hAnsi="Times New Roman" w:cs="Times New Roman"/>
        </w:rPr>
        <w:t xml:space="preserve"> compartments</w:t>
      </w:r>
      <w:r w:rsidRPr="00A52D93">
        <w:rPr>
          <w:rFonts w:ascii="Times New Roman" w:hAnsi="Times New Roman" w:cs="Times New Roman" w:hint="eastAsia"/>
        </w:rPr>
        <w:t xml:space="preserve"> and </w:t>
      </w:r>
      <w:r w:rsidRPr="00A52D93">
        <w:rPr>
          <w:rFonts w:ascii="Times New Roman" w:hAnsi="Times New Roman" w:cs="Times New Roman"/>
        </w:rPr>
        <w:t>the</w:t>
      </w:r>
      <w:r w:rsidRPr="00A52D93">
        <w:rPr>
          <w:rFonts w:ascii="Times New Roman" w:hAnsi="Times New Roman" w:cs="Times New Roman" w:hint="eastAsia"/>
        </w:rPr>
        <w:t xml:space="preserve"> </w:t>
      </w:r>
      <w:r w:rsidRPr="00A52D93">
        <w:rPr>
          <w:rFonts w:ascii="Times New Roman" w:hAnsi="Times New Roman" w:cs="Times New Roman"/>
        </w:rPr>
        <w:t>key parameters</w:t>
      </w:r>
      <w:r w:rsidRPr="00A52D93">
        <w:rPr>
          <w:rFonts w:ascii="Times New Roman" w:hAnsi="Times New Roman" w:cs="Times New Roman" w:hint="eastAsia"/>
        </w:rPr>
        <w:t xml:space="preserve"> of the model across time were demonstrated</w:t>
      </w:r>
      <w:r w:rsidRPr="00A52D93">
        <w:rPr>
          <w:rFonts w:ascii="Times New Roman" w:hAnsi="Times New Roman" w:cs="Times New Roman"/>
        </w:rPr>
        <w:t xml:space="preserve"> by </w:t>
      </w:r>
      <w:r>
        <w:rPr>
          <w:rFonts w:ascii="Times New Roman" w:hAnsi="Times New Roman" w:cs="Times New Roman"/>
        </w:rPr>
        <w:t xml:space="preserve">ordinary differential equations. </w:t>
      </w:r>
    </w:p>
    <w:p w:rsidR="0011759B" w:rsidRPr="0011759B" w:rsidRDefault="0011759B" w:rsidP="00916232">
      <w:pPr>
        <w:rPr>
          <w:rFonts w:ascii="Times New Roman" w:hAnsi="Times New Roman" w:cs="Times New Roman"/>
          <w:b/>
          <w:kern w:val="0"/>
          <w:szCs w:val="21"/>
        </w:rPr>
        <w:sectPr w:rsidR="0011759B" w:rsidRPr="0011759B">
          <w:pgSz w:w="11906" w:h="16838"/>
          <w:pgMar w:top="1440" w:right="1800" w:bottom="1440" w:left="1800" w:header="851" w:footer="992" w:gutter="0"/>
          <w:cols w:space="425"/>
          <w:docGrid w:type="lines" w:linePitch="312"/>
        </w:sectPr>
      </w:pPr>
    </w:p>
    <w:p w:rsidR="008912BE" w:rsidRDefault="00FE0AD2" w:rsidP="00916232">
      <w:pPr>
        <w:rPr>
          <w:rFonts w:ascii="Times New Roman" w:hAnsi="Times New Roman" w:cs="Times New Roman"/>
        </w:rPr>
      </w:pPr>
      <w:r w:rsidRPr="00FE0AD2">
        <w:rPr>
          <w:rFonts w:ascii="Times New Roman" w:hAnsi="Times New Roman" w:cs="Times New Roman"/>
          <w:noProof/>
        </w:rPr>
        <w:lastRenderedPageBreak/>
        <w:drawing>
          <wp:anchor distT="0" distB="0" distL="114300" distR="114300" simplePos="0" relativeHeight="251659264" behindDoc="0" locked="0" layoutInCell="1" allowOverlap="1" wp14:anchorId="699E6D8B" wp14:editId="7DDD5FA5">
            <wp:simplePos x="0" y="0"/>
            <wp:positionH relativeFrom="column">
              <wp:posOffset>424815</wp:posOffset>
            </wp:positionH>
            <wp:positionV relativeFrom="paragraph">
              <wp:posOffset>365760</wp:posOffset>
            </wp:positionV>
            <wp:extent cx="4796790" cy="2854960"/>
            <wp:effectExtent l="0" t="0" r="3810" b="254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96790" cy="2854960"/>
                    </a:xfrm>
                    <a:prstGeom prst="rect">
                      <a:avLst/>
                    </a:prstGeom>
                  </pic:spPr>
                </pic:pic>
              </a:graphicData>
            </a:graphic>
            <wp14:sizeRelH relativeFrom="page">
              <wp14:pctWidth>0</wp14:pctWidth>
            </wp14:sizeRelH>
            <wp14:sizeRelV relativeFrom="page">
              <wp14:pctHeight>0</wp14:pctHeight>
            </wp14:sizeRelV>
          </wp:anchor>
        </w:drawing>
      </w:r>
    </w:p>
    <w:p w:rsidR="00FE0AD2" w:rsidRDefault="00FE0AD2" w:rsidP="00916232">
      <w:pPr>
        <w:rPr>
          <w:rFonts w:ascii="Times New Roman" w:hAnsi="Times New Roman" w:cs="Times New Roman"/>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Default="00FE0AD2" w:rsidP="00916232">
      <w:pPr>
        <w:rPr>
          <w:rFonts w:ascii="Times New Roman" w:hAnsi="Times New Roman" w:cs="Times New Roman"/>
          <w:b/>
        </w:rPr>
      </w:pPr>
    </w:p>
    <w:p w:rsidR="00FE0AD2" w:rsidRPr="00B44F27" w:rsidRDefault="00FE0AD2" w:rsidP="00916232">
      <w:pPr>
        <w:rPr>
          <w:rFonts w:ascii="Times New Roman" w:hAnsi="Times New Roman" w:cs="Times New Roman"/>
          <w:b/>
        </w:rPr>
      </w:pPr>
      <w:r w:rsidRPr="008912BE">
        <w:rPr>
          <w:rFonts w:ascii="Times New Roman" w:hAnsi="Times New Roman" w:cs="Times New Roman" w:hint="eastAsia"/>
          <w:b/>
        </w:rPr>
        <w:t>Figure S</w:t>
      </w:r>
      <w:r w:rsidR="001D0253">
        <w:rPr>
          <w:rFonts w:ascii="Times New Roman" w:hAnsi="Times New Roman" w:cs="Times New Roman"/>
          <w:b/>
        </w:rPr>
        <w:t>4</w:t>
      </w:r>
      <w:r w:rsidRPr="008912BE">
        <w:rPr>
          <w:rFonts w:ascii="Times New Roman" w:hAnsi="Times New Roman" w:cs="Times New Roman" w:hint="eastAsia"/>
          <w:b/>
        </w:rPr>
        <w:t>.</w:t>
      </w:r>
      <w:r w:rsidRPr="00B44F27">
        <w:rPr>
          <w:rFonts w:ascii="Times New Roman" w:hAnsi="Times New Roman" w:cs="Times New Roman" w:hint="eastAsia"/>
          <w:b/>
        </w:rPr>
        <w:t xml:space="preserve"> </w:t>
      </w:r>
      <w:r w:rsidR="00B44F27" w:rsidRPr="00B44F27">
        <w:rPr>
          <w:rFonts w:ascii="Times New Roman" w:hAnsi="Times New Roman" w:cs="Times New Roman" w:hint="eastAsia"/>
          <w:b/>
        </w:rPr>
        <w:t xml:space="preserve">The predicted number of cases in five scenarios with different effective reproduction number in condition of no intervention was initiated. </w:t>
      </w:r>
    </w:p>
    <w:p w:rsidR="00FE0AD2" w:rsidRDefault="00FE0AD2" w:rsidP="00916232">
      <w:pPr>
        <w:rPr>
          <w:rFonts w:ascii="Times New Roman" w:hAnsi="Times New Roman" w:cs="Times New Roman"/>
        </w:rPr>
      </w:pPr>
    </w:p>
    <w:p w:rsidR="00FE0AD2" w:rsidRDefault="00FE0AD2" w:rsidP="00916232">
      <w:pPr>
        <w:rPr>
          <w:rFonts w:ascii="Times New Roman" w:hAnsi="Times New Roman" w:cs="Times New Roman"/>
        </w:rPr>
      </w:pPr>
    </w:p>
    <w:p w:rsidR="00FE0AD2" w:rsidRPr="00916232" w:rsidRDefault="00FE0AD2" w:rsidP="00916232">
      <w:pPr>
        <w:rPr>
          <w:rFonts w:ascii="Times New Roman" w:hAnsi="Times New Roman" w:cs="Times New Roman"/>
        </w:rPr>
      </w:pPr>
    </w:p>
    <w:sectPr w:rsidR="00FE0AD2" w:rsidRPr="009162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60" w:rsidRDefault="00EF5160" w:rsidP="00A52D93">
      <w:r>
        <w:separator/>
      </w:r>
    </w:p>
  </w:endnote>
  <w:endnote w:type="continuationSeparator" w:id="0">
    <w:p w:rsidR="00EF5160" w:rsidRDefault="00EF5160" w:rsidP="00A5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60" w:rsidRDefault="00EF5160" w:rsidP="00A52D93">
      <w:r>
        <w:separator/>
      </w:r>
    </w:p>
  </w:footnote>
  <w:footnote w:type="continuationSeparator" w:id="0">
    <w:p w:rsidR="00EF5160" w:rsidRDefault="00EF5160" w:rsidP="00A52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D8893"/>
    <w:multiLevelType w:val="multilevel"/>
    <w:tmpl w:val="F80A1CF4"/>
    <w:lvl w:ilvl="0">
      <w:start w:val="1"/>
      <w:numFmt w:val="decimal"/>
      <w:suff w:val="space"/>
      <w:lvlText w:val="%1."/>
      <w:lvlJc w:val="left"/>
      <w:rPr>
        <w:rFonts w:ascii="Times New Roman" w:eastAsiaTheme="minorEastAsia" w:hAnsi="Times New Roman" w:cs="Times New Roman"/>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01E21ED1"/>
    <w:multiLevelType w:val="singleLevel"/>
    <w:tmpl w:val="01E21ED1"/>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63"/>
    <w:rsid w:val="000B3195"/>
    <w:rsid w:val="000E457C"/>
    <w:rsid w:val="00113E12"/>
    <w:rsid w:val="0011759B"/>
    <w:rsid w:val="0016333A"/>
    <w:rsid w:val="001810AD"/>
    <w:rsid w:val="001B2036"/>
    <w:rsid w:val="001D0253"/>
    <w:rsid w:val="001D7A34"/>
    <w:rsid w:val="00242D7A"/>
    <w:rsid w:val="0026752D"/>
    <w:rsid w:val="002C6C43"/>
    <w:rsid w:val="002E47CE"/>
    <w:rsid w:val="00305457"/>
    <w:rsid w:val="0038299C"/>
    <w:rsid w:val="0038586F"/>
    <w:rsid w:val="003B7636"/>
    <w:rsid w:val="00445540"/>
    <w:rsid w:val="004C406E"/>
    <w:rsid w:val="00504ECD"/>
    <w:rsid w:val="005649ED"/>
    <w:rsid w:val="005840D6"/>
    <w:rsid w:val="00596EB0"/>
    <w:rsid w:val="006049EC"/>
    <w:rsid w:val="00737364"/>
    <w:rsid w:val="00780B5F"/>
    <w:rsid w:val="007D4281"/>
    <w:rsid w:val="0085515F"/>
    <w:rsid w:val="008912BE"/>
    <w:rsid w:val="008F0DEC"/>
    <w:rsid w:val="008F1515"/>
    <w:rsid w:val="00916232"/>
    <w:rsid w:val="00990961"/>
    <w:rsid w:val="009D7716"/>
    <w:rsid w:val="00A17E28"/>
    <w:rsid w:val="00A3401A"/>
    <w:rsid w:val="00A40435"/>
    <w:rsid w:val="00A458B4"/>
    <w:rsid w:val="00A52D93"/>
    <w:rsid w:val="00A55522"/>
    <w:rsid w:val="00AA1879"/>
    <w:rsid w:val="00AE0263"/>
    <w:rsid w:val="00B44F27"/>
    <w:rsid w:val="00C74627"/>
    <w:rsid w:val="00CF748A"/>
    <w:rsid w:val="00D559A1"/>
    <w:rsid w:val="00D56932"/>
    <w:rsid w:val="00DC2CF9"/>
    <w:rsid w:val="00E54E91"/>
    <w:rsid w:val="00E9239A"/>
    <w:rsid w:val="00EF5160"/>
    <w:rsid w:val="00F30148"/>
    <w:rsid w:val="00F50524"/>
    <w:rsid w:val="00F510F7"/>
    <w:rsid w:val="00FE0AD2"/>
    <w:rsid w:val="00FE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0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16232"/>
    <w:rPr>
      <w:sz w:val="18"/>
      <w:szCs w:val="18"/>
    </w:rPr>
  </w:style>
  <w:style w:type="character" w:customStyle="1" w:styleId="Char">
    <w:name w:val="批注框文本 Char"/>
    <w:basedOn w:val="a0"/>
    <w:link w:val="a4"/>
    <w:uiPriority w:val="99"/>
    <w:semiHidden/>
    <w:rsid w:val="00916232"/>
    <w:rPr>
      <w:sz w:val="18"/>
      <w:szCs w:val="18"/>
    </w:rPr>
  </w:style>
  <w:style w:type="paragraph" w:styleId="a5">
    <w:name w:val="Normal (Web)"/>
    <w:basedOn w:val="a"/>
    <w:uiPriority w:val="99"/>
    <w:semiHidden/>
    <w:unhideWhenUsed/>
    <w:rsid w:val="008912B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A52D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52D93"/>
    <w:rPr>
      <w:sz w:val="18"/>
      <w:szCs w:val="18"/>
    </w:rPr>
  </w:style>
  <w:style w:type="paragraph" w:styleId="a7">
    <w:name w:val="footer"/>
    <w:basedOn w:val="a"/>
    <w:link w:val="Char1"/>
    <w:uiPriority w:val="99"/>
    <w:unhideWhenUsed/>
    <w:rsid w:val="00A52D93"/>
    <w:pPr>
      <w:tabs>
        <w:tab w:val="center" w:pos="4153"/>
        <w:tab w:val="right" w:pos="8306"/>
      </w:tabs>
      <w:snapToGrid w:val="0"/>
      <w:jc w:val="left"/>
    </w:pPr>
    <w:rPr>
      <w:sz w:val="18"/>
      <w:szCs w:val="18"/>
    </w:rPr>
  </w:style>
  <w:style w:type="character" w:customStyle="1" w:styleId="Char1">
    <w:name w:val="页脚 Char"/>
    <w:basedOn w:val="a0"/>
    <w:link w:val="a7"/>
    <w:uiPriority w:val="99"/>
    <w:rsid w:val="00A52D93"/>
    <w:rPr>
      <w:sz w:val="18"/>
      <w:szCs w:val="18"/>
    </w:rPr>
  </w:style>
  <w:style w:type="paragraph" w:styleId="a8">
    <w:name w:val="List Paragraph"/>
    <w:basedOn w:val="a"/>
    <w:uiPriority w:val="99"/>
    <w:rsid w:val="00113E12"/>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0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16232"/>
    <w:rPr>
      <w:sz w:val="18"/>
      <w:szCs w:val="18"/>
    </w:rPr>
  </w:style>
  <w:style w:type="character" w:customStyle="1" w:styleId="Char">
    <w:name w:val="批注框文本 Char"/>
    <w:basedOn w:val="a0"/>
    <w:link w:val="a4"/>
    <w:uiPriority w:val="99"/>
    <w:semiHidden/>
    <w:rsid w:val="00916232"/>
    <w:rPr>
      <w:sz w:val="18"/>
      <w:szCs w:val="18"/>
    </w:rPr>
  </w:style>
  <w:style w:type="paragraph" w:styleId="a5">
    <w:name w:val="Normal (Web)"/>
    <w:basedOn w:val="a"/>
    <w:uiPriority w:val="99"/>
    <w:semiHidden/>
    <w:unhideWhenUsed/>
    <w:rsid w:val="008912B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A52D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52D93"/>
    <w:rPr>
      <w:sz w:val="18"/>
      <w:szCs w:val="18"/>
    </w:rPr>
  </w:style>
  <w:style w:type="paragraph" w:styleId="a7">
    <w:name w:val="footer"/>
    <w:basedOn w:val="a"/>
    <w:link w:val="Char1"/>
    <w:uiPriority w:val="99"/>
    <w:unhideWhenUsed/>
    <w:rsid w:val="00A52D93"/>
    <w:pPr>
      <w:tabs>
        <w:tab w:val="center" w:pos="4153"/>
        <w:tab w:val="right" w:pos="8306"/>
      </w:tabs>
      <w:snapToGrid w:val="0"/>
      <w:jc w:val="left"/>
    </w:pPr>
    <w:rPr>
      <w:sz w:val="18"/>
      <w:szCs w:val="18"/>
    </w:rPr>
  </w:style>
  <w:style w:type="character" w:customStyle="1" w:styleId="Char1">
    <w:name w:val="页脚 Char"/>
    <w:basedOn w:val="a0"/>
    <w:link w:val="a7"/>
    <w:uiPriority w:val="99"/>
    <w:rsid w:val="00A52D93"/>
    <w:rPr>
      <w:sz w:val="18"/>
      <w:szCs w:val="18"/>
    </w:rPr>
  </w:style>
  <w:style w:type="paragraph" w:styleId="a8">
    <w:name w:val="List Paragraph"/>
    <w:basedOn w:val="a"/>
    <w:uiPriority w:val="99"/>
    <w:rsid w:val="00113E12"/>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20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0896;&#36164;&#26009;-0412\attack%20r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27502934033075"/>
          <c:y val="5.6155507559395246E-2"/>
          <c:w val="0.71170238381892603"/>
          <c:h val="0.8509069573646707"/>
        </c:manualLayout>
      </c:layout>
      <c:barChart>
        <c:barDir val="col"/>
        <c:grouping val="clustered"/>
        <c:varyColors val="0"/>
        <c:ser>
          <c:idx val="0"/>
          <c:order val="0"/>
          <c:tx>
            <c:strRef>
              <c:f>总表!$AQ$53</c:f>
              <c:strCache>
                <c:ptCount val="1"/>
                <c:pt idx="0">
                  <c:v>Nanshan</c:v>
                </c:pt>
              </c:strCache>
            </c:strRef>
          </c:tx>
          <c:invertIfNegative val="0"/>
          <c:dLbls>
            <c:dLbl>
              <c:idx val="4"/>
              <c:layout>
                <c:manualLayout>
                  <c:x val="-8.8288569937629612E-17"/>
                  <c:y val="-1.295896328293736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800" baseline="0"/>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总表!$AP$54:$AP$58</c:f>
              <c:strCache>
                <c:ptCount val="5"/>
                <c:pt idx="0">
                  <c:v>Jan.1-15</c:v>
                </c:pt>
                <c:pt idx="1">
                  <c:v>Jan.16-22</c:v>
                </c:pt>
                <c:pt idx="2">
                  <c:v>Jan.23-Feb.5</c:v>
                </c:pt>
                <c:pt idx="3">
                  <c:v>Feb.6-14</c:v>
                </c:pt>
                <c:pt idx="4">
                  <c:v>Total</c:v>
                </c:pt>
              </c:strCache>
            </c:strRef>
          </c:cat>
          <c:val>
            <c:numRef>
              <c:f>总表!$AQ$54:$AQ$58</c:f>
              <c:numCache>
                <c:formatCode>General</c:formatCode>
                <c:ptCount val="5"/>
                <c:pt idx="0">
                  <c:v>27.8</c:v>
                </c:pt>
                <c:pt idx="1">
                  <c:v>21.3</c:v>
                </c:pt>
                <c:pt idx="2">
                  <c:v>21.4</c:v>
                </c:pt>
                <c:pt idx="3">
                  <c:v>10</c:v>
                </c:pt>
                <c:pt idx="4">
                  <c:v>20.9</c:v>
                </c:pt>
              </c:numCache>
            </c:numRef>
          </c:val>
        </c:ser>
        <c:ser>
          <c:idx val="1"/>
          <c:order val="1"/>
          <c:tx>
            <c:strRef>
              <c:f>总表!$AR$53</c:f>
              <c:strCache>
                <c:ptCount val="1"/>
                <c:pt idx="0">
                  <c:v>Futian</c:v>
                </c:pt>
              </c:strCache>
            </c:strRef>
          </c:tx>
          <c:invertIfNegative val="0"/>
          <c:dLbls>
            <c:dLbl>
              <c:idx val="0"/>
              <c:layout>
                <c:manualLayout>
                  <c:x val="2.4078979051288005E-3"/>
                  <c:y val="-4.31965442764579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3.88768898488121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727861771058315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aseline="0"/>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总表!$AP$54:$AP$58</c:f>
              <c:strCache>
                <c:ptCount val="5"/>
                <c:pt idx="0">
                  <c:v>Jan.1-15</c:v>
                </c:pt>
                <c:pt idx="1">
                  <c:v>Jan.16-22</c:v>
                </c:pt>
                <c:pt idx="2">
                  <c:v>Jan.23-Feb.5</c:v>
                </c:pt>
                <c:pt idx="3">
                  <c:v>Feb.6-14</c:v>
                </c:pt>
                <c:pt idx="4">
                  <c:v>Total</c:v>
                </c:pt>
              </c:strCache>
            </c:strRef>
          </c:cat>
          <c:val>
            <c:numRef>
              <c:f>总表!$AR$54:$AR$58</c:f>
              <c:numCache>
                <c:formatCode>General</c:formatCode>
                <c:ptCount val="5"/>
                <c:pt idx="0">
                  <c:v>27.8</c:v>
                </c:pt>
                <c:pt idx="1">
                  <c:v>21.3</c:v>
                </c:pt>
                <c:pt idx="2">
                  <c:v>17.899999999999999</c:v>
                </c:pt>
                <c:pt idx="3">
                  <c:v>30</c:v>
                </c:pt>
                <c:pt idx="4">
                  <c:v>19.899999999999999</c:v>
                </c:pt>
              </c:numCache>
            </c:numRef>
          </c:val>
        </c:ser>
        <c:ser>
          <c:idx val="2"/>
          <c:order val="2"/>
          <c:tx>
            <c:strRef>
              <c:f>总表!$AS$53</c:f>
              <c:strCache>
                <c:ptCount val="1"/>
                <c:pt idx="0">
                  <c:v>Longgang</c:v>
                </c:pt>
              </c:strCache>
            </c:strRef>
          </c:tx>
          <c:invertIfNegative val="0"/>
          <c:dLbls>
            <c:dLbl>
              <c:idx val="0"/>
              <c:layout>
                <c:manualLayout>
                  <c:x val="9.6315916205152903E-3"/>
                  <c:y val="4.319654427645748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6315916205152452E-3"/>
                  <c:y val="1.72786177105831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2236937153863793E-3"/>
                  <c:y val="-3.9596374832718771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800" baseline="0"/>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总表!$AP$54:$AP$58</c:f>
              <c:strCache>
                <c:ptCount val="5"/>
                <c:pt idx="0">
                  <c:v>Jan.1-15</c:v>
                </c:pt>
                <c:pt idx="1">
                  <c:v>Jan.16-22</c:v>
                </c:pt>
                <c:pt idx="2">
                  <c:v>Jan.23-Feb.5</c:v>
                </c:pt>
                <c:pt idx="3">
                  <c:v>Feb.6-14</c:v>
                </c:pt>
                <c:pt idx="4">
                  <c:v>Total</c:v>
                </c:pt>
              </c:strCache>
            </c:strRef>
          </c:cat>
          <c:val>
            <c:numRef>
              <c:f>总表!$AS$54:$AS$58</c:f>
              <c:numCache>
                <c:formatCode>General</c:formatCode>
                <c:ptCount val="5"/>
                <c:pt idx="0">
                  <c:v>22.2</c:v>
                </c:pt>
                <c:pt idx="1">
                  <c:v>16.899999999999999</c:v>
                </c:pt>
                <c:pt idx="2">
                  <c:v>17.100000000000001</c:v>
                </c:pt>
                <c:pt idx="3">
                  <c:v>23.3</c:v>
                </c:pt>
                <c:pt idx="4">
                  <c:v>17.7</c:v>
                </c:pt>
              </c:numCache>
            </c:numRef>
          </c:val>
        </c:ser>
        <c:ser>
          <c:idx val="3"/>
          <c:order val="3"/>
          <c:tx>
            <c:strRef>
              <c:f>总表!$AT$53</c:f>
              <c:strCache>
                <c:ptCount val="1"/>
                <c:pt idx="0">
                  <c:v>Bao'an</c:v>
                </c:pt>
              </c:strCache>
            </c:strRef>
          </c:tx>
          <c:invertIfNegative val="0"/>
          <c:dLbls>
            <c:dLbl>
              <c:idx val="2"/>
              <c:layout>
                <c:manualLayout>
                  <c:x val="7.2236937153864677E-3"/>
                  <c:y val="1.727861771058315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800" baseline="0"/>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总表!$AP$54:$AP$58</c:f>
              <c:strCache>
                <c:ptCount val="5"/>
                <c:pt idx="0">
                  <c:v>Jan.1-15</c:v>
                </c:pt>
                <c:pt idx="1">
                  <c:v>Jan.16-22</c:v>
                </c:pt>
                <c:pt idx="2">
                  <c:v>Jan.23-Feb.5</c:v>
                </c:pt>
                <c:pt idx="3">
                  <c:v>Feb.6-14</c:v>
                </c:pt>
                <c:pt idx="4">
                  <c:v>Total</c:v>
                </c:pt>
              </c:strCache>
            </c:strRef>
          </c:cat>
          <c:val>
            <c:numRef>
              <c:f>总表!$AT$54:$AT$58</c:f>
              <c:numCache>
                <c:formatCode>General</c:formatCode>
                <c:ptCount val="5"/>
                <c:pt idx="0">
                  <c:v>5.6</c:v>
                </c:pt>
                <c:pt idx="1">
                  <c:v>10.1</c:v>
                </c:pt>
                <c:pt idx="2">
                  <c:v>16.399999999999999</c:v>
                </c:pt>
                <c:pt idx="3">
                  <c:v>16.7</c:v>
                </c:pt>
                <c:pt idx="4">
                  <c:v>14.6</c:v>
                </c:pt>
              </c:numCache>
            </c:numRef>
          </c:val>
        </c:ser>
        <c:ser>
          <c:idx val="4"/>
          <c:order val="4"/>
          <c:tx>
            <c:strRef>
              <c:f>总表!$AU$53</c:f>
              <c:strCache>
                <c:ptCount val="1"/>
                <c:pt idx="0">
                  <c:v>Luohu</c:v>
                </c:pt>
              </c:strCache>
            </c:strRef>
          </c:tx>
          <c:invertIfNegative val="0"/>
          <c:dLbls>
            <c:dLbl>
              <c:idx val="2"/>
              <c:layout>
                <c:manualLayout>
                  <c:x val="0"/>
                  <c:y val="-1.72786177105832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2.59179265658747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800" baseline="0"/>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总表!$AP$54:$AP$58</c:f>
              <c:strCache>
                <c:ptCount val="5"/>
                <c:pt idx="0">
                  <c:v>Jan.1-15</c:v>
                </c:pt>
                <c:pt idx="1">
                  <c:v>Jan.16-22</c:v>
                </c:pt>
                <c:pt idx="2">
                  <c:v>Jan.23-Feb.5</c:v>
                </c:pt>
                <c:pt idx="3">
                  <c:v>Feb.6-14</c:v>
                </c:pt>
                <c:pt idx="4">
                  <c:v>Total</c:v>
                </c:pt>
              </c:strCache>
            </c:strRef>
          </c:cat>
          <c:val>
            <c:numRef>
              <c:f>总表!$AU$54:$AU$58</c:f>
              <c:numCache>
                <c:formatCode>General</c:formatCode>
                <c:ptCount val="5"/>
                <c:pt idx="0">
                  <c:v>0</c:v>
                </c:pt>
                <c:pt idx="1">
                  <c:v>6.7</c:v>
                </c:pt>
                <c:pt idx="2">
                  <c:v>9.3000000000000007</c:v>
                </c:pt>
                <c:pt idx="3">
                  <c:v>6.7</c:v>
                </c:pt>
                <c:pt idx="4">
                  <c:v>8.1999999999999993</c:v>
                </c:pt>
              </c:numCache>
            </c:numRef>
          </c:val>
        </c:ser>
        <c:ser>
          <c:idx val="5"/>
          <c:order val="5"/>
          <c:tx>
            <c:strRef>
              <c:f>总表!$AV$53</c:f>
              <c:strCache>
                <c:ptCount val="1"/>
                <c:pt idx="0">
                  <c:v>Longhua</c:v>
                </c:pt>
              </c:strCache>
            </c:strRef>
          </c:tx>
          <c:invertIfNegative val="0"/>
          <c:dLbls>
            <c:dLbl>
              <c:idx val="2"/>
              <c:layout>
                <c:manualLayout>
                  <c:x val="0"/>
                  <c:y val="8.639308855291497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800" baseline="0"/>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总表!$AP$54:$AP$58</c:f>
              <c:strCache>
                <c:ptCount val="5"/>
                <c:pt idx="0">
                  <c:v>Jan.1-15</c:v>
                </c:pt>
                <c:pt idx="1">
                  <c:v>Jan.16-22</c:v>
                </c:pt>
                <c:pt idx="2">
                  <c:v>Jan.23-Feb.5</c:v>
                </c:pt>
                <c:pt idx="3">
                  <c:v>Feb.6-14</c:v>
                </c:pt>
                <c:pt idx="4">
                  <c:v>Total</c:v>
                </c:pt>
              </c:strCache>
            </c:strRef>
          </c:cat>
          <c:val>
            <c:numRef>
              <c:f>总表!$AV$54:$AV$58</c:f>
              <c:numCache>
                <c:formatCode>General</c:formatCode>
                <c:ptCount val="5"/>
                <c:pt idx="0">
                  <c:v>5.6</c:v>
                </c:pt>
                <c:pt idx="1">
                  <c:v>5.6</c:v>
                </c:pt>
                <c:pt idx="2">
                  <c:v>8.9</c:v>
                </c:pt>
                <c:pt idx="3">
                  <c:v>3.3</c:v>
                </c:pt>
                <c:pt idx="4">
                  <c:v>7.7</c:v>
                </c:pt>
              </c:numCache>
            </c:numRef>
          </c:val>
        </c:ser>
        <c:ser>
          <c:idx val="6"/>
          <c:order val="6"/>
          <c:tx>
            <c:strRef>
              <c:f>总表!$AW$53</c:f>
              <c:strCache>
                <c:ptCount val="1"/>
                <c:pt idx="0">
                  <c:v>Others</c:v>
                </c:pt>
              </c:strCache>
            </c:strRef>
          </c:tx>
          <c:invertIfNegative val="0"/>
          <c:dLbls>
            <c:dLbl>
              <c:idx val="2"/>
              <c:layout>
                <c:manualLayout>
                  <c:x val="9.6315916205152903E-3"/>
                  <c:y val="3.455723542116630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800" baseline="0"/>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总表!$AP$54:$AP$58</c:f>
              <c:strCache>
                <c:ptCount val="5"/>
                <c:pt idx="0">
                  <c:v>Jan.1-15</c:v>
                </c:pt>
                <c:pt idx="1">
                  <c:v>Jan.16-22</c:v>
                </c:pt>
                <c:pt idx="2">
                  <c:v>Jan.23-Feb.5</c:v>
                </c:pt>
                <c:pt idx="3">
                  <c:v>Feb.6-14</c:v>
                </c:pt>
                <c:pt idx="4">
                  <c:v>Total</c:v>
                </c:pt>
              </c:strCache>
            </c:strRef>
          </c:cat>
          <c:val>
            <c:numRef>
              <c:f>总表!$AW$54:$AW$58</c:f>
              <c:numCache>
                <c:formatCode>General</c:formatCode>
                <c:ptCount val="5"/>
                <c:pt idx="0">
                  <c:v>11.2</c:v>
                </c:pt>
                <c:pt idx="1">
                  <c:v>18</c:v>
                </c:pt>
                <c:pt idx="2">
                  <c:v>8.9</c:v>
                </c:pt>
                <c:pt idx="3">
                  <c:v>10</c:v>
                </c:pt>
                <c:pt idx="4">
                  <c:v>11</c:v>
                </c:pt>
              </c:numCache>
            </c:numRef>
          </c:val>
        </c:ser>
        <c:dLbls>
          <c:showLegendKey val="0"/>
          <c:showVal val="0"/>
          <c:showCatName val="0"/>
          <c:showSerName val="0"/>
          <c:showPercent val="0"/>
          <c:showBubbleSize val="0"/>
        </c:dLbls>
        <c:gapWidth val="150"/>
        <c:axId val="149276160"/>
        <c:axId val="149277696"/>
      </c:barChart>
      <c:catAx>
        <c:axId val="149276160"/>
        <c:scaling>
          <c:orientation val="minMax"/>
        </c:scaling>
        <c:delete val="0"/>
        <c:axPos val="b"/>
        <c:numFmt formatCode="General" sourceLinked="1"/>
        <c:majorTickMark val="out"/>
        <c:minorTickMark val="none"/>
        <c:tickLblPos val="nextTo"/>
        <c:txPr>
          <a:bodyPr/>
          <a:lstStyle/>
          <a:p>
            <a:pPr>
              <a:defRPr sz="800" baseline="0">
                <a:latin typeface="Times New Roman" pitchFamily="18" charset="0"/>
              </a:defRPr>
            </a:pPr>
            <a:endParaRPr lang="zh-CN"/>
          </a:p>
        </c:txPr>
        <c:crossAx val="149277696"/>
        <c:crosses val="autoZero"/>
        <c:auto val="1"/>
        <c:lblAlgn val="ctr"/>
        <c:lblOffset val="100"/>
        <c:noMultiLvlLbl val="0"/>
      </c:catAx>
      <c:valAx>
        <c:axId val="149277696"/>
        <c:scaling>
          <c:orientation val="minMax"/>
        </c:scaling>
        <c:delete val="0"/>
        <c:axPos val="l"/>
        <c:title>
          <c:tx>
            <c:rich>
              <a:bodyPr/>
              <a:lstStyle/>
              <a:p>
                <a:pPr>
                  <a:defRPr/>
                </a:pPr>
                <a:r>
                  <a:rPr lang="en-US" altLang="zh-CN">
                    <a:latin typeface="Times New Roman" panose="02020603050405020304" pitchFamily="18" charset="0"/>
                    <a:cs typeface="Times New Roman" panose="02020603050405020304" pitchFamily="18" charset="0"/>
                  </a:rPr>
                  <a:t>Cases</a:t>
                </a:r>
                <a:r>
                  <a:rPr lang="en-US" altLang="zh-CN"/>
                  <a:t>,</a:t>
                </a:r>
                <a:r>
                  <a:rPr lang="en-US" altLang="zh-CN" baseline="0"/>
                  <a:t> %</a:t>
                </a:r>
                <a:endParaRPr lang="zh-CN" altLang="en-US"/>
              </a:p>
            </c:rich>
          </c:tx>
          <c:layout/>
          <c:overlay val="0"/>
        </c:title>
        <c:numFmt formatCode="General" sourceLinked="1"/>
        <c:majorTickMark val="out"/>
        <c:minorTickMark val="none"/>
        <c:tickLblPos val="nextTo"/>
        <c:txPr>
          <a:bodyPr/>
          <a:lstStyle/>
          <a:p>
            <a:pPr>
              <a:defRPr sz="800" baseline="0">
                <a:latin typeface="Times New Roman" pitchFamily="18" charset="0"/>
              </a:defRPr>
            </a:pPr>
            <a:endParaRPr lang="zh-CN"/>
          </a:p>
        </c:txPr>
        <c:crossAx val="149276160"/>
        <c:crosses val="autoZero"/>
        <c:crossBetween val="between"/>
      </c:valAx>
    </c:plotArea>
    <c:legend>
      <c:legendPos val="r"/>
      <c:layout>
        <c:manualLayout>
          <c:xMode val="edge"/>
          <c:yMode val="edge"/>
          <c:x val="0.84490976070803592"/>
          <c:y val="6.9332834475604163E-2"/>
          <c:w val="0.11174807699964545"/>
          <c:h val="0.44664716586452613"/>
        </c:manualLayout>
      </c:layout>
      <c:overlay val="0"/>
      <c:txPr>
        <a:bodyPr/>
        <a:lstStyle/>
        <a:p>
          <a:pPr>
            <a:defRPr sz="800" baseline="0">
              <a:latin typeface="Times New Roman" pitchFamily="18" charset="0"/>
            </a:defRPr>
          </a:pPr>
          <a:endParaRPr lang="zh-CN"/>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9</Pages>
  <Words>1590</Words>
  <Characters>9068</Characters>
  <Application>Microsoft Office Word</Application>
  <DocSecurity>0</DocSecurity>
  <Lines>75</Lines>
  <Paragraphs>21</Paragraphs>
  <ScaleCrop>false</ScaleCrop>
  <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lvziquan</dc:creator>
  <cp:lastModifiedBy>lvziquan</cp:lastModifiedBy>
  <cp:revision>54</cp:revision>
  <dcterms:created xsi:type="dcterms:W3CDTF">2020-03-31T02:56:00Z</dcterms:created>
  <dcterms:modified xsi:type="dcterms:W3CDTF">2020-04-25T12:45:00Z</dcterms:modified>
</cp:coreProperties>
</file>