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84" w:rsidRPr="00050016" w:rsidRDefault="00A84B84" w:rsidP="00A84B84">
      <w:pPr>
        <w:pStyle w:val="Heading2"/>
        <w:rPr>
          <w:rFonts w:cs="Times New Roman"/>
          <w:szCs w:val="22"/>
          <w:lang w:val="en-US"/>
        </w:rPr>
      </w:pPr>
      <w:r w:rsidRPr="00050016">
        <w:rPr>
          <w:rFonts w:cs="Times New Roman"/>
          <w:b/>
          <w:szCs w:val="22"/>
          <w:lang w:val="en-US"/>
        </w:rPr>
        <w:t>Supplementary Table 1.</w:t>
      </w:r>
      <w:r w:rsidRPr="00050016">
        <w:rPr>
          <w:rFonts w:cs="Times New Roman"/>
          <w:szCs w:val="22"/>
          <w:lang w:val="en-US"/>
        </w:rPr>
        <w:t xml:space="preserve"> Details of included diseases; International Classification of Diseases 10th revision (ICD-10) codes included from inpatient hospital records</w:t>
      </w:r>
    </w:p>
    <w:p w:rsidR="00A84B84" w:rsidRPr="00050016" w:rsidRDefault="00A84B84" w:rsidP="00A84B84">
      <w:pPr>
        <w:rPr>
          <w:rFonts w:ascii="Times New Roman" w:hAnsi="Times New Roman" w:cs="Times New Roman"/>
          <w:lang w:val="en-US"/>
        </w:rPr>
      </w:pPr>
    </w:p>
    <w:tbl>
      <w:tblPr>
        <w:tblW w:w="9369" w:type="dxa"/>
        <w:tblInd w:w="-297" w:type="dxa"/>
        <w:tblLook w:val="04A0" w:firstRow="1" w:lastRow="0" w:firstColumn="1" w:lastColumn="0" w:noHBand="0" w:noVBand="1"/>
      </w:tblPr>
      <w:tblGrid>
        <w:gridCol w:w="3828"/>
        <w:gridCol w:w="5541"/>
      </w:tblGrid>
      <w:tr w:rsidR="00A84B84" w:rsidRPr="00A84B84" w:rsidTr="00A84B84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ICD-10 Codes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30423E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Prevalent disease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</w:t>
            </w: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oronary heart disease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I20–I25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Atrial fibrillation 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I48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Stroke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G45-G46; I61; I63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Hypertension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I10-I15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Diabetes (T</w:t>
            </w: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ype 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E11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Chronic kidney disease 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N18; N183; N184; N185; Y841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Depression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F32; F33; F34.1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Dementia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F00; F01; F02; F03; G30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J45-J46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</w:t>
            </w: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hronic obstructive pulmonary disease</w:t>
            </w: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J42-J44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Osteoporosis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M80; M81; M811; M812; M813; M814; M815; M816; M818; M819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Osteoarthritis  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M15.0; M15.1; M15.2; M15.9; M16.0; M16.1; M17.0; M17.1; M18.0; M18.1; M19.0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30423E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Previous disease/condition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Delirium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F05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Pneumonia 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J13; J14; J15; J16; J17; J18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Falls/Fragility fractures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W00; W01; W04; W05; W06; W07; W08; W10; W17; W18; W19; R296</w:t>
            </w:r>
          </w:p>
        </w:tc>
      </w:tr>
      <w:tr w:rsidR="00A84B84" w:rsidRPr="00A84B84" w:rsidTr="00A84B84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4B84" w:rsidRPr="00A84B84" w:rsidRDefault="00A84B84" w:rsidP="00A8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S220; S32; S325; S328;  S422-S424; S524; S525; S720-S722; S582; S5823; T08</w:t>
            </w:r>
          </w:p>
        </w:tc>
      </w:tr>
    </w:tbl>
    <w:p w:rsidR="00A84B84" w:rsidRPr="00050016" w:rsidRDefault="00A84B84" w:rsidP="00A84B84">
      <w:pPr>
        <w:rPr>
          <w:rFonts w:ascii="Times New Roman" w:hAnsi="Times New Roman" w:cs="Times New Roman"/>
          <w:lang w:val="en-US"/>
        </w:rPr>
      </w:pPr>
    </w:p>
    <w:p w:rsidR="00A84B84" w:rsidRPr="00050016" w:rsidRDefault="00A84B84" w:rsidP="00A84B84">
      <w:pPr>
        <w:pStyle w:val="Heading2"/>
        <w:rPr>
          <w:rFonts w:cs="Times New Roman"/>
          <w:b/>
          <w:szCs w:val="22"/>
          <w:lang w:val="en-US"/>
        </w:rPr>
        <w:sectPr w:rsidR="00A84B84" w:rsidRPr="00050016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84B84" w:rsidRPr="00050016" w:rsidRDefault="00A84B84" w:rsidP="00050016">
      <w:pPr>
        <w:pStyle w:val="Heading2"/>
        <w:rPr>
          <w:rFonts w:cs="Times New Roman"/>
          <w:szCs w:val="22"/>
          <w:lang w:val="en-US"/>
        </w:rPr>
      </w:pPr>
      <w:r w:rsidRPr="00050016">
        <w:rPr>
          <w:rFonts w:cs="Times New Roman"/>
          <w:b/>
          <w:szCs w:val="22"/>
          <w:lang w:val="en-US"/>
        </w:rPr>
        <w:lastRenderedPageBreak/>
        <w:t>Supplementary Table 2</w:t>
      </w:r>
      <w:r w:rsidRPr="00050016">
        <w:rPr>
          <w:rFonts w:cs="Times New Roman"/>
          <w:szCs w:val="22"/>
          <w:lang w:val="en-US"/>
        </w:rPr>
        <w:t xml:space="preserve">. Number (%) of positive COVID-19 tests by baseline UK Biobank assessment </w:t>
      </w:r>
      <w:proofErr w:type="spellStart"/>
      <w:r w:rsidRPr="00050016">
        <w:rPr>
          <w:rFonts w:cs="Times New Roman"/>
          <w:szCs w:val="22"/>
          <w:lang w:val="en-US"/>
        </w:rPr>
        <w:t>centre</w:t>
      </w:r>
      <w:proofErr w:type="spellEnd"/>
    </w:p>
    <w:p w:rsidR="00050016" w:rsidRPr="00050016" w:rsidRDefault="00050016" w:rsidP="00050016">
      <w:pPr>
        <w:rPr>
          <w:rFonts w:ascii="Times New Roman" w:hAnsi="Times New Roman" w:cs="Times New Roman"/>
          <w:lang w:val="en-US"/>
        </w:rPr>
      </w:pPr>
    </w:p>
    <w:tbl>
      <w:tblPr>
        <w:tblW w:w="8865" w:type="dxa"/>
        <w:tblLook w:val="04A0" w:firstRow="1" w:lastRow="0" w:firstColumn="1" w:lastColumn="0" w:noHBand="0" w:noVBand="1"/>
      </w:tblPr>
      <w:tblGrid>
        <w:gridCol w:w="1976"/>
        <w:gridCol w:w="1070"/>
        <w:gridCol w:w="1227"/>
        <w:gridCol w:w="1068"/>
        <w:gridCol w:w="1228"/>
        <w:gridCol w:w="1068"/>
        <w:gridCol w:w="1228"/>
      </w:tblGrid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COVID-19 positive test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Men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Women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Assessment centre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Barts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Birmingham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0.23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Bristol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0.10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0.15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Croydon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0.26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Hounslow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0.24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Leeds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0.11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Liverpool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0.19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Manchester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0.22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Middlesbrough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0.12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Newcastle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0.21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Nottingham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0.13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0.07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Reading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0.09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Sheffield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0.17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Stockport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0.38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Stoke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0.09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50016" w:rsidRPr="00050016" w:rsidTr="00050016">
        <w:trPr>
          <w:trHeight w:val="253"/>
        </w:trPr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Total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0016" w:rsidRPr="00050016" w:rsidRDefault="00050016" w:rsidP="000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0.16</w:t>
            </w:r>
          </w:p>
        </w:tc>
      </w:tr>
    </w:tbl>
    <w:p w:rsidR="00050016" w:rsidRDefault="00050016" w:rsidP="00050016">
      <w:pPr>
        <w:rPr>
          <w:rFonts w:ascii="Times New Roman" w:hAnsi="Times New Roman" w:cs="Times New Roman"/>
          <w:lang w:val="en-US"/>
        </w:rPr>
      </w:pPr>
    </w:p>
    <w:p w:rsidR="00050016" w:rsidRDefault="00050016" w:rsidP="00050016">
      <w:pPr>
        <w:jc w:val="both"/>
        <w:rPr>
          <w:rFonts w:ascii="Times New Roman" w:hAnsi="Times New Roman" w:cs="Times New Roman"/>
          <w:lang w:val="en-US"/>
        </w:rPr>
      </w:pPr>
      <w:r w:rsidRPr="00692ABB">
        <w:rPr>
          <w:rFonts w:ascii="Times New Roman" w:hAnsi="Times New Roman" w:cs="Times New Roman"/>
          <w:lang w:val="en-US"/>
        </w:rPr>
        <w:t>National Health Service COVID-19 laboratory test results in England</w:t>
      </w:r>
      <w:r>
        <w:rPr>
          <w:rFonts w:ascii="Times New Roman" w:hAnsi="Times New Roman" w:cs="Times New Roman"/>
          <w:lang w:val="en-US"/>
        </w:rPr>
        <w:t xml:space="preserve"> for UK Biobank participants</w:t>
      </w:r>
      <w:r w:rsidRPr="00692ABB">
        <w:rPr>
          <w:rFonts w:ascii="Times New Roman" w:hAnsi="Times New Roman" w:cs="Times New Roman"/>
          <w:lang w:val="en-US"/>
        </w:rPr>
        <w:t xml:space="preserve"> for the period March 16 to April 14 2020</w:t>
      </w:r>
      <w:r>
        <w:rPr>
          <w:rFonts w:ascii="Times New Roman" w:hAnsi="Times New Roman" w:cs="Times New Roman"/>
          <w:lang w:val="en-US"/>
        </w:rPr>
        <w:t>. Proportion presented above compares positive tests results to the rest of UK Biobank cohort (aged 65</w:t>
      </w:r>
      <w:r w:rsidR="0030423E">
        <w:rPr>
          <w:rFonts w:ascii="Times New Roman" w:hAnsi="Times New Roman" w:cs="Times New Roman"/>
          <w:lang w:val="en-US"/>
        </w:rPr>
        <w:t xml:space="preserve"> years</w:t>
      </w:r>
      <w:r>
        <w:rPr>
          <w:rFonts w:ascii="Times New Roman" w:hAnsi="Times New Roman" w:cs="Times New Roman"/>
          <w:lang w:val="en-US"/>
        </w:rPr>
        <w:t xml:space="preserve"> or above, alive and attending baseline assessment </w:t>
      </w:r>
      <w:proofErr w:type="spellStart"/>
      <w:r>
        <w:rPr>
          <w:rFonts w:ascii="Times New Roman" w:hAnsi="Times New Roman" w:cs="Times New Roman"/>
          <w:lang w:val="en-US"/>
        </w:rPr>
        <w:t>centres</w:t>
      </w:r>
      <w:proofErr w:type="spellEnd"/>
      <w:r>
        <w:rPr>
          <w:rFonts w:ascii="Times New Roman" w:hAnsi="Times New Roman" w:cs="Times New Roman"/>
          <w:lang w:val="en-US"/>
        </w:rPr>
        <w:t xml:space="preserve"> in England).</w:t>
      </w:r>
    </w:p>
    <w:p w:rsidR="005B28A3" w:rsidRDefault="005B28A3" w:rsidP="00050016">
      <w:pPr>
        <w:jc w:val="both"/>
        <w:rPr>
          <w:rFonts w:ascii="Times New Roman" w:hAnsi="Times New Roman" w:cs="Times New Roman"/>
          <w:lang w:val="en-US"/>
        </w:rPr>
      </w:pPr>
    </w:p>
    <w:p w:rsidR="005B28A3" w:rsidRDefault="005B28A3" w:rsidP="00050016">
      <w:pPr>
        <w:jc w:val="both"/>
        <w:rPr>
          <w:rFonts w:ascii="Times New Roman" w:hAnsi="Times New Roman" w:cs="Times New Roman"/>
          <w:lang w:val="en-US"/>
        </w:rPr>
      </w:pPr>
    </w:p>
    <w:p w:rsidR="005B28A3" w:rsidRDefault="005B28A3" w:rsidP="005B28A3">
      <w:pPr>
        <w:pStyle w:val="Heading2"/>
        <w:rPr>
          <w:rFonts w:cs="Times New Roman"/>
          <w:b/>
          <w:szCs w:val="22"/>
          <w:lang w:val="en-US"/>
        </w:rPr>
        <w:sectPr w:rsidR="005B28A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B28A3" w:rsidRDefault="005B28A3" w:rsidP="005B28A3">
      <w:pPr>
        <w:pStyle w:val="Heading2"/>
        <w:rPr>
          <w:rFonts w:cs="Times New Roman"/>
          <w:lang w:val="en-US"/>
        </w:rPr>
      </w:pPr>
      <w:r w:rsidRPr="00050016">
        <w:rPr>
          <w:rFonts w:cs="Times New Roman"/>
          <w:b/>
          <w:szCs w:val="22"/>
          <w:lang w:val="en-US"/>
        </w:rPr>
        <w:lastRenderedPageBreak/>
        <w:t xml:space="preserve">Supplementary Table </w:t>
      </w:r>
      <w:r>
        <w:rPr>
          <w:rFonts w:cs="Times New Roman"/>
          <w:b/>
          <w:szCs w:val="22"/>
          <w:lang w:val="en-US"/>
        </w:rPr>
        <w:t>3</w:t>
      </w:r>
      <w:r w:rsidRPr="00050016">
        <w:rPr>
          <w:rFonts w:cs="Times New Roman"/>
          <w:szCs w:val="22"/>
          <w:lang w:val="en-US"/>
        </w:rPr>
        <w:t xml:space="preserve">. </w:t>
      </w:r>
      <w:r w:rsidRPr="0021584A">
        <w:rPr>
          <w:rFonts w:cs="Times New Roman"/>
          <w:lang w:val="en-US"/>
        </w:rPr>
        <w:t xml:space="preserve">Odds ratios for associations between pre-existing diagnoses and COVID-19, accounting for demographics </w:t>
      </w:r>
    </w:p>
    <w:p w:rsidR="005B28A3" w:rsidRDefault="005B28A3" w:rsidP="005B28A3">
      <w:pPr>
        <w:rPr>
          <w:lang w:val="en-US"/>
        </w:rPr>
      </w:pPr>
    </w:p>
    <w:tbl>
      <w:tblPr>
        <w:tblW w:w="88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791"/>
        <w:gridCol w:w="1204"/>
      </w:tblGrid>
      <w:tr w:rsidR="00585497" w:rsidRPr="00585497" w:rsidTr="00E075E5">
        <w:trPr>
          <w:trHeight w:val="202"/>
        </w:trPr>
        <w:tc>
          <w:tcPr>
            <w:tcW w:w="382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Demographics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OR (95% CI)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p-value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Prevalent disease*</w:t>
            </w: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E075E5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</w:t>
            </w: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oronary heart disease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1.45 (1.14 to 1.85)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2.70E-03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Atrial fibrillation 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2.07 (1.56 to 2.76)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6.50E-07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Stroke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1.9</w:t>
            </w:r>
            <w:r w:rsidR="00E075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(1.22 to 2.96)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4.40E-03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Hypertension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1.62 (1.33 to 1.98)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1.60E-06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Diabetes (type 2)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2.33 (1.82 to 2.99)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2.20E-11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Chronic kidney disease 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2.77 (1.81 to 4.24)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2.80E-06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Depression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2.38 (1.81 to 3.13)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4.10E-10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Dementia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5.46 (3.17 to 9.41)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9.90E-10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1.53 (1.19 to 1.95)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7.90E-04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E075E5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84B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</w:t>
            </w:r>
            <w:r w:rsidRPr="0005001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hronic obstructive pulmonary disease</w:t>
            </w:r>
            <w:r w:rsidR="00585497"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2.7</w:t>
            </w:r>
            <w:r w:rsidR="00E075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(2.04 to 3.59)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5.80E-12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Osteoporosis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1.98 (1.27 to 3.06)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2.30E-03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Osteoarthritis  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</w:t>
            </w:r>
            <w:r w:rsidR="00E075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(1.01 to 1.67)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4.30E-02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85497" w:rsidRPr="00585497" w:rsidTr="00E075E5">
        <w:trPr>
          <w:trHeight w:val="202"/>
        </w:trPr>
        <w:tc>
          <w:tcPr>
            <w:tcW w:w="7619" w:type="dxa"/>
            <w:gridSpan w:val="2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Previous disease/condition*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Delirium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3.62 (1.6</w:t>
            </w:r>
            <w:r w:rsidR="00E075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to 8.17)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2.00E-03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Pneumonia 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2.28 (1.65 to 3.14)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5.00E-07</w:t>
            </w:r>
          </w:p>
        </w:tc>
      </w:tr>
      <w:tr w:rsidR="00585497" w:rsidRPr="00585497" w:rsidTr="00E075E5">
        <w:trPr>
          <w:trHeight w:val="20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Falls/Fragility fractures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1.39 (1.13 to 1.71)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85497" w:rsidRPr="00585497" w:rsidRDefault="00585497" w:rsidP="005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8549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2.10E-03</w:t>
            </w:r>
          </w:p>
        </w:tc>
      </w:tr>
    </w:tbl>
    <w:p w:rsidR="005B28A3" w:rsidRDefault="005B28A3" w:rsidP="005B28A3">
      <w:pPr>
        <w:rPr>
          <w:lang w:val="en-US"/>
        </w:rPr>
      </w:pPr>
    </w:p>
    <w:p w:rsidR="005B28A3" w:rsidRPr="0021584A" w:rsidRDefault="005B28A3" w:rsidP="005B28A3">
      <w:pPr>
        <w:rPr>
          <w:rFonts w:ascii="Times New Roman" w:hAnsi="Times New Roman" w:cs="Times New Roman"/>
          <w:b/>
          <w:lang w:val="en-US"/>
        </w:rPr>
      </w:pPr>
      <w:r w:rsidRPr="0021584A">
        <w:rPr>
          <w:rFonts w:ascii="Times New Roman" w:hAnsi="Times New Roman" w:cs="Times New Roman"/>
          <w:lang w:eastAsia="en-GB"/>
        </w:rPr>
        <w:t>*Diagnoses from baseline self-report and hospital inpatient admissions</w:t>
      </w:r>
      <w:r w:rsidRPr="0021584A">
        <w:rPr>
          <w:rFonts w:ascii="Times New Roman" w:hAnsi="Times New Roman" w:cs="Times New Roman"/>
          <w:b/>
          <w:lang w:val="en-US"/>
        </w:rPr>
        <w:t xml:space="preserve"> </w:t>
      </w:r>
    </w:p>
    <w:p w:rsidR="005B28A3" w:rsidRPr="001D3D5C" w:rsidRDefault="005B28A3" w:rsidP="005B28A3">
      <w:pPr>
        <w:rPr>
          <w:rFonts w:ascii="Times New Roman" w:hAnsi="Times New Roman" w:cs="Times New Roman"/>
          <w:lang w:eastAsia="en-GB"/>
        </w:rPr>
      </w:pPr>
      <w:r w:rsidRPr="001D3D5C">
        <w:rPr>
          <w:rFonts w:ascii="Times New Roman" w:hAnsi="Times New Roman" w:cs="Times New Roman"/>
          <w:lang w:eastAsia="en-GB"/>
        </w:rPr>
        <w:t>Demographics model (adjusted for age group, sex, ethnicity, education, and baseline assessment centre)</w:t>
      </w:r>
    </w:p>
    <w:p w:rsidR="005B28A3" w:rsidRPr="005B28A3" w:rsidRDefault="005B28A3" w:rsidP="005B28A3">
      <w:pPr>
        <w:rPr>
          <w:lang w:val="en-US"/>
        </w:rPr>
      </w:pPr>
      <w:bookmarkStart w:id="0" w:name="_GoBack"/>
      <w:bookmarkEnd w:id="0"/>
    </w:p>
    <w:p w:rsidR="005B28A3" w:rsidRDefault="005B28A3" w:rsidP="005B28A3">
      <w:pPr>
        <w:rPr>
          <w:lang w:val="en-US"/>
        </w:rPr>
      </w:pPr>
    </w:p>
    <w:p w:rsidR="005B28A3" w:rsidRPr="005B28A3" w:rsidRDefault="005B28A3" w:rsidP="005B28A3">
      <w:pPr>
        <w:rPr>
          <w:lang w:val="en-US"/>
        </w:rPr>
      </w:pPr>
    </w:p>
    <w:p w:rsidR="005B28A3" w:rsidRPr="00050016" w:rsidRDefault="005B28A3" w:rsidP="00050016">
      <w:pPr>
        <w:jc w:val="both"/>
        <w:rPr>
          <w:rFonts w:ascii="Times New Roman" w:hAnsi="Times New Roman" w:cs="Times New Roman"/>
          <w:lang w:val="en-US"/>
        </w:rPr>
      </w:pPr>
    </w:p>
    <w:sectPr w:rsidR="005B28A3" w:rsidRPr="00050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93" w:rsidRDefault="00E02D93" w:rsidP="00E075E5">
      <w:pPr>
        <w:spacing w:after="0" w:line="240" w:lineRule="auto"/>
      </w:pPr>
      <w:r>
        <w:separator/>
      </w:r>
    </w:p>
  </w:endnote>
  <w:endnote w:type="continuationSeparator" w:id="0">
    <w:p w:rsidR="00E02D93" w:rsidRDefault="00E02D93" w:rsidP="00E0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118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5E5" w:rsidRDefault="00E07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5E5" w:rsidRDefault="00E07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93" w:rsidRDefault="00E02D93" w:rsidP="00E075E5">
      <w:pPr>
        <w:spacing w:after="0" w:line="240" w:lineRule="auto"/>
      </w:pPr>
      <w:r>
        <w:separator/>
      </w:r>
    </w:p>
  </w:footnote>
  <w:footnote w:type="continuationSeparator" w:id="0">
    <w:p w:rsidR="00E02D93" w:rsidRDefault="00E02D93" w:rsidP="00E07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37"/>
    <w:rsid w:val="00050016"/>
    <w:rsid w:val="0030423E"/>
    <w:rsid w:val="00585497"/>
    <w:rsid w:val="005B28A3"/>
    <w:rsid w:val="00A84B84"/>
    <w:rsid w:val="00AE7991"/>
    <w:rsid w:val="00C03337"/>
    <w:rsid w:val="00E02D93"/>
    <w:rsid w:val="00E0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35411-C20A-4F04-B0EC-A0350611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8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B84"/>
    <w:rPr>
      <w:rFonts w:ascii="Times New Roman" w:eastAsiaTheme="majorEastAsia" w:hAnsi="Times New Roman" w:cstheme="majorBidi"/>
      <w:i/>
      <w:szCs w:val="26"/>
    </w:rPr>
  </w:style>
  <w:style w:type="paragraph" w:styleId="Header">
    <w:name w:val="header"/>
    <w:basedOn w:val="Normal"/>
    <w:link w:val="HeaderChar"/>
    <w:uiPriority w:val="99"/>
    <w:unhideWhenUsed/>
    <w:rsid w:val="00E07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E5"/>
  </w:style>
  <w:style w:type="paragraph" w:styleId="Footer">
    <w:name w:val="footer"/>
    <w:basedOn w:val="Normal"/>
    <w:link w:val="FooterChar"/>
    <w:uiPriority w:val="99"/>
    <w:unhideWhenUsed/>
    <w:rsid w:val="00E07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Janice</dc:creator>
  <cp:keywords/>
  <dc:description/>
  <cp:lastModifiedBy>Atkins, Janice</cp:lastModifiedBy>
  <cp:revision>6</cp:revision>
  <dcterms:created xsi:type="dcterms:W3CDTF">2020-04-30T11:48:00Z</dcterms:created>
  <dcterms:modified xsi:type="dcterms:W3CDTF">2020-04-30T15:48:00Z</dcterms:modified>
</cp:coreProperties>
</file>