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9E70D" w14:textId="77777777" w:rsidR="008B49D5" w:rsidRDefault="008B49D5" w:rsidP="008B49D5">
      <w:pPr>
        <w:pStyle w:val="NormalWeb"/>
        <w:spacing w:line="480" w:lineRule="auto"/>
        <w:jc w:val="center"/>
        <w:rPr>
          <w:b/>
          <w:bCs/>
        </w:rPr>
      </w:pPr>
      <w:r w:rsidRPr="008B49D5">
        <w:rPr>
          <w:b/>
          <w:bCs/>
        </w:rPr>
        <w:t xml:space="preserve">Etiologic Subtypes of Ischemic Stroke </w:t>
      </w:r>
      <w:r w:rsidR="00C312C6" w:rsidRPr="006A3DA0">
        <w:rPr>
          <w:b/>
          <w:bCs/>
        </w:rPr>
        <w:t>in SARS-COV</w:t>
      </w:r>
      <w:r w:rsidR="00BF3433">
        <w:rPr>
          <w:b/>
          <w:bCs/>
        </w:rPr>
        <w:t>-</w:t>
      </w:r>
      <w:r w:rsidR="00C312C6" w:rsidRPr="006A3DA0">
        <w:rPr>
          <w:b/>
          <w:bCs/>
        </w:rPr>
        <w:t xml:space="preserve">2 Virus </w:t>
      </w:r>
      <w:r>
        <w:rPr>
          <w:b/>
          <w:bCs/>
        </w:rPr>
        <w:t xml:space="preserve">patients </w:t>
      </w:r>
    </w:p>
    <w:p w14:paraId="5D6026F5" w14:textId="296ACC3C" w:rsidR="00C312C6" w:rsidRPr="006A3DA0" w:rsidRDefault="00C312C6" w:rsidP="008B49D5">
      <w:pPr>
        <w:pStyle w:val="NormalWeb"/>
        <w:spacing w:line="480" w:lineRule="auto"/>
        <w:jc w:val="center"/>
        <w:rPr>
          <w:b/>
          <w:bCs/>
        </w:rPr>
      </w:pPr>
      <w:r w:rsidRPr="006A3DA0">
        <w:rPr>
          <w:b/>
          <w:bCs/>
        </w:rPr>
        <w:t xml:space="preserve">in a cohort of </w:t>
      </w:r>
      <w:r w:rsidR="00F0342A">
        <w:rPr>
          <w:b/>
          <w:bCs/>
        </w:rPr>
        <w:t>New York City</w:t>
      </w:r>
      <w:r w:rsidRPr="006A3DA0">
        <w:rPr>
          <w:b/>
          <w:bCs/>
        </w:rPr>
        <w:t xml:space="preserve"> </w:t>
      </w:r>
      <w:r w:rsidR="00575193">
        <w:rPr>
          <w:b/>
          <w:bCs/>
        </w:rPr>
        <w:t>h</w:t>
      </w:r>
      <w:r w:rsidRPr="006A3DA0">
        <w:rPr>
          <w:b/>
          <w:bCs/>
        </w:rPr>
        <w:t>ospitals</w:t>
      </w:r>
    </w:p>
    <w:p w14:paraId="467EAAB2" w14:textId="77777777" w:rsidR="00EF7959" w:rsidRDefault="000A0CC7" w:rsidP="00716272">
      <w:pPr>
        <w:spacing w:line="480" w:lineRule="auto"/>
        <w:jc w:val="center"/>
        <w:rPr>
          <w:rFonts w:ascii="Times New Roman" w:hAnsi="Times New Roman"/>
        </w:rPr>
      </w:pPr>
      <w:bookmarkStart w:id="0" w:name="_Hlk39250873"/>
      <w:r w:rsidRPr="005A307C">
        <w:rPr>
          <w:rFonts w:ascii="Times New Roman" w:hAnsi="Times New Roman"/>
        </w:rPr>
        <w:t xml:space="preserve">Ketevan </w:t>
      </w:r>
      <w:proofErr w:type="spellStart"/>
      <w:r w:rsidRPr="005A307C">
        <w:rPr>
          <w:rFonts w:ascii="Times New Roman" w:hAnsi="Times New Roman"/>
        </w:rPr>
        <w:t>Berekashvili</w:t>
      </w:r>
      <w:proofErr w:type="spellEnd"/>
      <w:r w:rsidRPr="005A307C">
        <w:rPr>
          <w:rFonts w:ascii="Times New Roman" w:hAnsi="Times New Roman"/>
        </w:rPr>
        <w:t xml:space="preserve"> MD</w:t>
      </w:r>
      <w:r w:rsidRPr="005A307C">
        <w:rPr>
          <w:rFonts w:ascii="Times New Roman" w:hAnsi="Times New Roman"/>
          <w:vertAlign w:val="superscript"/>
        </w:rPr>
        <w:t>1-4</w:t>
      </w:r>
      <w:r>
        <w:rPr>
          <w:rFonts w:ascii="Times New Roman" w:hAnsi="Times New Roman"/>
        </w:rPr>
        <w:t>, A</w:t>
      </w:r>
      <w:r w:rsidR="00716272" w:rsidRPr="005A307C">
        <w:rPr>
          <w:rFonts w:ascii="Times New Roman" w:hAnsi="Times New Roman"/>
        </w:rPr>
        <w:t xml:space="preserve">dam A. </w:t>
      </w:r>
      <w:proofErr w:type="spellStart"/>
      <w:r w:rsidR="00716272" w:rsidRPr="005A307C">
        <w:rPr>
          <w:rFonts w:ascii="Times New Roman" w:hAnsi="Times New Roman"/>
        </w:rPr>
        <w:t>Dmytriw</w:t>
      </w:r>
      <w:proofErr w:type="spellEnd"/>
      <w:r w:rsidR="00716272" w:rsidRPr="005A307C">
        <w:rPr>
          <w:rFonts w:ascii="Times New Roman" w:hAnsi="Times New Roman"/>
        </w:rPr>
        <w:t xml:space="preserve"> MD MSc</w:t>
      </w:r>
      <w:r w:rsidR="00716272" w:rsidRPr="005A307C">
        <w:rPr>
          <w:rFonts w:ascii="Times New Roman" w:hAnsi="Times New Roman"/>
          <w:vertAlign w:val="superscript"/>
        </w:rPr>
        <w:t xml:space="preserve">5 </w:t>
      </w:r>
      <w:r w:rsidR="00716272" w:rsidRPr="005A307C">
        <w:rPr>
          <w:rFonts w:ascii="Times New Roman" w:hAnsi="Times New Roman"/>
        </w:rPr>
        <w:t xml:space="preserve">, Volodomyr </w:t>
      </w:r>
      <w:proofErr w:type="spellStart"/>
      <w:r w:rsidR="00716272" w:rsidRPr="005A307C">
        <w:rPr>
          <w:rFonts w:ascii="Times New Roman" w:hAnsi="Times New Roman"/>
        </w:rPr>
        <w:t>Vulkanov</w:t>
      </w:r>
      <w:proofErr w:type="spellEnd"/>
      <w:r w:rsidR="00716272" w:rsidRPr="005A307C">
        <w:rPr>
          <w:rFonts w:ascii="Times New Roman" w:hAnsi="Times New Roman"/>
        </w:rPr>
        <w:t xml:space="preserve"> MD</w:t>
      </w:r>
      <w:r w:rsidR="00716272" w:rsidRPr="005A307C">
        <w:rPr>
          <w:rFonts w:ascii="Times New Roman" w:hAnsi="Times New Roman"/>
          <w:vertAlign w:val="superscript"/>
        </w:rPr>
        <w:t>2</w:t>
      </w:r>
      <w:r w:rsidR="00716272" w:rsidRPr="005A307C">
        <w:rPr>
          <w:rFonts w:ascii="Times New Roman" w:hAnsi="Times New Roman"/>
        </w:rPr>
        <w:t>, Shashank Agarwal MD</w:t>
      </w:r>
      <w:r w:rsidR="00716272" w:rsidRPr="005A307C">
        <w:rPr>
          <w:rFonts w:ascii="Times New Roman" w:hAnsi="Times New Roman"/>
          <w:vertAlign w:val="superscript"/>
        </w:rPr>
        <w:t>3</w:t>
      </w:r>
      <w:r w:rsidR="00716272" w:rsidRPr="005A307C">
        <w:rPr>
          <w:rFonts w:ascii="Times New Roman" w:hAnsi="Times New Roman"/>
        </w:rPr>
        <w:t xml:space="preserve">, Amit </w:t>
      </w:r>
      <w:proofErr w:type="spellStart"/>
      <w:r w:rsidR="00716272" w:rsidRPr="005A307C">
        <w:rPr>
          <w:rFonts w:ascii="Times New Roman" w:hAnsi="Times New Roman"/>
        </w:rPr>
        <w:t>Khaneja</w:t>
      </w:r>
      <w:proofErr w:type="spellEnd"/>
      <w:r w:rsidR="00716272" w:rsidRPr="005A307C">
        <w:rPr>
          <w:rFonts w:ascii="Times New Roman" w:hAnsi="Times New Roman"/>
        </w:rPr>
        <w:t xml:space="preserve"> MD</w:t>
      </w:r>
      <w:r w:rsidR="00716272" w:rsidRPr="005A307C">
        <w:rPr>
          <w:rFonts w:ascii="Times New Roman" w:hAnsi="Times New Roman"/>
          <w:vertAlign w:val="superscript"/>
        </w:rPr>
        <w:t>4</w:t>
      </w:r>
      <w:r w:rsidR="00716272" w:rsidRPr="005A307C">
        <w:rPr>
          <w:rFonts w:ascii="Times New Roman" w:hAnsi="Times New Roman"/>
        </w:rPr>
        <w:t xml:space="preserve">, </w:t>
      </w:r>
      <w:proofErr w:type="spellStart"/>
      <w:r w:rsidR="00716272" w:rsidRPr="005A307C">
        <w:rPr>
          <w:rFonts w:ascii="Times New Roman" w:hAnsi="Times New Roman"/>
        </w:rPr>
        <w:t>Thambirajah</w:t>
      </w:r>
      <w:proofErr w:type="spellEnd"/>
      <w:r w:rsidR="00716272" w:rsidRPr="005A307C">
        <w:rPr>
          <w:rFonts w:ascii="Times New Roman" w:hAnsi="Times New Roman"/>
        </w:rPr>
        <w:t xml:space="preserve"> Nandakumar MD</w:t>
      </w:r>
      <w:r w:rsidR="00716272" w:rsidRPr="005A307C">
        <w:rPr>
          <w:rFonts w:ascii="Times New Roman" w:hAnsi="Times New Roman"/>
          <w:vertAlign w:val="superscript"/>
        </w:rPr>
        <w:t>4</w:t>
      </w:r>
      <w:r w:rsidR="00716272" w:rsidRPr="005A307C">
        <w:rPr>
          <w:rFonts w:ascii="Times New Roman" w:hAnsi="Times New Roman"/>
        </w:rPr>
        <w:t xml:space="preserve">, Jeremy </w:t>
      </w:r>
      <w:proofErr w:type="spellStart"/>
      <w:r w:rsidR="00716272" w:rsidRPr="005A307C">
        <w:rPr>
          <w:rFonts w:ascii="Times New Roman" w:hAnsi="Times New Roman"/>
        </w:rPr>
        <w:t>Liff</w:t>
      </w:r>
      <w:proofErr w:type="spellEnd"/>
      <w:r w:rsidR="00716272" w:rsidRPr="005A307C">
        <w:rPr>
          <w:rFonts w:ascii="Times New Roman" w:hAnsi="Times New Roman"/>
        </w:rPr>
        <w:t xml:space="preserve"> MD</w:t>
      </w:r>
      <w:r w:rsidR="00716272" w:rsidRPr="005A307C">
        <w:rPr>
          <w:rFonts w:ascii="Times New Roman" w:hAnsi="Times New Roman"/>
          <w:vertAlign w:val="superscript"/>
        </w:rPr>
        <w:t>1-4</w:t>
      </w:r>
      <w:r w:rsidR="00716272" w:rsidRPr="005A307C">
        <w:rPr>
          <w:rFonts w:ascii="Times New Roman" w:hAnsi="Times New Roman"/>
        </w:rPr>
        <w:t>, David Turkel-Parrella MD</w:t>
      </w:r>
      <w:r w:rsidR="00716272" w:rsidRPr="005A307C">
        <w:rPr>
          <w:rFonts w:ascii="Times New Roman" w:hAnsi="Times New Roman"/>
          <w:vertAlign w:val="superscript"/>
        </w:rPr>
        <w:t>1-</w:t>
      </w:r>
      <w:r>
        <w:rPr>
          <w:rFonts w:ascii="Times New Roman" w:hAnsi="Times New Roman"/>
          <w:vertAlign w:val="superscript"/>
        </w:rPr>
        <w:t>4</w:t>
      </w:r>
      <w:r w:rsidR="00716272" w:rsidRPr="005A307C">
        <w:rPr>
          <w:rFonts w:ascii="Times New Roman" w:hAnsi="Times New Roman"/>
        </w:rPr>
        <w:t>, Jeffrey Farkas MD</w:t>
      </w:r>
      <w:r w:rsidR="00716272" w:rsidRPr="005A307C">
        <w:rPr>
          <w:rFonts w:ascii="Times New Roman" w:hAnsi="Times New Roman"/>
          <w:vertAlign w:val="superscript"/>
        </w:rPr>
        <w:t>1-4</w:t>
      </w:r>
      <w:r w:rsidR="00716272" w:rsidRPr="005A307C">
        <w:rPr>
          <w:rFonts w:ascii="Times New Roman" w:hAnsi="Times New Roman"/>
        </w:rPr>
        <w:t>, Ting Zhou MD</w:t>
      </w:r>
      <w:r w:rsidR="00716272" w:rsidRPr="005A307C">
        <w:rPr>
          <w:rFonts w:ascii="Times New Roman" w:hAnsi="Times New Roman"/>
          <w:vertAlign w:val="superscript"/>
        </w:rPr>
        <w:t>3</w:t>
      </w:r>
      <w:r w:rsidR="00716272" w:rsidRPr="005A307C">
        <w:rPr>
          <w:rFonts w:ascii="Times New Roman" w:hAnsi="Times New Roman"/>
        </w:rPr>
        <w:t>, Jennifer A. Frontera MD</w:t>
      </w:r>
      <w:r w:rsidR="00716272" w:rsidRPr="005A307C">
        <w:rPr>
          <w:rFonts w:ascii="Times New Roman" w:hAnsi="Times New Roman"/>
          <w:vertAlign w:val="superscript"/>
        </w:rPr>
        <w:t>3</w:t>
      </w:r>
      <w:r w:rsidR="00716272" w:rsidRPr="005A307C">
        <w:rPr>
          <w:rFonts w:ascii="Times New Roman" w:hAnsi="Times New Roman"/>
        </w:rPr>
        <w:t>, David E. Kahn MD</w:t>
      </w:r>
      <w:r w:rsidR="00716272" w:rsidRPr="005A307C">
        <w:rPr>
          <w:rFonts w:ascii="Times New Roman" w:hAnsi="Times New Roman"/>
          <w:vertAlign w:val="superscript"/>
        </w:rPr>
        <w:t>3</w:t>
      </w:r>
      <w:r w:rsidR="00716272" w:rsidRPr="005A307C">
        <w:rPr>
          <w:rFonts w:ascii="Times New Roman" w:hAnsi="Times New Roman"/>
        </w:rPr>
        <w:t>, Sun Kim MD</w:t>
      </w:r>
      <w:r w:rsidR="00716272" w:rsidRPr="005A307C">
        <w:rPr>
          <w:rFonts w:ascii="Times New Roman" w:hAnsi="Times New Roman"/>
          <w:vertAlign w:val="superscript"/>
        </w:rPr>
        <w:t>3</w:t>
      </w:r>
      <w:r w:rsidR="00716272" w:rsidRPr="005A307C">
        <w:rPr>
          <w:rFonts w:ascii="Times New Roman" w:hAnsi="Times New Roman"/>
        </w:rPr>
        <w:t>, Kelley A. Humbert MD</w:t>
      </w:r>
      <w:r w:rsidR="00716272" w:rsidRPr="005A307C">
        <w:rPr>
          <w:rFonts w:ascii="Times New Roman" w:hAnsi="Times New Roman"/>
          <w:vertAlign w:val="superscript"/>
        </w:rPr>
        <w:t>3</w:t>
      </w:r>
      <w:r w:rsidR="00716272" w:rsidRPr="005A307C">
        <w:rPr>
          <w:rFonts w:ascii="Times New Roman" w:hAnsi="Times New Roman"/>
        </w:rPr>
        <w:t>, Matthew D. Sanger MD</w:t>
      </w:r>
      <w:r w:rsidR="00716272" w:rsidRPr="005A307C">
        <w:rPr>
          <w:rFonts w:ascii="Times New Roman" w:hAnsi="Times New Roman"/>
          <w:vertAlign w:val="superscript"/>
        </w:rPr>
        <w:t>3</w:t>
      </w:r>
      <w:r w:rsidR="00716272" w:rsidRPr="005A307C">
        <w:rPr>
          <w:rFonts w:ascii="Times New Roman" w:hAnsi="Times New Roman"/>
        </w:rPr>
        <w:t xml:space="preserve">, Shadi </w:t>
      </w:r>
      <w:proofErr w:type="spellStart"/>
      <w:r w:rsidR="00716272" w:rsidRPr="005A307C">
        <w:rPr>
          <w:rFonts w:ascii="Times New Roman" w:hAnsi="Times New Roman"/>
        </w:rPr>
        <w:t>Yaghi</w:t>
      </w:r>
      <w:proofErr w:type="spellEnd"/>
      <w:r w:rsidR="00716272" w:rsidRPr="005A307C">
        <w:rPr>
          <w:rFonts w:ascii="Times New Roman" w:hAnsi="Times New Roman"/>
        </w:rPr>
        <w:t xml:space="preserve"> MD</w:t>
      </w:r>
      <w:r w:rsidR="00716272" w:rsidRPr="005A307C">
        <w:rPr>
          <w:rFonts w:ascii="Times New Roman" w:hAnsi="Times New Roman"/>
          <w:vertAlign w:val="superscript"/>
        </w:rPr>
        <w:t>3</w:t>
      </w:r>
      <w:r w:rsidR="00716272" w:rsidRPr="005A307C">
        <w:rPr>
          <w:rFonts w:ascii="Times New Roman" w:hAnsi="Times New Roman"/>
        </w:rPr>
        <w:t>, Aaron S. Lord MD</w:t>
      </w:r>
      <w:r w:rsidR="00716272" w:rsidRPr="005A307C">
        <w:rPr>
          <w:rFonts w:ascii="Times New Roman" w:hAnsi="Times New Roman"/>
          <w:vertAlign w:val="superscript"/>
        </w:rPr>
        <w:t>3</w:t>
      </w:r>
      <w:r w:rsidR="00716272" w:rsidRPr="005A307C">
        <w:rPr>
          <w:rFonts w:ascii="Times New Roman" w:hAnsi="Times New Roman"/>
        </w:rPr>
        <w:t>, Karthikeyan M. Arcot MD</w:t>
      </w:r>
      <w:r w:rsidR="00716272" w:rsidRPr="005A307C">
        <w:rPr>
          <w:rFonts w:ascii="Times New Roman" w:hAnsi="Times New Roman"/>
          <w:vertAlign w:val="superscript"/>
        </w:rPr>
        <w:t>1-4</w:t>
      </w:r>
      <w:r w:rsidR="00716272" w:rsidRPr="005A307C">
        <w:rPr>
          <w:rFonts w:ascii="Times New Roman" w:hAnsi="Times New Roman"/>
        </w:rPr>
        <w:t xml:space="preserve">, </w:t>
      </w:r>
    </w:p>
    <w:p w14:paraId="5A35E596" w14:textId="04675698" w:rsidR="00716272" w:rsidRDefault="00716272" w:rsidP="00716272">
      <w:pPr>
        <w:spacing w:line="480" w:lineRule="auto"/>
        <w:jc w:val="center"/>
        <w:rPr>
          <w:rFonts w:ascii="Times New Roman" w:hAnsi="Times New Roman"/>
          <w:vertAlign w:val="superscript"/>
        </w:rPr>
      </w:pPr>
      <w:r w:rsidRPr="005A307C">
        <w:rPr>
          <w:rFonts w:ascii="Times New Roman" w:hAnsi="Times New Roman"/>
        </w:rPr>
        <w:t>Ambooj Tiwari MD MPH</w:t>
      </w:r>
      <w:r w:rsidRPr="005A307C">
        <w:rPr>
          <w:rFonts w:ascii="Times New Roman" w:hAnsi="Times New Roman"/>
          <w:vertAlign w:val="superscript"/>
        </w:rPr>
        <w:t>1-4</w:t>
      </w:r>
    </w:p>
    <w:p w14:paraId="0B71B63A" w14:textId="77777777" w:rsidR="00EF7959" w:rsidRPr="005A307C" w:rsidRDefault="00EF7959" w:rsidP="00716272">
      <w:pPr>
        <w:spacing w:line="480" w:lineRule="auto"/>
        <w:jc w:val="center"/>
        <w:rPr>
          <w:rFonts w:ascii="Times New Roman" w:hAnsi="Times New Roman"/>
        </w:rPr>
      </w:pPr>
    </w:p>
    <w:p w14:paraId="60B58A0D" w14:textId="77777777" w:rsidR="00716272" w:rsidRPr="005A307C" w:rsidRDefault="00716272" w:rsidP="00716272">
      <w:pPr>
        <w:spacing w:line="480" w:lineRule="auto"/>
        <w:rPr>
          <w:rFonts w:ascii="Times New Roman" w:hAnsi="Times New Roman"/>
        </w:rPr>
      </w:pPr>
      <w:r w:rsidRPr="005A307C">
        <w:rPr>
          <w:rFonts w:ascii="Times New Roman" w:hAnsi="Times New Roman"/>
        </w:rPr>
        <w:t>1. Interventional Neuro Associates, Greenvale, New York</w:t>
      </w:r>
    </w:p>
    <w:p w14:paraId="2F7DF768" w14:textId="77777777" w:rsidR="00716272" w:rsidRPr="005A307C" w:rsidRDefault="00716272" w:rsidP="00716272">
      <w:pPr>
        <w:spacing w:line="480" w:lineRule="auto"/>
        <w:rPr>
          <w:rFonts w:ascii="Times New Roman" w:hAnsi="Times New Roman"/>
        </w:rPr>
      </w:pPr>
      <w:r w:rsidRPr="005A307C">
        <w:rPr>
          <w:rFonts w:ascii="Times New Roman" w:hAnsi="Times New Roman"/>
        </w:rPr>
        <w:t>2. Brookdale University Hospital Medical Center, Brooklyn, NY</w:t>
      </w:r>
    </w:p>
    <w:p w14:paraId="0E890CBA" w14:textId="77777777" w:rsidR="00716272" w:rsidRPr="005A307C" w:rsidRDefault="00716272" w:rsidP="00716272">
      <w:pPr>
        <w:spacing w:line="480" w:lineRule="auto"/>
        <w:rPr>
          <w:rFonts w:ascii="Times New Roman" w:hAnsi="Times New Roman"/>
        </w:rPr>
      </w:pPr>
      <w:r w:rsidRPr="005A307C">
        <w:rPr>
          <w:rFonts w:ascii="Times New Roman" w:hAnsi="Times New Roman"/>
        </w:rPr>
        <w:t>3. New York University Langone Health Brooklyn, Brooklyn, NY</w:t>
      </w:r>
    </w:p>
    <w:p w14:paraId="3AB9FB09" w14:textId="77777777" w:rsidR="00716272" w:rsidRPr="005A307C" w:rsidRDefault="00716272" w:rsidP="00716272">
      <w:pPr>
        <w:spacing w:line="480" w:lineRule="auto"/>
        <w:rPr>
          <w:rFonts w:ascii="Times New Roman" w:hAnsi="Times New Roman"/>
        </w:rPr>
      </w:pPr>
      <w:r w:rsidRPr="005A307C">
        <w:rPr>
          <w:rFonts w:ascii="Times New Roman" w:hAnsi="Times New Roman"/>
        </w:rPr>
        <w:t>4. Jamaica Hospital Medical Center, Queens, NY</w:t>
      </w:r>
    </w:p>
    <w:p w14:paraId="0BE05C58" w14:textId="77777777" w:rsidR="00716272" w:rsidRPr="005A307C" w:rsidRDefault="00716272" w:rsidP="00716272">
      <w:pPr>
        <w:spacing w:line="480" w:lineRule="auto"/>
        <w:rPr>
          <w:rFonts w:ascii="Times New Roman" w:hAnsi="Times New Roman"/>
        </w:rPr>
      </w:pPr>
      <w:r w:rsidRPr="005A307C">
        <w:rPr>
          <w:rFonts w:ascii="Times New Roman" w:hAnsi="Times New Roman"/>
        </w:rPr>
        <w:t>5. Department of Medical Imaging, University of Toronto; Toronto, ON</w:t>
      </w:r>
    </w:p>
    <w:p w14:paraId="394347CD" w14:textId="77777777" w:rsidR="00716272" w:rsidRPr="005A307C" w:rsidRDefault="00716272" w:rsidP="00716272">
      <w:pPr>
        <w:spacing w:line="480" w:lineRule="auto"/>
        <w:rPr>
          <w:rFonts w:ascii="Times New Roman" w:eastAsia="Garamond" w:hAnsi="Times New Roman"/>
        </w:rPr>
      </w:pPr>
    </w:p>
    <w:p w14:paraId="65266746" w14:textId="77777777" w:rsidR="00716272" w:rsidRPr="005A307C" w:rsidRDefault="00716272" w:rsidP="00716272">
      <w:pPr>
        <w:spacing w:line="480" w:lineRule="auto"/>
        <w:rPr>
          <w:rFonts w:ascii="Times New Roman" w:eastAsia="Garamond" w:hAnsi="Times New Roman"/>
        </w:rPr>
      </w:pPr>
      <w:r w:rsidRPr="005A307C">
        <w:rPr>
          <w:rFonts w:ascii="Times New Roman" w:eastAsia="Garamond" w:hAnsi="Times New Roman"/>
        </w:rPr>
        <w:t xml:space="preserve">Keywords: COVID-19; </w:t>
      </w:r>
      <w:r>
        <w:rPr>
          <w:rFonts w:ascii="Times New Roman" w:eastAsia="Garamond" w:hAnsi="Times New Roman"/>
        </w:rPr>
        <w:t>a</w:t>
      </w:r>
      <w:r w:rsidRPr="005A307C">
        <w:rPr>
          <w:rFonts w:ascii="Times New Roman" w:eastAsia="Garamond" w:hAnsi="Times New Roman"/>
        </w:rPr>
        <w:t xml:space="preserve">cute ischemic stroke; </w:t>
      </w:r>
      <w:r>
        <w:rPr>
          <w:rFonts w:ascii="Times New Roman" w:eastAsia="Garamond" w:hAnsi="Times New Roman"/>
        </w:rPr>
        <w:t>e</w:t>
      </w:r>
      <w:r w:rsidRPr="005A307C">
        <w:rPr>
          <w:rFonts w:ascii="Times New Roman" w:eastAsia="Garamond" w:hAnsi="Times New Roman"/>
        </w:rPr>
        <w:t xml:space="preserve">mergent large vessel occlusion, </w:t>
      </w:r>
      <w:r>
        <w:rPr>
          <w:rFonts w:ascii="Times New Roman" w:eastAsia="Garamond" w:hAnsi="Times New Roman"/>
        </w:rPr>
        <w:t>t</w:t>
      </w:r>
      <w:r w:rsidRPr="005A307C">
        <w:rPr>
          <w:rFonts w:ascii="Times New Roman" w:eastAsia="Garamond" w:hAnsi="Times New Roman"/>
        </w:rPr>
        <w:t>hrombectomy</w:t>
      </w:r>
    </w:p>
    <w:p w14:paraId="5734543D" w14:textId="77777777" w:rsidR="00EF7959" w:rsidRDefault="00EF7959" w:rsidP="00716272">
      <w:pPr>
        <w:spacing w:line="360" w:lineRule="auto"/>
        <w:rPr>
          <w:rFonts w:ascii="Times New Roman" w:hAnsi="Times New Roman"/>
        </w:rPr>
      </w:pPr>
    </w:p>
    <w:p w14:paraId="67C19116" w14:textId="77777777" w:rsidR="00716272" w:rsidRPr="005A307C" w:rsidRDefault="00716272" w:rsidP="00716272">
      <w:pPr>
        <w:spacing w:line="360" w:lineRule="auto"/>
        <w:rPr>
          <w:rFonts w:ascii="Times New Roman" w:hAnsi="Times New Roman"/>
        </w:rPr>
      </w:pPr>
      <w:r w:rsidRPr="005A307C">
        <w:rPr>
          <w:rFonts w:ascii="Times New Roman" w:hAnsi="Times New Roman"/>
        </w:rPr>
        <w:t>Corresponding Author:</w:t>
      </w:r>
    </w:p>
    <w:p w14:paraId="07E7DAA1" w14:textId="77777777" w:rsidR="00716272" w:rsidRPr="005A307C" w:rsidRDefault="00716272" w:rsidP="00716272">
      <w:pPr>
        <w:spacing w:line="360" w:lineRule="auto"/>
        <w:rPr>
          <w:rFonts w:ascii="Times New Roman" w:hAnsi="Times New Roman"/>
        </w:rPr>
      </w:pPr>
      <w:r w:rsidRPr="005A307C">
        <w:rPr>
          <w:rFonts w:ascii="Times New Roman" w:hAnsi="Times New Roman"/>
        </w:rPr>
        <w:t>Ambooj Tiwari MD MPH</w:t>
      </w:r>
    </w:p>
    <w:p w14:paraId="64BAF999" w14:textId="77777777" w:rsidR="00716272" w:rsidRPr="005A307C" w:rsidRDefault="00716272" w:rsidP="00716272">
      <w:pPr>
        <w:spacing w:line="360" w:lineRule="auto"/>
        <w:rPr>
          <w:rFonts w:ascii="Times New Roman" w:hAnsi="Times New Roman"/>
        </w:rPr>
      </w:pPr>
      <w:r w:rsidRPr="005A307C">
        <w:rPr>
          <w:rFonts w:ascii="Times New Roman" w:hAnsi="Times New Roman"/>
        </w:rPr>
        <w:t>Interventional Neuro Associates</w:t>
      </w:r>
    </w:p>
    <w:p w14:paraId="74065BBD" w14:textId="77777777" w:rsidR="00716272" w:rsidRPr="005A307C" w:rsidRDefault="00716272" w:rsidP="00716272">
      <w:pPr>
        <w:spacing w:line="360" w:lineRule="auto"/>
        <w:rPr>
          <w:rFonts w:ascii="Times New Roman" w:hAnsi="Times New Roman"/>
        </w:rPr>
      </w:pPr>
      <w:r w:rsidRPr="005A307C">
        <w:rPr>
          <w:rFonts w:ascii="Times New Roman" w:hAnsi="Times New Roman"/>
        </w:rPr>
        <w:t>207-2200 Northern Boulevard</w:t>
      </w:r>
    </w:p>
    <w:p w14:paraId="32FA56D9" w14:textId="77777777" w:rsidR="00716272" w:rsidRPr="005A307C" w:rsidRDefault="00716272" w:rsidP="00716272">
      <w:pPr>
        <w:spacing w:line="360" w:lineRule="auto"/>
        <w:rPr>
          <w:rFonts w:ascii="Times New Roman" w:hAnsi="Times New Roman"/>
        </w:rPr>
      </w:pPr>
      <w:r w:rsidRPr="005A307C">
        <w:rPr>
          <w:rFonts w:ascii="Times New Roman" w:hAnsi="Times New Roman"/>
        </w:rPr>
        <w:t>Greenvale, NY-11548</w:t>
      </w:r>
    </w:p>
    <w:p w14:paraId="48E29FF8" w14:textId="77777777" w:rsidR="00716272" w:rsidRPr="005A307C" w:rsidRDefault="00716272" w:rsidP="00716272">
      <w:pPr>
        <w:spacing w:line="360" w:lineRule="auto"/>
        <w:rPr>
          <w:rFonts w:ascii="Times New Roman" w:hAnsi="Times New Roman"/>
        </w:rPr>
      </w:pPr>
      <w:r w:rsidRPr="005A307C">
        <w:rPr>
          <w:rFonts w:ascii="Times New Roman" w:hAnsi="Times New Roman"/>
        </w:rPr>
        <w:t>Email: amboojtiwari@gmail.com</w:t>
      </w:r>
    </w:p>
    <w:p w14:paraId="391FBE77" w14:textId="77777777" w:rsidR="00716272" w:rsidRPr="005A307C" w:rsidRDefault="00716272" w:rsidP="00716272">
      <w:pPr>
        <w:spacing w:line="360" w:lineRule="auto"/>
        <w:rPr>
          <w:rFonts w:ascii="Times New Roman" w:hAnsi="Times New Roman"/>
        </w:rPr>
      </w:pPr>
      <w:r w:rsidRPr="005A307C">
        <w:rPr>
          <w:rFonts w:ascii="Times New Roman" w:hAnsi="Times New Roman"/>
        </w:rPr>
        <w:t>Tel: +1 (516) 466-1029</w:t>
      </w:r>
    </w:p>
    <w:bookmarkEnd w:id="0"/>
    <w:p w14:paraId="179DE345" w14:textId="77777777" w:rsidR="00C616E7" w:rsidRPr="00946C91" w:rsidRDefault="00C616E7" w:rsidP="00C616E7">
      <w:pPr>
        <w:spacing w:line="480" w:lineRule="auto"/>
        <w:rPr>
          <w:rFonts w:ascii="Times New Roman" w:hAnsi="Times New Roman"/>
          <w:b/>
          <w:bCs/>
        </w:rPr>
      </w:pPr>
      <w:r w:rsidRPr="00946C91">
        <w:rPr>
          <w:rFonts w:ascii="Times New Roman" w:eastAsia="Garamond" w:hAnsi="Times New Roman"/>
          <w:b/>
          <w:bCs/>
        </w:rPr>
        <w:lastRenderedPageBreak/>
        <w:t>Abstract</w:t>
      </w:r>
    </w:p>
    <w:p w14:paraId="1F249F4A" w14:textId="77777777" w:rsidR="00C616E7" w:rsidRPr="006A3DA0" w:rsidRDefault="00C616E7" w:rsidP="00C616E7">
      <w:pPr>
        <w:spacing w:line="480" w:lineRule="auto"/>
        <w:rPr>
          <w:rFonts w:ascii="Times New Roman" w:eastAsia="Garamond" w:hAnsi="Times New Roman"/>
        </w:rPr>
      </w:pPr>
    </w:p>
    <w:p w14:paraId="5AFFAFD3"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Objective: </w:t>
      </w:r>
    </w:p>
    <w:p w14:paraId="1E09189B"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To describe the ischemic stroke </w:t>
      </w:r>
      <w:r>
        <w:rPr>
          <w:rFonts w:ascii="Times New Roman" w:eastAsia="Garamond" w:hAnsi="Times New Roman"/>
        </w:rPr>
        <w:t xml:space="preserve">subtypes </w:t>
      </w:r>
      <w:r w:rsidRPr="006A3DA0">
        <w:rPr>
          <w:rFonts w:ascii="Times New Roman" w:eastAsia="Garamond" w:hAnsi="Times New Roman"/>
        </w:rPr>
        <w:t>related to COVID-19 in a cohort of NYC hospitals</w:t>
      </w:r>
      <w:r>
        <w:rPr>
          <w:rFonts w:ascii="Times New Roman" w:eastAsia="Garamond" w:hAnsi="Times New Roman"/>
        </w:rPr>
        <w:t xml:space="preserve"> and explore their </w:t>
      </w:r>
      <w:r w:rsidRPr="006A3DA0">
        <w:rPr>
          <w:rFonts w:ascii="Times New Roman" w:eastAsia="Garamond" w:hAnsi="Times New Roman"/>
        </w:rPr>
        <w:t xml:space="preserve">etiopathogenesis. </w:t>
      </w:r>
    </w:p>
    <w:p w14:paraId="5E01BBD0" w14:textId="77777777" w:rsidR="00C616E7" w:rsidRPr="006A3DA0" w:rsidRDefault="00C616E7" w:rsidP="00C616E7">
      <w:pPr>
        <w:spacing w:line="480" w:lineRule="auto"/>
        <w:rPr>
          <w:rFonts w:ascii="Times New Roman" w:eastAsia="Garamond" w:hAnsi="Times New Roman"/>
        </w:rPr>
      </w:pPr>
    </w:p>
    <w:p w14:paraId="038EFBAC"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Background: </w:t>
      </w:r>
    </w:p>
    <w:p w14:paraId="1F59B88C" w14:textId="77777777" w:rsidR="00C616E7" w:rsidRPr="006A3DA0" w:rsidRDefault="00C616E7" w:rsidP="00C616E7">
      <w:pPr>
        <w:spacing w:line="480" w:lineRule="auto"/>
        <w:rPr>
          <w:rFonts w:ascii="Times New Roman" w:eastAsia="Garamond" w:hAnsi="Times New Roman"/>
        </w:rPr>
      </w:pPr>
      <w:r w:rsidRPr="006A3DA0">
        <w:rPr>
          <w:rFonts w:ascii="Times New Roman" w:eastAsia="Garamond" w:hAnsi="Times New Roman"/>
        </w:rPr>
        <w:t xml:space="preserve">Extra-pulmonary involvement of COVID-19 has been reported in the hepatic, renal and hematological systems. Most neurological manifestations are non-focal, but few have reported the characteristics of ischemic strokes or investigated its pathophysiology. </w:t>
      </w:r>
    </w:p>
    <w:p w14:paraId="50099C23" w14:textId="77777777" w:rsidR="00C616E7" w:rsidRPr="006A3DA0" w:rsidRDefault="00C616E7" w:rsidP="00C616E7">
      <w:pPr>
        <w:spacing w:line="480" w:lineRule="auto"/>
        <w:rPr>
          <w:rFonts w:ascii="Times New Roman" w:hAnsi="Times New Roman"/>
        </w:rPr>
      </w:pPr>
    </w:p>
    <w:p w14:paraId="1BB7DD48"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Methods: </w:t>
      </w:r>
    </w:p>
    <w:p w14:paraId="77B0E294" w14:textId="77777777" w:rsidR="00C616E7" w:rsidRDefault="00C616E7" w:rsidP="00C616E7">
      <w:pPr>
        <w:spacing w:line="480" w:lineRule="auto"/>
        <w:rPr>
          <w:rFonts w:ascii="Times New Roman" w:eastAsia="Garamond" w:hAnsi="Times New Roman"/>
        </w:rPr>
      </w:pPr>
      <w:r>
        <w:rPr>
          <w:rFonts w:ascii="Times New Roman" w:eastAsia="Garamond" w:hAnsi="Times New Roman"/>
        </w:rPr>
        <w:t>Data were collected prospectively from March 15 to April 15, 2020 from f</w:t>
      </w:r>
      <w:r w:rsidRPr="006A3DA0">
        <w:rPr>
          <w:rFonts w:ascii="Times New Roman" w:eastAsia="Garamond" w:hAnsi="Times New Roman"/>
        </w:rPr>
        <w:t>our centers in New York City to review possible ischemic stroke types seen in COVID-19 positive patients.</w:t>
      </w:r>
      <w:r>
        <w:rPr>
          <w:rFonts w:ascii="Times New Roman" w:eastAsia="Garamond" w:hAnsi="Times New Roman"/>
        </w:rPr>
        <w:t xml:space="preserve"> Patient</w:t>
      </w:r>
      <w:r w:rsidRPr="006A3DA0">
        <w:rPr>
          <w:rFonts w:ascii="Times New Roman" w:eastAsia="Garamond" w:hAnsi="Times New Roman"/>
        </w:rPr>
        <w:t xml:space="preserve"> presentation, demographics, other related vascular risk factors, associated laboratory and coagulation markers, as well as imaging and outcomes </w:t>
      </w:r>
      <w:r>
        <w:rPr>
          <w:rFonts w:ascii="Times New Roman" w:eastAsia="Garamond" w:hAnsi="Times New Roman"/>
        </w:rPr>
        <w:t>for c</w:t>
      </w:r>
      <w:r w:rsidRPr="00291D03">
        <w:rPr>
          <w:rFonts w:ascii="Times New Roman" w:eastAsia="Garamond" w:hAnsi="Times New Roman"/>
        </w:rPr>
        <w:t xml:space="preserve">onsecutive stroke patients positive for </w:t>
      </w:r>
      <w:r w:rsidRPr="00291D03">
        <w:rPr>
          <w:rFonts w:ascii="Times New Roman" w:hAnsi="Times New Roman"/>
        </w:rPr>
        <w:t>SARS-COV2 infection over the period studied</w:t>
      </w:r>
      <w:r>
        <w:rPr>
          <w:rFonts w:ascii="Times New Roman" w:hAnsi="Times New Roman"/>
        </w:rPr>
        <w:t xml:space="preserve"> </w:t>
      </w:r>
      <w:r w:rsidRPr="006A3DA0">
        <w:rPr>
          <w:rFonts w:ascii="Times New Roman" w:eastAsia="Garamond" w:hAnsi="Times New Roman"/>
        </w:rPr>
        <w:t>were collected.</w:t>
      </w:r>
    </w:p>
    <w:p w14:paraId="57F13649" w14:textId="77777777" w:rsidR="00C616E7" w:rsidRPr="006A3DA0" w:rsidRDefault="00C616E7" w:rsidP="00C616E7">
      <w:pPr>
        <w:spacing w:line="480" w:lineRule="auto"/>
        <w:rPr>
          <w:rFonts w:ascii="Times New Roman" w:eastAsia="Garamond" w:hAnsi="Times New Roman"/>
        </w:rPr>
      </w:pPr>
    </w:p>
    <w:p w14:paraId="5BBC655C"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Results: </w:t>
      </w:r>
    </w:p>
    <w:p w14:paraId="65896844"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In our study, </w:t>
      </w:r>
      <w:r>
        <w:rPr>
          <w:rFonts w:ascii="Times New Roman" w:eastAsia="Garamond" w:hAnsi="Times New Roman"/>
        </w:rPr>
        <w:t xml:space="preserve">the </w:t>
      </w:r>
      <w:r w:rsidRPr="006A3DA0">
        <w:rPr>
          <w:rFonts w:ascii="Times New Roman" w:eastAsia="Garamond" w:hAnsi="Times New Roman"/>
        </w:rPr>
        <w:t>age range of patients was 25-75 with no significant male preponderance.</w:t>
      </w:r>
      <w:r>
        <w:rPr>
          <w:rFonts w:ascii="Times New Roman" w:eastAsia="Garamond" w:hAnsi="Times New Roman"/>
        </w:rPr>
        <w:t xml:space="preserve"> The median age of LVO patients was 48.</w:t>
      </w:r>
      <w:r w:rsidRPr="006A3DA0">
        <w:rPr>
          <w:rFonts w:ascii="Times New Roman" w:eastAsia="Garamond" w:hAnsi="Times New Roman"/>
        </w:rPr>
        <w:t xml:space="preserve"> </w:t>
      </w:r>
      <w:r>
        <w:rPr>
          <w:rFonts w:ascii="Times New Roman" w:eastAsia="Garamond" w:hAnsi="Times New Roman"/>
        </w:rPr>
        <w:t>S</w:t>
      </w:r>
      <w:r w:rsidRPr="006A3DA0">
        <w:rPr>
          <w:rFonts w:ascii="Times New Roman" w:eastAsia="Garamond" w:hAnsi="Times New Roman"/>
        </w:rPr>
        <w:t>troke</w:t>
      </w:r>
      <w:r>
        <w:rPr>
          <w:rFonts w:ascii="Times New Roman" w:eastAsia="Garamond" w:hAnsi="Times New Roman"/>
        </w:rPr>
        <w:t xml:space="preserve"> was the presenting and hospitalizing event in 70%</w:t>
      </w:r>
      <w:r w:rsidRPr="006A3DA0">
        <w:rPr>
          <w:rFonts w:ascii="Times New Roman" w:eastAsia="Garamond" w:hAnsi="Times New Roman"/>
        </w:rPr>
        <w:t xml:space="preserve">. </w:t>
      </w:r>
      <w:r>
        <w:rPr>
          <w:rFonts w:ascii="Times New Roman" w:eastAsia="Garamond" w:hAnsi="Times New Roman"/>
        </w:rPr>
        <w:t>One fifth of patients</w:t>
      </w:r>
      <w:r w:rsidRPr="006A3DA0">
        <w:rPr>
          <w:rFonts w:ascii="Times New Roman" w:eastAsia="Garamond" w:hAnsi="Times New Roman"/>
        </w:rPr>
        <w:t xml:space="preserve"> did not have common risk factors for ischemic stroke </w:t>
      </w:r>
      <w:r>
        <w:rPr>
          <w:rFonts w:ascii="Times New Roman" w:eastAsia="Garamond" w:hAnsi="Times New Roman"/>
        </w:rPr>
        <w:t>and none</w:t>
      </w:r>
      <w:r w:rsidRPr="006A3DA0">
        <w:rPr>
          <w:rFonts w:ascii="Times New Roman" w:eastAsia="Garamond" w:hAnsi="Times New Roman"/>
        </w:rPr>
        <w:t xml:space="preserve"> had atrial fibrillation</w:t>
      </w:r>
      <w:r>
        <w:rPr>
          <w:rFonts w:ascii="Times New Roman" w:eastAsia="Garamond" w:hAnsi="Times New Roman"/>
        </w:rPr>
        <w:t xml:space="preserve">, coronary or cerebrovascular disease, </w:t>
      </w:r>
      <w:r w:rsidRPr="006A3DA0">
        <w:rPr>
          <w:rFonts w:ascii="Times New Roman" w:eastAsia="Garamond" w:hAnsi="Times New Roman"/>
        </w:rPr>
        <w:t xml:space="preserve">or </w:t>
      </w:r>
      <w:r>
        <w:rPr>
          <w:rFonts w:ascii="Times New Roman" w:eastAsia="Garamond" w:hAnsi="Times New Roman"/>
        </w:rPr>
        <w:t>were smokers</w:t>
      </w:r>
      <w:r w:rsidRPr="006A3DA0">
        <w:rPr>
          <w:rFonts w:ascii="Times New Roman" w:eastAsia="Garamond" w:hAnsi="Times New Roman"/>
        </w:rPr>
        <w:t xml:space="preserve">. </w:t>
      </w:r>
      <w:r>
        <w:rPr>
          <w:rFonts w:ascii="Times New Roman" w:eastAsia="Garamond" w:hAnsi="Times New Roman"/>
        </w:rPr>
        <w:t>Half</w:t>
      </w:r>
      <w:r w:rsidRPr="006A3DA0">
        <w:rPr>
          <w:rFonts w:ascii="Times New Roman" w:eastAsia="Garamond" w:hAnsi="Times New Roman"/>
        </w:rPr>
        <w:t xml:space="preserve"> had </w:t>
      </w:r>
      <w:r>
        <w:rPr>
          <w:rFonts w:ascii="Times New Roman" w:eastAsia="Garamond" w:hAnsi="Times New Roman"/>
        </w:rPr>
        <w:t xml:space="preserve">a </w:t>
      </w:r>
      <w:r w:rsidRPr="006A3DA0">
        <w:rPr>
          <w:rFonts w:ascii="Times New Roman" w:eastAsia="Garamond" w:hAnsi="Times New Roman"/>
        </w:rPr>
        <w:t xml:space="preserve">poor outcome with </w:t>
      </w:r>
      <w:r>
        <w:rPr>
          <w:rFonts w:ascii="Times New Roman" w:eastAsia="Garamond" w:hAnsi="Times New Roman"/>
        </w:rPr>
        <w:lastRenderedPageBreak/>
        <w:t>40%</w:t>
      </w:r>
      <w:r w:rsidRPr="006A3DA0">
        <w:rPr>
          <w:rFonts w:ascii="Times New Roman" w:eastAsia="Garamond" w:hAnsi="Times New Roman"/>
        </w:rPr>
        <w:t xml:space="preserve"> ending in mortality</w:t>
      </w:r>
      <w:r>
        <w:rPr>
          <w:rFonts w:ascii="Times New Roman" w:eastAsia="Garamond" w:hAnsi="Times New Roman"/>
        </w:rPr>
        <w:t xml:space="preserve"> (60% in LVO group)</w:t>
      </w:r>
      <w:r w:rsidRPr="006A3DA0">
        <w:rPr>
          <w:rFonts w:ascii="Times New Roman" w:eastAsia="Garamond" w:hAnsi="Times New Roman"/>
        </w:rPr>
        <w:t xml:space="preserve"> and one in a critical condition due ARDS. All had high </w:t>
      </w:r>
      <w:r>
        <w:rPr>
          <w:rFonts w:ascii="Times New Roman" w:eastAsia="Garamond" w:hAnsi="Times New Roman"/>
        </w:rPr>
        <w:t>n</w:t>
      </w:r>
      <w:r w:rsidRPr="006A3DA0">
        <w:rPr>
          <w:rFonts w:ascii="Times New Roman" w:eastAsia="Garamond" w:hAnsi="Times New Roman"/>
        </w:rPr>
        <w:t>eutrophil/</w:t>
      </w:r>
      <w:r>
        <w:rPr>
          <w:rFonts w:ascii="Times New Roman" w:eastAsia="Garamond" w:hAnsi="Times New Roman"/>
        </w:rPr>
        <w:t>l</w:t>
      </w:r>
      <w:r w:rsidRPr="006A3DA0">
        <w:rPr>
          <w:rFonts w:ascii="Times New Roman" w:eastAsia="Garamond" w:hAnsi="Times New Roman"/>
        </w:rPr>
        <w:t>ymphocyte ratio except one who demonstrated some neurological recovery. D-dimer levels showed mild to severe elevation</w:t>
      </w:r>
      <w:r>
        <w:rPr>
          <w:rFonts w:ascii="Times New Roman" w:eastAsia="Garamond" w:hAnsi="Times New Roman"/>
        </w:rPr>
        <w:t xml:space="preserve"> when collected</w:t>
      </w:r>
      <w:r w:rsidRPr="006A3DA0">
        <w:rPr>
          <w:rFonts w:ascii="Times New Roman" w:eastAsia="Garamond" w:hAnsi="Times New Roman"/>
        </w:rPr>
        <w:t xml:space="preserve">. None of the </w:t>
      </w:r>
      <w:r>
        <w:rPr>
          <w:rFonts w:ascii="Times New Roman" w:eastAsia="Garamond" w:hAnsi="Times New Roman"/>
        </w:rPr>
        <w:t>LVO</w:t>
      </w:r>
      <w:r w:rsidRPr="006A3DA0">
        <w:rPr>
          <w:rFonts w:ascii="Times New Roman" w:eastAsia="Garamond" w:hAnsi="Times New Roman"/>
        </w:rPr>
        <w:t xml:space="preserve"> cases had known cardiac risk factors but two out of five were found to have cardiac abnormalities during their hospitalization. All LVOs had hypercoagulable lab markers especially elevated D-dimer and/or </w:t>
      </w:r>
      <w:r>
        <w:rPr>
          <w:rFonts w:ascii="Times New Roman" w:eastAsia="Garamond" w:hAnsi="Times New Roman"/>
        </w:rPr>
        <w:t>f</w:t>
      </w:r>
      <w:r w:rsidRPr="006A3DA0">
        <w:rPr>
          <w:rFonts w:ascii="Times New Roman" w:eastAsia="Garamond" w:hAnsi="Times New Roman"/>
        </w:rPr>
        <w:t xml:space="preserve">ibrinogen. The LVO patients were younger and sicker with a median age of 46 and mean NIHSS of 24 as opposed to non-LVOs with a median age of 62 and mean NIHSS of 6 respectively. </w:t>
      </w:r>
    </w:p>
    <w:p w14:paraId="6371DD7B" w14:textId="77777777" w:rsidR="00C616E7" w:rsidRPr="006A3DA0" w:rsidRDefault="00C616E7" w:rsidP="00C616E7">
      <w:pPr>
        <w:spacing w:line="480" w:lineRule="auto"/>
        <w:rPr>
          <w:rFonts w:ascii="Times New Roman" w:eastAsia="Garamond" w:hAnsi="Times New Roman"/>
        </w:rPr>
      </w:pPr>
    </w:p>
    <w:p w14:paraId="224A9D4A"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Conclusion: </w:t>
      </w:r>
    </w:p>
    <w:p w14:paraId="2380DF0D"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COVID-19 related ischemic events can be small vessel, branch emboli or large vessel occlusions. The latter is often associated with either a hypercoagulable state or cardio-embolism. Patient outcomes were worse when multi-organ or pulmonary system failure prevailed.</w:t>
      </w:r>
    </w:p>
    <w:p w14:paraId="21F9ADEC" w14:textId="77777777" w:rsidR="00C616E7" w:rsidRPr="006A3DA0" w:rsidRDefault="00C616E7" w:rsidP="00C616E7">
      <w:pPr>
        <w:spacing w:line="480" w:lineRule="auto"/>
        <w:rPr>
          <w:rFonts w:ascii="Times New Roman" w:eastAsia="Garamond" w:hAnsi="Times New Roman"/>
        </w:rPr>
      </w:pPr>
    </w:p>
    <w:p w14:paraId="0291F30E" w14:textId="77777777" w:rsidR="00C616E7" w:rsidRPr="006A3DA0" w:rsidRDefault="00C616E7" w:rsidP="00C616E7">
      <w:pPr>
        <w:spacing w:line="480" w:lineRule="auto"/>
        <w:rPr>
          <w:rFonts w:ascii="Times New Roman" w:hAnsi="Times New Roman"/>
        </w:rPr>
      </w:pPr>
      <w:r w:rsidRPr="006A3DA0">
        <w:rPr>
          <w:rFonts w:ascii="Times New Roman" w:hAnsi="Times New Roman"/>
        </w:rPr>
        <w:br w:type="page"/>
      </w:r>
    </w:p>
    <w:p w14:paraId="34261C08" w14:textId="77777777" w:rsidR="00C616E7" w:rsidRPr="00946C91" w:rsidRDefault="00C616E7" w:rsidP="00C616E7">
      <w:pPr>
        <w:spacing w:line="480" w:lineRule="auto"/>
        <w:rPr>
          <w:rFonts w:ascii="Times New Roman" w:hAnsi="Times New Roman"/>
          <w:b/>
          <w:bCs/>
        </w:rPr>
      </w:pPr>
      <w:r w:rsidRPr="00946C91">
        <w:rPr>
          <w:rFonts w:ascii="Times New Roman" w:hAnsi="Times New Roman"/>
          <w:b/>
          <w:bCs/>
        </w:rPr>
        <w:lastRenderedPageBreak/>
        <w:t>Introduction</w:t>
      </w:r>
    </w:p>
    <w:p w14:paraId="350E1E60" w14:textId="77777777" w:rsidR="00C616E7" w:rsidRPr="006A3DA0" w:rsidRDefault="00C616E7" w:rsidP="00C616E7">
      <w:pPr>
        <w:spacing w:line="480" w:lineRule="auto"/>
        <w:rPr>
          <w:rFonts w:ascii="Times New Roman" w:hAnsi="Times New Roman"/>
        </w:rPr>
      </w:pPr>
    </w:p>
    <w:p w14:paraId="79B00D95"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The novel Coronavirus outbreak came to the fore in December 2019. Several features have been common manifestations of this disease: a primarily lower respiratory tract illness, a severe form that is more common in people with underlying diseases and higher mortality/case fatality in older populations</w:t>
      </w:r>
      <w:r w:rsidRPr="006A3DA0">
        <w:rPr>
          <w:rFonts w:ascii="Times New Roman" w:hAnsi="Times New Roman"/>
        </w:rPr>
        <w:t xml:space="preserve">. </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{"citationItems":[{"id":"ITEM-1","itemData":{"DOI":"10.1001/jama.2020.0757","ISSN":"15383598","author":[{"dropping-particle":"","family":"Paules","given":"Catharine I.","non-dropping-particle":"","parse-names":false,"suffix":""},{"dropping-particle":"","family":"Marston","given":"Hilary D.","non-dropping-particle":"","parse-names":false,"suffix":""},{"dropping-particle":"","family":"Fauci","given":"Anthony S.","non-dropping-particle":"","parse-names":false,"suffix":""}],"container-title":"JAMA - Journal of the American Medical Association","id":"ITEM-1","issued":{"date-parts":[["2020"]]},"title":"Coronavirus Infections-More Than Just the Common Cold","type":"article"},"uris":["http://www.mendeley.com/documents/?uuid=a570183f-3c74-41aa-a739-1326e3e41246"]},{"id":"ITEM-2","itemData":{"DOI":"10.1016/S0140-6736(20)30185-9","ISSN":"1474547X","PMID":"31986257","author":[{"dropping-particle":"","family":"Wang","given":"Chen","non-dropping-particle":"","parse-names":false,"suffix":""},{"dropping-particle":"","family":"Horby","given":"Peter W.","non-dropping-particle":"","parse-names":false,"suffix":""},{"dropping-particle":"","family":"Hayden","given":"Frederick G.","non-dropping-particle":"","parse-names":false,"suffix":""},{"dropping-particle":"","family":"Gao","given":"George F.","non-dropping-particle":"","parse-names":false,"suffix":""}],"container-title":"The Lancet","id":"ITEM-2","issued":{"date-parts":[["2020"]]},"title":"A novel coronavirus outbreak of global health concern","type":"article"},"uris":["http://www.mendeley.com/documents/?uuid=38cd8d34-d860-4c67-9612-8acb59b30063"]},{"id":"ITEM-3","itemData":{"DOI":"10.1016/S0140-6736(20)30183-5","ISSN":"1474547X","PMID":"31986264","abstract":"Background: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Lancet","id":"ITEM-3","issued":{"date-parts":[["2020"]]},"title":"Clinical features of patients infected with 2019 novel coronavirus in Wuhan, China","type":"article-journal"},"uris":["http://www.mendeley.com/documents/?uuid=90716435-d990-4116-b40a-d150f7a3fc9c"]},{"id":"ITEM-4","itemData":{"DOI":"10.1016/j.cger.2010.02.002","ISSN":"07490690","abstract":"No clear consensual definition regarding frailty seems to emerge from the literature after 30 years of research in the topic, and a large array of models and criteria has been proposed to define the syndrome. Controversy continues to exist on the choice of the components to be included in the frailty definition. Two main definitions based on clusters of components are found in literature: a physical phenotype of frailty, operationalized in 2001 by providing a list of 5 measurable items of functional impairments, which coexists with a multidomain phenotype, based on a frailty index constructed on the accumulation of identified deficits based on comprehensive geriatric assessment. The physical phenotype considers disability and comorbidities such as dementia as distinct entities and therefore outcomes of the frailty syndrome, whereas comorbidity and disability can be components of the multidomain phenotype. Expanded models of physical frailty (models that included clusters other than the original 5 items such as dementia) increased considerably the predicting capacity of poor clinical outcomes when compared with the predictive capacity of the physical phenotype. The unresolved controversy of the components shapes the clusters of original frailty syndrome, and the components depend very much on how frailty is defined. This update also highlights the growing evidence on gait speed to be considered as a single-item frailty screening tool. The evaluation of gait speed over a short distance emerges from the literature as a tool with the capacity to identify frail older adults, and slow gait speed has been proven to be a strong predictor for frailty-adverse outcomes. © 2010 Elsevier Inc.","author":[{"dropping-particle":"","family":"Kan","given":"Gabor Abellan","non-dropping-particle":"van","parse-names":false,"suffix":""},{"dropping-particle":"","family":"Rolland","given":"Yves","non-dropping-particle":"","parse-names":false,"suffix":""},{"dropping-particle":"","family":"Houles","given":"Mathieu","non-dropping-particle":"","parse-names":false,"suffix":""},{"dropping-particle":"","family":"Gillette-Guyonnet","given":"Sophie","non-dropping-particle":"","parse-names":false,"suffix":""},{"dropping-particle":"","family":"Soto","given":"Maria","non-dropping-particle":"","parse-names":false,"suffix":""},{"dropping-particle":"","family":"Vellas","given":"Bruno","non-dropping-particle":"","parse-names":false,"suffix":""}],"container-title":"Clinics in Geriatric Medicine","id":"ITEM-4","issued":{"date-parts":[["2010"]]},"title":"The assessment of frailty in older adults","type":"article"},"uris":["http://www.mendeley.com/documents/?uuid=1df717c4-ab74-4491-bad2-d1977e7ee752"]}],"mendeley":{"formattedCitation":"(1–4)","plainTextFormattedCitation":"(1–4)","previouslyFormattedCitation":"[1–4]"},"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(1–4)</w:t>
      </w:r>
      <w:r w:rsidRPr="006A3DA0">
        <w:rPr>
          <w:rFonts w:ascii="Times New Roman" w:hAnsi="Times New Roman"/>
        </w:rPr>
        <w:fldChar w:fldCharType="end"/>
      </w:r>
      <w:r w:rsidRPr="006A3DA0">
        <w:rPr>
          <w:rFonts w:ascii="Times New Roman" w:hAnsi="Times New Roman"/>
        </w:rPr>
        <w:t xml:space="preserve"> </w:t>
      </w:r>
      <w:r w:rsidRPr="006A3DA0">
        <w:rPr>
          <w:rFonts w:ascii="Times New Roman" w:eastAsia="Garamond" w:hAnsi="Times New Roman"/>
        </w:rPr>
        <w:t>A particularly virulent form of immunological response, the cytokine storm syndrome especially seems to affect these vulnerable subgroups</w:t>
      </w:r>
      <w:r w:rsidRPr="006A3DA0">
        <w:rPr>
          <w:rFonts w:ascii="Times New Roman" w:hAnsi="Times New Roman"/>
        </w:rPr>
        <w:t xml:space="preserve">. </w:t>
      </w:r>
      <w:r w:rsidRPr="006A3DA0">
        <w:rPr>
          <w:rFonts w:ascii="Times New Roman" w:hAnsi="Times New Roman"/>
        </w:rPr>
        <w:fldChar w:fldCharType="begin" w:fldLock="1"/>
      </w:r>
      <w:r w:rsidRPr="006A3DA0">
        <w:rPr>
          <w:rFonts w:ascii="Times New Roman" w:hAnsi="Times New Roman"/>
        </w:rPr>
        <w:instrText>ADDIN CSL_CITATION {"citationItems":[{"id":"ITEM-1","itemData":{"DOI":"10.1016/S0140-6736(20)30628-0","ISSN":"1474547X","author":[{"dropping-particle":"","family":"Mehta","given":"Puja","non-dropping-particle":"","parse-names":false,"suffix":""},{"dropping-particle":"","family":"McAuley","given":"Daniel F.","non-dropping-particle":"","parse-names":false,"suffix":""},{"dropping-particle":"","family":"Brown","given":"Michael","non-dropping-particle":"","parse-names":false,"suffix":""},{"dropping-particle":"","family":"Sanchez","given":"Emilie","non-dropping-particle":"","parse-names":false,"suffix":""},{"dropping-particle":"","family":"Tattersall","given":"Rachel S.","non-dropping-particle":"","parse-names":false,"suffix":""},{"dropping-particle":"","family":"Manson","given":"Jessica J.","non-dropping-particle":"","parse-names":false,"suffix":""}],"container-title":"The Lancet","id":"ITEM-1","issued":{"date-parts":[["2020"]]},"title":"COVID-19: consider cytokine storm syndromes and immunosuppression","type":"article"},"uris":["http://www.mendeley.com/documents/?uuid=e185bd42-ddbf-41ba-9739-34a78586d659"]},{"id":"ITEM-2","itemData":{"DOI":"10.1093/cid/ciaa248","ISSN":"1058-4838","PMID":"32161940","abstract":"BACKGROUND In December 2019, coronavirus disease 2019 (COVID-19) emerged in Wuhan and rapidly spread throughout China. METHODS Demographic and clinical data of all confirmed cases with COVID-19 on admission at Tongji Hospital from January 10 to February 12, 2020, were collected and analyzed. The data of laboratory examinations, including peripheral lymphocyte subsets, were analyzed and compared between severe and non-severe patients. RESULTS Of the 452 patients with COVID-19 recruited, 286 were diagnosed as severe infection. The median age was 58 years and 235 were male. The most common symptoms were fever, shortness of breath, expectoration, fatigue, dry cough and myalgia. Severe cases tend to have lower lymphocytes counts, higher leukocytes counts and neutrophil-lymphocyte-ratio (NLR), as well as lower percentages of monocytes, eosinophils, and basophils. Most of severe cases demonstrated elevated levels of infection-related biomarkers and inflammatory cytokines. The number of T cells significantly decreased, and more hampered in severe cases. Both helper T cells and suppressor T cells in patients with COVID-19 were below normal levels, and lower level of helper T cells in severe group. The percentage of naïve helper T cells increased and memory helper T cells decreased in severe cases. Patients with COVID-19 also have lower level of regulatory T cells, and more obviously damaged in severe cases. CONCLUSIONS The novel coronavirus might mainly act on lymphocytes, especially T lymphocytes. Surveillance of NLR and lymphocyte subsets is helpful in the early screening of critical illness, diagnosis and treatment of COVID-19.","author":[{"dropping-particle":"","family":"Qin","given":"Chuan","non-dropping-particle":"","parse-names":false,"suffix":""},{"dropping-particle":"","family":"Zhou","given":"Luoqi","non-dropping-particle":"","parse-names":false,"suffix":""},{"dropping-particle":"","family":"Hu","given":"Ziwei","non-dropping-particle":"","parse-names":false,"suffix":""},{"dropping-particle":"","family":"Zhang","given":"Shuoqi","non-dropping-particle":"","parse-names":false,"suffix":""},{"dropping-particle":"","family":"Yang","given":"Sheng","non-dropping-particle":"","parse-names":false,"suffix":""},{"dropping-particle":"","family":"Tao","given":"Yu","non-dropping-particle":"","parse-names":false,"suffix":""},{"dropping-particle":"","family":"Xie","given":"Cuihong","non-dropping-particle":"","parse-names":false,"suffix":""},{"dropping-particle":"","family":"Ma","given":"Ke","non-dropping-particle":"","parse-names":false,"suffix":""},{"dropping-particle":"","family":"Shang","given":"Ke","non-dropping-particle":"","parse-names":false,"suffix":""},{"dropping-particle":"","family":"Wang","given":"Wei","non-dropping-particle":"","parse-names":false,"suffix":""},{"dropping-particle":"","family":"Tian","given":"Dai-Shi","non-dropping-particle":"","parse-names":false,"suffix":""}],"container-title":"Clinical Infectious Diseases","id":"ITEM-2","issued":{"date-parts":[["2020"]]},"title":"Dysregulation of immune response in patients with COVID-19 in Wuhan, China","type":"article-journal"},"uris":["http://www.mendeley.com/documents/?uuid=43774e31-f0d4-4aea-888c-6d91b00df065"]},{"id":"ITEM-3","itemData":{"DOI":"10.1016/j.cger.2010.02.002","ISSN":"07490690","abstract":"No clear consensual definition regarding frailty seems to emerge from the literature after 30 years of research in the topic, and a large array of models and criteria has been proposed to define the syndrome. Controversy continues to exist on the choice of the components to be included in the frailty definition. Two main definitions based on clusters of components are found in literature: a physical phenotype of frailty, operationalized in 2001 by providing a list of 5 measurable items of functional impairments, which coexists with a multidomain phenotype, based on a frailty index constructed on the accumulation of identified deficits based on comprehensive geriatric assessment. The physical phenotype considers disability and comorbidities such as dementia as distinct entities and therefore outcomes of the frailty syndrome, whereas comorbidity and disability can be components of the multidomain phenotype. Expanded models of physical frailty (models that included clusters other than the original 5 items such as dementia) increased considerably the predicting capacity of poor clinical outcomes when compared with the predictive capacity of the physical phenotype. The unresolved controversy of the components shapes the clusters of original frailty syndrome, and the components depend very much on how frailty is defined. This update also highlights the growing evidence on gait speed to be considered as a single-item frailty screening tool. The evaluation of gait speed over a short distance emerges from the literature as a tool with the capacity to identify frail older adults, and slow gait speed has been proven to be a strong predictor for frailty-adverse outcomes. © 2010 Elsevier Inc.","author":[{"dropping-particle":"","family":"Kan","given":"Gabor Abellan","non-dropping-particle":"van","parse-names":false,"suffix":""},{"dropping-particle":"","family":"Rolland","given":"Yves","non-dropping-particle":"","parse-names":false,"suffix":""},{"dropping-particle":"","family":"Houles","given":"Mathieu","non-dropping-particle":"","parse-names":false,"suffix":""},{"dropping-particle":"","family":"Gillette-Guyonnet","given":"Sophie","non-dropping-particle":"","parse-names":false,"suffix":""},{"dropping-particle":"","family":"Soto","given":"Maria","non-dropping-particle":"","parse-names":false,"suffix":""},{"dropping-particle":"","family":"Vellas","given":"Bruno","non-dropping-particle":"","parse-names":false,"suffix":""}],"container-title":"Clinics in Geriatric Medicine","id":"ITEM-3","issued":{"date-parts":[["2010"]]},"title":"The assessment of frailty in older adults","type":"article"},"uris":["http://www.mendeley.com/documents/?uuid=1df717c4-ab74-4491-bad2-d1977e7ee752"]}],"mendeley":{"formattedCitation":"(4–6)","plainTextFormattedCitation":"(4–6)","previouslyFormattedCitation":"[4–6]"},"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(4–6)</w:t>
      </w:r>
      <w:r w:rsidRPr="006A3DA0">
        <w:rPr>
          <w:rFonts w:ascii="Times New Roman" w:hAnsi="Times New Roman"/>
        </w:rPr>
        <w:fldChar w:fldCharType="end"/>
      </w:r>
      <w:r w:rsidRPr="006A3DA0">
        <w:rPr>
          <w:rFonts w:ascii="Times New Roman" w:hAnsi="Times New Roman"/>
        </w:rPr>
        <w:t xml:space="preserve"> </w:t>
      </w:r>
      <w:r w:rsidRPr="006A3DA0">
        <w:rPr>
          <w:rFonts w:ascii="Times New Roman" w:eastAsia="Garamond" w:hAnsi="Times New Roman"/>
        </w:rPr>
        <w:t xml:space="preserve">This syndrome is also often associated with extra-pulmonary complications of COVID-19.  </w:t>
      </w:r>
      <w:r w:rsidRPr="006A3DA0">
        <w:rPr>
          <w:rFonts w:ascii="Times New Roman" w:hAnsi="Times New Roman"/>
        </w:rPr>
        <w:fldChar w:fldCharType="begin" w:fldLock="1"/>
      </w:r>
      <w:r w:rsidRPr="006A3DA0">
        <w:rPr>
          <w:rFonts w:ascii="Times New Roman" w:hAnsi="Times New Roman"/>
        </w:rPr>
        <w:instrText>ADDIN CSL_CITATION {"citationItems":[{"id":"ITEM-1","itemData":{"DOI":"10.1016/S0140-6736(20)30628-0","ISSN":"1474547X","author":[{"dropping-particle":"","family":"Mehta","given":"Puja","non-dropping-particle":"","parse-names":false,"suffix":""},{"dropping-particle":"","family":"McAuley","given":"Daniel F.","non-dropping-particle":"","parse-names":false,"suffix":""},{"dropping-particle":"","family":"Brown","given":"Michael","non-dropping-particle":"","parse-names":false,"suffix":""},{"dropping-particle":"","family":"Sanchez","given":"Emilie","non-dropping-particle":"","parse-names":false,"suffix":""},{"dropping-particle":"","family":"Tattersall","given":"Rachel S.","non-dropping-particle":"","parse-names":false,"suffix":""},{"dropping-particle":"","family":"Manson","given":"Jessica J.","non-dropping-particle":"","parse-names":false,"suffix":""}],"container-title":"The Lancet","id":"ITEM-1","issued":{"date-parts":[["2020"]]},"title":"COVID-19: consider cytokine storm syndromes and immunosuppression","type":"article"},"uris":["http://www.mendeley.com/documents/?uuid=e185bd42-ddbf-41ba-9739-34a78586d659"]},{"id":"ITEM-2","itemData":{"DOI":"10.1007/s00134-020-05991-x","ISSN":"14321238","PMID":"32125452","author":[{"dropping-particle":"","family":"Ruan","given":"Qiurong","non-dropping-particle":"","parse-names":false,"suffix":""},{"dropping-particle":"","family":"Yang","given":"Kun","non-dropping-particle":"","parse-names":false,"suffix":""},{"dropping-particle":"","family":"Wang","given":"Wenxia","non-dropping-particle":"","parse-names":false,"suffix":""},{"dropping-particle":"","family":"Jiang","given":"Lingyu","non-dropping-particle":"","parse-names":false,"suffix":""},{"dropping-particle":"","family":"Song","given":"Jianxin","non-dropping-particle":"","parse-names":false,"suffix":""}],"container-title":"Intensive Care Medicine","id":"ITEM-2","issued":{"date-parts":[["2020"]]},"title":"Clinical predictors of mortality due to COVID-19 based on an analysis of data of 150 patients from Wuhan, China","type":"article"},"uris":["http://www.mendeley.com/documents/?uuid=c5b47d62-202a-438d-a585-3fc0dea077d0"]}],"mendeley":{"formattedCitation":"(5,7)","plainTextFormattedCitation":"(5,7)","previouslyFormattedCitation":"[5,7]"},"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(5,7)</w:t>
      </w:r>
      <w:r w:rsidRPr="006A3DA0">
        <w:rPr>
          <w:rFonts w:ascii="Times New Roman" w:hAnsi="Times New Roman"/>
        </w:rPr>
        <w:fldChar w:fldCharType="end"/>
      </w:r>
    </w:p>
    <w:p w14:paraId="7205FC9F" w14:textId="77777777" w:rsidR="00C616E7" w:rsidRPr="006A3DA0" w:rsidRDefault="00C616E7" w:rsidP="00C616E7">
      <w:pPr>
        <w:spacing w:line="480" w:lineRule="auto"/>
        <w:rPr>
          <w:rFonts w:ascii="Times New Roman" w:hAnsi="Times New Roman"/>
        </w:rPr>
      </w:pPr>
    </w:p>
    <w:p w14:paraId="6AB94463" w14:textId="77777777" w:rsidR="00C616E7" w:rsidRPr="006A3DA0" w:rsidRDefault="00C616E7" w:rsidP="00C616E7">
      <w:pPr>
        <w:spacing w:line="480" w:lineRule="auto"/>
        <w:rPr>
          <w:rFonts w:ascii="Times New Roman" w:hAnsi="Times New Roman"/>
        </w:rPr>
      </w:pPr>
      <w:r w:rsidRPr="006A3DA0">
        <w:rPr>
          <w:rFonts w:ascii="Times New Roman" w:hAnsi="Times New Roman"/>
        </w:rPr>
        <w:t xml:space="preserve">In the last three months, multiple case reports have highlighted the </w:t>
      </w:r>
      <w:r w:rsidRPr="006A3DA0">
        <w:rPr>
          <w:rFonts w:ascii="Times New Roman" w:hAnsi="Times New Roman"/>
        </w:rPr>
        <w:softHyphen/>
        <w:t xml:space="preserve">extra-pulmonary complications of the disease. </w:t>
      </w:r>
      <w:r w:rsidRPr="006A3DA0">
        <w:rPr>
          <w:rFonts w:ascii="Times New Roman" w:hAnsi="Times New Roman"/>
        </w:rPr>
        <w:fldChar w:fldCharType="begin" w:fldLock="1"/>
      </w:r>
      <w:r w:rsidRPr="006A3DA0">
        <w:rPr>
          <w:rFonts w:ascii="Times New Roman" w:hAnsi="Times New Roman"/>
        </w:rPr>
        <w:instrText>ADDIN CSL_CITATION {"citationItems":[{"id":"ITEM-1","itemData":{"DOI":"10.1007/s00134-020-05991-x","ISSN":"14321238","PMID":"32125452","author":[{"dropping-particle":"","family":"Ruan","given":"Qiurong","non-dropping-particle":"","parse-names":false,"suffix":""},{"dropping-particle":"","family":"Yang","given":"Kun","non-dropping-particle":"","parse-names":false,"suffix":""},{"dropping-particle":"","family":"Wang","given":"Wenxia","non-dropping-particle":"","parse-names":false,"suffix":""},{"dropping-particle":"","family":"Jiang","given":"Lingyu","non-dropping-particle":"","parse-names":false,"suffix":""},{"dropping-particle":"","family":"Song","given":"Jianxin","non-dropping-particle":"","parse-names":false,"suffix":""}],"container-title":"Intensive Care Medicine","id":"ITEM-1","issued":{"date-parts":[["2020"]]},"title":"Clinical predictors of mortality due to COVID-19 based on an analysis of data of 150 patients from Wuhan, China","type":"article"},"uris":["http://www.mendeley.com/documents/?uuid=c5b47d62-202a-438d-a585-3fc0dea077d0"]},{"id":"ITEM-2","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-2","issued":{"date-parts":[["2020"]]},"title":"Neurologic Manifestations of Hospitalized Patients With Coronavirus Disease 2019 in Wuhan, China","type":"article-journal"},"uris":["http://www.mendeley.com/documents/?uuid=a9c055b2-ea8f-4e03-8956-ab4c3b92203e"]},{"id":"ITEM-3","itemData":{"DOI":"10.1515/cclm-2020-0188","ISSN":"1434-6621","PMID":"32172226","abstract":"Background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(CCLM)","id":"ITEM-3","issue":"0","issued":{"date-parts":[["2020"]]},"title":"Prominent changes in blood coagulation of patients with SARS-CoV-2 infection","type":"article-journal","volume":"0"},"uris":["http://www.mendeley.com/documents/?uuid=68704927-d960-4fb9-8379-32cb11b6ddba"]},{"id":"ITEM-4","itemData":{"DOI":"10.1016/S0140-6736(20)30566-3","ISSN":"1474547X","PMID":"32171076","abstract":"Background: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Lancet","id":"ITEM-4","issue":"10229","issued":{"date-parts":[["2020"]]},"page":"1054-1062","publisher":"Elsevier Ltd","title":"Clinical course and risk factors for mortality of adult inpatients with COVID-19 in Wuhan, China: a retrospective cohort study","type":"article-journal","volume":"395"},"uris":["http://www.mendeley.com/documents/?uuid=eee32fff-ff8b-4859-8962-c89acca21bd3"]}],"mendeley":{"formattedCitation":"(7–10)","plainTextFormattedCitation":"(7–10)","previouslyFormattedCitation":"[7–10]"},"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(7–10)</w:t>
      </w:r>
      <w:r w:rsidRPr="006A3DA0">
        <w:rPr>
          <w:rFonts w:ascii="Times New Roman" w:hAnsi="Times New Roman"/>
        </w:rPr>
        <w:fldChar w:fldCharType="end"/>
      </w:r>
      <w:r w:rsidRPr="006A3DA0">
        <w:rPr>
          <w:rFonts w:ascii="Times New Roman" w:hAnsi="Times New Roman"/>
        </w:rPr>
        <w:t xml:space="preserve"> A prominent subgroup of these include thromboembolic complications. </w:t>
      </w:r>
      <w:r w:rsidRPr="006A3DA0">
        <w:rPr>
          <w:rFonts w:ascii="Times New Roman" w:hAnsi="Times New Roman"/>
        </w:rPr>
        <w:fldChar w:fldCharType="begin" w:fldLock="1"/>
      </w:r>
      <w:r w:rsidRPr="006A3DA0">
        <w:rPr>
          <w:rFonts w:ascii="Times New Roman" w:hAnsi="Times New Roman"/>
        </w:rPr>
        <w:instrText>ADDIN CSL_CITATION {"citationItems":[{"id":"ITEM-1","itemData":{"DOI":"10.1515/cclm-2020-0188","ISSN":"1434-6621","PMID":"32172226","abstract":"Background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(CCLM)","id":"ITEM-1","issue":"0","issued":{"date-parts":[["2020"]]},"title":"Prominent changes in blood coagulation of patients with SARS-CoV-2 infection","type":"article-journal","volume":"0"},"uris":["http://www.mendeley.com/documents/?uuid=68704927-d960-4fb9-8379-32cb11b6ddba"]},{"id":"ITEM-2","itemData":{"DOI":"10.1007/s11239-020-02105-8","ISBN":"0123456789","ISSN":"0929-5305","PMID":"32246317","abstract":"Severe coronavirus disease 2019 (COVID-19) is commonly complicated with coagulopathy, the difference of coagulation features between severe pneumonia induced by SARS-CoV2 and non-SARS-CoV2 has not been analyzed. Coagulation results and clinical features of consecutive patients with severe pneumonia induced by SARS-CoV2 (COVID group) and non-SARS-CoV2 (non-COVID group) in Tongji hospital were retrospectively analyzed and compared. Whether patients with elevated D-dimer could benefit from anticoagulant treatment was evaluated. There were 449 COVID patients and 104 non-COVID patients enrolled into the study. The 28-day mortality in COVID group was approximately twofold of mortality in non-COVID group (29.8% vs. 15.4%, P = 0.003), COVID group were older (65.1 ± 12.0 vs. 58.4 ± 18.0, years, P &lt; 0.001) and with higher platelet count (215 ± 100 vs. 188 ± 98, ×109/L, P = 0.015), comparing to non-COVID group. The 28-day mortality of heparin users were lower than nonusers In COVID group with D-dimer &gt; 3.0 μg/mL (32.8% vs. 52.4%, P = 0.017). Patients with severe pneumonia induced by SARS-CoV2 had higher platelet count than those induced by non-SARS-CoV2, and only the former with markedly elevated D-dimer may benefit from anticoagulant treatment.","author":[{"dropping-particle":"","family":"Yin","given":"Shiyu","non-dropping-particle":"","parse-names":false,"suffix":""},{"dropping-particle":"","family":"Huang","given":"Ming","non-dropping-particle":"","parse-names":false,"suffix":""},{"dropping-particle":"","family":"Li","given":"Dengju","non-dropping-particle":"","parse-names":false,"suffix":""},{"dropping-particle":"","family":"Tang","given":"Ning","non-dropping-particle":"","parse-names":false,"suffix":""}],"container-title":"Journal of Thrombosis and Thrombolysis","id":"ITEM-2","issued":{"date-parts":[["2020"]]},"page":"3-6","publisher":"Springer US","title":"Difference of coagulation features between severe pneumonia induced by SARS-CoV2 and non-SARS-CoV2","type":"article-journal"},"uris":["http://www.mendeley.com/documents/?uuid=b0910e76-6b10-4ab3-ac55-711c42e574b2"]},{"id":"ITEM-3","itemData":{"DOI":"10.1016/S0140-6736(20)30566-3","ISSN":"1474547X","PMID":"32171076","abstract":"Background: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Lancet","id":"ITEM-3","issue":"10229","issued":{"date-parts":[["2020"]]},"page":"1054-1062","publisher":"Elsevier Ltd","title":"Clinical course and risk factors for mortality of adult inpatients with COVID-19 in Wuhan, China: a retrospective cohort study","type":"article-journal","volume":"395"},"uris":["http://www.mendeley.com/documents/?uuid=eee32fff-ff8b-4859-8962-c89acca21bd3"]}],"mendeley":{"formattedCitation":"(9–11)","plainTextFormattedCitation":"(9–11)","previouslyFormattedCitation":"[9–11]"},"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(9–11)</w:t>
      </w:r>
      <w:r w:rsidRPr="006A3DA0">
        <w:rPr>
          <w:rFonts w:ascii="Times New Roman" w:hAnsi="Times New Roman"/>
        </w:rPr>
        <w:fldChar w:fldCharType="end"/>
      </w:r>
      <w:r w:rsidRPr="006A3DA0">
        <w:rPr>
          <w:rFonts w:ascii="Times New Roman" w:hAnsi="Times New Roman"/>
        </w:rPr>
        <w:t xml:space="preserve">. They have also been often associated with lab markers suggesting an underlying inflammatory and hypercoagulable condition. </w:t>
      </w:r>
      <w:r w:rsidRPr="006A3DA0">
        <w:rPr>
          <w:rFonts w:ascii="Times New Roman" w:hAnsi="Times New Roman"/>
        </w:rPr>
        <w:fldChar w:fldCharType="begin" w:fldLock="1"/>
      </w:r>
      <w:r w:rsidRPr="006A3DA0">
        <w:rPr>
          <w:rFonts w:ascii="Times New Roman" w:hAnsi="Times New Roman"/>
        </w:rPr>
        <w:instrText>ADDIN CSL_CITATION {"citationItems":[{"id":"ITEM-1","itemData":{"DOI":"10.1515/cclm-2020-0188","ISSN":"1434-6621","PMID":"32172226","abstract":"Background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(CCLM)","id":"ITEM-1","issue":"0","issued":{"date-parts":[["2020"]]},"title":"Prominent changes in blood coagulation of patients with SARS-CoV-2 infection","type":"article-journal","volume":"0"},"uris":["http://www.mendeley.com/documents/?uuid=68704927-d960-4fb9-8379-32cb11b6ddba"]},{"id":"ITEM-2","itemData":{"DOI":"10.1007/s11239-020-02105-8","ISBN":"0123456789","ISSN":"0929-5305","PMID":"32246317","abstract":"Severe coronavirus disease 2019 (COVID-19) is commonly complicated with coagulopathy, the difference of coagulation features between severe pneumonia induced by SARS-CoV2 and non-SARS-CoV2 has not been analyzed. Coagulation results and clinical features of consecutive patients with severe pneumonia induced by SARS-CoV2 (COVID group) and non-SARS-CoV2 (non-COVID group) in Tongji hospital were retrospectively analyzed and compared. Whether patients with elevated D-dimer could benefit from anticoagulant treatment was evaluated. There were 449 COVID patients and 104 non-COVID patients enrolled into the study. The 28-day mortality in COVID group was approximately twofold of mortality in non-COVID group (29.8% vs. 15.4%, P = 0.003), COVID group were older (65.1 ± 12.0 vs. 58.4 ± 18.0, years, P &lt; 0.001) and with higher platelet count (215 ± 100 vs. 188 ± 98, ×109/L, P = 0.015), comparing to non-COVID group. The 28-day mortality of heparin users were lower than nonusers In COVID group with D-dimer &gt; 3.0 μg/mL (32.8% vs. 52.4%, P = 0.017). Patients with severe pneumonia induced by SARS-CoV2 had higher platelet count than those induced by non-SARS-CoV2, and only the former with markedly elevated D-dimer may benefit from anticoagulant treatment.","author":[{"dropping-particle":"","family":"Yin","given":"Shiyu","non-dropping-particle":"","parse-names":false,"suffix":""},{"dropping-particle":"","family":"Huang","given":"Ming","non-dropping-particle":"","parse-names":false,"suffix":""},{"dropping-particle":"","family":"Li","given":"Dengju","non-dropping-particle":"","parse-names":false,"suffix":""},{"dropping-particle":"","family":"Tang","given":"Ning","non-dropping-particle":"","parse-names":false,"suffix":""}],"container-title":"Journal of Thrombosis and Thrombolysis","id":"ITEM-2","issued":{"date-parts":[["2020"]]},"page":"3-6","publisher":"Springer US","title":"Difference of coagulation features between severe pneumonia induced by SARS-CoV2 and non-SARS-CoV2","type":"article-journal"},"uris":["http://www.mendeley.com/documents/?uuid=b0910e76-6b10-4ab3-ac55-711c42e574b2"]},{"id":"ITEM-3","itemData":{"author":[{"dropping-particle":"","family":"Senst B, Tadi P, Basit H","given":"et al.","non-dropping-particle":"","parse-names":false,"suffix":""}],"id":"ITEM-3","issued":{"date-parts":[["0"]]},"title":"Hypercoagulability. [Updated 2020 Mar 24]. In: StatPearls [Internet]. Treasure Island (FL): StatPearls Publishing; 2020 Jan-","type":"book"},"uris":["http://www.mendeley.com/documents/?uuid=1748fa8c-2281-44ff-8beb-da6259a8d59f"]}],"mendeley":{"formattedCitation":"(9,11,12)","plainTextFormattedCitation":"(9,11,12)","previouslyFormattedCitation":"[9,11,12]"},"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(9,11,12)</w:t>
      </w:r>
      <w:r w:rsidRPr="006A3DA0">
        <w:rPr>
          <w:rFonts w:ascii="Times New Roman" w:hAnsi="Times New Roman"/>
        </w:rPr>
        <w:fldChar w:fldCharType="end"/>
      </w:r>
      <w:r w:rsidRPr="006A3DA0">
        <w:rPr>
          <w:rFonts w:ascii="Times New Roman" w:hAnsi="Times New Roman"/>
        </w:rPr>
        <w:t xml:space="preserve"> </w:t>
      </w:r>
      <w:r w:rsidRPr="005A307C">
        <w:rPr>
          <w:rFonts w:ascii="Times New Roman" w:hAnsi="Times New Roman"/>
        </w:rPr>
        <w:t>To this end, the specter of a COVID-19-specific coagulopathy has been raised, which is both inflammatory and consumptive, different from traditional disseminated intravascular coagulopathy (</w:t>
      </w:r>
      <w:r>
        <w:rPr>
          <w:rFonts w:ascii="Times New Roman" w:hAnsi="Times New Roman"/>
        </w:rPr>
        <w:t>9)</w:t>
      </w:r>
      <w:r w:rsidRPr="005A307C">
        <w:rPr>
          <w:rFonts w:ascii="Times New Roman" w:hAnsi="Times New Roman"/>
        </w:rPr>
        <w:t>.</w:t>
      </w:r>
    </w:p>
    <w:p w14:paraId="60818811" w14:textId="77777777" w:rsidR="00C616E7" w:rsidRPr="006A3DA0" w:rsidRDefault="00C616E7" w:rsidP="00C616E7">
      <w:pPr>
        <w:spacing w:line="480" w:lineRule="auto"/>
        <w:rPr>
          <w:rFonts w:ascii="Times New Roman" w:hAnsi="Times New Roman"/>
        </w:rPr>
      </w:pPr>
    </w:p>
    <w:p w14:paraId="644DE8EA" w14:textId="77777777" w:rsidR="00C616E7" w:rsidRPr="006A3DA0" w:rsidRDefault="00C616E7" w:rsidP="00C616E7">
      <w:pPr>
        <w:pStyle w:val="MediumGrid21"/>
        <w:spacing w:line="480" w:lineRule="auto"/>
        <w:rPr>
          <w:rFonts w:ascii="Times New Roman" w:hAnsi="Times New Roman"/>
        </w:rPr>
      </w:pPr>
      <w:r w:rsidRPr="006A3DA0">
        <w:rPr>
          <w:rFonts w:ascii="Times New Roman" w:hAnsi="Times New Roman"/>
        </w:rPr>
        <w:t xml:space="preserve">Most neurological complications have focused on non-focal presentations like headaches, encephalopathy and skeletal muscle injury. </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id":"ITEM-2","itemData":{"DOI":"10.1056/NEJMc2008597","ISSN":"1533-4406","PMID":"32294339","author":[{"dropping-particle":"","family":"Helms","given":"Julie","non-dropping-particle":"","parse-names":false,"suffix":""},{"dropping-particle":"","family":"Kremer","given":"Stéphane","non-dropping-particle":"","parse-names":false,"suffix":""},{"dropping-particle":"","family":"Merdji","given":"Hamid","non-dropping-particle":"","parse-names":false,"suffix":""},{"dropping-particle":"","family":"Clere-Jehl","given":"Raphaël","non-dropping-particle":"","parse-names":false,"suffix":""},{"dropping-particle":"","family":"Schenck","given":"Malika","non-dropping-particle":"","parse-names":false,"suffix":""},{"dropping-particle":"","family":"Kummerlen","given":"Christine","non-dropping-particle":"","parse-names":false,"suffix":""},{"dropping-particle":"","family":"Collange","given":"Olivier","non-dropping-particle":"","parse-names":false,"suffix":""},{"dropping-particle":"","family":"Boulay","given":"Clotilde","non-dropping-particle":"","parse-names":false,"suffix":""},{"dropping-particle":"","family":"Fafi-Kremer","given":"Samira","non-dropping-particle":"","parse-names":false,"suffix":""},{"dropping-particle":"","family":"Ohana","given":"Mickaël","non-dropping-particle":"","parse-names":false,"suffix":""},{"dropping-particle":"","family":"Anheim","given":"Mathieu","non-dropping-particle":"","parse-names":false,"suffix":""},{"dropping-particle":"","family":"Meziani","given":"Ferhat","non-dropping-particle":"","parse-names":false,"suffix":""}],"container-title":"The New England journal of medicine","id":"ITEM-2","issued":{"date-parts":[["2020"]]},"page":"1-2","title":"Neurologic Features in Severe SARS-CoV-2 Infection.","type":"article-journal"},"uris":["http://www.mendeley.com/documents/?uuid=30d01c3f-d77d-4891-8c73-67a43d592ae6"]}],"mendeley":{"formattedCitation":"(8,13)","plainTextFormattedCitation":"(8,13)","previouslyFormattedCitation":"[8,13]"},"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(8,13)</w:t>
      </w:r>
      <w:r w:rsidRPr="006A3DA0">
        <w:rPr>
          <w:rFonts w:ascii="Times New Roman" w:hAnsi="Times New Roman"/>
        </w:rPr>
        <w:fldChar w:fldCharType="end"/>
      </w:r>
      <w:r w:rsidRPr="006A3DA0">
        <w:rPr>
          <w:rFonts w:ascii="Times New Roman" w:hAnsi="Times New Roman"/>
        </w:rPr>
        <w:t xml:space="preserve"> While some authors have mentioned the possibility of a form of meningoencephalitis, viral causation of neurological diseases have been mentioned less often. </w:t>
      </w:r>
      <w:r w:rsidRPr="006A3DA0">
        <w:rPr>
          <w:rFonts w:ascii="Times New Roman" w:hAnsi="Times New Roman"/>
        </w:rPr>
        <w:fldChar w:fldCharType="begin" w:fldLock="1"/>
      </w:r>
      <w:r w:rsidRPr="006A3DA0">
        <w:rPr>
          <w:rFonts w:ascii="Times New Roman" w:hAnsi="Times New Roman"/>
        </w:rPr>
        <w:instrText>ADDIN CSL_CITATION {"citationItems":[{"id":"ITEM-1","itemData":{"DOI":"10.1002/jmv.25728","ISSN":"10969071","abstract":"Following the severe acute respiratory syndrome coronavirus (SARS-CoV) and Middle East respiratory syndrome coronavirus (MERS-CoV), another highly pathogenic coronavirus named SARS-CoV-2 (previously known as 2019-nCoV) emerged in December 2019 in Wuhan, China, and rapidly spreads around the world. This virus shares highly homological sequence with SARS-CoV, and causes acute, highly lethal pneumonia coronavirus disease 2019 (COVID-19) with clinical symptoms similar to those reported for SARS-CoV and MERS-CoV. The most characteristic symptom of patients with COVID-19 is respiratory distress, and most of the patients admitted to the intensive care could not breathe spontaneously. Additionally, some patients with COVID-19 also showed neurologic signs, such as headache, nausea, and vomiting. Increasing evidence shows that coronaviruses are not always confined to the respiratory tract and that they may also invade the central nervous system inducing neurological diseases. The infection of SARS-CoV has been reported in the brains from both patients and experimental animals, where the brainstem was heavily infected. Furthermore, some coronaviruses have been demonstrated able to spread via a synapse-connected route to the medullary cardiorespiratory center from the mechanoreceptors and chemoreceptors in the lung and lower respiratory airways. In light of the high similarity between SARS-CoV and SARS-CoV2, it is quite likely that the potential invasion of SARS-CoV2 is partially responsible for the acute respiratory failure of patients with COVID-19. Awareness of this will have important guiding significance for the prevention and treatment of the SARS-CoV-2-induced respiratory failure.","author":[{"dropping-particle":"","family":"Li","given":"Yan Chao","non-dropping-particle":"","parse-names":false,"suffix":""},{"dropping-particle":"","family":"Bai","given":"Wan Zhu","non-dropping-particle":"","parse-names":false,"suffix":""},{"dropping-particle":"","family":"Hashikawa","given":"Tsutomu","non-dropping-particle":"","parse-names":false,"suffix":""}],"container-title":"Journal of Medical Virology","id":"ITEM-1","issue":"February","issued":{"date-parts":[["2020"]]},"page":"24-27","title":"The neuroinvasive potential of SARS-CoV2 may be at least partially responsible for the respiratory failure of COVID-19 patients","type":"article-journal"},"uris":["http://www.mendeley.com/documents/?uuid=b5c16d49-4761-4ef1-9b44-6615deb649b4"]},{"id":"ITEM-2","itemData":{"DOI":"10.1016/j.ijid.2020.03.062","ISSN":"12019712","PMID":"32251791","abstract":"Novel coronavirus (SARS-Coronavirus-2:SARS-CoV-2) which emerged in Wuhan, China, has spread to multiple countries rapidly. We report the first case of meningitis associated with SARS-CoV-2 who was brought in by ambulance due to a convulsion accompanied by unconsciousness. He had never been to any foreign countries. He felt generalized fatigue and fever (day 1). He saw doctors nearby twice (day2 and 5) and was prescribed Laninamivir and antipyretic agents, His family visited his home and found that he was unconsciousness and lying on the floor in his vomit. He was immediately transported to this hospital by ambulance (day 9). Under emergency transport, he had transient generalized seizures that lasted about a minute. He had obvious neck stiffness. The specific SARS-CoV-2 RNA was not detected in the nasopharyngeal swab but was detected in a CSF. Anti- HSV 1 and varicella-zoster IgM antibodies were not detected in serum samples. A brain MRI showed hyperintensity along the wall of right lateral ventricle and hyperintense signal changes in the right mesial temporal lobe and hippocampus, suggesting the possibility of SARS-CoV-2 meningitis. This case warns the physicians of patients who have CNS symptoms.","author":[{"dropping-particle":"","family":"Moriguchi","given":"Takeshi","non-dropping-particle":"","parse-names":false,"suffix":""},{"dropping-particle":"","family":"Harii","given":"Norikazu","non-dropping-particle":"","parse-names":false,"suffix":""},{"dropping-particle":"","family":"Goto","given":"Junko","non-dropping-particle":"","parse-names":false,"suffix":""},{"dropping-particle":"","family":"Harada","given":"Daiki","non-dropping-particle":"","parse-names":false,"suffix":""},{"dropping-particle":"","family":"Sugawara","given":"Hisanori","non-dropping-particle":"","parse-names":false,"suffix":""},{"dropping-particle":"","family":"Takamino","given":"Junichi","non-dropping-particle":"","parse-names":false,"suffix":""},{"dropping-particle":"","family":"Ueno","given":"Masateru","non-dropping-particle":"","parse-names":false,"suffix":""},{"dropping-particle":"","family":"Sakata","given":"Hiroki","non-dropping-particle":"","parse-names":false,"suffix":""},{"dropping-particle":"","family":"Kondo","given":"Kengo","non-dropping-particle":"","parse-names":false,"suffix":""},{"dropping-particle":"","family":"Myose","given":"Natsuhiko","non-dropping-particle":"","parse-names":false,"suffix":""},{"dropping-particle":"","family":"Nakao","given":"Atsuhito","non-dropping-particle":"","parse-names":false,"suffix":""},{"dropping-particle":"","family":"Takeda","given":"Masayuki","non-dropping-particle":"","parse-names":false,"suffix":""},{"dropping-particle":"","family":"Haro","given":"Hirotaka","non-dropping-particle":"","parse-names":false,"suffix":""},{"dropping-particle":"","family":"Inoue","given":"Osamu","non-dropping-particle":"","parse-names":false,"suffix":""},{"dropping-particle":"","family":"Suzuki-Inoue","given":"Katsue","non-dropping-particle":"","parse-names":false,"suffix":""},{"dropping-particle":"","family":"Kubokawa","given":"Kayo","non-dropping-particle":"","parse-names":false,"suffix":""},{"dropping-particle":"","family":"Ogihara","given":"Shinji","non-dropping-particle":"","parse-names":false,"suffix":""},{"dropping-particle":"","family":"Sasaki","given":"Tomoyuki","non-dropping-particle":"","parse-names":false,"suffix":""},{"dropping-particle":"","family":"Kinouchi","given":"Hiroyuki","non-dropping-particle":"","parse-names":false,"suffix":""},{"dropping-particle":"","family":"Kojin","given":"Hiroyuki","non-dropping-particle":"","parse-names":false,"suffix":""},{"dropping-particle":"","family":"Ito","given":"Masami","non-dropping-particle":"","parse-names":false,"suffix":""},{"dropping-particle":"","family":"Onishi","given":"Hiroshi","non-dropping-particle":"","parse-names":false,"suffix":""},{"dropping-particle":"","family":"Shimizu","given":"Tatsuya","non-dropping-particle":"","parse-names":false,"suffix":""},{"dropping-particle":"","family":"Sasaki","given":"Yu","non-dropping-particle":"","parse-names":false,"suffix":""},{"dropping-particle":"","family":"Enomoto","given":"Nobuyuki","non-dropping-particle":"","parse-names":false,"suffix":""},{"dropping-particle":"","family":"Ishihara","given":"Hiroshi","non-dropping-particle":"","parse-names":false,"suffix":""},{"dropping-particle":"","family":"Furuya","given":"Shiomi","non-dropping-particle":"","parse-names":false,"suffix":""},{"dropping-particle":"","family":"Yamamoto","given":"Tomoko","non-dropping-particle":"","parse-names":false,"suffix":""},{"dropping-particle":"","family":"Shimada","given":"Shinji","non-dropping-particle":"","parse-names":false,"suffix":""}],"container-title":"International Journal of Infectious Diseases","id":"ITEM-2","issued":{"date-parts":[["2020"]]},"title":"A first Case of Meningitis/Encephalitis associated with SARS-Coronavirus-2","type":"article-journal"},"uris":["http://www.mendeley.com/documents/?uuid=606bd4ca-f538-4bb9-82cd-eec5fba915aa"]}],"mendeley":{"formattedCitation":"(14,15)","plainTextFormattedCitation":"(14,15)","previouslyFormattedCitation":"[14,15]"},"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(14,15)</w:t>
      </w:r>
      <w:r w:rsidRPr="006A3DA0">
        <w:rPr>
          <w:rFonts w:ascii="Times New Roman" w:hAnsi="Times New Roman"/>
        </w:rPr>
        <w:fldChar w:fldCharType="end"/>
      </w:r>
      <w:r w:rsidRPr="006A3DA0">
        <w:rPr>
          <w:rFonts w:ascii="Times New Roman" w:hAnsi="Times New Roman"/>
        </w:rPr>
        <w:t xml:space="preserve"> </w:t>
      </w:r>
      <w:r w:rsidRPr="006A3DA0">
        <w:rPr>
          <w:rFonts w:ascii="Times New Roman" w:eastAsia="Garamond" w:hAnsi="Times New Roman"/>
        </w:rPr>
        <w:t>Reports of patients presenting with focal signs secondary to ischemic strokes have been scant</w:t>
      </w:r>
      <w:r w:rsidRPr="006A3DA0">
        <w:rPr>
          <w:rFonts w:ascii="Times New Roman" w:hAnsi="Times New Roman"/>
        </w:rPr>
        <w:t xml:space="preserve">. </w:t>
      </w:r>
      <w:r w:rsidRPr="006A3DA0">
        <w:rPr>
          <w:rFonts w:ascii="Times New Roman" w:hAnsi="Times New Roman"/>
        </w:rPr>
        <w:fldChar w:fldCharType="begin" w:fldLock="1"/>
      </w:r>
      <w:r w:rsidRPr="006A3DA0">
        <w:rPr>
          <w:rFonts w:ascii="Times New Roman" w:hAnsi="Times New Roman"/>
        </w:rPr>
        <w:instrText>ADDIN CSL_CITATION {"citationItems":[{"id":"ITEM-1","itemData":{"DOI":"10.21203/RS.3.RS-20393/V1","abstract":"Background The outbreak of a novel coronavirus since December 2019 in Wuhan, became an emergency of major international concern. As of March 5, 2020, the SARS-CoV-2 epidemic has caused 80,565 confirmed infections with 3,015 fatal cases in China. The SARS-CoV-2 outbreak is a major challenge for clinicians. In our clinic, we found a rare case that a COVID-19 patient combined with ischemic stroke. Case Presentation A 79-year-old man was admitted to the Hubei Provincial Hospital of Chinese Traditional Medicine due to right limb weakness for 1 day and slight cough for 1 week. At presentation, his body temperature was 37.3°C (99.0°F) with some moist rales. Neurological examination showed right limb weakness, and the limb muscle strength was grade 4. The left leg and arms were unaffected. In addition, runs of speech were not fluent enough with tongue deviation. Laboratory studies showed lymphopenia and eosinophilic granulocytopenia. Chest CT revealed bilateral pulmonary parenchymal ground-glass and consolidative pulmonary opacities, with a peripheral lung distribution. Real-time polymerase chain reaction (RT-PCR) from throat swab sample was positive for SARS-CoV-2 nucleic acid. This patient was treated with antiviral drugs and anti-inflammatory drugs with supportive care until his discharge. Clopidogrel (75 mg) and atorvastatin (20 mg) were administered orally to treat acute ischemic stroke. After twelve days of treatment, he can walk normally and communicate with near fluent language. Conclusion We report an even more unusual case, a patient who was hospitalized for right limb weakness and was later diagnosed with COVID-19. Here, SARS-CoV-2 infection caused hypoxemia and excessive secretion of inflammatory cytokines, which contribute to the occurrence and development of ischemic stroke. Once COVID-19 patients show acute ischemic stroke, neurologists should cooperate with infectious disease doctors to help patients.","author":[{"dropping-particle":"","family":"Zhai","given":"Pan","non-dropping-particle":"","parse-names":false,"suffix":""},{"dropping-particle":"","family":"Ding","given":"Yanbing","non-dropping-particle":"","parse-names":false,"suffix":""},{"dropping-particle":"","family":"Li","given":"Yiming","non-dropping-particle":"","parse-names":false,"suffix":""}],"container-title":"Research Square","id":"ITEM-1","issued":{"date-parts":[["2020"]]},"page":"1-10","title":"The impact of COVID-19 on ischemic stroke: A case report","type":"article-journal"},"uris":["http://www.mendeley.com/documents/?uuid=f601c6fb-7e3f-43e5-b3f4-0defa3e59e8a"]},{"id":"ITEM-2","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-2","issued":{"date-parts":[["2020"]]},"title":"Neurologic Manifestations of Hospitalized Patients With Coronavirus Disease 2019 in Wuhan, China","type":"article-journal"},"uris":["http://www.mendeley.com/documents/?uuid=a9c055b2-ea8f-4e03-8956-ab4c3b92203e"]}],"mendeley":{"formattedCitation":"(8,16)","plainTextFormattedCitation":"(8,16)","previouslyFormattedCitation":"[8,16]"},"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(8,16)</w:t>
      </w:r>
      <w:r w:rsidRPr="006A3DA0">
        <w:rPr>
          <w:rFonts w:ascii="Times New Roman" w:hAnsi="Times New Roman"/>
        </w:rPr>
        <w:fldChar w:fldCharType="end"/>
      </w:r>
      <w:r w:rsidRPr="006A3DA0">
        <w:rPr>
          <w:rFonts w:ascii="Times New Roman" w:hAnsi="Times New Roman"/>
        </w:rPr>
        <w:t xml:space="preserve"> </w:t>
      </w:r>
    </w:p>
    <w:p w14:paraId="1BED32B3" w14:textId="77777777" w:rsidR="00C616E7" w:rsidRPr="006A3DA0" w:rsidRDefault="00C616E7" w:rsidP="00C616E7">
      <w:pPr>
        <w:pStyle w:val="MediumGrid21"/>
        <w:spacing w:line="480" w:lineRule="auto"/>
        <w:rPr>
          <w:rFonts w:ascii="Times New Roman" w:hAnsi="Times New Roman"/>
        </w:rPr>
      </w:pPr>
    </w:p>
    <w:p w14:paraId="75BEC0C2" w14:textId="77777777" w:rsidR="00C616E7" w:rsidRPr="00D32595" w:rsidRDefault="00C616E7" w:rsidP="00C616E7">
      <w:pPr>
        <w:pStyle w:val="NormalWeb"/>
        <w:spacing w:line="480" w:lineRule="auto"/>
      </w:pPr>
      <w:r w:rsidRPr="00D32595">
        <w:lastRenderedPageBreak/>
        <w:t xml:space="preserve">The objective of this study was to prospectively study </w:t>
      </w:r>
      <w:r>
        <w:t xml:space="preserve">COVID-19 presenting as focal neurological disease </w:t>
      </w:r>
      <w:r w:rsidRPr="006A3DA0">
        <w:t>caused by arterial thromboembolism to the intracranial circulation</w:t>
      </w:r>
      <w:r>
        <w:t>. We also wanted to better describe the different i</w:t>
      </w:r>
      <w:r w:rsidRPr="00D32595">
        <w:t xml:space="preserve">schemic stroke </w:t>
      </w:r>
      <w:r>
        <w:t>subtypes</w:t>
      </w:r>
      <w:r w:rsidRPr="00D32595">
        <w:t xml:space="preserve"> </w:t>
      </w:r>
      <w:r>
        <w:t xml:space="preserve">seen </w:t>
      </w:r>
      <w:r w:rsidRPr="00D32595">
        <w:t xml:space="preserve">in patients with SARS-COV2 infection </w:t>
      </w:r>
      <w:r>
        <w:t>especially with the view to assess its unique features seen in the context of COVID-19.</w:t>
      </w:r>
    </w:p>
    <w:p w14:paraId="31F5DA79" w14:textId="77777777" w:rsidR="00C616E7" w:rsidRDefault="00C616E7" w:rsidP="00C616E7">
      <w:pPr>
        <w:pStyle w:val="NormalWeb"/>
        <w:spacing w:line="480" w:lineRule="auto"/>
        <w:rPr>
          <w:b/>
          <w:bCs/>
        </w:rPr>
      </w:pPr>
    </w:p>
    <w:p w14:paraId="3FCB2182" w14:textId="77777777" w:rsidR="00C616E7" w:rsidRPr="00946C91" w:rsidRDefault="00C616E7" w:rsidP="00C616E7">
      <w:pPr>
        <w:pStyle w:val="NormalWeb"/>
        <w:spacing w:line="480" w:lineRule="auto"/>
        <w:rPr>
          <w:b/>
          <w:bCs/>
        </w:rPr>
      </w:pPr>
      <w:r>
        <w:rPr>
          <w:b/>
          <w:bCs/>
        </w:rPr>
        <w:t>Methods</w:t>
      </w:r>
    </w:p>
    <w:p w14:paraId="2F6B1C8D" w14:textId="77777777" w:rsidR="00E7596F" w:rsidRDefault="00E7596F" w:rsidP="00E7596F">
      <w:pPr>
        <w:spacing w:line="480" w:lineRule="auto"/>
        <w:ind w:left="1" w:hanging="1"/>
        <w:rPr>
          <w:rFonts w:ascii="Times New Roman" w:eastAsia="Garamond" w:hAnsi="Times New Roman"/>
        </w:rPr>
      </w:pPr>
      <w:r>
        <w:rPr>
          <w:rFonts w:ascii="Times New Roman" w:eastAsia="Garamond" w:hAnsi="Times New Roman"/>
        </w:rPr>
        <w:t>Retrospective case review protocol approval was obtained from the Institutional Review Boards at NYU School of Medicine, Brookdale Hospital University Medical Center, Jamaica Medical Center and Richmond University Medical Centers respectively</w:t>
      </w:r>
      <w:r w:rsidRPr="009238AD">
        <w:rPr>
          <w:rFonts w:ascii="Times New Roman" w:eastAsia="Garamond" w:hAnsi="Times New Roman"/>
        </w:rPr>
        <w:t xml:space="preserve">. A </w:t>
      </w:r>
      <w:r>
        <w:rPr>
          <w:rFonts w:ascii="Times New Roman" w:eastAsia="Garamond" w:hAnsi="Times New Roman"/>
        </w:rPr>
        <w:t>retros</w:t>
      </w:r>
      <w:r w:rsidRPr="009238AD">
        <w:rPr>
          <w:rFonts w:ascii="Times New Roman" w:eastAsia="Garamond" w:hAnsi="Times New Roman"/>
        </w:rPr>
        <w:t>pective analysis</w:t>
      </w:r>
      <w:r>
        <w:rPr>
          <w:rFonts w:ascii="Times New Roman" w:eastAsia="Garamond" w:hAnsi="Times New Roman"/>
        </w:rPr>
        <w:t xml:space="preserve"> of the prospectively maintained stroke databases at these institutions between the period of</w:t>
      </w:r>
      <w:r w:rsidRPr="009238AD">
        <w:rPr>
          <w:rFonts w:ascii="Times New Roman" w:eastAsia="Garamond" w:hAnsi="Times New Roman"/>
        </w:rPr>
        <w:t xml:space="preserve"> March 1</w:t>
      </w:r>
      <w:r>
        <w:rPr>
          <w:rFonts w:ascii="Times New Roman" w:eastAsia="Garamond" w:hAnsi="Times New Roman"/>
        </w:rPr>
        <w:t>5</w:t>
      </w:r>
      <w:r w:rsidRPr="009238AD">
        <w:rPr>
          <w:rFonts w:ascii="Times New Roman" w:eastAsia="Garamond" w:hAnsi="Times New Roman"/>
        </w:rPr>
        <w:t xml:space="preserve"> to April 1</w:t>
      </w:r>
      <w:r>
        <w:rPr>
          <w:rFonts w:ascii="Times New Roman" w:eastAsia="Garamond" w:hAnsi="Times New Roman"/>
        </w:rPr>
        <w:t>5</w:t>
      </w:r>
      <w:r w:rsidRPr="009238AD">
        <w:rPr>
          <w:rFonts w:ascii="Times New Roman" w:eastAsia="Garamond" w:hAnsi="Times New Roman"/>
        </w:rPr>
        <w:t>, 2020 was performed</w:t>
      </w:r>
      <w:r>
        <w:rPr>
          <w:rFonts w:ascii="Times New Roman" w:eastAsia="Garamond" w:hAnsi="Times New Roman"/>
        </w:rPr>
        <w:t>. The</w:t>
      </w:r>
      <w:r w:rsidRPr="009238AD">
        <w:rPr>
          <w:rFonts w:ascii="Times New Roman" w:eastAsia="Garamond" w:hAnsi="Times New Roman"/>
        </w:rPr>
        <w:t xml:space="preserve"> period coincided with widespread testing in the hospitals where these patients were admitted</w:t>
      </w:r>
      <w:r w:rsidRPr="006A3DA0">
        <w:rPr>
          <w:rFonts w:ascii="Times New Roman" w:eastAsia="Garamond" w:hAnsi="Times New Roman"/>
        </w:rPr>
        <w:t>. Patients who tested positive with SARS</w:t>
      </w:r>
      <w:r>
        <w:rPr>
          <w:rFonts w:ascii="Times New Roman" w:eastAsia="Garamond" w:hAnsi="Times New Roman"/>
        </w:rPr>
        <w:t>-</w:t>
      </w:r>
      <w:r w:rsidRPr="006A3DA0">
        <w:rPr>
          <w:rFonts w:ascii="Times New Roman" w:eastAsia="Garamond" w:hAnsi="Times New Roman"/>
        </w:rPr>
        <w:t>COV</w:t>
      </w:r>
      <w:r>
        <w:rPr>
          <w:rFonts w:ascii="Times New Roman" w:eastAsia="Garamond" w:hAnsi="Times New Roman"/>
        </w:rPr>
        <w:t>-</w:t>
      </w:r>
      <w:r w:rsidRPr="006A3DA0">
        <w:rPr>
          <w:rFonts w:ascii="Times New Roman" w:eastAsia="Garamond" w:hAnsi="Times New Roman"/>
        </w:rPr>
        <w:t>2 PCR were selected (</w:t>
      </w:r>
      <w:proofErr w:type="spellStart"/>
      <w:r w:rsidRPr="006A3DA0">
        <w:rPr>
          <w:rFonts w:ascii="Times New Roman" w:eastAsia="Garamond" w:hAnsi="Times New Roman"/>
        </w:rPr>
        <w:t>Cobas</w:t>
      </w:r>
      <w:proofErr w:type="spellEnd"/>
      <w:r w:rsidRPr="006A3DA0">
        <w:rPr>
          <w:rFonts w:ascii="Times New Roman" w:eastAsia="Garamond" w:hAnsi="Times New Roman"/>
        </w:rPr>
        <w:t xml:space="preserve"> SARS-COV-2 real time RT-PCR under EUA performed &amp; Abbott Real-time SARS-CoV-2 PCR assay using M2000 platform). Only patients with ischemic strokes were selected. We excluded other neurovascular events like intracerebral hemorrhage, subarachnoid hemorrhage or venous thrombosis for the purpose of this analysis. </w:t>
      </w:r>
      <w:bookmarkStart w:id="1" w:name="_Hlk39251166"/>
      <w:r w:rsidRPr="006A3DA0">
        <w:rPr>
          <w:rFonts w:ascii="Times New Roman" w:eastAsia="Garamond" w:hAnsi="Times New Roman"/>
        </w:rPr>
        <w:t xml:space="preserve">The results from </w:t>
      </w:r>
      <w:r>
        <w:rPr>
          <w:rFonts w:ascii="Times New Roman" w:eastAsia="Garamond" w:hAnsi="Times New Roman"/>
        </w:rPr>
        <w:t xml:space="preserve">four </w:t>
      </w:r>
      <w:r w:rsidRPr="006A3DA0">
        <w:rPr>
          <w:rFonts w:ascii="Times New Roman" w:eastAsia="Garamond" w:hAnsi="Times New Roman"/>
        </w:rPr>
        <w:t>NYC hospitals were pooled including two in Brooklyn</w:t>
      </w:r>
      <w:r>
        <w:rPr>
          <w:rFonts w:ascii="Times New Roman" w:eastAsia="Garamond" w:hAnsi="Times New Roman"/>
        </w:rPr>
        <w:t xml:space="preserve">, </w:t>
      </w:r>
      <w:r w:rsidRPr="006A3DA0">
        <w:rPr>
          <w:rFonts w:ascii="Times New Roman" w:eastAsia="Garamond" w:hAnsi="Times New Roman"/>
        </w:rPr>
        <w:t>one in Queens</w:t>
      </w:r>
      <w:r>
        <w:rPr>
          <w:rFonts w:ascii="Times New Roman" w:eastAsia="Garamond" w:hAnsi="Times New Roman"/>
        </w:rPr>
        <w:t xml:space="preserve"> and one in Staten Island</w:t>
      </w:r>
      <w:r w:rsidRPr="006A3DA0">
        <w:rPr>
          <w:rFonts w:ascii="Times New Roman" w:eastAsia="Garamond" w:hAnsi="Times New Roman"/>
        </w:rPr>
        <w:t xml:space="preserve">. </w:t>
      </w:r>
      <w:bookmarkEnd w:id="1"/>
    </w:p>
    <w:p w14:paraId="6F4347F9" w14:textId="77777777" w:rsidR="00C616E7" w:rsidRPr="006A3DA0" w:rsidRDefault="00C616E7" w:rsidP="00C616E7">
      <w:pPr>
        <w:spacing w:line="480" w:lineRule="auto"/>
        <w:ind w:left="1" w:hanging="1"/>
        <w:rPr>
          <w:rFonts w:ascii="Times New Roman" w:hAnsi="Times New Roman"/>
        </w:rPr>
      </w:pPr>
    </w:p>
    <w:p w14:paraId="032D1F69" w14:textId="77777777" w:rsidR="00C616E7" w:rsidRDefault="00C616E7" w:rsidP="00C616E7">
      <w:pPr>
        <w:spacing w:line="480" w:lineRule="auto"/>
        <w:rPr>
          <w:rFonts w:ascii="Times New Roman" w:eastAsia="Garamond" w:hAnsi="Times New Roman"/>
        </w:rPr>
      </w:pPr>
      <w:r w:rsidRPr="006A3DA0">
        <w:rPr>
          <w:rFonts w:ascii="Times New Roman" w:eastAsia="Garamond" w:hAnsi="Times New Roman"/>
        </w:rPr>
        <w:t xml:space="preserve">Patients with both TIA and ischemic strokes were selected for this purpose. </w:t>
      </w:r>
      <w:r>
        <w:rPr>
          <w:rFonts w:ascii="Times New Roman" w:eastAsia="Garamond" w:hAnsi="Times New Roman"/>
        </w:rPr>
        <w:t>T</w:t>
      </w:r>
      <w:r w:rsidRPr="006A3DA0">
        <w:rPr>
          <w:rFonts w:ascii="Times New Roman" w:eastAsia="Garamond" w:hAnsi="Times New Roman"/>
        </w:rPr>
        <w:t xml:space="preserve">he clinical definition of an acute onset of a focal deficit to </w:t>
      </w:r>
      <w:r>
        <w:rPr>
          <w:rFonts w:ascii="Times New Roman" w:eastAsia="Garamond" w:hAnsi="Times New Roman"/>
        </w:rPr>
        <w:t>characterize</w:t>
      </w:r>
      <w:r w:rsidRPr="006A3DA0">
        <w:rPr>
          <w:rFonts w:ascii="Times New Roman" w:eastAsia="Garamond" w:hAnsi="Times New Roman"/>
        </w:rPr>
        <w:t xml:space="preserve"> an ischemic event</w:t>
      </w:r>
      <w:r>
        <w:rPr>
          <w:rFonts w:ascii="Times New Roman" w:eastAsia="Garamond" w:hAnsi="Times New Roman"/>
        </w:rPr>
        <w:t xml:space="preserve"> was used</w:t>
      </w:r>
      <w:r w:rsidRPr="006A3DA0">
        <w:rPr>
          <w:rFonts w:ascii="Times New Roman" w:eastAsia="Garamond" w:hAnsi="Times New Roman"/>
        </w:rPr>
        <w:t xml:space="preserve">. All patients underwent rapid imaging with CT and CT angiogram to confirm presence of a </w:t>
      </w:r>
      <w:r w:rsidRPr="006A3DA0">
        <w:rPr>
          <w:rFonts w:ascii="Times New Roman" w:eastAsia="Garamond" w:hAnsi="Times New Roman"/>
        </w:rPr>
        <w:lastRenderedPageBreak/>
        <w:t>parenchymal lesions and/or vascular occlusion. Patients with</w:t>
      </w:r>
      <w:r>
        <w:rPr>
          <w:rFonts w:ascii="Times New Roman" w:eastAsia="Garamond" w:hAnsi="Times New Roman"/>
        </w:rPr>
        <w:t xml:space="preserve"> </w:t>
      </w:r>
      <w:r w:rsidRPr="006A3DA0">
        <w:rPr>
          <w:rFonts w:ascii="Times New Roman" w:eastAsia="Garamond" w:hAnsi="Times New Roman"/>
        </w:rPr>
        <w:t>ASPECTS (Alberta Stroke Program Early CT Score)</w:t>
      </w:r>
      <w:r>
        <w:rPr>
          <w:rFonts w:ascii="Times New Roman" w:eastAsia="Garamond" w:hAnsi="Times New Roman"/>
        </w:rPr>
        <w:t xml:space="preserve"> of 6 ore greater</w:t>
      </w:r>
      <w:r w:rsidRPr="006A3DA0">
        <w:rPr>
          <w:rFonts w:ascii="Times New Roman" w:eastAsia="Garamond" w:hAnsi="Times New Roman"/>
        </w:rPr>
        <w:t xml:space="preserve"> were selected for mechanical thrombectomy. Parenchymal imaging with CT or MRI was also performed in the post-acute period to define the areas of infarction. </w:t>
      </w:r>
    </w:p>
    <w:p w14:paraId="751AADAC" w14:textId="77777777" w:rsidR="00C616E7" w:rsidRPr="006A3DA0" w:rsidRDefault="00C616E7" w:rsidP="00C616E7">
      <w:pPr>
        <w:spacing w:line="480" w:lineRule="auto"/>
        <w:rPr>
          <w:rFonts w:ascii="Times New Roman" w:hAnsi="Times New Roman"/>
        </w:rPr>
      </w:pPr>
    </w:p>
    <w:p w14:paraId="1B8597F9" w14:textId="77777777" w:rsidR="00C616E7" w:rsidRDefault="00C616E7" w:rsidP="00C616E7">
      <w:pPr>
        <w:spacing w:line="480" w:lineRule="auto"/>
        <w:rPr>
          <w:rFonts w:ascii="Times New Roman" w:eastAsia="Garamond" w:hAnsi="Times New Roman"/>
        </w:rPr>
      </w:pPr>
      <w:r w:rsidRPr="006A3DA0">
        <w:rPr>
          <w:rFonts w:ascii="Times New Roman" w:eastAsia="Garamond" w:hAnsi="Times New Roman"/>
        </w:rPr>
        <w:t>Demographics including age and sex as well as history of other vascular risk factors like diabetes, hypertension, smoking and atrial fibrillation were collected. COVID-19 related history including other possible underlying conditions (</w:t>
      </w:r>
      <w:r>
        <w:rPr>
          <w:rFonts w:ascii="Times New Roman" w:eastAsia="Garamond" w:hAnsi="Times New Roman"/>
        </w:rPr>
        <w:t>e.g.</w:t>
      </w:r>
      <w:r w:rsidRPr="006A3DA0">
        <w:rPr>
          <w:rFonts w:ascii="Times New Roman" w:eastAsia="Garamond" w:hAnsi="Times New Roman"/>
        </w:rPr>
        <w:t xml:space="preserve"> Asthma, COPD, immunocompromised status), timeline from first symptoms (when available), pulmonary and extra-pulmonary symptoms as well as relevant laboratory information was also collected. Stroke variables included type of clinical presentation, parenchymal and vascular imaging findings, </w:t>
      </w:r>
      <w:r w:rsidRPr="00DE3BDA">
        <w:rPr>
          <w:rFonts w:ascii="Times New Roman" w:eastAsia="Garamond" w:hAnsi="Times New Roman"/>
        </w:rPr>
        <w:t>T</w:t>
      </w:r>
      <w:r w:rsidRPr="00DE3BDA">
        <w:rPr>
          <w:rFonts w:ascii="Times New Roman" w:hAnsi="Times New Roman"/>
          <w:color w:val="000000"/>
          <w:shd w:val="clear" w:color="auto" w:fill="FFFFFF"/>
        </w:rPr>
        <w:t>rial of Org 10172 in Acute Stroke Treatment</w:t>
      </w:r>
      <w:r w:rsidRPr="00DE3BDA">
        <w:rPr>
          <w:rFonts w:ascii="Times New Roman" w:eastAsia="Garamond" w:hAnsi="Times New Roman"/>
        </w:rPr>
        <w:t xml:space="preserve"> (TOAST) criteria for etiology, cardiac history for LVO cases, time and type of treatment from index event and pre-procedural neurological (NIHSS). Outcome variables included the following: discharge mRS, mortality as well as final imaging results. Descriptive statistics were </w:t>
      </w:r>
      <w:r>
        <w:rPr>
          <w:rFonts w:ascii="Times New Roman" w:eastAsia="Garamond" w:hAnsi="Times New Roman"/>
        </w:rPr>
        <w:t>utilized as appropriate.</w:t>
      </w:r>
      <w:r w:rsidRPr="00DE3BDA">
        <w:rPr>
          <w:rFonts w:ascii="Times New Roman" w:eastAsia="Garamond" w:hAnsi="Times New Roman"/>
        </w:rPr>
        <w:t xml:space="preserve">  </w:t>
      </w:r>
    </w:p>
    <w:p w14:paraId="6F23F901" w14:textId="77777777" w:rsidR="00C616E7" w:rsidRDefault="00C616E7" w:rsidP="00C616E7">
      <w:pPr>
        <w:spacing w:line="480" w:lineRule="auto"/>
        <w:rPr>
          <w:rFonts w:ascii="Times New Roman" w:eastAsia="Garamond" w:hAnsi="Times New Roman"/>
        </w:rPr>
      </w:pPr>
    </w:p>
    <w:p w14:paraId="52149B7D" w14:textId="77777777" w:rsidR="00C616E7" w:rsidRPr="00485187" w:rsidRDefault="00C616E7" w:rsidP="00C616E7">
      <w:pPr>
        <w:spacing w:line="480" w:lineRule="auto"/>
        <w:rPr>
          <w:rFonts w:ascii="Times New Roman" w:hAnsi="Times New Roman"/>
          <w:b/>
          <w:bCs/>
        </w:rPr>
      </w:pPr>
      <w:r>
        <w:rPr>
          <w:rFonts w:ascii="Times New Roman" w:hAnsi="Times New Roman"/>
          <w:b/>
          <w:bCs/>
        </w:rPr>
        <w:t>Results</w:t>
      </w:r>
    </w:p>
    <w:p w14:paraId="7B9DFBA0" w14:textId="77777777" w:rsidR="00C616E7" w:rsidRPr="006A3DA0" w:rsidRDefault="00C616E7" w:rsidP="00C616E7">
      <w:pPr>
        <w:spacing w:line="480" w:lineRule="auto"/>
        <w:rPr>
          <w:rFonts w:ascii="Times New Roman" w:hAnsi="Times New Roman"/>
        </w:rPr>
      </w:pPr>
    </w:p>
    <w:p w14:paraId="76CB1492" w14:textId="77777777" w:rsidR="00C616E7" w:rsidRPr="005A307C" w:rsidRDefault="00C616E7" w:rsidP="00C616E7">
      <w:pPr>
        <w:spacing w:line="480" w:lineRule="auto"/>
        <w:rPr>
          <w:rFonts w:ascii="Times New Roman" w:hAnsi="Times New Roman"/>
        </w:rPr>
      </w:pPr>
      <w:r w:rsidRPr="006A3DA0">
        <w:rPr>
          <w:rFonts w:ascii="Times New Roman" w:eastAsia="Garamond" w:hAnsi="Times New Roman"/>
        </w:rPr>
        <w:t xml:space="preserve">Ten patients were included in this case series from four New York </w:t>
      </w:r>
      <w:r>
        <w:rPr>
          <w:rFonts w:ascii="Times New Roman" w:eastAsia="Garamond" w:hAnsi="Times New Roman"/>
        </w:rPr>
        <w:t xml:space="preserve">City </w:t>
      </w:r>
      <w:r w:rsidRPr="006A3DA0">
        <w:rPr>
          <w:rFonts w:ascii="Times New Roman" w:eastAsia="Garamond" w:hAnsi="Times New Roman"/>
        </w:rPr>
        <w:t xml:space="preserve">hospitals: Richmond University Medical Center- Staten Island (1 patient), NYU Langone Health-Brooklyn (2 patients), Jamaica Hospital Medical Center (2 patients) and Brookdale Hospital Medical Center (5 patients). </w:t>
      </w:r>
    </w:p>
    <w:p w14:paraId="67E11129" w14:textId="77777777" w:rsidR="00C616E7" w:rsidRPr="005A307C" w:rsidRDefault="00C616E7" w:rsidP="00C616E7">
      <w:pPr>
        <w:spacing w:line="480" w:lineRule="auto"/>
        <w:rPr>
          <w:rFonts w:ascii="Times New Roman" w:hAnsi="Times New Roman"/>
        </w:rPr>
      </w:pPr>
    </w:p>
    <w:p w14:paraId="405C2FEE" w14:textId="77777777" w:rsidR="00C616E7" w:rsidRPr="005A307C" w:rsidRDefault="00C616E7" w:rsidP="00C616E7">
      <w:pPr>
        <w:spacing w:line="480" w:lineRule="auto"/>
        <w:rPr>
          <w:rFonts w:ascii="Times New Roman" w:eastAsia="Garamond" w:hAnsi="Times New Roman"/>
        </w:rPr>
      </w:pPr>
      <w:r w:rsidRPr="006A3DA0">
        <w:rPr>
          <w:rFonts w:ascii="Times New Roman" w:eastAsia="Garamond" w:hAnsi="Times New Roman"/>
        </w:rPr>
        <w:lastRenderedPageBreak/>
        <w:t>Age of patients ranged between 27 and 75 years. About 80% of the patients had pre-existing conditions, the most common being diabetes (7</w:t>
      </w:r>
      <w:r>
        <w:rPr>
          <w:rFonts w:ascii="Times New Roman" w:eastAsia="Garamond" w:hAnsi="Times New Roman"/>
        </w:rPr>
        <w:t>0%</w:t>
      </w:r>
      <w:r w:rsidRPr="006A3DA0">
        <w:rPr>
          <w:rFonts w:ascii="Times New Roman" w:eastAsia="Garamond" w:hAnsi="Times New Roman"/>
        </w:rPr>
        <w:t>) and hypertension (6</w:t>
      </w:r>
      <w:r>
        <w:rPr>
          <w:rFonts w:ascii="Times New Roman" w:eastAsia="Garamond" w:hAnsi="Times New Roman"/>
        </w:rPr>
        <w:t>0%</w:t>
      </w:r>
      <w:r w:rsidRPr="006A3DA0">
        <w:rPr>
          <w:rFonts w:ascii="Times New Roman" w:eastAsia="Garamond" w:hAnsi="Times New Roman"/>
        </w:rPr>
        <w:t xml:space="preserve">). </w:t>
      </w:r>
      <w:r w:rsidRPr="005A307C">
        <w:rPr>
          <w:rFonts w:ascii="Times New Roman" w:eastAsia="Garamond" w:hAnsi="Times New Roman"/>
        </w:rPr>
        <w:t xml:space="preserve">While some patients had comorbidities, no patient had preexisting atrial fibrillation, coronary disease, or cerebrovascular disease. </w:t>
      </w:r>
      <w:r w:rsidRPr="006A3DA0">
        <w:rPr>
          <w:rFonts w:ascii="Times New Roman" w:eastAsia="Garamond" w:hAnsi="Times New Roman"/>
        </w:rPr>
        <w:t>One of the patients developed atrial fibrillation during the</w:t>
      </w:r>
      <w:r>
        <w:rPr>
          <w:rFonts w:ascii="Times New Roman" w:eastAsia="Garamond" w:hAnsi="Times New Roman"/>
        </w:rPr>
        <w:t>ir course in hospital</w:t>
      </w:r>
      <w:r w:rsidRPr="006A3DA0">
        <w:rPr>
          <w:rFonts w:ascii="Times New Roman" w:eastAsia="Garamond" w:hAnsi="Times New Roman"/>
        </w:rPr>
        <w:t xml:space="preserve">. </w:t>
      </w:r>
      <w:r w:rsidRPr="005A307C">
        <w:rPr>
          <w:rFonts w:ascii="Times New Roman" w:eastAsia="Garamond" w:hAnsi="Times New Roman"/>
        </w:rPr>
        <w:t>The majority of patients encountered (80%) presented to the emergency room (ER) with chief complaints of neurological deficits rather than respiratory symptom</w:t>
      </w:r>
      <w:r>
        <w:rPr>
          <w:rFonts w:ascii="Times New Roman" w:eastAsia="Garamond" w:hAnsi="Times New Roman"/>
        </w:rPr>
        <w:t>s</w:t>
      </w:r>
      <w:r w:rsidRPr="005A307C">
        <w:rPr>
          <w:rFonts w:ascii="Times New Roman" w:eastAsia="Garamond" w:hAnsi="Times New Roman"/>
        </w:rPr>
        <w:t xml:space="preserve"> (Table 1). Non</w:t>
      </w:r>
      <w:r>
        <w:rPr>
          <w:rFonts w:ascii="Times New Roman" w:eastAsia="Garamond" w:hAnsi="Times New Roman"/>
        </w:rPr>
        <w:t>-</w:t>
      </w:r>
      <w:r w:rsidRPr="005A307C">
        <w:rPr>
          <w:rFonts w:ascii="Times New Roman" w:eastAsia="Garamond" w:hAnsi="Times New Roman"/>
        </w:rPr>
        <w:t>large</w:t>
      </w:r>
      <w:r>
        <w:rPr>
          <w:rFonts w:ascii="Times New Roman" w:eastAsia="Garamond" w:hAnsi="Times New Roman"/>
        </w:rPr>
        <w:t xml:space="preserve"> </w:t>
      </w:r>
      <w:r w:rsidRPr="005A307C">
        <w:rPr>
          <w:rFonts w:ascii="Times New Roman" w:eastAsia="Garamond" w:hAnsi="Times New Roman"/>
        </w:rPr>
        <w:t xml:space="preserve">vessel occlusions comprised lacunar infarcts, branch emboli or transient ischemic </w:t>
      </w:r>
      <w:r>
        <w:rPr>
          <w:rFonts w:ascii="Times New Roman" w:eastAsia="Garamond" w:hAnsi="Times New Roman"/>
        </w:rPr>
        <w:t>event</w:t>
      </w:r>
      <w:r w:rsidRPr="005A307C">
        <w:rPr>
          <w:rFonts w:ascii="Times New Roman" w:eastAsia="Garamond" w:hAnsi="Times New Roman"/>
        </w:rPr>
        <w:t xml:space="preserve"> (Table 2). Of note, only two patients (20%) presented within the 4.5 hour window for intravenous thrombolysis. Six (50%) presented more than 12 hours from last known normal and 1 presented more than 24 hours from last known normal. </w:t>
      </w:r>
      <w:bookmarkStart w:id="2" w:name="_Hlk39009615"/>
      <w:r>
        <w:rPr>
          <w:rFonts w:ascii="Times New Roman" w:eastAsia="Garamond" w:hAnsi="Times New Roman"/>
        </w:rPr>
        <w:t>Nine patients (90%) were racial minorities and more than half (60%) were African-American.</w:t>
      </w:r>
      <w:r w:rsidRPr="005A307C">
        <w:rPr>
          <w:rFonts w:ascii="Times New Roman" w:eastAsia="Garamond" w:hAnsi="Times New Roman"/>
        </w:rPr>
        <w:t xml:space="preserve"> </w:t>
      </w:r>
      <w:bookmarkEnd w:id="2"/>
    </w:p>
    <w:p w14:paraId="2BA795BA" w14:textId="77777777" w:rsidR="00C616E7" w:rsidRPr="006A3DA0" w:rsidRDefault="00C616E7" w:rsidP="00C616E7">
      <w:pPr>
        <w:spacing w:line="480" w:lineRule="auto"/>
        <w:rPr>
          <w:rFonts w:ascii="Times New Roman" w:eastAsia="Garamond" w:hAnsi="Times New Roman"/>
        </w:rPr>
      </w:pPr>
    </w:p>
    <w:p w14:paraId="5727D95C" w14:textId="77777777" w:rsidR="00C616E7" w:rsidRDefault="00C616E7" w:rsidP="00C616E7">
      <w:pPr>
        <w:spacing w:line="480" w:lineRule="auto"/>
        <w:rPr>
          <w:rFonts w:ascii="Times New Roman" w:eastAsia="Garamond" w:hAnsi="Times New Roman"/>
        </w:rPr>
      </w:pPr>
      <w:bookmarkStart w:id="3" w:name="_Hlk39251208"/>
      <w:r w:rsidRPr="005A307C">
        <w:rPr>
          <w:rFonts w:ascii="Times New Roman" w:eastAsia="Garamond" w:hAnsi="Times New Roman"/>
        </w:rPr>
        <w:t>The median age of large</w:t>
      </w:r>
      <w:r>
        <w:rPr>
          <w:rFonts w:ascii="Times New Roman" w:eastAsia="Garamond" w:hAnsi="Times New Roman"/>
        </w:rPr>
        <w:t xml:space="preserve"> </w:t>
      </w:r>
      <w:r w:rsidRPr="005A307C">
        <w:rPr>
          <w:rFonts w:ascii="Times New Roman" w:eastAsia="Garamond" w:hAnsi="Times New Roman"/>
        </w:rPr>
        <w:t xml:space="preserve">vessel stroke </w:t>
      </w:r>
      <w:r>
        <w:rPr>
          <w:rFonts w:ascii="Times New Roman" w:eastAsia="Garamond" w:hAnsi="Times New Roman"/>
        </w:rPr>
        <w:t xml:space="preserve">patients </w:t>
      </w:r>
      <w:r w:rsidRPr="005A307C">
        <w:rPr>
          <w:rFonts w:ascii="Times New Roman" w:eastAsia="Garamond" w:hAnsi="Times New Roman"/>
        </w:rPr>
        <w:t xml:space="preserve">was 46 years, the youngest </w:t>
      </w:r>
      <w:r>
        <w:rPr>
          <w:rFonts w:ascii="Times New Roman" w:eastAsia="Garamond" w:hAnsi="Times New Roman"/>
        </w:rPr>
        <w:t>being in the twenties</w:t>
      </w:r>
      <w:r w:rsidRPr="005A307C">
        <w:rPr>
          <w:rFonts w:ascii="Times New Roman" w:eastAsia="Garamond" w:hAnsi="Times New Roman"/>
        </w:rPr>
        <w:t>.</w:t>
      </w:r>
      <w:r>
        <w:rPr>
          <w:rFonts w:ascii="Times New Roman" w:eastAsia="Garamond" w:hAnsi="Times New Roman"/>
        </w:rPr>
        <w:t xml:space="preserve"> Median NIHSS was 24.</w:t>
      </w:r>
      <w:r w:rsidRPr="005A307C">
        <w:rPr>
          <w:rFonts w:ascii="Times New Roman" w:eastAsia="Garamond" w:hAnsi="Times New Roman"/>
        </w:rPr>
        <w:t xml:space="preserve"> </w:t>
      </w:r>
      <w:r>
        <w:rPr>
          <w:rFonts w:ascii="Times New Roman" w:eastAsia="Garamond" w:hAnsi="Times New Roman"/>
        </w:rPr>
        <w:t>While</w:t>
      </w:r>
      <w:r w:rsidRPr="006A3DA0">
        <w:rPr>
          <w:rFonts w:ascii="Times New Roman" w:eastAsia="Garamond" w:hAnsi="Times New Roman"/>
        </w:rPr>
        <w:t xml:space="preserve"> 80% of the patients had pre-existing conditions, the most common being diabetes (</w:t>
      </w:r>
      <w:r>
        <w:rPr>
          <w:rFonts w:ascii="Times New Roman" w:eastAsia="Garamond" w:hAnsi="Times New Roman"/>
        </w:rPr>
        <w:t>70%</w:t>
      </w:r>
      <w:r w:rsidRPr="006A3DA0">
        <w:rPr>
          <w:rFonts w:ascii="Times New Roman" w:eastAsia="Garamond" w:hAnsi="Times New Roman"/>
        </w:rPr>
        <w:t>) and hypertension (60</w:t>
      </w:r>
      <w:r>
        <w:rPr>
          <w:rFonts w:ascii="Times New Roman" w:eastAsia="Garamond" w:hAnsi="Times New Roman"/>
        </w:rPr>
        <w:t>%</w:t>
      </w:r>
      <w:r w:rsidRPr="006A3DA0">
        <w:rPr>
          <w:rFonts w:ascii="Times New Roman" w:eastAsia="Garamond" w:hAnsi="Times New Roman"/>
        </w:rPr>
        <w:t>)</w:t>
      </w:r>
      <w:r>
        <w:rPr>
          <w:rFonts w:ascii="Times New Roman" w:eastAsia="Garamond" w:hAnsi="Times New Roman"/>
        </w:rPr>
        <w:t>,</w:t>
      </w:r>
      <w:r w:rsidRPr="006A3DA0">
        <w:rPr>
          <w:rFonts w:ascii="Times New Roman" w:eastAsia="Garamond" w:hAnsi="Times New Roman"/>
        </w:rPr>
        <w:t xml:space="preserve"> </w:t>
      </w:r>
      <w:r>
        <w:rPr>
          <w:rFonts w:ascii="Times New Roman" w:eastAsia="Garamond" w:hAnsi="Times New Roman"/>
        </w:rPr>
        <w:t xml:space="preserve">no patient had known </w:t>
      </w:r>
      <w:r w:rsidRPr="006A3DA0">
        <w:rPr>
          <w:rFonts w:ascii="Times New Roman" w:eastAsia="Garamond" w:hAnsi="Times New Roman"/>
        </w:rPr>
        <w:t>c</w:t>
      </w:r>
      <w:r>
        <w:rPr>
          <w:rFonts w:ascii="Times New Roman" w:eastAsia="Garamond" w:hAnsi="Times New Roman"/>
        </w:rPr>
        <w:t xml:space="preserve">oronary disease, cerebrovascular disease, or </w:t>
      </w:r>
      <w:r w:rsidRPr="006A3DA0">
        <w:rPr>
          <w:rFonts w:ascii="Times New Roman" w:eastAsia="Garamond" w:hAnsi="Times New Roman"/>
        </w:rPr>
        <w:t>atrial fibrillation</w:t>
      </w:r>
      <w:bookmarkStart w:id="4" w:name="_Hlk39251224"/>
      <w:r w:rsidRPr="006A3DA0">
        <w:rPr>
          <w:rFonts w:ascii="Times New Roman" w:eastAsia="Garamond" w:hAnsi="Times New Roman"/>
        </w:rPr>
        <w:t>. One of the patients developed atrial fibrillation during the</w:t>
      </w:r>
      <w:r>
        <w:rPr>
          <w:rFonts w:ascii="Times New Roman" w:eastAsia="Garamond" w:hAnsi="Times New Roman"/>
        </w:rPr>
        <w:t>ir</w:t>
      </w:r>
      <w:r w:rsidRPr="006A3DA0">
        <w:rPr>
          <w:rFonts w:ascii="Times New Roman" w:eastAsia="Garamond" w:hAnsi="Times New Roman"/>
        </w:rPr>
        <w:t xml:space="preserve"> hospital course. </w:t>
      </w:r>
      <w:bookmarkEnd w:id="4"/>
      <w:r w:rsidRPr="005A307C">
        <w:rPr>
          <w:rFonts w:ascii="Times New Roman" w:eastAsia="Garamond" w:hAnsi="Times New Roman"/>
        </w:rPr>
        <w:t xml:space="preserve">Three patients reported no prior viral symptoms at the time of presentation. </w:t>
      </w:r>
      <w:bookmarkEnd w:id="3"/>
      <w:r>
        <w:rPr>
          <w:rFonts w:ascii="Times New Roman" w:eastAsia="Garamond" w:hAnsi="Times New Roman"/>
        </w:rPr>
        <w:t>The most</w:t>
      </w:r>
      <w:r w:rsidRPr="006A3DA0">
        <w:rPr>
          <w:rFonts w:ascii="Times New Roman" w:eastAsia="Garamond" w:hAnsi="Times New Roman"/>
        </w:rPr>
        <w:t xml:space="preserve"> common viral illness complaints were cough and fever</w:t>
      </w:r>
      <w:r>
        <w:rPr>
          <w:rFonts w:ascii="Times New Roman" w:eastAsia="Garamond" w:hAnsi="Times New Roman"/>
        </w:rPr>
        <w:t xml:space="preserve">. </w:t>
      </w:r>
      <w:r w:rsidRPr="006A3DA0">
        <w:rPr>
          <w:rFonts w:ascii="Times New Roman" w:eastAsia="Garamond" w:hAnsi="Times New Roman"/>
        </w:rPr>
        <w:t xml:space="preserve">Time interval from onset of viral illness to neurological complications was 1-21 days. Two patients who presented with LVO had no prior complaints of viral illness but went on to develop a severe course of the disease.  </w:t>
      </w:r>
    </w:p>
    <w:p w14:paraId="2ECA81A1" w14:textId="77777777" w:rsidR="00C616E7" w:rsidRPr="006A3DA0" w:rsidRDefault="00C616E7" w:rsidP="00C616E7">
      <w:pPr>
        <w:spacing w:line="480" w:lineRule="auto"/>
        <w:rPr>
          <w:rFonts w:ascii="Times New Roman" w:hAnsi="Times New Roman"/>
        </w:rPr>
      </w:pPr>
    </w:p>
    <w:p w14:paraId="29DBC3D9" w14:textId="77777777" w:rsidR="00C616E7" w:rsidRDefault="00C616E7" w:rsidP="00C616E7">
      <w:pPr>
        <w:spacing w:line="480" w:lineRule="auto"/>
        <w:rPr>
          <w:rFonts w:ascii="Times New Roman" w:eastAsia="Garamond" w:hAnsi="Times New Roman"/>
        </w:rPr>
      </w:pPr>
      <w:r w:rsidRPr="006A3DA0">
        <w:rPr>
          <w:rFonts w:ascii="Times New Roman" w:eastAsia="Garamond" w:hAnsi="Times New Roman"/>
        </w:rPr>
        <w:lastRenderedPageBreak/>
        <w:t xml:space="preserve">Laboratory findings included elevated D-dimer, Neutrophil to Lymphocyte Ratio (NLR), ferritin and lactate dehydrogenase (LDH) and they correlated with severity of viral illness.  Four patients also had renal involvement. One patient who presented with emergent LVO, 21 days after viral illness, was suspected to have cardiac involvement due to COVID-19. The latter patient’s transthoracic echocardiogram (TTE) showed left ventricular ejection fraction (LVEF) of 26% and global LV hypokinesis.  No deep venous thromboses or pulmonary embolisms were detected in our case series. </w:t>
      </w:r>
    </w:p>
    <w:p w14:paraId="6EF524CF" w14:textId="77777777" w:rsidR="00C616E7" w:rsidRPr="006A3DA0" w:rsidRDefault="00C616E7" w:rsidP="00C616E7">
      <w:pPr>
        <w:spacing w:line="480" w:lineRule="auto"/>
        <w:rPr>
          <w:rFonts w:ascii="Times New Roman" w:hAnsi="Times New Roman"/>
        </w:rPr>
      </w:pPr>
    </w:p>
    <w:p w14:paraId="4D921641" w14:textId="77777777" w:rsidR="00C616E7" w:rsidRDefault="00C616E7" w:rsidP="00C616E7">
      <w:pPr>
        <w:spacing w:line="480" w:lineRule="auto"/>
        <w:rPr>
          <w:rFonts w:ascii="Times New Roman" w:eastAsia="Garamond" w:hAnsi="Times New Roman"/>
        </w:rPr>
      </w:pPr>
      <w:r w:rsidRPr="006A3DA0">
        <w:rPr>
          <w:rFonts w:ascii="Times New Roman" w:eastAsia="Garamond" w:hAnsi="Times New Roman"/>
        </w:rPr>
        <w:t xml:space="preserve">Three of five patients who presented with large vessel occlusion (LVO) underwent thrombectomy. Two of them received tPA and had good post-thrombectomy reperfusion. </w:t>
      </w:r>
      <w:r>
        <w:rPr>
          <w:rFonts w:ascii="Times New Roman" w:eastAsia="Garamond" w:hAnsi="Times New Roman"/>
        </w:rPr>
        <w:t>Nevertheless</w:t>
      </w:r>
      <w:r w:rsidRPr="005A307C">
        <w:rPr>
          <w:rFonts w:ascii="Times New Roman" w:eastAsia="Garamond" w:hAnsi="Times New Roman"/>
        </w:rPr>
        <w:t>, all but one demonstrated infarct on follow-up imaging.</w:t>
      </w:r>
      <w:r w:rsidRPr="006A3DA0">
        <w:rPr>
          <w:rFonts w:ascii="Times New Roman" w:eastAsia="Garamond" w:hAnsi="Times New Roman"/>
        </w:rPr>
        <w:t xml:space="preserve"> Most of the patients did poorly with mortality seen in three out of the five and one still critically ill. None were independent at the time of discharge</w:t>
      </w:r>
      <w:r w:rsidRPr="005A307C">
        <w:rPr>
          <w:rFonts w:ascii="Times New Roman" w:eastAsia="Garamond" w:hAnsi="Times New Roman"/>
        </w:rPr>
        <w:t xml:space="preserve">. </w:t>
      </w:r>
      <w:r w:rsidRPr="006A3DA0">
        <w:rPr>
          <w:rFonts w:ascii="Times New Roman" w:eastAsia="Garamond" w:hAnsi="Times New Roman"/>
        </w:rPr>
        <w:t>The mortality in two cases was secondary to pulmonary complications while one was due to infarct progression. The median age was 46 and NIHSS was 24. They also had a more severe form of viral illness compared with non-LVO patients. (Table 1</w:t>
      </w:r>
      <w:r>
        <w:rPr>
          <w:rFonts w:ascii="Times New Roman" w:eastAsia="Garamond" w:hAnsi="Times New Roman"/>
        </w:rPr>
        <w:t>)</w:t>
      </w:r>
    </w:p>
    <w:p w14:paraId="786C9B98" w14:textId="77777777" w:rsidR="00C616E7" w:rsidRDefault="00C616E7" w:rsidP="00C616E7">
      <w:pPr>
        <w:spacing w:line="480" w:lineRule="auto"/>
        <w:rPr>
          <w:rFonts w:ascii="Times New Roman" w:eastAsia="Garamond" w:hAnsi="Times New Roman"/>
        </w:rPr>
      </w:pPr>
    </w:p>
    <w:p w14:paraId="7DAB3604" w14:textId="77777777" w:rsidR="002B58CA" w:rsidRPr="00100004" w:rsidRDefault="002B58CA" w:rsidP="002B58CA">
      <w:pPr>
        <w:rPr>
          <w:rFonts w:ascii="Garamond" w:hAnsi="Garamond"/>
        </w:rPr>
      </w:pPr>
      <w:r w:rsidRPr="007963BD">
        <w:rPr>
          <w:rFonts w:ascii="Garamond" w:hAnsi="Garamond"/>
          <w:sz w:val="20"/>
          <w:szCs w:val="20"/>
        </w:rPr>
        <w:t xml:space="preserve">Table 1: Characteristics of Patients with Large Vessel Occlusion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38"/>
        <w:gridCol w:w="1516"/>
        <w:gridCol w:w="1421"/>
        <w:gridCol w:w="1344"/>
        <w:gridCol w:w="1421"/>
      </w:tblGrid>
      <w:tr w:rsidR="002B58CA" w:rsidRPr="00415C63" w14:paraId="121039F2" w14:textId="77777777" w:rsidTr="002B58CA">
        <w:trPr>
          <w:trHeight w:val="251"/>
        </w:trPr>
        <w:tc>
          <w:tcPr>
            <w:tcW w:w="1530" w:type="dxa"/>
            <w:shd w:val="clear" w:color="auto" w:fill="auto"/>
          </w:tcPr>
          <w:p w14:paraId="2C44375B" w14:textId="77777777" w:rsidR="002B58CA" w:rsidRPr="00415C63" w:rsidRDefault="002B58CA" w:rsidP="002B58CA">
            <w:pPr>
              <w:rPr>
                <w:rFonts w:ascii="Garamond" w:hAnsi="Garamond"/>
                <w:sz w:val="20"/>
                <w:szCs w:val="20"/>
              </w:rPr>
            </w:pPr>
            <w:r w:rsidRPr="00415C63">
              <w:rPr>
                <w:rFonts w:ascii="Garamond" w:hAnsi="Garamond"/>
                <w:sz w:val="20"/>
                <w:szCs w:val="20"/>
              </w:rPr>
              <w:t>Characteristic</w:t>
            </w:r>
          </w:p>
        </w:tc>
        <w:tc>
          <w:tcPr>
            <w:tcW w:w="1638" w:type="dxa"/>
            <w:shd w:val="clear" w:color="auto" w:fill="auto"/>
          </w:tcPr>
          <w:p w14:paraId="500C7A4B" w14:textId="77777777" w:rsidR="002B58CA" w:rsidRPr="00415C63" w:rsidRDefault="002B58CA" w:rsidP="002B58CA">
            <w:pPr>
              <w:rPr>
                <w:rFonts w:ascii="Garamond" w:hAnsi="Garamond"/>
                <w:sz w:val="20"/>
                <w:szCs w:val="20"/>
              </w:rPr>
            </w:pPr>
            <w:r w:rsidRPr="00415C63">
              <w:rPr>
                <w:rFonts w:ascii="Garamond" w:hAnsi="Garamond"/>
                <w:sz w:val="20"/>
                <w:szCs w:val="20"/>
              </w:rPr>
              <w:t>Patient 1</w:t>
            </w:r>
          </w:p>
        </w:tc>
        <w:tc>
          <w:tcPr>
            <w:tcW w:w="1516" w:type="dxa"/>
            <w:shd w:val="clear" w:color="auto" w:fill="auto"/>
          </w:tcPr>
          <w:p w14:paraId="09BC8017" w14:textId="77777777" w:rsidR="002B58CA" w:rsidRPr="00415C63" w:rsidRDefault="002B58CA" w:rsidP="002B58CA">
            <w:pPr>
              <w:rPr>
                <w:rFonts w:ascii="Garamond" w:hAnsi="Garamond"/>
                <w:sz w:val="20"/>
                <w:szCs w:val="20"/>
              </w:rPr>
            </w:pPr>
            <w:r w:rsidRPr="00415C63">
              <w:rPr>
                <w:rFonts w:ascii="Garamond" w:hAnsi="Garamond"/>
                <w:sz w:val="20"/>
                <w:szCs w:val="20"/>
              </w:rPr>
              <w:t>Patient 2</w:t>
            </w:r>
          </w:p>
        </w:tc>
        <w:tc>
          <w:tcPr>
            <w:tcW w:w="1421" w:type="dxa"/>
            <w:shd w:val="clear" w:color="auto" w:fill="auto"/>
          </w:tcPr>
          <w:p w14:paraId="1F8ABAF7" w14:textId="77777777" w:rsidR="002B58CA" w:rsidRPr="00415C63" w:rsidRDefault="002B58CA" w:rsidP="002B58CA">
            <w:pPr>
              <w:rPr>
                <w:rFonts w:ascii="Garamond" w:hAnsi="Garamond"/>
                <w:sz w:val="20"/>
                <w:szCs w:val="20"/>
              </w:rPr>
            </w:pPr>
            <w:r w:rsidRPr="00415C63">
              <w:rPr>
                <w:rFonts w:ascii="Garamond" w:hAnsi="Garamond"/>
                <w:sz w:val="20"/>
                <w:szCs w:val="20"/>
              </w:rPr>
              <w:t>Patient 3</w:t>
            </w:r>
          </w:p>
        </w:tc>
        <w:tc>
          <w:tcPr>
            <w:tcW w:w="1344" w:type="dxa"/>
            <w:shd w:val="clear" w:color="auto" w:fill="auto"/>
          </w:tcPr>
          <w:p w14:paraId="28334995" w14:textId="77777777" w:rsidR="002B58CA" w:rsidRPr="00415C63" w:rsidRDefault="002B58CA" w:rsidP="002B58CA">
            <w:pPr>
              <w:rPr>
                <w:rFonts w:ascii="Garamond" w:hAnsi="Garamond"/>
                <w:sz w:val="20"/>
                <w:szCs w:val="20"/>
              </w:rPr>
            </w:pPr>
            <w:r w:rsidRPr="00415C63">
              <w:rPr>
                <w:rFonts w:ascii="Garamond" w:hAnsi="Garamond"/>
                <w:sz w:val="20"/>
                <w:szCs w:val="20"/>
              </w:rPr>
              <w:t>Patient 4</w:t>
            </w:r>
          </w:p>
        </w:tc>
        <w:tc>
          <w:tcPr>
            <w:tcW w:w="1421" w:type="dxa"/>
            <w:shd w:val="clear" w:color="auto" w:fill="auto"/>
          </w:tcPr>
          <w:p w14:paraId="529AA747" w14:textId="77777777" w:rsidR="002B58CA" w:rsidRPr="00415C63" w:rsidRDefault="002B58CA" w:rsidP="002B58CA">
            <w:pPr>
              <w:rPr>
                <w:rFonts w:ascii="Garamond" w:hAnsi="Garamond"/>
                <w:sz w:val="20"/>
                <w:szCs w:val="20"/>
              </w:rPr>
            </w:pPr>
            <w:r w:rsidRPr="00415C63">
              <w:rPr>
                <w:rFonts w:ascii="Garamond" w:hAnsi="Garamond"/>
                <w:sz w:val="20"/>
                <w:szCs w:val="20"/>
              </w:rPr>
              <w:t>Patient 5</w:t>
            </w:r>
          </w:p>
        </w:tc>
      </w:tr>
      <w:tr w:rsidR="002B58CA" w:rsidRPr="00415C63" w14:paraId="6EEB9ACF" w14:textId="77777777" w:rsidTr="002B58CA">
        <w:tc>
          <w:tcPr>
            <w:tcW w:w="8870" w:type="dxa"/>
            <w:gridSpan w:val="6"/>
            <w:shd w:val="clear" w:color="auto" w:fill="auto"/>
          </w:tcPr>
          <w:p w14:paraId="138BA2A7" w14:textId="77777777" w:rsidR="002B58CA" w:rsidRPr="00415C63" w:rsidRDefault="002B58CA" w:rsidP="002B58CA">
            <w:pPr>
              <w:rPr>
                <w:rFonts w:ascii="Garamond" w:hAnsi="Garamond"/>
                <w:sz w:val="20"/>
                <w:szCs w:val="20"/>
              </w:rPr>
            </w:pPr>
            <w:r w:rsidRPr="00415C63">
              <w:rPr>
                <w:rFonts w:ascii="Garamond" w:hAnsi="Garamond"/>
                <w:sz w:val="20"/>
                <w:szCs w:val="20"/>
              </w:rPr>
              <w:t>Demographics</w:t>
            </w:r>
          </w:p>
        </w:tc>
      </w:tr>
      <w:tr w:rsidR="002B58CA" w:rsidRPr="00415C63" w14:paraId="0CECC0EA" w14:textId="77777777" w:rsidTr="002B58CA">
        <w:tc>
          <w:tcPr>
            <w:tcW w:w="1530" w:type="dxa"/>
            <w:shd w:val="clear" w:color="auto" w:fill="auto"/>
          </w:tcPr>
          <w:p w14:paraId="5F9EF59A" w14:textId="77777777" w:rsidR="002B58CA" w:rsidRPr="00415C63" w:rsidRDefault="002B58CA" w:rsidP="002B58CA">
            <w:pPr>
              <w:rPr>
                <w:rFonts w:ascii="Garamond" w:hAnsi="Garamond"/>
                <w:sz w:val="20"/>
                <w:szCs w:val="20"/>
              </w:rPr>
            </w:pPr>
            <w:r w:rsidRPr="00415C63">
              <w:rPr>
                <w:rFonts w:ascii="Garamond" w:hAnsi="Garamond"/>
                <w:sz w:val="20"/>
                <w:szCs w:val="20"/>
              </w:rPr>
              <w:t>Age (years)</w:t>
            </w:r>
          </w:p>
        </w:tc>
        <w:tc>
          <w:tcPr>
            <w:tcW w:w="1638" w:type="dxa"/>
            <w:shd w:val="clear" w:color="auto" w:fill="auto"/>
          </w:tcPr>
          <w:p w14:paraId="7040FF44" w14:textId="7F15B071" w:rsidR="002B58CA" w:rsidRPr="00415C63" w:rsidRDefault="002B58CA" w:rsidP="002B58CA">
            <w:pPr>
              <w:rPr>
                <w:rFonts w:ascii="Garamond" w:hAnsi="Garamond"/>
                <w:sz w:val="20"/>
                <w:szCs w:val="20"/>
              </w:rPr>
            </w:pPr>
            <w:r w:rsidRPr="00415C63">
              <w:rPr>
                <w:rFonts w:ascii="Garamond" w:hAnsi="Garamond"/>
                <w:sz w:val="20"/>
                <w:szCs w:val="20"/>
              </w:rPr>
              <w:t>5</w:t>
            </w:r>
            <w:r w:rsidR="00EA45BA">
              <w:rPr>
                <w:rFonts w:ascii="Garamond" w:hAnsi="Garamond"/>
                <w:sz w:val="20"/>
                <w:szCs w:val="20"/>
              </w:rPr>
              <w:t>0-60</w:t>
            </w:r>
          </w:p>
        </w:tc>
        <w:tc>
          <w:tcPr>
            <w:tcW w:w="1516" w:type="dxa"/>
            <w:shd w:val="clear" w:color="auto" w:fill="auto"/>
          </w:tcPr>
          <w:p w14:paraId="088DCA3E" w14:textId="2BBD7D70" w:rsidR="002B58CA" w:rsidRPr="00415C63" w:rsidRDefault="002B58CA" w:rsidP="002B58CA">
            <w:pPr>
              <w:rPr>
                <w:rFonts w:ascii="Garamond" w:hAnsi="Garamond"/>
                <w:sz w:val="20"/>
                <w:szCs w:val="20"/>
              </w:rPr>
            </w:pPr>
            <w:r w:rsidRPr="00415C63">
              <w:rPr>
                <w:rFonts w:ascii="Garamond" w:hAnsi="Garamond"/>
                <w:sz w:val="20"/>
                <w:szCs w:val="20"/>
              </w:rPr>
              <w:t>7</w:t>
            </w:r>
            <w:r w:rsidR="00EA45BA">
              <w:rPr>
                <w:rFonts w:ascii="Garamond" w:hAnsi="Garamond"/>
                <w:sz w:val="20"/>
                <w:szCs w:val="20"/>
              </w:rPr>
              <w:t>0-80</w:t>
            </w:r>
          </w:p>
        </w:tc>
        <w:tc>
          <w:tcPr>
            <w:tcW w:w="1421" w:type="dxa"/>
            <w:shd w:val="clear" w:color="auto" w:fill="auto"/>
          </w:tcPr>
          <w:p w14:paraId="42946DC9" w14:textId="0C69A7A0" w:rsidR="002B58CA" w:rsidRPr="00415C63" w:rsidRDefault="00EA45BA" w:rsidP="002B58CA">
            <w:pPr>
              <w:rPr>
                <w:rFonts w:ascii="Garamond" w:hAnsi="Garamond"/>
                <w:sz w:val="20"/>
                <w:szCs w:val="20"/>
              </w:rPr>
            </w:pPr>
            <w:r>
              <w:rPr>
                <w:rFonts w:ascii="Garamond" w:hAnsi="Garamond"/>
                <w:sz w:val="20"/>
                <w:szCs w:val="20"/>
              </w:rPr>
              <w:t>30-40</w:t>
            </w:r>
          </w:p>
        </w:tc>
        <w:tc>
          <w:tcPr>
            <w:tcW w:w="1344" w:type="dxa"/>
            <w:shd w:val="clear" w:color="auto" w:fill="auto"/>
          </w:tcPr>
          <w:p w14:paraId="534499E0" w14:textId="3FC7B29B" w:rsidR="002B58CA" w:rsidRPr="00415C63" w:rsidRDefault="002B58CA" w:rsidP="002B58CA">
            <w:pPr>
              <w:rPr>
                <w:rFonts w:ascii="Garamond" w:hAnsi="Garamond"/>
                <w:sz w:val="20"/>
                <w:szCs w:val="20"/>
              </w:rPr>
            </w:pPr>
            <w:r w:rsidRPr="00415C63">
              <w:rPr>
                <w:rFonts w:ascii="Garamond" w:hAnsi="Garamond"/>
                <w:sz w:val="20"/>
                <w:szCs w:val="20"/>
              </w:rPr>
              <w:t>4</w:t>
            </w:r>
            <w:r w:rsidR="00EA45BA">
              <w:rPr>
                <w:rFonts w:ascii="Garamond" w:hAnsi="Garamond"/>
                <w:sz w:val="20"/>
                <w:szCs w:val="20"/>
              </w:rPr>
              <w:t>0-50</w:t>
            </w:r>
          </w:p>
        </w:tc>
        <w:tc>
          <w:tcPr>
            <w:tcW w:w="1421" w:type="dxa"/>
            <w:shd w:val="clear" w:color="auto" w:fill="auto"/>
          </w:tcPr>
          <w:p w14:paraId="09D008C2" w14:textId="69D61F67" w:rsidR="002B58CA" w:rsidRPr="00415C63" w:rsidRDefault="002B58CA" w:rsidP="002B58CA">
            <w:pPr>
              <w:rPr>
                <w:rFonts w:ascii="Garamond" w:hAnsi="Garamond"/>
                <w:sz w:val="20"/>
                <w:szCs w:val="20"/>
              </w:rPr>
            </w:pPr>
            <w:r w:rsidRPr="00415C63">
              <w:rPr>
                <w:rFonts w:ascii="Garamond" w:hAnsi="Garamond"/>
                <w:sz w:val="20"/>
                <w:szCs w:val="20"/>
              </w:rPr>
              <w:t>2</w:t>
            </w:r>
            <w:r w:rsidR="00EA45BA">
              <w:rPr>
                <w:rFonts w:ascii="Garamond" w:hAnsi="Garamond"/>
                <w:sz w:val="20"/>
                <w:szCs w:val="20"/>
              </w:rPr>
              <w:t>0-30</w:t>
            </w:r>
          </w:p>
        </w:tc>
      </w:tr>
      <w:tr w:rsidR="002B58CA" w:rsidRPr="00415C63" w14:paraId="3CC852B5" w14:textId="77777777" w:rsidTr="002B58CA">
        <w:tc>
          <w:tcPr>
            <w:tcW w:w="1530" w:type="dxa"/>
            <w:shd w:val="clear" w:color="auto" w:fill="auto"/>
          </w:tcPr>
          <w:p w14:paraId="71B17A97" w14:textId="77777777" w:rsidR="002B58CA" w:rsidRPr="00415C63" w:rsidRDefault="002B58CA" w:rsidP="002B58CA">
            <w:pPr>
              <w:rPr>
                <w:rFonts w:ascii="Garamond" w:hAnsi="Garamond"/>
                <w:sz w:val="20"/>
                <w:szCs w:val="20"/>
              </w:rPr>
            </w:pPr>
            <w:r>
              <w:rPr>
                <w:rFonts w:ascii="Garamond" w:hAnsi="Garamond"/>
                <w:sz w:val="20"/>
                <w:szCs w:val="20"/>
              </w:rPr>
              <w:t>Race</w:t>
            </w:r>
          </w:p>
        </w:tc>
        <w:tc>
          <w:tcPr>
            <w:tcW w:w="1638" w:type="dxa"/>
            <w:shd w:val="clear" w:color="auto" w:fill="auto"/>
          </w:tcPr>
          <w:p w14:paraId="40B8EBCA" w14:textId="641B478B" w:rsidR="002B58CA" w:rsidRPr="00415C63" w:rsidRDefault="002B58CA" w:rsidP="002B58CA">
            <w:pPr>
              <w:rPr>
                <w:rFonts w:ascii="Garamond" w:hAnsi="Garamond"/>
                <w:sz w:val="20"/>
                <w:szCs w:val="20"/>
              </w:rPr>
            </w:pPr>
            <w:r>
              <w:rPr>
                <w:rFonts w:ascii="Garamond" w:hAnsi="Garamond"/>
                <w:sz w:val="20"/>
                <w:szCs w:val="20"/>
              </w:rPr>
              <w:t>Asian</w:t>
            </w:r>
          </w:p>
        </w:tc>
        <w:tc>
          <w:tcPr>
            <w:tcW w:w="1516" w:type="dxa"/>
            <w:shd w:val="clear" w:color="auto" w:fill="auto"/>
          </w:tcPr>
          <w:p w14:paraId="113A84D2" w14:textId="77777777" w:rsidR="002B58CA" w:rsidRPr="00415C63" w:rsidRDefault="002B58CA" w:rsidP="002B58CA">
            <w:pPr>
              <w:rPr>
                <w:rFonts w:ascii="Garamond" w:hAnsi="Garamond"/>
                <w:sz w:val="20"/>
                <w:szCs w:val="20"/>
              </w:rPr>
            </w:pPr>
            <w:r>
              <w:rPr>
                <w:rFonts w:ascii="Garamond" w:hAnsi="Garamond"/>
                <w:sz w:val="20"/>
                <w:szCs w:val="20"/>
              </w:rPr>
              <w:t>Hispanic</w:t>
            </w:r>
          </w:p>
        </w:tc>
        <w:tc>
          <w:tcPr>
            <w:tcW w:w="1421" w:type="dxa"/>
            <w:shd w:val="clear" w:color="auto" w:fill="auto"/>
          </w:tcPr>
          <w:p w14:paraId="0D061700" w14:textId="370B7EA3" w:rsidR="002B58CA" w:rsidRPr="00415C63" w:rsidRDefault="00EA45BA" w:rsidP="002B58CA">
            <w:pPr>
              <w:rPr>
                <w:rFonts w:ascii="Garamond" w:hAnsi="Garamond"/>
                <w:sz w:val="20"/>
                <w:szCs w:val="20"/>
              </w:rPr>
            </w:pPr>
            <w:r>
              <w:rPr>
                <w:rFonts w:ascii="Garamond" w:hAnsi="Garamond"/>
                <w:sz w:val="20"/>
                <w:szCs w:val="20"/>
              </w:rPr>
              <w:t>African American</w:t>
            </w:r>
          </w:p>
        </w:tc>
        <w:tc>
          <w:tcPr>
            <w:tcW w:w="1344" w:type="dxa"/>
            <w:shd w:val="clear" w:color="auto" w:fill="auto"/>
          </w:tcPr>
          <w:p w14:paraId="3DAD2302" w14:textId="28682F31" w:rsidR="002B58CA" w:rsidRPr="00415C63" w:rsidRDefault="00EA45BA" w:rsidP="002B58CA">
            <w:pPr>
              <w:rPr>
                <w:rFonts w:ascii="Garamond" w:hAnsi="Garamond"/>
                <w:sz w:val="20"/>
                <w:szCs w:val="20"/>
              </w:rPr>
            </w:pPr>
            <w:r>
              <w:rPr>
                <w:rFonts w:ascii="Garamond" w:hAnsi="Garamond"/>
                <w:sz w:val="20"/>
                <w:szCs w:val="20"/>
              </w:rPr>
              <w:t>African American</w:t>
            </w:r>
          </w:p>
        </w:tc>
        <w:tc>
          <w:tcPr>
            <w:tcW w:w="1421" w:type="dxa"/>
            <w:shd w:val="clear" w:color="auto" w:fill="auto"/>
          </w:tcPr>
          <w:p w14:paraId="3624CC8F" w14:textId="7C532B2A" w:rsidR="002B58CA" w:rsidRPr="00415C63" w:rsidRDefault="002B58CA" w:rsidP="002B58CA">
            <w:pPr>
              <w:rPr>
                <w:rFonts w:ascii="Garamond" w:hAnsi="Garamond"/>
                <w:sz w:val="20"/>
                <w:szCs w:val="20"/>
              </w:rPr>
            </w:pPr>
            <w:r>
              <w:rPr>
                <w:rFonts w:ascii="Garamond" w:hAnsi="Garamond"/>
                <w:sz w:val="20"/>
                <w:szCs w:val="20"/>
              </w:rPr>
              <w:t>Asian</w:t>
            </w:r>
          </w:p>
        </w:tc>
      </w:tr>
      <w:tr w:rsidR="002B58CA" w:rsidRPr="00415C63" w14:paraId="18D687E1" w14:textId="77777777" w:rsidTr="002B58CA">
        <w:tc>
          <w:tcPr>
            <w:tcW w:w="1530" w:type="dxa"/>
            <w:shd w:val="clear" w:color="auto" w:fill="auto"/>
          </w:tcPr>
          <w:p w14:paraId="6C19AB8A" w14:textId="77777777" w:rsidR="002B58CA" w:rsidRPr="00415C63" w:rsidRDefault="002B58CA" w:rsidP="002B58CA">
            <w:pPr>
              <w:rPr>
                <w:rFonts w:ascii="Garamond" w:hAnsi="Garamond"/>
                <w:sz w:val="20"/>
                <w:szCs w:val="20"/>
              </w:rPr>
            </w:pPr>
            <w:r w:rsidRPr="00415C63">
              <w:rPr>
                <w:rFonts w:ascii="Garamond" w:hAnsi="Garamond"/>
                <w:sz w:val="20"/>
                <w:szCs w:val="20"/>
              </w:rPr>
              <w:t>Sex</w:t>
            </w:r>
          </w:p>
        </w:tc>
        <w:tc>
          <w:tcPr>
            <w:tcW w:w="1638" w:type="dxa"/>
            <w:shd w:val="clear" w:color="auto" w:fill="auto"/>
          </w:tcPr>
          <w:p w14:paraId="2FD6B968" w14:textId="77777777" w:rsidR="002B58CA" w:rsidRPr="00415C63" w:rsidRDefault="002B58CA" w:rsidP="002B58CA">
            <w:pPr>
              <w:rPr>
                <w:rFonts w:ascii="Garamond" w:hAnsi="Garamond"/>
                <w:sz w:val="20"/>
                <w:szCs w:val="20"/>
              </w:rPr>
            </w:pPr>
            <w:r w:rsidRPr="00415C63">
              <w:rPr>
                <w:rFonts w:ascii="Garamond" w:hAnsi="Garamond"/>
                <w:sz w:val="20"/>
                <w:szCs w:val="20"/>
              </w:rPr>
              <w:t>Male</w:t>
            </w:r>
          </w:p>
        </w:tc>
        <w:tc>
          <w:tcPr>
            <w:tcW w:w="1516" w:type="dxa"/>
            <w:shd w:val="clear" w:color="auto" w:fill="auto"/>
          </w:tcPr>
          <w:p w14:paraId="5B939063" w14:textId="77777777" w:rsidR="002B58CA" w:rsidRPr="00415C63" w:rsidRDefault="002B58CA" w:rsidP="002B58CA">
            <w:pPr>
              <w:rPr>
                <w:rFonts w:ascii="Garamond" w:hAnsi="Garamond"/>
                <w:sz w:val="20"/>
                <w:szCs w:val="20"/>
              </w:rPr>
            </w:pPr>
            <w:r w:rsidRPr="00415C63">
              <w:rPr>
                <w:rFonts w:ascii="Garamond" w:hAnsi="Garamond"/>
                <w:sz w:val="20"/>
                <w:szCs w:val="20"/>
              </w:rPr>
              <w:t>Female</w:t>
            </w:r>
          </w:p>
        </w:tc>
        <w:tc>
          <w:tcPr>
            <w:tcW w:w="1421" w:type="dxa"/>
            <w:shd w:val="clear" w:color="auto" w:fill="auto"/>
          </w:tcPr>
          <w:p w14:paraId="47171C5A" w14:textId="77777777" w:rsidR="002B58CA" w:rsidRPr="00415C63" w:rsidRDefault="002B58CA" w:rsidP="002B58CA">
            <w:pPr>
              <w:rPr>
                <w:rFonts w:ascii="Garamond" w:hAnsi="Garamond"/>
                <w:sz w:val="20"/>
                <w:szCs w:val="20"/>
              </w:rPr>
            </w:pPr>
            <w:r w:rsidRPr="00415C63">
              <w:rPr>
                <w:rFonts w:ascii="Garamond" w:hAnsi="Garamond"/>
                <w:sz w:val="20"/>
                <w:szCs w:val="20"/>
              </w:rPr>
              <w:t>Male</w:t>
            </w:r>
          </w:p>
        </w:tc>
        <w:tc>
          <w:tcPr>
            <w:tcW w:w="1344" w:type="dxa"/>
            <w:shd w:val="clear" w:color="auto" w:fill="auto"/>
          </w:tcPr>
          <w:p w14:paraId="5CA7823C" w14:textId="77777777" w:rsidR="002B58CA" w:rsidRPr="00415C63" w:rsidRDefault="002B58CA" w:rsidP="002B58CA">
            <w:pPr>
              <w:rPr>
                <w:rFonts w:ascii="Garamond" w:hAnsi="Garamond"/>
                <w:sz w:val="20"/>
                <w:szCs w:val="20"/>
              </w:rPr>
            </w:pPr>
            <w:r w:rsidRPr="00415C63">
              <w:rPr>
                <w:rFonts w:ascii="Garamond" w:hAnsi="Garamond"/>
                <w:sz w:val="20"/>
                <w:szCs w:val="20"/>
              </w:rPr>
              <w:t>Male</w:t>
            </w:r>
          </w:p>
        </w:tc>
        <w:tc>
          <w:tcPr>
            <w:tcW w:w="1421" w:type="dxa"/>
            <w:shd w:val="clear" w:color="auto" w:fill="auto"/>
          </w:tcPr>
          <w:p w14:paraId="213C13F6" w14:textId="77777777" w:rsidR="002B58CA" w:rsidRPr="00415C63" w:rsidRDefault="002B58CA" w:rsidP="002B58CA">
            <w:pPr>
              <w:rPr>
                <w:rFonts w:ascii="Garamond" w:hAnsi="Garamond"/>
                <w:sz w:val="20"/>
                <w:szCs w:val="20"/>
              </w:rPr>
            </w:pPr>
            <w:r w:rsidRPr="00415C63">
              <w:rPr>
                <w:rFonts w:ascii="Garamond" w:hAnsi="Garamond"/>
                <w:sz w:val="20"/>
                <w:szCs w:val="20"/>
              </w:rPr>
              <w:t>Male</w:t>
            </w:r>
          </w:p>
        </w:tc>
      </w:tr>
      <w:tr w:rsidR="002B58CA" w:rsidRPr="00415C63" w14:paraId="7DB7A211" w14:textId="77777777" w:rsidTr="002B58CA">
        <w:tc>
          <w:tcPr>
            <w:tcW w:w="8870" w:type="dxa"/>
            <w:gridSpan w:val="6"/>
            <w:shd w:val="clear" w:color="auto" w:fill="auto"/>
          </w:tcPr>
          <w:p w14:paraId="79278F76" w14:textId="77777777" w:rsidR="002B58CA" w:rsidRPr="00415C63" w:rsidRDefault="002B58CA" w:rsidP="002B58CA">
            <w:pPr>
              <w:rPr>
                <w:rFonts w:ascii="Garamond" w:hAnsi="Garamond"/>
                <w:sz w:val="20"/>
                <w:szCs w:val="20"/>
              </w:rPr>
            </w:pPr>
            <w:r w:rsidRPr="00415C63">
              <w:rPr>
                <w:rFonts w:ascii="Garamond" w:hAnsi="Garamond"/>
                <w:sz w:val="20"/>
                <w:szCs w:val="20"/>
              </w:rPr>
              <w:t>Initial Findings</w:t>
            </w:r>
          </w:p>
        </w:tc>
      </w:tr>
      <w:tr w:rsidR="002B58CA" w:rsidRPr="00415C63" w14:paraId="037F09F3" w14:textId="77777777" w:rsidTr="002B58CA">
        <w:tc>
          <w:tcPr>
            <w:tcW w:w="1530" w:type="dxa"/>
            <w:shd w:val="clear" w:color="auto" w:fill="auto"/>
          </w:tcPr>
          <w:p w14:paraId="08D15E4A" w14:textId="77777777" w:rsidR="002B58CA" w:rsidRPr="00415C63" w:rsidRDefault="002B58CA" w:rsidP="002B58CA">
            <w:pPr>
              <w:rPr>
                <w:rFonts w:ascii="Garamond" w:hAnsi="Garamond"/>
                <w:sz w:val="20"/>
                <w:szCs w:val="20"/>
              </w:rPr>
            </w:pPr>
            <w:r w:rsidRPr="00415C63">
              <w:rPr>
                <w:rFonts w:ascii="Garamond" w:hAnsi="Garamond"/>
                <w:sz w:val="20"/>
                <w:szCs w:val="20"/>
              </w:rPr>
              <w:t>Medical history</w:t>
            </w:r>
          </w:p>
        </w:tc>
        <w:tc>
          <w:tcPr>
            <w:tcW w:w="1638" w:type="dxa"/>
            <w:shd w:val="clear" w:color="auto" w:fill="auto"/>
          </w:tcPr>
          <w:p w14:paraId="631AF6F3" w14:textId="77777777" w:rsidR="002B58CA" w:rsidRPr="00415C63" w:rsidRDefault="002B58CA" w:rsidP="002B58CA">
            <w:pPr>
              <w:rPr>
                <w:rFonts w:ascii="Garamond" w:hAnsi="Garamond"/>
                <w:sz w:val="20"/>
                <w:szCs w:val="20"/>
              </w:rPr>
            </w:pPr>
            <w:r w:rsidRPr="00415C63">
              <w:rPr>
                <w:rFonts w:ascii="Garamond" w:hAnsi="Garamond"/>
                <w:sz w:val="20"/>
                <w:szCs w:val="20"/>
              </w:rPr>
              <w:t>DM, HTN</w:t>
            </w:r>
          </w:p>
        </w:tc>
        <w:tc>
          <w:tcPr>
            <w:tcW w:w="1516" w:type="dxa"/>
            <w:shd w:val="clear" w:color="auto" w:fill="auto"/>
          </w:tcPr>
          <w:p w14:paraId="1C80BFB7" w14:textId="77777777" w:rsidR="002B58CA" w:rsidRPr="00415C63" w:rsidRDefault="002B58CA" w:rsidP="002B58CA">
            <w:pPr>
              <w:rPr>
                <w:rFonts w:ascii="Garamond" w:hAnsi="Garamond"/>
                <w:sz w:val="20"/>
                <w:szCs w:val="20"/>
              </w:rPr>
            </w:pPr>
            <w:r w:rsidRPr="00415C63">
              <w:rPr>
                <w:rFonts w:ascii="Garamond" w:hAnsi="Garamond"/>
                <w:sz w:val="20"/>
                <w:szCs w:val="20"/>
              </w:rPr>
              <w:t>DM, HTN</w:t>
            </w:r>
            <w:r>
              <w:rPr>
                <w:rFonts w:ascii="Garamond" w:hAnsi="Garamond"/>
                <w:sz w:val="20"/>
                <w:szCs w:val="20"/>
              </w:rPr>
              <w:t>, CVA</w:t>
            </w:r>
          </w:p>
        </w:tc>
        <w:tc>
          <w:tcPr>
            <w:tcW w:w="1421" w:type="dxa"/>
            <w:shd w:val="clear" w:color="auto" w:fill="auto"/>
          </w:tcPr>
          <w:p w14:paraId="1247977D" w14:textId="77777777" w:rsidR="002B58CA" w:rsidRPr="00415C63" w:rsidRDefault="002B58CA" w:rsidP="002B58CA">
            <w:pPr>
              <w:rPr>
                <w:rFonts w:ascii="Garamond" w:hAnsi="Garamond"/>
                <w:sz w:val="20"/>
                <w:szCs w:val="20"/>
              </w:rPr>
            </w:pPr>
            <w:r w:rsidRPr="00415C63">
              <w:rPr>
                <w:rFonts w:ascii="Garamond" w:hAnsi="Garamond"/>
                <w:sz w:val="20"/>
                <w:szCs w:val="20"/>
              </w:rPr>
              <w:t>DM, HTN</w:t>
            </w:r>
          </w:p>
        </w:tc>
        <w:tc>
          <w:tcPr>
            <w:tcW w:w="1344" w:type="dxa"/>
            <w:shd w:val="clear" w:color="auto" w:fill="auto"/>
          </w:tcPr>
          <w:p w14:paraId="5F8B5F3D" w14:textId="77777777" w:rsidR="002B58CA" w:rsidRPr="00415C63" w:rsidRDefault="002B58CA" w:rsidP="002B58CA">
            <w:pPr>
              <w:rPr>
                <w:rFonts w:ascii="Garamond" w:hAnsi="Garamond"/>
                <w:sz w:val="20"/>
                <w:szCs w:val="20"/>
              </w:rPr>
            </w:pPr>
            <w:r w:rsidRPr="00415C63">
              <w:rPr>
                <w:rFonts w:ascii="Garamond" w:hAnsi="Garamond"/>
                <w:sz w:val="20"/>
                <w:szCs w:val="20"/>
              </w:rPr>
              <w:t>None</w:t>
            </w:r>
          </w:p>
        </w:tc>
        <w:tc>
          <w:tcPr>
            <w:tcW w:w="1421" w:type="dxa"/>
            <w:shd w:val="clear" w:color="auto" w:fill="auto"/>
          </w:tcPr>
          <w:p w14:paraId="00D19648" w14:textId="77777777" w:rsidR="002B58CA" w:rsidRPr="00415C63" w:rsidRDefault="002B58CA" w:rsidP="002B58CA">
            <w:pPr>
              <w:rPr>
                <w:rFonts w:ascii="Garamond" w:hAnsi="Garamond"/>
                <w:sz w:val="20"/>
                <w:szCs w:val="20"/>
              </w:rPr>
            </w:pPr>
            <w:r w:rsidRPr="00415C63">
              <w:rPr>
                <w:rFonts w:ascii="Garamond" w:hAnsi="Garamond"/>
                <w:sz w:val="20"/>
                <w:szCs w:val="20"/>
              </w:rPr>
              <w:t>None</w:t>
            </w:r>
          </w:p>
        </w:tc>
      </w:tr>
      <w:tr w:rsidR="002B58CA" w:rsidRPr="00415C63" w14:paraId="4C40176B" w14:textId="77777777" w:rsidTr="002B58CA">
        <w:tc>
          <w:tcPr>
            <w:tcW w:w="1530" w:type="dxa"/>
            <w:shd w:val="clear" w:color="auto" w:fill="auto"/>
          </w:tcPr>
          <w:p w14:paraId="3BAD4ED3" w14:textId="77777777" w:rsidR="002B58CA" w:rsidRPr="00415C63" w:rsidRDefault="002B58CA" w:rsidP="002B58CA">
            <w:pPr>
              <w:rPr>
                <w:rFonts w:ascii="Garamond" w:hAnsi="Garamond"/>
                <w:sz w:val="20"/>
                <w:szCs w:val="20"/>
              </w:rPr>
            </w:pPr>
            <w:r w:rsidRPr="00415C63">
              <w:rPr>
                <w:rFonts w:ascii="Garamond" w:hAnsi="Garamond"/>
                <w:sz w:val="20"/>
                <w:szCs w:val="20"/>
              </w:rPr>
              <w:t>Symptoms at disease onset</w:t>
            </w:r>
          </w:p>
        </w:tc>
        <w:tc>
          <w:tcPr>
            <w:tcW w:w="1638" w:type="dxa"/>
            <w:shd w:val="clear" w:color="auto" w:fill="auto"/>
          </w:tcPr>
          <w:p w14:paraId="02B5C5B0" w14:textId="77777777" w:rsidR="002B58CA" w:rsidRPr="00415C63" w:rsidRDefault="002B58CA" w:rsidP="002B58CA">
            <w:pPr>
              <w:rPr>
                <w:rFonts w:ascii="Garamond" w:hAnsi="Garamond"/>
                <w:sz w:val="20"/>
                <w:szCs w:val="20"/>
              </w:rPr>
            </w:pPr>
            <w:r w:rsidRPr="00415C63">
              <w:rPr>
                <w:rFonts w:ascii="Garamond" w:hAnsi="Garamond"/>
                <w:sz w:val="20"/>
                <w:szCs w:val="20"/>
              </w:rPr>
              <w:t xml:space="preserve">Fever, cough, </w:t>
            </w:r>
            <w:r>
              <w:rPr>
                <w:rFonts w:ascii="Garamond" w:hAnsi="Garamond"/>
                <w:sz w:val="20"/>
                <w:szCs w:val="20"/>
              </w:rPr>
              <w:t>hypoxia</w:t>
            </w:r>
            <w:r w:rsidRPr="00415C63">
              <w:rPr>
                <w:rFonts w:ascii="Garamond" w:hAnsi="Garamond"/>
                <w:sz w:val="20"/>
                <w:szCs w:val="20"/>
              </w:rPr>
              <w:t>, diarrhea</w:t>
            </w:r>
          </w:p>
        </w:tc>
        <w:tc>
          <w:tcPr>
            <w:tcW w:w="1516" w:type="dxa"/>
            <w:shd w:val="clear" w:color="auto" w:fill="auto"/>
          </w:tcPr>
          <w:p w14:paraId="126D9AAD" w14:textId="77777777" w:rsidR="002B58CA" w:rsidRPr="00415C63" w:rsidRDefault="002B58CA" w:rsidP="002B58CA">
            <w:pPr>
              <w:rPr>
                <w:rFonts w:ascii="Garamond" w:hAnsi="Garamond"/>
                <w:sz w:val="20"/>
                <w:szCs w:val="20"/>
              </w:rPr>
            </w:pPr>
            <w:r w:rsidRPr="00415C63">
              <w:rPr>
                <w:rFonts w:ascii="Garamond" w:hAnsi="Garamond"/>
                <w:sz w:val="20"/>
                <w:szCs w:val="20"/>
              </w:rPr>
              <w:t>Neurological</w:t>
            </w:r>
            <w:r>
              <w:rPr>
                <w:rFonts w:ascii="Garamond" w:hAnsi="Garamond"/>
                <w:sz w:val="20"/>
                <w:szCs w:val="20"/>
              </w:rPr>
              <w:t>,</w:t>
            </w:r>
            <w:r w:rsidRPr="00415C63">
              <w:rPr>
                <w:rFonts w:ascii="Garamond" w:hAnsi="Garamond"/>
                <w:sz w:val="20"/>
                <w:szCs w:val="20"/>
              </w:rPr>
              <w:t xml:space="preserve"> </w:t>
            </w:r>
            <w:r>
              <w:rPr>
                <w:rFonts w:ascii="Garamond" w:hAnsi="Garamond"/>
                <w:sz w:val="20"/>
                <w:szCs w:val="20"/>
              </w:rPr>
              <w:t>F</w:t>
            </w:r>
            <w:r w:rsidRPr="00415C63">
              <w:rPr>
                <w:rFonts w:ascii="Garamond" w:hAnsi="Garamond"/>
                <w:sz w:val="20"/>
                <w:szCs w:val="20"/>
              </w:rPr>
              <w:t>ever</w:t>
            </w:r>
            <w:r>
              <w:rPr>
                <w:rFonts w:ascii="Garamond" w:hAnsi="Garamond"/>
                <w:sz w:val="20"/>
                <w:szCs w:val="20"/>
              </w:rPr>
              <w:t xml:space="preserve">, </w:t>
            </w:r>
            <w:r w:rsidRPr="00415C63">
              <w:rPr>
                <w:rFonts w:ascii="Garamond" w:hAnsi="Garamond"/>
                <w:sz w:val="20"/>
                <w:szCs w:val="20"/>
              </w:rPr>
              <w:t>hypoxia</w:t>
            </w:r>
          </w:p>
        </w:tc>
        <w:tc>
          <w:tcPr>
            <w:tcW w:w="1421" w:type="dxa"/>
            <w:shd w:val="clear" w:color="auto" w:fill="auto"/>
          </w:tcPr>
          <w:p w14:paraId="11D398FF" w14:textId="77777777" w:rsidR="002B58CA" w:rsidRPr="00415C63" w:rsidRDefault="002B58CA" w:rsidP="002B58CA">
            <w:pPr>
              <w:rPr>
                <w:rFonts w:ascii="Garamond" w:hAnsi="Garamond"/>
                <w:sz w:val="20"/>
                <w:szCs w:val="20"/>
              </w:rPr>
            </w:pPr>
            <w:r w:rsidRPr="00415C63">
              <w:rPr>
                <w:rFonts w:ascii="Garamond" w:hAnsi="Garamond"/>
                <w:sz w:val="20"/>
                <w:szCs w:val="20"/>
              </w:rPr>
              <w:t>Neurological</w:t>
            </w:r>
            <w:r>
              <w:rPr>
                <w:rFonts w:ascii="Garamond" w:hAnsi="Garamond"/>
                <w:sz w:val="20"/>
                <w:szCs w:val="20"/>
              </w:rPr>
              <w:t>, cough</w:t>
            </w:r>
          </w:p>
        </w:tc>
        <w:tc>
          <w:tcPr>
            <w:tcW w:w="1344" w:type="dxa"/>
            <w:shd w:val="clear" w:color="auto" w:fill="auto"/>
          </w:tcPr>
          <w:p w14:paraId="7DA13750" w14:textId="77777777" w:rsidR="002B58CA" w:rsidRPr="00415C63" w:rsidRDefault="002B58CA" w:rsidP="002B58CA">
            <w:pPr>
              <w:rPr>
                <w:rFonts w:ascii="Garamond" w:hAnsi="Garamond"/>
                <w:sz w:val="20"/>
                <w:szCs w:val="20"/>
              </w:rPr>
            </w:pPr>
            <w:r w:rsidRPr="00415C63">
              <w:rPr>
                <w:rFonts w:ascii="Garamond" w:hAnsi="Garamond"/>
                <w:sz w:val="20"/>
                <w:szCs w:val="20"/>
              </w:rPr>
              <w:t xml:space="preserve">Neurological </w:t>
            </w:r>
          </w:p>
          <w:p w14:paraId="2CD3FF9C" w14:textId="77777777" w:rsidR="002B58CA" w:rsidRPr="00415C63" w:rsidRDefault="002B58CA" w:rsidP="002B58CA">
            <w:pPr>
              <w:rPr>
                <w:rFonts w:ascii="Garamond" w:hAnsi="Garamond"/>
                <w:sz w:val="20"/>
                <w:szCs w:val="20"/>
              </w:rPr>
            </w:pPr>
            <w:r w:rsidRPr="00415C63">
              <w:rPr>
                <w:rFonts w:ascii="Garamond" w:hAnsi="Garamond"/>
                <w:sz w:val="20"/>
                <w:szCs w:val="20"/>
              </w:rPr>
              <w:t>Hypoxia</w:t>
            </w:r>
            <w:r>
              <w:rPr>
                <w:rFonts w:ascii="Garamond" w:hAnsi="Garamond"/>
                <w:sz w:val="20"/>
                <w:szCs w:val="20"/>
              </w:rPr>
              <w:t>, coma</w:t>
            </w:r>
          </w:p>
        </w:tc>
        <w:tc>
          <w:tcPr>
            <w:tcW w:w="1421" w:type="dxa"/>
            <w:shd w:val="clear" w:color="auto" w:fill="auto"/>
          </w:tcPr>
          <w:p w14:paraId="5C01CDC6" w14:textId="77777777" w:rsidR="002B58CA" w:rsidRPr="00415C63" w:rsidRDefault="002B58CA" w:rsidP="002B58CA">
            <w:pPr>
              <w:rPr>
                <w:rFonts w:ascii="Garamond" w:hAnsi="Garamond"/>
                <w:sz w:val="20"/>
                <w:szCs w:val="20"/>
              </w:rPr>
            </w:pPr>
            <w:r>
              <w:rPr>
                <w:rFonts w:ascii="Garamond" w:hAnsi="Garamond"/>
                <w:sz w:val="20"/>
                <w:szCs w:val="20"/>
              </w:rPr>
              <w:t xml:space="preserve">Fever, </w:t>
            </w:r>
            <w:r w:rsidRPr="00415C63">
              <w:rPr>
                <w:rFonts w:ascii="Garamond" w:hAnsi="Garamond"/>
                <w:sz w:val="20"/>
                <w:szCs w:val="20"/>
              </w:rPr>
              <w:t>Coug</w:t>
            </w:r>
            <w:r>
              <w:rPr>
                <w:rFonts w:ascii="Garamond" w:hAnsi="Garamond"/>
                <w:sz w:val="20"/>
                <w:szCs w:val="20"/>
              </w:rPr>
              <w:t>h</w:t>
            </w:r>
            <w:r w:rsidRPr="00415C63">
              <w:rPr>
                <w:rFonts w:ascii="Garamond" w:hAnsi="Garamond"/>
                <w:sz w:val="20"/>
                <w:szCs w:val="20"/>
              </w:rPr>
              <w:t xml:space="preserve"> </w:t>
            </w:r>
          </w:p>
        </w:tc>
      </w:tr>
      <w:tr w:rsidR="002B58CA" w:rsidRPr="00415C63" w14:paraId="41741A44" w14:textId="77777777" w:rsidTr="002B58CA">
        <w:tc>
          <w:tcPr>
            <w:tcW w:w="1530" w:type="dxa"/>
            <w:shd w:val="clear" w:color="auto" w:fill="auto"/>
          </w:tcPr>
          <w:p w14:paraId="51CF52B0" w14:textId="77777777" w:rsidR="002B58CA" w:rsidRPr="00415C63" w:rsidRDefault="002B58CA" w:rsidP="002B58CA">
            <w:pPr>
              <w:rPr>
                <w:rFonts w:ascii="Garamond" w:hAnsi="Garamond"/>
                <w:sz w:val="20"/>
                <w:szCs w:val="20"/>
              </w:rPr>
            </w:pPr>
            <w:r w:rsidRPr="00415C63">
              <w:rPr>
                <w:rFonts w:ascii="Garamond" w:hAnsi="Garamond"/>
                <w:sz w:val="20"/>
                <w:szCs w:val="20"/>
              </w:rPr>
              <w:t>Stroke syndrome</w:t>
            </w:r>
          </w:p>
        </w:tc>
        <w:tc>
          <w:tcPr>
            <w:tcW w:w="1638" w:type="dxa"/>
            <w:shd w:val="clear" w:color="auto" w:fill="auto"/>
          </w:tcPr>
          <w:p w14:paraId="19A41C95" w14:textId="77777777" w:rsidR="002B58CA" w:rsidRPr="00415C63" w:rsidRDefault="002B58CA" w:rsidP="002B58CA">
            <w:pPr>
              <w:rPr>
                <w:rFonts w:ascii="Garamond" w:hAnsi="Garamond"/>
                <w:sz w:val="20"/>
                <w:szCs w:val="20"/>
              </w:rPr>
            </w:pPr>
            <w:r w:rsidRPr="00415C63">
              <w:rPr>
                <w:rFonts w:ascii="Garamond" w:hAnsi="Garamond"/>
                <w:sz w:val="20"/>
                <w:szCs w:val="20"/>
              </w:rPr>
              <w:t>Right MCA</w:t>
            </w:r>
          </w:p>
        </w:tc>
        <w:tc>
          <w:tcPr>
            <w:tcW w:w="1516" w:type="dxa"/>
            <w:shd w:val="clear" w:color="auto" w:fill="auto"/>
          </w:tcPr>
          <w:p w14:paraId="47E93028" w14:textId="77777777" w:rsidR="002B58CA" w:rsidRPr="00415C63" w:rsidRDefault="002B58CA" w:rsidP="002B58CA">
            <w:pPr>
              <w:rPr>
                <w:rFonts w:ascii="Garamond" w:hAnsi="Garamond"/>
                <w:sz w:val="20"/>
                <w:szCs w:val="20"/>
              </w:rPr>
            </w:pPr>
            <w:r w:rsidRPr="00415C63">
              <w:rPr>
                <w:rFonts w:ascii="Garamond" w:hAnsi="Garamond"/>
                <w:sz w:val="20"/>
                <w:szCs w:val="20"/>
              </w:rPr>
              <w:t>Right MCA</w:t>
            </w:r>
          </w:p>
        </w:tc>
        <w:tc>
          <w:tcPr>
            <w:tcW w:w="1421" w:type="dxa"/>
            <w:shd w:val="clear" w:color="auto" w:fill="auto"/>
          </w:tcPr>
          <w:p w14:paraId="57E958EE" w14:textId="77777777" w:rsidR="002B58CA" w:rsidRPr="00415C63" w:rsidRDefault="002B58CA" w:rsidP="002B58CA">
            <w:pPr>
              <w:rPr>
                <w:rFonts w:ascii="Garamond" w:hAnsi="Garamond"/>
                <w:sz w:val="20"/>
                <w:szCs w:val="20"/>
              </w:rPr>
            </w:pPr>
            <w:r w:rsidRPr="00415C63">
              <w:rPr>
                <w:rFonts w:ascii="Garamond" w:hAnsi="Garamond"/>
                <w:sz w:val="20"/>
                <w:szCs w:val="20"/>
              </w:rPr>
              <w:t>Left MCA</w:t>
            </w:r>
          </w:p>
        </w:tc>
        <w:tc>
          <w:tcPr>
            <w:tcW w:w="1344" w:type="dxa"/>
            <w:shd w:val="clear" w:color="auto" w:fill="auto"/>
          </w:tcPr>
          <w:p w14:paraId="2E05799B" w14:textId="77777777" w:rsidR="002B58CA" w:rsidRPr="00415C63" w:rsidRDefault="002B58CA" w:rsidP="002B58CA">
            <w:pPr>
              <w:rPr>
                <w:rFonts w:ascii="Garamond" w:hAnsi="Garamond"/>
                <w:sz w:val="20"/>
                <w:szCs w:val="20"/>
              </w:rPr>
            </w:pPr>
            <w:r w:rsidRPr="00415C63">
              <w:rPr>
                <w:rFonts w:ascii="Garamond" w:hAnsi="Garamond"/>
                <w:sz w:val="20"/>
                <w:szCs w:val="20"/>
              </w:rPr>
              <w:t xml:space="preserve">Posterior circulation </w:t>
            </w:r>
          </w:p>
        </w:tc>
        <w:tc>
          <w:tcPr>
            <w:tcW w:w="1421" w:type="dxa"/>
            <w:shd w:val="clear" w:color="auto" w:fill="auto"/>
          </w:tcPr>
          <w:p w14:paraId="2316EC4D" w14:textId="77777777" w:rsidR="002B58CA" w:rsidRPr="00415C63" w:rsidRDefault="002B58CA" w:rsidP="002B58CA">
            <w:pPr>
              <w:rPr>
                <w:rFonts w:ascii="Garamond" w:hAnsi="Garamond"/>
                <w:sz w:val="20"/>
                <w:szCs w:val="20"/>
              </w:rPr>
            </w:pPr>
            <w:r w:rsidRPr="00415C63">
              <w:rPr>
                <w:rFonts w:ascii="Garamond" w:hAnsi="Garamond"/>
                <w:sz w:val="20"/>
                <w:szCs w:val="20"/>
              </w:rPr>
              <w:t>Left MCA</w:t>
            </w:r>
          </w:p>
        </w:tc>
      </w:tr>
      <w:tr w:rsidR="002B58CA" w:rsidRPr="00415C63" w14:paraId="13BFFD29" w14:textId="77777777" w:rsidTr="002B58CA">
        <w:tc>
          <w:tcPr>
            <w:tcW w:w="1530" w:type="dxa"/>
            <w:shd w:val="clear" w:color="auto" w:fill="auto"/>
          </w:tcPr>
          <w:p w14:paraId="1E2089CF" w14:textId="77777777" w:rsidR="002B58CA" w:rsidRPr="00415C63" w:rsidRDefault="002B58CA" w:rsidP="002B58CA">
            <w:pPr>
              <w:rPr>
                <w:rFonts w:ascii="Garamond" w:hAnsi="Garamond"/>
                <w:sz w:val="20"/>
                <w:szCs w:val="20"/>
              </w:rPr>
            </w:pPr>
            <w:r w:rsidRPr="00415C63">
              <w:rPr>
                <w:rFonts w:ascii="Garamond" w:hAnsi="Garamond"/>
                <w:sz w:val="20"/>
                <w:szCs w:val="20"/>
              </w:rPr>
              <w:t>NIHSS</w:t>
            </w:r>
          </w:p>
        </w:tc>
        <w:tc>
          <w:tcPr>
            <w:tcW w:w="1638" w:type="dxa"/>
            <w:shd w:val="clear" w:color="auto" w:fill="auto"/>
          </w:tcPr>
          <w:p w14:paraId="61537B47" w14:textId="77777777" w:rsidR="002B58CA" w:rsidRPr="00415C63" w:rsidRDefault="002B58CA" w:rsidP="002B58CA">
            <w:pPr>
              <w:rPr>
                <w:rFonts w:ascii="Garamond" w:hAnsi="Garamond"/>
                <w:sz w:val="20"/>
                <w:szCs w:val="20"/>
              </w:rPr>
            </w:pPr>
            <w:r w:rsidRPr="00415C63">
              <w:rPr>
                <w:rFonts w:ascii="Garamond" w:hAnsi="Garamond"/>
                <w:sz w:val="20"/>
                <w:szCs w:val="20"/>
              </w:rPr>
              <w:t>24</w:t>
            </w:r>
          </w:p>
        </w:tc>
        <w:tc>
          <w:tcPr>
            <w:tcW w:w="1516" w:type="dxa"/>
            <w:shd w:val="clear" w:color="auto" w:fill="auto"/>
          </w:tcPr>
          <w:p w14:paraId="5AAD2BA8" w14:textId="77777777" w:rsidR="002B58CA" w:rsidRPr="00415C63" w:rsidRDefault="002B58CA" w:rsidP="002B58CA">
            <w:pPr>
              <w:rPr>
                <w:rFonts w:ascii="Garamond" w:hAnsi="Garamond"/>
                <w:sz w:val="20"/>
                <w:szCs w:val="20"/>
              </w:rPr>
            </w:pPr>
            <w:r w:rsidRPr="00415C63">
              <w:rPr>
                <w:rFonts w:ascii="Garamond" w:hAnsi="Garamond"/>
                <w:sz w:val="20"/>
                <w:szCs w:val="20"/>
              </w:rPr>
              <w:t>13</w:t>
            </w:r>
          </w:p>
        </w:tc>
        <w:tc>
          <w:tcPr>
            <w:tcW w:w="1421" w:type="dxa"/>
            <w:shd w:val="clear" w:color="auto" w:fill="auto"/>
          </w:tcPr>
          <w:p w14:paraId="4070B634" w14:textId="77777777" w:rsidR="002B58CA" w:rsidRPr="00415C63" w:rsidRDefault="002B58CA" w:rsidP="002B58CA">
            <w:pPr>
              <w:rPr>
                <w:rFonts w:ascii="Garamond" w:hAnsi="Garamond"/>
                <w:sz w:val="20"/>
                <w:szCs w:val="20"/>
              </w:rPr>
            </w:pPr>
            <w:r w:rsidRPr="00415C63">
              <w:rPr>
                <w:rFonts w:ascii="Garamond" w:hAnsi="Garamond"/>
                <w:sz w:val="20"/>
                <w:szCs w:val="20"/>
              </w:rPr>
              <w:t>26</w:t>
            </w:r>
          </w:p>
        </w:tc>
        <w:tc>
          <w:tcPr>
            <w:tcW w:w="1344" w:type="dxa"/>
            <w:shd w:val="clear" w:color="auto" w:fill="auto"/>
          </w:tcPr>
          <w:p w14:paraId="3F0AD17E" w14:textId="77777777" w:rsidR="002B58CA" w:rsidRPr="00415C63" w:rsidRDefault="002B58CA" w:rsidP="002B58CA">
            <w:pPr>
              <w:rPr>
                <w:rFonts w:ascii="Garamond" w:hAnsi="Garamond"/>
                <w:sz w:val="20"/>
                <w:szCs w:val="20"/>
              </w:rPr>
            </w:pPr>
            <w:r w:rsidRPr="00415C63">
              <w:rPr>
                <w:rFonts w:ascii="Garamond" w:hAnsi="Garamond"/>
                <w:sz w:val="20"/>
                <w:szCs w:val="20"/>
              </w:rPr>
              <w:t>31</w:t>
            </w:r>
          </w:p>
        </w:tc>
        <w:tc>
          <w:tcPr>
            <w:tcW w:w="1421" w:type="dxa"/>
            <w:shd w:val="clear" w:color="auto" w:fill="auto"/>
          </w:tcPr>
          <w:p w14:paraId="1D139821" w14:textId="77777777" w:rsidR="002B58CA" w:rsidRPr="00415C63" w:rsidRDefault="002B58CA" w:rsidP="002B58CA">
            <w:pPr>
              <w:rPr>
                <w:rFonts w:ascii="Garamond" w:hAnsi="Garamond"/>
                <w:sz w:val="20"/>
                <w:szCs w:val="20"/>
              </w:rPr>
            </w:pPr>
            <w:r w:rsidRPr="00415C63">
              <w:rPr>
                <w:rFonts w:ascii="Garamond" w:hAnsi="Garamond"/>
                <w:sz w:val="20"/>
                <w:szCs w:val="20"/>
              </w:rPr>
              <w:t>18</w:t>
            </w:r>
          </w:p>
        </w:tc>
      </w:tr>
      <w:tr w:rsidR="002B58CA" w:rsidRPr="00415C63" w14:paraId="41AE7208" w14:textId="77777777" w:rsidTr="002B58CA">
        <w:tc>
          <w:tcPr>
            <w:tcW w:w="1530" w:type="dxa"/>
            <w:shd w:val="clear" w:color="auto" w:fill="auto"/>
          </w:tcPr>
          <w:p w14:paraId="475FD933" w14:textId="77777777" w:rsidR="002B58CA" w:rsidRPr="00415C63" w:rsidRDefault="002B58CA" w:rsidP="002B58CA">
            <w:pPr>
              <w:rPr>
                <w:rFonts w:ascii="Garamond" w:hAnsi="Garamond"/>
                <w:sz w:val="20"/>
                <w:szCs w:val="20"/>
              </w:rPr>
            </w:pPr>
            <w:r w:rsidRPr="00415C63">
              <w:rPr>
                <w:rFonts w:ascii="Garamond" w:hAnsi="Garamond"/>
                <w:sz w:val="20"/>
                <w:szCs w:val="20"/>
              </w:rPr>
              <w:lastRenderedPageBreak/>
              <w:t>Cardiac history</w:t>
            </w:r>
          </w:p>
        </w:tc>
        <w:tc>
          <w:tcPr>
            <w:tcW w:w="1638" w:type="dxa"/>
            <w:shd w:val="clear" w:color="auto" w:fill="auto"/>
          </w:tcPr>
          <w:p w14:paraId="431C420F" w14:textId="77777777" w:rsidR="002B58CA" w:rsidRDefault="002B58CA" w:rsidP="002B58CA">
            <w:pPr>
              <w:rPr>
                <w:rFonts w:ascii="Garamond" w:hAnsi="Garamond"/>
                <w:sz w:val="20"/>
                <w:szCs w:val="20"/>
              </w:rPr>
            </w:pPr>
            <w:r>
              <w:rPr>
                <w:rFonts w:ascii="Garamond" w:hAnsi="Garamond"/>
                <w:sz w:val="20"/>
                <w:szCs w:val="20"/>
              </w:rPr>
              <w:t xml:space="preserve">NSR, </w:t>
            </w:r>
          </w:p>
          <w:p w14:paraId="2E1F0CB2" w14:textId="77777777" w:rsidR="002B58CA" w:rsidRPr="00415C63" w:rsidRDefault="002B58CA" w:rsidP="002B58CA">
            <w:pPr>
              <w:rPr>
                <w:rFonts w:ascii="Garamond" w:hAnsi="Garamond"/>
                <w:sz w:val="20"/>
                <w:szCs w:val="20"/>
              </w:rPr>
            </w:pPr>
            <w:r w:rsidRPr="00415C63">
              <w:rPr>
                <w:rFonts w:ascii="Garamond" w:hAnsi="Garamond"/>
                <w:sz w:val="20"/>
                <w:szCs w:val="20"/>
              </w:rPr>
              <w:t>Normal EF</w:t>
            </w:r>
          </w:p>
        </w:tc>
        <w:tc>
          <w:tcPr>
            <w:tcW w:w="1516" w:type="dxa"/>
            <w:shd w:val="clear" w:color="auto" w:fill="auto"/>
          </w:tcPr>
          <w:p w14:paraId="7836DAEF" w14:textId="77777777" w:rsidR="002B58CA" w:rsidRPr="00415C63" w:rsidRDefault="002B58CA" w:rsidP="002B58CA">
            <w:pPr>
              <w:rPr>
                <w:rFonts w:ascii="Garamond" w:hAnsi="Garamond"/>
                <w:sz w:val="20"/>
                <w:szCs w:val="20"/>
              </w:rPr>
            </w:pPr>
            <w:proofErr w:type="spellStart"/>
            <w:r w:rsidRPr="00415C63">
              <w:rPr>
                <w:rFonts w:ascii="Garamond" w:hAnsi="Garamond"/>
                <w:sz w:val="20"/>
                <w:szCs w:val="20"/>
              </w:rPr>
              <w:t>AFib</w:t>
            </w:r>
            <w:proofErr w:type="spellEnd"/>
            <w:r>
              <w:rPr>
                <w:rFonts w:ascii="Garamond" w:hAnsi="Garamond"/>
                <w:sz w:val="20"/>
                <w:szCs w:val="20"/>
              </w:rPr>
              <w:t xml:space="preserve"> + RVR, </w:t>
            </w:r>
            <w:r w:rsidRPr="00415C63">
              <w:rPr>
                <w:rFonts w:ascii="Garamond" w:hAnsi="Garamond"/>
                <w:sz w:val="20"/>
                <w:szCs w:val="20"/>
              </w:rPr>
              <w:t>Normal EF</w:t>
            </w:r>
          </w:p>
        </w:tc>
        <w:tc>
          <w:tcPr>
            <w:tcW w:w="1421" w:type="dxa"/>
            <w:shd w:val="clear" w:color="auto" w:fill="auto"/>
          </w:tcPr>
          <w:p w14:paraId="6B79ED98" w14:textId="77777777" w:rsidR="002B58CA" w:rsidRDefault="002B58CA" w:rsidP="002B58CA">
            <w:pPr>
              <w:rPr>
                <w:rFonts w:ascii="Garamond" w:hAnsi="Garamond"/>
                <w:sz w:val="20"/>
                <w:szCs w:val="20"/>
              </w:rPr>
            </w:pPr>
            <w:r>
              <w:rPr>
                <w:rFonts w:ascii="Garamond" w:hAnsi="Garamond"/>
                <w:sz w:val="20"/>
                <w:szCs w:val="20"/>
              </w:rPr>
              <w:t xml:space="preserve">NSR, </w:t>
            </w:r>
          </w:p>
          <w:p w14:paraId="3F9CDA47" w14:textId="77777777" w:rsidR="002B58CA" w:rsidRPr="00415C63" w:rsidRDefault="002B58CA" w:rsidP="002B58CA">
            <w:pPr>
              <w:rPr>
                <w:rFonts w:ascii="Garamond" w:hAnsi="Garamond"/>
                <w:sz w:val="20"/>
                <w:szCs w:val="20"/>
              </w:rPr>
            </w:pPr>
            <w:r w:rsidRPr="00415C63">
              <w:rPr>
                <w:rFonts w:ascii="Garamond" w:hAnsi="Garamond"/>
                <w:sz w:val="20"/>
                <w:szCs w:val="20"/>
              </w:rPr>
              <w:t>LVEF 26%</w:t>
            </w:r>
          </w:p>
        </w:tc>
        <w:tc>
          <w:tcPr>
            <w:tcW w:w="1344" w:type="dxa"/>
            <w:shd w:val="clear" w:color="auto" w:fill="auto"/>
          </w:tcPr>
          <w:p w14:paraId="7F6EAB95" w14:textId="77777777" w:rsidR="002B58CA" w:rsidRDefault="002B58CA" w:rsidP="002B58CA">
            <w:pPr>
              <w:rPr>
                <w:rFonts w:ascii="Garamond" w:hAnsi="Garamond"/>
                <w:sz w:val="20"/>
                <w:szCs w:val="20"/>
              </w:rPr>
            </w:pPr>
            <w:r>
              <w:rPr>
                <w:rFonts w:ascii="Garamond" w:hAnsi="Garamond"/>
                <w:sz w:val="20"/>
                <w:szCs w:val="20"/>
              </w:rPr>
              <w:t xml:space="preserve">NSR, </w:t>
            </w:r>
          </w:p>
          <w:p w14:paraId="53B97282" w14:textId="77777777" w:rsidR="002B58CA" w:rsidRPr="00415C63" w:rsidRDefault="002B58CA" w:rsidP="002B58CA">
            <w:pPr>
              <w:rPr>
                <w:rFonts w:ascii="Garamond" w:hAnsi="Garamond"/>
                <w:sz w:val="20"/>
                <w:szCs w:val="20"/>
              </w:rPr>
            </w:pPr>
            <w:r w:rsidRPr="00415C63">
              <w:rPr>
                <w:rFonts w:ascii="Garamond" w:hAnsi="Garamond"/>
                <w:sz w:val="20"/>
                <w:szCs w:val="20"/>
              </w:rPr>
              <w:t>Normal</w:t>
            </w:r>
            <w:r>
              <w:rPr>
                <w:rFonts w:ascii="Garamond" w:hAnsi="Garamond"/>
                <w:sz w:val="20"/>
                <w:szCs w:val="20"/>
              </w:rPr>
              <w:t xml:space="preserve"> </w:t>
            </w:r>
            <w:r w:rsidRPr="00415C63">
              <w:rPr>
                <w:rFonts w:ascii="Garamond" w:hAnsi="Garamond"/>
                <w:sz w:val="20"/>
                <w:szCs w:val="20"/>
              </w:rPr>
              <w:t>EF</w:t>
            </w:r>
          </w:p>
        </w:tc>
        <w:tc>
          <w:tcPr>
            <w:tcW w:w="1421" w:type="dxa"/>
            <w:shd w:val="clear" w:color="auto" w:fill="auto"/>
          </w:tcPr>
          <w:p w14:paraId="0C6AB6FA" w14:textId="77777777" w:rsidR="002B58CA" w:rsidRDefault="002B58CA" w:rsidP="002B58CA">
            <w:pPr>
              <w:rPr>
                <w:rFonts w:ascii="Garamond" w:hAnsi="Garamond"/>
                <w:sz w:val="20"/>
                <w:szCs w:val="20"/>
              </w:rPr>
            </w:pPr>
            <w:r>
              <w:rPr>
                <w:rFonts w:ascii="Garamond" w:hAnsi="Garamond"/>
                <w:sz w:val="20"/>
                <w:szCs w:val="20"/>
              </w:rPr>
              <w:t xml:space="preserve">NSR, </w:t>
            </w:r>
          </w:p>
          <w:p w14:paraId="74FA4ED0" w14:textId="77777777" w:rsidR="002B58CA" w:rsidRPr="00415C63" w:rsidRDefault="002B58CA" w:rsidP="002B58CA">
            <w:pPr>
              <w:rPr>
                <w:rFonts w:ascii="Garamond" w:hAnsi="Garamond"/>
                <w:sz w:val="20"/>
                <w:szCs w:val="20"/>
              </w:rPr>
            </w:pPr>
            <w:r w:rsidRPr="00415C63">
              <w:rPr>
                <w:rFonts w:ascii="Garamond" w:hAnsi="Garamond"/>
                <w:sz w:val="20"/>
                <w:szCs w:val="20"/>
              </w:rPr>
              <w:t>Normal EF</w:t>
            </w:r>
          </w:p>
        </w:tc>
      </w:tr>
      <w:tr w:rsidR="002B58CA" w:rsidRPr="00415C63" w14:paraId="6D222698" w14:textId="77777777" w:rsidTr="002B58CA">
        <w:tc>
          <w:tcPr>
            <w:tcW w:w="8870" w:type="dxa"/>
            <w:gridSpan w:val="6"/>
            <w:shd w:val="clear" w:color="auto" w:fill="auto"/>
          </w:tcPr>
          <w:p w14:paraId="5C59691B" w14:textId="77777777" w:rsidR="002B58CA" w:rsidRPr="00415C63" w:rsidRDefault="002B58CA" w:rsidP="002B58CA">
            <w:pPr>
              <w:rPr>
                <w:rFonts w:ascii="Garamond" w:hAnsi="Garamond"/>
                <w:sz w:val="20"/>
                <w:szCs w:val="20"/>
              </w:rPr>
            </w:pPr>
            <w:r w:rsidRPr="00415C63">
              <w:rPr>
                <w:rFonts w:ascii="Garamond" w:hAnsi="Garamond"/>
                <w:sz w:val="20"/>
                <w:szCs w:val="20"/>
              </w:rPr>
              <w:t>Imaging</w:t>
            </w:r>
          </w:p>
        </w:tc>
      </w:tr>
      <w:tr w:rsidR="002B58CA" w:rsidRPr="00415C63" w14:paraId="6AD912EA" w14:textId="77777777" w:rsidTr="002B58CA">
        <w:tc>
          <w:tcPr>
            <w:tcW w:w="1530" w:type="dxa"/>
            <w:shd w:val="clear" w:color="auto" w:fill="auto"/>
          </w:tcPr>
          <w:p w14:paraId="522F83BD" w14:textId="77777777" w:rsidR="002B58CA" w:rsidRPr="00415C63" w:rsidRDefault="002B58CA" w:rsidP="002B58CA">
            <w:pPr>
              <w:rPr>
                <w:rFonts w:ascii="Garamond" w:hAnsi="Garamond"/>
                <w:sz w:val="20"/>
                <w:szCs w:val="20"/>
              </w:rPr>
            </w:pPr>
            <w:r w:rsidRPr="00415C63">
              <w:rPr>
                <w:rFonts w:ascii="Garamond" w:hAnsi="Garamond"/>
                <w:sz w:val="20"/>
                <w:szCs w:val="20"/>
              </w:rPr>
              <w:t>CXR</w:t>
            </w:r>
          </w:p>
        </w:tc>
        <w:tc>
          <w:tcPr>
            <w:tcW w:w="1638" w:type="dxa"/>
            <w:shd w:val="clear" w:color="auto" w:fill="auto"/>
          </w:tcPr>
          <w:p w14:paraId="03DDC082" w14:textId="77777777" w:rsidR="002B58CA" w:rsidRPr="00415C63" w:rsidRDefault="002B58CA" w:rsidP="002B58CA">
            <w:pPr>
              <w:rPr>
                <w:rFonts w:ascii="Garamond" w:hAnsi="Garamond"/>
                <w:sz w:val="20"/>
                <w:szCs w:val="20"/>
              </w:rPr>
            </w:pPr>
            <w:r w:rsidRPr="00415C63">
              <w:rPr>
                <w:rFonts w:ascii="Garamond" w:hAnsi="Garamond"/>
                <w:sz w:val="20"/>
                <w:szCs w:val="20"/>
              </w:rPr>
              <w:t>Patchy parenchymal opacities bilateral</w:t>
            </w:r>
          </w:p>
        </w:tc>
        <w:tc>
          <w:tcPr>
            <w:tcW w:w="1516" w:type="dxa"/>
            <w:shd w:val="clear" w:color="auto" w:fill="auto"/>
          </w:tcPr>
          <w:p w14:paraId="6D2EDC58" w14:textId="77777777" w:rsidR="002B58CA" w:rsidRPr="00415C63" w:rsidRDefault="002B58CA" w:rsidP="002B58CA">
            <w:pPr>
              <w:rPr>
                <w:rFonts w:ascii="Garamond" w:hAnsi="Garamond"/>
                <w:sz w:val="20"/>
                <w:szCs w:val="20"/>
              </w:rPr>
            </w:pPr>
            <w:r w:rsidRPr="00415C63">
              <w:rPr>
                <w:rFonts w:ascii="Garamond" w:hAnsi="Garamond"/>
                <w:sz w:val="20"/>
                <w:szCs w:val="20"/>
              </w:rPr>
              <w:t>Patchy parenchymal opacities bilateral</w:t>
            </w:r>
          </w:p>
        </w:tc>
        <w:tc>
          <w:tcPr>
            <w:tcW w:w="1421" w:type="dxa"/>
            <w:shd w:val="clear" w:color="auto" w:fill="auto"/>
          </w:tcPr>
          <w:p w14:paraId="39C800BF" w14:textId="77777777" w:rsidR="002B58CA" w:rsidRPr="00415C63" w:rsidRDefault="002B58CA" w:rsidP="002B58CA">
            <w:pPr>
              <w:rPr>
                <w:rFonts w:ascii="Garamond" w:hAnsi="Garamond"/>
                <w:sz w:val="20"/>
                <w:szCs w:val="20"/>
              </w:rPr>
            </w:pPr>
            <w:r w:rsidRPr="00415C63">
              <w:rPr>
                <w:rFonts w:ascii="Garamond" w:hAnsi="Garamond"/>
                <w:sz w:val="20"/>
                <w:szCs w:val="20"/>
              </w:rPr>
              <w:t>Left small hazy opacity</w:t>
            </w:r>
          </w:p>
          <w:p w14:paraId="48D18510" w14:textId="77777777" w:rsidR="002B58CA" w:rsidRPr="00415C63" w:rsidRDefault="002B58CA" w:rsidP="002B58CA">
            <w:pPr>
              <w:rPr>
                <w:rFonts w:ascii="Garamond" w:hAnsi="Garamond"/>
                <w:sz w:val="20"/>
                <w:szCs w:val="20"/>
              </w:rPr>
            </w:pPr>
          </w:p>
        </w:tc>
        <w:tc>
          <w:tcPr>
            <w:tcW w:w="1344" w:type="dxa"/>
            <w:shd w:val="clear" w:color="auto" w:fill="auto"/>
          </w:tcPr>
          <w:p w14:paraId="28EAA34F" w14:textId="77777777" w:rsidR="002B58CA" w:rsidRPr="00415C63" w:rsidRDefault="002B58CA" w:rsidP="002B58CA">
            <w:pPr>
              <w:rPr>
                <w:rFonts w:ascii="Garamond" w:hAnsi="Garamond"/>
                <w:sz w:val="20"/>
                <w:szCs w:val="20"/>
              </w:rPr>
            </w:pPr>
            <w:r w:rsidRPr="00415C63">
              <w:rPr>
                <w:rFonts w:ascii="Garamond" w:hAnsi="Garamond"/>
                <w:sz w:val="20"/>
                <w:szCs w:val="20"/>
              </w:rPr>
              <w:t>Hazy opacities bilateral lower fields</w:t>
            </w:r>
          </w:p>
          <w:p w14:paraId="4C87E823" w14:textId="77777777" w:rsidR="002B58CA" w:rsidRPr="00415C63" w:rsidRDefault="002B58CA" w:rsidP="002B58CA">
            <w:pPr>
              <w:rPr>
                <w:rFonts w:ascii="Garamond" w:hAnsi="Garamond"/>
                <w:sz w:val="20"/>
                <w:szCs w:val="20"/>
              </w:rPr>
            </w:pPr>
          </w:p>
        </w:tc>
        <w:tc>
          <w:tcPr>
            <w:tcW w:w="1421" w:type="dxa"/>
            <w:shd w:val="clear" w:color="auto" w:fill="auto"/>
          </w:tcPr>
          <w:p w14:paraId="14E169C6" w14:textId="77777777" w:rsidR="002B58CA" w:rsidRPr="00415C63" w:rsidRDefault="002B58CA" w:rsidP="002B58CA">
            <w:pPr>
              <w:rPr>
                <w:rFonts w:ascii="Garamond" w:hAnsi="Garamond"/>
                <w:sz w:val="20"/>
                <w:szCs w:val="20"/>
              </w:rPr>
            </w:pPr>
            <w:r w:rsidRPr="00415C63">
              <w:rPr>
                <w:rFonts w:ascii="Garamond" w:hAnsi="Garamond"/>
                <w:sz w:val="20"/>
                <w:szCs w:val="20"/>
              </w:rPr>
              <w:t>bilateral patchy infiltrate</w:t>
            </w:r>
          </w:p>
          <w:p w14:paraId="26A3895A" w14:textId="77777777" w:rsidR="002B58CA" w:rsidRPr="00415C63" w:rsidRDefault="002B58CA" w:rsidP="002B58CA">
            <w:pPr>
              <w:rPr>
                <w:rFonts w:ascii="Garamond" w:hAnsi="Garamond"/>
                <w:sz w:val="20"/>
                <w:szCs w:val="20"/>
              </w:rPr>
            </w:pPr>
          </w:p>
        </w:tc>
      </w:tr>
      <w:tr w:rsidR="002B58CA" w:rsidRPr="00415C63" w14:paraId="486FF0D2" w14:textId="77777777" w:rsidTr="002B58CA">
        <w:trPr>
          <w:trHeight w:val="449"/>
        </w:trPr>
        <w:tc>
          <w:tcPr>
            <w:tcW w:w="1530" w:type="dxa"/>
            <w:shd w:val="clear" w:color="auto" w:fill="auto"/>
          </w:tcPr>
          <w:p w14:paraId="24B79751" w14:textId="77777777" w:rsidR="002B58CA" w:rsidRPr="00415C63" w:rsidRDefault="002B58CA" w:rsidP="002B58CA">
            <w:pPr>
              <w:rPr>
                <w:rFonts w:ascii="Garamond" w:hAnsi="Garamond"/>
                <w:sz w:val="20"/>
                <w:szCs w:val="20"/>
              </w:rPr>
            </w:pPr>
            <w:r w:rsidRPr="00415C63">
              <w:rPr>
                <w:rFonts w:ascii="Garamond" w:hAnsi="Garamond"/>
                <w:sz w:val="20"/>
                <w:szCs w:val="20"/>
              </w:rPr>
              <w:t>CT head</w:t>
            </w:r>
          </w:p>
        </w:tc>
        <w:tc>
          <w:tcPr>
            <w:tcW w:w="1638" w:type="dxa"/>
            <w:shd w:val="clear" w:color="auto" w:fill="auto"/>
          </w:tcPr>
          <w:p w14:paraId="3234BF17" w14:textId="77777777" w:rsidR="002B58CA" w:rsidRPr="00415C63" w:rsidRDefault="002B58CA" w:rsidP="002B58CA">
            <w:pPr>
              <w:rPr>
                <w:rFonts w:ascii="Garamond" w:hAnsi="Garamond"/>
                <w:sz w:val="20"/>
                <w:szCs w:val="20"/>
              </w:rPr>
            </w:pPr>
            <w:r w:rsidRPr="00415C63">
              <w:rPr>
                <w:rFonts w:ascii="Garamond" w:hAnsi="Garamond"/>
                <w:sz w:val="20"/>
                <w:szCs w:val="20"/>
              </w:rPr>
              <w:t>ASPECTS 5</w:t>
            </w:r>
          </w:p>
          <w:p w14:paraId="2C93A5D4" w14:textId="77777777" w:rsidR="002B58CA" w:rsidRPr="00415C63" w:rsidRDefault="002B58CA" w:rsidP="002B58CA">
            <w:pPr>
              <w:rPr>
                <w:rFonts w:ascii="Garamond" w:hAnsi="Garamond"/>
                <w:sz w:val="20"/>
                <w:szCs w:val="20"/>
              </w:rPr>
            </w:pPr>
          </w:p>
        </w:tc>
        <w:tc>
          <w:tcPr>
            <w:tcW w:w="1516" w:type="dxa"/>
            <w:shd w:val="clear" w:color="auto" w:fill="auto"/>
          </w:tcPr>
          <w:p w14:paraId="374D9301" w14:textId="77777777" w:rsidR="002B58CA" w:rsidRPr="00415C63" w:rsidRDefault="002B58CA" w:rsidP="002B58CA">
            <w:pPr>
              <w:rPr>
                <w:rFonts w:ascii="Garamond" w:hAnsi="Garamond"/>
                <w:sz w:val="20"/>
                <w:szCs w:val="20"/>
              </w:rPr>
            </w:pPr>
            <w:r w:rsidRPr="00415C63">
              <w:rPr>
                <w:rFonts w:ascii="Garamond" w:hAnsi="Garamond"/>
                <w:sz w:val="20"/>
                <w:szCs w:val="20"/>
              </w:rPr>
              <w:t>ASPECT 8</w:t>
            </w:r>
          </w:p>
          <w:p w14:paraId="360D50CD" w14:textId="77777777" w:rsidR="002B58CA" w:rsidRPr="00415C63" w:rsidRDefault="002B58CA" w:rsidP="002B58CA">
            <w:pPr>
              <w:rPr>
                <w:rFonts w:ascii="Garamond" w:hAnsi="Garamond"/>
                <w:sz w:val="20"/>
                <w:szCs w:val="20"/>
              </w:rPr>
            </w:pPr>
          </w:p>
        </w:tc>
        <w:tc>
          <w:tcPr>
            <w:tcW w:w="1421" w:type="dxa"/>
            <w:shd w:val="clear" w:color="auto" w:fill="auto"/>
          </w:tcPr>
          <w:p w14:paraId="37E18E3B" w14:textId="77777777" w:rsidR="002B58CA" w:rsidRPr="00415C63" w:rsidRDefault="002B58CA" w:rsidP="002B58CA">
            <w:pPr>
              <w:rPr>
                <w:rFonts w:ascii="Garamond" w:hAnsi="Garamond"/>
                <w:sz w:val="20"/>
                <w:szCs w:val="20"/>
              </w:rPr>
            </w:pPr>
            <w:r w:rsidRPr="00415C63">
              <w:rPr>
                <w:rFonts w:ascii="Garamond" w:hAnsi="Garamond"/>
                <w:sz w:val="20"/>
                <w:szCs w:val="20"/>
              </w:rPr>
              <w:t>ASPECTS 6</w:t>
            </w:r>
          </w:p>
        </w:tc>
        <w:tc>
          <w:tcPr>
            <w:tcW w:w="1344" w:type="dxa"/>
            <w:shd w:val="clear" w:color="auto" w:fill="auto"/>
          </w:tcPr>
          <w:p w14:paraId="631A4B64" w14:textId="77777777" w:rsidR="002B58CA" w:rsidRPr="00415C63" w:rsidRDefault="002B58CA" w:rsidP="002B58CA">
            <w:pPr>
              <w:rPr>
                <w:rFonts w:ascii="Garamond" w:hAnsi="Garamond"/>
                <w:sz w:val="20"/>
                <w:szCs w:val="20"/>
              </w:rPr>
            </w:pPr>
            <w:r w:rsidRPr="00415C63">
              <w:rPr>
                <w:rFonts w:ascii="Garamond" w:hAnsi="Garamond"/>
                <w:sz w:val="20"/>
                <w:szCs w:val="20"/>
              </w:rPr>
              <w:t>Early pontine infarcts</w:t>
            </w:r>
          </w:p>
        </w:tc>
        <w:tc>
          <w:tcPr>
            <w:tcW w:w="1421" w:type="dxa"/>
            <w:shd w:val="clear" w:color="auto" w:fill="auto"/>
          </w:tcPr>
          <w:p w14:paraId="02CB32FE" w14:textId="77777777" w:rsidR="002B58CA" w:rsidRPr="00415C63" w:rsidRDefault="002B58CA" w:rsidP="002B58CA">
            <w:pPr>
              <w:rPr>
                <w:rFonts w:ascii="Garamond" w:hAnsi="Garamond"/>
                <w:sz w:val="20"/>
                <w:szCs w:val="20"/>
              </w:rPr>
            </w:pPr>
            <w:r w:rsidRPr="00415C63">
              <w:rPr>
                <w:rFonts w:ascii="Garamond" w:hAnsi="Garamond"/>
                <w:sz w:val="20"/>
                <w:szCs w:val="20"/>
              </w:rPr>
              <w:t>ASPECTS 9</w:t>
            </w:r>
          </w:p>
        </w:tc>
      </w:tr>
      <w:tr w:rsidR="002B58CA" w:rsidRPr="00415C63" w14:paraId="4DA1DC48" w14:textId="77777777" w:rsidTr="002B58CA">
        <w:tc>
          <w:tcPr>
            <w:tcW w:w="1530" w:type="dxa"/>
            <w:shd w:val="clear" w:color="auto" w:fill="auto"/>
          </w:tcPr>
          <w:p w14:paraId="09768B20" w14:textId="77777777" w:rsidR="002B58CA" w:rsidRPr="00415C63" w:rsidRDefault="002B58CA" w:rsidP="002B58CA">
            <w:pPr>
              <w:rPr>
                <w:rFonts w:ascii="Garamond" w:hAnsi="Garamond"/>
                <w:sz w:val="20"/>
                <w:szCs w:val="20"/>
              </w:rPr>
            </w:pPr>
            <w:r w:rsidRPr="00415C63">
              <w:rPr>
                <w:rFonts w:ascii="Garamond" w:hAnsi="Garamond"/>
                <w:sz w:val="20"/>
                <w:szCs w:val="20"/>
              </w:rPr>
              <w:t>CTA Head/Neck</w:t>
            </w:r>
          </w:p>
        </w:tc>
        <w:tc>
          <w:tcPr>
            <w:tcW w:w="1638" w:type="dxa"/>
            <w:shd w:val="clear" w:color="auto" w:fill="auto"/>
          </w:tcPr>
          <w:p w14:paraId="23C40525" w14:textId="77777777" w:rsidR="002B58CA" w:rsidRPr="00415C63" w:rsidRDefault="002B58CA" w:rsidP="002B58CA">
            <w:pPr>
              <w:rPr>
                <w:rFonts w:ascii="Garamond" w:hAnsi="Garamond"/>
                <w:sz w:val="20"/>
                <w:szCs w:val="20"/>
              </w:rPr>
            </w:pPr>
            <w:r w:rsidRPr="00415C63">
              <w:rPr>
                <w:rFonts w:ascii="Garamond" w:hAnsi="Garamond"/>
                <w:sz w:val="20"/>
                <w:szCs w:val="20"/>
              </w:rPr>
              <w:t>Right Supra-clinoid ICA T occlusion</w:t>
            </w:r>
          </w:p>
        </w:tc>
        <w:tc>
          <w:tcPr>
            <w:tcW w:w="1516" w:type="dxa"/>
            <w:shd w:val="clear" w:color="auto" w:fill="auto"/>
          </w:tcPr>
          <w:p w14:paraId="320630F6" w14:textId="77777777" w:rsidR="002B58CA" w:rsidRPr="00415C63" w:rsidRDefault="002B58CA" w:rsidP="002B58CA">
            <w:pPr>
              <w:rPr>
                <w:rFonts w:ascii="Garamond" w:hAnsi="Garamond"/>
                <w:sz w:val="20"/>
                <w:szCs w:val="20"/>
              </w:rPr>
            </w:pPr>
            <w:r w:rsidRPr="00415C63">
              <w:rPr>
                <w:rFonts w:ascii="Garamond" w:hAnsi="Garamond"/>
                <w:sz w:val="20"/>
                <w:szCs w:val="20"/>
              </w:rPr>
              <w:t>Right M1 occlusion</w:t>
            </w:r>
          </w:p>
        </w:tc>
        <w:tc>
          <w:tcPr>
            <w:tcW w:w="1421" w:type="dxa"/>
            <w:shd w:val="clear" w:color="auto" w:fill="auto"/>
          </w:tcPr>
          <w:p w14:paraId="32912303" w14:textId="77777777" w:rsidR="002B58CA" w:rsidRPr="00415C63" w:rsidRDefault="002B58CA" w:rsidP="002B58CA">
            <w:pPr>
              <w:rPr>
                <w:rFonts w:ascii="Garamond" w:hAnsi="Garamond"/>
                <w:sz w:val="20"/>
                <w:szCs w:val="20"/>
              </w:rPr>
            </w:pPr>
            <w:r w:rsidRPr="00415C63">
              <w:rPr>
                <w:rFonts w:ascii="Garamond" w:hAnsi="Garamond"/>
                <w:sz w:val="20"/>
                <w:szCs w:val="20"/>
              </w:rPr>
              <w:t>Left distal M1 occlusion</w:t>
            </w:r>
          </w:p>
        </w:tc>
        <w:tc>
          <w:tcPr>
            <w:tcW w:w="1344" w:type="dxa"/>
            <w:shd w:val="clear" w:color="auto" w:fill="auto"/>
          </w:tcPr>
          <w:p w14:paraId="04F8F52C" w14:textId="77777777" w:rsidR="002B58CA" w:rsidRPr="00415C63" w:rsidRDefault="002B58CA" w:rsidP="002B58CA">
            <w:pPr>
              <w:rPr>
                <w:rFonts w:ascii="Garamond" w:hAnsi="Garamond"/>
                <w:sz w:val="20"/>
                <w:szCs w:val="20"/>
              </w:rPr>
            </w:pPr>
            <w:r w:rsidRPr="00415C63">
              <w:rPr>
                <w:rFonts w:ascii="Garamond" w:hAnsi="Garamond"/>
                <w:sz w:val="20"/>
                <w:szCs w:val="20"/>
              </w:rPr>
              <w:t>Proximal basilar occlusion</w:t>
            </w:r>
          </w:p>
        </w:tc>
        <w:tc>
          <w:tcPr>
            <w:tcW w:w="1421" w:type="dxa"/>
            <w:shd w:val="clear" w:color="auto" w:fill="auto"/>
          </w:tcPr>
          <w:p w14:paraId="5DE24C9C" w14:textId="77777777" w:rsidR="002B58CA" w:rsidRPr="00415C63" w:rsidRDefault="002B58CA" w:rsidP="002B58CA">
            <w:pPr>
              <w:rPr>
                <w:rFonts w:ascii="Garamond" w:hAnsi="Garamond"/>
                <w:sz w:val="20"/>
                <w:szCs w:val="20"/>
              </w:rPr>
            </w:pPr>
            <w:r w:rsidRPr="00415C63">
              <w:rPr>
                <w:rFonts w:ascii="Garamond" w:hAnsi="Garamond"/>
                <w:sz w:val="20"/>
                <w:szCs w:val="20"/>
              </w:rPr>
              <w:t>Left M1</w:t>
            </w:r>
          </w:p>
        </w:tc>
      </w:tr>
      <w:tr w:rsidR="002B58CA" w:rsidRPr="00415C63" w14:paraId="0B2F8A50" w14:textId="77777777" w:rsidTr="002B58CA">
        <w:tc>
          <w:tcPr>
            <w:tcW w:w="8870" w:type="dxa"/>
            <w:gridSpan w:val="6"/>
            <w:shd w:val="clear" w:color="auto" w:fill="auto"/>
          </w:tcPr>
          <w:p w14:paraId="558C874D" w14:textId="77777777" w:rsidR="002B58CA" w:rsidRPr="00415C63" w:rsidRDefault="002B58CA" w:rsidP="002B58CA">
            <w:pPr>
              <w:rPr>
                <w:rFonts w:ascii="Garamond" w:hAnsi="Garamond"/>
                <w:sz w:val="20"/>
                <w:szCs w:val="20"/>
              </w:rPr>
            </w:pPr>
            <w:r w:rsidRPr="00415C63">
              <w:rPr>
                <w:rFonts w:ascii="Garamond" w:hAnsi="Garamond"/>
                <w:sz w:val="20"/>
                <w:szCs w:val="20"/>
              </w:rPr>
              <w:t>Laboratory</w:t>
            </w:r>
          </w:p>
        </w:tc>
      </w:tr>
      <w:tr w:rsidR="002B58CA" w:rsidRPr="00415C63" w14:paraId="3AEFC695" w14:textId="77777777" w:rsidTr="002B58CA">
        <w:tc>
          <w:tcPr>
            <w:tcW w:w="1530" w:type="dxa"/>
            <w:shd w:val="clear" w:color="auto" w:fill="auto"/>
          </w:tcPr>
          <w:p w14:paraId="39D9E3C6" w14:textId="77777777" w:rsidR="002B58CA" w:rsidRPr="00415C63" w:rsidRDefault="002B58CA" w:rsidP="002B58CA">
            <w:pPr>
              <w:rPr>
                <w:rFonts w:ascii="Garamond" w:hAnsi="Garamond"/>
                <w:sz w:val="20"/>
                <w:szCs w:val="20"/>
              </w:rPr>
            </w:pPr>
            <w:r w:rsidRPr="00415C63">
              <w:rPr>
                <w:rFonts w:ascii="Garamond" w:hAnsi="Garamond"/>
                <w:sz w:val="20"/>
                <w:szCs w:val="20"/>
              </w:rPr>
              <w:t>D-Dimer</w:t>
            </w:r>
          </w:p>
          <w:p w14:paraId="7703EC0F" w14:textId="77777777" w:rsidR="002B58CA" w:rsidRPr="00415C63" w:rsidRDefault="002B58CA" w:rsidP="002B58CA">
            <w:pPr>
              <w:rPr>
                <w:rFonts w:ascii="Garamond" w:hAnsi="Garamond"/>
                <w:sz w:val="20"/>
                <w:szCs w:val="20"/>
              </w:rPr>
            </w:pPr>
            <w:r w:rsidRPr="00415C63">
              <w:rPr>
                <w:rFonts w:ascii="Garamond" w:hAnsi="Garamond"/>
                <w:sz w:val="20"/>
                <w:szCs w:val="20"/>
              </w:rPr>
              <w:t>NLR</w:t>
            </w:r>
          </w:p>
          <w:p w14:paraId="6C83E013" w14:textId="77777777" w:rsidR="002B58CA" w:rsidRPr="00415C63" w:rsidRDefault="002B58CA" w:rsidP="002B58CA">
            <w:pPr>
              <w:rPr>
                <w:rFonts w:ascii="Garamond" w:hAnsi="Garamond"/>
                <w:sz w:val="20"/>
                <w:szCs w:val="20"/>
              </w:rPr>
            </w:pPr>
            <w:r w:rsidRPr="00415C63">
              <w:rPr>
                <w:rFonts w:ascii="Garamond" w:hAnsi="Garamond"/>
                <w:sz w:val="20"/>
                <w:szCs w:val="20"/>
              </w:rPr>
              <w:t>Fibrinogen</w:t>
            </w:r>
          </w:p>
          <w:p w14:paraId="1A383702" w14:textId="77777777" w:rsidR="002B58CA" w:rsidRPr="00415C63" w:rsidRDefault="002B58CA" w:rsidP="002B58CA">
            <w:pPr>
              <w:rPr>
                <w:rFonts w:ascii="Garamond" w:hAnsi="Garamond"/>
                <w:sz w:val="20"/>
                <w:szCs w:val="20"/>
              </w:rPr>
            </w:pPr>
            <w:r w:rsidRPr="00415C63">
              <w:rPr>
                <w:rFonts w:ascii="Garamond" w:hAnsi="Garamond"/>
                <w:sz w:val="20"/>
                <w:szCs w:val="20"/>
              </w:rPr>
              <w:t>Ferritin</w:t>
            </w:r>
          </w:p>
          <w:p w14:paraId="79A3162C" w14:textId="77777777" w:rsidR="002B58CA" w:rsidRPr="00415C63" w:rsidRDefault="002B58CA" w:rsidP="002B58CA">
            <w:pPr>
              <w:rPr>
                <w:rFonts w:ascii="Garamond" w:hAnsi="Garamond"/>
                <w:sz w:val="20"/>
                <w:szCs w:val="20"/>
              </w:rPr>
            </w:pPr>
            <w:r w:rsidRPr="00415C63">
              <w:rPr>
                <w:rFonts w:ascii="Garamond" w:hAnsi="Garamond"/>
                <w:sz w:val="20"/>
                <w:szCs w:val="20"/>
              </w:rPr>
              <w:t>Creatinine</w:t>
            </w:r>
          </w:p>
        </w:tc>
        <w:tc>
          <w:tcPr>
            <w:tcW w:w="1638" w:type="dxa"/>
            <w:shd w:val="clear" w:color="auto" w:fill="auto"/>
          </w:tcPr>
          <w:p w14:paraId="00969D02" w14:textId="77777777" w:rsidR="002B58CA" w:rsidRPr="00415C63" w:rsidRDefault="002B58CA" w:rsidP="002B58CA">
            <w:pPr>
              <w:rPr>
                <w:rFonts w:ascii="Garamond" w:hAnsi="Garamond"/>
                <w:sz w:val="20"/>
                <w:szCs w:val="20"/>
              </w:rPr>
            </w:pPr>
            <w:r w:rsidRPr="00415C63">
              <w:rPr>
                <w:rFonts w:ascii="Garamond" w:hAnsi="Garamond"/>
                <w:sz w:val="20"/>
                <w:szCs w:val="20"/>
              </w:rPr>
              <w:t>10,000</w:t>
            </w:r>
          </w:p>
          <w:p w14:paraId="2D12157E" w14:textId="77777777" w:rsidR="002B58CA" w:rsidRPr="00415C63" w:rsidRDefault="002B58CA" w:rsidP="002B58CA">
            <w:pPr>
              <w:rPr>
                <w:rFonts w:ascii="Garamond" w:hAnsi="Garamond"/>
                <w:sz w:val="20"/>
                <w:szCs w:val="20"/>
              </w:rPr>
            </w:pPr>
            <w:r w:rsidRPr="00415C63">
              <w:rPr>
                <w:rFonts w:ascii="Garamond" w:hAnsi="Garamond"/>
                <w:sz w:val="20"/>
                <w:szCs w:val="20"/>
              </w:rPr>
              <w:t>4.2</w:t>
            </w:r>
          </w:p>
          <w:p w14:paraId="29CF4C5B" w14:textId="77777777" w:rsidR="002B58CA" w:rsidRPr="00415C63" w:rsidRDefault="002B58CA" w:rsidP="002B58CA">
            <w:pPr>
              <w:rPr>
                <w:rFonts w:ascii="Garamond" w:hAnsi="Garamond"/>
                <w:sz w:val="20"/>
                <w:szCs w:val="20"/>
              </w:rPr>
            </w:pPr>
            <w:r w:rsidRPr="00415C63">
              <w:rPr>
                <w:rFonts w:ascii="Garamond" w:hAnsi="Garamond"/>
                <w:sz w:val="20"/>
                <w:szCs w:val="20"/>
              </w:rPr>
              <w:t>235</w:t>
            </w:r>
          </w:p>
          <w:p w14:paraId="10B10C47" w14:textId="77777777" w:rsidR="002B58CA" w:rsidRPr="00415C63" w:rsidRDefault="002B58CA" w:rsidP="002B58CA">
            <w:pPr>
              <w:rPr>
                <w:rFonts w:ascii="Garamond" w:hAnsi="Garamond"/>
                <w:sz w:val="20"/>
                <w:szCs w:val="20"/>
              </w:rPr>
            </w:pPr>
            <w:r w:rsidRPr="00415C63">
              <w:rPr>
                <w:rFonts w:ascii="Garamond" w:hAnsi="Garamond"/>
                <w:sz w:val="20"/>
                <w:szCs w:val="20"/>
              </w:rPr>
              <w:t>588</w:t>
            </w:r>
          </w:p>
          <w:p w14:paraId="7330A704" w14:textId="77777777" w:rsidR="002B58CA" w:rsidRPr="00415C63" w:rsidRDefault="002B58CA" w:rsidP="002B58CA">
            <w:pPr>
              <w:rPr>
                <w:rFonts w:ascii="Garamond" w:hAnsi="Garamond"/>
                <w:sz w:val="20"/>
                <w:szCs w:val="20"/>
              </w:rPr>
            </w:pPr>
            <w:r w:rsidRPr="00415C63">
              <w:rPr>
                <w:rFonts w:ascii="Garamond" w:hAnsi="Garamond"/>
                <w:sz w:val="20"/>
                <w:szCs w:val="20"/>
              </w:rPr>
              <w:t>0.83</w:t>
            </w:r>
          </w:p>
        </w:tc>
        <w:tc>
          <w:tcPr>
            <w:tcW w:w="1516" w:type="dxa"/>
            <w:shd w:val="clear" w:color="auto" w:fill="auto"/>
          </w:tcPr>
          <w:p w14:paraId="2C8434E2" w14:textId="77777777" w:rsidR="002B58CA" w:rsidRPr="00415C63" w:rsidRDefault="002B58CA" w:rsidP="002B58CA">
            <w:pPr>
              <w:rPr>
                <w:rFonts w:ascii="Garamond" w:hAnsi="Garamond"/>
                <w:sz w:val="20"/>
                <w:szCs w:val="20"/>
              </w:rPr>
            </w:pPr>
            <w:r w:rsidRPr="00415C63">
              <w:rPr>
                <w:rFonts w:ascii="Garamond" w:hAnsi="Garamond"/>
                <w:sz w:val="20"/>
                <w:szCs w:val="20"/>
              </w:rPr>
              <w:t>3247</w:t>
            </w:r>
          </w:p>
          <w:p w14:paraId="66ED9E09" w14:textId="77777777" w:rsidR="002B58CA" w:rsidRPr="00415C63" w:rsidRDefault="002B58CA" w:rsidP="002B58CA">
            <w:pPr>
              <w:rPr>
                <w:rFonts w:ascii="Garamond" w:hAnsi="Garamond"/>
                <w:sz w:val="20"/>
                <w:szCs w:val="20"/>
              </w:rPr>
            </w:pPr>
            <w:r w:rsidRPr="00415C63">
              <w:rPr>
                <w:rFonts w:ascii="Garamond" w:hAnsi="Garamond"/>
                <w:sz w:val="20"/>
                <w:szCs w:val="20"/>
              </w:rPr>
              <w:t>5.2</w:t>
            </w:r>
          </w:p>
          <w:p w14:paraId="44D4BA9A" w14:textId="77777777" w:rsidR="002B58CA" w:rsidRPr="00415C63" w:rsidRDefault="002B58CA" w:rsidP="002B58CA">
            <w:pPr>
              <w:rPr>
                <w:rFonts w:ascii="Garamond" w:hAnsi="Garamond"/>
                <w:sz w:val="20"/>
                <w:szCs w:val="20"/>
              </w:rPr>
            </w:pPr>
            <w:r w:rsidRPr="00415C63">
              <w:rPr>
                <w:rFonts w:ascii="Garamond" w:hAnsi="Garamond"/>
                <w:sz w:val="20"/>
                <w:szCs w:val="20"/>
              </w:rPr>
              <w:t>634</w:t>
            </w:r>
          </w:p>
          <w:p w14:paraId="30077F09" w14:textId="77777777" w:rsidR="002B58CA" w:rsidRPr="00415C63" w:rsidRDefault="002B58CA" w:rsidP="002B58CA">
            <w:pPr>
              <w:rPr>
                <w:rFonts w:ascii="Garamond" w:hAnsi="Garamond"/>
                <w:sz w:val="20"/>
                <w:szCs w:val="20"/>
              </w:rPr>
            </w:pPr>
            <w:r w:rsidRPr="00415C63">
              <w:rPr>
                <w:rFonts w:ascii="Garamond" w:hAnsi="Garamond"/>
                <w:sz w:val="20"/>
                <w:szCs w:val="20"/>
              </w:rPr>
              <w:t>24</w:t>
            </w:r>
          </w:p>
          <w:p w14:paraId="2AA154FC" w14:textId="77777777" w:rsidR="002B58CA" w:rsidRPr="00415C63" w:rsidRDefault="002B58CA" w:rsidP="002B58CA">
            <w:pPr>
              <w:rPr>
                <w:rFonts w:ascii="Garamond" w:hAnsi="Garamond"/>
                <w:sz w:val="20"/>
                <w:szCs w:val="20"/>
              </w:rPr>
            </w:pPr>
            <w:r w:rsidRPr="00415C63">
              <w:rPr>
                <w:rFonts w:ascii="Garamond" w:hAnsi="Garamond"/>
                <w:sz w:val="20"/>
                <w:szCs w:val="20"/>
              </w:rPr>
              <w:t>1.4</w:t>
            </w:r>
          </w:p>
        </w:tc>
        <w:tc>
          <w:tcPr>
            <w:tcW w:w="1421" w:type="dxa"/>
            <w:shd w:val="clear" w:color="auto" w:fill="auto"/>
          </w:tcPr>
          <w:p w14:paraId="0A4623CA" w14:textId="77777777" w:rsidR="002B58CA" w:rsidRPr="00415C63" w:rsidRDefault="002B58CA" w:rsidP="002B58CA">
            <w:pPr>
              <w:rPr>
                <w:rFonts w:ascii="Garamond" w:hAnsi="Garamond"/>
                <w:sz w:val="20"/>
                <w:szCs w:val="20"/>
              </w:rPr>
            </w:pPr>
            <w:r w:rsidRPr="00415C63">
              <w:rPr>
                <w:rFonts w:ascii="Garamond" w:hAnsi="Garamond"/>
                <w:sz w:val="20"/>
                <w:szCs w:val="20"/>
              </w:rPr>
              <w:t>769</w:t>
            </w:r>
          </w:p>
          <w:p w14:paraId="3FD7A080" w14:textId="77777777" w:rsidR="002B58CA" w:rsidRPr="00415C63" w:rsidRDefault="002B58CA" w:rsidP="002B58CA">
            <w:pPr>
              <w:rPr>
                <w:rFonts w:ascii="Garamond" w:hAnsi="Garamond"/>
                <w:sz w:val="20"/>
                <w:szCs w:val="20"/>
              </w:rPr>
            </w:pPr>
            <w:r w:rsidRPr="00415C63">
              <w:rPr>
                <w:rFonts w:ascii="Garamond" w:hAnsi="Garamond"/>
                <w:sz w:val="20"/>
                <w:szCs w:val="20"/>
              </w:rPr>
              <w:t>1.7</w:t>
            </w:r>
          </w:p>
          <w:p w14:paraId="4E35171B" w14:textId="77777777" w:rsidR="002B58CA" w:rsidRPr="00415C63" w:rsidRDefault="002B58CA" w:rsidP="002B58CA">
            <w:pPr>
              <w:rPr>
                <w:rFonts w:ascii="Garamond" w:hAnsi="Garamond"/>
                <w:sz w:val="20"/>
                <w:szCs w:val="20"/>
              </w:rPr>
            </w:pPr>
            <w:r w:rsidRPr="00415C63">
              <w:rPr>
                <w:rFonts w:ascii="Garamond" w:hAnsi="Garamond"/>
                <w:sz w:val="20"/>
                <w:szCs w:val="20"/>
              </w:rPr>
              <w:t>542</w:t>
            </w:r>
          </w:p>
          <w:p w14:paraId="65C44105" w14:textId="77777777" w:rsidR="002B58CA" w:rsidRPr="00415C63" w:rsidRDefault="002B58CA" w:rsidP="002B58CA">
            <w:pPr>
              <w:rPr>
                <w:rFonts w:ascii="Garamond" w:hAnsi="Garamond"/>
                <w:sz w:val="20"/>
                <w:szCs w:val="20"/>
              </w:rPr>
            </w:pPr>
            <w:r w:rsidRPr="00415C63">
              <w:rPr>
                <w:rFonts w:ascii="Garamond" w:hAnsi="Garamond"/>
                <w:sz w:val="20"/>
                <w:szCs w:val="20"/>
              </w:rPr>
              <w:t>207</w:t>
            </w:r>
          </w:p>
          <w:p w14:paraId="34FF5155" w14:textId="77777777" w:rsidR="002B58CA" w:rsidRPr="00415C63" w:rsidRDefault="002B58CA" w:rsidP="002B58CA">
            <w:pPr>
              <w:rPr>
                <w:rFonts w:ascii="Garamond" w:hAnsi="Garamond"/>
                <w:sz w:val="20"/>
                <w:szCs w:val="20"/>
              </w:rPr>
            </w:pPr>
            <w:r w:rsidRPr="00415C63">
              <w:rPr>
                <w:rFonts w:ascii="Garamond" w:hAnsi="Garamond"/>
                <w:sz w:val="20"/>
                <w:szCs w:val="20"/>
              </w:rPr>
              <w:t>0.9</w:t>
            </w:r>
          </w:p>
        </w:tc>
        <w:tc>
          <w:tcPr>
            <w:tcW w:w="1344" w:type="dxa"/>
            <w:shd w:val="clear" w:color="auto" w:fill="auto"/>
          </w:tcPr>
          <w:p w14:paraId="41DFEEAA" w14:textId="77777777" w:rsidR="002B58CA" w:rsidRPr="00415C63" w:rsidRDefault="002B58CA" w:rsidP="002B58CA">
            <w:pPr>
              <w:rPr>
                <w:rFonts w:ascii="Garamond" w:hAnsi="Garamond"/>
                <w:sz w:val="20"/>
                <w:szCs w:val="20"/>
              </w:rPr>
            </w:pPr>
            <w:r w:rsidRPr="00415C63">
              <w:rPr>
                <w:rFonts w:ascii="Garamond" w:hAnsi="Garamond"/>
                <w:sz w:val="20"/>
                <w:szCs w:val="20"/>
              </w:rPr>
              <w:t>&gt;10,000</w:t>
            </w:r>
          </w:p>
          <w:p w14:paraId="46D3BFDB" w14:textId="77777777" w:rsidR="002B58CA" w:rsidRPr="00415C63" w:rsidRDefault="002B58CA" w:rsidP="002B58CA">
            <w:pPr>
              <w:rPr>
                <w:rFonts w:ascii="Garamond" w:hAnsi="Garamond"/>
                <w:sz w:val="20"/>
                <w:szCs w:val="20"/>
              </w:rPr>
            </w:pPr>
            <w:r w:rsidRPr="00415C63">
              <w:rPr>
                <w:rFonts w:ascii="Garamond" w:hAnsi="Garamond"/>
                <w:sz w:val="20"/>
                <w:szCs w:val="20"/>
              </w:rPr>
              <w:t>17.4</w:t>
            </w:r>
          </w:p>
          <w:p w14:paraId="44741511" w14:textId="77777777" w:rsidR="002B58CA" w:rsidRPr="00415C63" w:rsidRDefault="002B58CA" w:rsidP="002B58CA">
            <w:pPr>
              <w:rPr>
                <w:rFonts w:ascii="Garamond" w:hAnsi="Garamond"/>
                <w:sz w:val="20"/>
                <w:szCs w:val="20"/>
              </w:rPr>
            </w:pPr>
            <w:r w:rsidRPr="00415C63">
              <w:rPr>
                <w:rFonts w:ascii="Garamond" w:hAnsi="Garamond"/>
                <w:sz w:val="20"/>
                <w:szCs w:val="20"/>
              </w:rPr>
              <w:t>316</w:t>
            </w:r>
          </w:p>
          <w:p w14:paraId="34590538" w14:textId="77777777" w:rsidR="002B58CA" w:rsidRPr="00415C63" w:rsidRDefault="002B58CA" w:rsidP="002B58CA">
            <w:pPr>
              <w:rPr>
                <w:rFonts w:ascii="Garamond" w:hAnsi="Garamond"/>
                <w:sz w:val="20"/>
                <w:szCs w:val="20"/>
              </w:rPr>
            </w:pPr>
            <w:r w:rsidRPr="00415C63">
              <w:rPr>
                <w:rFonts w:ascii="Garamond" w:hAnsi="Garamond"/>
                <w:sz w:val="20"/>
                <w:szCs w:val="20"/>
              </w:rPr>
              <w:t>3746</w:t>
            </w:r>
          </w:p>
          <w:p w14:paraId="5629F93A" w14:textId="77777777" w:rsidR="002B58CA" w:rsidRPr="00415C63" w:rsidRDefault="002B58CA" w:rsidP="002B58CA">
            <w:pPr>
              <w:rPr>
                <w:rFonts w:ascii="Garamond" w:hAnsi="Garamond"/>
                <w:sz w:val="20"/>
                <w:szCs w:val="20"/>
              </w:rPr>
            </w:pPr>
            <w:r w:rsidRPr="00415C63">
              <w:rPr>
                <w:rFonts w:ascii="Garamond" w:hAnsi="Garamond"/>
                <w:sz w:val="20"/>
                <w:szCs w:val="20"/>
              </w:rPr>
              <w:t>3.33</w:t>
            </w:r>
          </w:p>
        </w:tc>
        <w:tc>
          <w:tcPr>
            <w:tcW w:w="1421" w:type="dxa"/>
            <w:shd w:val="clear" w:color="auto" w:fill="auto"/>
          </w:tcPr>
          <w:p w14:paraId="234B15A4" w14:textId="77777777" w:rsidR="002B58CA" w:rsidRPr="00415C63" w:rsidRDefault="002B58CA" w:rsidP="002B58CA">
            <w:pPr>
              <w:rPr>
                <w:rFonts w:ascii="Garamond" w:hAnsi="Garamond"/>
                <w:sz w:val="20"/>
                <w:szCs w:val="20"/>
              </w:rPr>
            </w:pPr>
            <w:r w:rsidRPr="00415C63">
              <w:rPr>
                <w:rFonts w:ascii="Garamond" w:hAnsi="Garamond"/>
                <w:sz w:val="20"/>
                <w:szCs w:val="20"/>
              </w:rPr>
              <w:t>4964</w:t>
            </w:r>
          </w:p>
          <w:p w14:paraId="1289F9D1" w14:textId="77777777" w:rsidR="002B58CA" w:rsidRPr="00415C63" w:rsidRDefault="002B58CA" w:rsidP="002B58CA">
            <w:pPr>
              <w:rPr>
                <w:rFonts w:ascii="Garamond" w:hAnsi="Garamond"/>
                <w:sz w:val="20"/>
                <w:szCs w:val="20"/>
              </w:rPr>
            </w:pPr>
            <w:r w:rsidRPr="00415C63">
              <w:rPr>
                <w:rFonts w:ascii="Garamond" w:hAnsi="Garamond"/>
                <w:sz w:val="20"/>
                <w:szCs w:val="20"/>
              </w:rPr>
              <w:t>8</w:t>
            </w:r>
          </w:p>
          <w:p w14:paraId="5241741B" w14:textId="77777777" w:rsidR="002B58CA" w:rsidRPr="00415C63" w:rsidRDefault="002B58CA" w:rsidP="002B58CA">
            <w:pPr>
              <w:rPr>
                <w:rFonts w:ascii="Garamond" w:hAnsi="Garamond"/>
                <w:sz w:val="20"/>
                <w:szCs w:val="20"/>
              </w:rPr>
            </w:pPr>
            <w:r w:rsidRPr="00415C63">
              <w:rPr>
                <w:rFonts w:ascii="Garamond" w:hAnsi="Garamond"/>
                <w:sz w:val="20"/>
                <w:szCs w:val="20"/>
              </w:rPr>
              <w:t>970</w:t>
            </w:r>
          </w:p>
          <w:p w14:paraId="34101DF4" w14:textId="77777777" w:rsidR="002B58CA" w:rsidRPr="00415C63" w:rsidRDefault="002B58CA" w:rsidP="002B58CA">
            <w:pPr>
              <w:rPr>
                <w:rFonts w:ascii="Garamond" w:hAnsi="Garamond"/>
                <w:sz w:val="20"/>
                <w:szCs w:val="20"/>
              </w:rPr>
            </w:pPr>
            <w:r w:rsidRPr="00415C63">
              <w:rPr>
                <w:rFonts w:ascii="Garamond" w:hAnsi="Garamond"/>
                <w:sz w:val="20"/>
                <w:szCs w:val="20"/>
              </w:rPr>
              <w:t>1350</w:t>
            </w:r>
          </w:p>
          <w:p w14:paraId="6959F3ED" w14:textId="77777777" w:rsidR="002B58CA" w:rsidRPr="00415C63" w:rsidRDefault="002B58CA" w:rsidP="002B58CA">
            <w:pPr>
              <w:rPr>
                <w:rFonts w:ascii="Garamond" w:hAnsi="Garamond"/>
                <w:sz w:val="20"/>
                <w:szCs w:val="20"/>
              </w:rPr>
            </w:pPr>
            <w:r w:rsidRPr="00415C63">
              <w:rPr>
                <w:rFonts w:ascii="Garamond" w:hAnsi="Garamond"/>
                <w:sz w:val="20"/>
                <w:szCs w:val="20"/>
              </w:rPr>
              <w:t>0.9</w:t>
            </w:r>
          </w:p>
        </w:tc>
      </w:tr>
      <w:tr w:rsidR="002B58CA" w:rsidRPr="00415C63" w14:paraId="5B4B68C6" w14:textId="77777777" w:rsidTr="002B58CA">
        <w:tc>
          <w:tcPr>
            <w:tcW w:w="1530" w:type="dxa"/>
            <w:shd w:val="clear" w:color="auto" w:fill="auto"/>
          </w:tcPr>
          <w:p w14:paraId="1BA202CB" w14:textId="77777777" w:rsidR="002B58CA" w:rsidRPr="00415C63" w:rsidRDefault="002B58CA" w:rsidP="002B58CA">
            <w:pPr>
              <w:rPr>
                <w:rFonts w:ascii="Garamond" w:hAnsi="Garamond"/>
                <w:sz w:val="20"/>
                <w:szCs w:val="20"/>
              </w:rPr>
            </w:pPr>
            <w:r w:rsidRPr="00415C63">
              <w:rPr>
                <w:rFonts w:ascii="Garamond" w:hAnsi="Garamond"/>
                <w:sz w:val="20"/>
                <w:szCs w:val="20"/>
              </w:rPr>
              <w:t>Acute stroke treatment received</w:t>
            </w:r>
          </w:p>
        </w:tc>
        <w:tc>
          <w:tcPr>
            <w:tcW w:w="1638" w:type="dxa"/>
            <w:shd w:val="clear" w:color="auto" w:fill="auto"/>
          </w:tcPr>
          <w:p w14:paraId="3151F638" w14:textId="77777777" w:rsidR="002B58CA" w:rsidRPr="00415C63" w:rsidRDefault="002B58CA" w:rsidP="002B58CA">
            <w:pPr>
              <w:rPr>
                <w:rFonts w:ascii="Garamond" w:hAnsi="Garamond"/>
                <w:sz w:val="20"/>
                <w:szCs w:val="20"/>
              </w:rPr>
            </w:pPr>
            <w:r w:rsidRPr="00415C63">
              <w:rPr>
                <w:rFonts w:ascii="Garamond" w:hAnsi="Garamond"/>
                <w:sz w:val="20"/>
                <w:szCs w:val="20"/>
              </w:rPr>
              <w:t>No acute intervention advanced infarct progression</w:t>
            </w:r>
          </w:p>
        </w:tc>
        <w:tc>
          <w:tcPr>
            <w:tcW w:w="1516" w:type="dxa"/>
            <w:shd w:val="clear" w:color="auto" w:fill="auto"/>
          </w:tcPr>
          <w:p w14:paraId="305F9F55" w14:textId="77777777" w:rsidR="002B58CA" w:rsidRPr="00415C63" w:rsidRDefault="002B58CA" w:rsidP="002B58CA">
            <w:pPr>
              <w:rPr>
                <w:rFonts w:ascii="Garamond" w:hAnsi="Garamond"/>
                <w:sz w:val="20"/>
                <w:szCs w:val="20"/>
              </w:rPr>
            </w:pPr>
            <w:r w:rsidRPr="00415C63">
              <w:rPr>
                <w:rFonts w:ascii="Garamond" w:hAnsi="Garamond"/>
                <w:sz w:val="20"/>
                <w:szCs w:val="20"/>
              </w:rPr>
              <w:t>tPA</w:t>
            </w:r>
          </w:p>
          <w:p w14:paraId="5F704350" w14:textId="77777777" w:rsidR="002B58CA" w:rsidRPr="00415C63" w:rsidRDefault="002B58CA" w:rsidP="002B58CA">
            <w:pPr>
              <w:rPr>
                <w:rFonts w:ascii="Garamond" w:hAnsi="Garamond"/>
                <w:sz w:val="20"/>
                <w:szCs w:val="20"/>
              </w:rPr>
            </w:pPr>
            <w:r w:rsidRPr="00415C63">
              <w:rPr>
                <w:rFonts w:ascii="Garamond" w:hAnsi="Garamond"/>
                <w:sz w:val="20"/>
                <w:szCs w:val="20"/>
              </w:rPr>
              <w:t>Mechanical thrombectomy</w:t>
            </w:r>
          </w:p>
          <w:p w14:paraId="70D3402E" w14:textId="77777777" w:rsidR="002B58CA" w:rsidRPr="00415C63" w:rsidRDefault="002B58CA" w:rsidP="002B58CA">
            <w:pPr>
              <w:rPr>
                <w:rFonts w:ascii="Garamond" w:hAnsi="Garamond"/>
                <w:sz w:val="20"/>
                <w:szCs w:val="20"/>
              </w:rPr>
            </w:pPr>
            <w:r w:rsidRPr="00415C63">
              <w:rPr>
                <w:rFonts w:ascii="Garamond" w:hAnsi="Garamond"/>
                <w:sz w:val="20"/>
                <w:szCs w:val="20"/>
              </w:rPr>
              <w:t>TICI 3</w:t>
            </w:r>
          </w:p>
        </w:tc>
        <w:tc>
          <w:tcPr>
            <w:tcW w:w="1421" w:type="dxa"/>
            <w:shd w:val="clear" w:color="auto" w:fill="auto"/>
          </w:tcPr>
          <w:p w14:paraId="73522908" w14:textId="77777777" w:rsidR="002B58CA" w:rsidRPr="00415C63" w:rsidRDefault="002B58CA" w:rsidP="002B58CA">
            <w:pPr>
              <w:rPr>
                <w:rFonts w:ascii="Garamond" w:hAnsi="Garamond"/>
                <w:sz w:val="20"/>
                <w:szCs w:val="20"/>
              </w:rPr>
            </w:pPr>
            <w:r w:rsidRPr="00415C63">
              <w:rPr>
                <w:rFonts w:ascii="Garamond" w:hAnsi="Garamond"/>
                <w:sz w:val="20"/>
                <w:szCs w:val="20"/>
              </w:rPr>
              <w:t>Mechanical thrombectomy</w:t>
            </w:r>
          </w:p>
          <w:p w14:paraId="31FD0FB8" w14:textId="77777777" w:rsidR="002B58CA" w:rsidRPr="00415C63" w:rsidRDefault="002B58CA" w:rsidP="002B58CA">
            <w:pPr>
              <w:rPr>
                <w:rFonts w:ascii="Garamond" w:hAnsi="Garamond"/>
                <w:sz w:val="20"/>
                <w:szCs w:val="20"/>
              </w:rPr>
            </w:pPr>
            <w:r w:rsidRPr="00415C63">
              <w:rPr>
                <w:rFonts w:ascii="Garamond" w:hAnsi="Garamond"/>
                <w:sz w:val="20"/>
                <w:szCs w:val="20"/>
              </w:rPr>
              <w:t>TICI 2C</w:t>
            </w:r>
          </w:p>
        </w:tc>
        <w:tc>
          <w:tcPr>
            <w:tcW w:w="1344" w:type="dxa"/>
            <w:shd w:val="clear" w:color="auto" w:fill="auto"/>
          </w:tcPr>
          <w:p w14:paraId="5450CA67" w14:textId="77777777" w:rsidR="002B58CA" w:rsidRPr="00415C63" w:rsidRDefault="002B58CA" w:rsidP="002B58CA">
            <w:pPr>
              <w:rPr>
                <w:rFonts w:ascii="Garamond" w:hAnsi="Garamond"/>
                <w:sz w:val="20"/>
                <w:szCs w:val="20"/>
              </w:rPr>
            </w:pPr>
            <w:r w:rsidRPr="00415C63">
              <w:rPr>
                <w:rFonts w:ascii="Garamond" w:hAnsi="Garamond"/>
                <w:sz w:val="20"/>
                <w:szCs w:val="20"/>
              </w:rPr>
              <w:t>No acute intervention patient too unstable</w:t>
            </w:r>
          </w:p>
        </w:tc>
        <w:tc>
          <w:tcPr>
            <w:tcW w:w="1421" w:type="dxa"/>
            <w:shd w:val="clear" w:color="auto" w:fill="auto"/>
          </w:tcPr>
          <w:p w14:paraId="3A71B2FA" w14:textId="77777777" w:rsidR="002B58CA" w:rsidRPr="00415C63" w:rsidRDefault="002B58CA" w:rsidP="002B58CA">
            <w:pPr>
              <w:rPr>
                <w:rFonts w:ascii="Garamond" w:hAnsi="Garamond"/>
                <w:sz w:val="20"/>
                <w:szCs w:val="20"/>
              </w:rPr>
            </w:pPr>
            <w:r w:rsidRPr="00415C63">
              <w:rPr>
                <w:rFonts w:ascii="Garamond" w:hAnsi="Garamond"/>
                <w:sz w:val="20"/>
                <w:szCs w:val="20"/>
              </w:rPr>
              <w:t>tPA</w:t>
            </w:r>
          </w:p>
          <w:p w14:paraId="36EBE754" w14:textId="77777777" w:rsidR="002B58CA" w:rsidRPr="00415C63" w:rsidRDefault="002B58CA" w:rsidP="002B58CA">
            <w:pPr>
              <w:rPr>
                <w:rFonts w:ascii="Garamond" w:hAnsi="Garamond"/>
                <w:sz w:val="20"/>
                <w:szCs w:val="20"/>
              </w:rPr>
            </w:pPr>
            <w:r w:rsidRPr="00415C63">
              <w:rPr>
                <w:rFonts w:ascii="Garamond" w:hAnsi="Garamond"/>
                <w:sz w:val="20"/>
                <w:szCs w:val="20"/>
              </w:rPr>
              <w:t>Mechanical thrombectomy</w:t>
            </w:r>
          </w:p>
          <w:p w14:paraId="1316586F" w14:textId="77777777" w:rsidR="002B58CA" w:rsidRPr="00415C63" w:rsidRDefault="002B58CA" w:rsidP="002B58CA">
            <w:pPr>
              <w:rPr>
                <w:rFonts w:ascii="Garamond" w:hAnsi="Garamond"/>
                <w:sz w:val="20"/>
                <w:szCs w:val="20"/>
              </w:rPr>
            </w:pPr>
            <w:r w:rsidRPr="00415C63">
              <w:rPr>
                <w:rFonts w:ascii="Garamond" w:hAnsi="Garamond"/>
                <w:sz w:val="20"/>
                <w:szCs w:val="20"/>
              </w:rPr>
              <w:t>TICI 2b</w:t>
            </w:r>
          </w:p>
        </w:tc>
      </w:tr>
      <w:tr w:rsidR="002B58CA" w:rsidRPr="00415C63" w14:paraId="644BD5E8" w14:textId="77777777" w:rsidTr="002B58CA">
        <w:tc>
          <w:tcPr>
            <w:tcW w:w="1530" w:type="dxa"/>
            <w:shd w:val="clear" w:color="auto" w:fill="auto"/>
          </w:tcPr>
          <w:p w14:paraId="76FF5496" w14:textId="77777777" w:rsidR="002B58CA" w:rsidRPr="00415C63" w:rsidRDefault="002B58CA" w:rsidP="002B58CA">
            <w:pPr>
              <w:rPr>
                <w:rFonts w:ascii="Garamond" w:hAnsi="Garamond"/>
                <w:sz w:val="20"/>
                <w:szCs w:val="20"/>
              </w:rPr>
            </w:pPr>
            <w:r w:rsidRPr="00415C63">
              <w:rPr>
                <w:rFonts w:ascii="Garamond" w:hAnsi="Garamond"/>
                <w:sz w:val="20"/>
                <w:szCs w:val="20"/>
              </w:rPr>
              <w:t>Days from viral onset to ischemic event</w:t>
            </w:r>
          </w:p>
        </w:tc>
        <w:tc>
          <w:tcPr>
            <w:tcW w:w="1638" w:type="dxa"/>
            <w:shd w:val="clear" w:color="auto" w:fill="auto"/>
          </w:tcPr>
          <w:p w14:paraId="3C5CE478" w14:textId="77777777" w:rsidR="002B58CA" w:rsidRPr="00415C63" w:rsidRDefault="002B58CA" w:rsidP="002B58CA">
            <w:pPr>
              <w:rPr>
                <w:rFonts w:ascii="Garamond" w:hAnsi="Garamond"/>
                <w:sz w:val="20"/>
                <w:szCs w:val="20"/>
              </w:rPr>
            </w:pPr>
            <w:r w:rsidRPr="00415C63">
              <w:rPr>
                <w:rFonts w:ascii="Garamond" w:hAnsi="Garamond"/>
                <w:sz w:val="20"/>
                <w:szCs w:val="20"/>
              </w:rPr>
              <w:t>6 days</w:t>
            </w:r>
          </w:p>
        </w:tc>
        <w:tc>
          <w:tcPr>
            <w:tcW w:w="1516" w:type="dxa"/>
            <w:shd w:val="clear" w:color="auto" w:fill="auto"/>
          </w:tcPr>
          <w:p w14:paraId="52B5B1AD" w14:textId="77777777" w:rsidR="002B58CA" w:rsidRPr="00415C63" w:rsidRDefault="002B58CA" w:rsidP="002B58CA">
            <w:pPr>
              <w:rPr>
                <w:rFonts w:ascii="Garamond" w:hAnsi="Garamond"/>
                <w:sz w:val="20"/>
                <w:szCs w:val="20"/>
              </w:rPr>
            </w:pPr>
            <w:r w:rsidRPr="00415C63">
              <w:rPr>
                <w:rFonts w:ascii="Garamond" w:hAnsi="Garamond"/>
                <w:sz w:val="20"/>
                <w:szCs w:val="20"/>
              </w:rPr>
              <w:t>First day presentation</w:t>
            </w:r>
          </w:p>
        </w:tc>
        <w:tc>
          <w:tcPr>
            <w:tcW w:w="1421" w:type="dxa"/>
            <w:shd w:val="clear" w:color="auto" w:fill="auto"/>
          </w:tcPr>
          <w:p w14:paraId="1F6E0AC6" w14:textId="77777777" w:rsidR="002B58CA" w:rsidRPr="00415C63" w:rsidRDefault="002B58CA" w:rsidP="002B58CA">
            <w:pPr>
              <w:rPr>
                <w:rFonts w:ascii="Garamond" w:hAnsi="Garamond"/>
                <w:sz w:val="20"/>
                <w:szCs w:val="20"/>
              </w:rPr>
            </w:pPr>
            <w:r w:rsidRPr="00415C63">
              <w:rPr>
                <w:rFonts w:ascii="Garamond" w:hAnsi="Garamond"/>
                <w:sz w:val="20"/>
                <w:szCs w:val="20"/>
              </w:rPr>
              <w:t>14-21 days</w:t>
            </w:r>
          </w:p>
        </w:tc>
        <w:tc>
          <w:tcPr>
            <w:tcW w:w="1344" w:type="dxa"/>
            <w:shd w:val="clear" w:color="auto" w:fill="auto"/>
          </w:tcPr>
          <w:p w14:paraId="5BA007FF" w14:textId="77777777" w:rsidR="002B58CA" w:rsidRPr="00415C63" w:rsidRDefault="002B58CA" w:rsidP="002B58CA">
            <w:pPr>
              <w:rPr>
                <w:rFonts w:ascii="Garamond" w:hAnsi="Garamond"/>
                <w:sz w:val="20"/>
                <w:szCs w:val="20"/>
              </w:rPr>
            </w:pPr>
            <w:r w:rsidRPr="00415C63">
              <w:rPr>
                <w:rFonts w:ascii="Garamond" w:hAnsi="Garamond"/>
                <w:sz w:val="20"/>
                <w:szCs w:val="20"/>
              </w:rPr>
              <w:t>First day presentation</w:t>
            </w:r>
          </w:p>
        </w:tc>
        <w:tc>
          <w:tcPr>
            <w:tcW w:w="1421" w:type="dxa"/>
            <w:shd w:val="clear" w:color="auto" w:fill="auto"/>
          </w:tcPr>
          <w:p w14:paraId="255FB913" w14:textId="77777777" w:rsidR="002B58CA" w:rsidRPr="00415C63" w:rsidRDefault="002B58CA" w:rsidP="002B58CA">
            <w:pPr>
              <w:rPr>
                <w:rFonts w:ascii="Garamond" w:hAnsi="Garamond"/>
                <w:sz w:val="20"/>
                <w:szCs w:val="20"/>
              </w:rPr>
            </w:pPr>
            <w:r w:rsidRPr="00415C63">
              <w:rPr>
                <w:rFonts w:ascii="Garamond" w:hAnsi="Garamond"/>
                <w:sz w:val="20"/>
                <w:szCs w:val="20"/>
              </w:rPr>
              <w:t>8 days</w:t>
            </w:r>
          </w:p>
        </w:tc>
      </w:tr>
      <w:tr w:rsidR="002B58CA" w:rsidRPr="00415C63" w14:paraId="7361782E" w14:textId="77777777" w:rsidTr="002B58CA">
        <w:tc>
          <w:tcPr>
            <w:tcW w:w="1530" w:type="dxa"/>
            <w:shd w:val="clear" w:color="auto" w:fill="auto"/>
          </w:tcPr>
          <w:p w14:paraId="4C5A1479" w14:textId="77777777" w:rsidR="002B58CA" w:rsidRPr="00415C63" w:rsidRDefault="002B58CA" w:rsidP="002B58CA">
            <w:pPr>
              <w:rPr>
                <w:rFonts w:ascii="Garamond" w:hAnsi="Garamond"/>
                <w:sz w:val="20"/>
                <w:szCs w:val="20"/>
              </w:rPr>
            </w:pPr>
            <w:r>
              <w:rPr>
                <w:rFonts w:ascii="Garamond" w:hAnsi="Garamond"/>
                <w:sz w:val="20"/>
                <w:szCs w:val="20"/>
              </w:rPr>
              <w:t>Pulmonary d</w:t>
            </w:r>
            <w:r w:rsidRPr="007963BD">
              <w:rPr>
                <w:rFonts w:ascii="Garamond" w:hAnsi="Garamond"/>
                <w:sz w:val="20"/>
                <w:szCs w:val="20"/>
              </w:rPr>
              <w:t>isease Severity</w:t>
            </w:r>
          </w:p>
        </w:tc>
        <w:tc>
          <w:tcPr>
            <w:tcW w:w="1638" w:type="dxa"/>
            <w:shd w:val="clear" w:color="auto" w:fill="auto"/>
          </w:tcPr>
          <w:p w14:paraId="36D05514" w14:textId="77777777" w:rsidR="002B58CA" w:rsidRPr="00415C63" w:rsidRDefault="002B58CA" w:rsidP="002B58CA">
            <w:pPr>
              <w:rPr>
                <w:rFonts w:ascii="Garamond" w:hAnsi="Garamond"/>
                <w:sz w:val="20"/>
                <w:szCs w:val="20"/>
              </w:rPr>
            </w:pPr>
            <w:r w:rsidRPr="007963BD">
              <w:rPr>
                <w:rFonts w:ascii="Garamond" w:hAnsi="Garamond"/>
                <w:sz w:val="20"/>
                <w:szCs w:val="20"/>
              </w:rPr>
              <w:t>Severe</w:t>
            </w:r>
          </w:p>
        </w:tc>
        <w:tc>
          <w:tcPr>
            <w:tcW w:w="1516" w:type="dxa"/>
            <w:shd w:val="clear" w:color="auto" w:fill="auto"/>
          </w:tcPr>
          <w:p w14:paraId="715CA20D" w14:textId="77777777" w:rsidR="002B58CA" w:rsidRPr="00415C63" w:rsidRDefault="002B58CA" w:rsidP="002B58CA">
            <w:pPr>
              <w:rPr>
                <w:rFonts w:ascii="Garamond" w:hAnsi="Garamond"/>
                <w:sz w:val="20"/>
                <w:szCs w:val="20"/>
              </w:rPr>
            </w:pPr>
            <w:r>
              <w:rPr>
                <w:rFonts w:ascii="Garamond" w:hAnsi="Garamond"/>
                <w:sz w:val="20"/>
                <w:szCs w:val="20"/>
              </w:rPr>
              <w:t>Severe</w:t>
            </w:r>
          </w:p>
        </w:tc>
        <w:tc>
          <w:tcPr>
            <w:tcW w:w="1421" w:type="dxa"/>
            <w:shd w:val="clear" w:color="auto" w:fill="auto"/>
          </w:tcPr>
          <w:p w14:paraId="09C1B8FF" w14:textId="77777777" w:rsidR="002B58CA" w:rsidRPr="00415C63" w:rsidRDefault="002B58CA" w:rsidP="002B58CA">
            <w:pPr>
              <w:rPr>
                <w:rFonts w:ascii="Garamond" w:hAnsi="Garamond"/>
                <w:sz w:val="20"/>
                <w:szCs w:val="20"/>
              </w:rPr>
            </w:pPr>
            <w:r w:rsidRPr="007963BD">
              <w:rPr>
                <w:rFonts w:ascii="Garamond" w:hAnsi="Garamond"/>
                <w:sz w:val="20"/>
                <w:szCs w:val="20"/>
              </w:rPr>
              <w:t>M</w:t>
            </w:r>
            <w:r>
              <w:rPr>
                <w:rFonts w:ascii="Garamond" w:hAnsi="Garamond"/>
                <w:sz w:val="20"/>
                <w:szCs w:val="20"/>
              </w:rPr>
              <w:t>ild</w:t>
            </w:r>
          </w:p>
        </w:tc>
        <w:tc>
          <w:tcPr>
            <w:tcW w:w="1344" w:type="dxa"/>
            <w:shd w:val="clear" w:color="auto" w:fill="auto"/>
          </w:tcPr>
          <w:p w14:paraId="67E2D43E" w14:textId="77777777" w:rsidR="002B58CA" w:rsidRPr="00415C63" w:rsidRDefault="002B58CA" w:rsidP="002B58CA">
            <w:pPr>
              <w:rPr>
                <w:rFonts w:ascii="Garamond" w:hAnsi="Garamond"/>
                <w:sz w:val="20"/>
                <w:szCs w:val="20"/>
              </w:rPr>
            </w:pPr>
            <w:r>
              <w:rPr>
                <w:rFonts w:ascii="Garamond" w:hAnsi="Garamond"/>
                <w:sz w:val="20"/>
                <w:szCs w:val="20"/>
              </w:rPr>
              <w:t>Severe</w:t>
            </w:r>
          </w:p>
        </w:tc>
        <w:tc>
          <w:tcPr>
            <w:tcW w:w="1421" w:type="dxa"/>
            <w:shd w:val="clear" w:color="auto" w:fill="auto"/>
          </w:tcPr>
          <w:p w14:paraId="03F544EA" w14:textId="77777777" w:rsidR="002B58CA" w:rsidRPr="00415C63" w:rsidRDefault="002B58CA" w:rsidP="002B58CA">
            <w:pPr>
              <w:rPr>
                <w:rFonts w:ascii="Garamond" w:hAnsi="Garamond"/>
                <w:sz w:val="20"/>
                <w:szCs w:val="20"/>
              </w:rPr>
            </w:pPr>
            <w:r>
              <w:rPr>
                <w:rFonts w:ascii="Garamond" w:hAnsi="Garamond"/>
                <w:sz w:val="20"/>
                <w:szCs w:val="20"/>
              </w:rPr>
              <w:t>Severe</w:t>
            </w:r>
          </w:p>
        </w:tc>
      </w:tr>
      <w:tr w:rsidR="002B58CA" w:rsidRPr="00415C63" w14:paraId="7ABA0AD1" w14:textId="77777777" w:rsidTr="002B58CA">
        <w:tc>
          <w:tcPr>
            <w:tcW w:w="8870" w:type="dxa"/>
            <w:gridSpan w:val="6"/>
            <w:shd w:val="clear" w:color="auto" w:fill="auto"/>
          </w:tcPr>
          <w:p w14:paraId="7D4C7F3C" w14:textId="77777777" w:rsidR="002B58CA" w:rsidRPr="00415C63" w:rsidRDefault="002B58CA" w:rsidP="002B58CA">
            <w:pPr>
              <w:rPr>
                <w:rFonts w:ascii="Garamond" w:hAnsi="Garamond"/>
                <w:sz w:val="20"/>
                <w:szCs w:val="20"/>
              </w:rPr>
            </w:pPr>
            <w:r w:rsidRPr="00415C63">
              <w:rPr>
                <w:rFonts w:ascii="Garamond" w:hAnsi="Garamond"/>
                <w:sz w:val="20"/>
                <w:szCs w:val="20"/>
              </w:rPr>
              <w:t xml:space="preserve">Follow-up </w:t>
            </w:r>
          </w:p>
        </w:tc>
      </w:tr>
      <w:tr w:rsidR="002B58CA" w:rsidRPr="00415C63" w14:paraId="42B87813" w14:textId="77777777" w:rsidTr="002B58CA">
        <w:trPr>
          <w:trHeight w:val="305"/>
        </w:trPr>
        <w:tc>
          <w:tcPr>
            <w:tcW w:w="1530" w:type="dxa"/>
            <w:shd w:val="clear" w:color="auto" w:fill="auto"/>
          </w:tcPr>
          <w:p w14:paraId="4E3DF507" w14:textId="77777777" w:rsidR="002B58CA" w:rsidRPr="00415C63" w:rsidRDefault="002B58CA" w:rsidP="002B58CA">
            <w:pPr>
              <w:rPr>
                <w:rFonts w:ascii="Garamond" w:hAnsi="Garamond"/>
                <w:sz w:val="20"/>
                <w:szCs w:val="20"/>
              </w:rPr>
            </w:pPr>
            <w:r w:rsidRPr="00415C63">
              <w:rPr>
                <w:rFonts w:ascii="Garamond" w:hAnsi="Garamond"/>
                <w:sz w:val="20"/>
                <w:szCs w:val="20"/>
              </w:rPr>
              <w:t>CT Head/MRI brain</w:t>
            </w:r>
          </w:p>
        </w:tc>
        <w:tc>
          <w:tcPr>
            <w:tcW w:w="1638" w:type="dxa"/>
            <w:shd w:val="clear" w:color="auto" w:fill="auto"/>
          </w:tcPr>
          <w:p w14:paraId="39EDE62F" w14:textId="77777777" w:rsidR="002B58CA" w:rsidRPr="00415C63" w:rsidRDefault="002B58CA" w:rsidP="002B58CA">
            <w:pPr>
              <w:rPr>
                <w:rFonts w:ascii="Garamond" w:hAnsi="Garamond"/>
                <w:sz w:val="20"/>
                <w:szCs w:val="20"/>
              </w:rPr>
            </w:pPr>
            <w:r w:rsidRPr="00415C63">
              <w:rPr>
                <w:rFonts w:ascii="Garamond" w:hAnsi="Garamond"/>
                <w:sz w:val="20"/>
                <w:szCs w:val="20"/>
              </w:rPr>
              <w:t>Extensive right hemispheric infarction</w:t>
            </w:r>
          </w:p>
        </w:tc>
        <w:tc>
          <w:tcPr>
            <w:tcW w:w="1516" w:type="dxa"/>
            <w:shd w:val="clear" w:color="auto" w:fill="auto"/>
          </w:tcPr>
          <w:p w14:paraId="76A46E57" w14:textId="77777777" w:rsidR="002B58CA" w:rsidRPr="00415C63" w:rsidRDefault="002B58CA" w:rsidP="002B58CA">
            <w:pPr>
              <w:rPr>
                <w:rFonts w:ascii="Garamond" w:hAnsi="Garamond"/>
                <w:sz w:val="20"/>
                <w:szCs w:val="20"/>
              </w:rPr>
            </w:pPr>
            <w:r w:rsidRPr="00415C63">
              <w:rPr>
                <w:rFonts w:ascii="Garamond" w:hAnsi="Garamond"/>
                <w:sz w:val="20"/>
                <w:szCs w:val="20"/>
              </w:rPr>
              <w:t>No repeat imaging</w:t>
            </w:r>
          </w:p>
        </w:tc>
        <w:tc>
          <w:tcPr>
            <w:tcW w:w="1421" w:type="dxa"/>
            <w:shd w:val="clear" w:color="auto" w:fill="auto"/>
          </w:tcPr>
          <w:p w14:paraId="1D29F492" w14:textId="77777777" w:rsidR="002B58CA" w:rsidRPr="00415C63" w:rsidRDefault="002B58CA" w:rsidP="002B58CA">
            <w:pPr>
              <w:rPr>
                <w:rFonts w:ascii="Garamond" w:hAnsi="Garamond"/>
                <w:sz w:val="20"/>
                <w:szCs w:val="20"/>
              </w:rPr>
            </w:pPr>
            <w:r w:rsidRPr="00415C63">
              <w:rPr>
                <w:rFonts w:ascii="Garamond" w:hAnsi="Garamond"/>
                <w:sz w:val="20"/>
                <w:szCs w:val="20"/>
              </w:rPr>
              <w:t xml:space="preserve">Left temporal gyri, </w:t>
            </w:r>
          </w:p>
          <w:p w14:paraId="6D984D58" w14:textId="77777777" w:rsidR="002B58CA" w:rsidRPr="00415C63" w:rsidRDefault="002B58CA" w:rsidP="002B58CA">
            <w:pPr>
              <w:rPr>
                <w:rFonts w:ascii="Garamond" w:hAnsi="Garamond"/>
                <w:sz w:val="20"/>
                <w:szCs w:val="20"/>
              </w:rPr>
            </w:pPr>
            <w:r w:rsidRPr="00415C63">
              <w:rPr>
                <w:rFonts w:ascii="Garamond" w:hAnsi="Garamond"/>
                <w:sz w:val="20"/>
                <w:szCs w:val="20"/>
              </w:rPr>
              <w:t>Left Basal Ganglia</w:t>
            </w:r>
          </w:p>
        </w:tc>
        <w:tc>
          <w:tcPr>
            <w:tcW w:w="1344" w:type="dxa"/>
            <w:shd w:val="clear" w:color="auto" w:fill="auto"/>
          </w:tcPr>
          <w:p w14:paraId="06DC0DAD" w14:textId="77777777" w:rsidR="002B58CA" w:rsidRPr="00415C63" w:rsidRDefault="002B58CA" w:rsidP="002B58CA">
            <w:pPr>
              <w:rPr>
                <w:rFonts w:ascii="Garamond" w:hAnsi="Garamond"/>
                <w:sz w:val="20"/>
                <w:szCs w:val="20"/>
              </w:rPr>
            </w:pPr>
            <w:r w:rsidRPr="00415C63">
              <w:rPr>
                <w:rFonts w:ascii="Garamond" w:hAnsi="Garamond"/>
                <w:sz w:val="20"/>
                <w:szCs w:val="20"/>
              </w:rPr>
              <w:t>Right pontine</w:t>
            </w:r>
          </w:p>
          <w:p w14:paraId="43055E1E" w14:textId="77777777" w:rsidR="002B58CA" w:rsidRPr="00415C63" w:rsidRDefault="002B58CA" w:rsidP="002B58CA">
            <w:pPr>
              <w:rPr>
                <w:rFonts w:ascii="Garamond" w:hAnsi="Garamond"/>
                <w:sz w:val="20"/>
                <w:szCs w:val="20"/>
              </w:rPr>
            </w:pPr>
            <w:r w:rsidRPr="00415C63">
              <w:rPr>
                <w:rFonts w:ascii="Garamond" w:hAnsi="Garamond"/>
                <w:sz w:val="20"/>
                <w:szCs w:val="20"/>
              </w:rPr>
              <w:t>Left cerebellar</w:t>
            </w:r>
          </w:p>
        </w:tc>
        <w:tc>
          <w:tcPr>
            <w:tcW w:w="1421" w:type="dxa"/>
            <w:shd w:val="clear" w:color="auto" w:fill="auto"/>
          </w:tcPr>
          <w:p w14:paraId="3FF88E8C" w14:textId="77777777" w:rsidR="002B58CA" w:rsidRPr="00415C63" w:rsidRDefault="002B58CA" w:rsidP="002B58CA">
            <w:pPr>
              <w:rPr>
                <w:rFonts w:ascii="Garamond" w:hAnsi="Garamond"/>
                <w:sz w:val="20"/>
                <w:szCs w:val="20"/>
              </w:rPr>
            </w:pPr>
            <w:r w:rsidRPr="00415C63">
              <w:rPr>
                <w:rFonts w:ascii="Garamond" w:hAnsi="Garamond"/>
                <w:sz w:val="20"/>
                <w:szCs w:val="20"/>
              </w:rPr>
              <w:t>Left Parietal</w:t>
            </w:r>
          </w:p>
          <w:p w14:paraId="3D816F0B" w14:textId="77777777" w:rsidR="002B58CA" w:rsidRPr="00415C63" w:rsidRDefault="002B58CA" w:rsidP="002B58CA">
            <w:pPr>
              <w:rPr>
                <w:rFonts w:ascii="Garamond" w:hAnsi="Garamond"/>
                <w:sz w:val="20"/>
                <w:szCs w:val="20"/>
              </w:rPr>
            </w:pPr>
            <w:r w:rsidRPr="00415C63">
              <w:rPr>
                <w:rFonts w:ascii="Garamond" w:hAnsi="Garamond"/>
                <w:sz w:val="20"/>
                <w:szCs w:val="20"/>
              </w:rPr>
              <w:t>Post temporal</w:t>
            </w:r>
          </w:p>
          <w:p w14:paraId="298DDF33" w14:textId="77777777" w:rsidR="002B58CA" w:rsidRPr="00415C63" w:rsidRDefault="002B58CA" w:rsidP="002B58CA">
            <w:pPr>
              <w:rPr>
                <w:rFonts w:ascii="Garamond" w:hAnsi="Garamond"/>
                <w:sz w:val="20"/>
                <w:szCs w:val="20"/>
              </w:rPr>
            </w:pPr>
            <w:r w:rsidRPr="00415C63">
              <w:rPr>
                <w:rFonts w:ascii="Garamond" w:hAnsi="Garamond"/>
                <w:sz w:val="20"/>
                <w:szCs w:val="20"/>
              </w:rPr>
              <w:t>Basal Ganglia</w:t>
            </w:r>
          </w:p>
        </w:tc>
      </w:tr>
      <w:tr w:rsidR="002B58CA" w:rsidRPr="00415C63" w14:paraId="246709A7" w14:textId="77777777" w:rsidTr="002B58CA">
        <w:trPr>
          <w:trHeight w:val="305"/>
        </w:trPr>
        <w:tc>
          <w:tcPr>
            <w:tcW w:w="1530" w:type="dxa"/>
            <w:shd w:val="clear" w:color="auto" w:fill="auto"/>
          </w:tcPr>
          <w:p w14:paraId="39E354DB" w14:textId="77777777" w:rsidR="002B58CA" w:rsidRPr="00415C63" w:rsidRDefault="002B58CA" w:rsidP="002B58CA">
            <w:pPr>
              <w:rPr>
                <w:rFonts w:ascii="Garamond" w:hAnsi="Garamond"/>
                <w:sz w:val="20"/>
                <w:szCs w:val="20"/>
              </w:rPr>
            </w:pPr>
            <w:r w:rsidRPr="00415C63">
              <w:rPr>
                <w:rFonts w:ascii="Garamond" w:hAnsi="Garamond"/>
                <w:sz w:val="20"/>
                <w:szCs w:val="20"/>
              </w:rPr>
              <w:t>NIHSS</w:t>
            </w:r>
          </w:p>
        </w:tc>
        <w:tc>
          <w:tcPr>
            <w:tcW w:w="1638" w:type="dxa"/>
            <w:shd w:val="clear" w:color="auto" w:fill="auto"/>
          </w:tcPr>
          <w:p w14:paraId="613B3B3C" w14:textId="77777777" w:rsidR="002B58CA" w:rsidRPr="00415C63" w:rsidRDefault="002B58CA" w:rsidP="002B58CA">
            <w:pPr>
              <w:rPr>
                <w:rFonts w:ascii="Garamond" w:hAnsi="Garamond"/>
                <w:sz w:val="20"/>
                <w:szCs w:val="20"/>
              </w:rPr>
            </w:pPr>
            <w:r w:rsidRPr="00415C63">
              <w:rPr>
                <w:rFonts w:ascii="Garamond" w:hAnsi="Garamond"/>
                <w:sz w:val="20"/>
                <w:szCs w:val="20"/>
              </w:rPr>
              <w:t>N/A</w:t>
            </w:r>
          </w:p>
        </w:tc>
        <w:tc>
          <w:tcPr>
            <w:tcW w:w="1516" w:type="dxa"/>
            <w:shd w:val="clear" w:color="auto" w:fill="auto"/>
          </w:tcPr>
          <w:p w14:paraId="385C594B" w14:textId="77777777" w:rsidR="002B58CA" w:rsidRPr="00415C63" w:rsidRDefault="002B58CA" w:rsidP="002B58CA">
            <w:pPr>
              <w:rPr>
                <w:rFonts w:ascii="Garamond" w:hAnsi="Garamond"/>
                <w:sz w:val="20"/>
                <w:szCs w:val="20"/>
              </w:rPr>
            </w:pPr>
            <w:r w:rsidRPr="00415C63">
              <w:rPr>
                <w:rFonts w:ascii="Garamond" w:hAnsi="Garamond"/>
                <w:sz w:val="20"/>
                <w:szCs w:val="20"/>
              </w:rPr>
              <w:t>10</w:t>
            </w:r>
          </w:p>
        </w:tc>
        <w:tc>
          <w:tcPr>
            <w:tcW w:w="1421" w:type="dxa"/>
            <w:shd w:val="clear" w:color="auto" w:fill="auto"/>
          </w:tcPr>
          <w:p w14:paraId="49DA6CAF" w14:textId="77777777" w:rsidR="002B58CA" w:rsidRPr="00415C63" w:rsidRDefault="002B58CA" w:rsidP="002B58CA">
            <w:pPr>
              <w:rPr>
                <w:rFonts w:ascii="Garamond" w:hAnsi="Garamond"/>
                <w:sz w:val="20"/>
                <w:szCs w:val="20"/>
              </w:rPr>
            </w:pPr>
            <w:r w:rsidRPr="00415C63">
              <w:rPr>
                <w:rFonts w:ascii="Garamond" w:hAnsi="Garamond"/>
                <w:sz w:val="20"/>
                <w:szCs w:val="20"/>
              </w:rPr>
              <w:t>18</w:t>
            </w:r>
          </w:p>
        </w:tc>
        <w:tc>
          <w:tcPr>
            <w:tcW w:w="1344" w:type="dxa"/>
            <w:shd w:val="clear" w:color="auto" w:fill="auto"/>
          </w:tcPr>
          <w:p w14:paraId="5B8858A1" w14:textId="77777777" w:rsidR="002B58CA" w:rsidRPr="00415C63" w:rsidRDefault="002B58CA" w:rsidP="002B58CA">
            <w:pPr>
              <w:rPr>
                <w:rFonts w:ascii="Garamond" w:hAnsi="Garamond"/>
                <w:sz w:val="20"/>
                <w:szCs w:val="20"/>
              </w:rPr>
            </w:pPr>
            <w:r w:rsidRPr="00415C63">
              <w:rPr>
                <w:rFonts w:ascii="Garamond" w:hAnsi="Garamond"/>
                <w:sz w:val="20"/>
                <w:szCs w:val="20"/>
              </w:rPr>
              <w:t>N/A</w:t>
            </w:r>
          </w:p>
        </w:tc>
        <w:tc>
          <w:tcPr>
            <w:tcW w:w="1421" w:type="dxa"/>
            <w:shd w:val="clear" w:color="auto" w:fill="auto"/>
          </w:tcPr>
          <w:p w14:paraId="18BCF746" w14:textId="77777777" w:rsidR="002B58CA" w:rsidRPr="00415C63" w:rsidRDefault="002B58CA" w:rsidP="002B58CA">
            <w:pPr>
              <w:rPr>
                <w:rFonts w:ascii="Garamond" w:hAnsi="Garamond"/>
                <w:sz w:val="20"/>
                <w:szCs w:val="20"/>
              </w:rPr>
            </w:pPr>
            <w:r w:rsidRPr="00415C63">
              <w:rPr>
                <w:rFonts w:ascii="Garamond" w:hAnsi="Garamond"/>
                <w:sz w:val="20"/>
                <w:szCs w:val="20"/>
              </w:rPr>
              <w:t>N/A</w:t>
            </w:r>
          </w:p>
        </w:tc>
      </w:tr>
      <w:tr w:rsidR="002B58CA" w:rsidRPr="00415C63" w14:paraId="1FC99A1D" w14:textId="77777777" w:rsidTr="002B58CA">
        <w:trPr>
          <w:trHeight w:val="296"/>
        </w:trPr>
        <w:tc>
          <w:tcPr>
            <w:tcW w:w="1530" w:type="dxa"/>
            <w:shd w:val="clear" w:color="auto" w:fill="auto"/>
          </w:tcPr>
          <w:p w14:paraId="1FEA219D" w14:textId="77777777" w:rsidR="002B58CA" w:rsidRPr="00415C63" w:rsidRDefault="002B58CA" w:rsidP="002B58CA">
            <w:pPr>
              <w:rPr>
                <w:rFonts w:ascii="Garamond" w:hAnsi="Garamond"/>
                <w:sz w:val="20"/>
                <w:szCs w:val="20"/>
              </w:rPr>
            </w:pPr>
            <w:r w:rsidRPr="00415C63">
              <w:rPr>
                <w:rFonts w:ascii="Garamond" w:hAnsi="Garamond"/>
                <w:sz w:val="20"/>
                <w:szCs w:val="20"/>
              </w:rPr>
              <w:t>mRS</w:t>
            </w:r>
          </w:p>
        </w:tc>
        <w:tc>
          <w:tcPr>
            <w:tcW w:w="1638" w:type="dxa"/>
            <w:shd w:val="clear" w:color="auto" w:fill="auto"/>
          </w:tcPr>
          <w:p w14:paraId="7418449F" w14:textId="77777777" w:rsidR="002B58CA" w:rsidRPr="00415C63" w:rsidRDefault="002B58CA" w:rsidP="002B58CA">
            <w:pPr>
              <w:rPr>
                <w:rFonts w:ascii="Garamond" w:hAnsi="Garamond"/>
                <w:sz w:val="20"/>
                <w:szCs w:val="20"/>
              </w:rPr>
            </w:pPr>
            <w:r w:rsidRPr="00415C63">
              <w:rPr>
                <w:rFonts w:ascii="Garamond" w:hAnsi="Garamond"/>
                <w:sz w:val="20"/>
                <w:szCs w:val="20"/>
              </w:rPr>
              <w:t>6</w:t>
            </w:r>
          </w:p>
        </w:tc>
        <w:tc>
          <w:tcPr>
            <w:tcW w:w="1516" w:type="dxa"/>
            <w:shd w:val="clear" w:color="auto" w:fill="auto"/>
          </w:tcPr>
          <w:p w14:paraId="620D77A1" w14:textId="77777777" w:rsidR="002B58CA" w:rsidRPr="00415C63" w:rsidRDefault="002B58CA" w:rsidP="002B58CA">
            <w:pPr>
              <w:rPr>
                <w:rFonts w:ascii="Garamond" w:hAnsi="Garamond"/>
                <w:sz w:val="20"/>
                <w:szCs w:val="20"/>
              </w:rPr>
            </w:pPr>
            <w:r w:rsidRPr="00415C63">
              <w:rPr>
                <w:rFonts w:ascii="Garamond" w:hAnsi="Garamond"/>
                <w:sz w:val="20"/>
                <w:szCs w:val="20"/>
              </w:rPr>
              <w:t>6</w:t>
            </w:r>
          </w:p>
        </w:tc>
        <w:tc>
          <w:tcPr>
            <w:tcW w:w="1421" w:type="dxa"/>
            <w:shd w:val="clear" w:color="auto" w:fill="auto"/>
          </w:tcPr>
          <w:p w14:paraId="39B33CAC" w14:textId="77777777" w:rsidR="002B58CA" w:rsidRPr="00415C63" w:rsidRDefault="002B58CA" w:rsidP="002B58CA">
            <w:pPr>
              <w:rPr>
                <w:rFonts w:ascii="Garamond" w:hAnsi="Garamond"/>
                <w:sz w:val="20"/>
                <w:szCs w:val="20"/>
              </w:rPr>
            </w:pPr>
            <w:r w:rsidRPr="00415C63">
              <w:rPr>
                <w:rFonts w:ascii="Garamond" w:hAnsi="Garamond"/>
                <w:sz w:val="20"/>
                <w:szCs w:val="20"/>
              </w:rPr>
              <w:t>4</w:t>
            </w:r>
          </w:p>
        </w:tc>
        <w:tc>
          <w:tcPr>
            <w:tcW w:w="1344" w:type="dxa"/>
            <w:shd w:val="clear" w:color="auto" w:fill="auto"/>
          </w:tcPr>
          <w:p w14:paraId="2C2B5C84" w14:textId="77777777" w:rsidR="002B58CA" w:rsidRPr="00415C63" w:rsidRDefault="002B58CA" w:rsidP="002B58CA">
            <w:pPr>
              <w:rPr>
                <w:rFonts w:ascii="Garamond" w:hAnsi="Garamond"/>
                <w:sz w:val="20"/>
                <w:szCs w:val="20"/>
              </w:rPr>
            </w:pPr>
            <w:r w:rsidRPr="00415C63">
              <w:rPr>
                <w:rFonts w:ascii="Garamond" w:hAnsi="Garamond"/>
                <w:sz w:val="20"/>
                <w:szCs w:val="20"/>
              </w:rPr>
              <w:t>6</w:t>
            </w:r>
          </w:p>
        </w:tc>
        <w:tc>
          <w:tcPr>
            <w:tcW w:w="1421" w:type="dxa"/>
            <w:shd w:val="clear" w:color="auto" w:fill="auto"/>
          </w:tcPr>
          <w:p w14:paraId="1688F91D" w14:textId="77777777" w:rsidR="002B58CA" w:rsidRPr="00415C63" w:rsidRDefault="002B58CA" w:rsidP="002B58CA">
            <w:pPr>
              <w:rPr>
                <w:rFonts w:ascii="Garamond" w:hAnsi="Garamond"/>
                <w:sz w:val="20"/>
                <w:szCs w:val="20"/>
              </w:rPr>
            </w:pPr>
            <w:r w:rsidRPr="00415C63">
              <w:rPr>
                <w:rFonts w:ascii="Garamond" w:hAnsi="Garamond"/>
                <w:sz w:val="20"/>
                <w:szCs w:val="20"/>
              </w:rPr>
              <w:t>5</w:t>
            </w:r>
          </w:p>
        </w:tc>
      </w:tr>
    </w:tbl>
    <w:p w14:paraId="27CB7646" w14:textId="3D18ABC3" w:rsidR="006A3DA0" w:rsidRDefault="002B58CA" w:rsidP="006A3DA0">
      <w:pPr>
        <w:spacing w:line="480" w:lineRule="auto"/>
        <w:rPr>
          <w:rFonts w:ascii="Garamond" w:eastAsia="Garamond" w:hAnsi="Garamond" w:cs="Garamond"/>
          <w:sz w:val="20"/>
          <w:szCs w:val="20"/>
        </w:rPr>
      </w:pPr>
      <w:r w:rsidRPr="007963BD">
        <w:rPr>
          <w:rFonts w:ascii="Garamond" w:eastAsia="Garamond" w:hAnsi="Garamond" w:cs="Garamond"/>
          <w:sz w:val="20"/>
          <w:szCs w:val="20"/>
        </w:rPr>
        <w:t>HTN indicates Hypertension; DM, Diabetes Mellitus; OSA, Obstructive Sleep Apnea; MCA, Middle Cerebral Artery; NIHSS, National Institutes of Health Stroke Scale; CXR, Chest X-ray; CT, Computer Tomography; CTA, Computer Tomography Angiography; ICA, Internal Carotid Artery; NLR, Neutrophil to Lymphocyte Ratio; TICI, Thrombolysis in Cerebral Infarction; MRI, Magnetic Resonance Imaging; mRS, modified Rankin Scale.</w:t>
      </w:r>
    </w:p>
    <w:p w14:paraId="76822670" w14:textId="77777777" w:rsidR="002B58CA" w:rsidRPr="006A3DA0" w:rsidRDefault="002B58CA" w:rsidP="006A3DA0">
      <w:pPr>
        <w:spacing w:line="480" w:lineRule="auto"/>
        <w:rPr>
          <w:rFonts w:ascii="Times New Roman" w:hAnsi="Times New Roman"/>
        </w:rPr>
      </w:pPr>
    </w:p>
    <w:p w14:paraId="3F83599D" w14:textId="77777777" w:rsidR="00C616E7" w:rsidRDefault="00C616E7" w:rsidP="00C616E7">
      <w:pPr>
        <w:spacing w:line="480" w:lineRule="auto"/>
        <w:rPr>
          <w:rFonts w:ascii="Times New Roman" w:eastAsia="Garamond" w:hAnsi="Times New Roman"/>
        </w:rPr>
      </w:pPr>
      <w:r w:rsidRPr="006A3DA0">
        <w:rPr>
          <w:rFonts w:ascii="Times New Roman" w:eastAsia="Garamond" w:hAnsi="Times New Roman"/>
        </w:rPr>
        <w:t>Five patients presented with non-LVO syndromes. All had vascular risk factors of either diabetes or hypertension</w:t>
      </w:r>
      <w:r>
        <w:rPr>
          <w:rFonts w:ascii="Times New Roman" w:eastAsia="Garamond" w:hAnsi="Times New Roman"/>
        </w:rPr>
        <w:t>, but neither had atrial fibrillation, coronary or cerebrovascular disease</w:t>
      </w:r>
      <w:r w:rsidRPr="006A3DA0">
        <w:rPr>
          <w:rFonts w:ascii="Times New Roman" w:eastAsia="Garamond" w:hAnsi="Times New Roman"/>
        </w:rPr>
        <w:t>. Their median age was higher (62) and NIHSS (6) lower than the LVO group. None received IV thrombolysis</w:t>
      </w:r>
      <w:r>
        <w:rPr>
          <w:rFonts w:ascii="Times New Roman" w:eastAsia="Garamond" w:hAnsi="Times New Roman"/>
        </w:rPr>
        <w:t xml:space="preserve"> due to late presentation</w:t>
      </w:r>
      <w:r w:rsidRPr="006A3DA0">
        <w:rPr>
          <w:rFonts w:ascii="Times New Roman" w:eastAsia="Garamond" w:hAnsi="Times New Roman"/>
        </w:rPr>
        <w:t xml:space="preserve">. Two had lacunar infarcts while two had infarcts related to distal embolization. One was deemed to be a transient ischemic attack (TIA). Their neurological </w:t>
      </w:r>
      <w:r w:rsidRPr="006A3DA0">
        <w:rPr>
          <w:rFonts w:ascii="Times New Roman" w:eastAsia="Garamond" w:hAnsi="Times New Roman"/>
        </w:rPr>
        <w:lastRenderedPageBreak/>
        <w:t>and overall outcomes were better with only one mortality which was related to pulmonary progression. The other three were independent at the time of discharge. (Table 2)</w:t>
      </w:r>
    </w:p>
    <w:p w14:paraId="651C9D99" w14:textId="15D6EB19" w:rsidR="00192DA9" w:rsidRPr="006A3DA0" w:rsidRDefault="002C3358" w:rsidP="002C3358">
      <w:pPr>
        <w:rPr>
          <w:rFonts w:ascii="Times New Roman" w:hAnsi="Times New Roman"/>
        </w:rPr>
      </w:pPr>
      <w:r>
        <w:rPr>
          <w:rFonts w:ascii="Times New Roman" w:hAnsi="Times New Roman"/>
        </w:rPr>
        <w:br w:type="page"/>
      </w:r>
    </w:p>
    <w:p w14:paraId="604398FA" w14:textId="77777777" w:rsidR="002B58CA" w:rsidRPr="007963BD" w:rsidRDefault="002B58CA" w:rsidP="002B58CA">
      <w:pPr>
        <w:rPr>
          <w:rFonts w:ascii="Garamond" w:hAnsi="Garamond"/>
        </w:rPr>
      </w:pPr>
      <w:r w:rsidRPr="007963BD">
        <w:rPr>
          <w:rFonts w:ascii="Garamond" w:hAnsi="Garamond"/>
        </w:rPr>
        <w:lastRenderedPageBreak/>
        <w:t>Table 2: Characteristics of Patients with Non-LVO syndromes</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43"/>
        <w:gridCol w:w="1690"/>
        <w:gridCol w:w="1690"/>
        <w:gridCol w:w="1631"/>
        <w:gridCol w:w="1632"/>
      </w:tblGrid>
      <w:tr w:rsidR="002B58CA" w:rsidRPr="007963BD" w14:paraId="470EE71E" w14:textId="77777777" w:rsidTr="002B58CA">
        <w:tc>
          <w:tcPr>
            <w:tcW w:w="1614" w:type="dxa"/>
            <w:shd w:val="clear" w:color="auto" w:fill="auto"/>
          </w:tcPr>
          <w:p w14:paraId="1C50A309" w14:textId="77777777" w:rsidR="002B58CA" w:rsidRPr="007963BD" w:rsidRDefault="002B58CA" w:rsidP="002B58CA">
            <w:pPr>
              <w:rPr>
                <w:rFonts w:ascii="Garamond" w:hAnsi="Garamond"/>
                <w:sz w:val="20"/>
                <w:szCs w:val="20"/>
              </w:rPr>
            </w:pPr>
            <w:r w:rsidRPr="007963BD">
              <w:rPr>
                <w:rFonts w:ascii="Garamond" w:hAnsi="Garamond"/>
                <w:sz w:val="20"/>
                <w:szCs w:val="20"/>
              </w:rPr>
              <w:t>Characteristic</w:t>
            </w:r>
          </w:p>
        </w:tc>
        <w:tc>
          <w:tcPr>
            <w:tcW w:w="1643" w:type="dxa"/>
            <w:shd w:val="clear" w:color="auto" w:fill="auto"/>
          </w:tcPr>
          <w:p w14:paraId="5C8B5F8B"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Patient </w:t>
            </w:r>
            <w:r>
              <w:rPr>
                <w:rFonts w:ascii="Garamond" w:hAnsi="Garamond"/>
                <w:sz w:val="20"/>
                <w:szCs w:val="20"/>
              </w:rPr>
              <w:t>6</w:t>
            </w:r>
          </w:p>
        </w:tc>
        <w:tc>
          <w:tcPr>
            <w:tcW w:w="1690" w:type="dxa"/>
          </w:tcPr>
          <w:p w14:paraId="69DD3814" w14:textId="77777777" w:rsidR="002B58CA" w:rsidRPr="007963BD" w:rsidRDefault="002B58CA" w:rsidP="002B58CA">
            <w:pPr>
              <w:rPr>
                <w:rFonts w:ascii="Garamond" w:hAnsi="Garamond"/>
                <w:sz w:val="20"/>
                <w:szCs w:val="20"/>
              </w:rPr>
            </w:pPr>
            <w:r>
              <w:rPr>
                <w:rFonts w:ascii="Garamond" w:hAnsi="Garamond"/>
                <w:sz w:val="20"/>
                <w:szCs w:val="20"/>
              </w:rPr>
              <w:t>Patient 7</w:t>
            </w:r>
          </w:p>
        </w:tc>
        <w:tc>
          <w:tcPr>
            <w:tcW w:w="1690" w:type="dxa"/>
            <w:shd w:val="clear" w:color="auto" w:fill="auto"/>
          </w:tcPr>
          <w:p w14:paraId="66BD3646"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Patient </w:t>
            </w:r>
            <w:r>
              <w:rPr>
                <w:rFonts w:ascii="Garamond" w:hAnsi="Garamond"/>
                <w:sz w:val="20"/>
                <w:szCs w:val="20"/>
              </w:rPr>
              <w:t>8</w:t>
            </w:r>
          </w:p>
        </w:tc>
        <w:tc>
          <w:tcPr>
            <w:tcW w:w="1631" w:type="dxa"/>
            <w:shd w:val="clear" w:color="auto" w:fill="auto"/>
          </w:tcPr>
          <w:p w14:paraId="03D80190"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Patient </w:t>
            </w:r>
            <w:r>
              <w:rPr>
                <w:rFonts w:ascii="Garamond" w:hAnsi="Garamond"/>
                <w:sz w:val="20"/>
                <w:szCs w:val="20"/>
              </w:rPr>
              <w:t>9</w:t>
            </w:r>
          </w:p>
        </w:tc>
        <w:tc>
          <w:tcPr>
            <w:tcW w:w="1632" w:type="dxa"/>
            <w:shd w:val="clear" w:color="auto" w:fill="auto"/>
          </w:tcPr>
          <w:p w14:paraId="10C09488"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Patient </w:t>
            </w:r>
            <w:r>
              <w:rPr>
                <w:rFonts w:ascii="Garamond" w:hAnsi="Garamond"/>
                <w:sz w:val="20"/>
                <w:szCs w:val="20"/>
              </w:rPr>
              <w:t>10</w:t>
            </w:r>
          </w:p>
        </w:tc>
      </w:tr>
      <w:tr w:rsidR="002B58CA" w:rsidRPr="007963BD" w14:paraId="297C478C" w14:textId="77777777" w:rsidTr="002B58CA">
        <w:tc>
          <w:tcPr>
            <w:tcW w:w="9900" w:type="dxa"/>
            <w:gridSpan w:val="6"/>
            <w:shd w:val="clear" w:color="auto" w:fill="auto"/>
          </w:tcPr>
          <w:p w14:paraId="21C54F34" w14:textId="77777777" w:rsidR="002B58CA" w:rsidRPr="007963BD" w:rsidRDefault="002B58CA" w:rsidP="002B58CA">
            <w:pPr>
              <w:rPr>
                <w:rFonts w:ascii="Garamond" w:hAnsi="Garamond"/>
                <w:sz w:val="20"/>
                <w:szCs w:val="20"/>
              </w:rPr>
            </w:pPr>
            <w:r w:rsidRPr="007963BD">
              <w:rPr>
                <w:rFonts w:ascii="Garamond" w:hAnsi="Garamond"/>
                <w:sz w:val="20"/>
                <w:szCs w:val="20"/>
              </w:rPr>
              <w:t>Demographics</w:t>
            </w:r>
          </w:p>
        </w:tc>
      </w:tr>
      <w:tr w:rsidR="002B58CA" w:rsidRPr="007963BD" w14:paraId="1B7C2D5C" w14:textId="77777777" w:rsidTr="002B58CA">
        <w:tc>
          <w:tcPr>
            <w:tcW w:w="1614" w:type="dxa"/>
            <w:shd w:val="clear" w:color="auto" w:fill="auto"/>
          </w:tcPr>
          <w:p w14:paraId="1FD18E8B" w14:textId="77777777" w:rsidR="002B58CA" w:rsidRPr="007963BD" w:rsidRDefault="002B58CA" w:rsidP="002B58CA">
            <w:pPr>
              <w:rPr>
                <w:rFonts w:ascii="Garamond" w:hAnsi="Garamond"/>
                <w:sz w:val="20"/>
                <w:szCs w:val="20"/>
              </w:rPr>
            </w:pPr>
            <w:r w:rsidRPr="007963BD">
              <w:rPr>
                <w:rFonts w:ascii="Garamond" w:hAnsi="Garamond"/>
                <w:sz w:val="20"/>
                <w:szCs w:val="20"/>
              </w:rPr>
              <w:t>Age (years)</w:t>
            </w:r>
          </w:p>
        </w:tc>
        <w:tc>
          <w:tcPr>
            <w:tcW w:w="1643" w:type="dxa"/>
            <w:shd w:val="clear" w:color="auto" w:fill="auto"/>
          </w:tcPr>
          <w:p w14:paraId="45562551" w14:textId="221D6790" w:rsidR="002B58CA" w:rsidRPr="007963BD" w:rsidRDefault="002B58CA" w:rsidP="002B58CA">
            <w:pPr>
              <w:rPr>
                <w:rFonts w:ascii="Garamond" w:hAnsi="Garamond"/>
                <w:sz w:val="20"/>
                <w:szCs w:val="20"/>
              </w:rPr>
            </w:pPr>
            <w:r w:rsidRPr="007963BD">
              <w:rPr>
                <w:rFonts w:ascii="Garamond" w:hAnsi="Garamond"/>
                <w:sz w:val="20"/>
                <w:szCs w:val="20"/>
              </w:rPr>
              <w:t>7</w:t>
            </w:r>
            <w:r w:rsidR="00EA45BA">
              <w:rPr>
                <w:rFonts w:ascii="Garamond" w:hAnsi="Garamond"/>
                <w:sz w:val="20"/>
                <w:szCs w:val="20"/>
              </w:rPr>
              <w:t>0-80</w:t>
            </w:r>
          </w:p>
        </w:tc>
        <w:tc>
          <w:tcPr>
            <w:tcW w:w="1690" w:type="dxa"/>
          </w:tcPr>
          <w:p w14:paraId="14E25E75" w14:textId="42DB02FF" w:rsidR="002B58CA" w:rsidRPr="007963BD" w:rsidRDefault="002B58CA" w:rsidP="002B58CA">
            <w:pPr>
              <w:rPr>
                <w:rFonts w:ascii="Garamond" w:hAnsi="Garamond"/>
                <w:sz w:val="20"/>
                <w:szCs w:val="20"/>
              </w:rPr>
            </w:pPr>
            <w:r>
              <w:rPr>
                <w:rFonts w:ascii="Garamond" w:hAnsi="Garamond"/>
                <w:sz w:val="20"/>
                <w:szCs w:val="20"/>
              </w:rPr>
              <w:t>5</w:t>
            </w:r>
            <w:r w:rsidR="00EA45BA">
              <w:rPr>
                <w:rFonts w:ascii="Garamond" w:hAnsi="Garamond"/>
                <w:sz w:val="20"/>
                <w:szCs w:val="20"/>
              </w:rPr>
              <w:t>0-60</w:t>
            </w:r>
          </w:p>
        </w:tc>
        <w:tc>
          <w:tcPr>
            <w:tcW w:w="1690" w:type="dxa"/>
            <w:shd w:val="clear" w:color="auto" w:fill="auto"/>
          </w:tcPr>
          <w:p w14:paraId="4B4E73AA" w14:textId="60B8D6C0" w:rsidR="002B58CA" w:rsidRPr="007963BD" w:rsidRDefault="002B58CA" w:rsidP="002B58CA">
            <w:pPr>
              <w:rPr>
                <w:rFonts w:ascii="Garamond" w:hAnsi="Garamond"/>
                <w:sz w:val="20"/>
                <w:szCs w:val="20"/>
              </w:rPr>
            </w:pPr>
            <w:r w:rsidRPr="007963BD">
              <w:rPr>
                <w:rFonts w:ascii="Garamond" w:hAnsi="Garamond"/>
                <w:sz w:val="20"/>
                <w:szCs w:val="20"/>
              </w:rPr>
              <w:t>7</w:t>
            </w:r>
            <w:r w:rsidR="00EA45BA">
              <w:rPr>
                <w:rFonts w:ascii="Garamond" w:hAnsi="Garamond"/>
                <w:sz w:val="20"/>
                <w:szCs w:val="20"/>
              </w:rPr>
              <w:t>0-80</w:t>
            </w:r>
          </w:p>
        </w:tc>
        <w:tc>
          <w:tcPr>
            <w:tcW w:w="1631" w:type="dxa"/>
            <w:shd w:val="clear" w:color="auto" w:fill="auto"/>
          </w:tcPr>
          <w:p w14:paraId="1BB80D56" w14:textId="77EE0201" w:rsidR="002B58CA" w:rsidRPr="007963BD" w:rsidRDefault="00EA45BA" w:rsidP="002B58CA">
            <w:pPr>
              <w:rPr>
                <w:rFonts w:ascii="Garamond" w:hAnsi="Garamond"/>
                <w:sz w:val="20"/>
                <w:szCs w:val="20"/>
              </w:rPr>
            </w:pPr>
            <w:r>
              <w:rPr>
                <w:rFonts w:ascii="Garamond" w:hAnsi="Garamond"/>
                <w:sz w:val="20"/>
                <w:szCs w:val="20"/>
              </w:rPr>
              <w:t>50-60</w:t>
            </w:r>
          </w:p>
        </w:tc>
        <w:tc>
          <w:tcPr>
            <w:tcW w:w="1632" w:type="dxa"/>
            <w:shd w:val="clear" w:color="auto" w:fill="auto"/>
          </w:tcPr>
          <w:p w14:paraId="7EE46824" w14:textId="6F670B77" w:rsidR="002B58CA" w:rsidRPr="007963BD" w:rsidRDefault="002B58CA" w:rsidP="002B58CA">
            <w:pPr>
              <w:rPr>
                <w:rFonts w:ascii="Garamond" w:hAnsi="Garamond"/>
                <w:sz w:val="20"/>
                <w:szCs w:val="20"/>
              </w:rPr>
            </w:pPr>
            <w:r w:rsidRPr="007963BD">
              <w:rPr>
                <w:rFonts w:ascii="Garamond" w:hAnsi="Garamond"/>
                <w:sz w:val="20"/>
                <w:szCs w:val="20"/>
              </w:rPr>
              <w:t>6</w:t>
            </w:r>
            <w:r w:rsidR="00EA45BA">
              <w:rPr>
                <w:rFonts w:ascii="Garamond" w:hAnsi="Garamond"/>
                <w:sz w:val="20"/>
                <w:szCs w:val="20"/>
              </w:rPr>
              <w:t>0-70</w:t>
            </w:r>
          </w:p>
        </w:tc>
      </w:tr>
      <w:tr w:rsidR="002B58CA" w:rsidRPr="007963BD" w14:paraId="6428C93C" w14:textId="77777777" w:rsidTr="002B58CA">
        <w:tc>
          <w:tcPr>
            <w:tcW w:w="1614" w:type="dxa"/>
            <w:shd w:val="clear" w:color="auto" w:fill="auto"/>
          </w:tcPr>
          <w:p w14:paraId="05E4D4B4" w14:textId="77777777" w:rsidR="002B58CA" w:rsidRPr="007963BD" w:rsidRDefault="002B58CA" w:rsidP="002B58CA">
            <w:pPr>
              <w:rPr>
                <w:rFonts w:ascii="Garamond" w:hAnsi="Garamond"/>
                <w:sz w:val="20"/>
                <w:szCs w:val="20"/>
              </w:rPr>
            </w:pPr>
            <w:r>
              <w:rPr>
                <w:rFonts w:ascii="Garamond" w:hAnsi="Garamond"/>
                <w:sz w:val="20"/>
                <w:szCs w:val="20"/>
              </w:rPr>
              <w:t>Race</w:t>
            </w:r>
          </w:p>
        </w:tc>
        <w:tc>
          <w:tcPr>
            <w:tcW w:w="1643" w:type="dxa"/>
            <w:shd w:val="clear" w:color="auto" w:fill="auto"/>
          </w:tcPr>
          <w:p w14:paraId="36C0AC4C" w14:textId="137F7C89" w:rsidR="002B58CA" w:rsidRPr="007963BD" w:rsidRDefault="00EA45BA" w:rsidP="002B58CA">
            <w:pPr>
              <w:rPr>
                <w:rFonts w:ascii="Garamond" w:hAnsi="Garamond"/>
                <w:sz w:val="20"/>
                <w:szCs w:val="20"/>
              </w:rPr>
            </w:pPr>
            <w:r>
              <w:rPr>
                <w:rFonts w:ascii="Garamond" w:hAnsi="Garamond"/>
                <w:sz w:val="20"/>
                <w:szCs w:val="20"/>
              </w:rPr>
              <w:t>African American</w:t>
            </w:r>
          </w:p>
        </w:tc>
        <w:tc>
          <w:tcPr>
            <w:tcW w:w="1690" w:type="dxa"/>
          </w:tcPr>
          <w:p w14:paraId="189EAE36" w14:textId="3EA0F15E" w:rsidR="002B58CA" w:rsidRDefault="00EA45BA" w:rsidP="002B58CA">
            <w:pPr>
              <w:rPr>
                <w:rFonts w:ascii="Garamond" w:hAnsi="Garamond"/>
                <w:sz w:val="20"/>
                <w:szCs w:val="20"/>
              </w:rPr>
            </w:pPr>
            <w:r>
              <w:rPr>
                <w:rFonts w:ascii="Garamond" w:hAnsi="Garamond"/>
                <w:sz w:val="20"/>
                <w:szCs w:val="20"/>
              </w:rPr>
              <w:t>Caucasian</w:t>
            </w:r>
          </w:p>
        </w:tc>
        <w:tc>
          <w:tcPr>
            <w:tcW w:w="1690" w:type="dxa"/>
            <w:shd w:val="clear" w:color="auto" w:fill="auto"/>
          </w:tcPr>
          <w:p w14:paraId="1A8E15DA" w14:textId="5B378C7D" w:rsidR="002B58CA" w:rsidRPr="007963BD" w:rsidRDefault="00EA45BA" w:rsidP="002B58CA">
            <w:pPr>
              <w:rPr>
                <w:rFonts w:ascii="Garamond" w:hAnsi="Garamond"/>
                <w:sz w:val="20"/>
                <w:szCs w:val="20"/>
              </w:rPr>
            </w:pPr>
            <w:r>
              <w:rPr>
                <w:rFonts w:ascii="Garamond" w:hAnsi="Garamond"/>
                <w:sz w:val="20"/>
                <w:szCs w:val="20"/>
              </w:rPr>
              <w:t>African American</w:t>
            </w:r>
          </w:p>
        </w:tc>
        <w:tc>
          <w:tcPr>
            <w:tcW w:w="1631" w:type="dxa"/>
            <w:shd w:val="clear" w:color="auto" w:fill="auto"/>
          </w:tcPr>
          <w:p w14:paraId="57E90391" w14:textId="3C052625" w:rsidR="002B58CA" w:rsidRPr="007963BD" w:rsidRDefault="00EA45BA" w:rsidP="002B58CA">
            <w:pPr>
              <w:rPr>
                <w:rFonts w:ascii="Garamond" w:hAnsi="Garamond"/>
                <w:sz w:val="20"/>
                <w:szCs w:val="20"/>
              </w:rPr>
            </w:pPr>
            <w:r>
              <w:rPr>
                <w:rFonts w:ascii="Garamond" w:hAnsi="Garamond"/>
                <w:sz w:val="20"/>
                <w:szCs w:val="20"/>
              </w:rPr>
              <w:t>African American</w:t>
            </w:r>
          </w:p>
        </w:tc>
        <w:tc>
          <w:tcPr>
            <w:tcW w:w="1632" w:type="dxa"/>
            <w:shd w:val="clear" w:color="auto" w:fill="auto"/>
          </w:tcPr>
          <w:p w14:paraId="213AB46F" w14:textId="7230AA96" w:rsidR="002B58CA" w:rsidRPr="007963BD" w:rsidRDefault="00EA45BA" w:rsidP="002B58CA">
            <w:pPr>
              <w:rPr>
                <w:rFonts w:ascii="Garamond" w:hAnsi="Garamond"/>
                <w:sz w:val="20"/>
                <w:szCs w:val="20"/>
              </w:rPr>
            </w:pPr>
            <w:r>
              <w:rPr>
                <w:rFonts w:ascii="Garamond" w:hAnsi="Garamond"/>
                <w:sz w:val="20"/>
                <w:szCs w:val="20"/>
              </w:rPr>
              <w:t>African American</w:t>
            </w:r>
          </w:p>
        </w:tc>
      </w:tr>
      <w:tr w:rsidR="002B58CA" w:rsidRPr="007963BD" w14:paraId="44BAD462" w14:textId="77777777" w:rsidTr="002B58CA">
        <w:tc>
          <w:tcPr>
            <w:tcW w:w="1614" w:type="dxa"/>
            <w:shd w:val="clear" w:color="auto" w:fill="auto"/>
          </w:tcPr>
          <w:p w14:paraId="0BBCE482" w14:textId="77777777" w:rsidR="002B58CA" w:rsidRPr="007963BD" w:rsidRDefault="002B58CA" w:rsidP="002B58CA">
            <w:pPr>
              <w:rPr>
                <w:rFonts w:ascii="Garamond" w:hAnsi="Garamond"/>
                <w:sz w:val="20"/>
                <w:szCs w:val="20"/>
              </w:rPr>
            </w:pPr>
            <w:r w:rsidRPr="007963BD">
              <w:rPr>
                <w:rFonts w:ascii="Garamond" w:hAnsi="Garamond"/>
                <w:sz w:val="20"/>
                <w:szCs w:val="20"/>
              </w:rPr>
              <w:t>Sex</w:t>
            </w:r>
          </w:p>
        </w:tc>
        <w:tc>
          <w:tcPr>
            <w:tcW w:w="1643" w:type="dxa"/>
            <w:shd w:val="clear" w:color="auto" w:fill="auto"/>
          </w:tcPr>
          <w:p w14:paraId="6896FD4E" w14:textId="77777777" w:rsidR="002B58CA" w:rsidRPr="007963BD" w:rsidRDefault="002B58CA" w:rsidP="002B58CA">
            <w:pPr>
              <w:rPr>
                <w:rFonts w:ascii="Garamond" w:hAnsi="Garamond"/>
                <w:sz w:val="20"/>
                <w:szCs w:val="20"/>
              </w:rPr>
            </w:pPr>
            <w:r w:rsidRPr="007963BD">
              <w:rPr>
                <w:rFonts w:ascii="Garamond" w:hAnsi="Garamond"/>
                <w:sz w:val="20"/>
                <w:szCs w:val="20"/>
              </w:rPr>
              <w:t>Female</w:t>
            </w:r>
          </w:p>
        </w:tc>
        <w:tc>
          <w:tcPr>
            <w:tcW w:w="1690" w:type="dxa"/>
          </w:tcPr>
          <w:p w14:paraId="03808E61" w14:textId="77777777" w:rsidR="002B58CA" w:rsidRPr="007963BD" w:rsidRDefault="002B58CA" w:rsidP="002B58CA">
            <w:pPr>
              <w:rPr>
                <w:rFonts w:ascii="Garamond" w:hAnsi="Garamond"/>
                <w:sz w:val="20"/>
                <w:szCs w:val="20"/>
              </w:rPr>
            </w:pPr>
            <w:r>
              <w:rPr>
                <w:rFonts w:ascii="Garamond" w:hAnsi="Garamond"/>
                <w:sz w:val="20"/>
                <w:szCs w:val="20"/>
              </w:rPr>
              <w:t>Female</w:t>
            </w:r>
          </w:p>
        </w:tc>
        <w:tc>
          <w:tcPr>
            <w:tcW w:w="1690" w:type="dxa"/>
            <w:shd w:val="clear" w:color="auto" w:fill="auto"/>
          </w:tcPr>
          <w:p w14:paraId="75E2C812" w14:textId="77777777" w:rsidR="002B58CA" w:rsidRPr="007963BD" w:rsidRDefault="002B58CA" w:rsidP="002B58CA">
            <w:pPr>
              <w:rPr>
                <w:rFonts w:ascii="Garamond" w:hAnsi="Garamond"/>
                <w:sz w:val="20"/>
                <w:szCs w:val="20"/>
              </w:rPr>
            </w:pPr>
            <w:r w:rsidRPr="007963BD">
              <w:rPr>
                <w:rFonts w:ascii="Garamond" w:hAnsi="Garamond"/>
                <w:sz w:val="20"/>
                <w:szCs w:val="20"/>
              </w:rPr>
              <w:t>Female</w:t>
            </w:r>
          </w:p>
        </w:tc>
        <w:tc>
          <w:tcPr>
            <w:tcW w:w="1631" w:type="dxa"/>
            <w:shd w:val="clear" w:color="auto" w:fill="auto"/>
          </w:tcPr>
          <w:p w14:paraId="18225A85" w14:textId="77777777" w:rsidR="002B58CA" w:rsidRPr="007963BD" w:rsidRDefault="002B58CA" w:rsidP="002B58CA">
            <w:pPr>
              <w:rPr>
                <w:rFonts w:ascii="Garamond" w:hAnsi="Garamond"/>
                <w:sz w:val="20"/>
                <w:szCs w:val="20"/>
              </w:rPr>
            </w:pPr>
            <w:r w:rsidRPr="007963BD">
              <w:rPr>
                <w:rFonts w:ascii="Garamond" w:hAnsi="Garamond"/>
                <w:sz w:val="20"/>
                <w:szCs w:val="20"/>
              </w:rPr>
              <w:t>Female</w:t>
            </w:r>
          </w:p>
        </w:tc>
        <w:tc>
          <w:tcPr>
            <w:tcW w:w="1632" w:type="dxa"/>
            <w:shd w:val="clear" w:color="auto" w:fill="auto"/>
          </w:tcPr>
          <w:p w14:paraId="78F75D15" w14:textId="77777777" w:rsidR="002B58CA" w:rsidRPr="007963BD" w:rsidRDefault="002B58CA" w:rsidP="002B58CA">
            <w:pPr>
              <w:rPr>
                <w:rFonts w:ascii="Garamond" w:hAnsi="Garamond"/>
                <w:sz w:val="20"/>
                <w:szCs w:val="20"/>
              </w:rPr>
            </w:pPr>
            <w:r w:rsidRPr="007963BD">
              <w:rPr>
                <w:rFonts w:ascii="Garamond" w:hAnsi="Garamond"/>
                <w:sz w:val="20"/>
                <w:szCs w:val="20"/>
              </w:rPr>
              <w:t>Female</w:t>
            </w:r>
          </w:p>
        </w:tc>
      </w:tr>
      <w:tr w:rsidR="002B58CA" w:rsidRPr="007963BD" w14:paraId="19C60F74" w14:textId="77777777" w:rsidTr="002B58CA">
        <w:tc>
          <w:tcPr>
            <w:tcW w:w="9900" w:type="dxa"/>
            <w:gridSpan w:val="6"/>
            <w:shd w:val="clear" w:color="auto" w:fill="auto"/>
          </w:tcPr>
          <w:p w14:paraId="4E7280DA" w14:textId="77777777" w:rsidR="002B58CA" w:rsidRPr="007963BD" w:rsidRDefault="002B58CA" w:rsidP="002B58CA">
            <w:pPr>
              <w:rPr>
                <w:rFonts w:ascii="Garamond" w:hAnsi="Garamond"/>
                <w:sz w:val="20"/>
                <w:szCs w:val="20"/>
              </w:rPr>
            </w:pPr>
            <w:r w:rsidRPr="007963BD">
              <w:rPr>
                <w:rFonts w:ascii="Garamond" w:hAnsi="Garamond"/>
                <w:sz w:val="20"/>
                <w:szCs w:val="20"/>
              </w:rPr>
              <w:t>Initial Findings</w:t>
            </w:r>
          </w:p>
        </w:tc>
      </w:tr>
      <w:tr w:rsidR="002B58CA" w:rsidRPr="007963BD" w14:paraId="49C22253" w14:textId="77777777" w:rsidTr="002B58CA">
        <w:tc>
          <w:tcPr>
            <w:tcW w:w="1614" w:type="dxa"/>
            <w:shd w:val="clear" w:color="auto" w:fill="auto"/>
          </w:tcPr>
          <w:p w14:paraId="5E4B89F7" w14:textId="77777777" w:rsidR="002B58CA" w:rsidRPr="007963BD" w:rsidRDefault="002B58CA" w:rsidP="002B58CA">
            <w:pPr>
              <w:rPr>
                <w:rFonts w:ascii="Garamond" w:hAnsi="Garamond"/>
                <w:sz w:val="20"/>
                <w:szCs w:val="20"/>
              </w:rPr>
            </w:pPr>
            <w:r w:rsidRPr="007963BD">
              <w:rPr>
                <w:rFonts w:ascii="Garamond" w:hAnsi="Garamond"/>
                <w:sz w:val="20"/>
                <w:szCs w:val="20"/>
              </w:rPr>
              <w:t>Medical history</w:t>
            </w:r>
          </w:p>
        </w:tc>
        <w:tc>
          <w:tcPr>
            <w:tcW w:w="1643" w:type="dxa"/>
            <w:shd w:val="clear" w:color="auto" w:fill="auto"/>
          </w:tcPr>
          <w:p w14:paraId="12F8A4BF" w14:textId="77777777" w:rsidR="002B58CA" w:rsidRPr="007963BD" w:rsidRDefault="002B58CA" w:rsidP="002B58CA">
            <w:pPr>
              <w:rPr>
                <w:rFonts w:ascii="Garamond" w:hAnsi="Garamond"/>
                <w:sz w:val="20"/>
                <w:szCs w:val="20"/>
              </w:rPr>
            </w:pPr>
            <w:r w:rsidRPr="007963BD">
              <w:rPr>
                <w:rFonts w:ascii="Garamond" w:hAnsi="Garamond"/>
                <w:sz w:val="20"/>
                <w:szCs w:val="20"/>
              </w:rPr>
              <w:t>DM</w:t>
            </w:r>
            <w:r>
              <w:rPr>
                <w:rFonts w:ascii="Garamond" w:hAnsi="Garamond"/>
                <w:sz w:val="20"/>
                <w:szCs w:val="20"/>
              </w:rPr>
              <w:t>, HTN</w:t>
            </w:r>
          </w:p>
        </w:tc>
        <w:tc>
          <w:tcPr>
            <w:tcW w:w="1690" w:type="dxa"/>
          </w:tcPr>
          <w:p w14:paraId="67D4E8F5" w14:textId="77777777" w:rsidR="002B58CA" w:rsidRPr="007963BD" w:rsidRDefault="002B58CA" w:rsidP="002B58CA">
            <w:pPr>
              <w:rPr>
                <w:rFonts w:ascii="Garamond" w:hAnsi="Garamond"/>
                <w:sz w:val="20"/>
                <w:szCs w:val="20"/>
              </w:rPr>
            </w:pPr>
            <w:r>
              <w:rPr>
                <w:rFonts w:ascii="Garamond" w:hAnsi="Garamond"/>
                <w:sz w:val="20"/>
                <w:szCs w:val="20"/>
              </w:rPr>
              <w:t>DM, HTN, ITP s/p splenectomy, asthma</w:t>
            </w:r>
          </w:p>
        </w:tc>
        <w:tc>
          <w:tcPr>
            <w:tcW w:w="1690" w:type="dxa"/>
            <w:shd w:val="clear" w:color="auto" w:fill="auto"/>
          </w:tcPr>
          <w:p w14:paraId="6DF9FA55" w14:textId="77777777" w:rsidR="002B58CA" w:rsidRPr="007963BD" w:rsidRDefault="002B58CA" w:rsidP="002B58CA">
            <w:pPr>
              <w:rPr>
                <w:rFonts w:ascii="Garamond" w:hAnsi="Garamond"/>
                <w:sz w:val="20"/>
                <w:szCs w:val="20"/>
              </w:rPr>
            </w:pPr>
            <w:r w:rsidRPr="007963BD">
              <w:rPr>
                <w:rFonts w:ascii="Garamond" w:hAnsi="Garamond"/>
                <w:sz w:val="20"/>
                <w:szCs w:val="20"/>
              </w:rPr>
              <w:t>DM</w:t>
            </w:r>
            <w:r>
              <w:rPr>
                <w:rFonts w:ascii="Garamond" w:hAnsi="Garamond"/>
                <w:sz w:val="20"/>
                <w:szCs w:val="20"/>
              </w:rPr>
              <w:t>, HTN</w:t>
            </w:r>
          </w:p>
        </w:tc>
        <w:tc>
          <w:tcPr>
            <w:tcW w:w="1631" w:type="dxa"/>
            <w:shd w:val="clear" w:color="auto" w:fill="auto"/>
          </w:tcPr>
          <w:p w14:paraId="2A058E55" w14:textId="77777777" w:rsidR="002B58CA" w:rsidRPr="007963BD" w:rsidRDefault="002B58CA" w:rsidP="002B58CA">
            <w:pPr>
              <w:rPr>
                <w:rFonts w:ascii="Garamond" w:hAnsi="Garamond"/>
                <w:sz w:val="20"/>
                <w:szCs w:val="20"/>
              </w:rPr>
            </w:pPr>
            <w:r w:rsidRPr="007963BD">
              <w:rPr>
                <w:rFonts w:ascii="Garamond" w:hAnsi="Garamond"/>
                <w:sz w:val="20"/>
                <w:szCs w:val="20"/>
              </w:rPr>
              <w:t>DM</w:t>
            </w:r>
            <w:r>
              <w:rPr>
                <w:rFonts w:ascii="Garamond" w:hAnsi="Garamond"/>
                <w:sz w:val="20"/>
                <w:szCs w:val="20"/>
              </w:rPr>
              <w:t>, HTN</w:t>
            </w:r>
          </w:p>
        </w:tc>
        <w:tc>
          <w:tcPr>
            <w:tcW w:w="1632" w:type="dxa"/>
            <w:shd w:val="clear" w:color="auto" w:fill="auto"/>
          </w:tcPr>
          <w:p w14:paraId="32322BAC" w14:textId="77777777" w:rsidR="002B58CA" w:rsidRPr="007963BD" w:rsidRDefault="002B58CA" w:rsidP="002B58CA">
            <w:pPr>
              <w:rPr>
                <w:rFonts w:ascii="Garamond" w:hAnsi="Garamond"/>
                <w:sz w:val="20"/>
                <w:szCs w:val="20"/>
              </w:rPr>
            </w:pPr>
            <w:r w:rsidRPr="007963BD">
              <w:rPr>
                <w:rFonts w:ascii="Garamond" w:hAnsi="Garamond"/>
                <w:sz w:val="20"/>
                <w:szCs w:val="20"/>
              </w:rPr>
              <w:t>DM, Asthma</w:t>
            </w:r>
          </w:p>
        </w:tc>
      </w:tr>
      <w:tr w:rsidR="002B58CA" w:rsidRPr="007963BD" w14:paraId="5437931F" w14:textId="77777777" w:rsidTr="002B58CA">
        <w:tc>
          <w:tcPr>
            <w:tcW w:w="1614" w:type="dxa"/>
            <w:shd w:val="clear" w:color="auto" w:fill="auto"/>
          </w:tcPr>
          <w:p w14:paraId="37ABB6E0" w14:textId="77777777" w:rsidR="002B58CA" w:rsidRPr="007963BD" w:rsidRDefault="002B58CA" w:rsidP="002B58CA">
            <w:pPr>
              <w:rPr>
                <w:rFonts w:ascii="Garamond" w:hAnsi="Garamond"/>
                <w:sz w:val="20"/>
                <w:szCs w:val="20"/>
              </w:rPr>
            </w:pPr>
            <w:r w:rsidRPr="007963BD">
              <w:rPr>
                <w:rFonts w:ascii="Garamond" w:hAnsi="Garamond"/>
                <w:sz w:val="20"/>
                <w:szCs w:val="20"/>
              </w:rPr>
              <w:t>Symptoms at disease onset</w:t>
            </w:r>
          </w:p>
        </w:tc>
        <w:tc>
          <w:tcPr>
            <w:tcW w:w="1643" w:type="dxa"/>
            <w:shd w:val="clear" w:color="auto" w:fill="auto"/>
          </w:tcPr>
          <w:p w14:paraId="5193785B" w14:textId="77777777" w:rsidR="002B58CA" w:rsidRPr="007963BD" w:rsidRDefault="002B58CA" w:rsidP="002B58CA">
            <w:pPr>
              <w:rPr>
                <w:rFonts w:ascii="Garamond" w:hAnsi="Garamond"/>
                <w:sz w:val="20"/>
                <w:szCs w:val="20"/>
              </w:rPr>
            </w:pPr>
            <w:r>
              <w:rPr>
                <w:rFonts w:ascii="Garamond" w:hAnsi="Garamond"/>
                <w:sz w:val="20"/>
                <w:szCs w:val="20"/>
              </w:rPr>
              <w:t xml:space="preserve">Neurological, </w:t>
            </w:r>
            <w:r w:rsidRPr="007963BD">
              <w:rPr>
                <w:rFonts w:ascii="Garamond" w:hAnsi="Garamond"/>
                <w:sz w:val="20"/>
                <w:szCs w:val="20"/>
              </w:rPr>
              <w:t>Cough</w:t>
            </w:r>
            <w:r>
              <w:rPr>
                <w:rFonts w:ascii="Garamond" w:hAnsi="Garamond"/>
                <w:sz w:val="20"/>
                <w:szCs w:val="20"/>
              </w:rPr>
              <w:t>, F</w:t>
            </w:r>
            <w:r w:rsidRPr="007963BD">
              <w:rPr>
                <w:rFonts w:ascii="Garamond" w:hAnsi="Garamond"/>
                <w:sz w:val="20"/>
                <w:szCs w:val="20"/>
              </w:rPr>
              <w:t>ever</w:t>
            </w:r>
          </w:p>
        </w:tc>
        <w:tc>
          <w:tcPr>
            <w:tcW w:w="1690" w:type="dxa"/>
          </w:tcPr>
          <w:p w14:paraId="217D11C1" w14:textId="77777777" w:rsidR="002B58CA" w:rsidRPr="007963BD" w:rsidRDefault="002B58CA" w:rsidP="002B58CA">
            <w:pPr>
              <w:rPr>
                <w:rFonts w:ascii="Garamond" w:hAnsi="Garamond"/>
                <w:sz w:val="20"/>
                <w:szCs w:val="20"/>
              </w:rPr>
            </w:pPr>
            <w:r>
              <w:rPr>
                <w:rFonts w:ascii="Garamond" w:hAnsi="Garamond"/>
                <w:sz w:val="20"/>
                <w:szCs w:val="20"/>
              </w:rPr>
              <w:t>Fever, Dyspnea</w:t>
            </w:r>
          </w:p>
        </w:tc>
        <w:tc>
          <w:tcPr>
            <w:tcW w:w="1690" w:type="dxa"/>
            <w:shd w:val="clear" w:color="auto" w:fill="auto"/>
          </w:tcPr>
          <w:p w14:paraId="561ED2A8" w14:textId="77777777" w:rsidR="002B58CA" w:rsidRPr="007963BD" w:rsidRDefault="002B58CA" w:rsidP="002B58CA">
            <w:pPr>
              <w:rPr>
                <w:rFonts w:ascii="Garamond" w:hAnsi="Garamond"/>
                <w:sz w:val="20"/>
                <w:szCs w:val="20"/>
              </w:rPr>
            </w:pPr>
            <w:r w:rsidRPr="007963BD">
              <w:rPr>
                <w:rFonts w:ascii="Garamond" w:hAnsi="Garamond"/>
                <w:sz w:val="20"/>
                <w:szCs w:val="20"/>
              </w:rPr>
              <w:t>Neurological</w:t>
            </w:r>
            <w:r>
              <w:rPr>
                <w:rFonts w:ascii="Garamond" w:hAnsi="Garamond"/>
                <w:sz w:val="20"/>
                <w:szCs w:val="20"/>
              </w:rPr>
              <w:t>, C</w:t>
            </w:r>
            <w:r w:rsidRPr="007963BD">
              <w:rPr>
                <w:rFonts w:ascii="Garamond" w:hAnsi="Garamond"/>
                <w:sz w:val="20"/>
                <w:szCs w:val="20"/>
              </w:rPr>
              <w:t>oug</w:t>
            </w:r>
            <w:r>
              <w:rPr>
                <w:rFonts w:ascii="Garamond" w:hAnsi="Garamond"/>
                <w:sz w:val="20"/>
                <w:szCs w:val="20"/>
              </w:rPr>
              <w:t xml:space="preserve">h, </w:t>
            </w:r>
            <w:r w:rsidRPr="007963BD">
              <w:rPr>
                <w:rFonts w:ascii="Garamond" w:hAnsi="Garamond"/>
                <w:sz w:val="20"/>
                <w:szCs w:val="20"/>
              </w:rPr>
              <w:t>chil</w:t>
            </w:r>
            <w:r>
              <w:rPr>
                <w:rFonts w:ascii="Garamond" w:hAnsi="Garamond"/>
                <w:sz w:val="20"/>
                <w:szCs w:val="20"/>
              </w:rPr>
              <w:t>ls</w:t>
            </w:r>
          </w:p>
        </w:tc>
        <w:tc>
          <w:tcPr>
            <w:tcW w:w="1631" w:type="dxa"/>
            <w:shd w:val="clear" w:color="auto" w:fill="auto"/>
          </w:tcPr>
          <w:p w14:paraId="7784640D" w14:textId="77777777" w:rsidR="002B58CA" w:rsidRPr="007963BD" w:rsidRDefault="002B58CA" w:rsidP="002B58CA">
            <w:pPr>
              <w:rPr>
                <w:rFonts w:ascii="Garamond" w:hAnsi="Garamond"/>
                <w:sz w:val="20"/>
                <w:szCs w:val="20"/>
              </w:rPr>
            </w:pPr>
            <w:r>
              <w:rPr>
                <w:rFonts w:ascii="Garamond" w:hAnsi="Garamond"/>
                <w:sz w:val="20"/>
                <w:szCs w:val="20"/>
              </w:rPr>
              <w:t xml:space="preserve">Neurological, Fever, </w:t>
            </w:r>
            <w:r w:rsidRPr="007963BD">
              <w:rPr>
                <w:rFonts w:ascii="Garamond" w:hAnsi="Garamond"/>
                <w:sz w:val="20"/>
                <w:szCs w:val="20"/>
              </w:rPr>
              <w:t>Cough</w:t>
            </w:r>
            <w:r>
              <w:rPr>
                <w:rFonts w:ascii="Garamond" w:hAnsi="Garamond"/>
                <w:sz w:val="20"/>
                <w:szCs w:val="20"/>
              </w:rPr>
              <w:t>, Chills</w:t>
            </w:r>
          </w:p>
        </w:tc>
        <w:tc>
          <w:tcPr>
            <w:tcW w:w="1632" w:type="dxa"/>
            <w:shd w:val="clear" w:color="auto" w:fill="auto"/>
          </w:tcPr>
          <w:p w14:paraId="2CFF2B94" w14:textId="77777777" w:rsidR="002B58CA" w:rsidRPr="007963BD" w:rsidRDefault="002B58CA" w:rsidP="002B58CA">
            <w:pPr>
              <w:rPr>
                <w:rFonts w:ascii="Garamond" w:hAnsi="Garamond"/>
                <w:sz w:val="20"/>
                <w:szCs w:val="20"/>
              </w:rPr>
            </w:pPr>
            <w:r w:rsidRPr="007963BD">
              <w:rPr>
                <w:rFonts w:ascii="Garamond" w:hAnsi="Garamond"/>
                <w:sz w:val="20"/>
                <w:szCs w:val="20"/>
              </w:rPr>
              <w:t>Fever</w:t>
            </w:r>
            <w:r>
              <w:rPr>
                <w:rFonts w:ascii="Garamond" w:hAnsi="Garamond"/>
                <w:sz w:val="20"/>
                <w:szCs w:val="20"/>
              </w:rPr>
              <w:t>, c</w:t>
            </w:r>
            <w:r w:rsidRPr="007963BD">
              <w:rPr>
                <w:rFonts w:ascii="Garamond" w:hAnsi="Garamond"/>
                <w:sz w:val="20"/>
                <w:szCs w:val="20"/>
              </w:rPr>
              <w:t>ough</w:t>
            </w:r>
            <w:r>
              <w:rPr>
                <w:rFonts w:ascii="Garamond" w:hAnsi="Garamond"/>
                <w:sz w:val="20"/>
                <w:szCs w:val="20"/>
              </w:rPr>
              <w:t>, Dyspnea</w:t>
            </w:r>
          </w:p>
        </w:tc>
      </w:tr>
      <w:tr w:rsidR="002B58CA" w:rsidRPr="007963BD" w14:paraId="5A1FE47B" w14:textId="77777777" w:rsidTr="002B58CA">
        <w:trPr>
          <w:trHeight w:val="296"/>
        </w:trPr>
        <w:tc>
          <w:tcPr>
            <w:tcW w:w="1614" w:type="dxa"/>
            <w:shd w:val="clear" w:color="auto" w:fill="auto"/>
          </w:tcPr>
          <w:p w14:paraId="7313FB9A" w14:textId="77777777" w:rsidR="002B58CA" w:rsidRPr="007963BD" w:rsidRDefault="002B58CA" w:rsidP="002B58CA">
            <w:pPr>
              <w:rPr>
                <w:rFonts w:ascii="Garamond" w:hAnsi="Garamond"/>
                <w:sz w:val="20"/>
                <w:szCs w:val="20"/>
              </w:rPr>
            </w:pPr>
            <w:r w:rsidRPr="007963BD">
              <w:rPr>
                <w:rFonts w:ascii="Garamond" w:hAnsi="Garamond"/>
                <w:sz w:val="20"/>
                <w:szCs w:val="20"/>
              </w:rPr>
              <w:t>Stroke syndrome</w:t>
            </w:r>
          </w:p>
        </w:tc>
        <w:tc>
          <w:tcPr>
            <w:tcW w:w="1643" w:type="dxa"/>
            <w:shd w:val="clear" w:color="auto" w:fill="auto"/>
          </w:tcPr>
          <w:p w14:paraId="60A84000" w14:textId="77777777" w:rsidR="002B58CA" w:rsidRPr="007963BD" w:rsidRDefault="002B58CA" w:rsidP="002B58CA">
            <w:pPr>
              <w:rPr>
                <w:rFonts w:ascii="Garamond" w:hAnsi="Garamond"/>
                <w:sz w:val="20"/>
                <w:szCs w:val="20"/>
              </w:rPr>
            </w:pPr>
            <w:r>
              <w:rPr>
                <w:rFonts w:ascii="Garamond" w:hAnsi="Garamond"/>
                <w:sz w:val="20"/>
                <w:szCs w:val="20"/>
              </w:rPr>
              <w:t>M</w:t>
            </w:r>
            <w:r w:rsidRPr="007963BD">
              <w:rPr>
                <w:rFonts w:ascii="Garamond" w:hAnsi="Garamond"/>
                <w:sz w:val="20"/>
                <w:szCs w:val="20"/>
              </w:rPr>
              <w:t>ultifocal</w:t>
            </w:r>
            <w:r>
              <w:rPr>
                <w:rFonts w:ascii="Garamond" w:hAnsi="Garamond"/>
                <w:sz w:val="20"/>
                <w:szCs w:val="20"/>
              </w:rPr>
              <w:t xml:space="preserve"> emboli</w:t>
            </w:r>
          </w:p>
        </w:tc>
        <w:tc>
          <w:tcPr>
            <w:tcW w:w="1690" w:type="dxa"/>
          </w:tcPr>
          <w:p w14:paraId="31AC1FFC" w14:textId="77777777" w:rsidR="002B58CA" w:rsidRPr="007963BD" w:rsidRDefault="002B58CA" w:rsidP="002B58CA">
            <w:pPr>
              <w:rPr>
                <w:rFonts w:ascii="Garamond" w:hAnsi="Garamond"/>
                <w:sz w:val="20"/>
                <w:szCs w:val="20"/>
              </w:rPr>
            </w:pPr>
            <w:r>
              <w:rPr>
                <w:rFonts w:ascii="Garamond" w:hAnsi="Garamond"/>
                <w:sz w:val="20"/>
                <w:szCs w:val="20"/>
              </w:rPr>
              <w:t>Right MCA branch emboli</w:t>
            </w:r>
          </w:p>
        </w:tc>
        <w:tc>
          <w:tcPr>
            <w:tcW w:w="1690" w:type="dxa"/>
            <w:shd w:val="clear" w:color="auto" w:fill="auto"/>
          </w:tcPr>
          <w:p w14:paraId="3353D42C" w14:textId="77777777" w:rsidR="002B58CA" w:rsidRPr="007963BD" w:rsidRDefault="002B58CA" w:rsidP="002B58CA">
            <w:pPr>
              <w:rPr>
                <w:rFonts w:ascii="Garamond" w:hAnsi="Garamond"/>
                <w:sz w:val="20"/>
                <w:szCs w:val="20"/>
              </w:rPr>
            </w:pPr>
            <w:r w:rsidRPr="007963BD">
              <w:rPr>
                <w:rFonts w:ascii="Garamond" w:hAnsi="Garamond"/>
                <w:sz w:val="20"/>
                <w:szCs w:val="20"/>
              </w:rPr>
              <w:t>Lacunar</w:t>
            </w:r>
          </w:p>
        </w:tc>
        <w:tc>
          <w:tcPr>
            <w:tcW w:w="1631" w:type="dxa"/>
            <w:shd w:val="clear" w:color="auto" w:fill="auto"/>
          </w:tcPr>
          <w:p w14:paraId="31FF7CB8" w14:textId="77777777" w:rsidR="002B58CA" w:rsidRPr="007963BD" w:rsidRDefault="002B58CA" w:rsidP="002B58CA">
            <w:pPr>
              <w:rPr>
                <w:rFonts w:ascii="Garamond" w:hAnsi="Garamond"/>
                <w:sz w:val="20"/>
                <w:szCs w:val="20"/>
              </w:rPr>
            </w:pPr>
            <w:r w:rsidRPr="007963BD">
              <w:rPr>
                <w:rFonts w:ascii="Garamond" w:hAnsi="Garamond"/>
                <w:sz w:val="20"/>
                <w:szCs w:val="20"/>
              </w:rPr>
              <w:t>Lacunar</w:t>
            </w:r>
          </w:p>
        </w:tc>
        <w:tc>
          <w:tcPr>
            <w:tcW w:w="1632" w:type="dxa"/>
            <w:shd w:val="clear" w:color="auto" w:fill="auto"/>
          </w:tcPr>
          <w:p w14:paraId="3160656D" w14:textId="77777777" w:rsidR="002B58CA" w:rsidRPr="007963BD" w:rsidRDefault="002B58CA" w:rsidP="002B58CA">
            <w:pPr>
              <w:rPr>
                <w:rFonts w:ascii="Garamond" w:hAnsi="Garamond"/>
                <w:sz w:val="20"/>
                <w:szCs w:val="20"/>
              </w:rPr>
            </w:pPr>
            <w:r w:rsidRPr="007963BD">
              <w:rPr>
                <w:rFonts w:ascii="Garamond" w:hAnsi="Garamond"/>
                <w:sz w:val="20"/>
                <w:szCs w:val="20"/>
              </w:rPr>
              <w:t>Left Clumsy hand</w:t>
            </w:r>
            <w:r>
              <w:rPr>
                <w:rFonts w:ascii="Garamond" w:hAnsi="Garamond"/>
                <w:sz w:val="20"/>
                <w:szCs w:val="20"/>
              </w:rPr>
              <w:t>/TIA</w:t>
            </w:r>
            <w:r w:rsidRPr="007963BD">
              <w:rPr>
                <w:rFonts w:ascii="Garamond" w:hAnsi="Garamond"/>
                <w:sz w:val="20"/>
                <w:szCs w:val="20"/>
              </w:rPr>
              <w:t xml:space="preserve"> </w:t>
            </w:r>
          </w:p>
        </w:tc>
      </w:tr>
      <w:tr w:rsidR="002B58CA" w:rsidRPr="007963BD" w14:paraId="00650A56" w14:textId="77777777" w:rsidTr="002B58CA">
        <w:tc>
          <w:tcPr>
            <w:tcW w:w="1614" w:type="dxa"/>
            <w:shd w:val="clear" w:color="auto" w:fill="auto"/>
          </w:tcPr>
          <w:p w14:paraId="148D3361" w14:textId="77777777" w:rsidR="002B58CA" w:rsidRPr="007963BD" w:rsidRDefault="002B58CA" w:rsidP="002B58CA">
            <w:pPr>
              <w:rPr>
                <w:rFonts w:ascii="Garamond" w:hAnsi="Garamond"/>
                <w:sz w:val="20"/>
                <w:szCs w:val="20"/>
              </w:rPr>
            </w:pPr>
            <w:r w:rsidRPr="00415C63">
              <w:rPr>
                <w:rFonts w:ascii="Garamond" w:hAnsi="Garamond"/>
                <w:sz w:val="20"/>
                <w:szCs w:val="20"/>
              </w:rPr>
              <w:t xml:space="preserve">Cardiac </w:t>
            </w:r>
            <w:r>
              <w:rPr>
                <w:rFonts w:ascii="Garamond" w:hAnsi="Garamond"/>
                <w:sz w:val="20"/>
                <w:szCs w:val="20"/>
              </w:rPr>
              <w:t>Workup</w:t>
            </w:r>
          </w:p>
        </w:tc>
        <w:tc>
          <w:tcPr>
            <w:tcW w:w="1643" w:type="dxa"/>
            <w:shd w:val="clear" w:color="auto" w:fill="auto"/>
          </w:tcPr>
          <w:p w14:paraId="07F8CAE9" w14:textId="77777777" w:rsidR="002B58CA" w:rsidRPr="007963BD" w:rsidRDefault="002B58CA" w:rsidP="002B58CA">
            <w:pPr>
              <w:rPr>
                <w:rFonts w:ascii="Garamond" w:hAnsi="Garamond"/>
                <w:sz w:val="20"/>
                <w:szCs w:val="20"/>
              </w:rPr>
            </w:pPr>
            <w:r>
              <w:rPr>
                <w:rFonts w:ascii="Garamond" w:hAnsi="Garamond"/>
                <w:sz w:val="20"/>
                <w:szCs w:val="20"/>
              </w:rPr>
              <w:t>NSR, No Echo</w:t>
            </w:r>
          </w:p>
        </w:tc>
        <w:tc>
          <w:tcPr>
            <w:tcW w:w="1690" w:type="dxa"/>
          </w:tcPr>
          <w:p w14:paraId="6E8D08BC" w14:textId="77777777" w:rsidR="002B58CA" w:rsidRPr="007963BD" w:rsidRDefault="002B58CA" w:rsidP="002B58CA">
            <w:pPr>
              <w:rPr>
                <w:rFonts w:ascii="Garamond" w:hAnsi="Garamond"/>
                <w:sz w:val="20"/>
                <w:szCs w:val="20"/>
              </w:rPr>
            </w:pPr>
            <w:r>
              <w:rPr>
                <w:rFonts w:ascii="Garamond" w:hAnsi="Garamond"/>
                <w:sz w:val="20"/>
                <w:szCs w:val="20"/>
              </w:rPr>
              <w:t>NSR, No Echo</w:t>
            </w:r>
          </w:p>
        </w:tc>
        <w:tc>
          <w:tcPr>
            <w:tcW w:w="1690" w:type="dxa"/>
            <w:shd w:val="clear" w:color="auto" w:fill="auto"/>
          </w:tcPr>
          <w:p w14:paraId="33950810" w14:textId="77777777" w:rsidR="002B58CA" w:rsidRPr="007963BD" w:rsidRDefault="002B58CA" w:rsidP="002B58CA">
            <w:pPr>
              <w:rPr>
                <w:rFonts w:ascii="Garamond" w:hAnsi="Garamond"/>
                <w:sz w:val="20"/>
                <w:szCs w:val="20"/>
              </w:rPr>
            </w:pPr>
            <w:r>
              <w:rPr>
                <w:rFonts w:ascii="Garamond" w:hAnsi="Garamond"/>
                <w:sz w:val="20"/>
                <w:szCs w:val="20"/>
              </w:rPr>
              <w:t>NSR</w:t>
            </w:r>
          </w:p>
        </w:tc>
        <w:tc>
          <w:tcPr>
            <w:tcW w:w="1631" w:type="dxa"/>
            <w:shd w:val="clear" w:color="auto" w:fill="auto"/>
          </w:tcPr>
          <w:p w14:paraId="776319B6" w14:textId="77777777" w:rsidR="002B58CA" w:rsidRPr="007963BD" w:rsidRDefault="002B58CA" w:rsidP="002B58CA">
            <w:pPr>
              <w:rPr>
                <w:rFonts w:ascii="Garamond" w:hAnsi="Garamond"/>
                <w:sz w:val="20"/>
                <w:szCs w:val="20"/>
              </w:rPr>
            </w:pPr>
            <w:r>
              <w:rPr>
                <w:rFonts w:ascii="Garamond" w:hAnsi="Garamond"/>
                <w:sz w:val="20"/>
                <w:szCs w:val="20"/>
              </w:rPr>
              <w:t>NSR, Normal LVEF</w:t>
            </w:r>
          </w:p>
        </w:tc>
        <w:tc>
          <w:tcPr>
            <w:tcW w:w="1632" w:type="dxa"/>
            <w:shd w:val="clear" w:color="auto" w:fill="auto"/>
          </w:tcPr>
          <w:p w14:paraId="2FDE5B65" w14:textId="77777777" w:rsidR="002B58CA" w:rsidRPr="007963BD" w:rsidRDefault="002B58CA" w:rsidP="002B58CA">
            <w:pPr>
              <w:rPr>
                <w:rFonts w:ascii="Garamond" w:hAnsi="Garamond"/>
                <w:sz w:val="20"/>
                <w:szCs w:val="20"/>
              </w:rPr>
            </w:pPr>
            <w:r>
              <w:rPr>
                <w:rFonts w:ascii="Garamond" w:hAnsi="Garamond"/>
                <w:sz w:val="20"/>
                <w:szCs w:val="20"/>
              </w:rPr>
              <w:t>NSR, No echo</w:t>
            </w:r>
          </w:p>
        </w:tc>
      </w:tr>
      <w:tr w:rsidR="002B58CA" w:rsidRPr="007963BD" w14:paraId="52B639AE" w14:textId="77777777" w:rsidTr="002B58CA">
        <w:tc>
          <w:tcPr>
            <w:tcW w:w="1614" w:type="dxa"/>
            <w:shd w:val="clear" w:color="auto" w:fill="auto"/>
          </w:tcPr>
          <w:p w14:paraId="3F4A3426" w14:textId="77777777" w:rsidR="002B58CA" w:rsidRPr="007963BD" w:rsidRDefault="002B58CA" w:rsidP="002B58CA">
            <w:pPr>
              <w:rPr>
                <w:rFonts w:ascii="Garamond" w:hAnsi="Garamond"/>
                <w:sz w:val="20"/>
                <w:szCs w:val="20"/>
              </w:rPr>
            </w:pPr>
            <w:r w:rsidRPr="007963BD">
              <w:rPr>
                <w:rFonts w:ascii="Garamond" w:hAnsi="Garamond"/>
                <w:sz w:val="20"/>
                <w:szCs w:val="20"/>
              </w:rPr>
              <w:t>Imaging</w:t>
            </w:r>
          </w:p>
        </w:tc>
        <w:tc>
          <w:tcPr>
            <w:tcW w:w="1643" w:type="dxa"/>
            <w:shd w:val="clear" w:color="auto" w:fill="auto"/>
          </w:tcPr>
          <w:p w14:paraId="1CBF6469" w14:textId="77777777" w:rsidR="002B58CA" w:rsidRPr="007963BD" w:rsidRDefault="002B58CA" w:rsidP="002B58CA">
            <w:pPr>
              <w:rPr>
                <w:rFonts w:ascii="Garamond" w:hAnsi="Garamond"/>
                <w:sz w:val="20"/>
                <w:szCs w:val="20"/>
              </w:rPr>
            </w:pPr>
          </w:p>
        </w:tc>
        <w:tc>
          <w:tcPr>
            <w:tcW w:w="1690" w:type="dxa"/>
          </w:tcPr>
          <w:p w14:paraId="757BC065" w14:textId="77777777" w:rsidR="002B58CA" w:rsidRPr="007963BD" w:rsidRDefault="002B58CA" w:rsidP="002B58CA">
            <w:pPr>
              <w:rPr>
                <w:rFonts w:ascii="Garamond" w:hAnsi="Garamond"/>
                <w:sz w:val="20"/>
                <w:szCs w:val="20"/>
              </w:rPr>
            </w:pPr>
          </w:p>
        </w:tc>
        <w:tc>
          <w:tcPr>
            <w:tcW w:w="1690" w:type="dxa"/>
            <w:shd w:val="clear" w:color="auto" w:fill="auto"/>
          </w:tcPr>
          <w:p w14:paraId="2790E1FF" w14:textId="77777777" w:rsidR="002B58CA" w:rsidRPr="007963BD" w:rsidRDefault="002B58CA" w:rsidP="002B58CA">
            <w:pPr>
              <w:rPr>
                <w:rFonts w:ascii="Garamond" w:hAnsi="Garamond"/>
                <w:sz w:val="20"/>
                <w:szCs w:val="20"/>
              </w:rPr>
            </w:pPr>
          </w:p>
        </w:tc>
        <w:tc>
          <w:tcPr>
            <w:tcW w:w="1631" w:type="dxa"/>
            <w:shd w:val="clear" w:color="auto" w:fill="auto"/>
          </w:tcPr>
          <w:p w14:paraId="7C3ABE7D" w14:textId="77777777" w:rsidR="002B58CA" w:rsidRPr="007963BD" w:rsidRDefault="002B58CA" w:rsidP="002B58CA">
            <w:pPr>
              <w:rPr>
                <w:rFonts w:ascii="Garamond" w:hAnsi="Garamond"/>
                <w:sz w:val="20"/>
                <w:szCs w:val="20"/>
              </w:rPr>
            </w:pPr>
          </w:p>
        </w:tc>
        <w:tc>
          <w:tcPr>
            <w:tcW w:w="1632" w:type="dxa"/>
            <w:shd w:val="clear" w:color="auto" w:fill="auto"/>
          </w:tcPr>
          <w:p w14:paraId="74AAACDB" w14:textId="77777777" w:rsidR="002B58CA" w:rsidRPr="007963BD" w:rsidRDefault="002B58CA" w:rsidP="002B58CA">
            <w:pPr>
              <w:rPr>
                <w:rFonts w:ascii="Garamond" w:hAnsi="Garamond"/>
                <w:sz w:val="20"/>
                <w:szCs w:val="20"/>
              </w:rPr>
            </w:pPr>
          </w:p>
        </w:tc>
      </w:tr>
      <w:tr w:rsidR="002B58CA" w:rsidRPr="007963BD" w14:paraId="757E3B7A" w14:textId="77777777" w:rsidTr="002B58CA">
        <w:tc>
          <w:tcPr>
            <w:tcW w:w="1614" w:type="dxa"/>
            <w:shd w:val="clear" w:color="auto" w:fill="auto"/>
          </w:tcPr>
          <w:p w14:paraId="33CFA63F" w14:textId="77777777" w:rsidR="002B58CA" w:rsidRPr="007963BD" w:rsidRDefault="002B58CA" w:rsidP="002B58CA">
            <w:pPr>
              <w:rPr>
                <w:rFonts w:ascii="Garamond" w:hAnsi="Garamond"/>
                <w:sz w:val="20"/>
                <w:szCs w:val="20"/>
              </w:rPr>
            </w:pPr>
            <w:r w:rsidRPr="007963BD">
              <w:rPr>
                <w:rFonts w:ascii="Garamond" w:hAnsi="Garamond"/>
                <w:sz w:val="20"/>
                <w:szCs w:val="20"/>
              </w:rPr>
              <w:t>CXR</w:t>
            </w:r>
          </w:p>
          <w:p w14:paraId="40299727" w14:textId="77777777" w:rsidR="002B58CA" w:rsidRPr="007963BD" w:rsidRDefault="002B58CA" w:rsidP="002B58CA">
            <w:pPr>
              <w:rPr>
                <w:rFonts w:ascii="Garamond" w:hAnsi="Garamond"/>
                <w:sz w:val="20"/>
                <w:szCs w:val="20"/>
              </w:rPr>
            </w:pPr>
          </w:p>
        </w:tc>
        <w:tc>
          <w:tcPr>
            <w:tcW w:w="1643" w:type="dxa"/>
            <w:shd w:val="clear" w:color="auto" w:fill="auto"/>
          </w:tcPr>
          <w:p w14:paraId="16988BF6" w14:textId="77777777" w:rsidR="002B58CA" w:rsidRPr="007963BD" w:rsidRDefault="002B58CA" w:rsidP="002B58CA">
            <w:pPr>
              <w:rPr>
                <w:rFonts w:ascii="Garamond" w:hAnsi="Garamond"/>
                <w:sz w:val="20"/>
                <w:szCs w:val="20"/>
              </w:rPr>
            </w:pPr>
            <w:r w:rsidRPr="007963BD">
              <w:rPr>
                <w:rFonts w:ascii="Garamond" w:hAnsi="Garamond"/>
                <w:sz w:val="20"/>
                <w:szCs w:val="20"/>
              </w:rPr>
              <w:t>Bibasilar airspace opacitie</w:t>
            </w:r>
            <w:r>
              <w:rPr>
                <w:rFonts w:ascii="Garamond" w:hAnsi="Garamond"/>
                <w:sz w:val="20"/>
                <w:szCs w:val="20"/>
              </w:rPr>
              <w:t>s</w:t>
            </w:r>
          </w:p>
        </w:tc>
        <w:tc>
          <w:tcPr>
            <w:tcW w:w="1690" w:type="dxa"/>
          </w:tcPr>
          <w:p w14:paraId="753E1935" w14:textId="77777777" w:rsidR="002B58CA" w:rsidRPr="007963BD" w:rsidRDefault="002B58CA" w:rsidP="002B58CA">
            <w:pPr>
              <w:rPr>
                <w:rFonts w:ascii="Garamond" w:hAnsi="Garamond"/>
                <w:sz w:val="20"/>
                <w:szCs w:val="20"/>
              </w:rPr>
            </w:pPr>
            <w:r>
              <w:rPr>
                <w:rFonts w:ascii="Garamond" w:hAnsi="Garamond"/>
                <w:sz w:val="20"/>
                <w:szCs w:val="20"/>
              </w:rPr>
              <w:t>Bilateral opacities lower fields</w:t>
            </w:r>
          </w:p>
        </w:tc>
        <w:tc>
          <w:tcPr>
            <w:tcW w:w="1690" w:type="dxa"/>
            <w:shd w:val="clear" w:color="auto" w:fill="auto"/>
          </w:tcPr>
          <w:p w14:paraId="6A59F2F9" w14:textId="77777777" w:rsidR="002B58CA" w:rsidRPr="007963BD" w:rsidRDefault="002B58CA" w:rsidP="002B58CA">
            <w:pPr>
              <w:rPr>
                <w:rFonts w:ascii="Garamond" w:hAnsi="Garamond"/>
                <w:sz w:val="20"/>
                <w:szCs w:val="20"/>
              </w:rPr>
            </w:pPr>
            <w:r w:rsidRPr="007963BD">
              <w:rPr>
                <w:rFonts w:ascii="Garamond" w:hAnsi="Garamond"/>
                <w:sz w:val="20"/>
                <w:szCs w:val="20"/>
              </w:rPr>
              <w:t>Right lung early infiltrate</w:t>
            </w:r>
          </w:p>
        </w:tc>
        <w:tc>
          <w:tcPr>
            <w:tcW w:w="1631" w:type="dxa"/>
            <w:shd w:val="clear" w:color="auto" w:fill="auto"/>
          </w:tcPr>
          <w:p w14:paraId="17CB29E1" w14:textId="77777777" w:rsidR="002B58CA" w:rsidRPr="007963BD" w:rsidRDefault="002B58CA" w:rsidP="002B58CA">
            <w:pPr>
              <w:rPr>
                <w:rFonts w:ascii="Garamond" w:hAnsi="Garamond"/>
                <w:sz w:val="20"/>
                <w:szCs w:val="20"/>
              </w:rPr>
            </w:pPr>
            <w:r w:rsidRPr="007963BD">
              <w:rPr>
                <w:rFonts w:ascii="Garamond" w:hAnsi="Garamond"/>
                <w:sz w:val="20"/>
                <w:szCs w:val="20"/>
              </w:rPr>
              <w:t>Clear</w:t>
            </w:r>
          </w:p>
          <w:p w14:paraId="68125409" w14:textId="77777777" w:rsidR="002B58CA" w:rsidRPr="007963BD" w:rsidRDefault="002B58CA" w:rsidP="002B58CA">
            <w:pPr>
              <w:rPr>
                <w:rFonts w:ascii="Garamond" w:hAnsi="Garamond"/>
                <w:sz w:val="20"/>
                <w:szCs w:val="20"/>
              </w:rPr>
            </w:pPr>
          </w:p>
        </w:tc>
        <w:tc>
          <w:tcPr>
            <w:tcW w:w="1632" w:type="dxa"/>
            <w:shd w:val="clear" w:color="auto" w:fill="auto"/>
          </w:tcPr>
          <w:p w14:paraId="222EB90F" w14:textId="77777777" w:rsidR="002B58CA" w:rsidRPr="007963BD" w:rsidRDefault="002B58CA" w:rsidP="002B58CA">
            <w:pPr>
              <w:rPr>
                <w:rFonts w:ascii="Garamond" w:hAnsi="Garamond"/>
                <w:sz w:val="20"/>
                <w:szCs w:val="20"/>
              </w:rPr>
            </w:pPr>
            <w:r w:rsidRPr="007963BD">
              <w:rPr>
                <w:rFonts w:ascii="Garamond" w:hAnsi="Garamond"/>
                <w:sz w:val="20"/>
                <w:szCs w:val="20"/>
              </w:rPr>
              <w:t>Interstitial opacities b</w:t>
            </w:r>
            <w:r>
              <w:rPr>
                <w:rFonts w:ascii="Garamond" w:hAnsi="Garamond"/>
                <w:sz w:val="20"/>
                <w:szCs w:val="20"/>
              </w:rPr>
              <w:t>ilateral</w:t>
            </w:r>
            <w:r w:rsidRPr="007963BD">
              <w:rPr>
                <w:rFonts w:ascii="Garamond" w:hAnsi="Garamond"/>
                <w:sz w:val="20"/>
                <w:szCs w:val="20"/>
              </w:rPr>
              <w:t xml:space="preserve"> lungs</w:t>
            </w:r>
          </w:p>
        </w:tc>
      </w:tr>
      <w:tr w:rsidR="002B58CA" w:rsidRPr="007963BD" w14:paraId="267D26C3" w14:textId="77777777" w:rsidTr="002B58CA">
        <w:trPr>
          <w:trHeight w:val="323"/>
        </w:trPr>
        <w:tc>
          <w:tcPr>
            <w:tcW w:w="1614" w:type="dxa"/>
            <w:shd w:val="clear" w:color="auto" w:fill="auto"/>
          </w:tcPr>
          <w:p w14:paraId="06BCBF05" w14:textId="77777777" w:rsidR="002B58CA" w:rsidRPr="007963BD" w:rsidRDefault="002B58CA" w:rsidP="002B58CA">
            <w:pPr>
              <w:rPr>
                <w:rFonts w:ascii="Garamond" w:hAnsi="Garamond"/>
                <w:sz w:val="20"/>
                <w:szCs w:val="20"/>
              </w:rPr>
            </w:pPr>
            <w:r w:rsidRPr="007963BD">
              <w:rPr>
                <w:rFonts w:ascii="Garamond" w:hAnsi="Garamond"/>
                <w:sz w:val="20"/>
                <w:szCs w:val="20"/>
              </w:rPr>
              <w:t>CTH</w:t>
            </w:r>
          </w:p>
        </w:tc>
        <w:tc>
          <w:tcPr>
            <w:tcW w:w="1643" w:type="dxa"/>
            <w:shd w:val="clear" w:color="auto" w:fill="auto"/>
          </w:tcPr>
          <w:p w14:paraId="11F8D47F" w14:textId="77777777" w:rsidR="002B58CA" w:rsidRPr="007963BD" w:rsidRDefault="002B58CA" w:rsidP="002B58CA">
            <w:pPr>
              <w:rPr>
                <w:rFonts w:ascii="Garamond" w:hAnsi="Garamond"/>
                <w:sz w:val="20"/>
                <w:szCs w:val="20"/>
              </w:rPr>
            </w:pPr>
            <w:r w:rsidRPr="007963BD">
              <w:rPr>
                <w:rFonts w:ascii="Garamond" w:hAnsi="Garamond"/>
                <w:sz w:val="20"/>
                <w:szCs w:val="20"/>
              </w:rPr>
              <w:t>No changes</w:t>
            </w:r>
          </w:p>
        </w:tc>
        <w:tc>
          <w:tcPr>
            <w:tcW w:w="1690" w:type="dxa"/>
          </w:tcPr>
          <w:p w14:paraId="11FCD006" w14:textId="77777777" w:rsidR="002B58CA" w:rsidRPr="007963BD" w:rsidRDefault="002B58CA" w:rsidP="002B58CA">
            <w:pPr>
              <w:rPr>
                <w:rFonts w:ascii="Garamond" w:hAnsi="Garamond"/>
                <w:sz w:val="20"/>
                <w:szCs w:val="20"/>
              </w:rPr>
            </w:pPr>
            <w:r>
              <w:rPr>
                <w:rFonts w:ascii="Garamond" w:hAnsi="Garamond"/>
                <w:sz w:val="20"/>
                <w:szCs w:val="20"/>
              </w:rPr>
              <w:t>Right Posterior MCA territory infarct</w:t>
            </w:r>
          </w:p>
        </w:tc>
        <w:tc>
          <w:tcPr>
            <w:tcW w:w="1690" w:type="dxa"/>
            <w:shd w:val="clear" w:color="auto" w:fill="auto"/>
          </w:tcPr>
          <w:p w14:paraId="2AC53F63" w14:textId="77777777" w:rsidR="002B58CA" w:rsidRPr="007963BD" w:rsidRDefault="002B58CA" w:rsidP="002B58CA">
            <w:pPr>
              <w:rPr>
                <w:rFonts w:ascii="Garamond" w:hAnsi="Garamond"/>
                <w:sz w:val="20"/>
                <w:szCs w:val="20"/>
              </w:rPr>
            </w:pPr>
            <w:r w:rsidRPr="007963BD">
              <w:rPr>
                <w:rFonts w:ascii="Garamond" w:hAnsi="Garamond"/>
                <w:sz w:val="20"/>
                <w:szCs w:val="20"/>
              </w:rPr>
              <w:t>No changes</w:t>
            </w:r>
          </w:p>
        </w:tc>
        <w:tc>
          <w:tcPr>
            <w:tcW w:w="1631" w:type="dxa"/>
            <w:shd w:val="clear" w:color="auto" w:fill="auto"/>
          </w:tcPr>
          <w:p w14:paraId="6C1D7E32" w14:textId="77777777" w:rsidR="002B58CA" w:rsidRPr="007963BD" w:rsidRDefault="002B58CA" w:rsidP="002B58CA">
            <w:pPr>
              <w:rPr>
                <w:rFonts w:ascii="Garamond" w:hAnsi="Garamond"/>
                <w:sz w:val="20"/>
                <w:szCs w:val="20"/>
              </w:rPr>
            </w:pPr>
            <w:r w:rsidRPr="007963BD">
              <w:rPr>
                <w:rFonts w:ascii="Garamond" w:hAnsi="Garamond"/>
                <w:sz w:val="20"/>
                <w:szCs w:val="20"/>
              </w:rPr>
              <w:t>No changes</w:t>
            </w:r>
          </w:p>
        </w:tc>
        <w:tc>
          <w:tcPr>
            <w:tcW w:w="1632" w:type="dxa"/>
            <w:shd w:val="clear" w:color="auto" w:fill="auto"/>
          </w:tcPr>
          <w:p w14:paraId="427F3E13" w14:textId="77777777" w:rsidR="002B58CA" w:rsidRPr="007963BD" w:rsidRDefault="002B58CA" w:rsidP="002B58CA">
            <w:pPr>
              <w:rPr>
                <w:rFonts w:ascii="Garamond" w:hAnsi="Garamond"/>
                <w:sz w:val="20"/>
                <w:szCs w:val="20"/>
              </w:rPr>
            </w:pPr>
            <w:r w:rsidRPr="007963BD">
              <w:rPr>
                <w:rFonts w:ascii="Garamond" w:hAnsi="Garamond"/>
                <w:sz w:val="20"/>
                <w:szCs w:val="20"/>
              </w:rPr>
              <w:t>No changes</w:t>
            </w:r>
          </w:p>
        </w:tc>
      </w:tr>
      <w:tr w:rsidR="002B58CA" w:rsidRPr="007963BD" w14:paraId="171D0165" w14:textId="77777777" w:rsidTr="002B58CA">
        <w:tc>
          <w:tcPr>
            <w:tcW w:w="1614" w:type="dxa"/>
            <w:shd w:val="clear" w:color="auto" w:fill="auto"/>
          </w:tcPr>
          <w:p w14:paraId="2A44C1BC" w14:textId="77777777" w:rsidR="002B58CA" w:rsidRPr="007963BD" w:rsidRDefault="002B58CA" w:rsidP="002B58CA">
            <w:pPr>
              <w:rPr>
                <w:rFonts w:ascii="Garamond" w:hAnsi="Garamond"/>
                <w:sz w:val="20"/>
                <w:szCs w:val="20"/>
              </w:rPr>
            </w:pPr>
            <w:r w:rsidRPr="007963BD">
              <w:rPr>
                <w:rFonts w:ascii="Garamond" w:hAnsi="Garamond"/>
                <w:sz w:val="20"/>
                <w:szCs w:val="20"/>
              </w:rPr>
              <w:t>CTA Head/Neck</w:t>
            </w:r>
          </w:p>
        </w:tc>
        <w:tc>
          <w:tcPr>
            <w:tcW w:w="1643" w:type="dxa"/>
            <w:shd w:val="clear" w:color="auto" w:fill="auto"/>
          </w:tcPr>
          <w:p w14:paraId="2AC91A4C" w14:textId="77777777" w:rsidR="002B58CA" w:rsidRPr="007963BD" w:rsidRDefault="002B58CA" w:rsidP="002B58CA">
            <w:pPr>
              <w:rPr>
                <w:rFonts w:ascii="Garamond" w:hAnsi="Garamond"/>
                <w:sz w:val="20"/>
                <w:szCs w:val="20"/>
              </w:rPr>
            </w:pPr>
            <w:r w:rsidRPr="007963BD">
              <w:rPr>
                <w:rFonts w:ascii="Garamond" w:hAnsi="Garamond"/>
                <w:sz w:val="20"/>
                <w:szCs w:val="20"/>
              </w:rPr>
              <w:t>No LVO</w:t>
            </w:r>
          </w:p>
        </w:tc>
        <w:tc>
          <w:tcPr>
            <w:tcW w:w="1690" w:type="dxa"/>
          </w:tcPr>
          <w:p w14:paraId="000296A7" w14:textId="77777777" w:rsidR="002B58CA" w:rsidRPr="007963BD" w:rsidRDefault="002B58CA" w:rsidP="002B58CA">
            <w:pPr>
              <w:rPr>
                <w:rFonts w:ascii="Garamond" w:hAnsi="Garamond"/>
                <w:sz w:val="20"/>
                <w:szCs w:val="20"/>
              </w:rPr>
            </w:pPr>
            <w:r>
              <w:rPr>
                <w:rFonts w:ascii="Garamond" w:hAnsi="Garamond"/>
                <w:sz w:val="20"/>
                <w:szCs w:val="20"/>
              </w:rPr>
              <w:t>No LVO</w:t>
            </w:r>
          </w:p>
        </w:tc>
        <w:tc>
          <w:tcPr>
            <w:tcW w:w="1690" w:type="dxa"/>
            <w:shd w:val="clear" w:color="auto" w:fill="auto"/>
          </w:tcPr>
          <w:p w14:paraId="7E5A2B41" w14:textId="77777777" w:rsidR="002B58CA" w:rsidRPr="007963BD" w:rsidRDefault="002B58CA" w:rsidP="002B58CA">
            <w:pPr>
              <w:rPr>
                <w:rFonts w:ascii="Garamond" w:hAnsi="Garamond"/>
                <w:sz w:val="20"/>
                <w:szCs w:val="20"/>
              </w:rPr>
            </w:pPr>
            <w:r w:rsidRPr="007963BD">
              <w:rPr>
                <w:rFonts w:ascii="Garamond" w:hAnsi="Garamond"/>
                <w:sz w:val="20"/>
                <w:szCs w:val="20"/>
              </w:rPr>
              <w:t>No LVO</w:t>
            </w:r>
          </w:p>
        </w:tc>
        <w:tc>
          <w:tcPr>
            <w:tcW w:w="1631" w:type="dxa"/>
            <w:shd w:val="clear" w:color="auto" w:fill="auto"/>
          </w:tcPr>
          <w:p w14:paraId="643A4B5B" w14:textId="77777777" w:rsidR="002B58CA" w:rsidRPr="007963BD" w:rsidRDefault="002B58CA" w:rsidP="002B58CA">
            <w:pPr>
              <w:rPr>
                <w:rFonts w:ascii="Garamond" w:hAnsi="Garamond"/>
                <w:sz w:val="20"/>
                <w:szCs w:val="20"/>
              </w:rPr>
            </w:pPr>
            <w:r w:rsidRPr="007963BD">
              <w:rPr>
                <w:rFonts w:ascii="Garamond" w:hAnsi="Garamond"/>
                <w:sz w:val="20"/>
                <w:szCs w:val="20"/>
              </w:rPr>
              <w:t>No LVO</w:t>
            </w:r>
          </w:p>
        </w:tc>
        <w:tc>
          <w:tcPr>
            <w:tcW w:w="1632" w:type="dxa"/>
            <w:shd w:val="clear" w:color="auto" w:fill="auto"/>
          </w:tcPr>
          <w:p w14:paraId="2B69DBAB" w14:textId="77777777" w:rsidR="002B58CA" w:rsidRPr="007963BD" w:rsidRDefault="002B58CA" w:rsidP="002B58CA">
            <w:pPr>
              <w:rPr>
                <w:rFonts w:ascii="Garamond" w:hAnsi="Garamond"/>
                <w:sz w:val="20"/>
                <w:szCs w:val="20"/>
              </w:rPr>
            </w:pPr>
            <w:r w:rsidRPr="007963BD">
              <w:rPr>
                <w:rFonts w:ascii="Garamond" w:hAnsi="Garamond"/>
                <w:sz w:val="20"/>
                <w:szCs w:val="20"/>
              </w:rPr>
              <w:t>No LVO</w:t>
            </w:r>
          </w:p>
        </w:tc>
      </w:tr>
      <w:tr w:rsidR="002B58CA" w:rsidRPr="007963BD" w14:paraId="67006D10" w14:textId="77777777" w:rsidTr="002B58CA">
        <w:tc>
          <w:tcPr>
            <w:tcW w:w="9900" w:type="dxa"/>
            <w:gridSpan w:val="6"/>
            <w:shd w:val="clear" w:color="auto" w:fill="auto"/>
          </w:tcPr>
          <w:p w14:paraId="4ECB441A" w14:textId="77777777" w:rsidR="002B58CA" w:rsidRPr="007963BD" w:rsidRDefault="002B58CA" w:rsidP="002B58CA">
            <w:pPr>
              <w:rPr>
                <w:rFonts w:ascii="Garamond" w:hAnsi="Garamond"/>
                <w:sz w:val="20"/>
                <w:szCs w:val="20"/>
              </w:rPr>
            </w:pPr>
            <w:r w:rsidRPr="007963BD">
              <w:rPr>
                <w:rFonts w:ascii="Garamond" w:hAnsi="Garamond"/>
                <w:sz w:val="20"/>
                <w:szCs w:val="20"/>
              </w:rPr>
              <w:t>Lab Findings</w:t>
            </w:r>
          </w:p>
        </w:tc>
      </w:tr>
      <w:tr w:rsidR="002B58CA" w:rsidRPr="007963BD" w14:paraId="6C2D5F34" w14:textId="77777777" w:rsidTr="002B58CA">
        <w:tc>
          <w:tcPr>
            <w:tcW w:w="1614" w:type="dxa"/>
            <w:shd w:val="clear" w:color="auto" w:fill="auto"/>
          </w:tcPr>
          <w:p w14:paraId="1664F3EE" w14:textId="77777777" w:rsidR="002B58CA" w:rsidRPr="007963BD" w:rsidRDefault="002B58CA" w:rsidP="002B58CA">
            <w:pPr>
              <w:rPr>
                <w:rFonts w:ascii="Garamond" w:hAnsi="Garamond"/>
                <w:sz w:val="20"/>
                <w:szCs w:val="20"/>
              </w:rPr>
            </w:pPr>
            <w:r w:rsidRPr="007963BD">
              <w:rPr>
                <w:rFonts w:ascii="Garamond" w:hAnsi="Garamond"/>
                <w:sz w:val="20"/>
                <w:szCs w:val="20"/>
              </w:rPr>
              <w:t>D-Dimer</w:t>
            </w:r>
          </w:p>
          <w:p w14:paraId="39EEA144" w14:textId="77777777" w:rsidR="002B58CA" w:rsidRPr="007963BD" w:rsidRDefault="002B58CA" w:rsidP="002B58CA">
            <w:pPr>
              <w:rPr>
                <w:rFonts w:ascii="Garamond" w:hAnsi="Garamond"/>
                <w:sz w:val="20"/>
                <w:szCs w:val="20"/>
              </w:rPr>
            </w:pPr>
            <w:r w:rsidRPr="007963BD">
              <w:rPr>
                <w:rFonts w:ascii="Garamond" w:hAnsi="Garamond"/>
                <w:sz w:val="20"/>
                <w:szCs w:val="20"/>
              </w:rPr>
              <w:t>NLR</w:t>
            </w:r>
          </w:p>
          <w:p w14:paraId="12AD8333" w14:textId="77777777" w:rsidR="002B58CA" w:rsidRPr="007963BD" w:rsidRDefault="002B58CA" w:rsidP="002B58CA">
            <w:pPr>
              <w:rPr>
                <w:rFonts w:ascii="Garamond" w:hAnsi="Garamond"/>
                <w:sz w:val="20"/>
                <w:szCs w:val="20"/>
              </w:rPr>
            </w:pPr>
            <w:r w:rsidRPr="007963BD">
              <w:rPr>
                <w:rFonts w:ascii="Garamond" w:hAnsi="Garamond"/>
                <w:sz w:val="20"/>
                <w:szCs w:val="20"/>
              </w:rPr>
              <w:t>Fibrinogen</w:t>
            </w:r>
          </w:p>
          <w:p w14:paraId="258EF8AC" w14:textId="77777777" w:rsidR="002B58CA" w:rsidRPr="007963BD" w:rsidRDefault="002B58CA" w:rsidP="002B58CA">
            <w:pPr>
              <w:rPr>
                <w:rFonts w:ascii="Garamond" w:hAnsi="Garamond"/>
                <w:sz w:val="20"/>
                <w:szCs w:val="20"/>
              </w:rPr>
            </w:pPr>
            <w:r w:rsidRPr="007963BD">
              <w:rPr>
                <w:rFonts w:ascii="Garamond" w:hAnsi="Garamond"/>
                <w:sz w:val="20"/>
                <w:szCs w:val="20"/>
              </w:rPr>
              <w:t>Ferritin</w:t>
            </w:r>
          </w:p>
          <w:p w14:paraId="78E69A59" w14:textId="77777777" w:rsidR="002B58CA" w:rsidRPr="007963BD" w:rsidRDefault="002B58CA" w:rsidP="002B58CA">
            <w:pPr>
              <w:rPr>
                <w:rFonts w:ascii="Garamond" w:hAnsi="Garamond"/>
                <w:sz w:val="20"/>
                <w:szCs w:val="20"/>
              </w:rPr>
            </w:pPr>
            <w:r w:rsidRPr="007963BD">
              <w:rPr>
                <w:rFonts w:ascii="Garamond" w:hAnsi="Garamond"/>
                <w:sz w:val="20"/>
                <w:szCs w:val="20"/>
              </w:rPr>
              <w:t>Creatinine</w:t>
            </w:r>
          </w:p>
        </w:tc>
        <w:tc>
          <w:tcPr>
            <w:tcW w:w="1643" w:type="dxa"/>
            <w:shd w:val="clear" w:color="auto" w:fill="auto"/>
          </w:tcPr>
          <w:p w14:paraId="41BC4D8E" w14:textId="77777777" w:rsidR="002B58CA" w:rsidRPr="007963BD" w:rsidRDefault="002B58CA" w:rsidP="002B58CA">
            <w:pPr>
              <w:rPr>
                <w:rFonts w:ascii="Garamond" w:hAnsi="Garamond"/>
                <w:sz w:val="20"/>
                <w:szCs w:val="20"/>
              </w:rPr>
            </w:pPr>
            <w:r w:rsidRPr="007963BD">
              <w:rPr>
                <w:rFonts w:ascii="Garamond" w:hAnsi="Garamond"/>
                <w:sz w:val="20"/>
                <w:szCs w:val="20"/>
              </w:rPr>
              <w:t>3620</w:t>
            </w:r>
          </w:p>
          <w:p w14:paraId="6FF818EC" w14:textId="77777777" w:rsidR="002B58CA" w:rsidRPr="007963BD" w:rsidRDefault="002B58CA" w:rsidP="002B58CA">
            <w:pPr>
              <w:rPr>
                <w:rFonts w:ascii="Garamond" w:hAnsi="Garamond"/>
                <w:sz w:val="20"/>
                <w:szCs w:val="20"/>
              </w:rPr>
            </w:pPr>
            <w:r w:rsidRPr="007963BD">
              <w:rPr>
                <w:rFonts w:ascii="Garamond" w:hAnsi="Garamond"/>
                <w:sz w:val="20"/>
                <w:szCs w:val="20"/>
              </w:rPr>
              <w:t>10.6</w:t>
            </w:r>
          </w:p>
          <w:p w14:paraId="1BE11BDC" w14:textId="77777777" w:rsidR="002B58CA" w:rsidRPr="007963BD" w:rsidRDefault="002B58CA" w:rsidP="002B58CA">
            <w:pPr>
              <w:rPr>
                <w:rFonts w:ascii="Garamond" w:hAnsi="Garamond"/>
                <w:sz w:val="20"/>
                <w:szCs w:val="20"/>
              </w:rPr>
            </w:pPr>
            <w:r>
              <w:rPr>
                <w:rFonts w:ascii="Garamond" w:hAnsi="Garamond"/>
                <w:sz w:val="20"/>
                <w:szCs w:val="20"/>
              </w:rPr>
              <w:t>N/A</w:t>
            </w:r>
          </w:p>
          <w:p w14:paraId="25F67FCB" w14:textId="77777777" w:rsidR="002B58CA" w:rsidRPr="007963BD" w:rsidRDefault="002B58CA" w:rsidP="002B58CA">
            <w:pPr>
              <w:rPr>
                <w:rFonts w:ascii="Garamond" w:hAnsi="Garamond"/>
                <w:sz w:val="20"/>
                <w:szCs w:val="20"/>
              </w:rPr>
            </w:pPr>
            <w:r w:rsidRPr="007963BD">
              <w:rPr>
                <w:rFonts w:ascii="Garamond" w:hAnsi="Garamond"/>
                <w:sz w:val="20"/>
                <w:szCs w:val="20"/>
              </w:rPr>
              <w:t>650</w:t>
            </w:r>
          </w:p>
          <w:p w14:paraId="7C916369" w14:textId="77777777" w:rsidR="002B58CA" w:rsidRPr="007963BD" w:rsidRDefault="002B58CA" w:rsidP="002B58CA">
            <w:pPr>
              <w:rPr>
                <w:rFonts w:ascii="Garamond" w:hAnsi="Garamond"/>
                <w:sz w:val="20"/>
                <w:szCs w:val="20"/>
              </w:rPr>
            </w:pPr>
            <w:r w:rsidRPr="007963BD">
              <w:rPr>
                <w:rFonts w:ascii="Garamond" w:hAnsi="Garamond"/>
                <w:sz w:val="20"/>
                <w:szCs w:val="20"/>
              </w:rPr>
              <w:t>6.08</w:t>
            </w:r>
          </w:p>
        </w:tc>
        <w:tc>
          <w:tcPr>
            <w:tcW w:w="1690" w:type="dxa"/>
          </w:tcPr>
          <w:p w14:paraId="709FBD16" w14:textId="77777777" w:rsidR="002B58CA" w:rsidRDefault="002B58CA" w:rsidP="002B58CA">
            <w:pPr>
              <w:rPr>
                <w:rFonts w:ascii="Garamond" w:hAnsi="Garamond"/>
                <w:sz w:val="20"/>
                <w:szCs w:val="20"/>
              </w:rPr>
            </w:pPr>
            <w:r>
              <w:rPr>
                <w:rFonts w:ascii="Garamond" w:hAnsi="Garamond"/>
                <w:sz w:val="20"/>
                <w:szCs w:val="20"/>
              </w:rPr>
              <w:t>N/A</w:t>
            </w:r>
          </w:p>
          <w:p w14:paraId="3B25DE44" w14:textId="77777777" w:rsidR="002B58CA" w:rsidRDefault="002B58CA" w:rsidP="002B58CA">
            <w:pPr>
              <w:rPr>
                <w:rFonts w:ascii="Garamond" w:hAnsi="Garamond"/>
                <w:sz w:val="20"/>
                <w:szCs w:val="20"/>
              </w:rPr>
            </w:pPr>
            <w:r>
              <w:rPr>
                <w:rFonts w:ascii="Garamond" w:hAnsi="Garamond"/>
                <w:sz w:val="20"/>
                <w:szCs w:val="20"/>
              </w:rPr>
              <w:t>6</w:t>
            </w:r>
          </w:p>
          <w:p w14:paraId="36CCB87C" w14:textId="77777777" w:rsidR="002B58CA" w:rsidRDefault="002B58CA" w:rsidP="002B58CA">
            <w:pPr>
              <w:rPr>
                <w:rFonts w:ascii="Garamond" w:hAnsi="Garamond"/>
                <w:sz w:val="20"/>
                <w:szCs w:val="20"/>
              </w:rPr>
            </w:pPr>
            <w:r>
              <w:rPr>
                <w:rFonts w:ascii="Garamond" w:hAnsi="Garamond"/>
                <w:sz w:val="20"/>
                <w:szCs w:val="20"/>
              </w:rPr>
              <w:t>N/A</w:t>
            </w:r>
          </w:p>
          <w:p w14:paraId="66CE4875" w14:textId="77777777" w:rsidR="002B58CA" w:rsidRDefault="002B58CA" w:rsidP="002B58CA">
            <w:pPr>
              <w:rPr>
                <w:rFonts w:ascii="Garamond" w:hAnsi="Garamond"/>
                <w:sz w:val="20"/>
                <w:szCs w:val="20"/>
              </w:rPr>
            </w:pPr>
            <w:r>
              <w:rPr>
                <w:rFonts w:ascii="Garamond" w:hAnsi="Garamond"/>
                <w:sz w:val="20"/>
                <w:szCs w:val="20"/>
              </w:rPr>
              <w:t>N/A</w:t>
            </w:r>
          </w:p>
          <w:p w14:paraId="12BEA16D" w14:textId="77777777" w:rsidR="002B58CA" w:rsidRDefault="002B58CA" w:rsidP="002B58CA">
            <w:pPr>
              <w:rPr>
                <w:rFonts w:ascii="Garamond" w:hAnsi="Garamond"/>
                <w:sz w:val="20"/>
                <w:szCs w:val="20"/>
              </w:rPr>
            </w:pPr>
            <w:r>
              <w:rPr>
                <w:rFonts w:ascii="Garamond" w:hAnsi="Garamond"/>
                <w:sz w:val="20"/>
                <w:szCs w:val="20"/>
              </w:rPr>
              <w:t>0.7</w:t>
            </w:r>
          </w:p>
        </w:tc>
        <w:tc>
          <w:tcPr>
            <w:tcW w:w="1690" w:type="dxa"/>
            <w:shd w:val="clear" w:color="auto" w:fill="auto"/>
          </w:tcPr>
          <w:p w14:paraId="36437BCF" w14:textId="77777777" w:rsidR="002B58CA" w:rsidRDefault="002B58CA" w:rsidP="002B58CA">
            <w:pPr>
              <w:rPr>
                <w:rFonts w:ascii="Garamond" w:hAnsi="Garamond"/>
                <w:sz w:val="20"/>
                <w:szCs w:val="20"/>
              </w:rPr>
            </w:pPr>
            <w:r>
              <w:rPr>
                <w:rFonts w:ascii="Garamond" w:hAnsi="Garamond"/>
                <w:sz w:val="20"/>
                <w:szCs w:val="20"/>
              </w:rPr>
              <w:t>N/A</w:t>
            </w:r>
          </w:p>
          <w:p w14:paraId="55F18A4A" w14:textId="77777777" w:rsidR="002B58CA" w:rsidRPr="007963BD" w:rsidRDefault="002B58CA" w:rsidP="002B58CA">
            <w:pPr>
              <w:rPr>
                <w:rFonts w:ascii="Garamond" w:hAnsi="Garamond"/>
                <w:sz w:val="20"/>
                <w:szCs w:val="20"/>
              </w:rPr>
            </w:pPr>
            <w:r w:rsidRPr="007963BD">
              <w:rPr>
                <w:rFonts w:ascii="Garamond" w:hAnsi="Garamond"/>
                <w:sz w:val="20"/>
                <w:szCs w:val="20"/>
              </w:rPr>
              <w:t>5.1</w:t>
            </w:r>
          </w:p>
          <w:p w14:paraId="2E532DC6" w14:textId="77777777" w:rsidR="002B58CA" w:rsidRPr="007963BD" w:rsidRDefault="002B58CA" w:rsidP="002B58CA">
            <w:pPr>
              <w:rPr>
                <w:rFonts w:ascii="Garamond" w:hAnsi="Garamond"/>
                <w:sz w:val="20"/>
                <w:szCs w:val="20"/>
              </w:rPr>
            </w:pPr>
            <w:r>
              <w:rPr>
                <w:rFonts w:ascii="Garamond" w:hAnsi="Garamond"/>
                <w:sz w:val="20"/>
                <w:szCs w:val="20"/>
              </w:rPr>
              <w:t>N/A</w:t>
            </w:r>
          </w:p>
          <w:p w14:paraId="480FC631" w14:textId="77777777" w:rsidR="002B58CA" w:rsidRPr="007963BD" w:rsidRDefault="002B58CA" w:rsidP="002B58CA">
            <w:pPr>
              <w:rPr>
                <w:rFonts w:ascii="Garamond" w:hAnsi="Garamond"/>
                <w:sz w:val="20"/>
                <w:szCs w:val="20"/>
              </w:rPr>
            </w:pPr>
            <w:r>
              <w:rPr>
                <w:rFonts w:ascii="Garamond" w:hAnsi="Garamond"/>
                <w:sz w:val="20"/>
                <w:szCs w:val="20"/>
              </w:rPr>
              <w:t>N/A</w:t>
            </w:r>
          </w:p>
          <w:p w14:paraId="203327A9" w14:textId="77777777" w:rsidR="002B58CA" w:rsidRPr="007963BD" w:rsidRDefault="002B58CA" w:rsidP="002B58CA">
            <w:pPr>
              <w:rPr>
                <w:rFonts w:ascii="Garamond" w:hAnsi="Garamond"/>
                <w:sz w:val="20"/>
                <w:szCs w:val="20"/>
              </w:rPr>
            </w:pPr>
            <w:r w:rsidRPr="007963BD">
              <w:rPr>
                <w:rFonts w:ascii="Garamond" w:hAnsi="Garamond"/>
                <w:sz w:val="20"/>
                <w:szCs w:val="20"/>
              </w:rPr>
              <w:t>0.63</w:t>
            </w:r>
          </w:p>
        </w:tc>
        <w:tc>
          <w:tcPr>
            <w:tcW w:w="1631" w:type="dxa"/>
            <w:shd w:val="clear" w:color="auto" w:fill="auto"/>
          </w:tcPr>
          <w:p w14:paraId="65853A69" w14:textId="77777777" w:rsidR="002B58CA" w:rsidRDefault="002B58CA" w:rsidP="002B58CA">
            <w:pPr>
              <w:rPr>
                <w:rFonts w:ascii="Garamond" w:hAnsi="Garamond"/>
                <w:sz w:val="20"/>
                <w:szCs w:val="20"/>
              </w:rPr>
            </w:pPr>
            <w:r>
              <w:rPr>
                <w:rFonts w:ascii="Garamond" w:hAnsi="Garamond"/>
                <w:sz w:val="20"/>
                <w:szCs w:val="20"/>
              </w:rPr>
              <w:t>N/A</w:t>
            </w:r>
          </w:p>
          <w:p w14:paraId="431EBAF1" w14:textId="77777777" w:rsidR="002B58CA" w:rsidRPr="007963BD" w:rsidRDefault="002B58CA" w:rsidP="002B58CA">
            <w:pPr>
              <w:rPr>
                <w:rFonts w:ascii="Garamond" w:hAnsi="Garamond"/>
                <w:sz w:val="20"/>
                <w:szCs w:val="20"/>
              </w:rPr>
            </w:pPr>
            <w:r w:rsidRPr="007963BD">
              <w:rPr>
                <w:rFonts w:ascii="Garamond" w:hAnsi="Garamond"/>
                <w:sz w:val="20"/>
                <w:szCs w:val="20"/>
              </w:rPr>
              <w:t>5.6</w:t>
            </w:r>
          </w:p>
          <w:p w14:paraId="0CF67F81" w14:textId="77777777" w:rsidR="002B58CA" w:rsidRPr="007963BD" w:rsidRDefault="002B58CA" w:rsidP="002B58CA">
            <w:pPr>
              <w:rPr>
                <w:rFonts w:ascii="Garamond" w:hAnsi="Garamond"/>
                <w:sz w:val="20"/>
                <w:szCs w:val="20"/>
              </w:rPr>
            </w:pPr>
            <w:r>
              <w:rPr>
                <w:rFonts w:ascii="Garamond" w:hAnsi="Garamond"/>
                <w:sz w:val="20"/>
                <w:szCs w:val="20"/>
              </w:rPr>
              <w:t>N/A</w:t>
            </w:r>
          </w:p>
          <w:p w14:paraId="67862412" w14:textId="77777777" w:rsidR="002B58CA" w:rsidRPr="007963BD" w:rsidRDefault="002B58CA" w:rsidP="002B58CA">
            <w:pPr>
              <w:rPr>
                <w:rFonts w:ascii="Garamond" w:hAnsi="Garamond"/>
                <w:sz w:val="20"/>
                <w:szCs w:val="20"/>
              </w:rPr>
            </w:pPr>
            <w:r w:rsidRPr="007963BD">
              <w:rPr>
                <w:rFonts w:ascii="Garamond" w:hAnsi="Garamond"/>
                <w:sz w:val="20"/>
                <w:szCs w:val="20"/>
              </w:rPr>
              <w:t>165</w:t>
            </w:r>
          </w:p>
          <w:p w14:paraId="2022A6D3" w14:textId="77777777" w:rsidR="002B58CA" w:rsidRPr="007963BD" w:rsidRDefault="002B58CA" w:rsidP="002B58CA">
            <w:pPr>
              <w:rPr>
                <w:rFonts w:ascii="Garamond" w:hAnsi="Garamond"/>
                <w:sz w:val="20"/>
                <w:szCs w:val="20"/>
              </w:rPr>
            </w:pPr>
            <w:r w:rsidRPr="007963BD">
              <w:rPr>
                <w:rFonts w:ascii="Garamond" w:hAnsi="Garamond"/>
                <w:sz w:val="20"/>
                <w:szCs w:val="20"/>
              </w:rPr>
              <w:t>1.78</w:t>
            </w:r>
          </w:p>
        </w:tc>
        <w:tc>
          <w:tcPr>
            <w:tcW w:w="1632" w:type="dxa"/>
            <w:shd w:val="clear" w:color="auto" w:fill="auto"/>
          </w:tcPr>
          <w:p w14:paraId="6C66AFC9" w14:textId="77777777" w:rsidR="002B58CA" w:rsidRPr="007963BD" w:rsidRDefault="002B58CA" w:rsidP="002B58CA">
            <w:pPr>
              <w:rPr>
                <w:rFonts w:ascii="Garamond" w:hAnsi="Garamond"/>
                <w:sz w:val="20"/>
                <w:szCs w:val="20"/>
              </w:rPr>
            </w:pPr>
            <w:r w:rsidRPr="007963BD">
              <w:rPr>
                <w:rFonts w:ascii="Garamond" w:hAnsi="Garamond"/>
                <w:sz w:val="20"/>
                <w:szCs w:val="20"/>
              </w:rPr>
              <w:t>782</w:t>
            </w:r>
          </w:p>
          <w:p w14:paraId="3A72A8A2" w14:textId="77777777" w:rsidR="002B58CA" w:rsidRPr="007963BD" w:rsidRDefault="002B58CA" w:rsidP="002B58CA">
            <w:pPr>
              <w:rPr>
                <w:rFonts w:ascii="Garamond" w:hAnsi="Garamond"/>
                <w:sz w:val="20"/>
                <w:szCs w:val="20"/>
              </w:rPr>
            </w:pPr>
            <w:r w:rsidRPr="007963BD">
              <w:rPr>
                <w:rFonts w:ascii="Garamond" w:hAnsi="Garamond"/>
                <w:sz w:val="20"/>
                <w:szCs w:val="20"/>
              </w:rPr>
              <w:t>5.1</w:t>
            </w:r>
          </w:p>
          <w:p w14:paraId="5BBC1702" w14:textId="77777777" w:rsidR="002B58CA" w:rsidRPr="007963BD" w:rsidRDefault="002B58CA" w:rsidP="002B58CA">
            <w:pPr>
              <w:rPr>
                <w:rFonts w:ascii="Garamond" w:hAnsi="Garamond"/>
                <w:sz w:val="20"/>
                <w:szCs w:val="20"/>
              </w:rPr>
            </w:pPr>
            <w:r>
              <w:rPr>
                <w:rFonts w:ascii="Garamond" w:hAnsi="Garamond"/>
                <w:sz w:val="20"/>
                <w:szCs w:val="20"/>
              </w:rPr>
              <w:t>N/A</w:t>
            </w:r>
          </w:p>
          <w:p w14:paraId="59CB7E7E" w14:textId="77777777" w:rsidR="002B58CA" w:rsidRPr="007963BD" w:rsidRDefault="002B58CA" w:rsidP="002B58CA">
            <w:pPr>
              <w:rPr>
                <w:rFonts w:ascii="Garamond" w:hAnsi="Garamond"/>
                <w:sz w:val="20"/>
                <w:szCs w:val="20"/>
              </w:rPr>
            </w:pPr>
            <w:r w:rsidRPr="007963BD">
              <w:rPr>
                <w:rFonts w:ascii="Garamond" w:hAnsi="Garamond"/>
                <w:sz w:val="20"/>
                <w:szCs w:val="20"/>
              </w:rPr>
              <w:t>692</w:t>
            </w:r>
          </w:p>
          <w:p w14:paraId="6EC08EA6" w14:textId="77777777" w:rsidR="002B58CA" w:rsidRPr="007963BD" w:rsidRDefault="002B58CA" w:rsidP="002B58CA">
            <w:pPr>
              <w:rPr>
                <w:rFonts w:ascii="Garamond" w:hAnsi="Garamond"/>
                <w:sz w:val="20"/>
                <w:szCs w:val="20"/>
              </w:rPr>
            </w:pPr>
            <w:r w:rsidRPr="007963BD">
              <w:rPr>
                <w:rFonts w:ascii="Garamond" w:hAnsi="Garamond"/>
                <w:sz w:val="20"/>
                <w:szCs w:val="20"/>
              </w:rPr>
              <w:t>0.67</w:t>
            </w:r>
          </w:p>
        </w:tc>
      </w:tr>
      <w:tr w:rsidR="002B58CA" w:rsidRPr="007963BD" w14:paraId="159DB3D1" w14:textId="77777777" w:rsidTr="002B58CA">
        <w:tc>
          <w:tcPr>
            <w:tcW w:w="1614" w:type="dxa"/>
            <w:shd w:val="clear" w:color="auto" w:fill="auto"/>
          </w:tcPr>
          <w:p w14:paraId="23AA331F" w14:textId="77777777" w:rsidR="002B58CA" w:rsidRPr="007963BD" w:rsidRDefault="002B58CA" w:rsidP="002B58CA">
            <w:pPr>
              <w:rPr>
                <w:rFonts w:ascii="Garamond" w:hAnsi="Garamond"/>
                <w:sz w:val="20"/>
                <w:szCs w:val="20"/>
              </w:rPr>
            </w:pPr>
            <w:r w:rsidRPr="007963BD">
              <w:rPr>
                <w:rFonts w:ascii="Garamond" w:hAnsi="Garamond"/>
                <w:sz w:val="20"/>
                <w:szCs w:val="20"/>
              </w:rPr>
              <w:t>Acute Stroke treatment received</w:t>
            </w:r>
          </w:p>
        </w:tc>
        <w:tc>
          <w:tcPr>
            <w:tcW w:w="1643" w:type="dxa"/>
            <w:shd w:val="clear" w:color="auto" w:fill="auto"/>
          </w:tcPr>
          <w:p w14:paraId="5377EF06" w14:textId="77777777" w:rsidR="002B58CA" w:rsidRPr="007963BD" w:rsidRDefault="002B58CA" w:rsidP="002B58CA">
            <w:pPr>
              <w:rPr>
                <w:rFonts w:ascii="Garamond" w:hAnsi="Garamond"/>
                <w:sz w:val="20"/>
                <w:szCs w:val="20"/>
              </w:rPr>
            </w:pPr>
            <w:r w:rsidRPr="007963BD">
              <w:rPr>
                <w:rFonts w:ascii="Garamond" w:hAnsi="Garamond"/>
                <w:sz w:val="20"/>
                <w:szCs w:val="20"/>
              </w:rPr>
              <w:t>No tPA</w:t>
            </w:r>
          </w:p>
          <w:p w14:paraId="3B198CF3" w14:textId="77777777" w:rsidR="002B58CA" w:rsidRPr="007963BD" w:rsidRDefault="002B58CA" w:rsidP="002B58CA">
            <w:pPr>
              <w:rPr>
                <w:rFonts w:ascii="Garamond" w:hAnsi="Garamond"/>
                <w:sz w:val="20"/>
                <w:szCs w:val="20"/>
              </w:rPr>
            </w:pPr>
            <w:r w:rsidRPr="007963BD">
              <w:rPr>
                <w:rFonts w:ascii="Garamond" w:hAnsi="Garamond"/>
                <w:sz w:val="20"/>
                <w:szCs w:val="20"/>
              </w:rPr>
              <w:t>No thrombectomy</w:t>
            </w:r>
          </w:p>
        </w:tc>
        <w:tc>
          <w:tcPr>
            <w:tcW w:w="1690" w:type="dxa"/>
          </w:tcPr>
          <w:p w14:paraId="5E4122F6"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No tPA </w:t>
            </w:r>
          </w:p>
          <w:p w14:paraId="03E72BA9" w14:textId="77777777" w:rsidR="002B58CA" w:rsidRPr="007963BD" w:rsidRDefault="002B58CA" w:rsidP="002B58CA">
            <w:pPr>
              <w:rPr>
                <w:rFonts w:ascii="Garamond" w:hAnsi="Garamond"/>
                <w:sz w:val="20"/>
                <w:szCs w:val="20"/>
              </w:rPr>
            </w:pPr>
            <w:r w:rsidRPr="007963BD">
              <w:rPr>
                <w:rFonts w:ascii="Garamond" w:hAnsi="Garamond"/>
                <w:sz w:val="20"/>
                <w:szCs w:val="20"/>
              </w:rPr>
              <w:t>No thrombectomy</w:t>
            </w:r>
          </w:p>
        </w:tc>
        <w:tc>
          <w:tcPr>
            <w:tcW w:w="1690" w:type="dxa"/>
            <w:shd w:val="clear" w:color="auto" w:fill="auto"/>
          </w:tcPr>
          <w:p w14:paraId="5682A246"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No tPA  </w:t>
            </w:r>
          </w:p>
          <w:p w14:paraId="6C9833E4" w14:textId="77777777" w:rsidR="002B58CA" w:rsidRPr="007963BD" w:rsidRDefault="002B58CA" w:rsidP="002B58CA">
            <w:pPr>
              <w:rPr>
                <w:rFonts w:ascii="Garamond" w:hAnsi="Garamond"/>
                <w:sz w:val="20"/>
                <w:szCs w:val="20"/>
              </w:rPr>
            </w:pPr>
            <w:r w:rsidRPr="007963BD">
              <w:rPr>
                <w:rFonts w:ascii="Garamond" w:hAnsi="Garamond"/>
                <w:sz w:val="20"/>
                <w:szCs w:val="20"/>
              </w:rPr>
              <w:t>No thrombectomy</w:t>
            </w:r>
          </w:p>
        </w:tc>
        <w:tc>
          <w:tcPr>
            <w:tcW w:w="1631" w:type="dxa"/>
            <w:shd w:val="clear" w:color="auto" w:fill="auto"/>
          </w:tcPr>
          <w:p w14:paraId="260B9137"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No tPA </w:t>
            </w:r>
          </w:p>
          <w:p w14:paraId="24CEA74D" w14:textId="77777777" w:rsidR="002B58CA" w:rsidRPr="007963BD" w:rsidRDefault="002B58CA" w:rsidP="002B58CA">
            <w:pPr>
              <w:rPr>
                <w:rFonts w:ascii="Garamond" w:hAnsi="Garamond"/>
                <w:sz w:val="20"/>
                <w:szCs w:val="20"/>
              </w:rPr>
            </w:pPr>
            <w:r w:rsidRPr="007963BD">
              <w:rPr>
                <w:rFonts w:ascii="Garamond" w:hAnsi="Garamond"/>
                <w:sz w:val="20"/>
                <w:szCs w:val="20"/>
              </w:rPr>
              <w:t>No thrombectomy</w:t>
            </w:r>
          </w:p>
        </w:tc>
        <w:tc>
          <w:tcPr>
            <w:tcW w:w="1632" w:type="dxa"/>
            <w:shd w:val="clear" w:color="auto" w:fill="auto"/>
          </w:tcPr>
          <w:p w14:paraId="26F4F0EB"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No tPA </w:t>
            </w:r>
          </w:p>
          <w:p w14:paraId="1DCB26D6" w14:textId="77777777" w:rsidR="002B58CA" w:rsidRPr="007963BD" w:rsidRDefault="002B58CA" w:rsidP="002B58CA">
            <w:pPr>
              <w:rPr>
                <w:rFonts w:ascii="Garamond" w:hAnsi="Garamond"/>
                <w:sz w:val="20"/>
                <w:szCs w:val="20"/>
              </w:rPr>
            </w:pPr>
            <w:r w:rsidRPr="007963BD">
              <w:rPr>
                <w:rFonts w:ascii="Garamond" w:hAnsi="Garamond"/>
                <w:sz w:val="20"/>
                <w:szCs w:val="20"/>
              </w:rPr>
              <w:t>No thrombectomy</w:t>
            </w:r>
          </w:p>
        </w:tc>
      </w:tr>
      <w:tr w:rsidR="002B58CA" w:rsidRPr="007963BD" w14:paraId="518118A4" w14:textId="77777777" w:rsidTr="002B58CA">
        <w:tc>
          <w:tcPr>
            <w:tcW w:w="1614" w:type="dxa"/>
            <w:shd w:val="clear" w:color="auto" w:fill="auto"/>
          </w:tcPr>
          <w:p w14:paraId="5E0804C2" w14:textId="77777777" w:rsidR="002B58CA" w:rsidRPr="007963BD" w:rsidRDefault="002B58CA" w:rsidP="002B58CA">
            <w:pPr>
              <w:rPr>
                <w:rFonts w:ascii="Garamond" w:hAnsi="Garamond"/>
                <w:sz w:val="20"/>
                <w:szCs w:val="20"/>
              </w:rPr>
            </w:pPr>
            <w:r w:rsidRPr="007963BD">
              <w:rPr>
                <w:rFonts w:ascii="Garamond" w:hAnsi="Garamond"/>
                <w:sz w:val="20"/>
                <w:szCs w:val="20"/>
              </w:rPr>
              <w:t>Days since viral disease onset</w:t>
            </w:r>
          </w:p>
        </w:tc>
        <w:tc>
          <w:tcPr>
            <w:tcW w:w="1643" w:type="dxa"/>
            <w:shd w:val="clear" w:color="auto" w:fill="auto"/>
          </w:tcPr>
          <w:p w14:paraId="74AB6A47" w14:textId="77777777" w:rsidR="002B58CA" w:rsidRPr="007963BD" w:rsidRDefault="002B58CA" w:rsidP="002B58CA">
            <w:pPr>
              <w:rPr>
                <w:rFonts w:ascii="Garamond" w:hAnsi="Garamond"/>
                <w:sz w:val="20"/>
                <w:szCs w:val="20"/>
              </w:rPr>
            </w:pPr>
            <w:r w:rsidRPr="007963BD">
              <w:rPr>
                <w:rFonts w:ascii="Garamond" w:hAnsi="Garamond"/>
                <w:sz w:val="20"/>
                <w:szCs w:val="20"/>
              </w:rPr>
              <w:t>5</w:t>
            </w:r>
            <w:r>
              <w:rPr>
                <w:rFonts w:ascii="Garamond" w:hAnsi="Garamond"/>
                <w:sz w:val="20"/>
                <w:szCs w:val="20"/>
              </w:rPr>
              <w:t xml:space="preserve">  </w:t>
            </w:r>
            <w:r w:rsidRPr="007963BD">
              <w:rPr>
                <w:rFonts w:ascii="Garamond" w:hAnsi="Garamond"/>
                <w:sz w:val="20"/>
                <w:szCs w:val="20"/>
              </w:rPr>
              <w:t>days</w:t>
            </w:r>
          </w:p>
        </w:tc>
        <w:tc>
          <w:tcPr>
            <w:tcW w:w="1690" w:type="dxa"/>
          </w:tcPr>
          <w:p w14:paraId="6F1923E5" w14:textId="77777777" w:rsidR="002B58CA" w:rsidRPr="007963BD" w:rsidRDefault="002B58CA" w:rsidP="002B58CA">
            <w:pPr>
              <w:rPr>
                <w:rFonts w:ascii="Garamond" w:hAnsi="Garamond"/>
                <w:sz w:val="20"/>
                <w:szCs w:val="20"/>
              </w:rPr>
            </w:pPr>
            <w:r>
              <w:rPr>
                <w:rFonts w:ascii="Garamond" w:hAnsi="Garamond"/>
                <w:sz w:val="20"/>
                <w:szCs w:val="20"/>
              </w:rPr>
              <w:t>9 days</w:t>
            </w:r>
          </w:p>
        </w:tc>
        <w:tc>
          <w:tcPr>
            <w:tcW w:w="1690" w:type="dxa"/>
            <w:shd w:val="clear" w:color="auto" w:fill="auto"/>
          </w:tcPr>
          <w:p w14:paraId="3282FD01" w14:textId="77777777" w:rsidR="002B58CA" w:rsidRPr="007963BD" w:rsidRDefault="002B58CA" w:rsidP="002B58CA">
            <w:pPr>
              <w:rPr>
                <w:rFonts w:ascii="Garamond" w:hAnsi="Garamond"/>
                <w:sz w:val="20"/>
                <w:szCs w:val="20"/>
              </w:rPr>
            </w:pPr>
            <w:r w:rsidRPr="007963BD">
              <w:rPr>
                <w:rFonts w:ascii="Garamond" w:hAnsi="Garamond"/>
                <w:sz w:val="20"/>
                <w:szCs w:val="20"/>
              </w:rPr>
              <w:t>First presentation</w:t>
            </w:r>
          </w:p>
        </w:tc>
        <w:tc>
          <w:tcPr>
            <w:tcW w:w="1631" w:type="dxa"/>
            <w:shd w:val="clear" w:color="auto" w:fill="auto"/>
          </w:tcPr>
          <w:p w14:paraId="6630F018" w14:textId="77777777" w:rsidR="002B58CA" w:rsidRPr="007963BD" w:rsidRDefault="002B58CA" w:rsidP="002B58CA">
            <w:pPr>
              <w:rPr>
                <w:rFonts w:ascii="Garamond" w:hAnsi="Garamond"/>
                <w:sz w:val="20"/>
                <w:szCs w:val="20"/>
              </w:rPr>
            </w:pPr>
            <w:r w:rsidRPr="007963BD">
              <w:rPr>
                <w:rFonts w:ascii="Garamond" w:hAnsi="Garamond"/>
                <w:sz w:val="20"/>
                <w:szCs w:val="20"/>
              </w:rPr>
              <w:t>5 days</w:t>
            </w:r>
          </w:p>
        </w:tc>
        <w:tc>
          <w:tcPr>
            <w:tcW w:w="1632" w:type="dxa"/>
            <w:shd w:val="clear" w:color="auto" w:fill="auto"/>
          </w:tcPr>
          <w:p w14:paraId="7E77B5A9" w14:textId="77777777" w:rsidR="002B58CA" w:rsidRPr="007963BD" w:rsidRDefault="002B58CA" w:rsidP="002B58CA">
            <w:pPr>
              <w:rPr>
                <w:rFonts w:ascii="Garamond" w:hAnsi="Garamond"/>
                <w:sz w:val="20"/>
                <w:szCs w:val="20"/>
              </w:rPr>
            </w:pPr>
            <w:r w:rsidRPr="007963BD">
              <w:rPr>
                <w:rFonts w:ascii="Garamond" w:hAnsi="Garamond"/>
                <w:sz w:val="20"/>
                <w:szCs w:val="20"/>
              </w:rPr>
              <w:t>10 days</w:t>
            </w:r>
          </w:p>
        </w:tc>
      </w:tr>
      <w:tr w:rsidR="002B58CA" w:rsidRPr="007963BD" w14:paraId="7CC54EF5" w14:textId="77777777" w:rsidTr="002B58CA">
        <w:tc>
          <w:tcPr>
            <w:tcW w:w="1614" w:type="dxa"/>
            <w:shd w:val="clear" w:color="auto" w:fill="auto"/>
          </w:tcPr>
          <w:p w14:paraId="609B3C58" w14:textId="77777777" w:rsidR="002B58CA" w:rsidRPr="007963BD" w:rsidRDefault="002B58CA" w:rsidP="002B58CA">
            <w:pPr>
              <w:rPr>
                <w:rFonts w:ascii="Garamond" w:hAnsi="Garamond"/>
                <w:sz w:val="20"/>
                <w:szCs w:val="20"/>
              </w:rPr>
            </w:pPr>
            <w:r>
              <w:rPr>
                <w:rFonts w:ascii="Garamond" w:hAnsi="Garamond"/>
                <w:sz w:val="20"/>
                <w:szCs w:val="20"/>
              </w:rPr>
              <w:t>Pulmonary d</w:t>
            </w:r>
            <w:r w:rsidRPr="007963BD">
              <w:rPr>
                <w:rFonts w:ascii="Garamond" w:hAnsi="Garamond"/>
                <w:sz w:val="20"/>
                <w:szCs w:val="20"/>
              </w:rPr>
              <w:t>isease Severity</w:t>
            </w:r>
          </w:p>
        </w:tc>
        <w:tc>
          <w:tcPr>
            <w:tcW w:w="1643" w:type="dxa"/>
            <w:shd w:val="clear" w:color="auto" w:fill="auto"/>
          </w:tcPr>
          <w:p w14:paraId="3E66E3F8" w14:textId="77777777" w:rsidR="002B58CA" w:rsidRPr="007963BD" w:rsidRDefault="002B58CA" w:rsidP="002B58CA">
            <w:pPr>
              <w:rPr>
                <w:rFonts w:ascii="Garamond" w:hAnsi="Garamond"/>
                <w:sz w:val="20"/>
                <w:szCs w:val="20"/>
              </w:rPr>
            </w:pPr>
            <w:r w:rsidRPr="007963BD">
              <w:rPr>
                <w:rFonts w:ascii="Garamond" w:hAnsi="Garamond"/>
                <w:sz w:val="20"/>
                <w:szCs w:val="20"/>
              </w:rPr>
              <w:t>Severe</w:t>
            </w:r>
          </w:p>
        </w:tc>
        <w:tc>
          <w:tcPr>
            <w:tcW w:w="1690" w:type="dxa"/>
          </w:tcPr>
          <w:p w14:paraId="0C447F6F" w14:textId="77777777" w:rsidR="002B58CA" w:rsidRPr="007963BD" w:rsidRDefault="002B58CA" w:rsidP="002B58CA">
            <w:pPr>
              <w:rPr>
                <w:rFonts w:ascii="Garamond" w:hAnsi="Garamond"/>
                <w:sz w:val="20"/>
                <w:szCs w:val="20"/>
              </w:rPr>
            </w:pPr>
            <w:r>
              <w:rPr>
                <w:rFonts w:ascii="Garamond" w:hAnsi="Garamond"/>
                <w:sz w:val="20"/>
                <w:szCs w:val="20"/>
              </w:rPr>
              <w:t>Mild to moderate</w:t>
            </w:r>
          </w:p>
        </w:tc>
        <w:tc>
          <w:tcPr>
            <w:tcW w:w="1690" w:type="dxa"/>
            <w:shd w:val="clear" w:color="auto" w:fill="auto"/>
          </w:tcPr>
          <w:p w14:paraId="3AD96CBD" w14:textId="77777777" w:rsidR="002B58CA" w:rsidRPr="007963BD" w:rsidRDefault="002B58CA" w:rsidP="002B58CA">
            <w:pPr>
              <w:rPr>
                <w:rFonts w:ascii="Garamond" w:hAnsi="Garamond"/>
                <w:sz w:val="20"/>
                <w:szCs w:val="20"/>
              </w:rPr>
            </w:pPr>
            <w:r w:rsidRPr="007963BD">
              <w:rPr>
                <w:rFonts w:ascii="Garamond" w:hAnsi="Garamond"/>
                <w:sz w:val="20"/>
                <w:szCs w:val="20"/>
              </w:rPr>
              <w:t>Moderate</w:t>
            </w:r>
          </w:p>
        </w:tc>
        <w:tc>
          <w:tcPr>
            <w:tcW w:w="1631" w:type="dxa"/>
            <w:shd w:val="clear" w:color="auto" w:fill="auto"/>
          </w:tcPr>
          <w:p w14:paraId="422D56F7" w14:textId="77777777" w:rsidR="002B58CA" w:rsidRPr="007963BD" w:rsidRDefault="002B58CA" w:rsidP="002B58CA">
            <w:pPr>
              <w:rPr>
                <w:rFonts w:ascii="Garamond" w:hAnsi="Garamond"/>
                <w:sz w:val="20"/>
                <w:szCs w:val="20"/>
              </w:rPr>
            </w:pPr>
            <w:r w:rsidRPr="007963BD">
              <w:rPr>
                <w:rFonts w:ascii="Garamond" w:hAnsi="Garamond"/>
                <w:sz w:val="20"/>
                <w:szCs w:val="20"/>
              </w:rPr>
              <w:t>Mild</w:t>
            </w:r>
          </w:p>
        </w:tc>
        <w:tc>
          <w:tcPr>
            <w:tcW w:w="1632" w:type="dxa"/>
            <w:shd w:val="clear" w:color="auto" w:fill="auto"/>
          </w:tcPr>
          <w:p w14:paraId="606E266F" w14:textId="77777777" w:rsidR="002B58CA" w:rsidRPr="007963BD" w:rsidRDefault="002B58CA" w:rsidP="002B58CA">
            <w:pPr>
              <w:rPr>
                <w:rFonts w:ascii="Garamond" w:hAnsi="Garamond"/>
                <w:sz w:val="20"/>
                <w:szCs w:val="20"/>
              </w:rPr>
            </w:pPr>
            <w:r w:rsidRPr="007963BD">
              <w:rPr>
                <w:rFonts w:ascii="Garamond" w:hAnsi="Garamond"/>
                <w:sz w:val="20"/>
                <w:szCs w:val="20"/>
              </w:rPr>
              <w:t>Mild to Moderate</w:t>
            </w:r>
          </w:p>
        </w:tc>
      </w:tr>
      <w:tr w:rsidR="002B58CA" w:rsidRPr="007963BD" w14:paraId="2D6D4301" w14:textId="77777777" w:rsidTr="002B58CA">
        <w:tc>
          <w:tcPr>
            <w:tcW w:w="9900" w:type="dxa"/>
            <w:gridSpan w:val="6"/>
            <w:shd w:val="clear" w:color="auto" w:fill="auto"/>
          </w:tcPr>
          <w:p w14:paraId="3872F6A7" w14:textId="77777777" w:rsidR="002B58CA" w:rsidRPr="007963BD" w:rsidRDefault="002B58CA" w:rsidP="002B58CA">
            <w:pPr>
              <w:rPr>
                <w:rFonts w:ascii="Garamond" w:hAnsi="Garamond"/>
                <w:sz w:val="20"/>
                <w:szCs w:val="20"/>
              </w:rPr>
            </w:pPr>
            <w:r w:rsidRPr="007963BD">
              <w:rPr>
                <w:rFonts w:ascii="Garamond" w:hAnsi="Garamond"/>
                <w:sz w:val="20"/>
                <w:szCs w:val="20"/>
              </w:rPr>
              <w:t>Post treatment/discharge</w:t>
            </w:r>
          </w:p>
        </w:tc>
      </w:tr>
      <w:tr w:rsidR="002B58CA" w:rsidRPr="007963BD" w14:paraId="61F112DD" w14:textId="77777777" w:rsidTr="002B58CA">
        <w:tc>
          <w:tcPr>
            <w:tcW w:w="1614" w:type="dxa"/>
            <w:shd w:val="clear" w:color="auto" w:fill="auto"/>
          </w:tcPr>
          <w:p w14:paraId="53B04B23" w14:textId="77777777" w:rsidR="002B58CA" w:rsidRPr="007963BD" w:rsidRDefault="002B58CA" w:rsidP="002B58CA">
            <w:pPr>
              <w:rPr>
                <w:rFonts w:ascii="Garamond" w:hAnsi="Garamond"/>
                <w:sz w:val="20"/>
                <w:szCs w:val="20"/>
              </w:rPr>
            </w:pPr>
            <w:r w:rsidRPr="007963BD">
              <w:rPr>
                <w:rFonts w:ascii="Garamond" w:hAnsi="Garamond"/>
                <w:sz w:val="20"/>
                <w:szCs w:val="20"/>
              </w:rPr>
              <w:t>CT Head/MRI brain</w:t>
            </w:r>
          </w:p>
          <w:p w14:paraId="2D3F6C63" w14:textId="77777777" w:rsidR="002B58CA" w:rsidRPr="007963BD" w:rsidRDefault="002B58CA" w:rsidP="002B58CA">
            <w:pPr>
              <w:rPr>
                <w:rFonts w:ascii="Garamond" w:hAnsi="Garamond"/>
                <w:sz w:val="20"/>
                <w:szCs w:val="20"/>
              </w:rPr>
            </w:pPr>
          </w:p>
        </w:tc>
        <w:tc>
          <w:tcPr>
            <w:tcW w:w="1643" w:type="dxa"/>
            <w:shd w:val="clear" w:color="auto" w:fill="auto"/>
          </w:tcPr>
          <w:p w14:paraId="752DD04D" w14:textId="77777777" w:rsidR="002B58CA" w:rsidRPr="007963BD" w:rsidRDefault="002B58CA" w:rsidP="002B58CA">
            <w:pPr>
              <w:rPr>
                <w:rFonts w:ascii="Garamond" w:hAnsi="Garamond"/>
                <w:sz w:val="20"/>
                <w:szCs w:val="20"/>
              </w:rPr>
            </w:pPr>
            <w:r w:rsidRPr="007963BD">
              <w:rPr>
                <w:rFonts w:ascii="Garamond" w:hAnsi="Garamond"/>
                <w:sz w:val="20"/>
                <w:szCs w:val="20"/>
              </w:rPr>
              <w:t>Bilateral</w:t>
            </w:r>
          </w:p>
          <w:p w14:paraId="799D1EF8" w14:textId="77777777" w:rsidR="002B58CA" w:rsidRPr="007963BD" w:rsidRDefault="002B58CA" w:rsidP="002B58CA">
            <w:pPr>
              <w:rPr>
                <w:rFonts w:ascii="Garamond" w:hAnsi="Garamond"/>
                <w:sz w:val="20"/>
                <w:szCs w:val="20"/>
              </w:rPr>
            </w:pPr>
            <w:r w:rsidRPr="007963BD">
              <w:rPr>
                <w:rFonts w:ascii="Garamond" w:hAnsi="Garamond"/>
                <w:sz w:val="20"/>
                <w:szCs w:val="20"/>
              </w:rPr>
              <w:t>frontal/parietal multifocal infarcts</w:t>
            </w:r>
          </w:p>
        </w:tc>
        <w:tc>
          <w:tcPr>
            <w:tcW w:w="1690" w:type="dxa"/>
          </w:tcPr>
          <w:p w14:paraId="1BB9F9D2" w14:textId="77777777" w:rsidR="002B58CA" w:rsidRPr="007963BD" w:rsidRDefault="002B58CA" w:rsidP="002B58CA">
            <w:pPr>
              <w:rPr>
                <w:rFonts w:ascii="Garamond" w:hAnsi="Garamond"/>
                <w:sz w:val="20"/>
                <w:szCs w:val="20"/>
              </w:rPr>
            </w:pPr>
            <w:r>
              <w:rPr>
                <w:rFonts w:ascii="Garamond" w:hAnsi="Garamond"/>
                <w:sz w:val="20"/>
                <w:szCs w:val="20"/>
              </w:rPr>
              <w:t>Right posterior MCA territory</w:t>
            </w:r>
          </w:p>
        </w:tc>
        <w:tc>
          <w:tcPr>
            <w:tcW w:w="1690" w:type="dxa"/>
            <w:shd w:val="clear" w:color="auto" w:fill="auto"/>
          </w:tcPr>
          <w:p w14:paraId="48B1AC27" w14:textId="77777777" w:rsidR="002B58CA" w:rsidRPr="007963BD" w:rsidRDefault="002B58CA" w:rsidP="002B58CA">
            <w:pPr>
              <w:rPr>
                <w:rFonts w:ascii="Garamond" w:hAnsi="Garamond"/>
                <w:sz w:val="20"/>
                <w:szCs w:val="20"/>
              </w:rPr>
            </w:pPr>
            <w:r w:rsidRPr="007963BD">
              <w:rPr>
                <w:rFonts w:ascii="Garamond" w:hAnsi="Garamond"/>
                <w:sz w:val="20"/>
                <w:szCs w:val="20"/>
              </w:rPr>
              <w:t>Thalamocapsular</w:t>
            </w:r>
          </w:p>
          <w:p w14:paraId="63263D37" w14:textId="77777777" w:rsidR="002B58CA" w:rsidRPr="007963BD" w:rsidRDefault="002B58CA" w:rsidP="002B58CA">
            <w:pPr>
              <w:rPr>
                <w:rFonts w:ascii="Garamond" w:hAnsi="Garamond"/>
                <w:sz w:val="20"/>
                <w:szCs w:val="20"/>
              </w:rPr>
            </w:pPr>
            <w:r w:rsidRPr="007963BD">
              <w:rPr>
                <w:rFonts w:ascii="Garamond" w:hAnsi="Garamond"/>
                <w:sz w:val="20"/>
                <w:szCs w:val="20"/>
              </w:rPr>
              <w:t>infarcts</w:t>
            </w:r>
          </w:p>
        </w:tc>
        <w:tc>
          <w:tcPr>
            <w:tcW w:w="1631" w:type="dxa"/>
            <w:shd w:val="clear" w:color="auto" w:fill="auto"/>
          </w:tcPr>
          <w:p w14:paraId="4D075A25" w14:textId="77777777" w:rsidR="002B58CA" w:rsidRPr="007963BD" w:rsidRDefault="002B58CA" w:rsidP="002B58CA">
            <w:pPr>
              <w:rPr>
                <w:rFonts w:ascii="Garamond" w:hAnsi="Garamond"/>
                <w:sz w:val="20"/>
                <w:szCs w:val="20"/>
              </w:rPr>
            </w:pPr>
            <w:r w:rsidRPr="007963BD">
              <w:rPr>
                <w:rFonts w:ascii="Garamond" w:hAnsi="Garamond"/>
                <w:sz w:val="20"/>
                <w:szCs w:val="20"/>
              </w:rPr>
              <w:t>Right Internal Capsular infarct</w:t>
            </w:r>
          </w:p>
        </w:tc>
        <w:tc>
          <w:tcPr>
            <w:tcW w:w="1632" w:type="dxa"/>
            <w:shd w:val="clear" w:color="auto" w:fill="auto"/>
          </w:tcPr>
          <w:p w14:paraId="2E1A1E40" w14:textId="77777777" w:rsidR="002B58CA" w:rsidRPr="007963BD" w:rsidRDefault="002B58CA" w:rsidP="002B58CA">
            <w:pPr>
              <w:rPr>
                <w:rFonts w:ascii="Garamond" w:hAnsi="Garamond"/>
                <w:sz w:val="20"/>
                <w:szCs w:val="20"/>
              </w:rPr>
            </w:pPr>
            <w:r w:rsidRPr="007963BD">
              <w:rPr>
                <w:rFonts w:ascii="Garamond" w:hAnsi="Garamond"/>
                <w:sz w:val="20"/>
                <w:szCs w:val="20"/>
              </w:rPr>
              <w:t>Negative</w:t>
            </w:r>
          </w:p>
          <w:p w14:paraId="3B074ACD" w14:textId="77777777" w:rsidR="002B58CA" w:rsidRPr="007963BD" w:rsidRDefault="002B58CA" w:rsidP="002B58CA">
            <w:pPr>
              <w:rPr>
                <w:rFonts w:ascii="Garamond" w:hAnsi="Garamond"/>
                <w:sz w:val="20"/>
                <w:szCs w:val="20"/>
              </w:rPr>
            </w:pPr>
          </w:p>
          <w:p w14:paraId="21CD743D" w14:textId="77777777" w:rsidR="002B58CA" w:rsidRPr="007963BD" w:rsidRDefault="002B58CA" w:rsidP="002B58CA">
            <w:pPr>
              <w:rPr>
                <w:rFonts w:ascii="Garamond" w:hAnsi="Garamond"/>
                <w:sz w:val="20"/>
                <w:szCs w:val="20"/>
              </w:rPr>
            </w:pPr>
          </w:p>
        </w:tc>
      </w:tr>
      <w:tr w:rsidR="002B58CA" w:rsidRPr="007963BD" w14:paraId="18785C50" w14:textId="77777777" w:rsidTr="002B58CA">
        <w:tc>
          <w:tcPr>
            <w:tcW w:w="1614" w:type="dxa"/>
            <w:shd w:val="clear" w:color="auto" w:fill="auto"/>
          </w:tcPr>
          <w:p w14:paraId="786D85CB" w14:textId="77777777" w:rsidR="002B58CA" w:rsidRPr="007963BD" w:rsidRDefault="002B58CA" w:rsidP="002B58CA">
            <w:pPr>
              <w:rPr>
                <w:rFonts w:ascii="Garamond" w:hAnsi="Garamond"/>
                <w:sz w:val="20"/>
                <w:szCs w:val="20"/>
              </w:rPr>
            </w:pPr>
            <w:r w:rsidRPr="007963BD">
              <w:rPr>
                <w:rFonts w:ascii="Garamond" w:hAnsi="Garamond"/>
                <w:sz w:val="20"/>
                <w:szCs w:val="20"/>
              </w:rPr>
              <w:t>NIHSS</w:t>
            </w:r>
          </w:p>
        </w:tc>
        <w:tc>
          <w:tcPr>
            <w:tcW w:w="1643" w:type="dxa"/>
            <w:shd w:val="clear" w:color="auto" w:fill="auto"/>
          </w:tcPr>
          <w:p w14:paraId="1CB2B0F6" w14:textId="77777777" w:rsidR="002B58CA" w:rsidRPr="007963BD" w:rsidRDefault="002B58CA" w:rsidP="002B58CA">
            <w:pPr>
              <w:rPr>
                <w:rFonts w:ascii="Garamond" w:hAnsi="Garamond"/>
                <w:sz w:val="20"/>
                <w:szCs w:val="20"/>
              </w:rPr>
            </w:pPr>
            <w:r w:rsidRPr="007963BD">
              <w:rPr>
                <w:rFonts w:ascii="Garamond" w:hAnsi="Garamond"/>
                <w:sz w:val="20"/>
                <w:szCs w:val="20"/>
              </w:rPr>
              <w:t>N/A</w:t>
            </w:r>
          </w:p>
        </w:tc>
        <w:tc>
          <w:tcPr>
            <w:tcW w:w="1690" w:type="dxa"/>
          </w:tcPr>
          <w:p w14:paraId="0E3B9CB8" w14:textId="77777777" w:rsidR="002B58CA" w:rsidRPr="007963BD" w:rsidRDefault="002B58CA" w:rsidP="002B58CA">
            <w:pPr>
              <w:rPr>
                <w:rFonts w:ascii="Garamond" w:hAnsi="Garamond"/>
                <w:sz w:val="20"/>
                <w:szCs w:val="20"/>
              </w:rPr>
            </w:pPr>
            <w:r>
              <w:rPr>
                <w:rFonts w:ascii="Garamond" w:hAnsi="Garamond"/>
                <w:sz w:val="20"/>
                <w:szCs w:val="20"/>
              </w:rPr>
              <w:t>1</w:t>
            </w:r>
          </w:p>
        </w:tc>
        <w:tc>
          <w:tcPr>
            <w:tcW w:w="1690" w:type="dxa"/>
            <w:shd w:val="clear" w:color="auto" w:fill="auto"/>
          </w:tcPr>
          <w:p w14:paraId="1FF80009" w14:textId="77777777" w:rsidR="002B58CA" w:rsidRPr="007963BD" w:rsidRDefault="002B58CA" w:rsidP="002B58CA">
            <w:pPr>
              <w:rPr>
                <w:rFonts w:ascii="Garamond" w:hAnsi="Garamond"/>
                <w:sz w:val="20"/>
                <w:szCs w:val="20"/>
              </w:rPr>
            </w:pPr>
            <w:r w:rsidRPr="007963BD">
              <w:rPr>
                <w:rFonts w:ascii="Garamond" w:hAnsi="Garamond"/>
                <w:sz w:val="20"/>
                <w:szCs w:val="20"/>
              </w:rPr>
              <w:t>9</w:t>
            </w:r>
          </w:p>
        </w:tc>
        <w:tc>
          <w:tcPr>
            <w:tcW w:w="1631" w:type="dxa"/>
            <w:shd w:val="clear" w:color="auto" w:fill="auto"/>
          </w:tcPr>
          <w:p w14:paraId="08260DCC" w14:textId="77777777" w:rsidR="002B58CA" w:rsidRPr="007963BD" w:rsidRDefault="002B58CA" w:rsidP="002B58CA">
            <w:pPr>
              <w:rPr>
                <w:rFonts w:ascii="Garamond" w:hAnsi="Garamond"/>
                <w:sz w:val="20"/>
                <w:szCs w:val="20"/>
              </w:rPr>
            </w:pPr>
            <w:r w:rsidRPr="007963BD">
              <w:rPr>
                <w:rFonts w:ascii="Garamond" w:hAnsi="Garamond"/>
                <w:sz w:val="20"/>
                <w:szCs w:val="20"/>
              </w:rPr>
              <w:t>3</w:t>
            </w:r>
          </w:p>
        </w:tc>
        <w:tc>
          <w:tcPr>
            <w:tcW w:w="1632" w:type="dxa"/>
            <w:shd w:val="clear" w:color="auto" w:fill="auto"/>
          </w:tcPr>
          <w:p w14:paraId="36EC0B40" w14:textId="77777777" w:rsidR="002B58CA" w:rsidRPr="007963BD" w:rsidRDefault="002B58CA" w:rsidP="002B58CA">
            <w:pPr>
              <w:rPr>
                <w:rFonts w:ascii="Garamond" w:hAnsi="Garamond"/>
                <w:sz w:val="20"/>
                <w:szCs w:val="20"/>
              </w:rPr>
            </w:pPr>
            <w:r w:rsidRPr="007963BD">
              <w:rPr>
                <w:rFonts w:ascii="Garamond" w:hAnsi="Garamond"/>
                <w:sz w:val="20"/>
                <w:szCs w:val="20"/>
              </w:rPr>
              <w:t>0</w:t>
            </w:r>
          </w:p>
        </w:tc>
      </w:tr>
      <w:tr w:rsidR="002B58CA" w:rsidRPr="007963BD" w14:paraId="47076E5B" w14:textId="77777777" w:rsidTr="002B58CA">
        <w:tc>
          <w:tcPr>
            <w:tcW w:w="1614" w:type="dxa"/>
            <w:shd w:val="clear" w:color="auto" w:fill="auto"/>
          </w:tcPr>
          <w:p w14:paraId="5C7A162B" w14:textId="77777777" w:rsidR="002B58CA" w:rsidRPr="007963BD" w:rsidRDefault="002B58CA" w:rsidP="002B58CA">
            <w:pPr>
              <w:rPr>
                <w:rFonts w:ascii="Garamond" w:hAnsi="Garamond"/>
                <w:sz w:val="20"/>
                <w:szCs w:val="20"/>
              </w:rPr>
            </w:pPr>
            <w:r w:rsidRPr="007963BD">
              <w:rPr>
                <w:rFonts w:ascii="Garamond" w:hAnsi="Garamond"/>
                <w:sz w:val="20"/>
                <w:szCs w:val="20"/>
              </w:rPr>
              <w:t>mRS</w:t>
            </w:r>
          </w:p>
        </w:tc>
        <w:tc>
          <w:tcPr>
            <w:tcW w:w="1643" w:type="dxa"/>
            <w:shd w:val="clear" w:color="auto" w:fill="auto"/>
          </w:tcPr>
          <w:p w14:paraId="52B156CC" w14:textId="77777777" w:rsidR="002B58CA" w:rsidRPr="007963BD" w:rsidRDefault="002B58CA" w:rsidP="002B58CA">
            <w:pPr>
              <w:rPr>
                <w:rFonts w:ascii="Garamond" w:hAnsi="Garamond"/>
                <w:sz w:val="20"/>
                <w:szCs w:val="20"/>
              </w:rPr>
            </w:pPr>
            <w:r w:rsidRPr="007963BD">
              <w:rPr>
                <w:rFonts w:ascii="Garamond" w:hAnsi="Garamond"/>
                <w:sz w:val="20"/>
                <w:szCs w:val="20"/>
              </w:rPr>
              <w:t>6</w:t>
            </w:r>
          </w:p>
        </w:tc>
        <w:tc>
          <w:tcPr>
            <w:tcW w:w="1690" w:type="dxa"/>
          </w:tcPr>
          <w:p w14:paraId="785BAE84" w14:textId="77777777" w:rsidR="002B58CA" w:rsidRPr="007963BD" w:rsidRDefault="002B58CA" w:rsidP="002B58CA">
            <w:pPr>
              <w:rPr>
                <w:rFonts w:ascii="Garamond" w:hAnsi="Garamond"/>
                <w:sz w:val="20"/>
                <w:szCs w:val="20"/>
              </w:rPr>
            </w:pPr>
            <w:r>
              <w:rPr>
                <w:rFonts w:ascii="Garamond" w:hAnsi="Garamond"/>
                <w:sz w:val="20"/>
                <w:szCs w:val="20"/>
              </w:rPr>
              <w:t>2</w:t>
            </w:r>
          </w:p>
        </w:tc>
        <w:tc>
          <w:tcPr>
            <w:tcW w:w="1690" w:type="dxa"/>
            <w:shd w:val="clear" w:color="auto" w:fill="auto"/>
          </w:tcPr>
          <w:p w14:paraId="7042F90F" w14:textId="77777777" w:rsidR="002B58CA" w:rsidRPr="007963BD" w:rsidRDefault="002B58CA" w:rsidP="002B58CA">
            <w:pPr>
              <w:rPr>
                <w:rFonts w:ascii="Garamond" w:hAnsi="Garamond"/>
                <w:sz w:val="20"/>
                <w:szCs w:val="20"/>
              </w:rPr>
            </w:pPr>
            <w:r w:rsidRPr="007963BD">
              <w:rPr>
                <w:rFonts w:ascii="Garamond" w:hAnsi="Garamond"/>
                <w:sz w:val="20"/>
                <w:szCs w:val="20"/>
              </w:rPr>
              <w:t>3</w:t>
            </w:r>
          </w:p>
        </w:tc>
        <w:tc>
          <w:tcPr>
            <w:tcW w:w="1631" w:type="dxa"/>
            <w:shd w:val="clear" w:color="auto" w:fill="auto"/>
          </w:tcPr>
          <w:p w14:paraId="54599F12" w14:textId="77777777" w:rsidR="002B58CA" w:rsidRPr="007963BD" w:rsidRDefault="002B58CA" w:rsidP="002B58CA">
            <w:pPr>
              <w:rPr>
                <w:rFonts w:ascii="Garamond" w:hAnsi="Garamond"/>
                <w:sz w:val="20"/>
                <w:szCs w:val="20"/>
              </w:rPr>
            </w:pPr>
            <w:r w:rsidRPr="007963BD">
              <w:rPr>
                <w:rFonts w:ascii="Garamond" w:hAnsi="Garamond"/>
                <w:sz w:val="20"/>
                <w:szCs w:val="20"/>
              </w:rPr>
              <w:t>2</w:t>
            </w:r>
          </w:p>
        </w:tc>
        <w:tc>
          <w:tcPr>
            <w:tcW w:w="1632" w:type="dxa"/>
            <w:shd w:val="clear" w:color="auto" w:fill="auto"/>
          </w:tcPr>
          <w:p w14:paraId="0D3861AA" w14:textId="77777777" w:rsidR="002B58CA" w:rsidRPr="007963BD" w:rsidRDefault="002B58CA" w:rsidP="002B58CA">
            <w:pPr>
              <w:rPr>
                <w:rFonts w:ascii="Garamond" w:hAnsi="Garamond"/>
                <w:sz w:val="20"/>
                <w:szCs w:val="20"/>
              </w:rPr>
            </w:pPr>
            <w:r w:rsidRPr="007963BD">
              <w:rPr>
                <w:rFonts w:ascii="Garamond" w:hAnsi="Garamond"/>
                <w:sz w:val="20"/>
                <w:szCs w:val="20"/>
              </w:rPr>
              <w:t>1</w:t>
            </w:r>
          </w:p>
        </w:tc>
      </w:tr>
    </w:tbl>
    <w:p w14:paraId="03216A5C" w14:textId="77777777" w:rsidR="002B58CA" w:rsidRPr="007963BD" w:rsidRDefault="002B58CA" w:rsidP="002B58CA">
      <w:pPr>
        <w:rPr>
          <w:rFonts w:ascii="Garamond" w:hAnsi="Garamond"/>
          <w:sz w:val="20"/>
          <w:szCs w:val="20"/>
        </w:rPr>
      </w:pPr>
      <w:r w:rsidRPr="007963BD">
        <w:rPr>
          <w:rFonts w:ascii="Garamond" w:hAnsi="Garamond"/>
          <w:sz w:val="20"/>
          <w:szCs w:val="20"/>
        </w:rPr>
        <w:t xml:space="preserve">HTN indicates Hypertension; DM, Diabetes Mellitus; </w:t>
      </w:r>
      <w:r>
        <w:rPr>
          <w:rFonts w:ascii="Garamond" w:hAnsi="Garamond"/>
          <w:sz w:val="20"/>
          <w:szCs w:val="20"/>
        </w:rPr>
        <w:t xml:space="preserve">ITP, Idiopathic Thrombocytopenic Purpura; </w:t>
      </w:r>
      <w:r w:rsidRPr="007963BD">
        <w:rPr>
          <w:rFonts w:ascii="Garamond" w:hAnsi="Garamond"/>
          <w:sz w:val="20"/>
          <w:szCs w:val="20"/>
        </w:rPr>
        <w:t>NIHSS, National Institutes of Health Stroke Scale; CXR, Chest X-ray; CT, Computer Tomography; CTA, Computer Tomography Angiography; NLR, Neutrophil to Lymphocyte Ratio; MRI, Magnetic Resonance Imaging; mRS, modified Rankin Scale.</w:t>
      </w:r>
    </w:p>
    <w:p w14:paraId="3D0AD952" w14:textId="77777777" w:rsidR="002B58CA" w:rsidRDefault="002B58CA">
      <w:pPr>
        <w:rPr>
          <w:rFonts w:ascii="Times New Roman" w:eastAsia="Garamond" w:hAnsi="Times New Roman"/>
        </w:rPr>
      </w:pPr>
      <w:r>
        <w:rPr>
          <w:rFonts w:ascii="Times New Roman" w:hAnsi="Times New Roman"/>
        </w:rPr>
        <w:br w:type="page"/>
      </w:r>
    </w:p>
    <w:p w14:paraId="26EA3AEF" w14:textId="77777777" w:rsidR="00C616E7" w:rsidRPr="00E41464" w:rsidRDefault="00C616E7" w:rsidP="00C616E7">
      <w:pPr>
        <w:pStyle w:val="BodyText"/>
        <w:spacing w:line="480" w:lineRule="auto"/>
        <w:rPr>
          <w:rFonts w:ascii="Times New Roman" w:hAnsi="Times New Roman" w:cs="Times New Roman"/>
          <w:sz w:val="24"/>
          <w:szCs w:val="24"/>
        </w:rPr>
      </w:pPr>
      <w:r>
        <w:rPr>
          <w:rFonts w:ascii="Times New Roman" w:hAnsi="Times New Roman" w:cs="Times New Roman"/>
          <w:sz w:val="24"/>
          <w:szCs w:val="24"/>
        </w:rPr>
        <w:lastRenderedPageBreak/>
        <w:t>One patient, in mid-twenties, who had</w:t>
      </w:r>
      <w:r w:rsidRPr="006A3DA0">
        <w:rPr>
          <w:rFonts w:ascii="Times New Roman" w:hAnsi="Times New Roman" w:cs="Times New Roman"/>
          <w:sz w:val="24"/>
          <w:szCs w:val="24"/>
        </w:rPr>
        <w:t xml:space="preserve"> no past medical history presented with NIHSS 18 and a left MCA syndrome</w:t>
      </w:r>
      <w:r>
        <w:rPr>
          <w:rFonts w:ascii="Times New Roman" w:hAnsi="Times New Roman" w:cs="Times New Roman"/>
          <w:sz w:val="24"/>
          <w:szCs w:val="24"/>
        </w:rPr>
        <w:t xml:space="preserve">. This patient was involved in care of </w:t>
      </w:r>
      <w:r w:rsidRPr="006A3DA0">
        <w:rPr>
          <w:rFonts w:ascii="Times New Roman" w:hAnsi="Times New Roman" w:cs="Times New Roman"/>
          <w:sz w:val="24"/>
          <w:szCs w:val="24"/>
        </w:rPr>
        <w:t>COVID-19 patients</w:t>
      </w:r>
      <w:r>
        <w:rPr>
          <w:rFonts w:ascii="Times New Roman" w:hAnsi="Times New Roman" w:cs="Times New Roman"/>
          <w:sz w:val="24"/>
          <w:szCs w:val="24"/>
        </w:rPr>
        <w:t xml:space="preserve"> in the early days of the NYC outbreak. The presentation</w:t>
      </w:r>
      <w:r w:rsidRPr="006A3DA0">
        <w:rPr>
          <w:rFonts w:ascii="Times New Roman" w:hAnsi="Times New Roman" w:cs="Times New Roman"/>
          <w:sz w:val="24"/>
          <w:szCs w:val="24"/>
        </w:rPr>
        <w:t xml:space="preserve"> to the ER </w:t>
      </w:r>
      <w:r>
        <w:rPr>
          <w:rFonts w:ascii="Times New Roman" w:hAnsi="Times New Roman" w:cs="Times New Roman"/>
          <w:sz w:val="24"/>
          <w:szCs w:val="24"/>
        </w:rPr>
        <w:t xml:space="preserve">was </w:t>
      </w:r>
      <w:r w:rsidRPr="006A3DA0">
        <w:rPr>
          <w:rFonts w:ascii="Times New Roman" w:hAnsi="Times New Roman" w:cs="Times New Roman"/>
          <w:sz w:val="24"/>
          <w:szCs w:val="24"/>
        </w:rPr>
        <w:t>8 days</w:t>
      </w:r>
      <w:r>
        <w:rPr>
          <w:rFonts w:ascii="Times New Roman" w:hAnsi="Times New Roman" w:cs="Times New Roman"/>
          <w:sz w:val="24"/>
          <w:szCs w:val="24"/>
        </w:rPr>
        <w:t xml:space="preserve"> after known onset</w:t>
      </w:r>
      <w:r w:rsidRPr="006A3DA0">
        <w:rPr>
          <w:rFonts w:ascii="Times New Roman" w:hAnsi="Times New Roman" w:cs="Times New Roman"/>
          <w:sz w:val="24"/>
          <w:szCs w:val="24"/>
        </w:rPr>
        <w:t xml:space="preserve"> of viral illness </w:t>
      </w:r>
      <w:r>
        <w:rPr>
          <w:rFonts w:ascii="Times New Roman" w:hAnsi="Times New Roman" w:cs="Times New Roman"/>
          <w:sz w:val="24"/>
          <w:szCs w:val="24"/>
        </w:rPr>
        <w:t>while being a</w:t>
      </w:r>
      <w:r w:rsidRPr="006A3DA0">
        <w:rPr>
          <w:rFonts w:ascii="Times New Roman" w:hAnsi="Times New Roman" w:cs="Times New Roman"/>
          <w:sz w:val="24"/>
          <w:szCs w:val="24"/>
        </w:rPr>
        <w:t>zithromycin therapy</w:t>
      </w:r>
      <w:r>
        <w:rPr>
          <w:rFonts w:ascii="Times New Roman" w:hAnsi="Times New Roman" w:cs="Times New Roman"/>
          <w:sz w:val="24"/>
          <w:szCs w:val="24"/>
        </w:rPr>
        <w:t>. The patient tested</w:t>
      </w:r>
      <w:r w:rsidRPr="006A3DA0">
        <w:rPr>
          <w:rFonts w:ascii="Times New Roman" w:hAnsi="Times New Roman" w:cs="Times New Roman"/>
          <w:sz w:val="24"/>
          <w:szCs w:val="24"/>
        </w:rPr>
        <w:t xml:space="preserve"> positive on day 3 of the illness. Non-</w:t>
      </w:r>
      <w:r>
        <w:rPr>
          <w:rFonts w:ascii="Times New Roman" w:hAnsi="Times New Roman" w:cs="Times New Roman"/>
          <w:sz w:val="24"/>
          <w:szCs w:val="24"/>
        </w:rPr>
        <w:t>c</w:t>
      </w:r>
      <w:r w:rsidRPr="006A3DA0">
        <w:rPr>
          <w:rFonts w:ascii="Times New Roman" w:hAnsi="Times New Roman" w:cs="Times New Roman"/>
          <w:sz w:val="24"/>
          <w:szCs w:val="24"/>
        </w:rPr>
        <w:t xml:space="preserve">ontrast CT </w:t>
      </w:r>
      <w:r>
        <w:rPr>
          <w:rFonts w:ascii="Times New Roman" w:hAnsi="Times New Roman" w:cs="Times New Roman"/>
          <w:sz w:val="24"/>
          <w:szCs w:val="24"/>
        </w:rPr>
        <w:t>H</w:t>
      </w:r>
      <w:r w:rsidRPr="006A3DA0">
        <w:rPr>
          <w:rFonts w:ascii="Times New Roman" w:hAnsi="Times New Roman" w:cs="Times New Roman"/>
          <w:sz w:val="24"/>
          <w:szCs w:val="24"/>
        </w:rPr>
        <w:t xml:space="preserve">ead </w:t>
      </w:r>
      <w:r>
        <w:rPr>
          <w:rFonts w:ascii="Times New Roman" w:hAnsi="Times New Roman" w:cs="Times New Roman"/>
          <w:sz w:val="24"/>
          <w:szCs w:val="24"/>
        </w:rPr>
        <w:t xml:space="preserve">showed early changes with ASPECTS of 7. </w:t>
      </w:r>
      <w:r w:rsidRPr="006A3DA0">
        <w:rPr>
          <w:rFonts w:ascii="Times New Roman" w:hAnsi="Times New Roman" w:cs="Times New Roman"/>
          <w:sz w:val="24"/>
          <w:szCs w:val="24"/>
        </w:rPr>
        <w:t xml:space="preserve">CT </w:t>
      </w:r>
      <w:r>
        <w:rPr>
          <w:rFonts w:ascii="Times New Roman" w:hAnsi="Times New Roman" w:cs="Times New Roman"/>
          <w:sz w:val="24"/>
          <w:szCs w:val="24"/>
        </w:rPr>
        <w:t>a</w:t>
      </w:r>
      <w:r w:rsidRPr="006A3DA0">
        <w:rPr>
          <w:rFonts w:ascii="Times New Roman" w:hAnsi="Times New Roman" w:cs="Times New Roman"/>
          <w:sz w:val="24"/>
          <w:szCs w:val="24"/>
        </w:rPr>
        <w:t>ngiogram confirmed a left M1 thrombus</w:t>
      </w:r>
      <w:r>
        <w:rPr>
          <w:rFonts w:ascii="Times New Roman" w:hAnsi="Times New Roman" w:cs="Times New Roman"/>
          <w:sz w:val="24"/>
          <w:szCs w:val="24"/>
        </w:rPr>
        <w:t xml:space="preserve"> (Figure 1)</w:t>
      </w:r>
      <w:r w:rsidRPr="006A3DA0">
        <w:rPr>
          <w:rFonts w:ascii="Times New Roman" w:hAnsi="Times New Roman" w:cs="Times New Roman"/>
          <w:sz w:val="24"/>
          <w:szCs w:val="24"/>
        </w:rPr>
        <w:t>. At presentation</w:t>
      </w:r>
      <w:r>
        <w:rPr>
          <w:rFonts w:ascii="Times New Roman" w:hAnsi="Times New Roman" w:cs="Times New Roman"/>
          <w:sz w:val="24"/>
          <w:szCs w:val="24"/>
        </w:rPr>
        <w:t>, the patient</w:t>
      </w:r>
      <w:r w:rsidRPr="006A3DA0">
        <w:rPr>
          <w:rFonts w:ascii="Times New Roman" w:hAnsi="Times New Roman" w:cs="Times New Roman"/>
          <w:sz w:val="24"/>
          <w:szCs w:val="24"/>
        </w:rPr>
        <w:t xml:space="preserve"> was hypoxic, tachypneic and </w:t>
      </w:r>
      <w:r>
        <w:rPr>
          <w:rFonts w:ascii="Times New Roman" w:hAnsi="Times New Roman" w:cs="Times New Roman"/>
          <w:sz w:val="24"/>
          <w:szCs w:val="24"/>
        </w:rPr>
        <w:t xml:space="preserve">the </w:t>
      </w:r>
      <w:r w:rsidRPr="006A3DA0">
        <w:rPr>
          <w:rFonts w:ascii="Times New Roman" w:hAnsi="Times New Roman" w:cs="Times New Roman"/>
          <w:sz w:val="24"/>
          <w:szCs w:val="24"/>
        </w:rPr>
        <w:t xml:space="preserve">chest x-ray (CXR) </w:t>
      </w:r>
      <w:r>
        <w:rPr>
          <w:rFonts w:ascii="Times New Roman" w:hAnsi="Times New Roman" w:cs="Times New Roman"/>
          <w:sz w:val="24"/>
          <w:szCs w:val="24"/>
        </w:rPr>
        <w:t>demonstrated</w:t>
      </w:r>
      <w:r w:rsidRPr="006A3DA0">
        <w:rPr>
          <w:rFonts w:ascii="Times New Roman" w:hAnsi="Times New Roman" w:cs="Times New Roman"/>
          <w:sz w:val="24"/>
          <w:szCs w:val="24"/>
        </w:rPr>
        <w:t xml:space="preserve"> bilateral extensive infiltrates </w:t>
      </w:r>
      <w:r>
        <w:rPr>
          <w:rFonts w:ascii="Times New Roman" w:hAnsi="Times New Roman" w:cs="Times New Roman"/>
          <w:sz w:val="24"/>
          <w:szCs w:val="24"/>
        </w:rPr>
        <w:t>eventually requiring</w:t>
      </w:r>
      <w:r w:rsidRPr="006A3DA0">
        <w:rPr>
          <w:rFonts w:ascii="Times New Roman" w:hAnsi="Times New Roman" w:cs="Times New Roman"/>
          <w:sz w:val="24"/>
          <w:szCs w:val="24"/>
        </w:rPr>
        <w:t xml:space="preserve"> intubation. IV tPA </w:t>
      </w:r>
      <w:r>
        <w:rPr>
          <w:rFonts w:ascii="Times New Roman" w:hAnsi="Times New Roman" w:cs="Times New Roman"/>
          <w:sz w:val="24"/>
          <w:szCs w:val="24"/>
        </w:rPr>
        <w:t xml:space="preserve">was administered </w:t>
      </w:r>
      <w:r w:rsidRPr="006A3DA0">
        <w:rPr>
          <w:rFonts w:ascii="Times New Roman" w:hAnsi="Times New Roman" w:cs="Times New Roman"/>
          <w:sz w:val="24"/>
          <w:szCs w:val="24"/>
        </w:rPr>
        <w:t xml:space="preserve">within 2 hours and 15 minutes from symptom onset and </w:t>
      </w:r>
      <w:r>
        <w:rPr>
          <w:rFonts w:ascii="Times New Roman" w:hAnsi="Times New Roman" w:cs="Times New Roman"/>
          <w:sz w:val="24"/>
          <w:szCs w:val="24"/>
        </w:rPr>
        <w:t xml:space="preserve">patient </w:t>
      </w:r>
      <w:r w:rsidRPr="006A3DA0">
        <w:rPr>
          <w:rFonts w:ascii="Times New Roman" w:hAnsi="Times New Roman" w:cs="Times New Roman"/>
          <w:sz w:val="24"/>
          <w:szCs w:val="24"/>
        </w:rPr>
        <w:t xml:space="preserve">was taken for mechanical thrombectomy. </w:t>
      </w:r>
      <w:r>
        <w:rPr>
          <w:rFonts w:ascii="Times New Roman" w:hAnsi="Times New Roman" w:cs="Times New Roman"/>
          <w:sz w:val="24"/>
          <w:szCs w:val="24"/>
        </w:rPr>
        <w:t>Initial c</w:t>
      </w:r>
      <w:r w:rsidRPr="006A3DA0">
        <w:rPr>
          <w:rFonts w:ascii="Times New Roman" w:hAnsi="Times New Roman" w:cs="Times New Roman"/>
          <w:sz w:val="24"/>
          <w:szCs w:val="24"/>
        </w:rPr>
        <w:t xml:space="preserve">erebral angiography showed partial recanalization post-TPA and migration of the clot to </w:t>
      </w:r>
      <w:r>
        <w:rPr>
          <w:rFonts w:ascii="Times New Roman" w:hAnsi="Times New Roman" w:cs="Times New Roman"/>
          <w:sz w:val="24"/>
          <w:szCs w:val="24"/>
        </w:rPr>
        <w:t>distal MCA branches</w:t>
      </w:r>
      <w:r w:rsidRPr="006A3DA0">
        <w:rPr>
          <w:rFonts w:ascii="Times New Roman" w:hAnsi="Times New Roman" w:cs="Times New Roman"/>
          <w:sz w:val="24"/>
          <w:szCs w:val="24"/>
        </w:rPr>
        <w:t xml:space="preserve"> (Figure 1). </w:t>
      </w:r>
      <w:r>
        <w:rPr>
          <w:rFonts w:ascii="Times New Roman" w:hAnsi="Times New Roman" w:cs="Times New Roman"/>
          <w:sz w:val="24"/>
          <w:szCs w:val="24"/>
        </w:rPr>
        <w:t>I</w:t>
      </w:r>
      <w:r w:rsidRPr="006A3DA0">
        <w:rPr>
          <w:rFonts w:ascii="Times New Roman" w:hAnsi="Times New Roman" w:cs="Times New Roman"/>
          <w:sz w:val="24"/>
          <w:szCs w:val="24"/>
        </w:rPr>
        <w:t xml:space="preserve">ntra-arterial tPA </w:t>
      </w:r>
      <w:r>
        <w:rPr>
          <w:rFonts w:ascii="Times New Roman" w:hAnsi="Times New Roman" w:cs="Times New Roman"/>
          <w:sz w:val="24"/>
          <w:szCs w:val="24"/>
        </w:rPr>
        <w:t xml:space="preserve">was administered </w:t>
      </w:r>
      <w:r w:rsidRPr="006A3DA0">
        <w:rPr>
          <w:rFonts w:ascii="Times New Roman" w:hAnsi="Times New Roman" w:cs="Times New Roman"/>
          <w:sz w:val="24"/>
          <w:szCs w:val="24"/>
        </w:rPr>
        <w:t>in th</w:t>
      </w:r>
      <w:r>
        <w:rPr>
          <w:rFonts w:ascii="Times New Roman" w:hAnsi="Times New Roman" w:cs="Times New Roman"/>
          <w:sz w:val="24"/>
          <w:szCs w:val="24"/>
        </w:rPr>
        <w:t>o</w:t>
      </w:r>
      <w:r w:rsidRPr="006A3DA0">
        <w:rPr>
          <w:rFonts w:ascii="Times New Roman" w:hAnsi="Times New Roman" w:cs="Times New Roman"/>
          <w:sz w:val="24"/>
          <w:szCs w:val="24"/>
        </w:rPr>
        <w:t xml:space="preserve">se branches. </w:t>
      </w:r>
      <w:r>
        <w:rPr>
          <w:rFonts w:ascii="Times New Roman" w:hAnsi="Times New Roman" w:cs="Times New Roman"/>
          <w:sz w:val="24"/>
          <w:szCs w:val="24"/>
        </w:rPr>
        <w:t>There was no</w:t>
      </w:r>
      <w:r w:rsidRPr="006A3DA0">
        <w:rPr>
          <w:rFonts w:ascii="Times New Roman" w:hAnsi="Times New Roman" w:cs="Times New Roman"/>
          <w:sz w:val="24"/>
          <w:szCs w:val="24"/>
        </w:rPr>
        <w:t xml:space="preserve"> renal, cardiac or hepatic involvement.  </w:t>
      </w:r>
      <w:r>
        <w:rPr>
          <w:rFonts w:ascii="Times New Roman" w:hAnsi="Times New Roman" w:cs="Times New Roman"/>
          <w:sz w:val="24"/>
          <w:szCs w:val="24"/>
        </w:rPr>
        <w:t xml:space="preserve">Initial post-operative stroke prophylaxis included </w:t>
      </w:r>
      <w:r w:rsidRPr="005A307C">
        <w:rPr>
          <w:rFonts w:ascii="Times New Roman" w:hAnsi="Times New Roman" w:cs="Times New Roman"/>
          <w:sz w:val="24"/>
          <w:szCs w:val="24"/>
        </w:rPr>
        <w:t xml:space="preserve">ASA, clopidogrel and atorvastatin for stroke prophylaxis but switched to full dose anticoagulation with enoxaparin on day 13 of the hospitalization. </w:t>
      </w:r>
      <w:r>
        <w:rPr>
          <w:rFonts w:ascii="Times New Roman" w:hAnsi="Times New Roman" w:cs="Times New Roman"/>
          <w:sz w:val="24"/>
          <w:szCs w:val="24"/>
        </w:rPr>
        <w:t>The patient</w:t>
      </w:r>
      <w:r w:rsidRPr="005A307C">
        <w:rPr>
          <w:rFonts w:ascii="Times New Roman" w:hAnsi="Times New Roman" w:cs="Times New Roman"/>
          <w:sz w:val="24"/>
          <w:szCs w:val="24"/>
        </w:rPr>
        <w:t xml:space="preserve"> continue</w:t>
      </w:r>
      <w:r>
        <w:rPr>
          <w:rFonts w:ascii="Times New Roman" w:hAnsi="Times New Roman" w:cs="Times New Roman"/>
          <w:sz w:val="24"/>
          <w:szCs w:val="24"/>
        </w:rPr>
        <w:t>s</w:t>
      </w:r>
      <w:r w:rsidRPr="005A307C">
        <w:rPr>
          <w:rFonts w:ascii="Times New Roman" w:hAnsi="Times New Roman" w:cs="Times New Roman"/>
          <w:sz w:val="24"/>
          <w:szCs w:val="24"/>
        </w:rPr>
        <w:t xml:space="preserve"> to require ventilator support due to acute respiratory distress syndrome.</w:t>
      </w:r>
    </w:p>
    <w:p w14:paraId="02E39ABA" w14:textId="77777777" w:rsidR="00C616E7" w:rsidRDefault="00C616E7" w:rsidP="00C616E7">
      <w:pPr>
        <w:pStyle w:val="BodyText"/>
        <w:spacing w:line="480" w:lineRule="auto"/>
        <w:rPr>
          <w:rFonts w:ascii="Times New Roman" w:hAnsi="Times New Roman" w:cs="Times New Roman"/>
          <w:sz w:val="24"/>
          <w:szCs w:val="24"/>
        </w:rPr>
      </w:pPr>
    </w:p>
    <w:p w14:paraId="37FB2AEE" w14:textId="77777777" w:rsidR="006A3DA0" w:rsidRDefault="006A3DA0">
      <w:pPr>
        <w:rPr>
          <w:rFonts w:ascii="Times New Roman" w:hAnsi="Times New Roman"/>
        </w:rPr>
      </w:pPr>
      <w:r>
        <w:rPr>
          <w:rFonts w:ascii="Times New Roman" w:hAnsi="Times New Roman"/>
        </w:rPr>
        <w:br w:type="page"/>
      </w:r>
    </w:p>
    <w:p w14:paraId="7664124A" w14:textId="2918D048" w:rsidR="006A3DA0" w:rsidRDefault="006A3DA0" w:rsidP="006A3DA0">
      <w:pPr>
        <w:spacing w:line="480" w:lineRule="auto"/>
        <w:rPr>
          <w:rFonts w:ascii="Times New Roman" w:hAnsi="Times New Roman"/>
        </w:rPr>
      </w:pPr>
      <w:r w:rsidRPr="006A3DA0">
        <w:rPr>
          <w:rFonts w:ascii="Times New Roman" w:hAnsi="Times New Roman"/>
        </w:rPr>
        <w:lastRenderedPageBreak/>
        <w:t>Figure 1</w:t>
      </w:r>
    </w:p>
    <w:p w14:paraId="6FEC7CC7" w14:textId="2842A23C" w:rsidR="006A3DA0" w:rsidRPr="006A3DA0" w:rsidRDefault="00EA45BA" w:rsidP="00EA45BA">
      <w:pPr>
        <w:spacing w:line="480" w:lineRule="auto"/>
        <w:rPr>
          <w:rFonts w:ascii="Times New Roman" w:hAnsi="Times New Roman"/>
        </w:rPr>
      </w:pPr>
      <w:r>
        <w:rPr>
          <w:rFonts w:ascii="Times New Roman" w:hAnsi="Times New Roman"/>
          <w:noProof/>
        </w:rPr>
        <w:drawing>
          <wp:inline distT="0" distB="0" distL="0" distR="0" wp14:anchorId="61C1C26A" wp14:editId="08BF26DD">
            <wp:extent cx="5943600" cy="3028950"/>
            <wp:effectExtent l="0" t="0" r="0" b="6350"/>
            <wp:docPr id="2" name="Picture 2" descr="A picture containing photo, fruit,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overall).jpg"/>
                    <pic:cNvPicPr/>
                  </pic:nvPicPr>
                  <pic:blipFill>
                    <a:blip r:embed="rId8"/>
                    <a:stretch>
                      <a:fillRect/>
                    </a:stretch>
                  </pic:blipFill>
                  <pic:spPr>
                    <a:xfrm>
                      <a:off x="0" y="0"/>
                      <a:ext cx="5943600" cy="3028950"/>
                    </a:xfrm>
                    <a:prstGeom prst="rect">
                      <a:avLst/>
                    </a:prstGeom>
                  </pic:spPr>
                </pic:pic>
              </a:graphicData>
            </a:graphic>
          </wp:inline>
        </w:drawing>
      </w:r>
    </w:p>
    <w:p w14:paraId="59912E4D" w14:textId="13B3BEAA" w:rsidR="002B58CA" w:rsidRPr="00CD4A4F" w:rsidRDefault="002B58CA" w:rsidP="002B58CA">
      <w:pPr>
        <w:pStyle w:val="BodyText"/>
        <w:spacing w:line="480" w:lineRule="auto"/>
        <w:rPr>
          <w:rFonts w:ascii="Times New Roman" w:hAnsi="Times New Roman" w:cs="Times New Roman"/>
          <w:i/>
          <w:iCs/>
          <w:sz w:val="24"/>
          <w:szCs w:val="24"/>
        </w:rPr>
      </w:pPr>
      <w:r w:rsidRPr="006A3DA0">
        <w:rPr>
          <w:rFonts w:ascii="Times New Roman" w:hAnsi="Times New Roman" w:cs="Times New Roman"/>
          <w:sz w:val="24"/>
          <w:szCs w:val="24"/>
        </w:rPr>
        <w:t>Figure 1 Legend</w:t>
      </w:r>
      <w:r w:rsidRPr="006A3DA0">
        <w:rPr>
          <w:rFonts w:ascii="Times New Roman" w:hAnsi="Times New Roman" w:cs="Times New Roman"/>
          <w:i/>
          <w:iCs/>
          <w:sz w:val="24"/>
          <w:szCs w:val="24"/>
        </w:rPr>
        <w:t xml:space="preserve">: </w:t>
      </w:r>
      <w:r>
        <w:rPr>
          <w:rFonts w:ascii="Times New Roman" w:hAnsi="Times New Roman" w:cs="Times New Roman"/>
          <w:i/>
          <w:iCs/>
          <w:sz w:val="24"/>
          <w:szCs w:val="24"/>
        </w:rPr>
        <w:t>A patient with no</w:t>
      </w:r>
      <w:r w:rsidRPr="006A3DA0">
        <w:rPr>
          <w:rFonts w:ascii="Times New Roman" w:hAnsi="Times New Roman" w:cs="Times New Roman"/>
          <w:i/>
          <w:iCs/>
          <w:sz w:val="24"/>
          <w:szCs w:val="24"/>
        </w:rPr>
        <w:t xml:space="preserve"> past medical history presented to the ER after 8 days of viral illness and was on Azithromycin therapy after testing positive on day 3. </w:t>
      </w:r>
      <w:r>
        <w:rPr>
          <w:rFonts w:ascii="Times New Roman" w:hAnsi="Times New Roman" w:cs="Times New Roman"/>
          <w:i/>
          <w:iCs/>
          <w:sz w:val="24"/>
          <w:szCs w:val="24"/>
        </w:rPr>
        <w:t xml:space="preserve">NIHSS was </w:t>
      </w:r>
      <w:r w:rsidRPr="006A3DA0">
        <w:rPr>
          <w:rFonts w:ascii="Times New Roman" w:hAnsi="Times New Roman" w:cs="Times New Roman"/>
          <w:i/>
          <w:iCs/>
          <w:sz w:val="24"/>
          <w:szCs w:val="24"/>
        </w:rPr>
        <w:t xml:space="preserve">18 </w:t>
      </w:r>
      <w:r>
        <w:rPr>
          <w:rFonts w:ascii="Times New Roman" w:hAnsi="Times New Roman" w:cs="Times New Roman"/>
          <w:i/>
          <w:iCs/>
          <w:sz w:val="24"/>
          <w:szCs w:val="24"/>
        </w:rPr>
        <w:t xml:space="preserve">on presentation secondary to </w:t>
      </w:r>
      <w:r w:rsidRPr="006A3DA0">
        <w:rPr>
          <w:rFonts w:ascii="Times New Roman" w:hAnsi="Times New Roman" w:cs="Times New Roman"/>
          <w:i/>
          <w:iCs/>
          <w:sz w:val="24"/>
          <w:szCs w:val="24"/>
        </w:rPr>
        <w:t>a left MCA syndrome</w:t>
      </w:r>
      <w:r>
        <w:rPr>
          <w:rFonts w:ascii="Times New Roman" w:hAnsi="Times New Roman" w:cs="Times New Roman"/>
          <w:i/>
          <w:iCs/>
          <w:sz w:val="24"/>
          <w:szCs w:val="24"/>
        </w:rPr>
        <w:t>. N</w:t>
      </w:r>
      <w:r w:rsidRPr="006A3DA0">
        <w:rPr>
          <w:rFonts w:ascii="Times New Roman" w:hAnsi="Times New Roman" w:cs="Times New Roman"/>
          <w:i/>
          <w:iCs/>
          <w:sz w:val="24"/>
          <w:szCs w:val="24"/>
        </w:rPr>
        <w:t>on contrast CT Head is shown in the top left</w:t>
      </w:r>
      <w:r>
        <w:rPr>
          <w:rFonts w:ascii="Times New Roman" w:hAnsi="Times New Roman" w:cs="Times New Roman"/>
          <w:i/>
          <w:iCs/>
          <w:sz w:val="24"/>
          <w:szCs w:val="24"/>
        </w:rPr>
        <w:t xml:space="preserve">. Since presentation was </w:t>
      </w:r>
      <w:r w:rsidRPr="006A3DA0">
        <w:rPr>
          <w:rFonts w:ascii="Times New Roman" w:hAnsi="Times New Roman" w:cs="Times New Roman"/>
          <w:i/>
          <w:iCs/>
          <w:sz w:val="24"/>
          <w:szCs w:val="24"/>
        </w:rPr>
        <w:t>within 4.5 hours of symptoms onset</w:t>
      </w:r>
      <w:r>
        <w:rPr>
          <w:rFonts w:ascii="Times New Roman" w:hAnsi="Times New Roman" w:cs="Times New Roman"/>
          <w:i/>
          <w:iCs/>
          <w:sz w:val="24"/>
          <w:szCs w:val="24"/>
        </w:rPr>
        <w:t>, IV tPA was administered.</w:t>
      </w:r>
      <w:r w:rsidRPr="006A3DA0">
        <w:rPr>
          <w:rFonts w:ascii="Times New Roman" w:hAnsi="Times New Roman" w:cs="Times New Roman"/>
          <w:i/>
          <w:iCs/>
          <w:sz w:val="24"/>
          <w:szCs w:val="24"/>
        </w:rPr>
        <w:t xml:space="preserve"> CTA (top left</w:t>
      </w:r>
      <w:r>
        <w:rPr>
          <w:rFonts w:ascii="Times New Roman" w:hAnsi="Times New Roman" w:cs="Times New Roman"/>
          <w:i/>
          <w:iCs/>
          <w:sz w:val="24"/>
          <w:szCs w:val="24"/>
        </w:rPr>
        <w:t>- Figure 1a</w:t>
      </w:r>
      <w:r w:rsidRPr="006A3DA0">
        <w:rPr>
          <w:rFonts w:ascii="Times New Roman" w:hAnsi="Times New Roman" w:cs="Times New Roman"/>
          <w:i/>
          <w:iCs/>
          <w:sz w:val="24"/>
          <w:szCs w:val="24"/>
        </w:rPr>
        <w:t xml:space="preserve">) confirmed a left M1 thrombus. </w:t>
      </w:r>
      <w:r>
        <w:rPr>
          <w:rFonts w:ascii="Times New Roman" w:hAnsi="Times New Roman" w:cs="Times New Roman"/>
          <w:i/>
          <w:iCs/>
          <w:sz w:val="24"/>
          <w:szCs w:val="24"/>
        </w:rPr>
        <w:t>The patient was taken</w:t>
      </w:r>
      <w:r w:rsidRPr="006A3DA0">
        <w:rPr>
          <w:rFonts w:ascii="Times New Roman" w:hAnsi="Times New Roman" w:cs="Times New Roman"/>
          <w:i/>
          <w:iCs/>
          <w:sz w:val="24"/>
          <w:szCs w:val="24"/>
        </w:rPr>
        <w:t xml:space="preserve"> for mechanical thrombectomy</w:t>
      </w:r>
      <w:r>
        <w:rPr>
          <w:rFonts w:ascii="Times New Roman" w:hAnsi="Times New Roman" w:cs="Times New Roman"/>
          <w:i/>
          <w:iCs/>
          <w:sz w:val="24"/>
          <w:szCs w:val="24"/>
        </w:rPr>
        <w:t xml:space="preserve"> and on initial c</w:t>
      </w:r>
      <w:r w:rsidRPr="006A3DA0">
        <w:rPr>
          <w:rFonts w:ascii="Times New Roman" w:hAnsi="Times New Roman" w:cs="Times New Roman"/>
          <w:i/>
          <w:iCs/>
          <w:sz w:val="24"/>
          <w:szCs w:val="24"/>
        </w:rPr>
        <w:t xml:space="preserve">erebral angiography showed partial recanalization post-TPA and migration of the clot </w:t>
      </w:r>
      <w:r w:rsidR="0097472A" w:rsidRPr="0097472A">
        <w:rPr>
          <w:rFonts w:ascii="Times New Roman" w:hAnsi="Times New Roman" w:cs="Times New Roman"/>
          <w:i/>
          <w:iCs/>
          <w:sz w:val="24"/>
          <w:szCs w:val="24"/>
        </w:rPr>
        <w:t xml:space="preserve">to distal MCA branches </w:t>
      </w:r>
      <w:r w:rsidRPr="006A3DA0">
        <w:rPr>
          <w:rFonts w:ascii="Times New Roman" w:hAnsi="Times New Roman" w:cs="Times New Roman"/>
          <w:i/>
          <w:iCs/>
          <w:sz w:val="24"/>
          <w:szCs w:val="24"/>
        </w:rPr>
        <w:t>(</w:t>
      </w:r>
      <w:r>
        <w:rPr>
          <w:rFonts w:ascii="Times New Roman" w:hAnsi="Times New Roman" w:cs="Times New Roman"/>
          <w:i/>
          <w:iCs/>
          <w:sz w:val="24"/>
          <w:szCs w:val="24"/>
        </w:rPr>
        <w:t>top right- F</w:t>
      </w:r>
      <w:r w:rsidRPr="006A3DA0">
        <w:rPr>
          <w:rFonts w:ascii="Times New Roman" w:hAnsi="Times New Roman" w:cs="Times New Roman"/>
          <w:i/>
          <w:iCs/>
          <w:sz w:val="24"/>
          <w:szCs w:val="24"/>
        </w:rPr>
        <w:t>igure</w:t>
      </w:r>
      <w:r>
        <w:rPr>
          <w:rFonts w:ascii="Times New Roman" w:hAnsi="Times New Roman" w:cs="Times New Roman"/>
          <w:i/>
          <w:iCs/>
          <w:sz w:val="24"/>
          <w:szCs w:val="24"/>
        </w:rPr>
        <w:t xml:space="preserve"> 1b</w:t>
      </w:r>
      <w:r w:rsidRPr="006A3DA0">
        <w:rPr>
          <w:rFonts w:ascii="Times New Roman" w:hAnsi="Times New Roman" w:cs="Times New Roman"/>
          <w:i/>
          <w:iCs/>
          <w:sz w:val="24"/>
          <w:szCs w:val="24"/>
        </w:rPr>
        <w:t xml:space="preserve">). Patient was thus given intra-arterial tPA in these branches (bottom </w:t>
      </w:r>
      <w:r>
        <w:rPr>
          <w:rFonts w:ascii="Times New Roman" w:hAnsi="Times New Roman" w:cs="Times New Roman"/>
          <w:i/>
          <w:iCs/>
          <w:sz w:val="24"/>
          <w:szCs w:val="24"/>
        </w:rPr>
        <w:t>lef</w:t>
      </w:r>
      <w:r w:rsidRPr="006A3DA0">
        <w:rPr>
          <w:rFonts w:ascii="Times New Roman" w:hAnsi="Times New Roman" w:cs="Times New Roman"/>
          <w:i/>
          <w:iCs/>
          <w:sz w:val="24"/>
          <w:szCs w:val="24"/>
        </w:rPr>
        <w:t>t</w:t>
      </w:r>
      <w:r>
        <w:rPr>
          <w:rFonts w:ascii="Times New Roman" w:hAnsi="Times New Roman" w:cs="Times New Roman"/>
          <w:i/>
          <w:iCs/>
          <w:sz w:val="24"/>
          <w:szCs w:val="24"/>
        </w:rPr>
        <w:t xml:space="preserve">- Figure 1c </w:t>
      </w:r>
      <w:r w:rsidRPr="006A3DA0">
        <w:rPr>
          <w:rFonts w:ascii="Times New Roman" w:hAnsi="Times New Roman" w:cs="Times New Roman"/>
          <w:i/>
          <w:iCs/>
          <w:sz w:val="24"/>
          <w:szCs w:val="24"/>
        </w:rPr>
        <w:t xml:space="preserve">). Post operatively infarcts in </w:t>
      </w:r>
      <w:r>
        <w:rPr>
          <w:rFonts w:ascii="Times New Roman" w:hAnsi="Times New Roman" w:cs="Times New Roman"/>
          <w:i/>
          <w:iCs/>
          <w:sz w:val="24"/>
          <w:szCs w:val="24"/>
        </w:rPr>
        <w:t>the</w:t>
      </w:r>
      <w:r w:rsidRPr="006A3DA0">
        <w:rPr>
          <w:rFonts w:ascii="Times New Roman" w:hAnsi="Times New Roman" w:cs="Times New Roman"/>
          <w:i/>
          <w:iCs/>
          <w:sz w:val="24"/>
          <w:szCs w:val="24"/>
        </w:rPr>
        <w:t xml:space="preserve"> left putamen as well as temporal and parietal regions</w:t>
      </w:r>
      <w:r>
        <w:rPr>
          <w:rFonts w:ascii="Times New Roman" w:hAnsi="Times New Roman" w:cs="Times New Roman"/>
          <w:i/>
          <w:iCs/>
          <w:sz w:val="24"/>
          <w:szCs w:val="24"/>
        </w:rPr>
        <w:t xml:space="preserve"> were seen</w:t>
      </w:r>
      <w:r w:rsidRPr="006A3DA0">
        <w:rPr>
          <w:rFonts w:ascii="Times New Roman" w:hAnsi="Times New Roman" w:cs="Times New Roman"/>
          <w:i/>
          <w:iCs/>
          <w:sz w:val="24"/>
          <w:szCs w:val="24"/>
        </w:rPr>
        <w:t xml:space="preserve"> (</w:t>
      </w:r>
      <w:r>
        <w:rPr>
          <w:rFonts w:ascii="Times New Roman" w:hAnsi="Times New Roman" w:cs="Times New Roman"/>
          <w:i/>
          <w:iCs/>
          <w:sz w:val="24"/>
          <w:szCs w:val="24"/>
        </w:rPr>
        <w:t>bottom right – Figure 1d</w:t>
      </w:r>
      <w:r w:rsidRPr="006A3DA0">
        <w:rPr>
          <w:rFonts w:ascii="Times New Roman" w:hAnsi="Times New Roman" w:cs="Times New Roman"/>
          <w:i/>
          <w:iCs/>
          <w:sz w:val="24"/>
          <w:szCs w:val="24"/>
        </w:rPr>
        <w:t>)</w:t>
      </w:r>
    </w:p>
    <w:p w14:paraId="31AA1F6F" w14:textId="77777777" w:rsidR="002B58CA" w:rsidRDefault="002B58CA" w:rsidP="002B58CA"/>
    <w:p w14:paraId="2FB52A30" w14:textId="77777777" w:rsidR="002B58CA" w:rsidRDefault="002B58CA">
      <w:pPr>
        <w:rPr>
          <w:rFonts w:ascii="Times New Roman" w:hAnsi="Times New Roman"/>
          <w:b/>
          <w:bCs/>
        </w:rPr>
      </w:pPr>
      <w:r>
        <w:rPr>
          <w:rFonts w:ascii="Times New Roman" w:hAnsi="Times New Roman"/>
          <w:b/>
          <w:bCs/>
        </w:rPr>
        <w:br w:type="page"/>
      </w:r>
    </w:p>
    <w:p w14:paraId="291608A7" w14:textId="5353560A" w:rsidR="00C616E7" w:rsidRPr="00C616E7" w:rsidRDefault="00B84251" w:rsidP="00C616E7">
      <w:pPr>
        <w:spacing w:line="480" w:lineRule="auto"/>
        <w:rPr>
          <w:rFonts w:ascii="Times New Roman" w:hAnsi="Times New Roman"/>
          <w:b/>
          <w:bCs/>
        </w:rPr>
      </w:pPr>
      <w:r>
        <w:rPr>
          <w:rFonts w:ascii="Times New Roman" w:hAnsi="Times New Roman"/>
          <w:b/>
          <w:bCs/>
        </w:rPr>
        <w:lastRenderedPageBreak/>
        <w:t>Discussion</w:t>
      </w:r>
    </w:p>
    <w:p w14:paraId="4D56A909" w14:textId="77777777" w:rsidR="00C616E7" w:rsidRPr="006A3DA0" w:rsidRDefault="00C616E7" w:rsidP="00C616E7">
      <w:pPr>
        <w:pStyle w:val="MediumGrid21"/>
        <w:spacing w:line="480" w:lineRule="auto"/>
        <w:rPr>
          <w:rFonts w:ascii="Times New Roman" w:hAnsi="Times New Roman"/>
        </w:rPr>
      </w:pPr>
      <w:bookmarkStart w:id="5" w:name="_Hlk39251389"/>
      <w:r w:rsidRPr="006A3DA0">
        <w:rPr>
          <w:rFonts w:ascii="Times New Roman" w:hAnsi="Times New Roman"/>
        </w:rPr>
        <w:t>COVID-19 patients may have an asymptomatic, moderate or a severe course of illness.</w:t>
      </w:r>
      <w:r w:rsidRPr="006A3DA0">
        <w:rPr>
          <w:rFonts w:ascii="Times New Roman" w:hAnsi="Times New Roman"/>
        </w:rPr>
        <w:fldChar w:fldCharType="begin" w:fldLock="1"/>
      </w:r>
      <w:r w:rsidRPr="006A3DA0">
        <w:rPr>
          <w:rFonts w:ascii="Times New Roman" w:hAnsi="Times New Roman"/>
        </w:rPr>
        <w:instrText>ADDIN CSL_CITATION {"citationItems":[{"id":"ITEM-1","itemData":{"DOI":"10.1016/S0140-6736(20)30566-3","ISSN":"1474547X","PMID":"32171076","abstract":"Background: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Lancet","id":"ITEM-1","issue":"10229","issued":{"date-parts":[["2020"]]},"page":"1054-1062","publisher":"Elsevier Ltd","title":"Clinical course and risk factors for mortality of adult inpatients with COVID-19 in Wuhan, China: a retrospective cohort study","type":"article-journal","volume":"395"},"uris":["http://www.mendeley.com/documents/?uuid=eee32fff-ff8b-4859-8962-c89acca21bd3"]}],"mendeley":{"formattedCitation":"(10)","plainTextFormattedCitation":"(10)","previouslyFormattedCitation":"[10]"},"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(10)</w:t>
      </w:r>
      <w:r w:rsidRPr="006A3DA0">
        <w:rPr>
          <w:rFonts w:ascii="Times New Roman" w:hAnsi="Times New Roman"/>
        </w:rPr>
        <w:fldChar w:fldCharType="end"/>
      </w:r>
      <w:r w:rsidRPr="006A3DA0">
        <w:rPr>
          <w:rFonts w:ascii="Times New Roman" w:hAnsi="Times New Roman"/>
        </w:rPr>
        <w:t xml:space="preserve"> The more severe form of the disease which requires intensive care seems to affect patients who are older, have underlying conditions and those who develop acute respiratory distress syndrome.</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2020.3633","ISSN":"15383598","PMID":"32159735","author":[{"dropping-particle":"","family":"Murthy","given":"Srinivas","non-dropping-particle":"","parse-names":false,"suffix":""},{"dropping-particle":"","family":"Gomersall","given":"Charles D.","non-dropping-particle":"","parse-names":false,"suffix":""},{"dropping-particle":"","family":"Fowler","given":"Robert A.","non-dropping-particle":"","parse-names":false,"suffix":""}],"container-title":"JAMA - Journal of the American Medical Association","id":"ITEM-1","issued":{"date-parts":[["2020"]]},"title":"Care for Critically Ill Patients with COVID-19","type":"article"},"uris":["http://www.mendeley.com/documents/?uuid=8395ad35-ec24-46f2-84b4-9182b0a0b6d0"]}],"mendeley":{"formattedCitation":"(17)","plainTextFormattedCitation":"(17)","previouslyFormattedCitation":"[17]"},"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(17)</w:t>
      </w:r>
      <w:r w:rsidRPr="006A3DA0">
        <w:rPr>
          <w:rFonts w:ascii="Times New Roman" w:hAnsi="Times New Roman"/>
        </w:rPr>
        <w:fldChar w:fldCharType="end"/>
      </w:r>
      <w:r w:rsidRPr="006A3DA0">
        <w:rPr>
          <w:rFonts w:ascii="Times New Roman" w:hAnsi="Times New Roman"/>
        </w:rPr>
        <w:t xml:space="preserve"> The more severe form can also affect the heart, liver, kidneys and be associated with sepsis or septic shock.</w:t>
      </w:r>
      <w:r w:rsidRPr="006A3DA0">
        <w:rPr>
          <w:rFonts w:ascii="Times New Roman" w:hAnsi="Times New Roman"/>
        </w:rPr>
        <w:fldChar w:fldCharType="begin" w:fldLock="1"/>
      </w:r>
      <w:r w:rsidRPr="006A3DA0">
        <w:rPr>
          <w:rFonts w:ascii="Times New Roman" w:hAnsi="Times New Roman"/>
        </w:rPr>
        <w:instrText>ADDIN CSL_CITATION {"citationItems":[{"id":"ITEM-1","itemData":{"DOI":"10.1016/S0140-6736(20)30566-3","ISSN":"1474547X","PMID":"32171076","abstract":"Background: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Lancet","id":"ITEM-1","issue":"10229","issued":{"date-parts":[["2020"]]},"page":"1054-1062","publisher":"Elsevier Ltd","title":"Clinical course and risk factors for mortality of adult inpatients with COVID-19 in Wuhan, China: a retrospective cohort study","type":"article-journal","volume":"395"},"uris":["http://www.mendeley.com/documents/?uuid=eee32fff-ff8b-4859-8962-c89acca21bd3"]},{"id":"ITEM-2","itemData":{"DOI":"10.1007/s00134-020-05991-x","ISSN":"14321238","PMID":"32125452","author":[{"dropping-particle":"","family":"Ruan","given":"Qiurong","non-dropping-particle":"","parse-names":false,"suffix":""},{"dropping-particle":"","family":"Yang","given":"Kun","non-dropping-particle":"","parse-names":false,"suffix":""},{"dropping-particle":"","family":"Wang","given":"Wenxia","non-dropping-particle":"","parse-names":false,"suffix":""},{"dropping-particle":"","family":"Jiang","given":"Lingyu","non-dropping-particle":"","parse-names":false,"suffix":""},{"dropping-particle":"","family":"Song","given":"Jianxin","non-dropping-particle":"","parse-names":false,"suffix":""}],"container-title":"Intensive Care Medicine","id":"ITEM-2","issued":{"date-parts":[["2020"]]},"title":"Clinical predictors of mortality due to COVID-19 based on an analysis of data of 150 patients from Wuhan, China","type":"article"},"uris":["http://www.mendeley.com/documents/?uuid=c5b47d62-202a-438d-a585-3fc0dea077d0"]}],"mendeley":{"formattedCitation":"(7,10)","plainTextFormattedCitation":"(7,10)","previouslyFormattedCitation":"[7,10]"},"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(7,10)</w:t>
      </w:r>
      <w:r w:rsidRPr="006A3DA0">
        <w:rPr>
          <w:rFonts w:ascii="Times New Roman" w:hAnsi="Times New Roman"/>
        </w:rPr>
        <w:fldChar w:fldCharType="end"/>
      </w:r>
      <w:r w:rsidRPr="006A3DA0">
        <w:rPr>
          <w:rFonts w:ascii="Times New Roman" w:hAnsi="Times New Roman"/>
        </w:rPr>
        <w:t xml:space="preserve"> </w:t>
      </w:r>
    </w:p>
    <w:bookmarkEnd w:id="5"/>
    <w:p w14:paraId="109FAB38" w14:textId="77777777" w:rsidR="00C616E7" w:rsidRPr="006A3DA0" w:rsidRDefault="00C616E7" w:rsidP="00C616E7">
      <w:pPr>
        <w:pStyle w:val="MediumGrid21"/>
        <w:spacing w:line="480" w:lineRule="auto"/>
        <w:rPr>
          <w:rFonts w:ascii="Times New Roman" w:hAnsi="Times New Roman"/>
        </w:rPr>
      </w:pPr>
    </w:p>
    <w:p w14:paraId="58783ADD" w14:textId="77777777" w:rsidR="00C616E7" w:rsidRPr="006A3DA0" w:rsidRDefault="00C616E7" w:rsidP="00C616E7">
      <w:pPr>
        <w:pStyle w:val="MediumGrid21"/>
        <w:spacing w:line="480" w:lineRule="auto"/>
        <w:rPr>
          <w:rFonts w:ascii="Times New Roman" w:hAnsi="Times New Roman"/>
        </w:rPr>
      </w:pPr>
      <w:r w:rsidRPr="006A3DA0">
        <w:rPr>
          <w:rFonts w:ascii="Times New Roman" w:hAnsi="Times New Roman"/>
        </w:rPr>
        <w:t>Several case reports have also reported the possibility of a hypercoagulable condition caused by the virus.</w:t>
      </w:r>
      <w:r w:rsidRPr="006A3DA0">
        <w:rPr>
          <w:rFonts w:ascii="Times New Roman" w:hAnsi="Times New Roman"/>
        </w:rPr>
        <w:fldChar w:fldCharType="begin" w:fldLock="1"/>
      </w:r>
      <w:r w:rsidRPr="006A3DA0">
        <w:rPr>
          <w:rFonts w:ascii="Times New Roman" w:hAnsi="Times New Roman"/>
        </w:rPr>
        <w:instrText>ADDIN CSL_CITATION {"citationItems":[{"id":"ITEM-1","itemData":{"DOI":"10.1016/S2352-3026(20)30109-5","ISBN":"0000000000000","ISSN":"2352-3026","PMID":"32278361","author":[{"dropping-particle":"","family":"Wang","given":"Tao","non-dropping-particle":"","parse-names":false,"suffix":""},{"dropping-particle":"","family":"Chen","given":"Ruchong","non-dropping-particle":"","parse-names":false,"suffix":""},{"dropping-particle":"","family":"Liu","given":"Chunli","non-dropping-particle":"","parse-names":false,"suffix":""},{"dropping-particle":"","family":"Liang","given":"Wenhua","non-dropping-particle":"","parse-names":false,"suffix":""},{"dropping-particle":"","family":"Guan","given":"Weijie","non-dropping-particle":"","parse-names":false,"suffix":""},{"dropping-particle":"","family":"Tang","given":"Ruidi","non-dropping-particle":"","parse-names":false,"suffix":""},{"dropping-particle":"","family":"Tang","given":"Chunli","non-dropping-particle":"","parse-names":false,"suffix":""},{"dropping-particle":"","family":"Zhang","given":"Nuofu","non-dropping-particle":"","parse-names":false,"suffix":""},{"dropping-particle":"","family":"Zhong","given":"Nanshan","non-dropping-particle":"","parse-names":false,"suffix":""},{"dropping-particle":"","family":"Li","given":"Shiyue","non-dropping-particle":"","parse-names":false,"suffix":""}],"container-title":"The Lancet. Haematology","id":"ITEM-1","issue":"20","issued":{"date-parts":[["2020"]]},"page":"2019-2020","publisher":"Elsevier Ltd","title":"Attention should be paid to venous thromboembolism prophylaxis in the management of COVID-19.","type":"article-journal","volume":"2019"},"uris":["http://www.mendeley.com/documents/?uuid=aa6a61a7-f7ad-43ce-9759-8246180789c7"]},{"id":"ITEM-2","itemData":{"DOI":"10.1515/cclm-2020-0188","ISSN":"1434-6621","PMID":"32172226","abstract":"Background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(CCLM)","id":"ITEM-2","issue":"0","issued":{"date-parts":[["2020"]]},"title":"Prominent changes in blood coagulation of patients with SARS-CoV-2 infection","type":"article-journal","volume":"0"},"uris":["http://www.mendeley.com/documents/?uuid=68704927-d960-4fb9-8379-32cb11b6ddba"]},{"id":"ITEM-3","itemData":{"DOI":"10.1007/s11239-020-02105-8","ISBN":"0123456789","ISSN":"0929-5305","PMID":"32246317","abstract":"Severe coronavirus disease 2019 (COVID-19) is commonly complicated with coagulopathy, the difference of coagulation features between severe pneumonia induced by SARS-CoV2 and non-SARS-CoV2 has not been analyzed. Coagulation results and clinical features of consecutive patients with severe pneumonia induced by SARS-CoV2 (COVID group) and non-SARS-CoV2 (non-COVID group) in Tongji hospital were retrospectively analyzed and compared. Whether patients with elevated D-dimer could benefit from anticoagulant treatment was evaluated. There were 449 COVID patients and 104 non-COVID patients enrolled into the study. The 28-day mortality in COVID group was approximately twofold of mortality in non-COVID group (29.8% vs. 15.4%, P = 0.003), COVID group were older (65.1 ± 12.0 vs. 58.4 ± 18.0, years, P &lt; 0.001) and with higher platelet count (215 ± 100 vs. 188 ± 98, ×109/L, P = 0.015), comparing to non-COVID group. The 28-day mortality of heparin users were lower than nonusers In COVID group with D-dimer &gt; 3.0 μg/mL (32.8% vs. 52.4%, P = 0.017). Patients with severe pneumonia induced by SARS-CoV2 had higher platelet count than those induced by non-SARS-CoV2, and only the former with markedly elevated D-dimer may benefit from anticoagulant treatment.","author":[{"dropping-particle":"","family":"Yin","given":"Shiyu","non-dropping-particle":"","parse-names":false,"suffix":""},{"dropping-particle":"","family":"Huang","given":"Ming","non-dropping-particle":"","parse-names":false,"suffix":""},{"dropping-particle":"","family":"Li","given":"Dengju","non-dropping-particle":"","parse-names":false,"suffix":""},{"dropping-particle":"","family":"Tang","given":"Ning","non-dropping-particle":"","parse-names":false,"suffix":""}],"container-title":"Journal of Thrombosis and Thrombolysis","id":"ITEM-3","issued":{"date-parts":[["2020"]]},"page":"3-6","publisher":"Springer US","title":"Difference of coagulation features between severe pneumonia induced by SARS-CoV2 and non-SARS-CoV2","type":"article-journal"},"uris":["http://www.mendeley.com/documents/?uuid=b0910e76-6b10-4ab3-ac55-711c42e574b2"]},{"id":"ITEM-4","itemData":{"DOI":"10.1111/jth.14817","ISSN":"1538-7836","PMID":"32220112","abstract":"BACKGROUND A relatively high mortality of severe coronavirus disease 2019 (COVID-19) is worrying, the application of heparin in COVID-19 has been recommended by some expert consensus due to the risk of disseminated intravascular coagulation and venous thromboembolism. However, its efficacy remains to be validated. METHODS Coagulation results, medications and outcomes of consecutive patients being classified as severe COVID-19 in Tongji hospital were retrospectively analysed. The 28-day mortality between heparin users and nonusers were compared, also in different risk of coagulopaphy which was stratified by the sepsis-induced coagulopathy (SIC) score or D-dimer result. RESULTS There were 449 patients with severe COVID-19 enrolled into the study, 99 of them received heparin (mainly with low molecular weight heparin, LMWH) for 7 days or longer. The D-dimer, prothrombin time and age were positively, and platelet count was negatively, correlated with 28-day mortality in multivariate analysis. No difference on 28-day mortality was found between heparin users and nonusers (30.3% vs 29.7%, P=0.910). But the 28-day mortality of heparin users were lower than nonusers In patients with SIC score ≥4 (40.0% vs 64.2%, P=0.029), or D-dimer &gt; 6 fold of upper limit of normal (32.8% vs 52.4%, P=0.017). CONCLUSIONS Anticoagulant therapy mainly with LMWH appears to be associated with better prognosis in severe COVID-19 patients meeting SIC criteria or with markedly elevated D-dimer.","author":[{"dropping-particle":"","family":"Tang","given":"Ning","non-dropping-particle":"","parse-names":false,"suffix":""},{"dropping-particle":"","family":"Bai","given":"Huan","non-dropping-particle":"","parse-names":false,"suffix":""},{"dropping-particle":"","family":"Chen","given":"Xing","non-dropping-particle":"","parse-names":false,"suffix":""},{"dropping-particle":"","family":"Gong","given":"Jiale","non-dropping-particle":"","parse-names":false,"suffix":""},{"dropping-particle":"","family":"Li","given":"Dengju","non-dropping-particle":"","parse-names":false,"suffix":""},{"dropping-particle":"","family":"Sun","given":"Ziyong","non-dropping-particle":"","parse-names":false,"suffix":""}],"container-title":"Journal of Thrombosis and Haemostasis","id":"ITEM-4","issued":{"date-parts":[["2020"]]},"title":"Anticoagulant treatment is associated with decreased mortality in severe coronavirus disease 2019 patients with coagulopathy","type":"article-journal"},"uris":["http://www.mendeley.com/documents/?uuid=629340d5-5666-4fce-89dd-badfcffa3826"]}],"mendeley":{"formattedCitation":"(9,11,18,19)","plainTextFormattedCitation":"(9,11,18,19)","previouslyFormattedCitation":"[9,11,18,19]"},"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(9,11,18,19)</w:t>
      </w:r>
      <w:r w:rsidRPr="006A3DA0">
        <w:rPr>
          <w:rFonts w:ascii="Times New Roman" w:hAnsi="Times New Roman"/>
        </w:rPr>
        <w:fldChar w:fldCharType="end"/>
      </w:r>
      <w:r w:rsidRPr="006A3DA0">
        <w:rPr>
          <w:rFonts w:ascii="Times New Roman" w:hAnsi="Times New Roman"/>
        </w:rPr>
        <w:t xml:space="preserve"> This has specifically been seen in cases with higher incidence of VTE or PE. Although initially suspected to be due to poor prophylaxis, recent reports suggest a systemic hypercoagulable condition at play.</w:t>
      </w:r>
      <w:r w:rsidRPr="006A3DA0">
        <w:rPr>
          <w:rFonts w:ascii="Times New Roman" w:hAnsi="Times New Roman"/>
        </w:rPr>
        <w:fldChar w:fldCharType="begin" w:fldLock="1"/>
      </w:r>
      <w:r w:rsidRPr="006A3DA0">
        <w:rPr>
          <w:rFonts w:ascii="Times New Roman" w:hAnsi="Times New Roman"/>
        </w:rPr>
        <w:instrText>ADDIN CSL_CITATION {"citationItems":[{"id":"ITEM-1","itemData":{"DOI":"10.1016/S2352-3026(20)30109-5","ISBN":"0000000000000","ISSN":"2352-3026","PMID":"32278361","author":[{"dropping-particle":"","family":"Wang","given":"Tao","non-dropping-particle":"","parse-names":false,"suffix":""},{"dropping-particle":"","family":"Chen","given":"Ruchong","non-dropping-particle":"","parse-names":false,"suffix":""},{"dropping-particle":"","family":"Liu","given":"Chunli","non-dropping-particle":"","parse-names":false,"suffix":""},{"dropping-particle":"","family":"Liang","given":"Wenhua","non-dropping-particle":"","parse-names":false,"suffix":""},{"dropping-particle":"","family":"Guan","given":"Weijie","non-dropping-particle":"","parse-names":false,"suffix":""},{"dropping-particle":"","family":"Tang","given":"Ruidi","non-dropping-particle":"","parse-names":false,"suffix":""},{"dropping-particle":"","family":"Tang","given":"Chunli","non-dropping-particle":"","parse-names":false,"suffix":""},{"dropping-particle":"","family":"Zhang","given":"Nuofu","non-dropping-particle":"","parse-names":false,"suffix":""},{"dropping-particle":"","family":"Zhong","given":"Nanshan","non-dropping-particle":"","parse-names":false,"suffix":""},{"dropping-particle":"","family":"Li","given":"Shiyue","non-dropping-particle":"","parse-names":false,"suffix":""}],"container-title":"The Lancet. Haematology","id":"ITEM-1","issue":"20","issued":{"date-parts":[["2020"]]},"page":"2019-2020","publisher":"Elsevier Ltd","title":"Attention should be paid to venous thromboembolism prophylaxis in the management of COVID-19.","type":"article-journal","volume":"2019"},"uris":["http://www.mendeley.com/documents/?uuid=aa6a61a7-f7ad-43ce-9759-8246180789c7"]},{"id":"ITEM-2","itemData":{"DOI":"10.1111/jth.14817","ISSN":"1538-7836","PMID":"32220112","abstract":"BACKGROUND A relatively high mortality of severe coronavirus disease 2019 (COVID-19) is worrying, the application of heparin in COVID-19 has been recommended by some expert consensus due to the risk of disseminated intravascular coagulation and venous thromboembolism. However, its efficacy remains to be validated. METHODS Coagulation results, medications and outcomes of consecutive patients being classified as severe COVID-19 in Tongji hospital were retrospectively analysed. The 28-day mortality between heparin users and nonusers were compared, also in different risk of coagulopaphy which was stratified by the sepsis-induced coagulopathy (SIC) score or D-dimer result. RESULTS There were 449 patients with severe COVID-19 enrolled into the study, 99 of them received heparin (mainly with low molecular weight heparin, LMWH) for 7 days or longer. The D-dimer, prothrombin time and age were positively, and platelet count was negatively, correlated with 28-day mortality in multivariate analysis. No difference on 28-day mortality was found between heparin users and nonusers (30.3% vs 29.7%, P=0.910). But the 28-day mortality of heparin users were lower than nonusers In patients with SIC score ≥4 (40.0% vs 64.2%, P=0.029), or D-dimer &gt; 6 fold of upper limit of normal (32.8% vs 52.4%, P=0.017). CONCLUSIONS Anticoagulant therapy mainly with LMWH appears to be associated with better prognosis in severe COVID-19 patients meeting SIC criteria or with markedly elevated D-dimer.","author":[{"dropping-particle":"","family":"Tang","given":"Ning","non-dropping-particle":"","parse-names":false,"suffix":""},{"dropping-particle":"","family":"Bai","given":"Huan","non-dropping-particle":"","parse-names":false,"suffix":""},{"dropping-particle":"","family":"Chen","given":"Xing","non-dropping-particle":"","parse-names":false,"suffix":""},{"dropping-particle":"","family":"Gong","given":"Jiale","non-dropping-particle":"","parse-names":false,"suffix":""},{"dropping-particle":"","family":"Li","given":"Dengju","non-dropping-particle":"","parse-names":false,"suffix":""},{"dropping-particle":"","family":"Sun","given":"Ziyong","non-dropping-particle":"","parse-names":false,"suffix":""}],"container-title":"Journal of Thrombosis and Haemostasis","id":"ITEM-2","issued":{"date-parts":[["2020"]]},"title":"Anticoagulant treatment is associated with decreased mortality in severe coronavirus disease 2019 patients with coagulopathy","type":"article-journal"},"uris":["http://www.mendeley.com/documents/?uuid=629340d5-5666-4fce-89dd-badfcffa3826"]}],"mendeley":{"formattedCitation":"(18,19)","plainTextFormattedCitation":"(18,19)","previouslyFormattedCitation":"[18,19]"},"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(18,19)</w:t>
      </w:r>
      <w:r w:rsidRPr="006A3DA0">
        <w:rPr>
          <w:rFonts w:ascii="Times New Roman" w:hAnsi="Times New Roman"/>
        </w:rPr>
        <w:fldChar w:fldCharType="end"/>
      </w:r>
      <w:r w:rsidRPr="006A3DA0">
        <w:rPr>
          <w:rFonts w:ascii="Times New Roman" w:hAnsi="Times New Roman"/>
        </w:rPr>
        <w:t xml:space="preserve"> This is further supported by reports of autopsies which found clots in the lung, liver as well as kidneys.</w:t>
      </w:r>
      <w:r w:rsidRPr="006A3DA0">
        <w:rPr>
          <w:rFonts w:ascii="Times New Roman" w:hAnsi="Times New Roman"/>
        </w:rPr>
        <w:fldChar w:fldCharType="begin" w:fldLock="1"/>
      </w:r>
      <w:r w:rsidRPr="006A3DA0">
        <w:rPr>
          <w:rFonts w:ascii="Times New Roman" w:hAnsi="Times New Roman"/>
        </w:rPr>
        <w:instrText>ADDIN CSL_CITATION {"citationItems":[{"id":"ITEM-1","itemData":{"DOI":"10.1101/2020.04.06.20050575","abstract":"SARS-CoV-2 has rapidly spread across the United States, causing extensive morbidity and mortality, though the histopathologic basis of severe disease cases has yet to be studied in detail. Over the past century, autopsy has contributed significantly to our understanding of numerous disease processes, but for several reasons, autopsy reports following deaths related to SARS-CoV-2 have thus far been limited across the globe. We report on the relevant cardiopulmonary findings in the first series of autopsies in the United States, with the cause of death being due to SARS-CoV-2 infection. These cases identify key pathologic states potentially contributing to severe disease and decompensation in these patients.Competing Interest StatementThe authors have declared no competing interest.Funding StatementThe authors received no payment or services from a third party for any aspect of the submitted work. No external funding was received.Author DeclarationsAll relevant ethical guidelines have been followed; any necessary IRB and/or ethics committee approvals have been obtained and details of the IRB/oversight body are included in the manuscript.YesAll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advance).Yes I have followed all appropriate research reporting guidelines and uploaded the relevant EQUATOR Network research reporting checklist(s) and other pertinent material as supplementary files, if applicable.YesData presented within this manuscript is available upon request within applicable law.","author":[{"dropping-particle":"","family":"Fox","given":"Sharon E","non-dropping-particle":"","parse-names":false,"suffix":""},{"dropping-particle":"","family":"Akmatbekov","given":"Aibek","non-dropping-particle":"","parse-names":false,"suffix":""},{"dropping-particle":"","family":"Harbert","given":"Jack L","non-dropping-particle":"","parse-names":false,"suffix":""},{"dropping-particle":"","family":"Li","given":"Guang","non-dropping-particle":"","parse-names":false,"suffix":""},{"dropping-particle":"","family":"Brown","given":"J Quincy","non-dropping-particle":"","parse-names":false,"suffix":""},{"dropping-particle":"","family":"Heide","given":"Richard S","non-dropping-particle":"Vander","parse-names":false,"suffix":""}],"container-title":"medRxiv","id":"ITEM-1","issued":{"date-parts":[["2020","1","1"]]},"page":"2020.04.06.20050575","title":"Pulmonary and Cardiac Pathology in Covid-19: The First Autopsy Series from New Orleans","type":"article-journal"},"uris":["http://www.mendeley.com/documents/?uuid=091b4da3-45d0-4967-a83d-73d3190ac55e"]},{"id":"ITEM-2","itemData":{"DOI":"10.1016/S0140-6736(20)30566-3","ISSN":"1474547X","PMID":"32171076","abstract":"Background: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Lancet","id":"ITEM-2","issue":"10229","issued":{"date-parts":[["2020"]]},"page":"1054-1062","publisher":"Elsevier Ltd","title":"Clinical course and risk factors for mortality of adult inpatients with COVID-19 in Wuhan, China: a retrospective cohort study","type":"article-journal","volume":"395"},"uris":["http://www.mendeley.com/documents/?uuid=eee32fff-ff8b-4859-8962-c89acca21bd3"]}],"mendeley":{"formattedCitation":"(10,20)","plainTextFormattedCitation":"(10,20)","previouslyFormattedCitation":"[10,20]"},"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(10,20)</w:t>
      </w:r>
      <w:r w:rsidRPr="006A3DA0">
        <w:rPr>
          <w:rFonts w:ascii="Times New Roman" w:hAnsi="Times New Roman"/>
        </w:rPr>
        <w:fldChar w:fldCharType="end"/>
      </w:r>
      <w:r w:rsidRPr="006A3DA0">
        <w:rPr>
          <w:rFonts w:ascii="Times New Roman" w:hAnsi="Times New Roman"/>
        </w:rPr>
        <w:t xml:space="preserve"> This hypercoagulability is often associated with deranged lab values </w:t>
      </w:r>
      <w:r>
        <w:rPr>
          <w:rFonts w:ascii="Times New Roman" w:hAnsi="Times New Roman"/>
        </w:rPr>
        <w:t>seen in</w:t>
      </w:r>
      <w:r w:rsidRPr="006A3DA0">
        <w:rPr>
          <w:rFonts w:ascii="Times New Roman" w:hAnsi="Times New Roman"/>
        </w:rPr>
        <w:t xml:space="preserve"> both inflammatory condition</w:t>
      </w:r>
      <w:r>
        <w:rPr>
          <w:rFonts w:ascii="Times New Roman" w:hAnsi="Times New Roman"/>
        </w:rPr>
        <w:t>s</w:t>
      </w:r>
      <w:r w:rsidRPr="006A3DA0">
        <w:rPr>
          <w:rFonts w:ascii="Times New Roman" w:hAnsi="Times New Roman"/>
        </w:rPr>
        <w:t xml:space="preserve"> </w:t>
      </w:r>
      <w:r>
        <w:rPr>
          <w:rFonts w:ascii="Times New Roman" w:hAnsi="Times New Roman"/>
        </w:rPr>
        <w:t xml:space="preserve">and </w:t>
      </w:r>
      <w:r w:rsidRPr="006A3DA0">
        <w:rPr>
          <w:rFonts w:ascii="Times New Roman" w:hAnsi="Times New Roman"/>
        </w:rPr>
        <w:t>consumptive coagulopat</w:t>
      </w:r>
      <w:r>
        <w:rPr>
          <w:rFonts w:ascii="Times New Roman" w:hAnsi="Times New Roman"/>
        </w:rPr>
        <w:t>hies</w:t>
      </w:r>
      <w:r w:rsidRPr="006A3DA0">
        <w:rPr>
          <w:rFonts w:ascii="Times New Roman" w:hAnsi="Times New Roman"/>
        </w:rPr>
        <w:t>.</w:t>
      </w:r>
      <w:r w:rsidRPr="006A3DA0">
        <w:rPr>
          <w:rFonts w:ascii="Times New Roman" w:hAnsi="Times New Roman"/>
        </w:rPr>
        <w:fldChar w:fldCharType="begin" w:fldLock="1"/>
      </w:r>
      <w:r w:rsidRPr="006A3DA0">
        <w:rPr>
          <w:rFonts w:ascii="Times New Roman" w:hAnsi="Times New Roman"/>
        </w:rPr>
        <w:instrText>ADDIN CSL_CITATION {"citationItems":[{"id":"ITEM-1","itemData":{"author":[{"dropping-particle":"","family":"Senst B, Tadi P, Basit H","given":"et al.","non-dropping-particle":"","parse-names":false,"suffix":""}],"id":"ITEM-1","issued":{"date-parts":[["0"]]},"title":"Hypercoagulability. [Updated 2020 Mar 24]. In: StatPearls [Internet]. Treasure Island (FL): StatPearls Publishing; 2020 Jan-","type":"book"},"uris":["http://www.mendeley.com/documents/?uuid=1748fa8c-2281-44ff-8beb-da6259a8d59f"]},{"id":"ITEM-2","itemData":{"DOI":"10.1515/cclm-2020-0188","ISSN":"1434-6621","PMID":"32172226","abstract":"Background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(CCLM)","id":"ITEM-2","issue":"0","issued":{"date-parts":[["2020"]]},"title":"Prominent changes in blood coagulation of patients with SARS-CoV-2 infection","type":"article-journal","volume":"0"},"uris":["http://www.mendeley.com/documents/?uuid=68704927-d960-4fb9-8379-32cb11b6ddba"]}],"mendeley":{"formattedCitation":"(9,12)","plainTextFormattedCitation":"(9,12)","previouslyFormattedCitation":"[9,12]"},"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(9,12)</w:t>
      </w:r>
      <w:r w:rsidRPr="006A3DA0">
        <w:rPr>
          <w:rFonts w:ascii="Times New Roman" w:hAnsi="Times New Roman"/>
        </w:rPr>
        <w:fldChar w:fldCharType="end"/>
      </w:r>
      <w:r w:rsidRPr="006A3DA0">
        <w:rPr>
          <w:rFonts w:ascii="Times New Roman" w:hAnsi="Times New Roman"/>
        </w:rPr>
        <w:t xml:space="preserve"> These include elevation of D-dimer, Fibrin/Fibrinogen degradation products (FDP) and fibrinogen as well as shorter Thrombin Time.</w:t>
      </w:r>
      <w:r w:rsidRPr="006A3DA0">
        <w:rPr>
          <w:rFonts w:ascii="Times New Roman" w:hAnsi="Times New Roman"/>
        </w:rPr>
        <w:fldChar w:fldCharType="begin" w:fldLock="1"/>
      </w:r>
      <w:r w:rsidRPr="006A3DA0">
        <w:rPr>
          <w:rFonts w:ascii="Times New Roman" w:hAnsi="Times New Roman"/>
        </w:rPr>
        <w:instrText>ADDIN CSL_CITATION {"citationItems":[{"id":"ITEM-1","itemData":{"DOI":"10.1515/cclm-2020-0188","ISSN":"1434-6621","PMID":"32172226","abstract":"Background As the number of patients increases, there is a growing understanding of the form of pneumonia sustained by the 2019 novel coronavirus (SARS-CoV-2), which has caused an outbreak in China. Up to now, clinical features and treatment of patients infected with SARS-CoV-2 have been reported in detail. However, the relationship between SARS-CoV-2 and coagulation has been scarcely addressed. Our aim is to investigate the blood coagulation function of patients with SARS-CoV-2 infection. Methods In our study, 94 patients with confirmed SARS-CoV-2 infection were admitted in Renmin Hospital of Wuhan University. We prospectively collect blood coagulation data in these patients and in 40 healthy controls during the same period. Results Antithrombin values in patients were lower than that in the control group (p &lt; 0.001). The values of D-dimer, fibrin/fibrinogen degradation products (FDP), and fibrinogen (FIB) in all SARS-CoV-2 cases were substantially higher than those in healthy controls. Moreover, D-dimer and FDP values in patients with severe SARS-CoV-2 infection were higher than those in patients with milder forms. Compared with healthy controls, prothrombin time activity (PT-act) was lower in SARS-CoV-2 patients. Thrombin time in critical SARS-CoV-2 patients was also shorter than that in controls. Conclusions The coagulation function in patients with SARS-CoV-2 is significantly deranged compared with healthy people, but monitoring D-dimer and FDP values may be helpful for the early identification of severe cases.","author":[{"dropping-particle":"","family":"Han","given":"Huan","non-dropping-particle":"","parse-names":false,"suffix":""},{"dropping-particle":"","family":"Yang","given":"Lan","non-dropping-particle":"","parse-names":false,"suffix":""},{"dropping-particle":"","family":"Liu","given":"Rui","non-dropping-particle":"","parse-names":false,"suffix":""},{"dropping-particle":"","family":"Liu","given":"Fang","non-dropping-particle":"","parse-names":false,"suffix":""},{"dropping-particle":"","family":"Wu","given":"Kai-lang","non-dropping-particle":"","parse-names":false,"suffix":""},{"dropping-particle":"","family":"Li","given":"Jie","non-dropping-particle":"","parse-names":false,"suffix":""},{"dropping-particle":"","family":"Liu","given":"Xing-hui","non-dropping-particle":"","parse-names":false,"suffix":""},{"dropping-particle":"","family":"Zhu","given":"Cheng-liang","non-dropping-particle":"","parse-names":false,"suffix":""}],"container-title":"Clinical Chemistry and Laboratory Medicine (CCLM)","id":"ITEM-1","issue":"0","issued":{"date-parts":[["2020"]]},"title":"Prominent changes in blood coagulation of patients with SARS-CoV-2 infection","type":"article-journal","volume":"0"},"uris":["http://www.mendeley.com/documents/?uuid=68704927-d960-4fb9-8379-32cb11b6ddba"]},{"id":"ITEM-2","itemData":{"DOI":"10.1007/s11239-020-02105-8","ISBN":"0123456789","ISSN":"0929-5305","PMID":"32246317","abstract":"Severe coronavirus disease 2019 (COVID-19) is commonly complicated with coagulopathy, the difference of coagulation features between severe pneumonia induced by SARS-CoV2 and non-SARS-CoV2 has not been analyzed. Coagulation results and clinical features of consecutive patients with severe pneumonia induced by SARS-CoV2 (COVID group) and non-SARS-CoV2 (non-COVID group) in Tongji hospital were retrospectively analyzed and compared. Whether patients with elevated D-dimer could benefit from anticoagulant treatment was evaluated. There were 449 COVID patients and 104 non-COVID patients enrolled into the study. The 28-day mortality in COVID group was approximately twofold of mortality in non-COVID group (29.8% vs. 15.4%, P = 0.003), COVID group were older (65.1 ± 12.0 vs. 58.4 ± 18.0, years, P &lt; 0.001) and with higher platelet count (215 ± 100 vs. 188 ± 98, ×109/L, P = 0.015), comparing to non-COVID group. The 28-day mortality of heparin users were lower than nonusers In COVID group with D-dimer &gt; 3.0 μg/mL (32.8% vs. 52.4%, P = 0.017). Patients with severe pneumonia induced by SARS-CoV2 had higher platelet count than those induced by non-SARS-CoV2, and only the former with markedly elevated D-dimer may benefit from anticoagulant treatment.","author":[{"dropping-particle":"","family":"Yin","given":"Shiyu","non-dropping-particle":"","parse-names":false,"suffix":""},{"dropping-particle":"","family":"Huang","given":"Ming","non-dropping-particle":"","parse-names":false,"suffix":""},{"dropping-particle":"","family":"Li","given":"Dengju","non-dropping-particle":"","parse-names":false,"suffix":""},{"dropping-particle":"","family":"Tang","given":"Ning","non-dropping-particle":"","parse-names":false,"suffix":""}],"container-title":"Journal of Thrombosis and Thrombolysis","id":"ITEM-2","issued":{"date-parts":[["2020"]]},"page":"3-6","publisher":"Springer US","title":"Difference of coagulation features between severe pneumonia induced by SARS-CoV2 and non-SARS-CoV2","type":"article-journal"},"uris":["http://www.mendeley.com/documents/?uuid=b0910e76-6b10-4ab3-ac55-711c42e574b2"]}],"mendeley":{"formattedCitation":"(9,11)","plainTextFormattedCitation":"(9,11)","previouslyFormattedCitation":"[9,11]"},"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(9,11)</w:t>
      </w:r>
      <w:r w:rsidRPr="006A3DA0">
        <w:rPr>
          <w:rFonts w:ascii="Times New Roman" w:hAnsi="Times New Roman"/>
        </w:rPr>
        <w:fldChar w:fldCharType="end"/>
      </w:r>
      <w:r w:rsidRPr="006A3DA0">
        <w:rPr>
          <w:rFonts w:ascii="Times New Roman" w:hAnsi="Times New Roman"/>
        </w:rPr>
        <w:t xml:space="preserve"> Threshold of d-dimers are in fact being used as a guide by several groups to guide prophylactic systemic anticoagulation.</w:t>
      </w:r>
      <w:r w:rsidRPr="006A3DA0">
        <w:rPr>
          <w:rFonts w:ascii="Times New Roman" w:hAnsi="Times New Roman"/>
        </w:rPr>
        <w:fldChar w:fldCharType="begin" w:fldLock="1"/>
      </w:r>
      <w:r w:rsidRPr="006A3DA0">
        <w:rPr>
          <w:rFonts w:ascii="Times New Roman" w:hAnsi="Times New Roman"/>
        </w:rPr>
        <w:instrText>ADDIN CSL_CITATION {"citationItems":[{"id":"ITEM-1","itemData":{"author":[{"dropping-particle":"","family":"Hunt","given":"Beverley","non-dropping-particle":"","parse-names":false,"suffix":""},{"dropping-particle":"","family":"Retter","given":"Andrew","non-dropping-particle":"","parse-names":false,"suffix":""},{"dropping-particle":"","family":"McClintock","given":"Claire","non-dropping-particle":"","parse-names":false,"suffix":""}],"id":"ITEM-1","issued":{"date-parts":[["0"]]},"title":"Practical guidance for the prevention of thrombosis and management of coagulopathy and disseminated intravascular coagulation of patients infected with COVID-19","type":"broadcast"},"uris":["http://www.mendeley.com/documents/?uuid=049241de-a3c2-4c09-922a-eac4dd296d70"]}],"mendeley":{"formattedCitation":"(21)","plainTextFormattedCitation":"(21)","previouslyFormattedCitation":"[21]"},"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(21)</w:t>
      </w:r>
      <w:r w:rsidRPr="006A3DA0">
        <w:rPr>
          <w:rFonts w:ascii="Times New Roman" w:hAnsi="Times New Roman"/>
        </w:rPr>
        <w:fldChar w:fldCharType="end"/>
      </w:r>
      <w:r w:rsidRPr="006A3DA0">
        <w:rPr>
          <w:rFonts w:ascii="Times New Roman" w:hAnsi="Times New Roman"/>
        </w:rPr>
        <w:t xml:space="preserve"> </w:t>
      </w:r>
    </w:p>
    <w:p w14:paraId="177720FB" w14:textId="77777777" w:rsidR="00C616E7" w:rsidRPr="006A3DA0" w:rsidRDefault="00C616E7" w:rsidP="00C616E7">
      <w:pPr>
        <w:spacing w:line="480" w:lineRule="auto"/>
        <w:rPr>
          <w:rFonts w:ascii="Times New Roman" w:hAnsi="Times New Roman"/>
        </w:rPr>
      </w:pPr>
    </w:p>
    <w:p w14:paraId="5038F7DA" w14:textId="77777777" w:rsidR="00C616E7" w:rsidRPr="005A307C" w:rsidRDefault="00C616E7" w:rsidP="00C616E7">
      <w:pPr>
        <w:pStyle w:val="MediumGrid21"/>
        <w:spacing w:line="480" w:lineRule="auto"/>
        <w:rPr>
          <w:rFonts w:ascii="Times New Roman" w:hAnsi="Times New Roman"/>
        </w:rPr>
      </w:pPr>
      <w:r w:rsidRPr="006A3DA0">
        <w:rPr>
          <w:rFonts w:ascii="Times New Roman" w:hAnsi="Times New Roman"/>
        </w:rPr>
        <w:t>Most neurological manifestations of COVID-19 have been non-focal presentations like headaches, encephalopathy, long tract cortical signs or seizures.</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id":"ITEM-2","itemData":{"DOI":"10.1056/NEJMc2008597","ISSN":"1533-4406","PMID":"32294339","author":[{"dropping-particle":"","family":"Helms","given":"Julie","non-dropping-particle":"","parse-names":false,"suffix":""},{"dropping-particle":"","family":"Kremer","given":"Stéphane","non-dropping-particle":"","parse-names":false,"suffix":""},{"dropping-particle":"","family":"Merdji","given":"Hamid","non-dropping-particle":"","parse-names":false,"suffix":""},{"dropping-particle":"","family":"Clere-Jehl","given":"Raphaël","non-dropping-particle":"","parse-names":false,"suffix":""},{"dropping-particle":"","family":"Schenck","given":"Malika","non-dropping-particle":"","parse-names":false,"suffix":""},{"dropping-particle":"","family":"Kummerlen","given":"Christine","non-dropping-particle":"","parse-names":false,"suffix":""},{"dropping-particle":"","family":"Collange","given":"Olivier","non-dropping-particle":"","parse-names":false,"suffix":""},{"dropping-particle":"","family":"Boulay","given":"Clotilde","non-dropping-particle":"","parse-names":false,"suffix":""},{"dropping-particle":"","family":"Fafi-Kremer","given":"Samira","non-dropping-particle":"","parse-names":false,"suffix":""},{"dropping-particle":"","family":"Ohana","given":"Mickaël","non-dropping-particle":"","parse-names":false,"suffix":""},{"dropping-particle":"","family":"Anheim","given":"Mathieu","non-dropping-particle":"","parse-names":false,"suffix":""},{"dropping-particle":"","family":"Meziani","given":"Ferhat","non-dropping-particle":"","parse-names":false,"suffix":""}],"container-title":"The New England journal of medicine","id":"ITEM-2","issued":{"date-parts":[["2020"]]},"page":"1-2","title":"Neurologic Features in Severe SARS-CoV-2 Infection.","type":"article-journal"},"uris":["http://www.mendeley.com/documents/?uuid=30d01c3f-d77d-4891-8c73-67a43d592ae6"]},{"id":"ITEM-3","itemData":{"DOI":"10.1002/jmv.25728","ISSN":"10969071","abstract":"Following the severe acute respiratory syndrome coronavirus (SARS-CoV) and Middle East respiratory syndrome coronavirus (MERS-CoV), another highly pathogenic coronavirus named SARS-CoV-2 (previously known as 2019-nCoV) emerged in December 2019 in Wuhan, China, and rapidly spreads around the world. This virus shares highly homological sequence with SARS-CoV, and causes acute, highly lethal pneumonia coronavirus disease 2019 (COVID-19) with clinical symptoms similar to those reported for SARS-CoV and MERS-CoV. The most characteristic symptom of patients with COVID-19 is respiratory distress, and most of the patients admitted to the intensive care could not breathe spontaneously. Additionally, some patients with COVID-19 also showed neurologic signs, such as headache, nausea, and vomiting. Increasing evidence shows that coronaviruses are not always confined to the respiratory tract and that they may also invade the central nervous system inducing neurological diseases. The infection of SARS-CoV has been reported in the brains from both patients and experimental animals, where the brainstem was heavily infected. Furthermore, some coronaviruses have been demonstrated able to spread via a synapse-connected route to the medullary cardiorespiratory center from the mechanoreceptors and chemoreceptors in the lung and lower respiratory airways. In light of the high similarity between SARS-CoV and SARS-CoV2, it is quite likely that the potential invasion of SARS-CoV2 is partially responsible for the acute respiratory failure of patients with COVID-19. Awareness of this will have important guiding significance for the prevention and treatment of the SARS-CoV-2-induced respiratory failure.","author":[{"dropping-particle":"","family":"Li","given":"Yan Chao","non-dropping-particle":"","parse-names":false,"suffix":""},{"dropping-particle":"","family":"Bai","given":"Wan Zhu","non-dropping-particle":"","parse-names":false,"suffix":""},{"dropping-particle":"","family":"Hashikawa","given":"Tsutomu","non-dropping-particle":"","parse-names":false,"suffix":""}],"container-title":"Journal of Medical Virology","id":"ITEM-3","issue":"February","issued":{"date-parts":[["2020"]]},"page":"24-27","title":"The neuroinvasive potential of SARS-CoV2 may be at least partially responsible for the respiratory failure of COVID-19 patients","type":"article-journal"},"uris":["http://www.mendeley.com/documents/?uuid=b5c16d49-4761-4ef1-9b44-6615deb649b4"]}],"mendeley":{"formattedCitation":"(8,13,14)","plainTextFormattedCitation":"(8,13,14)","previouslyFormattedCitation":"[8,13,14]"},"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(8,13,14)</w:t>
      </w:r>
      <w:r w:rsidRPr="006A3DA0">
        <w:rPr>
          <w:rFonts w:ascii="Times New Roman" w:hAnsi="Times New Roman"/>
        </w:rPr>
        <w:fldChar w:fldCharType="end"/>
      </w:r>
      <w:r w:rsidRPr="006A3DA0">
        <w:rPr>
          <w:rFonts w:ascii="Times New Roman" w:hAnsi="Times New Roman"/>
        </w:rPr>
        <w:t xml:space="preserve"> </w:t>
      </w:r>
      <w:r w:rsidRPr="006A3DA0">
        <w:rPr>
          <w:rFonts w:ascii="Times New Roman" w:eastAsia="Garamond" w:hAnsi="Times New Roman"/>
        </w:rPr>
        <w:t xml:space="preserve">Li et al described the possibility of the  neuro-invasiveness of SARS-COV2 being similar to other </w:t>
      </w:r>
      <w:proofErr w:type="spellStart"/>
      <w:r w:rsidRPr="006A3DA0">
        <w:rPr>
          <w:rFonts w:ascii="Times New Roman" w:eastAsia="Garamond" w:hAnsi="Times New Roman"/>
        </w:rPr>
        <w:t>coronaviridae</w:t>
      </w:r>
      <w:proofErr w:type="spellEnd"/>
      <w:r w:rsidRPr="006A3DA0">
        <w:rPr>
          <w:rFonts w:ascii="Times New Roman" w:eastAsia="Garamond" w:hAnsi="Times New Roman"/>
        </w:rPr>
        <w:t xml:space="preserve">. They distinctly point out the possibility of a synaptic, </w:t>
      </w:r>
      <w:r>
        <w:rPr>
          <w:rFonts w:ascii="Times New Roman" w:eastAsia="Garamond" w:hAnsi="Times New Roman"/>
        </w:rPr>
        <w:t>but non-</w:t>
      </w:r>
      <w:r w:rsidRPr="006A3DA0">
        <w:rPr>
          <w:rFonts w:ascii="Times New Roman" w:eastAsia="Garamond" w:hAnsi="Times New Roman"/>
        </w:rPr>
        <w:t>vascular, transmission of the virus to the brain.</w:t>
      </w:r>
      <w:r w:rsidRPr="006A3DA0">
        <w:rPr>
          <w:rFonts w:ascii="Times New Roman" w:hAnsi="Times New Roman"/>
        </w:rPr>
        <w:fldChar w:fldCharType="begin" w:fldLock="1"/>
      </w:r>
      <w:r w:rsidRPr="006A3DA0">
        <w:rPr>
          <w:rFonts w:ascii="Times New Roman" w:hAnsi="Times New Roman"/>
        </w:rPr>
        <w:instrText>ADDIN CSL_CITATION {"citationItems":[{"id":"ITEM-1","itemData":{"DOI":"10.1002/jmv.25728","ISSN":"10969071","abstract":"Following the severe acute respiratory syndrome coronavirus (SARS-CoV) and Middle East respiratory syndrome coronavirus (MERS-CoV), another highly pathogenic coronavirus named SARS-CoV-2 (previously known as 2019-nCoV) emerged in December 2019 in Wuhan, China, and rapidly spreads around the world. This virus shares highly homological sequence with SARS-CoV, and causes acute, highly lethal pneumonia coronavirus disease 2019 (COVID-19) with clinical symptoms similar to those reported for SARS-CoV and MERS-CoV. The most characteristic symptom of patients with COVID-19 is respiratory distress, and most of the patients admitted to the intensive care could not breathe spontaneously. Additionally, some patients with COVID-19 also showed neurologic signs, such as headache, nausea, and vomiting. Increasing evidence shows that coronaviruses are not always confined to the respiratory tract and that they may also invade the central nervous system inducing neurological diseases. The infection of SARS-CoV has been reported in the brains from both patients and experimental animals, where the brainstem was heavily infected. Furthermore, some coronaviruses have been demonstrated able to spread via a synapse-connected route to the medullary cardiorespiratory center from the mechanoreceptors and chemoreceptors in the lung and lower respiratory airways. In light of the high similarity between SARS-CoV and SARS-CoV2, it is quite likely that the potential invasion of SARS-CoV2 is partially responsible for the acute respiratory failure of patients with COVID-19. Awareness of this will have important guiding significance for the prevention and treatment of the SARS-CoV-2-induced respiratory failure.","author":[{"dropping-particle":"","family":"Li","given":"Yan Chao","non-dropping-particle":"","parse-names":false,"suffix":""},{"dropping-particle":"","family":"Bai","given":"Wan Zhu","non-dropping-particle":"","parse-names":false,"suffix":""},{"dropping-particle":"","family":"Hashikawa","given":"Tsutomu","non-dropping-particle":"","parse-names":false,"suffix":""}],"container-title":"Journal of Medical Virology","id":"ITEM-1","issue":"February","issued":{"date-parts":[["2020"]]},"page":"24-27","title":"The neuroinvasive potential of SARS-CoV2 may be at least partially responsible for the respiratory failure of COVID-19 patients","type":"article-journal"},"uris":["http://www.mendeley.com/documents/?uuid=b5c16d49-4761-4ef1-9b44-6615deb649b4"]},{"id":"ITEM-2","itemData":{"abstract":"TX 2 DISCLAIMER These recommendations for the treatment of neurointerventional patients during the COVID-19 pandemic are provided for informational and educational purposes only. Adherence to these recommendations will not ensure successful treatment in every situation. Furthermore, these recommendations should not be interpreted as setting a standard of care, or be deemed inclusive of all proper methods of care nor exclusive of other methods of care reasonably directed to obtaining the same results. The ultimate judgment regarding the propriety of any specific therapy must be made by the physician and the patient in light of all the circumstances presented by the individual patient, and the known variability and biological behavior of the medical condition. These recommendations reflect the best available information at this time. The results of future studies may require revisions to these recommendations. SNIS does not warrant the accuracy or completeness of these recommendations and assumes no responsibility for any injury or damage to persons or property arising out of or related to any use of these recommendations or for any errors or omissions. 3","author":[{"dropping-particle":"","family":"Ansari","given":"Sameer A","non-dropping-particle":"","parse-names":false,"suffix":""},{"dropping-particle":"","family":"Dabus","given":"Guilherme","non-dropping-particle":"","parse-names":false,"suffix":""},{"dropping-particle":"V","family":"Jayaraman","given":"Mahesh","non-dropping-particle":"","parse-names":false,"suffix":""},{"dropping-particle":"","family":"William","given":"J","non-dropping-particle":"","parse-names":false,"suffix":""}],"id":"ITEM-2","issued":{"date-parts":[["0"]]},"page":"1-8","title":"Society of NeuroInterventional Surgery recommendations for the care of emergent neurointerventional patients in the setting of","type":"article-journal"},"uris":["http://www.mendeley.com/documents/?uuid=51de387a-9a6a-4760-a2d9-fff67493f4c1"]}],"mendeley":{"formattedCitation":"(14,22)","plainTextFormattedCitation":"(14,22)","previouslyFormattedCitation":"[14,22]"},"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(14,22)</w:t>
      </w:r>
      <w:r w:rsidRPr="006A3DA0">
        <w:rPr>
          <w:rFonts w:ascii="Times New Roman" w:hAnsi="Times New Roman"/>
        </w:rPr>
        <w:fldChar w:fldCharType="end"/>
      </w:r>
      <w:r w:rsidRPr="006A3DA0">
        <w:rPr>
          <w:rFonts w:ascii="Times New Roman" w:hAnsi="Times New Roman"/>
        </w:rPr>
        <w:t xml:space="preserve"> However more severe forms of COVID-19 cases have been shown to present with </w:t>
      </w:r>
      <w:r w:rsidRPr="006A3DA0">
        <w:rPr>
          <w:rFonts w:ascii="Times New Roman" w:hAnsi="Times New Roman"/>
        </w:rPr>
        <w:lastRenderedPageBreak/>
        <w:t>strokes.</w:t>
      </w:r>
      <w:r w:rsidRPr="006A3DA0">
        <w:rPr>
          <w:rFonts w:ascii="Times New Roman" w:hAnsi="Times New Roman"/>
        </w:rPr>
        <w:fldChar w:fldCharType="begin" w:fldLock="1"/>
      </w:r>
      <w:r w:rsidRPr="006A3DA0">
        <w:rPr>
          <w:rFonts w:ascii="Times New Roman" w:hAnsi="Times New Roman"/>
        </w:rPr>
        <w:instrText>ADDIN CSL_CITATION {"citationItems":[{"id":"ITEM-1","itemData":{"DOI":"10.1056/NEJMc2008597","ISSN":"1533-4406","PMID":"32294339","author":[{"dropping-particle":"","family":"Helms","given":"Julie","non-dropping-particle":"","parse-names":false,"suffix":""},{"dropping-particle":"","family":"Kremer","given":"Stéphane","non-dropping-particle":"","parse-names":false,"suffix":""},{"dropping-particle":"","family":"Merdji","given":"Hamid","non-dropping-particle":"","parse-names":false,"suffix":""},{"dropping-particle":"","family":"Clere-Jehl","given":"Raphaël","non-dropping-particle":"","parse-names":false,"suffix":""},{"dropping-particle":"","family":"Schenck","given":"Malika","non-dropping-particle":"","parse-names":false,"suffix":""},{"dropping-particle":"","family":"Kummerlen","given":"Christine","non-dropping-particle":"","parse-names":false,"suffix":""},{"dropping-particle":"","family":"Collange","given":"Olivier","non-dropping-particle":"","parse-names":false,"suffix":""},{"dropping-particle":"","family":"Boulay","given":"Clotilde","non-dropping-particle":"","parse-names":false,"suffix":""},{"dropping-particle":"","family":"Fafi-Kremer","given":"Samira","non-dropping-particle":"","parse-names":false,"suffix":""},{"dropping-particle":"","family":"Ohana","given":"Mickaël","non-dropping-particle":"","parse-names":false,"suffix":""},{"dropping-particle":"","family":"Anheim","given":"Mathieu","non-dropping-particle":"","parse-names":false,"suffix":""},{"dropping-particle":"","family":"Meziani","given":"Ferhat","non-dropping-particle":"","parse-names":false,"suffix":""}],"container-title":"The New England journal of medicine","id":"ITEM-1","issued":{"date-parts":[["2020"]]},"page":"1-2","title":"Neurologic Features in Severe SARS-CoV-2 Infection.","type":"article-journal"},"uris":["http://www.mendeley.com/documents/?uuid=30d01c3f-d77d-4891-8c73-67a43d592ae6"]}],"mendeley":{"formattedCitation":"(13)","plainTextFormattedCitation":"(13)","previouslyFormattedCitation":"[13]"},"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(13)</w:t>
      </w:r>
      <w:r w:rsidRPr="006A3DA0">
        <w:rPr>
          <w:rFonts w:ascii="Times New Roman" w:hAnsi="Times New Roman"/>
        </w:rPr>
        <w:fldChar w:fldCharType="end"/>
      </w:r>
      <w:r w:rsidRPr="006A3DA0">
        <w:rPr>
          <w:rFonts w:ascii="Times New Roman" w:hAnsi="Times New Roman"/>
        </w:rPr>
        <w:t xml:space="preserve"> As per Mao et al the rate of neurovascular events in their series was about 5.7% of which about 4.9% had ischemic strokes.</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mendeley":{"formattedCitation":"(8)","plainTextFormattedCitation":"(8)","previouslyFormattedCitation":"[8]"},"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w:t>
      </w:r>
      <w:r w:rsidRPr="006A3DA0">
        <w:rPr>
          <w:rFonts w:ascii="Times New Roman" w:hAnsi="Times New Roman"/>
        </w:rPr>
        <w:fldChar w:fldCharType="end"/>
      </w:r>
      <w:r w:rsidRPr="006A3DA0">
        <w:rPr>
          <w:rFonts w:ascii="Times New Roman" w:hAnsi="Times New Roman"/>
        </w:rPr>
        <w:t xml:space="preserve"> </w:t>
      </w:r>
      <w:r w:rsidRPr="005A307C">
        <w:rPr>
          <w:rFonts w:ascii="Times New Roman" w:hAnsi="Times New Roman"/>
        </w:rPr>
        <w:t xml:space="preserve">However, direct endothelial damage mediated by the emerging role of </w:t>
      </w:r>
      <w:r>
        <w:rPr>
          <w:rFonts w:ascii="Times New Roman" w:hAnsi="Times New Roman"/>
        </w:rPr>
        <w:t xml:space="preserve">the </w:t>
      </w:r>
      <w:r w:rsidRPr="005A307C">
        <w:rPr>
          <w:rFonts w:ascii="Times New Roman" w:hAnsi="Times New Roman"/>
        </w:rPr>
        <w:t xml:space="preserve">ACE2 </w:t>
      </w:r>
      <w:r>
        <w:rPr>
          <w:rFonts w:ascii="Times New Roman" w:hAnsi="Times New Roman"/>
        </w:rPr>
        <w:t xml:space="preserve">receptor </w:t>
      </w:r>
      <w:r w:rsidRPr="005A307C">
        <w:rPr>
          <w:rFonts w:ascii="Times New Roman" w:hAnsi="Times New Roman"/>
        </w:rPr>
        <w:t xml:space="preserve">has neither precedent in previous coronavirus epidemics nor in sepsis-induced stroke. In addition to vascular endothelial damage, acute cardiac injury and </w:t>
      </w:r>
      <w:r>
        <w:rPr>
          <w:rFonts w:ascii="Times New Roman" w:hAnsi="Times New Roman"/>
        </w:rPr>
        <w:t>development</w:t>
      </w:r>
      <w:r w:rsidRPr="005A307C">
        <w:rPr>
          <w:rFonts w:ascii="Times New Roman" w:hAnsi="Times New Roman"/>
        </w:rPr>
        <w:t xml:space="preserve"> of antiphospholipid antibodies are important contributing factors</w:t>
      </w:r>
      <w:r>
        <w:rPr>
          <w:rFonts w:ascii="Times New Roman" w:hAnsi="Times New Roman"/>
        </w:rPr>
        <w:t xml:space="preserve"> (9)</w:t>
      </w:r>
      <w:r w:rsidRPr="005A307C">
        <w:rPr>
          <w:rFonts w:ascii="Times New Roman" w:hAnsi="Times New Roman"/>
        </w:rPr>
        <w:t>.</w:t>
      </w:r>
      <w:r>
        <w:rPr>
          <w:rFonts w:ascii="Times New Roman" w:hAnsi="Times New Roman"/>
        </w:rPr>
        <w:t xml:space="preserve"> </w:t>
      </w:r>
    </w:p>
    <w:p w14:paraId="348948A7" w14:textId="77777777" w:rsidR="00C616E7" w:rsidRPr="006A3DA0" w:rsidRDefault="00C616E7" w:rsidP="00C616E7">
      <w:pPr>
        <w:pStyle w:val="MediumGrid21"/>
        <w:spacing w:line="480" w:lineRule="auto"/>
        <w:rPr>
          <w:rFonts w:ascii="Times New Roman" w:hAnsi="Times New Roman"/>
        </w:rPr>
      </w:pPr>
    </w:p>
    <w:p w14:paraId="11B4FC12" w14:textId="77777777" w:rsidR="00C616E7" w:rsidRPr="006A3DA0" w:rsidRDefault="00C616E7" w:rsidP="00C616E7">
      <w:pPr>
        <w:pStyle w:val="MediumGrid21"/>
        <w:spacing w:line="480" w:lineRule="auto"/>
        <w:rPr>
          <w:rFonts w:ascii="Times New Roman" w:hAnsi="Times New Roman"/>
        </w:rPr>
      </w:pPr>
      <w:r w:rsidRPr="006A3DA0">
        <w:rPr>
          <w:rFonts w:ascii="Times New Roman" w:hAnsi="Times New Roman"/>
        </w:rPr>
        <w:t>Most ischemic stroke events in COVID-19 have been reported to be either subcortical or distal cortical distributions.</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id":"ITEM-2","itemData":{"DOI":"10.1056/NEJMc2008597","ISSN":"1533-4406","PMID":"32294339","author":[{"dropping-particle":"","family":"Helms","given":"Julie","non-dropping-particle":"","parse-names":false,"suffix":""},{"dropping-particle":"","family":"Kremer","given":"Stéphane","non-dropping-particle":"","parse-names":false,"suffix":""},{"dropping-particle":"","family":"Merdji","given":"Hamid","non-dropping-particle":"","parse-names":false,"suffix":""},{"dropping-particle":"","family":"Clere-Jehl","given":"Raphaël","non-dropping-particle":"","parse-names":false,"suffix":""},{"dropping-particle":"","family":"Schenck","given":"Malika","non-dropping-particle":"","parse-names":false,"suffix":""},{"dropping-particle":"","family":"Kummerlen","given":"Christine","non-dropping-particle":"","parse-names":false,"suffix":""},{"dropping-particle":"","family":"Collange","given":"Olivier","non-dropping-particle":"","parse-names":false,"suffix":""},{"dropping-particle":"","family":"Boulay","given":"Clotilde","non-dropping-particle":"","parse-names":false,"suffix":""},{"dropping-particle":"","family":"Fafi-Kremer","given":"Samira","non-dropping-particle":"","parse-names":false,"suffix":""},{"dropping-particle":"","family":"Ohana","given":"Mickaël","non-dropping-particle":"","parse-names":false,"suffix":""},{"dropping-particle":"","family":"Anheim","given":"Mathieu","non-dropping-particle":"","parse-names":false,"suffix":""},{"dropping-particle":"","family":"Meziani","given":"Ferhat","non-dropping-particle":"","parse-names":false,"suffix":""}],"container-title":"The New England journal of medicine","id":"ITEM-2","issued":{"date-parts":[["2020"]]},"page":"1-2","title":"Neurologic Features in Severe SARS-CoV-2 Infection.","type":"article-journal"},"uris":["http://www.mendeley.com/documents/?uuid=30d01c3f-d77d-4891-8c73-67a43d592ae6"]}],"mendeley":{"formattedCitation":"(8,13)","plainTextFormattedCitation":"(8,13)","previouslyFormattedCitation":"[8,13]"},"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(8,13)</w:t>
      </w:r>
      <w:r w:rsidRPr="006A3DA0">
        <w:rPr>
          <w:rFonts w:ascii="Times New Roman" w:hAnsi="Times New Roman"/>
        </w:rPr>
        <w:fldChar w:fldCharType="end"/>
      </w:r>
      <w:r w:rsidRPr="006A3DA0">
        <w:rPr>
          <w:rFonts w:ascii="Times New Roman" w:hAnsi="Times New Roman"/>
        </w:rPr>
        <w:t xml:space="preserve"> Several single case reports or small series have reported this to be concomitant in presence of other risk factors like atrial fibrillation, diabetes or hypertension.</w:t>
      </w:r>
      <w:r w:rsidRPr="006A3DA0">
        <w:rPr>
          <w:rFonts w:ascii="Times New Roman" w:hAnsi="Times New Roman"/>
        </w:rPr>
        <w:fldChar w:fldCharType="begin" w:fldLock="1"/>
      </w:r>
      <w:r w:rsidRPr="006A3DA0">
        <w:rPr>
          <w:rFonts w:ascii="Times New Roman" w:hAnsi="Times New Roman"/>
        </w:rPr>
        <w:instrText>ADDIN CSL_CITATION {"citationItems":[{"id":"ITEM-1","itemData":{"DOI":"10.21203/RS.3.RS-20393/V1","abstract":"Background The outbreak of a novel coronavirus since December 2019 in Wuhan, became an emergency of major international concern. As of March 5, 2020, the SARS-CoV-2 epidemic has caused 80,565 confirmed infections with 3,015 fatal cases in China. The SARS-CoV-2 outbreak is a major challenge for clinicians. In our clinic, we found a rare case that a COVID-19 patient combined with ischemic stroke. Case Presentation A 79-year-old man was admitted to the Hubei Provincial Hospital of Chinese Traditional Medicine due to right limb weakness for 1 day and slight cough for 1 week. At presentation, his body temperature was 37.3°C (99.0°F) with some moist rales. Neurological examination showed right limb weakness, and the limb muscle strength was grade 4. The left leg and arms were unaffected. In addition, runs of speech were not fluent enough with tongue deviation. Laboratory studies showed lymphopenia and eosinophilic granulocytopenia. Chest CT revealed bilateral pulmonary parenchymal ground-glass and consolidative pulmonary opacities, with a peripheral lung distribution. Real-time polymerase chain reaction (RT-PCR) from throat swab sample was positive for SARS-CoV-2 nucleic acid. This patient was treated with antiviral drugs and anti-inflammatory drugs with supportive care until his discharge. Clopidogrel (75 mg) and atorvastatin (20 mg) were administered orally to treat acute ischemic stroke. After twelve days of treatment, he can walk normally and communicate with near fluent language. Conclusion We report an even more unusual case, a patient who was hospitalized for right limb weakness and was later diagnosed with COVID-19. Here, SARS-CoV-2 infection caused hypoxemia and excessive secretion of inflammatory cytokines, which contribute to the occurrence and development of ischemic stroke. Once COVID-19 patients show acute ischemic stroke, neurologists should cooperate with infectious disease doctors to help patients.","author":[{"dropping-particle":"","family":"Zhai","given":"Pan","non-dropping-particle":"","parse-names":false,"suffix":""},{"dropping-particle":"","family":"Ding","given":"Yanbing","non-dropping-particle":"","parse-names":false,"suffix":""},{"dropping-particle":"","family":"Li","given":"Yiming","non-dropping-particle":"","parse-names":false,"suffix":""}],"container-title":"Research Square","id":"ITEM-1","issued":{"date-parts":[["2020"]]},"page":"1-10","title":"The impact of COVID-19 on ischemic stroke: A case report","type":"article-journal"},"uris":["http://www.mendeley.com/documents/?uuid=f601c6fb-7e3f-43e5-b3f4-0defa3e59e8a"]},{"id":"ITEM-2","itemData":{"DOI":"10.1056/NEJMc2008597","ISSN":"1533-4406","PMID":"32294339","author":[{"dropping-particle":"","family":"Helms","given":"Julie","non-dropping-particle":"","parse-names":false,"suffix":""},{"dropping-particle":"","family":"Kremer","given":"Stéphane","non-dropping-particle":"","parse-names":false,"suffix":""},{"dropping-particle":"","family":"Merdji","given":"Hamid","non-dropping-particle":"","parse-names":false,"suffix":""},{"dropping-particle":"","family":"Clere-Jehl","given":"Raphaël","non-dropping-particle":"","parse-names":false,"suffix":""},{"dropping-particle":"","family":"Schenck","given":"Malika","non-dropping-particle":"","parse-names":false,"suffix":""},{"dropping-particle":"","family":"Kummerlen","given":"Christine","non-dropping-particle":"","parse-names":false,"suffix":""},{"dropping-particle":"","family":"Collange","given":"Olivier","non-dropping-particle":"","parse-names":false,"suffix":""},{"dropping-particle":"","family":"Boulay","given":"Clotilde","non-dropping-particle":"","parse-names":false,"suffix":""},{"dropping-particle":"","family":"Fafi-Kremer","given":"Samira","non-dropping-particle":"","parse-names":false,"suffix":""},{"dropping-particle":"","family":"Ohana","given":"Mickaël","non-dropping-particle":"","parse-names":false,"suffix":""},{"dropping-particle":"","family":"Anheim","given":"Mathieu","non-dropping-particle":"","parse-names":false,"suffix":""},{"dropping-particle":"","family":"Meziani","given":"Ferhat","non-dropping-particle":"","parse-names":false,"suffix":""}],"container-title":"The New England journal of medicine","id":"ITEM-2","issued":{"date-parts":[["2020"]]},"page":"1-2","title":"Neurologic Features in Severe SARS-CoV-2 Infection.","type":"article-journal"},"uris":["http://www.mendeley.com/documents/?uuid=30d01c3f-d77d-4891-8c73-67a43d592ae6"]}],"mendeley":{"formattedCitation":"(13,16)","plainTextFormattedCitation":"(13,16)","previouslyFormattedCitation":"[13,16]"},"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(13,16)</w:t>
      </w:r>
      <w:r w:rsidRPr="006A3DA0">
        <w:rPr>
          <w:rFonts w:ascii="Times New Roman" w:hAnsi="Times New Roman"/>
        </w:rPr>
        <w:fldChar w:fldCharType="end"/>
      </w:r>
      <w:r w:rsidRPr="006A3DA0">
        <w:rPr>
          <w:rFonts w:ascii="Times New Roman" w:hAnsi="Times New Roman"/>
        </w:rPr>
        <w:t xml:space="preserve"> Others have reported the possibility of several mechanisms for the stroke that maybe directly related to the infection or its complications.</w:t>
      </w:r>
      <w:r w:rsidRPr="006A3DA0">
        <w:rPr>
          <w:rFonts w:ascii="Times New Roman" w:hAnsi="Times New Roman"/>
        </w:rPr>
        <w:fldChar w:fldCharType="begin" w:fldLock="1"/>
      </w:r>
      <w:r w:rsidRPr="006A3DA0">
        <w:rPr>
          <w:rFonts w:ascii="Times New Roman" w:hAnsi="Times New Roman"/>
        </w:rPr>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id":"ITEM-2","itemData":{"author":[{"dropping-particle":"","family":"Cases","given":"Covid-","non-dropping-particle":"","parse-names":false,"suffix":""}],"id":"ITEM-2","issued":{"date-parts":[["2020"]]},"page":"1-3","title":"C or r e sp ondence Coagulopathy and Antiphospholipid Antibodies in Patients with Covid-19","type":"article-journal"},"uris":["http://www.mendeley.com/documents/?uuid=9f2ff001-6c87-4b97-8929-062c4c1143e4"]}],"mendeley":{"formattedCitation":"(8,23)","plainTextFormattedCitation":"(8,23)","previouslyFormattedCitation":"[8,23]"},"properties":{"noteIndex":0},"schema":"https://github.com/citation-style-language/schema/raw/master/csl-citation.json"}</w:instrText>
      </w:r>
      <w:r w:rsidRPr="006A3DA0">
        <w:rPr>
          <w:rFonts w:ascii="Times New Roman" w:hAnsi="Times New Roman"/>
        </w:rPr>
        <w:fldChar w:fldCharType="separate"/>
      </w:r>
      <w:r w:rsidRPr="006A3DA0">
        <w:rPr>
          <w:rFonts w:ascii="Times New Roman" w:hAnsi="Times New Roman"/>
          <w:noProof/>
        </w:rPr>
        <w:t>(8,23)</w:t>
      </w:r>
      <w:r w:rsidRPr="006A3DA0">
        <w:rPr>
          <w:rFonts w:ascii="Times New Roman" w:hAnsi="Times New Roman"/>
        </w:rPr>
        <w:fldChar w:fldCharType="end"/>
      </w:r>
      <w:r w:rsidRPr="006A3DA0">
        <w:rPr>
          <w:rFonts w:ascii="Times New Roman" w:hAnsi="Times New Roman"/>
        </w:rPr>
        <w:t xml:space="preserve"> These include either the causation of acute cardiac injury, creation of antiphospholipid antibodies or even </w:t>
      </w:r>
      <w:r>
        <w:rPr>
          <w:rFonts w:ascii="Times New Roman" w:hAnsi="Times New Roman"/>
        </w:rPr>
        <w:t>the</w:t>
      </w:r>
      <w:r w:rsidRPr="006A3DA0">
        <w:rPr>
          <w:rFonts w:ascii="Times New Roman" w:hAnsi="Times New Roman"/>
        </w:rPr>
        <w:t xml:space="preserve"> result of </w:t>
      </w:r>
      <w:r>
        <w:rPr>
          <w:rFonts w:ascii="Times New Roman" w:hAnsi="Times New Roman"/>
        </w:rPr>
        <w:t xml:space="preserve">a </w:t>
      </w:r>
      <w:r w:rsidRPr="006A3DA0">
        <w:rPr>
          <w:rFonts w:ascii="Times New Roman" w:hAnsi="Times New Roman"/>
        </w:rPr>
        <w:t xml:space="preserve">severe hypercoagulable condition caused due to D-dimer or fibrinogen abnormalities. </w:t>
      </w:r>
    </w:p>
    <w:p w14:paraId="67370A5D" w14:textId="77777777" w:rsidR="00C616E7" w:rsidRPr="006A3DA0" w:rsidRDefault="00C616E7" w:rsidP="00C616E7">
      <w:pPr>
        <w:pStyle w:val="MediumGrid21"/>
        <w:spacing w:line="480" w:lineRule="auto"/>
        <w:rPr>
          <w:rFonts w:ascii="Times New Roman" w:hAnsi="Times New Roman"/>
        </w:rPr>
      </w:pPr>
    </w:p>
    <w:p w14:paraId="45958B18"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In our series, we found that the demographic and disease features of COVID-19-related indices had a variable distribution. Our youngest patient was 27 while our oldest </w:t>
      </w:r>
      <w:r>
        <w:rPr>
          <w:rFonts w:ascii="Times New Roman" w:eastAsia="Garamond" w:hAnsi="Times New Roman"/>
        </w:rPr>
        <w:t xml:space="preserve">was </w:t>
      </w:r>
      <w:r w:rsidRPr="006A3DA0">
        <w:rPr>
          <w:rFonts w:ascii="Times New Roman" w:eastAsia="Garamond" w:hAnsi="Times New Roman"/>
        </w:rPr>
        <w:t>75.</w:t>
      </w:r>
      <w:r>
        <w:rPr>
          <w:rFonts w:ascii="Times New Roman" w:eastAsia="Garamond" w:hAnsi="Times New Roman"/>
        </w:rPr>
        <w:t xml:space="preserve"> While the non-LVO group was older, the median age of both groups is lower than would be expected for the general population. In the case of LVO, a median age of 48 is expressly unusual.</w:t>
      </w:r>
      <w:r w:rsidRPr="006A3DA0">
        <w:rPr>
          <w:rFonts w:ascii="Times New Roman" w:eastAsia="Garamond" w:hAnsi="Times New Roman"/>
        </w:rPr>
        <w:t xml:space="preserve"> Only 40% of our cases were male which is different from the typical male preponderance in other studies. D-dimer was available in 70% of the cases and levels varied from 391 to 32000. Almost 80% had pre-existing conditions like diabetes and hypertension though none of them had history of atrial fibrillation or were chronic smokers. </w:t>
      </w:r>
      <w:r>
        <w:rPr>
          <w:rFonts w:ascii="Times New Roman" w:eastAsia="Garamond" w:hAnsi="Times New Roman"/>
        </w:rPr>
        <w:t>We observed that</w:t>
      </w:r>
      <w:r w:rsidRPr="007A0759">
        <w:rPr>
          <w:rFonts w:ascii="Times New Roman" w:eastAsia="Garamond" w:hAnsi="Times New Roman"/>
        </w:rPr>
        <w:t xml:space="preserve"> only six patients</w:t>
      </w:r>
      <w:r>
        <w:rPr>
          <w:rFonts w:ascii="Times New Roman" w:eastAsia="Garamond" w:hAnsi="Times New Roman"/>
        </w:rPr>
        <w:t xml:space="preserve"> (60%)</w:t>
      </w:r>
      <w:r w:rsidRPr="007A0759">
        <w:rPr>
          <w:rFonts w:ascii="Times New Roman" w:eastAsia="Garamond" w:hAnsi="Times New Roman"/>
        </w:rPr>
        <w:t xml:space="preserve"> sought emergent medical care due to stroke </w:t>
      </w:r>
      <w:r w:rsidRPr="006A3DA0">
        <w:rPr>
          <w:rFonts w:ascii="Times New Roman" w:eastAsia="Garamond" w:hAnsi="Times New Roman"/>
        </w:rPr>
        <w:t>symptoms</w:t>
      </w:r>
      <w:r>
        <w:rPr>
          <w:rFonts w:ascii="Times New Roman" w:eastAsia="Garamond" w:hAnsi="Times New Roman"/>
        </w:rPr>
        <w:t>, which result in a delay in care</w:t>
      </w:r>
      <w:r w:rsidRPr="006A3DA0">
        <w:rPr>
          <w:rFonts w:ascii="Times New Roman" w:eastAsia="Garamond" w:hAnsi="Times New Roman"/>
        </w:rPr>
        <w:t xml:space="preserve">. Only three patients had a </w:t>
      </w:r>
      <w:r w:rsidRPr="006A3DA0">
        <w:rPr>
          <w:rFonts w:ascii="Times New Roman" w:eastAsia="Garamond" w:hAnsi="Times New Roman"/>
        </w:rPr>
        <w:lastRenderedPageBreak/>
        <w:t xml:space="preserve">severe course of the pulmonary disease prior to the neurological event requiring them to be hospitalized. One was asymptomatic for three weeks. Five patients presented with emergent large vessel occlusion of which three underwent thrombectomy. One post-thrombectomy patient died from pulmonary progression. Most LVO cases did poorly with three ending in mortality while another one in a critical condition due to their lungs. All of </w:t>
      </w:r>
      <w:r>
        <w:rPr>
          <w:rFonts w:ascii="Times New Roman" w:eastAsia="Garamond" w:hAnsi="Times New Roman"/>
        </w:rPr>
        <w:t>these</w:t>
      </w:r>
      <w:r w:rsidRPr="006A3DA0">
        <w:rPr>
          <w:rFonts w:ascii="Times New Roman" w:eastAsia="Garamond" w:hAnsi="Times New Roman"/>
        </w:rPr>
        <w:t xml:space="preserve"> had high </w:t>
      </w:r>
      <w:r>
        <w:rPr>
          <w:rFonts w:ascii="Times New Roman" w:eastAsia="Garamond" w:hAnsi="Times New Roman"/>
        </w:rPr>
        <w:t>n</w:t>
      </w:r>
      <w:r w:rsidRPr="006A3DA0">
        <w:rPr>
          <w:rFonts w:ascii="Times New Roman" w:eastAsia="Garamond" w:hAnsi="Times New Roman"/>
        </w:rPr>
        <w:t>eutrophil/</w:t>
      </w:r>
      <w:r>
        <w:rPr>
          <w:rFonts w:ascii="Times New Roman" w:eastAsia="Garamond" w:hAnsi="Times New Roman"/>
        </w:rPr>
        <w:t>l</w:t>
      </w:r>
      <w:r w:rsidRPr="006A3DA0">
        <w:rPr>
          <w:rFonts w:ascii="Times New Roman" w:eastAsia="Garamond" w:hAnsi="Times New Roman"/>
        </w:rPr>
        <w:t xml:space="preserve">ymphocyte ratio except the one who had some neurological recovery. The LVO cases were typically younger, had a worse neurological presentation, more severe form of viral disease and </w:t>
      </w:r>
      <w:r>
        <w:rPr>
          <w:rFonts w:ascii="Times New Roman" w:eastAsia="Garamond" w:hAnsi="Times New Roman"/>
        </w:rPr>
        <w:t>h</w:t>
      </w:r>
      <w:r w:rsidRPr="006A3DA0">
        <w:rPr>
          <w:rFonts w:ascii="Times New Roman" w:eastAsia="Garamond" w:hAnsi="Times New Roman"/>
        </w:rPr>
        <w:t>igher level</w:t>
      </w:r>
      <w:r>
        <w:rPr>
          <w:rFonts w:ascii="Times New Roman" w:eastAsia="Garamond" w:hAnsi="Times New Roman"/>
        </w:rPr>
        <w:t>s</w:t>
      </w:r>
      <w:r w:rsidRPr="006A3DA0">
        <w:rPr>
          <w:rFonts w:ascii="Times New Roman" w:eastAsia="Garamond" w:hAnsi="Times New Roman"/>
        </w:rPr>
        <w:t xml:space="preserve"> of hypercoagulability markers than the non-LVO patients.</w:t>
      </w:r>
    </w:p>
    <w:p w14:paraId="1505F47C" w14:textId="77777777" w:rsidR="00C616E7" w:rsidRDefault="00C616E7" w:rsidP="00C616E7">
      <w:pPr>
        <w:pStyle w:val="NormalWeb"/>
        <w:spacing w:line="480" w:lineRule="auto"/>
        <w:rPr>
          <w:rFonts w:eastAsia="Garamond"/>
        </w:rPr>
      </w:pPr>
      <w:r>
        <w:rPr>
          <w:rFonts w:eastAsia="Garamond"/>
        </w:rPr>
        <w:t>I</w:t>
      </w:r>
      <w:r w:rsidRPr="006A3DA0">
        <w:rPr>
          <w:rFonts w:eastAsia="Garamond"/>
        </w:rPr>
        <w:t xml:space="preserve">n terms of our stroke </w:t>
      </w:r>
      <w:r>
        <w:rPr>
          <w:rFonts w:eastAsia="Garamond"/>
        </w:rPr>
        <w:t xml:space="preserve">etiological </w:t>
      </w:r>
      <w:r w:rsidRPr="006A3DA0">
        <w:rPr>
          <w:rFonts w:eastAsia="Garamond"/>
        </w:rPr>
        <w:t xml:space="preserve">distributions, we </w:t>
      </w:r>
      <w:r>
        <w:rPr>
          <w:rFonts w:eastAsia="Garamond"/>
        </w:rPr>
        <w:t>encountered</w:t>
      </w:r>
      <w:r w:rsidRPr="006A3DA0">
        <w:rPr>
          <w:rFonts w:eastAsia="Garamond"/>
        </w:rPr>
        <w:t xml:space="preserve"> </w:t>
      </w:r>
      <w:r>
        <w:rPr>
          <w:rFonts w:eastAsia="Garamond"/>
        </w:rPr>
        <w:t xml:space="preserve">the gamut of </w:t>
      </w:r>
      <w:r w:rsidRPr="006A3DA0">
        <w:rPr>
          <w:rFonts w:eastAsia="Garamond"/>
        </w:rPr>
        <w:t xml:space="preserve">small vessel strokes, branch or multifocal emboli, TIAs </w:t>
      </w:r>
      <w:r>
        <w:rPr>
          <w:rFonts w:eastAsia="Garamond"/>
        </w:rPr>
        <w:t>and</w:t>
      </w:r>
      <w:r w:rsidRPr="006A3DA0">
        <w:rPr>
          <w:rFonts w:eastAsia="Garamond"/>
        </w:rPr>
        <w:t xml:space="preserve"> large vessel occlusion</w:t>
      </w:r>
      <w:r>
        <w:rPr>
          <w:rFonts w:eastAsia="Garamond"/>
        </w:rPr>
        <w:t>s</w:t>
      </w:r>
      <w:r w:rsidRPr="006A3DA0">
        <w:rPr>
          <w:rFonts w:eastAsia="Garamond"/>
        </w:rPr>
        <w:t>. Most of these patients had vascular risk factors but nearly a fifth did not</w:t>
      </w:r>
      <w:r>
        <w:rPr>
          <w:rFonts w:eastAsia="Garamond"/>
        </w:rPr>
        <w:t>, and none had known coronary or cerebrovascular disease</w:t>
      </w:r>
      <w:r w:rsidRPr="006A3DA0">
        <w:rPr>
          <w:rFonts w:eastAsia="Garamond"/>
        </w:rPr>
        <w:t>. Thus, it</w:t>
      </w:r>
      <w:r>
        <w:rPr>
          <w:rFonts w:eastAsia="Garamond"/>
        </w:rPr>
        <w:t xml:space="preserve"> is </w:t>
      </w:r>
      <w:r w:rsidRPr="006A3DA0">
        <w:rPr>
          <w:rFonts w:eastAsia="Garamond"/>
        </w:rPr>
        <w:t>possible that COVID-19 related thromboembolism may follow multiple separate pathogenetic pathways. In patients with pre-existing vascular risk factors, it may predispose to the ischemic event earlier than if purely driven by those underlying conditions. This could explain why some of our younger patients in the 40-50 age range presented with stroke. In these situations, it may follow the paradigm seen in other hypercoagulable condition</w:t>
      </w:r>
      <w:r>
        <w:rPr>
          <w:rFonts w:eastAsia="Garamond"/>
        </w:rPr>
        <w:t>s</w:t>
      </w:r>
      <w:r w:rsidRPr="006A3DA0">
        <w:rPr>
          <w:rFonts w:eastAsia="Garamond"/>
        </w:rPr>
        <w:t xml:space="preserve"> where two or more factors act synergistically to increase risk of stroke</w:t>
      </w:r>
      <w:r w:rsidRPr="006A3DA0">
        <w:t>.</w:t>
      </w:r>
      <w:r w:rsidRPr="006A3DA0">
        <w:fldChar w:fldCharType="begin" w:fldLock="1"/>
      </w:r>
      <w:r w:rsidRPr="006A3DA0">
        <w:instrText>ADDIN CSL_CITATION {"citationItems":[{"id":"ITEM-1","itemData":{"author":[{"dropping-particle":"","family":"Senst B, Tadi P, Basit H","given":"et al.","non-dropping-particle":"","parse-names":false,"suffix":""}],"id":"ITEM-1","issued":{"date-parts":[["0"]]},"title":"Hypercoagulability. [Updated 2020 Mar 24]. In: StatPearls [Internet]. Treasure Island (FL): StatPearls Publishing; 2020 Jan-","type":"book"},"uris":["http://www.mendeley.com/documents/?uuid=1748fa8c-2281-44ff-8beb-da6259a8d59f"]}],"mendeley":{"formattedCitation":"(12)","plainTextFormattedCitation":"(12)","previouslyFormattedCitation":"[12]"},"properties":{"noteIndex":0},"schema":"https://github.com/citation-style-language/schema/raw/master/csl-citation.json"}</w:instrText>
      </w:r>
      <w:r w:rsidRPr="006A3DA0">
        <w:fldChar w:fldCharType="separate"/>
      </w:r>
      <w:r w:rsidRPr="006A3DA0">
        <w:rPr>
          <w:noProof/>
        </w:rPr>
        <w:t>(12)</w:t>
      </w:r>
      <w:r w:rsidRPr="006A3DA0">
        <w:fldChar w:fldCharType="end"/>
      </w:r>
      <w:r w:rsidRPr="006A3DA0">
        <w:t xml:space="preserve"> It can also be likened to the double-hit theory of many cancers.</w:t>
      </w:r>
      <w:r w:rsidRPr="006A3DA0">
        <w:fldChar w:fldCharType="begin" w:fldLock="1"/>
      </w:r>
      <w:r w:rsidRPr="006A3DA0">
        <w:instrText>ADDIN CSL_CITATION {"citationItems":[{"id":"ITEM-1","itemData":{"DOI":"10.1111/cas.13116","ISSN":"13497006","abstract":"On July 10, 2016, Alfred G. Knudson, Jr., MD, PhD, a leader in cancer research, died at the age of 93 years. We deeply mourn his loss. Knudson's two-hit hypothesis, published in 1971, has been fundamental for understanding tumor suppressor genes and familial tumor-predisposing syndromes. To understand the molecular mechanism of two-hit-initiated tumorigenesis, Knudson used an animal model of a dominantly inherited tumor, the Eker rat. From the molecular identification of Tsc2 germline mutations, the Eker rat became a model for tuberous sclerosis complex (TSC), a familial tumor-predisposing syndrome. Animal models, including the fly, have greatly contributed to TSC research. Because the product of the TSC2/Tsc2 gene (tuberin) together with hamartin, the product of another TSC gene (TSC1/Tsc1), suppresses mammalian/mechanistic target of rapamycin complex 1 (mTORC1), rapalogs have been used as therapeutic drugs for TSC. Although significant activity of these drugs has been reported, there are still problems such as recurrence of residual tumors and adverse effects. Recent studies indicate that there are mTORC1-independent signaling pathways downstream of hamartin/tuberin, which may represent new therapeutic targets. The establishment of cellular models, such as pluripotent stem cells with TSC2/Tsc2 gene mutations, will facilitate the understanding of new aspects of TSC pathogenesis and the development of novel treatment options. In this review, we look back at the history of Knudson and animal models of TSC and introduce recent progress in TSC research.","author":[{"dropping-particle":"","family":"Hino","given":"Okio","non-dropping-particle":"","parse-names":false,"suffix":""},{"dropping-particle":"","family":"Kobayashi","given":"Toshiyuki","non-dropping-particle":"","parse-names":false,"suffix":""}],"container-title":"Cancer Science","id":"ITEM-1","issued":{"date-parts":[["2017"]]},"title":"Mourning Dr. Alfred G. Knudson: the two-hit hypothesis, tumor suppressor genes, and the tuberous sclerosis complex","type":"article"},"uris":["http://www.mendeley.com/documents/?uuid=b92bd33a-2b5d-4fde-871b-d963a5eb3741"]}],"mendeley":{"formattedCitation":"(24)","plainTextFormattedCitation":"(24)","previouslyFormattedCitation":"[24]"},"properties":{"noteIndex":0},"schema":"https://github.com/citation-style-language/schema/raw/master/csl-citation.json"}</w:instrText>
      </w:r>
      <w:r w:rsidRPr="006A3DA0">
        <w:fldChar w:fldCharType="separate"/>
      </w:r>
      <w:r w:rsidRPr="006A3DA0">
        <w:rPr>
          <w:noProof/>
        </w:rPr>
        <w:t>(24)</w:t>
      </w:r>
      <w:r w:rsidRPr="006A3DA0">
        <w:fldChar w:fldCharType="end"/>
      </w:r>
      <w:r w:rsidRPr="006A3DA0">
        <w:t xml:space="preserve"> It is also possible that in some cases this hypercoagulable condition by itself is enough to cause an embolic stroke. This may be correlated with elevated lab markers like D-Dimer or NLR ratio or presence of antiphospholipid antibodies.</w:t>
      </w:r>
      <w:r w:rsidRPr="006A3DA0">
        <w:fldChar w:fldCharType="begin" w:fldLock="1"/>
      </w:r>
      <w:r w:rsidRPr="006A3DA0">
        <w:instrText>ADDIN CSL_CITATION {"citationItems":[{"id":"ITEM-1","itemData":{"DOI":"10.1001/jamaneurol.2020.1127","author":[{"dropping-particle":"","family":"Mao","given":"Ling","non-dropping-particle":"","parse-names":false,"suffix":""},{"dropping-particle":"","family":"Jin","given":"Huijuan","non-dropping-particle":"","parse-names":false,"suffix":""},{"dropping-particle":"","family":"Wang","given":"Mengdie","non-dropping-particle":"","parse-names":false,"suffix":""},{"dropping-particle":"","family":"Hu","given":"Yu","non-dropping-particle":"","parse-names":false,"suffix":""},{"dropping-particle":"","family":"Chen","given":"Shengcai","non-dropping-particle":"","parse-names":false,"suffix":""},{"dropping-particle":"","family":"He","given":"Quanwei","non-dropping-particle":"","parse-names":false,"suffix":""},{"dropping-particle":"","family":"Chang","given":"Jiang","non-dropping-particle":"","parse-names":false,"suffix":""},{"dropping-particle":"","family":"Hong","given":"Candong","non-dropping-particle":"","parse-names":false,"suffix":""},{"dropping-particle":"","family":"Zhou","given":"Yifan","non-dropping-particle":"","parse-names":false,"suffix":""},{"dropping-particle":"","family":"Wang","given":"David","non-dropping-particle":"","parse-names":false,"suffix":""},{"dropping-particle":"","family":"Miao","given":"Xiaoping","non-dropping-particle":"","parse-names":false,"suffix":""},{"dropping-particle":"","family":"Li","given":"Yanan","non-dropping-particle":"","parse-names":false,"suffix":""},{"dropping-particle":"","family":"Hu","given":"Bo","non-dropping-particle":"","parse-names":false,"suffix":""}],"id":"ITEM-1","issued":{"date-parts":[["2020"]]},"title":"Neurologic Manifestations of Hospitalized Patients With Coronavirus Disease 2019 in Wuhan, China","type":"article-journal"},"uris":["http://www.mendeley.com/documents/?uuid=a9c055b2-ea8f-4e03-8956-ab4c3b92203e"]},{"id":"ITEM-2","itemData":{"author":[{"dropping-particle":"","family":"Cases","given":"Covid-","non-dropping-particle":"","parse-names":false,"suffix":""}],"id":"ITEM-2","issued":{"date-parts":[["2020"]]},"page":"1-3","title":"C or r e sp ondence Coagulopathy and Antiphospholipid Antibodies in Patients with Covid-19","type":"article-journal"},"uris":["http://www.mendeley.com/documents/?uuid=9f2ff001-6c87-4b97-8929-062c4c1143e4"]}],"mendeley":{"formattedCitation":"(8,23)","plainTextFormattedCitation":"(8,23)","previouslyFormattedCitation":"[8,23]"},"properties":{"noteIndex":0},"schema":"https://github.com/citation-style-language/schema/raw/master/csl-citation.json"}</w:instrText>
      </w:r>
      <w:r w:rsidRPr="006A3DA0">
        <w:fldChar w:fldCharType="separate"/>
      </w:r>
      <w:r w:rsidRPr="006A3DA0">
        <w:rPr>
          <w:noProof/>
        </w:rPr>
        <w:t>(8,23)</w:t>
      </w:r>
      <w:r w:rsidRPr="006A3DA0">
        <w:fldChar w:fldCharType="end"/>
      </w:r>
      <w:r w:rsidRPr="006A3DA0">
        <w:t xml:space="preserve"> A third pathway maybe related to its effect on the heart when it causes cardiomyopathy or myocarditis which in turn may predispose to cardio-embolism.</w:t>
      </w:r>
      <w:r w:rsidRPr="006A3DA0">
        <w:fldChar w:fldCharType="begin" w:fldLock="1"/>
      </w:r>
      <w:r w:rsidRPr="006A3DA0">
        <w:instrText>ADDIN CSL_CITATION {"citationItems":[{"id":"ITEM-1","itemData":{"DOI":"10.21203/RS.3.RS-20393/V1","abstract":"Background The outbreak of a novel coronavirus since December 2019 in Wuhan, became an emergency of major international concern. As of March 5, 2020, the SARS-CoV-2 epidemic has caused 80,565 confirmed infections with 3,015 fatal cases in China. The SARS-CoV-2 outbreak is a major challenge for clinicians. In our clinic, we found a rare case that a COVID-19 patient combined with ischemic stroke. Case Presentation A 79-year-old man was admitted to the Hubei Provincial Hospital of Chinese Traditional Medicine due to right limb weakness for 1 day and slight cough for 1 week. At presentation, his body temperature was 37.3°C (99.0°F) with some moist rales. Neurological examination showed right limb weakness, and the limb muscle strength was grade 4. The left leg and arms were unaffected. In addition, runs of speech were not fluent enough with tongue deviation. Laboratory studies showed lymphopenia and eosinophilic granulocytopenia. Chest CT revealed bilateral pulmonary parenchymal ground-glass and consolidative pulmonary opacities, with a peripheral lung distribution. Real-time polymerase chain reaction (RT-PCR) from throat swab sample was positive for SARS-CoV-2 nucleic acid. This patient was treated with antiviral drugs and anti-inflammatory drugs with supportive care until his discharge. Clopidogrel (75 mg) and atorvastatin (20 mg) were administered orally to treat acute ischemic stroke. After twelve days of treatment, he can walk normally and communicate with near fluent language. Conclusion We report an even more unusual case, a patient who was hospitalized for right limb weakness and was later diagnosed with COVID-19. Here, SARS-CoV-2 infection caused hypoxemia and excessive secretion of inflammatory cytokines, which contribute to the occurrence and development of ischemic stroke. Once COVID-19 patients show acute ischemic stroke, neurologists should cooperate with infectious disease doctors to help patients.","author":[{"dropping-particle":"","family":"Zhai","given":"Pan","non-dropping-particle":"","parse-names":false,"suffix":""},{"dropping-particle":"","family":"Ding","given":"Yanbing","non-dropping-particle":"","parse-names":false,"suffix":""},{"dropping-particle":"","family":"Li","given":"Yiming","non-dropping-particle":"","parse-names":false,"suffix":""}],"container-title":"Research Square","id":"ITEM-1","issued":{"date-parts":[["2020"]]},"page":"1-10","title":"The impact of COVID-19 on ischemic stroke: A case report","type":"article-journal"},"uris":["http://www.mendeley.com/documents/?uuid=f601c6fb-7e3f-43e5-b3f4-0defa3e59e8a"]},{"id":"ITEM-2","itemData":{"DOI":"10.1161/strokeaha.120.030023","ISSN":"0039-2499","PMID":"32233972","abstract":"During this unprecedented time of extraordinary stress on the US healthcare system, the AHA/ASA Stroke Council—as individuals in our localities and together as an entity at the national level—acknowledge the mounting concern regarding optimal stroke care during the COVID-19 pandemic among vascular neurologists and those clinicians who care for patients with stroke. We therefore seek to provide guidance for the care of stroke patients in the midst of the crisis. Ordinarily, national recommendations go through a rigorous process of development, refinement, peer review, and thoughtful promulgation. None of that is possible at this time, yet we believe there is a substantial need for a broad policy statement that reflects both the commonality of the pandemic across the US and the individual variability necessary at local sites. We issue this temporary statement as an interim stopgap opinion, pending a more thorough and considered process.","container-title":"Stroke","id":"ITEM-2","issued":{"date-parts":[["2020"]]},"title":"Temporary Emergency Guidance to US Stroke Centers During the COVID-19 Pandemic","type":"article-journal"},"uris":["http://www.mendeley.com/documents/?uuid=26c2a00e-a42e-470b-b084-74c52c2b1127"]}],"mendeley":{"formattedCitation":"(16,25)","plainTextFormattedCitation":"(16,25)","previouslyFormattedCitation":"[16,25]"},"properties":{"noteIndex":0},"schema":"https://github.com/citation-style-language/schema/raw/master/csl-citation.json"}</w:instrText>
      </w:r>
      <w:r w:rsidRPr="006A3DA0">
        <w:fldChar w:fldCharType="separate"/>
      </w:r>
      <w:r w:rsidRPr="006A3DA0">
        <w:rPr>
          <w:noProof/>
        </w:rPr>
        <w:t>(16,25)</w:t>
      </w:r>
      <w:r w:rsidRPr="006A3DA0">
        <w:fldChar w:fldCharType="end"/>
      </w:r>
      <w:r>
        <w:t xml:space="preserve"> This mechanism may be mediated by ACE2 targeting which could affect the vascular endothelium or </w:t>
      </w:r>
      <w:r>
        <w:lastRenderedPageBreak/>
        <w:t xml:space="preserve">the heart directly. </w:t>
      </w:r>
      <w:r w:rsidRPr="006A3DA0">
        <w:t>Finally, since the incidence of VTE is higher in these cases, the possibility of paradoxical emboli cannot be ignored.</w:t>
      </w:r>
      <w:r w:rsidRPr="006A3DA0">
        <w:fldChar w:fldCharType="begin" w:fldLock="1"/>
      </w:r>
      <w:r w:rsidRPr="006A3DA0">
        <w:instrText>ADDIN CSL_CITATION {"citationItems":[{"id":"ITEM-1","itemData":{"author":[{"dropping-particle":"","family":"Senst B, Tadi P, Basit H","given":"et al.","non-dropping-particle":"","parse-names":false,"suffix":""}],"id":"ITEM-1","issued":{"date-parts":[["0"]]},"title":"Hypercoagulability. [Updated 2020 Mar 24]. In: StatPearls [Internet]. Treasure Island (FL): StatPearls Publishing; 2020 Jan-","type":"book"},"uris":["http://www.mendeley.com/documents/?uuid=1748fa8c-2281-44ff-8beb-da6259a8d59f"]}],"mendeley":{"formattedCitation":"(12)","plainTextFormattedCitation":"(12)","previouslyFormattedCitation":"[12]"},"properties":{"noteIndex":0},"schema":"https://github.com/citation-style-language/schema/raw/master/csl-citation.json"}</w:instrText>
      </w:r>
      <w:r w:rsidRPr="006A3DA0">
        <w:fldChar w:fldCharType="separate"/>
      </w:r>
      <w:r w:rsidRPr="006A3DA0">
        <w:rPr>
          <w:noProof/>
        </w:rPr>
        <w:t>(12)</w:t>
      </w:r>
      <w:r w:rsidRPr="006A3DA0">
        <w:fldChar w:fldCharType="end"/>
      </w:r>
      <w:r w:rsidRPr="006A3DA0">
        <w:t xml:space="preserve"> To our knowledge, this is the first study that attempts to define the ischemic stroke </w:t>
      </w:r>
      <w:r>
        <w:t xml:space="preserve">etiologic </w:t>
      </w:r>
      <w:r w:rsidRPr="006A3DA0">
        <w:t>subtype as well as  pathophysiology, direct or indirect, in patients with SARS-COV</w:t>
      </w:r>
      <w:r>
        <w:t>-</w:t>
      </w:r>
      <w:r w:rsidRPr="006A3DA0">
        <w:t>2 Virus.</w:t>
      </w:r>
    </w:p>
    <w:p w14:paraId="2080E794" w14:textId="77777777" w:rsidR="00C616E7" w:rsidRPr="00A600EC" w:rsidRDefault="00C616E7" w:rsidP="00C616E7">
      <w:pPr>
        <w:spacing w:line="480" w:lineRule="auto"/>
        <w:rPr>
          <w:rFonts w:ascii="Times New Roman" w:hAnsi="Times New Roman"/>
          <w:i/>
          <w:iCs/>
        </w:rPr>
      </w:pPr>
      <w:r w:rsidRPr="00A600EC">
        <w:rPr>
          <w:rFonts w:ascii="Times New Roman" w:eastAsia="Garamond" w:hAnsi="Times New Roman"/>
          <w:i/>
          <w:iCs/>
        </w:rPr>
        <w:t>Limitations</w:t>
      </w:r>
    </w:p>
    <w:p w14:paraId="0C40EAE4" w14:textId="77777777" w:rsidR="00C616E7" w:rsidRPr="006A3DA0" w:rsidRDefault="00C616E7" w:rsidP="00C616E7">
      <w:pPr>
        <w:spacing w:line="480" w:lineRule="auto"/>
        <w:rPr>
          <w:rFonts w:ascii="Times New Roman" w:hAnsi="Times New Roman"/>
        </w:rPr>
      </w:pPr>
      <w:r w:rsidRPr="006A3DA0">
        <w:rPr>
          <w:rFonts w:ascii="Times New Roman" w:eastAsia="Garamond" w:hAnsi="Times New Roman"/>
        </w:rPr>
        <w:t xml:space="preserve">Our study has several limitations. This is a </w:t>
      </w:r>
      <w:r>
        <w:rPr>
          <w:rFonts w:ascii="Times New Roman" w:eastAsia="Garamond" w:hAnsi="Times New Roman"/>
        </w:rPr>
        <w:t>short</w:t>
      </w:r>
      <w:r w:rsidRPr="006A3DA0">
        <w:rPr>
          <w:rFonts w:ascii="Times New Roman" w:eastAsia="Garamond" w:hAnsi="Times New Roman"/>
        </w:rPr>
        <w:t xml:space="preserve"> analysis of neurovascular cases presenting to the hospital. As the number of cases in New York City and our hospitals continue to accumulate, we cannot determine the true rate of neurovascular events in COVID patients. Due to the stress on the resources created by COVID-19</w:t>
      </w:r>
      <w:r>
        <w:rPr>
          <w:rFonts w:ascii="Times New Roman" w:eastAsia="Garamond" w:hAnsi="Times New Roman"/>
        </w:rPr>
        <w:t xml:space="preserve"> </w:t>
      </w:r>
      <w:r w:rsidRPr="006A3DA0">
        <w:rPr>
          <w:rFonts w:ascii="Times New Roman" w:eastAsia="Garamond" w:hAnsi="Times New Roman"/>
        </w:rPr>
        <w:t xml:space="preserve">some of the patients did not receive advanced imaging </w:t>
      </w:r>
      <w:r>
        <w:rPr>
          <w:rFonts w:ascii="Times New Roman" w:eastAsia="Garamond" w:hAnsi="Times New Roman"/>
        </w:rPr>
        <w:t xml:space="preserve">such as </w:t>
      </w:r>
      <w:r w:rsidRPr="006A3DA0">
        <w:rPr>
          <w:rFonts w:ascii="Times New Roman" w:eastAsia="Garamond" w:hAnsi="Times New Roman"/>
        </w:rPr>
        <w:t xml:space="preserve"> MRI to confirm whether a silent infarct may have </w:t>
      </w:r>
      <w:r>
        <w:rPr>
          <w:rFonts w:ascii="Times New Roman" w:eastAsia="Garamond" w:hAnsi="Times New Roman"/>
        </w:rPr>
        <w:t>occurred</w:t>
      </w:r>
      <w:r w:rsidRPr="006A3DA0">
        <w:rPr>
          <w:rFonts w:ascii="Times New Roman" w:eastAsia="Garamond" w:hAnsi="Times New Roman"/>
        </w:rPr>
        <w:t>. Additionally, many cases had other risk factors and the embolic events may have been related to the underlying risk factor rather than the viral infection</w:t>
      </w:r>
      <w:r>
        <w:rPr>
          <w:rFonts w:ascii="Times New Roman" w:eastAsia="Garamond" w:hAnsi="Times New Roman"/>
        </w:rPr>
        <w:t>, or simply exacerbated by it</w:t>
      </w:r>
      <w:r w:rsidRPr="006A3DA0">
        <w:rPr>
          <w:rFonts w:ascii="Times New Roman" w:eastAsia="Garamond" w:hAnsi="Times New Roman"/>
        </w:rPr>
        <w:t xml:space="preserve">. Finally, the type of strokes caused by the disease fit into several etiologic pathway </w:t>
      </w:r>
      <w:r>
        <w:rPr>
          <w:rFonts w:ascii="Times New Roman" w:eastAsia="Garamond" w:hAnsi="Times New Roman"/>
        </w:rPr>
        <w:t>rendering it</w:t>
      </w:r>
      <w:r w:rsidRPr="006A3DA0">
        <w:rPr>
          <w:rFonts w:ascii="Times New Roman" w:eastAsia="Garamond" w:hAnsi="Times New Roman"/>
        </w:rPr>
        <w:t xml:space="preserve"> difficult to delineate an appropriate treatment or prevention strategy. </w:t>
      </w:r>
    </w:p>
    <w:p w14:paraId="317FE34D" w14:textId="77777777" w:rsidR="00C616E7" w:rsidRPr="006A3DA0" w:rsidRDefault="00C616E7" w:rsidP="00C616E7">
      <w:pPr>
        <w:spacing w:line="480" w:lineRule="auto"/>
        <w:rPr>
          <w:rFonts w:ascii="Times New Roman" w:hAnsi="Times New Roman"/>
        </w:rPr>
      </w:pPr>
    </w:p>
    <w:p w14:paraId="123FDCD6" w14:textId="77777777" w:rsidR="00C616E7" w:rsidRPr="005E4F4F" w:rsidRDefault="00C616E7" w:rsidP="00C616E7">
      <w:pPr>
        <w:spacing w:line="480" w:lineRule="auto"/>
        <w:rPr>
          <w:rFonts w:ascii="Times New Roman" w:hAnsi="Times New Roman"/>
          <w:b/>
          <w:bCs/>
        </w:rPr>
      </w:pPr>
      <w:r w:rsidRPr="005E4F4F">
        <w:rPr>
          <w:rFonts w:ascii="Times New Roman" w:eastAsia="Garamond" w:hAnsi="Times New Roman"/>
          <w:b/>
          <w:bCs/>
        </w:rPr>
        <w:t>Conclusion</w:t>
      </w:r>
    </w:p>
    <w:p w14:paraId="25A685BD" w14:textId="2C76597A" w:rsidR="00975543" w:rsidRPr="005E4F4F" w:rsidRDefault="00C616E7" w:rsidP="00C616E7">
      <w:pPr>
        <w:spacing w:line="480" w:lineRule="auto"/>
        <w:rPr>
          <w:rFonts w:ascii="Times New Roman" w:hAnsi="Times New Roman"/>
          <w:b/>
          <w:bCs/>
        </w:rPr>
      </w:pPr>
      <w:r>
        <w:rPr>
          <w:rFonts w:ascii="Times New Roman" w:hAnsi="Times New Roman"/>
        </w:rPr>
        <w:t>Stroke in the setting of COVID-19 has an</w:t>
      </w:r>
      <w:r w:rsidRPr="005A307C">
        <w:rPr>
          <w:rFonts w:ascii="Times New Roman" w:hAnsi="Times New Roman"/>
        </w:rPr>
        <w:t xml:space="preserve"> unusual presentation including atypical demographics </w:t>
      </w:r>
      <w:r>
        <w:rPr>
          <w:rFonts w:ascii="Times New Roman" w:hAnsi="Times New Roman"/>
        </w:rPr>
        <w:t xml:space="preserve">and </w:t>
      </w:r>
      <w:r w:rsidRPr="005A307C">
        <w:rPr>
          <w:rFonts w:ascii="Times New Roman" w:hAnsi="Times New Roman"/>
        </w:rPr>
        <w:t>delayed time windows</w:t>
      </w:r>
      <w:r w:rsidRPr="005A307C">
        <w:rPr>
          <w:rFonts w:ascii="Times New Roman" w:hAnsi="Times New Roman"/>
          <w:shd w:val="clear" w:color="auto" w:fill="FFFFFF"/>
        </w:rPr>
        <w:t>.</w:t>
      </w:r>
      <w:r>
        <w:rPr>
          <w:rFonts w:ascii="Times New Roman" w:hAnsi="Times New Roman"/>
        </w:rPr>
        <w:t xml:space="preserve"> I</w:t>
      </w:r>
      <w:r w:rsidRPr="006A3DA0">
        <w:rPr>
          <w:rFonts w:ascii="Times New Roman" w:eastAsia="Garamond" w:hAnsi="Times New Roman"/>
        </w:rPr>
        <w:t xml:space="preserve">schemic events can be small vessel, branch emboli or large vessel occlusions. The latter is often associated with either a hypercoagulable state or cardio-embolism. Ischemic </w:t>
      </w:r>
      <w:r>
        <w:rPr>
          <w:rFonts w:ascii="Times New Roman" w:eastAsia="Garamond" w:hAnsi="Times New Roman"/>
        </w:rPr>
        <w:t>s</w:t>
      </w:r>
      <w:r w:rsidRPr="006A3DA0">
        <w:rPr>
          <w:rFonts w:ascii="Times New Roman" w:eastAsia="Garamond" w:hAnsi="Times New Roman"/>
        </w:rPr>
        <w:t>troke</w:t>
      </w:r>
      <w:r>
        <w:rPr>
          <w:rFonts w:ascii="Times New Roman" w:eastAsia="Garamond" w:hAnsi="Times New Roman"/>
        </w:rPr>
        <w:t xml:space="preserve"> can</w:t>
      </w:r>
      <w:r w:rsidRPr="006A3DA0">
        <w:rPr>
          <w:rFonts w:ascii="Times New Roman" w:eastAsia="Garamond" w:hAnsi="Times New Roman"/>
        </w:rPr>
        <w:t xml:space="preserve"> be a presenting symptom of COVID-19 and may not always be associated with severe disease markers</w:t>
      </w:r>
      <w:r>
        <w:rPr>
          <w:rFonts w:ascii="Times New Roman" w:eastAsia="Garamond" w:hAnsi="Times New Roman"/>
        </w:rPr>
        <w:t xml:space="preserve"> </w:t>
      </w:r>
      <w:r>
        <w:rPr>
          <w:rFonts w:ascii="Times New Roman" w:hAnsi="Times New Roman"/>
        </w:rPr>
        <w:t>including in the young, minorities and healthcare workers</w:t>
      </w:r>
      <w:r w:rsidR="00BB23EF" w:rsidRPr="005A307C">
        <w:rPr>
          <w:rFonts w:ascii="Times New Roman" w:hAnsi="Times New Roman"/>
        </w:rPr>
        <w:t>.</w:t>
      </w:r>
      <w:r w:rsidR="00BC3E09" w:rsidRPr="006A3DA0">
        <w:rPr>
          <w:rFonts w:ascii="Times New Roman" w:hAnsi="Times New Roman"/>
        </w:rPr>
        <w:br w:type="page"/>
      </w:r>
      <w:r w:rsidR="005E4F4F" w:rsidRPr="005E4F4F">
        <w:rPr>
          <w:rFonts w:ascii="Times New Roman" w:hAnsi="Times New Roman"/>
          <w:b/>
          <w:bCs/>
        </w:rPr>
        <w:lastRenderedPageBreak/>
        <w:t>References</w:t>
      </w:r>
    </w:p>
    <w:p w14:paraId="25A685BE" w14:textId="77777777" w:rsidR="00464DD4" w:rsidRPr="006A3DA0" w:rsidRDefault="00464DD4" w:rsidP="006A3DA0">
      <w:pPr>
        <w:pStyle w:val="MediumGrid21"/>
        <w:spacing w:line="480" w:lineRule="auto"/>
        <w:rPr>
          <w:rFonts w:ascii="Times New Roman" w:hAnsi="Times New Roman"/>
        </w:rPr>
      </w:pPr>
    </w:p>
    <w:p w14:paraId="4D5D09DB" w14:textId="689EF137" w:rsidR="00101348" w:rsidRPr="006A3DA0" w:rsidRDefault="001C7B94"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rPr>
        <w:fldChar w:fldCharType="begin" w:fldLock="1"/>
      </w:r>
      <w:r w:rsidRPr="006A3DA0">
        <w:rPr>
          <w:rFonts w:ascii="Times New Roman" w:hAnsi="Times New Roman"/>
        </w:rPr>
        <w:instrText xml:space="preserve">ADDIN Mendeley Bibliography CSL_BIBLIOGRAPHY </w:instrText>
      </w:r>
      <w:r w:rsidRPr="006A3DA0">
        <w:rPr>
          <w:rFonts w:ascii="Times New Roman" w:hAnsi="Times New Roman"/>
        </w:rPr>
        <w:fldChar w:fldCharType="separate"/>
      </w:r>
      <w:r w:rsidR="00101348" w:rsidRPr="006A3DA0">
        <w:rPr>
          <w:rFonts w:ascii="Times New Roman" w:hAnsi="Times New Roman"/>
          <w:noProof/>
        </w:rPr>
        <w:t xml:space="preserve">1. </w:t>
      </w:r>
      <w:r w:rsidR="00101348" w:rsidRPr="006A3DA0">
        <w:rPr>
          <w:rFonts w:ascii="Times New Roman" w:hAnsi="Times New Roman"/>
          <w:noProof/>
        </w:rPr>
        <w:tab/>
        <w:t xml:space="preserve">Paules CI, Marston HD, Fauci AS. Coronavirus Infections-More Than Just the Common Cold. JAMA - Journal of the American Medical Association. 2020. </w:t>
      </w:r>
    </w:p>
    <w:p w14:paraId="054FE8AF"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 </w:t>
      </w:r>
      <w:r w:rsidRPr="006A3DA0">
        <w:rPr>
          <w:rFonts w:ascii="Times New Roman" w:hAnsi="Times New Roman"/>
          <w:noProof/>
        </w:rPr>
        <w:tab/>
        <w:t xml:space="preserve">Wang C, Horby PW, Hayden FG, Gao GF. A novel coronavirus outbreak of global health concern. The Lancet. 2020. </w:t>
      </w:r>
    </w:p>
    <w:p w14:paraId="659E380C"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3. </w:t>
      </w:r>
      <w:r w:rsidRPr="006A3DA0">
        <w:rPr>
          <w:rFonts w:ascii="Times New Roman" w:hAnsi="Times New Roman"/>
          <w:noProof/>
        </w:rPr>
        <w:tab/>
        <w:t xml:space="preserve">Huang C, Wang Y, Li X, Ren L, Zhao J, Hu Y, et al. Clinical features of patients infected with 2019 novel coronavirus in Wuhan, China. Lancet. 2020; </w:t>
      </w:r>
    </w:p>
    <w:p w14:paraId="01D9003A"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4. </w:t>
      </w:r>
      <w:r w:rsidRPr="006A3DA0">
        <w:rPr>
          <w:rFonts w:ascii="Times New Roman" w:hAnsi="Times New Roman"/>
          <w:noProof/>
        </w:rPr>
        <w:tab/>
        <w:t xml:space="preserve">van Kan GA, Rolland Y, Houles M, Gillette-Guyonnet S, Soto M, Vellas B. The assessment of frailty in older adults. Clinics in Geriatric Medicine. 2010. </w:t>
      </w:r>
    </w:p>
    <w:p w14:paraId="7CEA58B4"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5. </w:t>
      </w:r>
      <w:r w:rsidRPr="006A3DA0">
        <w:rPr>
          <w:rFonts w:ascii="Times New Roman" w:hAnsi="Times New Roman"/>
          <w:noProof/>
        </w:rPr>
        <w:tab/>
        <w:t xml:space="preserve">Mehta P, McAuley DF, Brown M, Sanchez E, Tattersall RS, Manson JJ. COVID-19: consider cytokine storm syndromes and immunosuppression. The Lancet. 2020. </w:t>
      </w:r>
    </w:p>
    <w:p w14:paraId="4559F4F8"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6. </w:t>
      </w:r>
      <w:r w:rsidRPr="006A3DA0">
        <w:rPr>
          <w:rFonts w:ascii="Times New Roman" w:hAnsi="Times New Roman"/>
          <w:noProof/>
        </w:rPr>
        <w:tab/>
        <w:t xml:space="preserve">Qin C, Zhou L, Hu Z, Zhang S, Yang S, Tao Y, et al. Dysregulation of immune response in patients with COVID-19 in Wuhan, China. Clin Infect Dis. 2020; </w:t>
      </w:r>
    </w:p>
    <w:p w14:paraId="27179727"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7. </w:t>
      </w:r>
      <w:r w:rsidRPr="006A3DA0">
        <w:rPr>
          <w:rFonts w:ascii="Times New Roman" w:hAnsi="Times New Roman"/>
          <w:noProof/>
        </w:rPr>
        <w:tab/>
        <w:t xml:space="preserve">Ruan Q, Yang K, Wang W, Jiang L, Song J. Clinical predictors of mortality due to COVID-19 based on an analysis of data of 150 patients from Wuhan, China. Intensive Care Medicine. 2020. </w:t>
      </w:r>
    </w:p>
    <w:p w14:paraId="4F0E6A77"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8. </w:t>
      </w:r>
      <w:r w:rsidRPr="006A3DA0">
        <w:rPr>
          <w:rFonts w:ascii="Times New Roman" w:hAnsi="Times New Roman"/>
          <w:noProof/>
        </w:rPr>
        <w:tab/>
        <w:t xml:space="preserve">Mao L, Jin H, Wang M, Hu Y, Chen S, He Q, et al. Neurologic Manifestations of Hospitalized Patients With Coronavirus Disease 2019 in Wuhan, China. 2020; </w:t>
      </w:r>
    </w:p>
    <w:p w14:paraId="77173304"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9. </w:t>
      </w:r>
      <w:r w:rsidRPr="006A3DA0">
        <w:rPr>
          <w:rFonts w:ascii="Times New Roman" w:hAnsi="Times New Roman"/>
          <w:noProof/>
        </w:rPr>
        <w:tab/>
        <w:t xml:space="preserve">Han H, Yang L, Liu R, Liu F, Wu K, Li J, et al. Prominent changes in blood coagulation of patients with SARS-CoV-2 infection. Clin Chem Lab Med. 2020;0(0). </w:t>
      </w:r>
    </w:p>
    <w:p w14:paraId="500D0DD9"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10. </w:t>
      </w:r>
      <w:r w:rsidRPr="006A3DA0">
        <w:rPr>
          <w:rFonts w:ascii="Times New Roman" w:hAnsi="Times New Roman"/>
          <w:noProof/>
        </w:rPr>
        <w:tab/>
        <w:t xml:space="preserve">Zhou F, Yu T, Du R, Fan G, Liu Y, Liu Z, et al. Clinical course and risk factors for mortality of adult inpatients with COVID-19 in Wuhan, China: a retrospective cohort </w:t>
      </w:r>
      <w:r w:rsidRPr="006A3DA0">
        <w:rPr>
          <w:rFonts w:ascii="Times New Roman" w:hAnsi="Times New Roman"/>
          <w:noProof/>
        </w:rPr>
        <w:lastRenderedPageBreak/>
        <w:t>study. Lancet [Internet]. 2020;395(10229):1054–62. Available from: http://dx.doi.org/10.1016/S0140-6736(20)30566-3</w:t>
      </w:r>
    </w:p>
    <w:p w14:paraId="1FD91F2B"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11. </w:t>
      </w:r>
      <w:r w:rsidRPr="006A3DA0">
        <w:rPr>
          <w:rFonts w:ascii="Times New Roman" w:hAnsi="Times New Roman"/>
          <w:noProof/>
        </w:rPr>
        <w:tab/>
        <w:t>Yin S, Huang M, Li D, Tang N. Difference of coagulation features between severe pneumonia induced by SARS-CoV2 and non-SARS-CoV2. J Thromb Thrombolysis [Internet]. 2020;3–6. Available from: https://doi.org/10.1007/s11239-020-02105-8</w:t>
      </w:r>
    </w:p>
    <w:p w14:paraId="678D6639"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12. </w:t>
      </w:r>
      <w:r w:rsidRPr="006A3DA0">
        <w:rPr>
          <w:rFonts w:ascii="Times New Roman" w:hAnsi="Times New Roman"/>
          <w:noProof/>
        </w:rPr>
        <w:tab/>
        <w:t>Senst B, Tadi P, Basit H  et al. Hypercoagulability. [Updated 2020 Mar 24]. In: StatPearls [Internet]. Treasure Island (FL): StatPearls Publishing; 2020 Jan- [Internet]. Available from: https://www.ncbi.nlm.nih.gov/books/NBK538251/</w:t>
      </w:r>
    </w:p>
    <w:p w14:paraId="36977BFD"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13. </w:t>
      </w:r>
      <w:r w:rsidRPr="006A3DA0">
        <w:rPr>
          <w:rFonts w:ascii="Times New Roman" w:hAnsi="Times New Roman"/>
          <w:noProof/>
        </w:rPr>
        <w:tab/>
        <w:t>Helms J, Kremer S, Merdji H, Clere-Jehl R, Schenck M, Kummerlen C, et al. Neurologic Features in Severe SARS-CoV-2 Infection. N Engl J Med [Internet]. 2020;1–2. Available from: http://www.ncbi.nlm.nih.gov/pubmed/32294339</w:t>
      </w:r>
    </w:p>
    <w:p w14:paraId="6C7C663C"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14. </w:t>
      </w:r>
      <w:r w:rsidRPr="006A3DA0">
        <w:rPr>
          <w:rFonts w:ascii="Times New Roman" w:hAnsi="Times New Roman"/>
          <w:noProof/>
        </w:rPr>
        <w:tab/>
        <w:t xml:space="preserve">Li YC, Bai WZ, Hashikawa T. The neuroinvasive potential of SARS-CoV2 may be at least partially responsible for the respiratory failure of COVID-19 patients. J Med Virol. 2020;(February):24–7. </w:t>
      </w:r>
    </w:p>
    <w:p w14:paraId="7B6AF704"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15. </w:t>
      </w:r>
      <w:r w:rsidRPr="006A3DA0">
        <w:rPr>
          <w:rFonts w:ascii="Times New Roman" w:hAnsi="Times New Roman"/>
          <w:noProof/>
        </w:rPr>
        <w:tab/>
        <w:t xml:space="preserve">Moriguchi T, Harii N, Goto J, Harada D, Sugawara H, Takamino J, et al. A first Case of Meningitis/Encephalitis associated with SARS-Coronavirus-2. Int J Infect Dis. 2020; </w:t>
      </w:r>
    </w:p>
    <w:p w14:paraId="519351F5"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16. </w:t>
      </w:r>
      <w:r w:rsidRPr="006A3DA0">
        <w:rPr>
          <w:rFonts w:ascii="Times New Roman" w:hAnsi="Times New Roman"/>
          <w:noProof/>
        </w:rPr>
        <w:tab/>
        <w:t>Zhai P, Ding Y, Li Y. The impact of COVID-19 on ischemic stroke: A case report. Res Sq [Internet]. 2020;1–10. Available from: https://www.researchsquare.com/article/rs-20393/v1</w:t>
      </w:r>
    </w:p>
    <w:p w14:paraId="1BBC0770"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17. </w:t>
      </w:r>
      <w:r w:rsidRPr="006A3DA0">
        <w:rPr>
          <w:rFonts w:ascii="Times New Roman" w:hAnsi="Times New Roman"/>
          <w:noProof/>
        </w:rPr>
        <w:tab/>
        <w:t xml:space="preserve">Murthy S, Gomersall CD, Fowler RA. Care for Critically Ill Patients with COVID-19. JAMA - Journal of the American Medical Association. 2020. </w:t>
      </w:r>
    </w:p>
    <w:p w14:paraId="17760897"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18. </w:t>
      </w:r>
      <w:r w:rsidRPr="006A3DA0">
        <w:rPr>
          <w:rFonts w:ascii="Times New Roman" w:hAnsi="Times New Roman"/>
          <w:noProof/>
        </w:rPr>
        <w:tab/>
        <w:t xml:space="preserve">Wang T, Chen R, Liu C, Liang W, Guan W, Tang R, et al. Attention should be paid to venous thromboembolism prophylaxis in the management of COVID-19. Lancet </w:t>
      </w:r>
      <w:r w:rsidRPr="006A3DA0">
        <w:rPr>
          <w:rFonts w:ascii="Times New Roman" w:hAnsi="Times New Roman"/>
          <w:noProof/>
        </w:rPr>
        <w:lastRenderedPageBreak/>
        <w:t>Haematol [Internet]. 2020;2019(20):2019–20. Available from: http://www.ncbi.nlm.nih.gov/pubmed/32278361</w:t>
      </w:r>
    </w:p>
    <w:p w14:paraId="26344579"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19. </w:t>
      </w:r>
      <w:r w:rsidRPr="006A3DA0">
        <w:rPr>
          <w:rFonts w:ascii="Times New Roman" w:hAnsi="Times New Roman"/>
          <w:noProof/>
        </w:rPr>
        <w:tab/>
        <w:t xml:space="preserve">Tang N, Bai H, Chen X, Gong J, Li D, Sun Z. Anticoagulant treatment is associated with decreased mortality in severe coronavirus disease 2019 patients with coagulopathy. J Thromb Haemost. 2020; </w:t>
      </w:r>
    </w:p>
    <w:p w14:paraId="3E5A0AC6"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20. </w:t>
      </w:r>
      <w:r w:rsidRPr="006A3DA0">
        <w:rPr>
          <w:rFonts w:ascii="Times New Roman" w:hAnsi="Times New Roman"/>
          <w:noProof/>
        </w:rPr>
        <w:tab/>
        <w:t>Fox SE, Akmatbekov A, Harbert JL, Li G, Brown JQ, Vander Heide RS. Pulmonary and Cardiac Pathology in Covid-19: The First Autopsy Series from New Orleans. medRxiv [Internet]. 2020 Jan 1;2020.04.06.20050575. Available from: http://medrxiv.org/content/early/2020/04/10/2020.04.06.20050575.abstract</w:t>
      </w:r>
    </w:p>
    <w:p w14:paraId="1F5C2346"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21. </w:t>
      </w:r>
      <w:r w:rsidRPr="006A3DA0">
        <w:rPr>
          <w:rFonts w:ascii="Times New Roman" w:hAnsi="Times New Roman"/>
          <w:noProof/>
        </w:rPr>
        <w:tab/>
        <w:t xml:space="preserve">Hunt B, Retter A, McClintock C. Practical guidance for the prevention of thrombosis and management of coagulopathy and disseminated intravascular coagulation of patients infected with COVID-19. </w:t>
      </w:r>
    </w:p>
    <w:p w14:paraId="2CC20A00"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22. </w:t>
      </w:r>
      <w:r w:rsidRPr="006A3DA0">
        <w:rPr>
          <w:rFonts w:ascii="Times New Roman" w:hAnsi="Times New Roman"/>
          <w:noProof/>
        </w:rPr>
        <w:tab/>
        <w:t xml:space="preserve">Ansari SA, Dabus G, Jayaraman M V, William J. Society of NeuroInterventional Surgery recommendations for the care of emergent neurointerventional patients in the setting of. :1–8. </w:t>
      </w:r>
    </w:p>
    <w:p w14:paraId="2B06661D"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23. </w:t>
      </w:r>
      <w:r w:rsidRPr="006A3DA0">
        <w:rPr>
          <w:rFonts w:ascii="Times New Roman" w:hAnsi="Times New Roman"/>
          <w:noProof/>
        </w:rPr>
        <w:tab/>
        <w:t xml:space="preserve">Cases C-. C or r e sp ondence Coagulopathy and Antiphospholipid Antibodies in Patients with Covid-19. 2020;1–3. </w:t>
      </w:r>
    </w:p>
    <w:p w14:paraId="2F881E48"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24. </w:t>
      </w:r>
      <w:r w:rsidRPr="006A3DA0">
        <w:rPr>
          <w:rFonts w:ascii="Times New Roman" w:hAnsi="Times New Roman"/>
          <w:noProof/>
        </w:rPr>
        <w:tab/>
        <w:t xml:space="preserve">Hino O, Kobayashi T. Mourning Dr. Alfred G. Knudson: the two-hit hypothesis, tumor suppressor genes, and the tuberous sclerosis complex. Cancer Science. 2017. </w:t>
      </w:r>
    </w:p>
    <w:p w14:paraId="13FE8F65" w14:textId="77777777" w:rsidR="00101348" w:rsidRPr="006A3DA0" w:rsidRDefault="00101348" w:rsidP="006A3DA0">
      <w:pPr>
        <w:widowControl w:val="0"/>
        <w:autoSpaceDE w:val="0"/>
        <w:autoSpaceDN w:val="0"/>
        <w:adjustRightInd w:val="0"/>
        <w:spacing w:line="480" w:lineRule="auto"/>
        <w:ind w:left="640" w:hanging="640"/>
        <w:rPr>
          <w:rFonts w:ascii="Times New Roman" w:hAnsi="Times New Roman"/>
          <w:noProof/>
        </w:rPr>
      </w:pPr>
      <w:r w:rsidRPr="006A3DA0">
        <w:rPr>
          <w:rFonts w:ascii="Times New Roman" w:hAnsi="Times New Roman"/>
          <w:noProof/>
        </w:rPr>
        <w:t xml:space="preserve">25. </w:t>
      </w:r>
      <w:r w:rsidRPr="006A3DA0">
        <w:rPr>
          <w:rFonts w:ascii="Times New Roman" w:hAnsi="Times New Roman"/>
          <w:noProof/>
        </w:rPr>
        <w:tab/>
        <w:t xml:space="preserve">Temporary Emergency Guidance to US Stroke Centers During the COVID-19 Pandemic. Stroke. 2020; </w:t>
      </w:r>
    </w:p>
    <w:p w14:paraId="262C707D" w14:textId="0916BC8E" w:rsidR="006B54F2" w:rsidRPr="006A3DA0" w:rsidRDefault="001C7B94" w:rsidP="006A3DA0">
      <w:pPr>
        <w:widowControl w:val="0"/>
        <w:autoSpaceDE w:val="0"/>
        <w:autoSpaceDN w:val="0"/>
        <w:adjustRightInd w:val="0"/>
        <w:spacing w:line="480" w:lineRule="auto"/>
        <w:ind w:left="640" w:hanging="640"/>
        <w:rPr>
          <w:rFonts w:ascii="Times New Roman" w:hAnsi="Times New Roman"/>
        </w:rPr>
      </w:pPr>
      <w:r w:rsidRPr="006A3DA0">
        <w:rPr>
          <w:rFonts w:ascii="Times New Roman" w:hAnsi="Times New Roman"/>
        </w:rPr>
        <w:fldChar w:fldCharType="end"/>
      </w:r>
    </w:p>
    <w:p w14:paraId="25A6872D" w14:textId="77777777" w:rsidR="00435274" w:rsidRPr="006A3DA0" w:rsidRDefault="00435274" w:rsidP="006A3DA0">
      <w:pPr>
        <w:pStyle w:val="MediumGrid21"/>
        <w:spacing w:line="480" w:lineRule="auto"/>
        <w:rPr>
          <w:rFonts w:ascii="Times New Roman" w:hAnsi="Times New Roman"/>
        </w:rPr>
      </w:pPr>
    </w:p>
    <w:sectPr w:rsidR="00435274" w:rsidRPr="006A3DA0" w:rsidSect="00C525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F0ACE" w14:textId="77777777" w:rsidR="00CB5A43" w:rsidRDefault="00CB5A43" w:rsidP="005E4F4F">
      <w:r>
        <w:separator/>
      </w:r>
    </w:p>
  </w:endnote>
  <w:endnote w:type="continuationSeparator" w:id="0">
    <w:p w14:paraId="0EC2C6D4" w14:textId="77777777" w:rsidR="00CB5A43" w:rsidRDefault="00CB5A43" w:rsidP="005E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2720E" w14:textId="77777777" w:rsidR="00CB5A43" w:rsidRDefault="00CB5A43" w:rsidP="005E4F4F">
      <w:r>
        <w:separator/>
      </w:r>
    </w:p>
  </w:footnote>
  <w:footnote w:type="continuationSeparator" w:id="0">
    <w:p w14:paraId="040C1ACE" w14:textId="77777777" w:rsidR="00CB5A43" w:rsidRDefault="00CB5A43" w:rsidP="005E4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CCAB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0330C"/>
    <w:multiLevelType w:val="hybridMultilevel"/>
    <w:tmpl w:val="49F4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373B0C"/>
    <w:multiLevelType w:val="hybridMultilevel"/>
    <w:tmpl w:val="B73E4C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297C02"/>
    <w:multiLevelType w:val="hybridMultilevel"/>
    <w:tmpl w:val="6B841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DF5"/>
    <w:rsid w:val="000547B0"/>
    <w:rsid w:val="00083E01"/>
    <w:rsid w:val="000A0CC7"/>
    <w:rsid w:val="000F47B4"/>
    <w:rsid w:val="00101348"/>
    <w:rsid w:val="00117C9C"/>
    <w:rsid w:val="00133A61"/>
    <w:rsid w:val="00171F6D"/>
    <w:rsid w:val="00192DA9"/>
    <w:rsid w:val="001A73BE"/>
    <w:rsid w:val="001C7B94"/>
    <w:rsid w:val="001D2A44"/>
    <w:rsid w:val="001E77DB"/>
    <w:rsid w:val="002131D3"/>
    <w:rsid w:val="00217A7A"/>
    <w:rsid w:val="00220DEF"/>
    <w:rsid w:val="002450A1"/>
    <w:rsid w:val="002950D7"/>
    <w:rsid w:val="00296670"/>
    <w:rsid w:val="002B58CA"/>
    <w:rsid w:val="002C3358"/>
    <w:rsid w:val="002D51E9"/>
    <w:rsid w:val="002F4C6C"/>
    <w:rsid w:val="002F4F3F"/>
    <w:rsid w:val="00310E42"/>
    <w:rsid w:val="00331027"/>
    <w:rsid w:val="00335B16"/>
    <w:rsid w:val="00351757"/>
    <w:rsid w:val="00366B85"/>
    <w:rsid w:val="003D6F4B"/>
    <w:rsid w:val="003E00A5"/>
    <w:rsid w:val="00413A35"/>
    <w:rsid w:val="00435274"/>
    <w:rsid w:val="004617F6"/>
    <w:rsid w:val="00464DD4"/>
    <w:rsid w:val="00485187"/>
    <w:rsid w:val="00485E09"/>
    <w:rsid w:val="004A394E"/>
    <w:rsid w:val="004A5CE5"/>
    <w:rsid w:val="004C4DF2"/>
    <w:rsid w:val="004E4DF8"/>
    <w:rsid w:val="0051320A"/>
    <w:rsid w:val="005157C5"/>
    <w:rsid w:val="00520A9F"/>
    <w:rsid w:val="00535C2D"/>
    <w:rsid w:val="00537185"/>
    <w:rsid w:val="00544BF4"/>
    <w:rsid w:val="0055177E"/>
    <w:rsid w:val="00553061"/>
    <w:rsid w:val="00554E04"/>
    <w:rsid w:val="00567B2A"/>
    <w:rsid w:val="00575193"/>
    <w:rsid w:val="00585464"/>
    <w:rsid w:val="005C4C29"/>
    <w:rsid w:val="005C6A26"/>
    <w:rsid w:val="005D132D"/>
    <w:rsid w:val="005E4F4F"/>
    <w:rsid w:val="005F69D9"/>
    <w:rsid w:val="00607C1F"/>
    <w:rsid w:val="00624BE9"/>
    <w:rsid w:val="00631ED6"/>
    <w:rsid w:val="0066281A"/>
    <w:rsid w:val="00662E32"/>
    <w:rsid w:val="00695B52"/>
    <w:rsid w:val="006A3AE8"/>
    <w:rsid w:val="006A3DA0"/>
    <w:rsid w:val="006A6210"/>
    <w:rsid w:val="006B332A"/>
    <w:rsid w:val="006B54F2"/>
    <w:rsid w:val="006B614A"/>
    <w:rsid w:val="006D21E2"/>
    <w:rsid w:val="006E74D5"/>
    <w:rsid w:val="0071478B"/>
    <w:rsid w:val="00716272"/>
    <w:rsid w:val="0073616E"/>
    <w:rsid w:val="00772F62"/>
    <w:rsid w:val="007920A1"/>
    <w:rsid w:val="007E55C9"/>
    <w:rsid w:val="007E75E6"/>
    <w:rsid w:val="00802256"/>
    <w:rsid w:val="008054BB"/>
    <w:rsid w:val="0083302D"/>
    <w:rsid w:val="00855DF5"/>
    <w:rsid w:val="008624F6"/>
    <w:rsid w:val="008A31D0"/>
    <w:rsid w:val="008A4043"/>
    <w:rsid w:val="008B2910"/>
    <w:rsid w:val="008B49D5"/>
    <w:rsid w:val="008E27A2"/>
    <w:rsid w:val="00907C0C"/>
    <w:rsid w:val="009238AD"/>
    <w:rsid w:val="009436EF"/>
    <w:rsid w:val="00946C91"/>
    <w:rsid w:val="0095027C"/>
    <w:rsid w:val="00954993"/>
    <w:rsid w:val="0097472A"/>
    <w:rsid w:val="00975543"/>
    <w:rsid w:val="0099359B"/>
    <w:rsid w:val="0099619B"/>
    <w:rsid w:val="009E6D0E"/>
    <w:rsid w:val="00A044C7"/>
    <w:rsid w:val="00A24143"/>
    <w:rsid w:val="00A5025E"/>
    <w:rsid w:val="00A600EC"/>
    <w:rsid w:val="00A84B6B"/>
    <w:rsid w:val="00A85F53"/>
    <w:rsid w:val="00A978FB"/>
    <w:rsid w:val="00B04175"/>
    <w:rsid w:val="00B10DA4"/>
    <w:rsid w:val="00B5367B"/>
    <w:rsid w:val="00B84251"/>
    <w:rsid w:val="00BA1D34"/>
    <w:rsid w:val="00BB17F3"/>
    <w:rsid w:val="00BB23EF"/>
    <w:rsid w:val="00BB5194"/>
    <w:rsid w:val="00BC3E09"/>
    <w:rsid w:val="00BF1452"/>
    <w:rsid w:val="00BF3433"/>
    <w:rsid w:val="00BF5049"/>
    <w:rsid w:val="00C312C6"/>
    <w:rsid w:val="00C4507E"/>
    <w:rsid w:val="00C525AE"/>
    <w:rsid w:val="00C616E7"/>
    <w:rsid w:val="00C92569"/>
    <w:rsid w:val="00CA62F5"/>
    <w:rsid w:val="00CB5A43"/>
    <w:rsid w:val="00CC32A4"/>
    <w:rsid w:val="00CC5C77"/>
    <w:rsid w:val="00CF28B5"/>
    <w:rsid w:val="00D05E89"/>
    <w:rsid w:val="00D16ED3"/>
    <w:rsid w:val="00D50B42"/>
    <w:rsid w:val="00DB25E8"/>
    <w:rsid w:val="00DE0788"/>
    <w:rsid w:val="00DE3BDA"/>
    <w:rsid w:val="00E00122"/>
    <w:rsid w:val="00E012AD"/>
    <w:rsid w:val="00E178FE"/>
    <w:rsid w:val="00E47B72"/>
    <w:rsid w:val="00E73C15"/>
    <w:rsid w:val="00E7596F"/>
    <w:rsid w:val="00EA104A"/>
    <w:rsid w:val="00EA45BA"/>
    <w:rsid w:val="00ED62D1"/>
    <w:rsid w:val="00EE34DE"/>
    <w:rsid w:val="00EE7AF9"/>
    <w:rsid w:val="00EF7959"/>
    <w:rsid w:val="00F0342A"/>
    <w:rsid w:val="00F15046"/>
    <w:rsid w:val="00F41781"/>
    <w:rsid w:val="00F53DC4"/>
    <w:rsid w:val="00F606BE"/>
    <w:rsid w:val="00F6123E"/>
    <w:rsid w:val="00F64E5C"/>
    <w:rsid w:val="00F915AB"/>
    <w:rsid w:val="00F97DC4"/>
    <w:rsid w:val="00FB0781"/>
    <w:rsid w:val="00FB243E"/>
    <w:rsid w:val="00FE00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A68563"/>
  <w15:docId w15:val="{8DED65A7-D46A-2340-A1C2-DD6AC796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1Char"/>
    <w:uiPriority w:val="1"/>
    <w:qFormat/>
    <w:rsid w:val="007E55C9"/>
    <w:rPr>
      <w:sz w:val="24"/>
      <w:szCs w:val="24"/>
    </w:rPr>
  </w:style>
  <w:style w:type="table" w:styleId="TableGrid">
    <w:name w:val="Table Grid"/>
    <w:basedOn w:val="TableNormal"/>
    <w:uiPriority w:val="59"/>
    <w:rsid w:val="00FB243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6210"/>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CC5C77"/>
    <w:rPr>
      <w:rFonts w:ascii="Times New Roman" w:hAnsi="Times New Roman"/>
      <w:sz w:val="18"/>
      <w:szCs w:val="18"/>
    </w:rPr>
  </w:style>
  <w:style w:type="character" w:customStyle="1" w:styleId="BalloonTextChar">
    <w:name w:val="Balloon Text Char"/>
    <w:link w:val="BalloonText"/>
    <w:uiPriority w:val="99"/>
    <w:semiHidden/>
    <w:rsid w:val="00CC5C77"/>
    <w:rPr>
      <w:rFonts w:ascii="Times New Roman" w:hAnsi="Times New Roman" w:cs="Times New Roman"/>
      <w:sz w:val="18"/>
      <w:szCs w:val="18"/>
    </w:rPr>
  </w:style>
  <w:style w:type="paragraph" w:styleId="BodyText">
    <w:name w:val="Body Text"/>
    <w:basedOn w:val="Normal"/>
    <w:link w:val="BodyTextChar"/>
    <w:uiPriority w:val="1"/>
    <w:qFormat/>
    <w:rsid w:val="00CC5C77"/>
    <w:pPr>
      <w:widowControl w:val="0"/>
      <w:autoSpaceDE w:val="0"/>
      <w:autoSpaceDN w:val="0"/>
    </w:pPr>
    <w:rPr>
      <w:rFonts w:ascii="Garamond" w:eastAsia="Garamond" w:hAnsi="Garamond" w:cs="Garamond"/>
      <w:sz w:val="22"/>
      <w:szCs w:val="22"/>
    </w:rPr>
  </w:style>
  <w:style w:type="character" w:customStyle="1" w:styleId="BodyTextChar">
    <w:name w:val="Body Text Char"/>
    <w:link w:val="BodyText"/>
    <w:uiPriority w:val="1"/>
    <w:rsid w:val="00CC5C77"/>
    <w:rPr>
      <w:rFonts w:ascii="Garamond" w:eastAsia="Garamond" w:hAnsi="Garamond" w:cs="Garamond"/>
      <w:sz w:val="22"/>
      <w:szCs w:val="22"/>
    </w:rPr>
  </w:style>
  <w:style w:type="paragraph" w:styleId="ListParagraph">
    <w:name w:val="List Paragraph"/>
    <w:basedOn w:val="Normal"/>
    <w:uiPriority w:val="34"/>
    <w:qFormat/>
    <w:rsid w:val="00C312C6"/>
    <w:pPr>
      <w:ind w:left="720"/>
      <w:contextualSpacing/>
    </w:pPr>
  </w:style>
  <w:style w:type="paragraph" w:styleId="Header">
    <w:name w:val="header"/>
    <w:basedOn w:val="Normal"/>
    <w:link w:val="HeaderChar"/>
    <w:uiPriority w:val="99"/>
    <w:unhideWhenUsed/>
    <w:rsid w:val="005E4F4F"/>
    <w:pPr>
      <w:tabs>
        <w:tab w:val="center" w:pos="4680"/>
        <w:tab w:val="right" w:pos="9360"/>
      </w:tabs>
    </w:pPr>
  </w:style>
  <w:style w:type="character" w:customStyle="1" w:styleId="HeaderChar">
    <w:name w:val="Header Char"/>
    <w:basedOn w:val="DefaultParagraphFont"/>
    <w:link w:val="Header"/>
    <w:uiPriority w:val="99"/>
    <w:rsid w:val="005E4F4F"/>
    <w:rPr>
      <w:sz w:val="24"/>
      <w:szCs w:val="24"/>
    </w:rPr>
  </w:style>
  <w:style w:type="paragraph" w:styleId="Footer">
    <w:name w:val="footer"/>
    <w:basedOn w:val="Normal"/>
    <w:link w:val="FooterChar"/>
    <w:uiPriority w:val="99"/>
    <w:unhideWhenUsed/>
    <w:rsid w:val="005E4F4F"/>
    <w:pPr>
      <w:tabs>
        <w:tab w:val="center" w:pos="4680"/>
        <w:tab w:val="right" w:pos="9360"/>
      </w:tabs>
    </w:pPr>
  </w:style>
  <w:style w:type="character" w:customStyle="1" w:styleId="FooterChar">
    <w:name w:val="Footer Char"/>
    <w:basedOn w:val="DefaultParagraphFont"/>
    <w:link w:val="Footer"/>
    <w:uiPriority w:val="99"/>
    <w:rsid w:val="005E4F4F"/>
    <w:rPr>
      <w:sz w:val="24"/>
      <w:szCs w:val="24"/>
    </w:rPr>
  </w:style>
  <w:style w:type="character" w:customStyle="1" w:styleId="MediumGrid21Char">
    <w:name w:val="Medium Grid 21 Char"/>
    <w:basedOn w:val="DefaultParagraphFont"/>
    <w:link w:val="MediumGrid21"/>
    <w:uiPriority w:val="1"/>
    <w:rsid w:val="00CA62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19346">
      <w:bodyDiv w:val="1"/>
      <w:marLeft w:val="0"/>
      <w:marRight w:val="0"/>
      <w:marTop w:val="0"/>
      <w:marBottom w:val="0"/>
      <w:divBdr>
        <w:top w:val="none" w:sz="0" w:space="0" w:color="auto"/>
        <w:left w:val="none" w:sz="0" w:space="0" w:color="auto"/>
        <w:bottom w:val="none" w:sz="0" w:space="0" w:color="auto"/>
        <w:right w:val="none" w:sz="0" w:space="0" w:color="auto"/>
      </w:divBdr>
      <w:divsChild>
        <w:div w:id="1170175221">
          <w:marLeft w:val="0"/>
          <w:marRight w:val="0"/>
          <w:marTop w:val="0"/>
          <w:marBottom w:val="0"/>
          <w:divBdr>
            <w:top w:val="none" w:sz="0" w:space="0" w:color="auto"/>
            <w:left w:val="none" w:sz="0" w:space="0" w:color="auto"/>
            <w:bottom w:val="none" w:sz="0" w:space="0" w:color="auto"/>
            <w:right w:val="none" w:sz="0" w:space="0" w:color="auto"/>
          </w:divBdr>
          <w:divsChild>
            <w:div w:id="1229195229">
              <w:marLeft w:val="0"/>
              <w:marRight w:val="0"/>
              <w:marTop w:val="0"/>
              <w:marBottom w:val="0"/>
              <w:divBdr>
                <w:top w:val="none" w:sz="0" w:space="0" w:color="auto"/>
                <w:left w:val="none" w:sz="0" w:space="0" w:color="auto"/>
                <w:bottom w:val="none" w:sz="0" w:space="0" w:color="auto"/>
                <w:right w:val="none" w:sz="0" w:space="0" w:color="auto"/>
              </w:divBdr>
              <w:divsChild>
                <w:div w:id="5224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858">
          <w:marLeft w:val="0"/>
          <w:marRight w:val="0"/>
          <w:marTop w:val="0"/>
          <w:marBottom w:val="0"/>
          <w:divBdr>
            <w:top w:val="none" w:sz="0" w:space="0" w:color="auto"/>
            <w:left w:val="none" w:sz="0" w:space="0" w:color="auto"/>
            <w:bottom w:val="none" w:sz="0" w:space="0" w:color="auto"/>
            <w:right w:val="none" w:sz="0" w:space="0" w:color="auto"/>
          </w:divBdr>
          <w:divsChild>
            <w:div w:id="1904295520">
              <w:marLeft w:val="0"/>
              <w:marRight w:val="0"/>
              <w:marTop w:val="0"/>
              <w:marBottom w:val="0"/>
              <w:divBdr>
                <w:top w:val="none" w:sz="0" w:space="0" w:color="auto"/>
                <w:left w:val="none" w:sz="0" w:space="0" w:color="auto"/>
                <w:bottom w:val="none" w:sz="0" w:space="0" w:color="auto"/>
                <w:right w:val="none" w:sz="0" w:space="0" w:color="auto"/>
              </w:divBdr>
              <w:divsChild>
                <w:div w:id="10409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67988">
      <w:bodyDiv w:val="1"/>
      <w:marLeft w:val="0"/>
      <w:marRight w:val="0"/>
      <w:marTop w:val="0"/>
      <w:marBottom w:val="0"/>
      <w:divBdr>
        <w:top w:val="none" w:sz="0" w:space="0" w:color="auto"/>
        <w:left w:val="none" w:sz="0" w:space="0" w:color="auto"/>
        <w:bottom w:val="none" w:sz="0" w:space="0" w:color="auto"/>
        <w:right w:val="none" w:sz="0" w:space="0" w:color="auto"/>
      </w:divBdr>
    </w:div>
    <w:div w:id="727385198">
      <w:bodyDiv w:val="1"/>
      <w:marLeft w:val="0"/>
      <w:marRight w:val="0"/>
      <w:marTop w:val="0"/>
      <w:marBottom w:val="0"/>
      <w:divBdr>
        <w:top w:val="none" w:sz="0" w:space="0" w:color="auto"/>
        <w:left w:val="none" w:sz="0" w:space="0" w:color="auto"/>
        <w:bottom w:val="none" w:sz="0" w:space="0" w:color="auto"/>
        <w:right w:val="none" w:sz="0" w:space="0" w:color="auto"/>
      </w:divBdr>
      <w:divsChild>
        <w:div w:id="1150710596">
          <w:marLeft w:val="0"/>
          <w:marRight w:val="0"/>
          <w:marTop w:val="0"/>
          <w:marBottom w:val="0"/>
          <w:divBdr>
            <w:top w:val="none" w:sz="0" w:space="0" w:color="auto"/>
            <w:left w:val="none" w:sz="0" w:space="0" w:color="auto"/>
            <w:bottom w:val="none" w:sz="0" w:space="0" w:color="auto"/>
            <w:right w:val="none" w:sz="0" w:space="0" w:color="auto"/>
          </w:divBdr>
          <w:divsChild>
            <w:div w:id="146286840">
              <w:marLeft w:val="0"/>
              <w:marRight w:val="0"/>
              <w:marTop w:val="0"/>
              <w:marBottom w:val="0"/>
              <w:divBdr>
                <w:top w:val="none" w:sz="0" w:space="0" w:color="auto"/>
                <w:left w:val="none" w:sz="0" w:space="0" w:color="auto"/>
                <w:bottom w:val="none" w:sz="0" w:space="0" w:color="auto"/>
                <w:right w:val="none" w:sz="0" w:space="0" w:color="auto"/>
              </w:divBdr>
              <w:divsChild>
                <w:div w:id="1403454491">
                  <w:marLeft w:val="0"/>
                  <w:marRight w:val="0"/>
                  <w:marTop w:val="0"/>
                  <w:marBottom w:val="0"/>
                  <w:divBdr>
                    <w:top w:val="none" w:sz="0" w:space="0" w:color="auto"/>
                    <w:left w:val="none" w:sz="0" w:space="0" w:color="auto"/>
                    <w:bottom w:val="none" w:sz="0" w:space="0" w:color="auto"/>
                    <w:right w:val="none" w:sz="0" w:space="0" w:color="auto"/>
                  </w:divBdr>
                  <w:divsChild>
                    <w:div w:id="13699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661266">
      <w:bodyDiv w:val="1"/>
      <w:marLeft w:val="0"/>
      <w:marRight w:val="0"/>
      <w:marTop w:val="0"/>
      <w:marBottom w:val="0"/>
      <w:divBdr>
        <w:top w:val="none" w:sz="0" w:space="0" w:color="auto"/>
        <w:left w:val="none" w:sz="0" w:space="0" w:color="auto"/>
        <w:bottom w:val="none" w:sz="0" w:space="0" w:color="auto"/>
        <w:right w:val="none" w:sz="0" w:space="0" w:color="auto"/>
      </w:divBdr>
    </w:div>
    <w:div w:id="976686485">
      <w:bodyDiv w:val="1"/>
      <w:marLeft w:val="0"/>
      <w:marRight w:val="0"/>
      <w:marTop w:val="0"/>
      <w:marBottom w:val="0"/>
      <w:divBdr>
        <w:top w:val="none" w:sz="0" w:space="0" w:color="auto"/>
        <w:left w:val="none" w:sz="0" w:space="0" w:color="auto"/>
        <w:bottom w:val="none" w:sz="0" w:space="0" w:color="auto"/>
        <w:right w:val="none" w:sz="0" w:space="0" w:color="auto"/>
      </w:divBdr>
    </w:div>
    <w:div w:id="1256982581">
      <w:bodyDiv w:val="1"/>
      <w:marLeft w:val="0"/>
      <w:marRight w:val="0"/>
      <w:marTop w:val="0"/>
      <w:marBottom w:val="0"/>
      <w:divBdr>
        <w:top w:val="none" w:sz="0" w:space="0" w:color="auto"/>
        <w:left w:val="none" w:sz="0" w:space="0" w:color="auto"/>
        <w:bottom w:val="none" w:sz="0" w:space="0" w:color="auto"/>
        <w:right w:val="none" w:sz="0" w:space="0" w:color="auto"/>
      </w:divBdr>
    </w:div>
    <w:div w:id="1408385722">
      <w:bodyDiv w:val="1"/>
      <w:marLeft w:val="0"/>
      <w:marRight w:val="0"/>
      <w:marTop w:val="0"/>
      <w:marBottom w:val="0"/>
      <w:divBdr>
        <w:top w:val="none" w:sz="0" w:space="0" w:color="auto"/>
        <w:left w:val="none" w:sz="0" w:space="0" w:color="auto"/>
        <w:bottom w:val="none" w:sz="0" w:space="0" w:color="auto"/>
        <w:right w:val="none" w:sz="0" w:space="0" w:color="auto"/>
      </w:divBdr>
      <w:divsChild>
        <w:div w:id="823082594">
          <w:marLeft w:val="0"/>
          <w:marRight w:val="0"/>
          <w:marTop w:val="0"/>
          <w:marBottom w:val="0"/>
          <w:divBdr>
            <w:top w:val="none" w:sz="0" w:space="0" w:color="auto"/>
            <w:left w:val="none" w:sz="0" w:space="0" w:color="auto"/>
            <w:bottom w:val="none" w:sz="0" w:space="0" w:color="auto"/>
            <w:right w:val="none" w:sz="0" w:space="0" w:color="auto"/>
          </w:divBdr>
          <w:divsChild>
            <w:div w:id="1899590635">
              <w:marLeft w:val="0"/>
              <w:marRight w:val="0"/>
              <w:marTop w:val="0"/>
              <w:marBottom w:val="0"/>
              <w:divBdr>
                <w:top w:val="none" w:sz="0" w:space="0" w:color="auto"/>
                <w:left w:val="none" w:sz="0" w:space="0" w:color="auto"/>
                <w:bottom w:val="none" w:sz="0" w:space="0" w:color="auto"/>
                <w:right w:val="none" w:sz="0" w:space="0" w:color="auto"/>
              </w:divBdr>
              <w:divsChild>
                <w:div w:id="1508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5894">
      <w:bodyDiv w:val="1"/>
      <w:marLeft w:val="0"/>
      <w:marRight w:val="0"/>
      <w:marTop w:val="0"/>
      <w:marBottom w:val="0"/>
      <w:divBdr>
        <w:top w:val="none" w:sz="0" w:space="0" w:color="auto"/>
        <w:left w:val="none" w:sz="0" w:space="0" w:color="auto"/>
        <w:bottom w:val="none" w:sz="0" w:space="0" w:color="auto"/>
        <w:right w:val="none" w:sz="0" w:space="0" w:color="auto"/>
      </w:divBdr>
      <w:divsChild>
        <w:div w:id="1067339217">
          <w:marLeft w:val="0"/>
          <w:marRight w:val="0"/>
          <w:marTop w:val="0"/>
          <w:marBottom w:val="0"/>
          <w:divBdr>
            <w:top w:val="none" w:sz="0" w:space="0" w:color="auto"/>
            <w:left w:val="none" w:sz="0" w:space="0" w:color="auto"/>
            <w:bottom w:val="none" w:sz="0" w:space="0" w:color="auto"/>
            <w:right w:val="none" w:sz="0" w:space="0" w:color="auto"/>
          </w:divBdr>
          <w:divsChild>
            <w:div w:id="2110464654">
              <w:marLeft w:val="0"/>
              <w:marRight w:val="0"/>
              <w:marTop w:val="0"/>
              <w:marBottom w:val="0"/>
              <w:divBdr>
                <w:top w:val="none" w:sz="0" w:space="0" w:color="auto"/>
                <w:left w:val="none" w:sz="0" w:space="0" w:color="auto"/>
                <w:bottom w:val="none" w:sz="0" w:space="0" w:color="auto"/>
                <w:right w:val="none" w:sz="0" w:space="0" w:color="auto"/>
              </w:divBdr>
              <w:divsChild>
                <w:div w:id="7632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87300">
      <w:bodyDiv w:val="1"/>
      <w:marLeft w:val="0"/>
      <w:marRight w:val="0"/>
      <w:marTop w:val="0"/>
      <w:marBottom w:val="0"/>
      <w:divBdr>
        <w:top w:val="none" w:sz="0" w:space="0" w:color="auto"/>
        <w:left w:val="none" w:sz="0" w:space="0" w:color="auto"/>
        <w:bottom w:val="none" w:sz="0" w:space="0" w:color="auto"/>
        <w:right w:val="none" w:sz="0" w:space="0" w:color="auto"/>
      </w:divBdr>
    </w:div>
    <w:div w:id="2073237711">
      <w:bodyDiv w:val="1"/>
      <w:marLeft w:val="0"/>
      <w:marRight w:val="0"/>
      <w:marTop w:val="0"/>
      <w:marBottom w:val="0"/>
      <w:divBdr>
        <w:top w:val="none" w:sz="0" w:space="0" w:color="auto"/>
        <w:left w:val="none" w:sz="0" w:space="0" w:color="auto"/>
        <w:bottom w:val="none" w:sz="0" w:space="0" w:color="auto"/>
        <w:right w:val="none" w:sz="0" w:space="0" w:color="auto"/>
      </w:divBdr>
      <w:divsChild>
        <w:div w:id="1893350441">
          <w:marLeft w:val="0"/>
          <w:marRight w:val="0"/>
          <w:marTop w:val="0"/>
          <w:marBottom w:val="0"/>
          <w:divBdr>
            <w:top w:val="none" w:sz="0" w:space="0" w:color="auto"/>
            <w:left w:val="none" w:sz="0" w:space="0" w:color="auto"/>
            <w:bottom w:val="none" w:sz="0" w:space="0" w:color="auto"/>
            <w:right w:val="none" w:sz="0" w:space="0" w:color="auto"/>
          </w:divBdr>
          <w:divsChild>
            <w:div w:id="677386201">
              <w:marLeft w:val="0"/>
              <w:marRight w:val="0"/>
              <w:marTop w:val="0"/>
              <w:marBottom w:val="0"/>
              <w:divBdr>
                <w:top w:val="none" w:sz="0" w:space="0" w:color="auto"/>
                <w:left w:val="none" w:sz="0" w:space="0" w:color="auto"/>
                <w:bottom w:val="none" w:sz="0" w:space="0" w:color="auto"/>
                <w:right w:val="none" w:sz="0" w:space="0" w:color="auto"/>
              </w:divBdr>
              <w:divsChild>
                <w:div w:id="1256089608">
                  <w:marLeft w:val="0"/>
                  <w:marRight w:val="0"/>
                  <w:marTop w:val="0"/>
                  <w:marBottom w:val="0"/>
                  <w:divBdr>
                    <w:top w:val="none" w:sz="0" w:space="0" w:color="auto"/>
                    <w:left w:val="none" w:sz="0" w:space="0" w:color="auto"/>
                    <w:bottom w:val="none" w:sz="0" w:space="0" w:color="auto"/>
                    <w:right w:val="none" w:sz="0" w:space="0" w:color="auto"/>
                  </w:divBdr>
                  <w:divsChild>
                    <w:div w:id="1562906918">
                      <w:marLeft w:val="0"/>
                      <w:marRight w:val="0"/>
                      <w:marTop w:val="0"/>
                      <w:marBottom w:val="0"/>
                      <w:divBdr>
                        <w:top w:val="none" w:sz="0" w:space="0" w:color="auto"/>
                        <w:left w:val="none" w:sz="0" w:space="0" w:color="auto"/>
                        <w:bottom w:val="none" w:sz="0" w:space="0" w:color="auto"/>
                        <w:right w:val="none" w:sz="0" w:space="0" w:color="auto"/>
                      </w:divBdr>
                    </w:div>
                    <w:div w:id="2102682152">
                      <w:marLeft w:val="0"/>
                      <w:marRight w:val="0"/>
                      <w:marTop w:val="0"/>
                      <w:marBottom w:val="0"/>
                      <w:divBdr>
                        <w:top w:val="none" w:sz="0" w:space="0" w:color="auto"/>
                        <w:left w:val="none" w:sz="0" w:space="0" w:color="auto"/>
                        <w:bottom w:val="none" w:sz="0" w:space="0" w:color="auto"/>
                        <w:right w:val="none" w:sz="0" w:space="0" w:color="auto"/>
                      </w:divBdr>
                    </w:div>
                  </w:divsChild>
                </w:div>
                <w:div w:id="1636375069">
                  <w:marLeft w:val="0"/>
                  <w:marRight w:val="0"/>
                  <w:marTop w:val="0"/>
                  <w:marBottom w:val="0"/>
                  <w:divBdr>
                    <w:top w:val="none" w:sz="0" w:space="0" w:color="auto"/>
                    <w:left w:val="none" w:sz="0" w:space="0" w:color="auto"/>
                    <w:bottom w:val="none" w:sz="0" w:space="0" w:color="auto"/>
                    <w:right w:val="none" w:sz="0" w:space="0" w:color="auto"/>
                  </w:divBdr>
                  <w:divsChild>
                    <w:div w:id="31734361">
                      <w:marLeft w:val="0"/>
                      <w:marRight w:val="0"/>
                      <w:marTop w:val="0"/>
                      <w:marBottom w:val="0"/>
                      <w:divBdr>
                        <w:top w:val="none" w:sz="0" w:space="0" w:color="auto"/>
                        <w:left w:val="none" w:sz="0" w:space="0" w:color="auto"/>
                        <w:bottom w:val="none" w:sz="0" w:space="0" w:color="auto"/>
                        <w:right w:val="none" w:sz="0" w:space="0" w:color="auto"/>
                      </w:divBdr>
                    </w:div>
                    <w:div w:id="193982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fau</b:Tag>
    <b:SourceType>JournalArticle</b:SourceType>
    <b:Guid>{E1AA90D1-A169-0D4E-88E0-731B66E96139}</b:Guid>
    <b:Author>
      <b:Author>
        <b:NameList>
          <b:Person>
            <b:Last>fauci</b:Last>
          </b:Person>
        </b:NameList>
      </b:Author>
    </b:Author>
    <b:RefOrder>1</b:RefOrder>
  </b:Source>
</b:Sources>
</file>

<file path=customXml/itemProps1.xml><?xml version="1.0" encoding="utf-8"?>
<ds:datastoreItem xmlns:ds="http://schemas.openxmlformats.org/officeDocument/2006/customXml" ds:itemID="{E1C69F56-D275-2342-9A42-2DDB6BC3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26785</Words>
  <Characters>152680</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Ambooj Tiwari</dc:creator>
  <cp:keywords/>
  <dc:description/>
  <cp:lastModifiedBy>Ambooj Tiwari</cp:lastModifiedBy>
  <cp:revision>3</cp:revision>
  <dcterms:created xsi:type="dcterms:W3CDTF">2020-05-03T23:10:00Z</dcterms:created>
  <dcterms:modified xsi:type="dcterms:W3CDTF">2020-05-04T04:13:00Z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d0f1f3bc-20cb-3496-b341-28c784be527b</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http://www.zotero.org/styles/journal-of-neurointerventional-surgery</vt:lpwstr>
  </property>
  <property fmtid="{D5CDD505-2E9C-101B-9397-08002B2CF9AE}" pid="15" name="Mendeley Recent Style Name 5_1">
    <vt:lpwstr>Journal of NeuroInterventional surgery</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http://www.zotero.org/styles/national-library-of-medicine</vt:lpwstr>
  </property>
  <property fmtid="{D5CDD505-2E9C-101B-9397-08002B2CF9AE}" pid="21" name="Mendeley Recent Style Name 8_1">
    <vt:lpwstr>National Library of Medicine</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http://www.zotero.org/styles/national-library-of-medicine</vt:lpwstr>
  </property>
</Properties>
</file>