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797" w:rsidRPr="00F85958" w:rsidRDefault="00A14797" w:rsidP="00A14797">
      <w:pPr>
        <w:pStyle w:val="Titel"/>
        <w:rPr>
          <w:lang w:val="en-US"/>
        </w:rPr>
      </w:pPr>
      <w:r w:rsidRPr="00F85958">
        <w:rPr>
          <w:lang w:val="en-US"/>
        </w:rPr>
        <w:t>Supplementary Appendix</w:t>
      </w:r>
    </w:p>
    <w:p w:rsidR="00A14797" w:rsidRPr="00F85958" w:rsidRDefault="00977989" w:rsidP="00A14797">
      <w:pPr>
        <w:pStyle w:val="Untertitel"/>
        <w:rPr>
          <w:lang w:val="en-US"/>
        </w:rPr>
      </w:pPr>
      <w:r w:rsidRPr="00977989">
        <w:rPr>
          <w:lang w:val="en-US"/>
        </w:rPr>
        <w:t xml:space="preserve">A possible role of </w:t>
      </w:r>
      <w:proofErr w:type="spellStart"/>
      <w:r w:rsidRPr="00977989">
        <w:rPr>
          <w:lang w:val="en-US"/>
        </w:rPr>
        <w:t>immunopathogenesis</w:t>
      </w:r>
      <w:proofErr w:type="spellEnd"/>
      <w:r w:rsidRPr="00977989">
        <w:rPr>
          <w:lang w:val="en-US"/>
        </w:rPr>
        <w:t xml:space="preserve"> in COVID-19 progression</w:t>
      </w:r>
    </w:p>
    <w:bookmarkStart w:id="0" w:name="_Toc38892498" w:displacedByCustomXml="next"/>
    <w:bookmarkStart w:id="1" w:name="_Toc38874562" w:displacedByCustomXml="next"/>
    <w:bookmarkStart w:id="2" w:name="_Toc38875228" w:displacedByCustomXml="next"/>
    <w:sdt>
      <w:sdtPr>
        <w:rPr>
          <w:rFonts w:asciiTheme="minorHAnsi" w:eastAsiaTheme="minorHAnsi" w:hAnsiTheme="minorHAnsi" w:cstheme="minorBidi"/>
          <w:b w:val="0"/>
          <w:bCs w:val="0"/>
          <w:iCs w:val="0"/>
          <w:sz w:val="22"/>
          <w:szCs w:val="22"/>
          <w:lang w:val="en-US"/>
        </w:rPr>
        <w:id w:val="342984111"/>
        <w:docPartObj>
          <w:docPartGallery w:val="Table of Contents"/>
          <w:docPartUnique/>
        </w:docPartObj>
      </w:sdtPr>
      <w:sdtEndPr>
        <w:rPr>
          <w:rFonts w:eastAsiaTheme="minorEastAsia"/>
        </w:rPr>
      </w:sdtEndPr>
      <w:sdtContent>
        <w:p w:rsidR="00044871" w:rsidRPr="00F85958" w:rsidRDefault="00044871" w:rsidP="005000FF">
          <w:pPr>
            <w:pStyle w:val="berschrift1"/>
            <w:rPr>
              <w:lang w:val="en-US"/>
            </w:rPr>
          </w:pPr>
          <w:r w:rsidRPr="00F85958">
            <w:rPr>
              <w:lang w:val="en-US"/>
            </w:rPr>
            <w:t>Table of Contents</w:t>
          </w:r>
          <w:bookmarkEnd w:id="2"/>
          <w:bookmarkEnd w:id="1"/>
          <w:bookmarkEnd w:id="0"/>
        </w:p>
        <w:p w:rsidR="00B42518" w:rsidRDefault="00044871">
          <w:pPr>
            <w:pStyle w:val="Verzeichnis1"/>
            <w:tabs>
              <w:tab w:val="right" w:leader="dot" w:pos="9062"/>
            </w:tabs>
            <w:rPr>
              <w:noProof/>
              <w:lang w:eastAsia="de-DE"/>
            </w:rPr>
          </w:pPr>
          <w:r w:rsidRPr="00F85958">
            <w:rPr>
              <w:lang w:val="en-US"/>
            </w:rPr>
            <w:fldChar w:fldCharType="begin"/>
          </w:r>
          <w:r w:rsidRPr="00F85958">
            <w:rPr>
              <w:lang w:val="en-US"/>
            </w:rPr>
            <w:instrText xml:space="preserve"> TOC \o "1-3" \h \z \u </w:instrText>
          </w:r>
          <w:r w:rsidRPr="00F85958">
            <w:rPr>
              <w:lang w:val="en-US"/>
            </w:rPr>
            <w:fldChar w:fldCharType="separate"/>
          </w:r>
          <w:hyperlink w:anchor="_Toc38892499" w:history="1">
            <w:r w:rsidR="00B42518" w:rsidRPr="00392D53">
              <w:rPr>
                <w:rStyle w:val="Hyperlink"/>
                <w:noProof/>
                <w:lang w:val="en-US"/>
              </w:rPr>
              <w:t>Authors</w:t>
            </w:r>
            <w:r w:rsidR="00B42518">
              <w:rPr>
                <w:noProof/>
                <w:webHidden/>
              </w:rPr>
              <w:tab/>
            </w:r>
            <w:r w:rsidR="00B42518">
              <w:rPr>
                <w:noProof/>
                <w:webHidden/>
              </w:rPr>
              <w:fldChar w:fldCharType="begin"/>
            </w:r>
            <w:r w:rsidR="00B42518">
              <w:rPr>
                <w:noProof/>
                <w:webHidden/>
              </w:rPr>
              <w:instrText xml:space="preserve"> PAGEREF _Toc38892499 \h </w:instrText>
            </w:r>
            <w:r w:rsidR="00B42518">
              <w:rPr>
                <w:noProof/>
                <w:webHidden/>
              </w:rPr>
            </w:r>
            <w:r w:rsidR="00B42518">
              <w:rPr>
                <w:noProof/>
                <w:webHidden/>
              </w:rPr>
              <w:fldChar w:fldCharType="separate"/>
            </w:r>
            <w:r w:rsidR="00B42518">
              <w:rPr>
                <w:noProof/>
                <w:webHidden/>
              </w:rPr>
              <w:t>3</w:t>
            </w:r>
            <w:r w:rsidR="00B42518">
              <w:rPr>
                <w:noProof/>
                <w:webHidden/>
              </w:rPr>
              <w:fldChar w:fldCharType="end"/>
            </w:r>
          </w:hyperlink>
        </w:p>
        <w:p w:rsidR="00B42518" w:rsidRDefault="00550544">
          <w:pPr>
            <w:pStyle w:val="Verzeichnis1"/>
            <w:tabs>
              <w:tab w:val="right" w:leader="dot" w:pos="9062"/>
            </w:tabs>
            <w:rPr>
              <w:noProof/>
              <w:lang w:eastAsia="de-DE"/>
            </w:rPr>
          </w:pPr>
          <w:hyperlink w:anchor="_Toc38892500" w:history="1">
            <w:r w:rsidR="00B42518" w:rsidRPr="00392D53">
              <w:rPr>
                <w:rStyle w:val="Hyperlink"/>
                <w:noProof/>
                <w:lang w:val="en-US"/>
              </w:rPr>
              <w:t>Detailed Methods</w:t>
            </w:r>
            <w:r w:rsidR="00B42518">
              <w:rPr>
                <w:noProof/>
                <w:webHidden/>
              </w:rPr>
              <w:tab/>
            </w:r>
            <w:r w:rsidR="00B42518">
              <w:rPr>
                <w:noProof/>
                <w:webHidden/>
              </w:rPr>
              <w:fldChar w:fldCharType="begin"/>
            </w:r>
            <w:r w:rsidR="00B42518">
              <w:rPr>
                <w:noProof/>
                <w:webHidden/>
              </w:rPr>
              <w:instrText xml:space="preserve"> PAGEREF _Toc38892500 \h </w:instrText>
            </w:r>
            <w:r w:rsidR="00B42518">
              <w:rPr>
                <w:noProof/>
                <w:webHidden/>
              </w:rPr>
            </w:r>
            <w:r w:rsidR="00B42518">
              <w:rPr>
                <w:noProof/>
                <w:webHidden/>
              </w:rPr>
              <w:fldChar w:fldCharType="separate"/>
            </w:r>
            <w:r w:rsidR="00B42518">
              <w:rPr>
                <w:noProof/>
                <w:webHidden/>
              </w:rPr>
              <w:t>4</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1" w:history="1">
            <w:r w:rsidR="00B42518" w:rsidRPr="00392D53">
              <w:rPr>
                <w:rStyle w:val="Hyperlink"/>
                <w:noProof/>
                <w:lang w:val="en-US"/>
              </w:rPr>
              <w:t>Preparation of PBMCs</w:t>
            </w:r>
            <w:r w:rsidR="00B42518">
              <w:rPr>
                <w:noProof/>
                <w:webHidden/>
              </w:rPr>
              <w:tab/>
            </w:r>
            <w:r w:rsidR="00B42518">
              <w:rPr>
                <w:noProof/>
                <w:webHidden/>
              </w:rPr>
              <w:fldChar w:fldCharType="begin"/>
            </w:r>
            <w:r w:rsidR="00B42518">
              <w:rPr>
                <w:noProof/>
                <w:webHidden/>
              </w:rPr>
              <w:instrText xml:space="preserve"> PAGEREF _Toc38892501 \h </w:instrText>
            </w:r>
            <w:r w:rsidR="00B42518">
              <w:rPr>
                <w:noProof/>
                <w:webHidden/>
              </w:rPr>
            </w:r>
            <w:r w:rsidR="00B42518">
              <w:rPr>
                <w:noProof/>
                <w:webHidden/>
              </w:rPr>
              <w:fldChar w:fldCharType="separate"/>
            </w:r>
            <w:r w:rsidR="00B42518">
              <w:rPr>
                <w:noProof/>
                <w:webHidden/>
              </w:rPr>
              <w:t>4</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2" w:history="1">
            <w:r w:rsidR="00B42518" w:rsidRPr="00392D53">
              <w:rPr>
                <w:rStyle w:val="Hyperlink"/>
                <w:noProof/>
                <w:lang w:val="en-US"/>
              </w:rPr>
              <w:t>Stimulation with SARS-Cov-2 overlapping peptide pools</w:t>
            </w:r>
            <w:r w:rsidR="00B42518">
              <w:rPr>
                <w:noProof/>
                <w:webHidden/>
              </w:rPr>
              <w:tab/>
            </w:r>
            <w:r w:rsidR="00B42518">
              <w:rPr>
                <w:noProof/>
                <w:webHidden/>
              </w:rPr>
              <w:fldChar w:fldCharType="begin"/>
            </w:r>
            <w:r w:rsidR="00B42518">
              <w:rPr>
                <w:noProof/>
                <w:webHidden/>
              </w:rPr>
              <w:instrText xml:space="preserve"> PAGEREF _Toc38892502 \h </w:instrText>
            </w:r>
            <w:r w:rsidR="00B42518">
              <w:rPr>
                <w:noProof/>
                <w:webHidden/>
              </w:rPr>
            </w:r>
            <w:r w:rsidR="00B42518">
              <w:rPr>
                <w:noProof/>
                <w:webHidden/>
              </w:rPr>
              <w:fldChar w:fldCharType="separate"/>
            </w:r>
            <w:r w:rsidR="00B42518">
              <w:rPr>
                <w:noProof/>
                <w:webHidden/>
              </w:rPr>
              <w:t>4</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3" w:history="1">
            <w:r w:rsidR="00B42518" w:rsidRPr="00392D53">
              <w:rPr>
                <w:rStyle w:val="Hyperlink"/>
                <w:noProof/>
                <w:lang w:val="en-US"/>
              </w:rPr>
              <w:t>Antibodies</w:t>
            </w:r>
            <w:r w:rsidR="00B42518">
              <w:rPr>
                <w:noProof/>
                <w:webHidden/>
              </w:rPr>
              <w:tab/>
            </w:r>
            <w:r w:rsidR="00B42518">
              <w:rPr>
                <w:noProof/>
                <w:webHidden/>
              </w:rPr>
              <w:fldChar w:fldCharType="begin"/>
            </w:r>
            <w:r w:rsidR="00B42518">
              <w:rPr>
                <w:noProof/>
                <w:webHidden/>
              </w:rPr>
              <w:instrText xml:space="preserve"> PAGEREF _Toc38892503 \h </w:instrText>
            </w:r>
            <w:r w:rsidR="00B42518">
              <w:rPr>
                <w:noProof/>
                <w:webHidden/>
              </w:rPr>
            </w:r>
            <w:r w:rsidR="00B42518">
              <w:rPr>
                <w:noProof/>
                <w:webHidden/>
              </w:rPr>
              <w:fldChar w:fldCharType="separate"/>
            </w:r>
            <w:r w:rsidR="00B42518">
              <w:rPr>
                <w:noProof/>
                <w:webHidden/>
              </w:rPr>
              <w:t>4</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4" w:history="1">
            <w:r w:rsidR="00B42518" w:rsidRPr="00392D53">
              <w:rPr>
                <w:rStyle w:val="Hyperlink"/>
                <w:noProof/>
                <w:lang w:val="en-US"/>
              </w:rPr>
              <w:t>Flow cytometry</w:t>
            </w:r>
            <w:r w:rsidR="00B42518">
              <w:rPr>
                <w:noProof/>
                <w:webHidden/>
              </w:rPr>
              <w:tab/>
            </w:r>
            <w:r w:rsidR="00B42518">
              <w:rPr>
                <w:noProof/>
                <w:webHidden/>
              </w:rPr>
              <w:fldChar w:fldCharType="begin"/>
            </w:r>
            <w:r w:rsidR="00B42518">
              <w:rPr>
                <w:noProof/>
                <w:webHidden/>
              </w:rPr>
              <w:instrText xml:space="preserve"> PAGEREF _Toc38892504 \h </w:instrText>
            </w:r>
            <w:r w:rsidR="00B42518">
              <w:rPr>
                <w:noProof/>
                <w:webHidden/>
              </w:rPr>
            </w:r>
            <w:r w:rsidR="00B42518">
              <w:rPr>
                <w:noProof/>
                <w:webHidden/>
              </w:rPr>
              <w:fldChar w:fldCharType="separate"/>
            </w:r>
            <w:r w:rsidR="00B42518">
              <w:rPr>
                <w:noProof/>
                <w:webHidden/>
              </w:rPr>
              <w:t>5</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5" w:history="1">
            <w:r w:rsidR="00B42518" w:rsidRPr="00392D53">
              <w:rPr>
                <w:rStyle w:val="Hyperlink"/>
                <w:noProof/>
                <w:lang w:val="en-US"/>
              </w:rPr>
              <w:t>SARS-CoV-2 IgG Antibody titers</w:t>
            </w:r>
            <w:r w:rsidR="00B42518">
              <w:rPr>
                <w:noProof/>
                <w:webHidden/>
              </w:rPr>
              <w:tab/>
            </w:r>
            <w:r w:rsidR="00B42518">
              <w:rPr>
                <w:noProof/>
                <w:webHidden/>
              </w:rPr>
              <w:fldChar w:fldCharType="begin"/>
            </w:r>
            <w:r w:rsidR="00B42518">
              <w:rPr>
                <w:noProof/>
                <w:webHidden/>
              </w:rPr>
              <w:instrText xml:space="preserve"> PAGEREF _Toc38892505 \h </w:instrText>
            </w:r>
            <w:r w:rsidR="00B42518">
              <w:rPr>
                <w:noProof/>
                <w:webHidden/>
              </w:rPr>
            </w:r>
            <w:r w:rsidR="00B42518">
              <w:rPr>
                <w:noProof/>
                <w:webHidden/>
              </w:rPr>
              <w:fldChar w:fldCharType="separate"/>
            </w:r>
            <w:r w:rsidR="00B42518">
              <w:rPr>
                <w:noProof/>
                <w:webHidden/>
              </w:rPr>
              <w:t>5</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6" w:history="1">
            <w:r w:rsidR="00B42518" w:rsidRPr="00392D53">
              <w:rPr>
                <w:rStyle w:val="Hyperlink"/>
                <w:noProof/>
                <w:lang w:val="en-US"/>
              </w:rPr>
              <w:t>Statistical analysis</w:t>
            </w:r>
            <w:r w:rsidR="00B42518">
              <w:rPr>
                <w:noProof/>
                <w:webHidden/>
              </w:rPr>
              <w:tab/>
            </w:r>
            <w:r w:rsidR="00B42518">
              <w:rPr>
                <w:noProof/>
                <w:webHidden/>
              </w:rPr>
              <w:fldChar w:fldCharType="begin"/>
            </w:r>
            <w:r w:rsidR="00B42518">
              <w:rPr>
                <w:noProof/>
                <w:webHidden/>
              </w:rPr>
              <w:instrText xml:space="preserve"> PAGEREF _Toc38892506 \h </w:instrText>
            </w:r>
            <w:r w:rsidR="00B42518">
              <w:rPr>
                <w:noProof/>
                <w:webHidden/>
              </w:rPr>
            </w:r>
            <w:r w:rsidR="00B42518">
              <w:rPr>
                <w:noProof/>
                <w:webHidden/>
              </w:rPr>
              <w:fldChar w:fldCharType="separate"/>
            </w:r>
            <w:r w:rsidR="00B42518">
              <w:rPr>
                <w:noProof/>
                <w:webHidden/>
              </w:rPr>
              <w:t>6</w:t>
            </w:r>
            <w:r w:rsidR="00B42518">
              <w:rPr>
                <w:noProof/>
                <w:webHidden/>
              </w:rPr>
              <w:fldChar w:fldCharType="end"/>
            </w:r>
          </w:hyperlink>
        </w:p>
        <w:p w:rsidR="00B42518" w:rsidRDefault="00550544">
          <w:pPr>
            <w:pStyle w:val="Verzeichnis1"/>
            <w:tabs>
              <w:tab w:val="right" w:leader="dot" w:pos="9062"/>
            </w:tabs>
            <w:rPr>
              <w:noProof/>
              <w:lang w:eastAsia="de-DE"/>
            </w:rPr>
          </w:pPr>
          <w:hyperlink w:anchor="_Toc38892507" w:history="1">
            <w:r w:rsidR="00B42518" w:rsidRPr="00392D53">
              <w:rPr>
                <w:rStyle w:val="Hyperlink"/>
                <w:noProof/>
                <w:lang w:val="en-US"/>
              </w:rPr>
              <w:t>Supplement tables</w:t>
            </w:r>
            <w:r w:rsidR="00B42518">
              <w:rPr>
                <w:noProof/>
                <w:webHidden/>
              </w:rPr>
              <w:tab/>
            </w:r>
            <w:r w:rsidR="00B42518">
              <w:rPr>
                <w:noProof/>
                <w:webHidden/>
              </w:rPr>
              <w:fldChar w:fldCharType="begin"/>
            </w:r>
            <w:r w:rsidR="00B42518">
              <w:rPr>
                <w:noProof/>
                <w:webHidden/>
              </w:rPr>
              <w:instrText xml:space="preserve"> PAGEREF _Toc38892507 \h </w:instrText>
            </w:r>
            <w:r w:rsidR="00B42518">
              <w:rPr>
                <w:noProof/>
                <w:webHidden/>
              </w:rPr>
            </w:r>
            <w:r w:rsidR="00B42518">
              <w:rPr>
                <w:noProof/>
                <w:webHidden/>
              </w:rPr>
              <w:fldChar w:fldCharType="separate"/>
            </w:r>
            <w:r w:rsidR="00B42518">
              <w:rPr>
                <w:noProof/>
                <w:webHidden/>
              </w:rPr>
              <w:t>7</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8" w:history="1">
            <w:r w:rsidR="00B42518" w:rsidRPr="00392D53">
              <w:rPr>
                <w:rStyle w:val="Hyperlink"/>
                <w:noProof/>
                <w:lang w:val="en-US"/>
              </w:rPr>
              <w:t>Table S1. COVID-19 severity according to the Robert Koch Institute, Germany, published 17 April, 2020</w:t>
            </w:r>
            <w:r w:rsidR="00B42518" w:rsidRPr="00392D53">
              <w:rPr>
                <w:rStyle w:val="Hyperlink"/>
                <w:rFonts w:ascii="Cambria" w:hAnsi="Cambria" w:cs="Times New Roman"/>
                <w:noProof/>
                <w:vertAlign w:val="superscript"/>
                <w:lang w:val="en-US"/>
              </w:rPr>
              <w:t>3</w:t>
            </w:r>
            <w:r w:rsidR="00B42518">
              <w:rPr>
                <w:noProof/>
                <w:webHidden/>
              </w:rPr>
              <w:tab/>
            </w:r>
            <w:r w:rsidR="00B42518">
              <w:rPr>
                <w:noProof/>
                <w:webHidden/>
              </w:rPr>
              <w:fldChar w:fldCharType="begin"/>
            </w:r>
            <w:r w:rsidR="00B42518">
              <w:rPr>
                <w:noProof/>
                <w:webHidden/>
              </w:rPr>
              <w:instrText xml:space="preserve"> PAGEREF _Toc38892508 \h </w:instrText>
            </w:r>
            <w:r w:rsidR="00B42518">
              <w:rPr>
                <w:noProof/>
                <w:webHidden/>
              </w:rPr>
            </w:r>
            <w:r w:rsidR="00B42518">
              <w:rPr>
                <w:noProof/>
                <w:webHidden/>
              </w:rPr>
              <w:fldChar w:fldCharType="separate"/>
            </w:r>
            <w:r w:rsidR="00B42518">
              <w:rPr>
                <w:noProof/>
                <w:webHidden/>
              </w:rPr>
              <w:t>7</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09" w:history="1">
            <w:r w:rsidR="00B42518" w:rsidRPr="00392D53">
              <w:rPr>
                <w:rStyle w:val="Hyperlink"/>
                <w:noProof/>
                <w:lang w:val="en-US"/>
              </w:rPr>
              <w:t>Table S2. Clinical characteristics of the study patients according to disease severity</w:t>
            </w:r>
            <w:r w:rsidR="00B42518">
              <w:rPr>
                <w:noProof/>
                <w:webHidden/>
              </w:rPr>
              <w:tab/>
            </w:r>
            <w:r w:rsidR="00B42518">
              <w:rPr>
                <w:noProof/>
                <w:webHidden/>
              </w:rPr>
              <w:fldChar w:fldCharType="begin"/>
            </w:r>
            <w:r w:rsidR="00B42518">
              <w:rPr>
                <w:noProof/>
                <w:webHidden/>
              </w:rPr>
              <w:instrText xml:space="preserve"> PAGEREF _Toc38892509 \h </w:instrText>
            </w:r>
            <w:r w:rsidR="00B42518">
              <w:rPr>
                <w:noProof/>
                <w:webHidden/>
              </w:rPr>
            </w:r>
            <w:r w:rsidR="00B42518">
              <w:rPr>
                <w:noProof/>
                <w:webHidden/>
              </w:rPr>
              <w:fldChar w:fldCharType="separate"/>
            </w:r>
            <w:r w:rsidR="00B42518">
              <w:rPr>
                <w:noProof/>
                <w:webHidden/>
              </w:rPr>
              <w:t>8</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0" w:history="1">
            <w:r w:rsidR="00B42518" w:rsidRPr="00392D53">
              <w:rPr>
                <w:rStyle w:val="Hyperlink"/>
                <w:noProof/>
                <w:lang w:val="en-US"/>
              </w:rPr>
              <w:t>Table S3. Association of gender with the potential markers of COVID-19 severity</w:t>
            </w:r>
            <w:r w:rsidR="00B42518">
              <w:rPr>
                <w:noProof/>
                <w:webHidden/>
              </w:rPr>
              <w:tab/>
            </w:r>
            <w:r w:rsidR="00B42518">
              <w:rPr>
                <w:noProof/>
                <w:webHidden/>
              </w:rPr>
              <w:fldChar w:fldCharType="begin"/>
            </w:r>
            <w:r w:rsidR="00B42518">
              <w:rPr>
                <w:noProof/>
                <w:webHidden/>
              </w:rPr>
              <w:instrText xml:space="preserve"> PAGEREF _Toc38892510 \h </w:instrText>
            </w:r>
            <w:r w:rsidR="00B42518">
              <w:rPr>
                <w:noProof/>
                <w:webHidden/>
              </w:rPr>
            </w:r>
            <w:r w:rsidR="00B42518">
              <w:rPr>
                <w:noProof/>
                <w:webHidden/>
              </w:rPr>
              <w:fldChar w:fldCharType="separate"/>
            </w:r>
            <w:r w:rsidR="00B42518">
              <w:rPr>
                <w:noProof/>
                <w:webHidden/>
              </w:rPr>
              <w:t>9</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1" w:history="1">
            <w:r w:rsidR="00B42518" w:rsidRPr="00392D53">
              <w:rPr>
                <w:rStyle w:val="Hyperlink"/>
                <w:noProof/>
                <w:lang w:val="en-US"/>
              </w:rPr>
              <w:t>Table S4. Frequency of patients with detectable antigen specific T-cell subpopulations</w:t>
            </w:r>
            <w:r w:rsidR="00B42518">
              <w:rPr>
                <w:noProof/>
                <w:webHidden/>
              </w:rPr>
              <w:tab/>
            </w:r>
            <w:r w:rsidR="00B42518">
              <w:rPr>
                <w:noProof/>
                <w:webHidden/>
              </w:rPr>
              <w:fldChar w:fldCharType="begin"/>
            </w:r>
            <w:r w:rsidR="00B42518">
              <w:rPr>
                <w:noProof/>
                <w:webHidden/>
              </w:rPr>
              <w:instrText xml:space="preserve"> PAGEREF _Toc38892511 \h </w:instrText>
            </w:r>
            <w:r w:rsidR="00B42518">
              <w:rPr>
                <w:noProof/>
                <w:webHidden/>
              </w:rPr>
            </w:r>
            <w:r w:rsidR="00B42518">
              <w:rPr>
                <w:noProof/>
                <w:webHidden/>
              </w:rPr>
              <w:fldChar w:fldCharType="separate"/>
            </w:r>
            <w:r w:rsidR="00B42518">
              <w:rPr>
                <w:noProof/>
                <w:webHidden/>
              </w:rPr>
              <w:t>10</w:t>
            </w:r>
            <w:r w:rsidR="00B42518">
              <w:rPr>
                <w:noProof/>
                <w:webHidden/>
              </w:rPr>
              <w:fldChar w:fldCharType="end"/>
            </w:r>
          </w:hyperlink>
        </w:p>
        <w:p w:rsidR="00B42518" w:rsidRDefault="00550544">
          <w:pPr>
            <w:pStyle w:val="Verzeichnis1"/>
            <w:tabs>
              <w:tab w:val="right" w:leader="dot" w:pos="9062"/>
            </w:tabs>
            <w:rPr>
              <w:noProof/>
              <w:lang w:eastAsia="de-DE"/>
            </w:rPr>
          </w:pPr>
          <w:hyperlink w:anchor="_Toc38892512" w:history="1">
            <w:r w:rsidR="00B42518" w:rsidRPr="00392D53">
              <w:rPr>
                <w:rStyle w:val="Hyperlink"/>
                <w:noProof/>
                <w:lang w:val="en-US"/>
              </w:rPr>
              <w:t>Supplement figures</w:t>
            </w:r>
            <w:r w:rsidR="00B42518">
              <w:rPr>
                <w:noProof/>
                <w:webHidden/>
              </w:rPr>
              <w:tab/>
            </w:r>
            <w:r w:rsidR="00B42518">
              <w:rPr>
                <w:noProof/>
                <w:webHidden/>
              </w:rPr>
              <w:fldChar w:fldCharType="begin"/>
            </w:r>
            <w:r w:rsidR="00B42518">
              <w:rPr>
                <w:noProof/>
                <w:webHidden/>
              </w:rPr>
              <w:instrText xml:space="preserve"> PAGEREF _Toc38892512 \h </w:instrText>
            </w:r>
            <w:r w:rsidR="00B42518">
              <w:rPr>
                <w:noProof/>
                <w:webHidden/>
              </w:rPr>
            </w:r>
            <w:r w:rsidR="00B42518">
              <w:rPr>
                <w:noProof/>
                <w:webHidden/>
              </w:rPr>
              <w:fldChar w:fldCharType="separate"/>
            </w:r>
            <w:r w:rsidR="00B42518">
              <w:rPr>
                <w:noProof/>
                <w:webHidden/>
              </w:rPr>
              <w:t>11</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3" w:history="1">
            <w:r w:rsidR="00B42518" w:rsidRPr="00392D53">
              <w:rPr>
                <w:rStyle w:val="Hyperlink"/>
                <w:noProof/>
                <w:lang w:val="en-US"/>
              </w:rPr>
              <w:t>Figure S1. COVID-19 severity is not reflected in composition of the major immune cell populations.</w:t>
            </w:r>
            <w:r w:rsidR="00B42518">
              <w:rPr>
                <w:noProof/>
                <w:webHidden/>
              </w:rPr>
              <w:tab/>
            </w:r>
            <w:r w:rsidR="00B42518">
              <w:rPr>
                <w:noProof/>
                <w:webHidden/>
              </w:rPr>
              <w:fldChar w:fldCharType="begin"/>
            </w:r>
            <w:r w:rsidR="00B42518">
              <w:rPr>
                <w:noProof/>
                <w:webHidden/>
              </w:rPr>
              <w:instrText xml:space="preserve"> PAGEREF _Toc38892513 \h </w:instrText>
            </w:r>
            <w:r w:rsidR="00B42518">
              <w:rPr>
                <w:noProof/>
                <w:webHidden/>
              </w:rPr>
            </w:r>
            <w:r w:rsidR="00B42518">
              <w:rPr>
                <w:noProof/>
                <w:webHidden/>
              </w:rPr>
              <w:fldChar w:fldCharType="separate"/>
            </w:r>
            <w:r w:rsidR="00B42518">
              <w:rPr>
                <w:noProof/>
                <w:webHidden/>
              </w:rPr>
              <w:t>11</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4" w:history="1">
            <w:r w:rsidR="00B42518" w:rsidRPr="00392D53">
              <w:rPr>
                <w:rStyle w:val="Hyperlink"/>
                <w:noProof/>
                <w:lang w:val="en-US"/>
              </w:rPr>
              <w:t>Figure S2. COVID-19 severity is not reflected in composition of the major immune cell populations at the follow-up visit</w:t>
            </w:r>
            <w:r w:rsidR="00B42518">
              <w:rPr>
                <w:noProof/>
                <w:webHidden/>
              </w:rPr>
              <w:tab/>
            </w:r>
            <w:r w:rsidR="00B42518">
              <w:rPr>
                <w:noProof/>
                <w:webHidden/>
              </w:rPr>
              <w:fldChar w:fldCharType="begin"/>
            </w:r>
            <w:r w:rsidR="00B42518">
              <w:rPr>
                <w:noProof/>
                <w:webHidden/>
              </w:rPr>
              <w:instrText xml:space="preserve"> PAGEREF _Toc38892514 \h </w:instrText>
            </w:r>
            <w:r w:rsidR="00B42518">
              <w:rPr>
                <w:noProof/>
                <w:webHidden/>
              </w:rPr>
            </w:r>
            <w:r w:rsidR="00B42518">
              <w:rPr>
                <w:noProof/>
                <w:webHidden/>
              </w:rPr>
              <w:fldChar w:fldCharType="separate"/>
            </w:r>
            <w:r w:rsidR="00B42518">
              <w:rPr>
                <w:noProof/>
                <w:webHidden/>
              </w:rPr>
              <w:t>12</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5" w:history="1">
            <w:r w:rsidR="00B42518" w:rsidRPr="00392D53">
              <w:rPr>
                <w:rStyle w:val="Hyperlink"/>
                <w:noProof/>
                <w:lang w:val="en-US"/>
              </w:rPr>
              <w:t>Figure S3. Decrease of lymphocyte frequencies with differentiated and activated cytotoxic phenotype in patients with severe or critical COVID-19 at the follow-up visit</w:t>
            </w:r>
            <w:r w:rsidR="00B42518">
              <w:rPr>
                <w:noProof/>
                <w:webHidden/>
              </w:rPr>
              <w:tab/>
            </w:r>
            <w:r w:rsidR="00B42518">
              <w:rPr>
                <w:noProof/>
                <w:webHidden/>
              </w:rPr>
              <w:fldChar w:fldCharType="begin"/>
            </w:r>
            <w:r w:rsidR="00B42518">
              <w:rPr>
                <w:noProof/>
                <w:webHidden/>
              </w:rPr>
              <w:instrText xml:space="preserve"> PAGEREF _Toc38892515 \h </w:instrText>
            </w:r>
            <w:r w:rsidR="00B42518">
              <w:rPr>
                <w:noProof/>
                <w:webHidden/>
              </w:rPr>
            </w:r>
            <w:r w:rsidR="00B42518">
              <w:rPr>
                <w:noProof/>
                <w:webHidden/>
              </w:rPr>
              <w:fldChar w:fldCharType="separate"/>
            </w:r>
            <w:r w:rsidR="00B42518">
              <w:rPr>
                <w:noProof/>
                <w:webHidden/>
              </w:rPr>
              <w:t>13</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6" w:history="1">
            <w:r w:rsidR="00B42518" w:rsidRPr="00392D53">
              <w:rPr>
                <w:rStyle w:val="Hyperlink"/>
                <w:rFonts w:cs="Arial"/>
                <w:noProof/>
                <w:lang w:val="en-US"/>
              </w:rPr>
              <w:t xml:space="preserve">Figure S4. </w:t>
            </w:r>
            <w:r w:rsidR="00B42518" w:rsidRPr="00392D53">
              <w:rPr>
                <w:rStyle w:val="Hyperlink"/>
                <w:noProof/>
                <w:lang w:val="en-US"/>
              </w:rPr>
              <w:t>Increased number and functional activity of SARS-CoV-2-reactive T-cells in patients with critical COVID-19.</w:t>
            </w:r>
            <w:r w:rsidR="00B42518">
              <w:rPr>
                <w:noProof/>
                <w:webHidden/>
              </w:rPr>
              <w:tab/>
            </w:r>
            <w:r w:rsidR="00B42518">
              <w:rPr>
                <w:noProof/>
                <w:webHidden/>
              </w:rPr>
              <w:fldChar w:fldCharType="begin"/>
            </w:r>
            <w:r w:rsidR="00B42518">
              <w:rPr>
                <w:noProof/>
                <w:webHidden/>
              </w:rPr>
              <w:instrText xml:space="preserve"> PAGEREF _Toc38892516 \h </w:instrText>
            </w:r>
            <w:r w:rsidR="00B42518">
              <w:rPr>
                <w:noProof/>
                <w:webHidden/>
              </w:rPr>
            </w:r>
            <w:r w:rsidR="00B42518">
              <w:rPr>
                <w:noProof/>
                <w:webHidden/>
              </w:rPr>
              <w:fldChar w:fldCharType="separate"/>
            </w:r>
            <w:r w:rsidR="00B42518">
              <w:rPr>
                <w:noProof/>
                <w:webHidden/>
              </w:rPr>
              <w:t>14</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7" w:history="1">
            <w:r w:rsidR="00B42518" w:rsidRPr="00392D53">
              <w:rPr>
                <w:rStyle w:val="Hyperlink"/>
                <w:noProof/>
                <w:lang w:val="en-US"/>
              </w:rPr>
              <w:t>Figure S5. Gating strategy for detection of cytokine producing CD4</w:t>
            </w:r>
            <w:r w:rsidR="00B42518" w:rsidRPr="00392D53">
              <w:rPr>
                <w:rStyle w:val="Hyperlink"/>
                <w:noProof/>
                <w:vertAlign w:val="superscript"/>
                <w:lang w:val="en-US"/>
              </w:rPr>
              <w:t>+</w:t>
            </w:r>
            <w:r w:rsidR="00B42518" w:rsidRPr="00392D53">
              <w:rPr>
                <w:rStyle w:val="Hyperlink"/>
                <w:noProof/>
                <w:lang w:val="en-US"/>
              </w:rPr>
              <w:t xml:space="preserve"> and CD8</w:t>
            </w:r>
            <w:r w:rsidR="00B42518" w:rsidRPr="00392D53">
              <w:rPr>
                <w:rStyle w:val="Hyperlink"/>
                <w:noProof/>
                <w:vertAlign w:val="superscript"/>
                <w:lang w:val="en-US"/>
              </w:rPr>
              <w:t>+</w:t>
            </w:r>
            <w:r w:rsidR="00B42518" w:rsidRPr="00392D53">
              <w:rPr>
                <w:rStyle w:val="Hyperlink"/>
                <w:noProof/>
                <w:lang w:val="en-US"/>
              </w:rPr>
              <w:t xml:space="preserve"> antigen specific T-cells.</w:t>
            </w:r>
            <w:r w:rsidR="00B42518">
              <w:rPr>
                <w:noProof/>
                <w:webHidden/>
              </w:rPr>
              <w:tab/>
            </w:r>
            <w:r w:rsidR="00B42518">
              <w:rPr>
                <w:noProof/>
                <w:webHidden/>
              </w:rPr>
              <w:fldChar w:fldCharType="begin"/>
            </w:r>
            <w:r w:rsidR="00B42518">
              <w:rPr>
                <w:noProof/>
                <w:webHidden/>
              </w:rPr>
              <w:instrText xml:space="preserve"> PAGEREF _Toc38892517 \h </w:instrText>
            </w:r>
            <w:r w:rsidR="00B42518">
              <w:rPr>
                <w:noProof/>
                <w:webHidden/>
              </w:rPr>
            </w:r>
            <w:r w:rsidR="00B42518">
              <w:rPr>
                <w:noProof/>
                <w:webHidden/>
              </w:rPr>
              <w:fldChar w:fldCharType="separate"/>
            </w:r>
            <w:r w:rsidR="00B42518">
              <w:rPr>
                <w:noProof/>
                <w:webHidden/>
              </w:rPr>
              <w:t>16</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8" w:history="1">
            <w:r w:rsidR="00B42518" w:rsidRPr="00392D53">
              <w:rPr>
                <w:rStyle w:val="Hyperlink"/>
                <w:noProof/>
                <w:lang w:val="en-US"/>
              </w:rPr>
              <w:t>Figure S6. Gating strategy for identification of main immune cell populations.</w:t>
            </w:r>
            <w:r w:rsidR="00B42518">
              <w:rPr>
                <w:noProof/>
                <w:webHidden/>
              </w:rPr>
              <w:tab/>
            </w:r>
            <w:r w:rsidR="00B42518">
              <w:rPr>
                <w:noProof/>
                <w:webHidden/>
              </w:rPr>
              <w:fldChar w:fldCharType="begin"/>
            </w:r>
            <w:r w:rsidR="00B42518">
              <w:rPr>
                <w:noProof/>
                <w:webHidden/>
              </w:rPr>
              <w:instrText xml:space="preserve"> PAGEREF _Toc38892518 \h </w:instrText>
            </w:r>
            <w:r w:rsidR="00B42518">
              <w:rPr>
                <w:noProof/>
                <w:webHidden/>
              </w:rPr>
            </w:r>
            <w:r w:rsidR="00B42518">
              <w:rPr>
                <w:noProof/>
                <w:webHidden/>
              </w:rPr>
              <w:fldChar w:fldCharType="separate"/>
            </w:r>
            <w:r w:rsidR="00B42518">
              <w:rPr>
                <w:noProof/>
                <w:webHidden/>
              </w:rPr>
              <w:t>17</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19" w:history="1">
            <w:r w:rsidR="00B42518" w:rsidRPr="00392D53">
              <w:rPr>
                <w:rStyle w:val="Hyperlink"/>
                <w:noProof/>
                <w:lang w:val="en-US"/>
              </w:rPr>
              <w:t>Figure S7. Gating strategy for identification of activated T-cells.</w:t>
            </w:r>
            <w:r w:rsidR="00B42518">
              <w:rPr>
                <w:noProof/>
                <w:webHidden/>
              </w:rPr>
              <w:tab/>
            </w:r>
            <w:r w:rsidR="00B42518">
              <w:rPr>
                <w:noProof/>
                <w:webHidden/>
              </w:rPr>
              <w:fldChar w:fldCharType="begin"/>
            </w:r>
            <w:r w:rsidR="00B42518">
              <w:rPr>
                <w:noProof/>
                <w:webHidden/>
              </w:rPr>
              <w:instrText xml:space="preserve"> PAGEREF _Toc38892519 \h </w:instrText>
            </w:r>
            <w:r w:rsidR="00B42518">
              <w:rPr>
                <w:noProof/>
                <w:webHidden/>
              </w:rPr>
            </w:r>
            <w:r w:rsidR="00B42518">
              <w:rPr>
                <w:noProof/>
                <w:webHidden/>
              </w:rPr>
              <w:fldChar w:fldCharType="separate"/>
            </w:r>
            <w:r w:rsidR="00B42518">
              <w:rPr>
                <w:noProof/>
                <w:webHidden/>
              </w:rPr>
              <w:t>18</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20" w:history="1">
            <w:r w:rsidR="00B42518" w:rsidRPr="00392D53">
              <w:rPr>
                <w:rStyle w:val="Hyperlink"/>
                <w:noProof/>
                <w:lang w:val="en-US"/>
              </w:rPr>
              <w:t>Figure S8. Gating strategy for identification of memory and regulatory T-cells.</w:t>
            </w:r>
            <w:r w:rsidR="00B42518">
              <w:rPr>
                <w:noProof/>
                <w:webHidden/>
              </w:rPr>
              <w:tab/>
            </w:r>
            <w:r w:rsidR="00B42518">
              <w:rPr>
                <w:noProof/>
                <w:webHidden/>
              </w:rPr>
              <w:fldChar w:fldCharType="begin"/>
            </w:r>
            <w:r w:rsidR="00B42518">
              <w:rPr>
                <w:noProof/>
                <w:webHidden/>
              </w:rPr>
              <w:instrText xml:space="preserve"> PAGEREF _Toc38892520 \h </w:instrText>
            </w:r>
            <w:r w:rsidR="00B42518">
              <w:rPr>
                <w:noProof/>
                <w:webHidden/>
              </w:rPr>
            </w:r>
            <w:r w:rsidR="00B42518">
              <w:rPr>
                <w:noProof/>
                <w:webHidden/>
              </w:rPr>
              <w:fldChar w:fldCharType="separate"/>
            </w:r>
            <w:r w:rsidR="00B42518">
              <w:rPr>
                <w:noProof/>
                <w:webHidden/>
              </w:rPr>
              <w:t>19</w:t>
            </w:r>
            <w:r w:rsidR="00B42518">
              <w:rPr>
                <w:noProof/>
                <w:webHidden/>
              </w:rPr>
              <w:fldChar w:fldCharType="end"/>
            </w:r>
          </w:hyperlink>
        </w:p>
        <w:p w:rsidR="00B42518" w:rsidRDefault="00550544">
          <w:pPr>
            <w:pStyle w:val="Verzeichnis2"/>
            <w:tabs>
              <w:tab w:val="right" w:leader="dot" w:pos="9062"/>
            </w:tabs>
            <w:rPr>
              <w:noProof/>
              <w:lang w:eastAsia="de-DE"/>
            </w:rPr>
          </w:pPr>
          <w:hyperlink w:anchor="_Toc38892521" w:history="1">
            <w:r w:rsidR="00B42518" w:rsidRPr="00392D53">
              <w:rPr>
                <w:rStyle w:val="Hyperlink"/>
                <w:noProof/>
                <w:lang w:val="en-US"/>
              </w:rPr>
              <w:t>Figure S9.Gating strategy for identification of B-cell subpopulations.</w:t>
            </w:r>
            <w:r w:rsidR="00B42518">
              <w:rPr>
                <w:noProof/>
                <w:webHidden/>
              </w:rPr>
              <w:tab/>
            </w:r>
            <w:r w:rsidR="00B42518">
              <w:rPr>
                <w:noProof/>
                <w:webHidden/>
              </w:rPr>
              <w:fldChar w:fldCharType="begin"/>
            </w:r>
            <w:r w:rsidR="00B42518">
              <w:rPr>
                <w:noProof/>
                <w:webHidden/>
              </w:rPr>
              <w:instrText xml:space="preserve"> PAGEREF _Toc38892521 \h </w:instrText>
            </w:r>
            <w:r w:rsidR="00B42518">
              <w:rPr>
                <w:noProof/>
                <w:webHidden/>
              </w:rPr>
            </w:r>
            <w:r w:rsidR="00B42518">
              <w:rPr>
                <w:noProof/>
                <w:webHidden/>
              </w:rPr>
              <w:fldChar w:fldCharType="separate"/>
            </w:r>
            <w:r w:rsidR="00B42518">
              <w:rPr>
                <w:noProof/>
                <w:webHidden/>
              </w:rPr>
              <w:t>20</w:t>
            </w:r>
            <w:r w:rsidR="00B42518">
              <w:rPr>
                <w:noProof/>
                <w:webHidden/>
              </w:rPr>
              <w:fldChar w:fldCharType="end"/>
            </w:r>
          </w:hyperlink>
        </w:p>
        <w:p w:rsidR="00B42518" w:rsidRDefault="00550544">
          <w:pPr>
            <w:pStyle w:val="Verzeichnis1"/>
            <w:tabs>
              <w:tab w:val="right" w:leader="dot" w:pos="9062"/>
            </w:tabs>
            <w:rPr>
              <w:noProof/>
              <w:lang w:eastAsia="de-DE"/>
            </w:rPr>
          </w:pPr>
          <w:hyperlink w:anchor="_Toc38892522" w:history="1">
            <w:r w:rsidR="00B42518" w:rsidRPr="00392D53">
              <w:rPr>
                <w:rStyle w:val="Hyperlink"/>
                <w:noProof/>
                <w:lang w:val="en-US"/>
              </w:rPr>
              <w:t>References</w:t>
            </w:r>
            <w:r w:rsidR="00B42518">
              <w:rPr>
                <w:noProof/>
                <w:webHidden/>
              </w:rPr>
              <w:tab/>
            </w:r>
            <w:r w:rsidR="00B42518">
              <w:rPr>
                <w:noProof/>
                <w:webHidden/>
              </w:rPr>
              <w:fldChar w:fldCharType="begin"/>
            </w:r>
            <w:r w:rsidR="00B42518">
              <w:rPr>
                <w:noProof/>
                <w:webHidden/>
              </w:rPr>
              <w:instrText xml:space="preserve"> PAGEREF _Toc38892522 \h </w:instrText>
            </w:r>
            <w:r w:rsidR="00B42518">
              <w:rPr>
                <w:noProof/>
                <w:webHidden/>
              </w:rPr>
            </w:r>
            <w:r w:rsidR="00B42518">
              <w:rPr>
                <w:noProof/>
                <w:webHidden/>
              </w:rPr>
              <w:fldChar w:fldCharType="separate"/>
            </w:r>
            <w:r w:rsidR="00B42518">
              <w:rPr>
                <w:noProof/>
                <w:webHidden/>
              </w:rPr>
              <w:t>20</w:t>
            </w:r>
            <w:r w:rsidR="00B42518">
              <w:rPr>
                <w:noProof/>
                <w:webHidden/>
              </w:rPr>
              <w:fldChar w:fldCharType="end"/>
            </w:r>
          </w:hyperlink>
        </w:p>
        <w:p w:rsidR="00044871" w:rsidRPr="00F85958" w:rsidRDefault="00044871">
          <w:pPr>
            <w:rPr>
              <w:lang w:val="en-US"/>
            </w:rPr>
          </w:pPr>
          <w:r w:rsidRPr="00F85958">
            <w:rPr>
              <w:b/>
              <w:bCs/>
              <w:lang w:val="en-US"/>
            </w:rPr>
            <w:fldChar w:fldCharType="end"/>
          </w:r>
        </w:p>
      </w:sdtContent>
    </w:sdt>
    <w:p w:rsidR="00D46B03" w:rsidRPr="00F85958" w:rsidRDefault="00D46B03">
      <w:pPr>
        <w:rPr>
          <w:rFonts w:asciiTheme="majorHAnsi" w:eastAsiaTheme="majorEastAsia" w:hAnsiTheme="majorHAnsi" w:cstheme="majorBidi"/>
          <w:b/>
          <w:bCs/>
          <w:color w:val="A5A5A5" w:themeColor="accent1" w:themeShade="BF"/>
          <w:sz w:val="28"/>
          <w:szCs w:val="28"/>
          <w:lang w:val="en-US"/>
        </w:rPr>
      </w:pPr>
      <w:r w:rsidRPr="00F85958">
        <w:rPr>
          <w:lang w:val="en-US"/>
        </w:rPr>
        <w:br w:type="page"/>
      </w:r>
    </w:p>
    <w:p w:rsidR="00A14797" w:rsidRPr="00F85958" w:rsidRDefault="00A14797" w:rsidP="00A14797">
      <w:pPr>
        <w:pStyle w:val="berschrift1"/>
        <w:rPr>
          <w:lang w:val="en-US"/>
        </w:rPr>
      </w:pPr>
      <w:bookmarkStart w:id="3" w:name="_Toc38892499"/>
      <w:r w:rsidRPr="00F85958">
        <w:rPr>
          <w:lang w:val="en-US"/>
        </w:rPr>
        <w:lastRenderedPageBreak/>
        <w:t>Authors</w:t>
      </w:r>
      <w:bookmarkEnd w:id="3"/>
    </w:p>
    <w:p w:rsidR="00B81C2C" w:rsidRPr="00F85958" w:rsidRDefault="00B81C2C" w:rsidP="00B81C2C">
      <w:pPr>
        <w:rPr>
          <w:lang w:val="en-US"/>
        </w:rPr>
      </w:pPr>
      <w:r w:rsidRPr="00F85958">
        <w:rPr>
          <w:lang w:val="en-US"/>
        </w:rPr>
        <w:t xml:space="preserve">Moritz Anft, Center for Translational Medicine; Krystallenia Paniskaki, Department of Infectious Diseases; Arturo </w:t>
      </w:r>
      <w:proofErr w:type="spellStart"/>
      <w:r w:rsidRPr="00F85958">
        <w:rPr>
          <w:lang w:val="en-US"/>
        </w:rPr>
        <w:t>Blazquez</w:t>
      </w:r>
      <w:proofErr w:type="spellEnd"/>
      <w:r w:rsidRPr="00F85958">
        <w:rPr>
          <w:lang w:val="en-US"/>
        </w:rPr>
        <w:t xml:space="preserve">-Navarro, Center for Translational Medicine and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 Adrian </w:t>
      </w:r>
      <w:proofErr w:type="spellStart"/>
      <w:r w:rsidRPr="00F85958">
        <w:rPr>
          <w:lang w:val="en-US"/>
        </w:rPr>
        <w:t>Doeverlaar</w:t>
      </w:r>
      <w:proofErr w:type="spellEnd"/>
      <w:r w:rsidRPr="00F85958">
        <w:rPr>
          <w:lang w:val="en-US"/>
        </w:rPr>
        <w:t xml:space="preserve">, Center for Translational Medicine; Felix S. Seibert, Center for Translational Medicine; Bodo </w:t>
      </w:r>
      <w:proofErr w:type="spellStart"/>
      <w:r w:rsidRPr="00F85958">
        <w:rPr>
          <w:lang w:val="en-US"/>
        </w:rPr>
        <w:t>Hoelzer</w:t>
      </w:r>
      <w:proofErr w:type="spellEnd"/>
      <w:r w:rsidRPr="00F85958">
        <w:rPr>
          <w:lang w:val="en-US"/>
        </w:rPr>
        <w:t xml:space="preserve">, Center for Translational Medicine; Sarah Skrzypczyk, Center for Translational Medicine; Eva Kohut, Center for Translational Medicine; Julia Kurek, Center for Translational Medicine; Jan Zapka, Center for Translational Medicine; Patrizia Wehler, Center for Translational Medicine and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 Sviatlana Kaliszczyk, Center for Translational Medicine; Sharon </w:t>
      </w:r>
      <w:proofErr w:type="spellStart"/>
      <w:r w:rsidRPr="00F85958">
        <w:rPr>
          <w:lang w:val="en-US"/>
        </w:rPr>
        <w:t>Bajda</w:t>
      </w:r>
      <w:proofErr w:type="spellEnd"/>
      <w:r w:rsidRPr="00F85958">
        <w:rPr>
          <w:lang w:val="en-US"/>
        </w:rPr>
        <w:t xml:space="preserve">,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 Constantin J. Thieme,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 Toralf Roch, Center for Translational Medicine and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 Margarethe Justine </w:t>
      </w:r>
      <w:proofErr w:type="spellStart"/>
      <w:r w:rsidRPr="00F85958">
        <w:rPr>
          <w:lang w:val="en-US"/>
        </w:rPr>
        <w:t>Konik</w:t>
      </w:r>
      <w:proofErr w:type="spellEnd"/>
      <w:r w:rsidRPr="00F85958">
        <w:rPr>
          <w:lang w:val="en-US"/>
        </w:rPr>
        <w:t xml:space="preserve">, Department of Infectious Diseases; Thorsten Brenner, Department of Anesthesiology; Clemens </w:t>
      </w:r>
      <w:proofErr w:type="spellStart"/>
      <w:r w:rsidRPr="00F85958">
        <w:rPr>
          <w:lang w:val="en-US"/>
        </w:rPr>
        <w:t>Tempfer</w:t>
      </w:r>
      <w:proofErr w:type="spellEnd"/>
      <w:r w:rsidRPr="00F85958">
        <w:rPr>
          <w:lang w:val="en-US"/>
        </w:rPr>
        <w:t xml:space="preserve">, Department of Gynecology and Obstetrics; Carsten Watzl, Department of Immunology; Sebastian Dolff, Department of Infectious Diseases; Ulf Dittmer, Germany Institute for Virology; </w:t>
      </w:r>
      <w:r w:rsidR="00C67841" w:rsidRPr="00F85958">
        <w:rPr>
          <w:lang w:val="en-US"/>
        </w:rPr>
        <w:t xml:space="preserve">Timm H. Westhoff, Center for Translational Medicine; </w:t>
      </w:r>
      <w:r w:rsidRPr="00F85958">
        <w:rPr>
          <w:lang w:val="en-US"/>
        </w:rPr>
        <w:t xml:space="preserve">Oliver Witzke, Department of Infectious Diseases; </w:t>
      </w:r>
      <w:proofErr w:type="spellStart"/>
      <w:r w:rsidR="00C67841" w:rsidRPr="00F85958">
        <w:rPr>
          <w:lang w:val="en-US"/>
        </w:rPr>
        <w:t>Ulrik</w:t>
      </w:r>
      <w:proofErr w:type="spellEnd"/>
      <w:r w:rsidR="00C67841" w:rsidRPr="00F85958">
        <w:rPr>
          <w:lang w:val="en-US"/>
        </w:rPr>
        <w:t xml:space="preserve"> </w:t>
      </w:r>
      <w:proofErr w:type="spellStart"/>
      <w:r w:rsidR="00C67841" w:rsidRPr="00F85958">
        <w:rPr>
          <w:lang w:val="en-US"/>
        </w:rPr>
        <w:t>Stervbo</w:t>
      </w:r>
      <w:proofErr w:type="spellEnd"/>
      <w:r w:rsidR="00C67841" w:rsidRPr="00F85958">
        <w:rPr>
          <w:lang w:val="en-US"/>
        </w:rPr>
        <w:t xml:space="preserve">, Center for Translational Medicine; </w:t>
      </w:r>
      <w:r w:rsidRPr="00F85958">
        <w:rPr>
          <w:lang w:val="en-US"/>
        </w:rPr>
        <w:t xml:space="preserve">Nina Babel, Center for Translational Medicine and </w:t>
      </w:r>
      <w:proofErr w:type="spellStart"/>
      <w:r w:rsidRPr="00F85958">
        <w:rPr>
          <w:lang w:val="en-US"/>
        </w:rPr>
        <w:t>Charité</w:t>
      </w:r>
      <w:proofErr w:type="spellEnd"/>
      <w:r w:rsidRPr="00F85958">
        <w:rPr>
          <w:lang w:val="en-US"/>
        </w:rPr>
        <w:t xml:space="preserve"> – </w:t>
      </w:r>
      <w:proofErr w:type="spellStart"/>
      <w:r w:rsidRPr="00F85958">
        <w:rPr>
          <w:lang w:val="en-US"/>
        </w:rPr>
        <w:t>Universitätsmedizin</w:t>
      </w:r>
      <w:proofErr w:type="spellEnd"/>
      <w:r w:rsidRPr="00F85958">
        <w:rPr>
          <w:lang w:val="en-US"/>
        </w:rPr>
        <w:t xml:space="preserve"> Berlin</w:t>
      </w:r>
    </w:p>
    <w:p w:rsidR="00D46B03" w:rsidRDefault="00D46B03">
      <w:pPr>
        <w:rPr>
          <w:lang w:val="en-US"/>
        </w:rPr>
      </w:pPr>
      <w:r w:rsidRPr="00F85958">
        <w:rPr>
          <w:lang w:val="en-US"/>
        </w:rPr>
        <w:br w:type="page"/>
      </w:r>
    </w:p>
    <w:p w:rsidR="00D20559" w:rsidRDefault="00D20559" w:rsidP="00583649">
      <w:pPr>
        <w:pStyle w:val="berschrift1"/>
        <w:rPr>
          <w:lang w:val="en-US"/>
        </w:rPr>
      </w:pPr>
      <w:bookmarkStart w:id="4" w:name="_Toc38892500"/>
      <w:r>
        <w:rPr>
          <w:lang w:val="en-US"/>
        </w:rPr>
        <w:lastRenderedPageBreak/>
        <w:t>Detailed Methods</w:t>
      </w:r>
      <w:bookmarkEnd w:id="4"/>
    </w:p>
    <w:p w:rsidR="005B50C3" w:rsidRPr="001414E7" w:rsidRDefault="005B50C3" w:rsidP="005B50C3">
      <w:pPr>
        <w:pStyle w:val="berschrift2"/>
        <w:rPr>
          <w:color w:val="000000" w:themeColor="text1"/>
          <w:lang w:val="en-US"/>
        </w:rPr>
      </w:pPr>
      <w:bookmarkStart w:id="5" w:name="_Toc38892501"/>
      <w:r w:rsidRPr="001414E7">
        <w:rPr>
          <w:color w:val="000000" w:themeColor="text1"/>
          <w:lang w:val="en-US"/>
        </w:rPr>
        <w:t>Preparation of PBMCs</w:t>
      </w:r>
      <w:bookmarkEnd w:id="5"/>
    </w:p>
    <w:p w:rsidR="00583649" w:rsidRPr="001414E7" w:rsidRDefault="00583649" w:rsidP="005B50C3">
      <w:pPr>
        <w:rPr>
          <w:color w:val="000000" w:themeColor="text1"/>
          <w:lang w:val="en-US"/>
        </w:rPr>
      </w:pPr>
      <w:r>
        <w:rPr>
          <w:color w:val="000000" w:themeColor="text1"/>
          <w:lang w:val="en-US"/>
        </w:rPr>
        <w:t xml:space="preserve">Peripheral </w:t>
      </w:r>
      <w:r w:rsidR="005B50C3" w:rsidRPr="001414E7">
        <w:rPr>
          <w:color w:val="000000" w:themeColor="text1"/>
          <w:lang w:val="en-US"/>
        </w:rPr>
        <w:t>blood was collected in</w:t>
      </w:r>
      <w:r w:rsidR="00697AE2">
        <w:rPr>
          <w:color w:val="000000" w:themeColor="text1"/>
          <w:lang w:val="en-US"/>
        </w:rPr>
        <w:t xml:space="preserve"> </w:t>
      </w:r>
      <w:r w:rsidR="00697AE2" w:rsidRPr="00697AE2">
        <w:rPr>
          <w:lang w:val="en-US"/>
        </w:rPr>
        <w:t>S-</w:t>
      </w:r>
      <w:proofErr w:type="spellStart"/>
      <w:r w:rsidR="00697AE2" w:rsidRPr="00697AE2">
        <w:rPr>
          <w:lang w:val="en-US"/>
        </w:rPr>
        <w:t>Monovette</w:t>
      </w:r>
      <w:proofErr w:type="spellEnd"/>
      <w:r w:rsidR="00697AE2">
        <w:rPr>
          <w:color w:val="000000" w:themeColor="text1"/>
          <w:lang w:val="en-US"/>
        </w:rPr>
        <w:t xml:space="preserve"> </w:t>
      </w:r>
      <w:r w:rsidR="008114A3">
        <w:rPr>
          <w:color w:val="000000" w:themeColor="text1"/>
          <w:lang w:val="en-US"/>
        </w:rPr>
        <w:t xml:space="preserve">K3 EDTA </w:t>
      </w:r>
      <w:r w:rsidR="00697AE2">
        <w:rPr>
          <w:color w:val="000000" w:themeColor="text1"/>
          <w:lang w:val="en-US"/>
        </w:rPr>
        <w:t>blood collection tubes (</w:t>
      </w:r>
      <w:proofErr w:type="spellStart"/>
      <w:r w:rsidR="00697AE2">
        <w:rPr>
          <w:color w:val="000000" w:themeColor="text1"/>
          <w:lang w:val="en-US"/>
        </w:rPr>
        <w:t>Sarstedt</w:t>
      </w:r>
      <w:proofErr w:type="spellEnd"/>
      <w:r w:rsidR="00697AE2">
        <w:rPr>
          <w:color w:val="000000" w:themeColor="text1"/>
          <w:lang w:val="en-US"/>
        </w:rPr>
        <w:t>)</w:t>
      </w:r>
      <w:r w:rsidR="00697AE2" w:rsidRPr="00697AE2">
        <w:rPr>
          <w:lang w:val="en-US"/>
        </w:rPr>
        <w:t xml:space="preserve">. </w:t>
      </w:r>
      <w:r w:rsidR="005B50C3" w:rsidRPr="001414E7">
        <w:rPr>
          <w:color w:val="000000" w:themeColor="text1"/>
          <w:lang w:val="en-US"/>
        </w:rPr>
        <w:t>Collected blood was pre-diluted in PBS/BSA (</w:t>
      </w:r>
      <w:proofErr w:type="spellStart"/>
      <w:r w:rsidR="005B50C3" w:rsidRPr="001414E7">
        <w:rPr>
          <w:color w:val="000000" w:themeColor="text1"/>
          <w:lang w:val="en-US"/>
        </w:rPr>
        <w:t>Gibco</w:t>
      </w:r>
      <w:proofErr w:type="spellEnd"/>
      <w:r w:rsidR="005B50C3" w:rsidRPr="001414E7">
        <w:rPr>
          <w:color w:val="000000" w:themeColor="text1"/>
          <w:lang w:val="en-US"/>
        </w:rPr>
        <w:t xml:space="preserve">) at a 1:1 ratio and </w:t>
      </w:r>
      <w:proofErr w:type="spellStart"/>
      <w:r w:rsidR="005B50C3" w:rsidRPr="001414E7">
        <w:rPr>
          <w:color w:val="000000" w:themeColor="text1"/>
          <w:lang w:val="en-US"/>
        </w:rPr>
        <w:t>underlaid</w:t>
      </w:r>
      <w:proofErr w:type="spellEnd"/>
      <w:r w:rsidR="005B50C3" w:rsidRPr="001414E7">
        <w:rPr>
          <w:color w:val="000000" w:themeColor="text1"/>
          <w:lang w:val="en-US"/>
        </w:rPr>
        <w:t xml:space="preserve"> with 15 mL </w:t>
      </w:r>
      <w:proofErr w:type="spellStart"/>
      <w:r w:rsidR="005B50C3" w:rsidRPr="001414E7">
        <w:rPr>
          <w:color w:val="000000" w:themeColor="text1"/>
          <w:lang w:val="en-US"/>
        </w:rPr>
        <w:t>Ficoll-Paque</w:t>
      </w:r>
      <w:proofErr w:type="spellEnd"/>
      <w:r w:rsidR="005B50C3" w:rsidRPr="001414E7">
        <w:rPr>
          <w:color w:val="000000" w:themeColor="text1"/>
          <w:lang w:val="en-US"/>
        </w:rPr>
        <w:t xml:space="preserve"> Plus (GE Healthcare). Tubes were centrifuged at 800 g for </w:t>
      </w:r>
      <w:r w:rsidR="00D508E9">
        <w:rPr>
          <w:color w:val="000000" w:themeColor="text1"/>
          <w:lang w:val="en-US"/>
        </w:rPr>
        <w:t>20</w:t>
      </w:r>
      <w:r w:rsidR="00D508E9" w:rsidRPr="001414E7">
        <w:rPr>
          <w:color w:val="000000" w:themeColor="text1"/>
          <w:lang w:val="en-US"/>
        </w:rPr>
        <w:t xml:space="preserve"> </w:t>
      </w:r>
      <w:r w:rsidR="005B50C3" w:rsidRPr="001414E7">
        <w:rPr>
          <w:color w:val="000000" w:themeColor="text1"/>
          <w:lang w:val="en-US"/>
        </w:rPr>
        <w:t>minutes at room temperature. Isolated PBMCs were washed twice with PBS/BSA.</w:t>
      </w:r>
    </w:p>
    <w:p w:rsidR="005B50C3" w:rsidRPr="001414E7" w:rsidRDefault="005B50C3" w:rsidP="005B50C3">
      <w:pPr>
        <w:pStyle w:val="berschrift2"/>
        <w:rPr>
          <w:color w:val="000000" w:themeColor="text1"/>
          <w:lang w:val="en-US"/>
        </w:rPr>
      </w:pPr>
      <w:bookmarkStart w:id="6" w:name="_Toc38892502"/>
      <w:r w:rsidRPr="001414E7">
        <w:rPr>
          <w:color w:val="000000" w:themeColor="text1"/>
          <w:lang w:val="en-US"/>
        </w:rPr>
        <w:t>Stimulation with SARS-Cov-2 overlapping peptide pools</w:t>
      </w:r>
      <w:bookmarkEnd w:id="6"/>
    </w:p>
    <w:p w:rsidR="005B50C3" w:rsidRPr="001414E7" w:rsidRDefault="005B50C3" w:rsidP="005B50C3">
      <w:pPr>
        <w:rPr>
          <w:color w:val="000000" w:themeColor="text1"/>
          <w:lang w:val="en-US"/>
        </w:rPr>
      </w:pPr>
      <w:r w:rsidRPr="001414E7">
        <w:rPr>
          <w:color w:val="000000" w:themeColor="text1"/>
          <w:lang w:val="en-US"/>
        </w:rPr>
        <w:t xml:space="preserve">Isolated PBMCs were stimulated with 15mer overlapping peptides pools (OPP) from SARS-Cov2 Proteins with an overlap of 11 amino acids.  SARS-CoV-2 </w:t>
      </w:r>
      <w:proofErr w:type="spellStart"/>
      <w:r w:rsidRPr="001414E7">
        <w:rPr>
          <w:color w:val="000000" w:themeColor="text1"/>
          <w:lang w:val="en-US"/>
        </w:rPr>
        <w:t>PepTivator</w:t>
      </w:r>
      <w:proofErr w:type="spellEnd"/>
      <w:r w:rsidRPr="001414E7">
        <w:rPr>
          <w:color w:val="000000" w:themeColor="text1"/>
          <w:lang w:val="en-US"/>
        </w:rPr>
        <w:t xml:space="preserve"> peptide pools (Miltenyi </w:t>
      </w:r>
      <w:proofErr w:type="spellStart"/>
      <w:r w:rsidRPr="001414E7">
        <w:rPr>
          <w:color w:val="000000" w:themeColor="text1"/>
          <w:lang w:val="en-US"/>
        </w:rPr>
        <w:t>Biotec</w:t>
      </w:r>
      <w:proofErr w:type="spellEnd"/>
      <w:r w:rsidRPr="001414E7">
        <w:rPr>
          <w:color w:val="000000" w:themeColor="text1"/>
          <w:lang w:val="en-US"/>
        </w:rPr>
        <w:t>) were used containing overlapping peptides spanning the whole surface glycoprotein (</w:t>
      </w:r>
      <w:proofErr w:type="spellStart"/>
      <w:r w:rsidRPr="001414E7">
        <w:rPr>
          <w:color w:val="000000" w:themeColor="text1"/>
          <w:lang w:val="en-US"/>
        </w:rPr>
        <w:t>GenBank</w:t>
      </w:r>
      <w:proofErr w:type="spellEnd"/>
      <w:r w:rsidRPr="001414E7">
        <w:rPr>
          <w:color w:val="000000" w:themeColor="text1"/>
          <w:lang w:val="en-US"/>
        </w:rPr>
        <w:t xml:space="preserve"> MN908947.3, Protein QHD43416.1, including the sequence domains aa 304-338, 421-475, 492-519, 683-707, 741-770, 785-802 and 885-1273). Peptide pools were dissolved per manufacturer’s directions and used at a concentration of 1 µg/ml. 2.5x10</w:t>
      </w:r>
      <w:r w:rsidRPr="001414E7">
        <w:rPr>
          <w:color w:val="000000" w:themeColor="text1"/>
          <w:vertAlign w:val="superscript"/>
          <w:lang w:val="en-US"/>
        </w:rPr>
        <w:t>6</w:t>
      </w:r>
      <w:r w:rsidRPr="001414E7">
        <w:rPr>
          <w:color w:val="000000" w:themeColor="text1"/>
          <w:lang w:val="en-US"/>
        </w:rPr>
        <w:t xml:space="preserve"> PBMCs were plated for each condition in 96-UWell Plates in RPMI media (Life Technologies, supplemented with 1% Penicillin-Streptomycin-Glutamine (Sigma Aldrich) and 10% FCS (PAN-Biotech)) and were stimulated or left untreated as a control for 16 h. After 2 h </w:t>
      </w:r>
      <w:proofErr w:type="spellStart"/>
      <w:r w:rsidRPr="001414E7">
        <w:rPr>
          <w:color w:val="000000" w:themeColor="text1"/>
          <w:lang w:val="en-US"/>
        </w:rPr>
        <w:t>Brefeldin</w:t>
      </w:r>
      <w:proofErr w:type="spellEnd"/>
      <w:r w:rsidRPr="001414E7">
        <w:rPr>
          <w:color w:val="000000" w:themeColor="text1"/>
          <w:lang w:val="en-US"/>
        </w:rPr>
        <w:t xml:space="preserve"> A (1µg/ml, Sigma Aldrich) was added. Antigen specific responses were considered as positive after non-specific background was subtracted and more than 0.001% cells were positive. Negative values were set to zero.</w:t>
      </w:r>
    </w:p>
    <w:p w:rsidR="005B50C3" w:rsidRPr="001414E7" w:rsidRDefault="005B50C3" w:rsidP="005B50C3">
      <w:pPr>
        <w:pStyle w:val="berschrift2"/>
        <w:rPr>
          <w:color w:val="000000" w:themeColor="text1"/>
          <w:lang w:val="en-US"/>
        </w:rPr>
      </w:pPr>
      <w:bookmarkStart w:id="7" w:name="_Toc38892503"/>
      <w:r w:rsidRPr="001414E7">
        <w:rPr>
          <w:color w:val="000000" w:themeColor="text1"/>
          <w:lang w:val="en-US"/>
        </w:rPr>
        <w:t>Antibodies</w:t>
      </w:r>
      <w:bookmarkEnd w:id="7"/>
    </w:p>
    <w:p w:rsidR="005B50C3" w:rsidRPr="001414E7" w:rsidRDefault="005B50C3" w:rsidP="005B50C3">
      <w:pPr>
        <w:rPr>
          <w:color w:val="000000" w:themeColor="text1"/>
          <w:lang w:val="en-US"/>
        </w:rPr>
      </w:pPr>
      <w:r w:rsidRPr="001414E7">
        <w:rPr>
          <w:color w:val="000000" w:themeColor="text1"/>
          <w:lang w:val="en-US"/>
        </w:rPr>
        <w:t xml:space="preserve">General phenotyping (all antibodies are from BioLegend unless otherwise noted): CD45-A488; clone: 2D1, CD56-PerCP-Cy5.5; clone: NCAM, CD14-PE-Vio770; clone: TÜK4 (Miltenyi </w:t>
      </w:r>
      <w:proofErr w:type="spellStart"/>
      <w:r w:rsidRPr="001414E7">
        <w:rPr>
          <w:color w:val="000000" w:themeColor="text1"/>
          <w:lang w:val="en-US"/>
        </w:rPr>
        <w:t>Biotec</w:t>
      </w:r>
      <w:proofErr w:type="spellEnd"/>
      <w:r w:rsidRPr="001414E7">
        <w:rPr>
          <w:color w:val="000000" w:themeColor="text1"/>
          <w:lang w:val="en-US"/>
        </w:rPr>
        <w:t xml:space="preserve">), CD4-A700; clone: OKT4, CD16-APC-Vio770; clone: REA423 (Miltenyi </w:t>
      </w:r>
      <w:proofErr w:type="spellStart"/>
      <w:r w:rsidRPr="001414E7">
        <w:rPr>
          <w:color w:val="000000" w:themeColor="text1"/>
          <w:lang w:val="en-US"/>
        </w:rPr>
        <w:t>Biotec</w:t>
      </w:r>
      <w:proofErr w:type="spellEnd"/>
      <w:r w:rsidRPr="001414E7">
        <w:rPr>
          <w:color w:val="000000" w:themeColor="text1"/>
          <w:lang w:val="en-US"/>
        </w:rPr>
        <w:t>), CD8-V500; clone: RPA-T8 (BD), CD19-BV605; clone: HIB19, HLA-DR-BV650; clone: L243, CD3-BV785; clone: OKT3.</w:t>
      </w:r>
    </w:p>
    <w:p w:rsidR="005B50C3" w:rsidRPr="001414E7" w:rsidRDefault="005B50C3" w:rsidP="005B50C3">
      <w:pPr>
        <w:rPr>
          <w:color w:val="000000" w:themeColor="text1"/>
          <w:lang w:val="en-US"/>
        </w:rPr>
      </w:pPr>
      <w:r w:rsidRPr="001414E7">
        <w:rPr>
          <w:color w:val="000000" w:themeColor="text1"/>
          <w:lang w:val="en-US"/>
        </w:rPr>
        <w:t>T</w:t>
      </w:r>
      <w:r w:rsidR="003F1F85">
        <w:rPr>
          <w:color w:val="000000" w:themeColor="text1"/>
          <w:lang w:val="en-US"/>
        </w:rPr>
        <w:t>-cell</w:t>
      </w:r>
      <w:r w:rsidRPr="001414E7">
        <w:rPr>
          <w:color w:val="000000" w:themeColor="text1"/>
          <w:lang w:val="en-US"/>
        </w:rPr>
        <w:t xml:space="preserve"> subsets (all antibodies are from Beckman-Coulter unless otherwise noted): CCR7-PE; clone: G043H7, CD127-PC7; clone: R34.34, CD25-FITC; clone: B1.49.9, CD3-APC-750; clone: UCHT1, CD45RA-Pacific Blue; clone: 2H4, CD4-ECD; clone: SCF4I12T4D11, CD8-APC; clone: B9.11, TCR α/β- PerCP-Cy5.5; clone: IP26 (BioLegend), TCR γ/δ-BV510; clone: B1 (BioLegend). </w:t>
      </w:r>
    </w:p>
    <w:p w:rsidR="005B50C3" w:rsidRPr="001414E7" w:rsidRDefault="005B50C3" w:rsidP="005B50C3">
      <w:pPr>
        <w:rPr>
          <w:color w:val="000000" w:themeColor="text1"/>
          <w:lang w:val="en-US"/>
        </w:rPr>
      </w:pPr>
      <w:r w:rsidRPr="001414E7">
        <w:rPr>
          <w:color w:val="000000" w:themeColor="text1"/>
          <w:lang w:val="en-US"/>
        </w:rPr>
        <w:t>T</w:t>
      </w:r>
      <w:r w:rsidR="003F1F85">
        <w:rPr>
          <w:color w:val="000000" w:themeColor="text1"/>
          <w:lang w:val="en-US"/>
        </w:rPr>
        <w:t>-cell</w:t>
      </w:r>
      <w:r w:rsidRPr="001414E7">
        <w:rPr>
          <w:color w:val="000000" w:themeColor="text1"/>
          <w:lang w:val="en-US"/>
        </w:rPr>
        <w:t xml:space="preserve"> activation state ex vivo (all antibodies are from Beckman-Coulter): CD11a-FITC; clone: 25.3, CD28- PerCP-Cy5.5; clone: CD28.2, CD57-Pacific Blue; clone: NC1, CD3-APC-750; clone: UCHT1, HLA-DR-PE; clone: Immu-357, CD4-ECD; clone: SCF4I12T4D11, CD8-APC; clone: B9.11.</w:t>
      </w:r>
    </w:p>
    <w:p w:rsidR="005B50C3" w:rsidRPr="001414E7" w:rsidRDefault="005B50C3" w:rsidP="005B50C3">
      <w:pPr>
        <w:rPr>
          <w:color w:val="000000" w:themeColor="text1"/>
          <w:lang w:val="en-US"/>
        </w:rPr>
      </w:pPr>
      <w:r w:rsidRPr="001414E7">
        <w:rPr>
          <w:color w:val="000000" w:themeColor="text1"/>
          <w:lang w:val="en-US"/>
        </w:rPr>
        <w:lastRenderedPageBreak/>
        <w:t>B</w:t>
      </w:r>
      <w:r w:rsidR="003F1F85">
        <w:rPr>
          <w:color w:val="000000" w:themeColor="text1"/>
          <w:lang w:val="en-US"/>
        </w:rPr>
        <w:t>-cell</w:t>
      </w:r>
      <w:r w:rsidRPr="001414E7">
        <w:rPr>
          <w:color w:val="000000" w:themeColor="text1"/>
          <w:lang w:val="en-US"/>
        </w:rPr>
        <w:t xml:space="preserve"> subsets (all antibodies are from Beckman-Coulter unless otherwise noted): CD19-ECD; clone: J3-119, CD21-APC; clone: B-ly4 (BD Biosciences), CD24- PerCP-Cy5.5; clone: ALB9, CD27-PC7; clone: 1A4CD27, CD38-APC-750; clone: LS198-4-3, CD45-KrOrange; clone: J33, HLA-DR-PE; clone: Immu357, </w:t>
      </w:r>
      <w:proofErr w:type="spellStart"/>
      <w:r w:rsidRPr="001414E7">
        <w:rPr>
          <w:color w:val="000000" w:themeColor="text1"/>
          <w:lang w:val="en-US"/>
        </w:rPr>
        <w:t>IgD</w:t>
      </w:r>
      <w:proofErr w:type="spellEnd"/>
      <w:r w:rsidRPr="001414E7">
        <w:rPr>
          <w:color w:val="000000" w:themeColor="text1"/>
          <w:lang w:val="en-US"/>
        </w:rPr>
        <w:t>-FITC; clone: IA6-2, IgM-Pacific Blue; clone: SA-DA4.</w:t>
      </w:r>
    </w:p>
    <w:p w:rsidR="005B50C3" w:rsidRPr="001414E7" w:rsidRDefault="005B50C3" w:rsidP="005B50C3">
      <w:pPr>
        <w:rPr>
          <w:color w:val="000000" w:themeColor="text1"/>
          <w:lang w:val="en-US"/>
        </w:rPr>
      </w:pPr>
      <w:r w:rsidRPr="001414E7">
        <w:rPr>
          <w:color w:val="000000" w:themeColor="text1"/>
          <w:lang w:val="en-US"/>
        </w:rPr>
        <w:t>SARS-Cov-2 specific T</w:t>
      </w:r>
      <w:r w:rsidR="003F1F85">
        <w:rPr>
          <w:color w:val="000000" w:themeColor="text1"/>
          <w:lang w:val="en-US"/>
        </w:rPr>
        <w:t>-cell</w:t>
      </w:r>
      <w:r w:rsidRPr="001414E7">
        <w:rPr>
          <w:color w:val="000000" w:themeColor="text1"/>
          <w:lang w:val="en-US"/>
        </w:rPr>
        <w:t xml:space="preserve">s (all antibodies are from BioLegend unless otherwise noted): Surface staining:  CCR7 (CD197)-PerCP-Cy5.5; clone: G043H7, CD4-A700; clone: OKT4, LD eFluor780 (eBioscience), CD8-V500; clone: RPA-T8 (BD Biosciences), CD45RA-BV605; clone: HI100. Intracellular staining: </w:t>
      </w:r>
      <w:proofErr w:type="spellStart"/>
      <w:r w:rsidRPr="001414E7">
        <w:rPr>
          <w:color w:val="000000" w:themeColor="text1"/>
          <w:lang w:val="en-US"/>
        </w:rPr>
        <w:t>Granzyme</w:t>
      </w:r>
      <w:proofErr w:type="spellEnd"/>
      <w:r w:rsidRPr="001414E7">
        <w:rPr>
          <w:color w:val="000000" w:themeColor="text1"/>
          <w:lang w:val="en-US"/>
        </w:rPr>
        <w:t xml:space="preserve"> B-FITC; clone: GB11, IL-2-PE; clone: MQ1-17H12, IL-4-PE-Dazzle594; clone: MP4-25D2, CD137 (4-1BB)-PE-Cy7; clone: 4B4-1, CD154 (CD40L)-A647; clone: 24-31, TNFa-eFluor450; clone: MAb11 (eBioscience), IFNg-BV650; clone: 4S.B3, CD3-BV785; clone: OKT3.</w:t>
      </w:r>
      <w:r w:rsidR="00D508E9">
        <w:rPr>
          <w:color w:val="000000" w:themeColor="text1"/>
          <w:lang w:val="en-US"/>
        </w:rPr>
        <w:t xml:space="preserve"> F</w:t>
      </w:r>
      <w:r w:rsidR="00D508E9" w:rsidRPr="00D508E9">
        <w:rPr>
          <w:color w:val="000000" w:themeColor="text1"/>
          <w:lang w:val="en-US"/>
        </w:rPr>
        <w:t xml:space="preserve">ixable Viability Dye </w:t>
      </w:r>
      <w:proofErr w:type="spellStart"/>
      <w:r w:rsidR="00D508E9" w:rsidRPr="00D508E9">
        <w:rPr>
          <w:color w:val="000000" w:themeColor="text1"/>
          <w:lang w:val="en-US"/>
        </w:rPr>
        <w:t>eFluor</w:t>
      </w:r>
      <w:proofErr w:type="spellEnd"/>
      <w:r w:rsidR="00D508E9" w:rsidRPr="00D508E9">
        <w:rPr>
          <w:color w:val="000000" w:themeColor="text1"/>
          <w:lang w:val="en-US"/>
        </w:rPr>
        <w:t xml:space="preserve"> 780</w:t>
      </w:r>
      <w:r w:rsidR="00D508E9">
        <w:rPr>
          <w:color w:val="000000" w:themeColor="text1"/>
          <w:lang w:val="en-US"/>
        </w:rPr>
        <w:t xml:space="preserve"> </w:t>
      </w:r>
      <w:r w:rsidR="00D508E9" w:rsidRPr="001414E7">
        <w:rPr>
          <w:color w:val="000000" w:themeColor="text1"/>
          <w:lang w:val="en-US"/>
        </w:rPr>
        <w:t>(</w:t>
      </w:r>
      <w:proofErr w:type="spellStart"/>
      <w:r w:rsidR="00D508E9" w:rsidRPr="001414E7">
        <w:rPr>
          <w:color w:val="000000" w:themeColor="text1"/>
          <w:lang w:val="en-US"/>
        </w:rPr>
        <w:t>eBioscience</w:t>
      </w:r>
      <w:proofErr w:type="spellEnd"/>
      <w:r w:rsidR="00D508E9" w:rsidRPr="001414E7">
        <w:rPr>
          <w:color w:val="000000" w:themeColor="text1"/>
          <w:lang w:val="en-US"/>
        </w:rPr>
        <w:t>)</w:t>
      </w:r>
      <w:r w:rsidR="00D508E9">
        <w:rPr>
          <w:color w:val="000000" w:themeColor="text1"/>
          <w:lang w:val="en-US"/>
        </w:rPr>
        <w:t xml:space="preserve"> was used for live/dead discrimination.</w:t>
      </w:r>
    </w:p>
    <w:p w:rsidR="005B50C3" w:rsidRPr="001414E7" w:rsidRDefault="005B50C3" w:rsidP="005B50C3">
      <w:pPr>
        <w:pStyle w:val="berschrift2"/>
        <w:rPr>
          <w:color w:val="000000" w:themeColor="text1"/>
          <w:lang w:val="en-US"/>
        </w:rPr>
      </w:pPr>
      <w:bookmarkStart w:id="8" w:name="_Toc38892504"/>
      <w:r w:rsidRPr="001414E7">
        <w:rPr>
          <w:color w:val="000000" w:themeColor="text1"/>
          <w:lang w:val="en-US"/>
        </w:rPr>
        <w:t>Flow cytometry</w:t>
      </w:r>
      <w:bookmarkEnd w:id="8"/>
    </w:p>
    <w:p w:rsidR="005B50C3" w:rsidRPr="001414E7" w:rsidRDefault="005B50C3" w:rsidP="005B50C3">
      <w:pPr>
        <w:rPr>
          <w:color w:val="000000" w:themeColor="text1"/>
          <w:lang w:val="en-US"/>
        </w:rPr>
      </w:pPr>
      <w:r w:rsidRPr="001414E7">
        <w:rPr>
          <w:color w:val="000000" w:themeColor="text1"/>
          <w:lang w:val="en-US"/>
        </w:rPr>
        <w:t xml:space="preserve">EDTA treated whole blood was stained with optimal concentrations of each antibody for 10 minutes at room temperature in the dark. Erythrocytes were lysed using </w:t>
      </w:r>
      <w:proofErr w:type="spellStart"/>
      <w:r w:rsidRPr="001414E7">
        <w:rPr>
          <w:color w:val="000000" w:themeColor="text1"/>
          <w:lang w:val="en-US"/>
        </w:rPr>
        <w:t>VersaLyse</w:t>
      </w:r>
      <w:proofErr w:type="spellEnd"/>
      <w:r w:rsidRPr="001414E7">
        <w:rPr>
          <w:color w:val="000000" w:themeColor="text1"/>
          <w:lang w:val="en-US"/>
        </w:rPr>
        <w:t xml:space="preserve"> (Beckman-Coulter) with 2.5% </w:t>
      </w:r>
      <w:proofErr w:type="spellStart"/>
      <w:r w:rsidRPr="001414E7">
        <w:rPr>
          <w:color w:val="000000" w:themeColor="text1"/>
          <w:lang w:val="en-US"/>
        </w:rPr>
        <w:t>IOTest</w:t>
      </w:r>
      <w:proofErr w:type="spellEnd"/>
      <w:r w:rsidRPr="001414E7">
        <w:rPr>
          <w:color w:val="000000" w:themeColor="text1"/>
          <w:lang w:val="en-US"/>
        </w:rPr>
        <w:t xml:space="preserve"> 3 Fixative Solution (Beckman-Coulter) for 30 minutes at room temperature in the dark. Samples for general phenotyping were immediately acquired, while samples for T</w:t>
      </w:r>
      <w:r w:rsidR="003F1F85">
        <w:rPr>
          <w:color w:val="000000" w:themeColor="text1"/>
          <w:lang w:val="en-US"/>
        </w:rPr>
        <w:t>-</w:t>
      </w:r>
      <w:r w:rsidRPr="001414E7">
        <w:rPr>
          <w:color w:val="000000" w:themeColor="text1"/>
          <w:lang w:val="en-US"/>
        </w:rPr>
        <w:t xml:space="preserve"> and B</w:t>
      </w:r>
      <w:r w:rsidR="003F1F85">
        <w:rPr>
          <w:color w:val="000000" w:themeColor="text1"/>
          <w:lang w:val="en-US"/>
        </w:rPr>
        <w:t>-cell</w:t>
      </w:r>
      <w:r w:rsidRPr="001414E7">
        <w:rPr>
          <w:color w:val="000000" w:themeColor="text1"/>
          <w:lang w:val="en-US"/>
        </w:rPr>
        <w:t xml:space="preserve"> subsets were washed twice with PBS/BSA. Samples for the B</w:t>
      </w:r>
      <w:r w:rsidR="003F1F85">
        <w:rPr>
          <w:color w:val="000000" w:themeColor="text1"/>
          <w:lang w:val="en-US"/>
        </w:rPr>
        <w:t>-cell</w:t>
      </w:r>
      <w:r w:rsidRPr="001414E7">
        <w:rPr>
          <w:color w:val="000000" w:themeColor="text1"/>
          <w:lang w:val="en-US"/>
        </w:rPr>
        <w:t xml:space="preserve"> subset were washed twice with PBS prior to staining with antibodies. </w:t>
      </w:r>
    </w:p>
    <w:p w:rsidR="005B50C3" w:rsidRPr="001414E7" w:rsidRDefault="005B50C3" w:rsidP="005B50C3">
      <w:pPr>
        <w:rPr>
          <w:color w:val="000000" w:themeColor="text1"/>
          <w:lang w:val="en-US"/>
        </w:rPr>
      </w:pPr>
      <w:r w:rsidRPr="001414E7">
        <w:rPr>
          <w:color w:val="000000" w:themeColor="text1"/>
          <w:lang w:val="en-US"/>
        </w:rPr>
        <w:t>T</w:t>
      </w:r>
      <w:r w:rsidR="003F1F85">
        <w:rPr>
          <w:color w:val="000000" w:themeColor="text1"/>
          <w:lang w:val="en-US"/>
        </w:rPr>
        <w:t>-cell</w:t>
      </w:r>
      <w:r w:rsidRPr="001414E7">
        <w:rPr>
          <w:color w:val="000000" w:themeColor="text1"/>
          <w:lang w:val="en-US"/>
        </w:rPr>
        <w:t>s stimulated with SARS-Cov-2 OPP were stained with optimal concentrations of antibodies for 10 minutes at room temperature in the dark. Stained cells were washed twice with PBS/BSA before preparation for intracellular staining using the Intracellular Fixation &amp; Permeabilization Buffer Set (</w:t>
      </w:r>
      <w:proofErr w:type="spellStart"/>
      <w:r w:rsidRPr="001414E7">
        <w:rPr>
          <w:color w:val="000000" w:themeColor="text1"/>
          <w:lang w:val="en-US"/>
        </w:rPr>
        <w:t>Thermo</w:t>
      </w:r>
      <w:proofErr w:type="spellEnd"/>
      <w:r w:rsidRPr="001414E7">
        <w:rPr>
          <w:color w:val="000000" w:themeColor="text1"/>
          <w:lang w:val="en-US"/>
        </w:rPr>
        <w:t xml:space="preserve"> Fisher Scientific) as per manufacturer’s instructions. Fixed and permeable cells were stained for 30 minutes at room temperature in the dark with optimal dilution of antibodies against intracellular antigen.</w:t>
      </w:r>
    </w:p>
    <w:p w:rsidR="005B50C3" w:rsidRPr="001414E7" w:rsidRDefault="005B50C3" w:rsidP="005B50C3">
      <w:pPr>
        <w:rPr>
          <w:color w:val="000000" w:themeColor="text1"/>
          <w:lang w:val="en-US"/>
        </w:rPr>
      </w:pPr>
      <w:r w:rsidRPr="001414E7">
        <w:rPr>
          <w:color w:val="000000" w:themeColor="text1"/>
          <w:lang w:val="en-US"/>
        </w:rPr>
        <w:t xml:space="preserve">All samples were immediately acquired on a </w:t>
      </w:r>
      <w:proofErr w:type="spellStart"/>
      <w:r w:rsidRPr="001414E7">
        <w:rPr>
          <w:color w:val="000000" w:themeColor="text1"/>
          <w:lang w:val="en-US"/>
        </w:rPr>
        <w:t>CytoFlex</w:t>
      </w:r>
      <w:proofErr w:type="spellEnd"/>
      <w:r w:rsidRPr="001414E7">
        <w:rPr>
          <w:color w:val="000000" w:themeColor="text1"/>
          <w:lang w:val="en-US"/>
        </w:rPr>
        <w:t xml:space="preserve"> flow cytometer (Beckman Coulter). Quality control was performed daily using the recommended </w:t>
      </w:r>
      <w:proofErr w:type="spellStart"/>
      <w:r w:rsidRPr="001414E7">
        <w:rPr>
          <w:color w:val="000000" w:themeColor="text1"/>
          <w:lang w:val="en-US"/>
        </w:rPr>
        <w:t>CytoFLEX</w:t>
      </w:r>
      <w:proofErr w:type="spellEnd"/>
      <w:r w:rsidRPr="001414E7">
        <w:rPr>
          <w:color w:val="000000" w:themeColor="text1"/>
          <w:lang w:val="en-US"/>
        </w:rPr>
        <w:t xml:space="preserve"> Daily QC </w:t>
      </w:r>
      <w:proofErr w:type="spellStart"/>
      <w:r w:rsidRPr="001414E7">
        <w:rPr>
          <w:color w:val="000000" w:themeColor="text1"/>
          <w:lang w:val="en-US"/>
        </w:rPr>
        <w:t>Fluorospheres</w:t>
      </w:r>
      <w:proofErr w:type="spellEnd"/>
      <w:r w:rsidRPr="001414E7">
        <w:rPr>
          <w:color w:val="000000" w:themeColor="text1"/>
          <w:lang w:val="en-US"/>
        </w:rPr>
        <w:t xml:space="preserve"> (Beckman Coulter). No modification to the compensation matrices was required throughout the study.</w:t>
      </w:r>
    </w:p>
    <w:p w:rsidR="005B50C3" w:rsidRPr="001414E7" w:rsidRDefault="005B50C3" w:rsidP="005B50C3">
      <w:pPr>
        <w:pStyle w:val="berschrift2"/>
        <w:rPr>
          <w:color w:val="000000" w:themeColor="text1"/>
          <w:lang w:val="en-US"/>
        </w:rPr>
      </w:pPr>
      <w:bookmarkStart w:id="9" w:name="_Toc38892505"/>
      <w:bookmarkStart w:id="10" w:name="_Toc512349352"/>
      <w:bookmarkStart w:id="11" w:name="_Toc499736395"/>
      <w:bookmarkStart w:id="12" w:name="_Toc499638849"/>
      <w:r w:rsidRPr="001414E7">
        <w:rPr>
          <w:color w:val="000000" w:themeColor="text1"/>
          <w:lang w:val="en-US"/>
        </w:rPr>
        <w:t>SARS-CoV-2 IgG Antibody titers</w:t>
      </w:r>
      <w:bookmarkEnd w:id="9"/>
    </w:p>
    <w:p w:rsidR="005B50C3" w:rsidRPr="001414E7" w:rsidRDefault="00697AE2" w:rsidP="005B50C3">
      <w:pPr>
        <w:rPr>
          <w:color w:val="000000" w:themeColor="text1"/>
          <w:lang w:val="en-US"/>
        </w:rPr>
      </w:pPr>
      <w:r>
        <w:rPr>
          <w:color w:val="000000" w:themeColor="text1"/>
          <w:lang w:val="en-US"/>
        </w:rPr>
        <w:t xml:space="preserve">Peripheral blood was </w:t>
      </w:r>
      <w:r w:rsidR="004130F2">
        <w:rPr>
          <w:color w:val="000000" w:themeColor="text1"/>
          <w:lang w:val="en-US"/>
        </w:rPr>
        <w:t>collected</w:t>
      </w:r>
      <w:r>
        <w:rPr>
          <w:color w:val="000000" w:themeColor="text1"/>
          <w:lang w:val="en-US"/>
        </w:rPr>
        <w:t xml:space="preserve"> in </w:t>
      </w:r>
      <w:r w:rsidRPr="00697AE2">
        <w:rPr>
          <w:color w:val="000000" w:themeColor="text1"/>
          <w:lang w:val="en-US"/>
        </w:rPr>
        <w:t>S-</w:t>
      </w:r>
      <w:proofErr w:type="spellStart"/>
      <w:r w:rsidRPr="00697AE2">
        <w:rPr>
          <w:color w:val="000000" w:themeColor="text1"/>
          <w:lang w:val="en-US"/>
        </w:rPr>
        <w:t>Monovette</w:t>
      </w:r>
      <w:proofErr w:type="spellEnd"/>
      <w:r>
        <w:rPr>
          <w:color w:val="000000" w:themeColor="text1"/>
          <w:lang w:val="en-US"/>
        </w:rPr>
        <w:t xml:space="preserve"> Z-Gel </w:t>
      </w:r>
      <w:r w:rsidR="004130F2">
        <w:rPr>
          <w:color w:val="000000" w:themeColor="text1"/>
          <w:lang w:val="en-US"/>
        </w:rPr>
        <w:t>(</w:t>
      </w:r>
      <w:proofErr w:type="spellStart"/>
      <w:r w:rsidR="004130F2">
        <w:rPr>
          <w:color w:val="000000" w:themeColor="text1"/>
          <w:lang w:val="en-US"/>
        </w:rPr>
        <w:t>Sarstedt</w:t>
      </w:r>
      <w:proofErr w:type="spellEnd"/>
      <w:r w:rsidR="004130F2">
        <w:rPr>
          <w:color w:val="000000" w:themeColor="text1"/>
          <w:lang w:val="en-US"/>
        </w:rPr>
        <w:t xml:space="preserve">). </w:t>
      </w:r>
      <w:r w:rsidR="005B50C3" w:rsidRPr="001414E7">
        <w:rPr>
          <w:color w:val="000000" w:themeColor="text1"/>
          <w:lang w:val="en-US"/>
        </w:rPr>
        <w:t xml:space="preserve">SARS-CoV-2 IgG titers were analyzed </w:t>
      </w:r>
      <w:r w:rsidR="004130F2">
        <w:rPr>
          <w:color w:val="000000" w:themeColor="text1"/>
          <w:lang w:val="en-US"/>
        </w:rPr>
        <w:t xml:space="preserve">in purified serum </w:t>
      </w:r>
      <w:r w:rsidR="005B50C3" w:rsidRPr="001414E7">
        <w:rPr>
          <w:color w:val="000000" w:themeColor="text1"/>
          <w:lang w:val="en-US"/>
        </w:rPr>
        <w:t xml:space="preserve">using </w:t>
      </w:r>
      <w:r w:rsidR="004130F2">
        <w:rPr>
          <w:color w:val="000000" w:themeColor="text1"/>
          <w:lang w:val="en-US"/>
        </w:rPr>
        <w:t>a SARS-</w:t>
      </w:r>
      <w:r w:rsidR="004130F2" w:rsidRPr="004130F2">
        <w:rPr>
          <w:color w:val="000000" w:themeColor="text1"/>
          <w:lang w:val="en-US"/>
        </w:rPr>
        <w:t>CoV</w:t>
      </w:r>
      <w:r w:rsidR="004130F2">
        <w:rPr>
          <w:color w:val="000000" w:themeColor="text1"/>
          <w:lang w:val="en-US"/>
        </w:rPr>
        <w:t>-</w:t>
      </w:r>
      <w:r w:rsidR="004130F2" w:rsidRPr="004130F2">
        <w:rPr>
          <w:color w:val="000000" w:themeColor="text1"/>
          <w:lang w:val="en-US"/>
        </w:rPr>
        <w:t>2</w:t>
      </w:r>
      <w:r w:rsidR="004130F2">
        <w:rPr>
          <w:color w:val="000000" w:themeColor="text1"/>
          <w:lang w:val="en-US"/>
        </w:rPr>
        <w:t xml:space="preserve"> </w:t>
      </w:r>
      <w:r w:rsidR="004130F2" w:rsidRPr="004130F2">
        <w:rPr>
          <w:color w:val="000000" w:themeColor="text1"/>
          <w:lang w:val="en-US"/>
        </w:rPr>
        <w:t xml:space="preserve">IgG </w:t>
      </w:r>
      <w:r w:rsidR="005B50C3" w:rsidRPr="001414E7">
        <w:rPr>
          <w:color w:val="000000" w:themeColor="text1"/>
          <w:lang w:val="en-US"/>
        </w:rPr>
        <w:t xml:space="preserve">kit (EUROIMMUN, </w:t>
      </w:r>
      <w:proofErr w:type="spellStart"/>
      <w:r w:rsidR="005B50C3" w:rsidRPr="001414E7">
        <w:rPr>
          <w:color w:val="000000" w:themeColor="text1"/>
          <w:lang w:val="en-US"/>
        </w:rPr>
        <w:t>Lübeck</w:t>
      </w:r>
      <w:proofErr w:type="spellEnd"/>
      <w:r w:rsidR="005B50C3" w:rsidRPr="001414E7">
        <w:rPr>
          <w:color w:val="000000" w:themeColor="text1"/>
          <w:lang w:val="en-US"/>
        </w:rPr>
        <w:t xml:space="preserve">, Germany). The </w:t>
      </w:r>
      <w:r w:rsidR="005B50C3" w:rsidRPr="001414E7">
        <w:rPr>
          <w:color w:val="000000" w:themeColor="text1"/>
          <w:lang w:val="en-US"/>
        </w:rPr>
        <w:lastRenderedPageBreak/>
        <w:t xml:space="preserve">test was performed according to the manufacturer’s instructions. Briefly, serum samples were diluted 1:100 and added to plates coated with recombinant SARS-CoV-2 antigen. </w:t>
      </w:r>
      <w:proofErr w:type="gramStart"/>
      <w:r w:rsidR="005B50C3" w:rsidRPr="001414E7">
        <w:rPr>
          <w:color w:val="000000" w:themeColor="text1"/>
          <w:lang w:val="en-US"/>
        </w:rPr>
        <w:t xml:space="preserve">Bound SARS-Cov-2 </w:t>
      </w:r>
      <w:r w:rsidR="00761324">
        <w:rPr>
          <w:color w:val="000000" w:themeColor="text1"/>
          <w:lang w:val="en-US"/>
        </w:rPr>
        <w:t xml:space="preserve">S1 protein </w:t>
      </w:r>
      <w:r w:rsidR="005B50C3" w:rsidRPr="001414E7">
        <w:rPr>
          <w:color w:val="000000" w:themeColor="text1"/>
          <w:lang w:val="en-US"/>
        </w:rPr>
        <w:t>specific IgG was detected by a HRP-conjugated anti-human IgG</w:t>
      </w:r>
      <w:r w:rsidR="00761324">
        <w:rPr>
          <w:color w:val="000000" w:themeColor="text1"/>
          <w:lang w:val="en-US"/>
        </w:rPr>
        <w:t>.</w:t>
      </w:r>
      <w:proofErr w:type="gramEnd"/>
      <w:r w:rsidR="00761324">
        <w:rPr>
          <w:color w:val="000000" w:themeColor="text1"/>
          <w:lang w:val="en-US"/>
        </w:rPr>
        <w:t xml:space="preserve"> T</w:t>
      </w:r>
      <w:r w:rsidR="005B50C3" w:rsidRPr="001414E7">
        <w:rPr>
          <w:color w:val="000000" w:themeColor="text1"/>
          <w:lang w:val="en-US"/>
        </w:rPr>
        <w:t>he absorbance was read on a microplate reader at</w:t>
      </w:r>
      <w:r w:rsidR="004130F2">
        <w:rPr>
          <w:color w:val="000000" w:themeColor="text1"/>
          <w:lang w:val="en-US"/>
        </w:rPr>
        <w:t xml:space="preserve"> 4</w:t>
      </w:r>
      <w:r w:rsidR="005B50C3" w:rsidRPr="001414E7">
        <w:rPr>
          <w:color w:val="000000" w:themeColor="text1"/>
          <w:lang w:val="en-US"/>
        </w:rPr>
        <w:t>50 nm</w:t>
      </w:r>
      <w:r w:rsidR="004130F2">
        <w:rPr>
          <w:color w:val="000000" w:themeColor="text1"/>
          <w:lang w:val="en-US"/>
        </w:rPr>
        <w:t xml:space="preserve"> with reference at 620 nm</w:t>
      </w:r>
      <w:r w:rsidR="00761324">
        <w:rPr>
          <w:color w:val="000000" w:themeColor="text1"/>
          <w:lang w:val="en-US"/>
        </w:rPr>
        <w:t xml:space="preserve"> and evaluated a</w:t>
      </w:r>
      <w:r w:rsidR="005B50C3" w:rsidRPr="001414E7">
        <w:rPr>
          <w:color w:val="000000" w:themeColor="text1"/>
          <w:lang w:val="en-US"/>
        </w:rPr>
        <w:t xml:space="preserve">s the ratio the </w:t>
      </w:r>
      <w:r w:rsidR="00761324">
        <w:rPr>
          <w:color w:val="000000" w:themeColor="text1"/>
          <w:lang w:val="en-US"/>
        </w:rPr>
        <w:t>absorbance</w:t>
      </w:r>
      <w:r w:rsidR="005B50C3" w:rsidRPr="001414E7">
        <w:rPr>
          <w:color w:val="000000" w:themeColor="text1"/>
          <w:lang w:val="en-US"/>
        </w:rPr>
        <w:t xml:space="preserve"> of the sample to the </w:t>
      </w:r>
      <w:r w:rsidR="00761324">
        <w:rPr>
          <w:color w:val="000000" w:themeColor="text1"/>
          <w:lang w:val="en-US"/>
        </w:rPr>
        <w:t>absorbance</w:t>
      </w:r>
      <w:r w:rsidR="005B50C3" w:rsidRPr="001414E7">
        <w:rPr>
          <w:color w:val="000000" w:themeColor="text1"/>
          <w:lang w:val="en-US"/>
        </w:rPr>
        <w:t xml:space="preserve"> of the </w:t>
      </w:r>
      <w:r w:rsidR="00761324">
        <w:rPr>
          <w:color w:val="000000" w:themeColor="text1"/>
          <w:lang w:val="en-US"/>
        </w:rPr>
        <w:t>internal standard</w:t>
      </w:r>
      <w:r w:rsidR="005B50C3" w:rsidRPr="001414E7">
        <w:rPr>
          <w:color w:val="000000" w:themeColor="text1"/>
          <w:lang w:val="en-US"/>
        </w:rPr>
        <w:t>.</w:t>
      </w:r>
    </w:p>
    <w:p w:rsidR="005B50C3" w:rsidRPr="001414E7" w:rsidRDefault="005B50C3" w:rsidP="005B50C3">
      <w:pPr>
        <w:pStyle w:val="berschrift2"/>
        <w:rPr>
          <w:color w:val="000000" w:themeColor="text1"/>
          <w:lang w:val="en-US"/>
        </w:rPr>
      </w:pPr>
      <w:bookmarkStart w:id="13" w:name="_Toc38892506"/>
      <w:r w:rsidRPr="001414E7">
        <w:rPr>
          <w:color w:val="000000" w:themeColor="text1"/>
          <w:lang w:val="en-US"/>
        </w:rPr>
        <w:t>Statistical analysis</w:t>
      </w:r>
      <w:bookmarkEnd w:id="10"/>
      <w:bookmarkEnd w:id="11"/>
      <w:bookmarkEnd w:id="12"/>
      <w:bookmarkEnd w:id="13"/>
      <w:r w:rsidRPr="001414E7">
        <w:rPr>
          <w:color w:val="000000" w:themeColor="text1"/>
          <w:lang w:val="en-US"/>
        </w:rPr>
        <w:t xml:space="preserve"> </w:t>
      </w:r>
    </w:p>
    <w:p w:rsidR="00D20559" w:rsidRPr="005B50C3" w:rsidRDefault="005B50C3" w:rsidP="00D20559">
      <w:pPr>
        <w:rPr>
          <w:color w:val="000000" w:themeColor="text1"/>
          <w:lang w:val="en-US"/>
        </w:rPr>
      </w:pPr>
      <w:r w:rsidRPr="001414E7">
        <w:rPr>
          <w:color w:val="000000" w:themeColor="text1"/>
          <w:lang w:val="en-US"/>
        </w:rPr>
        <w:t>Flow cytometry data was analyzed using FlowJo version 10.6.2 (BD Biosciences); gating strategies are prese</w:t>
      </w:r>
      <w:r>
        <w:rPr>
          <w:color w:val="000000" w:themeColor="text1"/>
          <w:lang w:val="en-US"/>
        </w:rPr>
        <w:t xml:space="preserve">nted in </w:t>
      </w:r>
      <w:r w:rsidR="004130F2">
        <w:rPr>
          <w:color w:val="000000" w:themeColor="text1"/>
          <w:lang w:val="en-US"/>
        </w:rPr>
        <w:t xml:space="preserve">Fig. </w:t>
      </w:r>
      <w:r>
        <w:rPr>
          <w:color w:val="000000" w:themeColor="text1"/>
          <w:lang w:val="en-US"/>
        </w:rPr>
        <w:t>S5-S9</w:t>
      </w:r>
      <w:r w:rsidRPr="001414E7">
        <w:rPr>
          <w:color w:val="000000" w:themeColor="text1"/>
          <w:lang w:val="en-US"/>
        </w:rPr>
        <w:t>. Statistical analysis was performed using R, version 3.6.2</w:t>
      </w:r>
      <w:r w:rsidRPr="001414E7">
        <w:rPr>
          <w:color w:val="000000" w:themeColor="text1"/>
          <w:lang w:val="en-US"/>
        </w:rPr>
        <w:fldChar w:fldCharType="begin"/>
      </w:r>
      <w:r w:rsidR="00F86119">
        <w:rPr>
          <w:color w:val="000000" w:themeColor="text1"/>
          <w:lang w:val="en-US"/>
        </w:rPr>
        <w:instrText xml:space="preserve"> ADDIN ZOTERO_ITEM CSL_CITATION {"citationID":"mvLB3qW7","properties":{"formattedCitation":"\\super 1\\nosupersub{}","plainCitation":"1","noteIndex":0},"citationItems":[{"id":6300,"uris":["http://zotero.org/users/15622/items/XHEL67VG"],"uri":["http://zotero.org/users/15622/items/XHEL67VG"],"itemData":{"id":6300,"type":"book","event-place":"Vienna, Austria","publisher":"R Foundation for Statistical Computing","publisher-place":"Vienna, Austria","title":"R: A Language and Environment for Statistical Computing","URL":"http://www.R-project.org/","author":[{"literal":"R Core Team"}],"issued":{"date-parts":[["2020"]]}}}],"schema":"https://github.com/citation-style-language/schema/raw/master/csl-citation.json"} </w:instrText>
      </w:r>
      <w:r w:rsidRPr="001414E7">
        <w:rPr>
          <w:color w:val="000000" w:themeColor="text1"/>
          <w:lang w:val="en-US"/>
        </w:rPr>
        <w:fldChar w:fldCharType="separate"/>
      </w:r>
      <w:r w:rsidR="00F86119" w:rsidRPr="00E57999">
        <w:rPr>
          <w:rFonts w:ascii="Calibri" w:hAnsi="Calibri" w:cs="Times New Roman"/>
          <w:szCs w:val="24"/>
          <w:vertAlign w:val="superscript"/>
          <w:lang w:val="en-US"/>
        </w:rPr>
        <w:t>1</w:t>
      </w:r>
      <w:r w:rsidRPr="001414E7">
        <w:rPr>
          <w:color w:val="000000" w:themeColor="text1"/>
          <w:lang w:val="en-US"/>
        </w:rPr>
        <w:fldChar w:fldCharType="end"/>
      </w:r>
      <w:r w:rsidRPr="001414E7">
        <w:rPr>
          <w:color w:val="000000" w:themeColor="text1"/>
          <w:lang w:val="en-US"/>
        </w:rPr>
        <w:t xml:space="preserve">. </w:t>
      </w:r>
      <w:r w:rsidRPr="001414E7">
        <w:rPr>
          <w:color w:val="000000" w:themeColor="text1"/>
          <w:lang w:val="en-GB"/>
        </w:rPr>
        <w:t>Categorical variables are summarised as numbers and frequencies; quantitative variables are reported as median and range. Box plots depict the median, first and third quartile of a variable; the maximum length of the whiskers corresponds to 1.5 times the interquartile range. Unless otherwise stated, differences between groups for categorical variables were calculated using Fisher’s exact test. Differences in quantitative variables between groups are analysed using the two-tailed Mann-Whitney U test unless otherwise stated; correlation size and significance were calculated using Spearman’s correlation coefficient.</w:t>
      </w:r>
      <w:r w:rsidRPr="001414E7">
        <w:rPr>
          <w:color w:val="000000" w:themeColor="text1"/>
          <w:lang w:val="en-US"/>
        </w:rPr>
        <w:t xml:space="preserve"> Bivariate regression analysis was performed to exclude potential bias in the analysis due to the unbalanced gender distribution of the groups. Thus, for factors significantly associated with illness severity, regression analysis was performed with gender and COVID-19 severity as independent variables, without interactions. </w:t>
      </w:r>
      <w:r w:rsidRPr="001414E7">
        <w:rPr>
          <w:color w:val="000000" w:themeColor="text1"/>
          <w:lang w:val="en-GB"/>
        </w:rPr>
        <w:t>P values below 0.050 were considered significant; only significant P values are reported. P values were not corrected for multiple testing, as this study was of exploratory nature</w:t>
      </w:r>
      <w:r w:rsidRPr="001414E7">
        <w:rPr>
          <w:color w:val="000000" w:themeColor="text1"/>
          <w:lang w:val="en-GB"/>
        </w:rPr>
        <w:fldChar w:fldCharType="begin"/>
      </w:r>
      <w:r w:rsidR="00F86119">
        <w:rPr>
          <w:color w:val="000000" w:themeColor="text1"/>
          <w:lang w:val="en-GB"/>
        </w:rPr>
        <w:instrText xml:space="preserve"> ADDIN ZOTERO_ITEM CSL_CITATION {"citationID":"tCeC2Doi","properties":{"formattedCitation":"\\super 2\\nosupersub{}","plainCitation":"2","noteIndex":0},"citationItems":[{"id":6301,"uris":["http://zotero.org/users/15622/items/A3BAQJDP"],"uri":["http://zotero.org/users/15622/items/A3BAQJDP"],"itemData":{"id":6301,"type":"article-journal","container-title":"International Journal of Epidemiology","DOI":"10.1093/ije/dyw320","ISSN":"0300-5771, 1464-3685","language":"en","page":"dyw320","source":"Crossref","title":"An introduction to multiplicity issues in clinical trials: the what, why, when and how","title-short":"An introduction to multiplicity issues in clinical trials","author":[{"family":"Li","given":"Guowei"},{"family":"Taljaard","given":"Monica"},{"family":"Van den Heuvel","given":"Edwin R."},{"family":"Levine","given":"Mitchell AH."},{"family":"Cook","given":"Deborah J."},{"family":"Wells","given":"George A."},{"family":"Devereaux","given":"Philip J."},{"family":"Thabane","given":"Lehana"}],"issued":{"date-parts":[["2016",12,26]]}}}],"schema":"https://github.com/citation-style-language/schema/raw/master/csl-citation.json"} </w:instrText>
      </w:r>
      <w:r w:rsidRPr="001414E7">
        <w:rPr>
          <w:color w:val="000000" w:themeColor="text1"/>
          <w:lang w:val="en-GB"/>
        </w:rPr>
        <w:fldChar w:fldCharType="separate"/>
      </w:r>
      <w:r w:rsidR="00F86119" w:rsidRPr="00F86119">
        <w:rPr>
          <w:rFonts w:ascii="Calibri" w:hAnsi="Calibri" w:cs="Times New Roman"/>
          <w:szCs w:val="24"/>
          <w:vertAlign w:val="superscript"/>
          <w:lang w:val="en-US"/>
        </w:rPr>
        <w:t>2</w:t>
      </w:r>
      <w:r w:rsidRPr="001414E7">
        <w:rPr>
          <w:color w:val="000000" w:themeColor="text1"/>
          <w:lang w:val="en-GB"/>
        </w:rPr>
        <w:fldChar w:fldCharType="end"/>
      </w:r>
      <w:r w:rsidRPr="001414E7">
        <w:rPr>
          <w:color w:val="000000" w:themeColor="text1"/>
          <w:lang w:val="en-GB"/>
        </w:rPr>
        <w:t>.</w:t>
      </w:r>
    </w:p>
    <w:p w:rsidR="005B50C3" w:rsidRDefault="005B50C3">
      <w:pPr>
        <w:rPr>
          <w:rFonts w:asciiTheme="majorHAnsi" w:eastAsiaTheme="majorEastAsia" w:hAnsiTheme="majorHAnsi" w:cstheme="majorBidi"/>
          <w:b/>
          <w:bCs/>
          <w:color w:val="A5A5A5" w:themeColor="accent1" w:themeShade="BF"/>
          <w:sz w:val="28"/>
          <w:szCs w:val="28"/>
          <w:lang w:val="en-US"/>
        </w:rPr>
      </w:pPr>
      <w:r>
        <w:rPr>
          <w:lang w:val="en-US"/>
        </w:rPr>
        <w:br w:type="page"/>
      </w:r>
    </w:p>
    <w:p w:rsidR="00D94999" w:rsidRPr="00F85958" w:rsidRDefault="00D94999" w:rsidP="00D94999">
      <w:pPr>
        <w:pStyle w:val="berschrift1"/>
        <w:rPr>
          <w:lang w:val="en-US"/>
        </w:rPr>
      </w:pPr>
      <w:bookmarkStart w:id="14" w:name="_Toc38892507"/>
      <w:r w:rsidRPr="00F85958">
        <w:rPr>
          <w:lang w:val="en-US"/>
        </w:rPr>
        <w:lastRenderedPageBreak/>
        <w:t>Supplement tables</w:t>
      </w:r>
      <w:bookmarkEnd w:id="14"/>
    </w:p>
    <w:p w:rsidR="008628B5" w:rsidRDefault="008628B5" w:rsidP="00AE6A0F">
      <w:pPr>
        <w:pStyle w:val="berschrift2"/>
        <w:rPr>
          <w:lang w:val="en-US"/>
        </w:rPr>
      </w:pPr>
      <w:bookmarkStart w:id="15" w:name="_Toc38892508"/>
      <w:r>
        <w:rPr>
          <w:lang w:val="en-US"/>
        </w:rPr>
        <w:t xml:space="preserve">Table S1. </w:t>
      </w:r>
      <w:r w:rsidRPr="006274C8">
        <w:rPr>
          <w:lang w:val="en-US"/>
        </w:rPr>
        <w:t>COVID-19 severity accor</w:t>
      </w:r>
      <w:r>
        <w:rPr>
          <w:lang w:val="en-US"/>
        </w:rPr>
        <w:t>ding</w:t>
      </w:r>
      <w:r w:rsidRPr="006274C8">
        <w:rPr>
          <w:lang w:val="en-US"/>
        </w:rPr>
        <w:t xml:space="preserve"> to</w:t>
      </w:r>
      <w:r>
        <w:rPr>
          <w:lang w:val="en-US"/>
        </w:rPr>
        <w:t xml:space="preserve"> </w:t>
      </w:r>
      <w:r w:rsidRPr="006274C8">
        <w:rPr>
          <w:lang w:val="en-US"/>
        </w:rPr>
        <w:t>the Robert Koch Institute, Germany</w:t>
      </w:r>
      <w:r>
        <w:rPr>
          <w:lang w:val="en-US"/>
        </w:rPr>
        <w:t>, published 17</w:t>
      </w:r>
      <w:r w:rsidRPr="006274C8">
        <w:rPr>
          <w:lang w:val="en-US"/>
        </w:rPr>
        <w:t xml:space="preserve"> </w:t>
      </w:r>
      <w:r>
        <w:rPr>
          <w:lang w:val="en-US"/>
        </w:rPr>
        <w:t>April, 2020</w:t>
      </w:r>
      <w:r w:rsidR="00D9240F">
        <w:rPr>
          <w:lang w:val="en-US"/>
        </w:rPr>
        <w:fldChar w:fldCharType="begin"/>
      </w:r>
      <w:r w:rsidR="00D9240F">
        <w:rPr>
          <w:lang w:val="en-US"/>
        </w:rPr>
        <w:instrText xml:space="preserve"> ADDIN ZOTERO_ITEM CSL_CITATION {"citationID":"ZKP4OPDw","properties":{"formattedCitation":"\\super 3\\nosupersub{}","plainCitation":"3","noteIndex":0},"citationItems":[{"id":6285,"uris":["http://zotero.org/users/15622/items/ZYTH2BVP"],"uri":["http://zotero.org/users/15622/items/ZYTH2BVP"],"itemData":{"id":6285,"type":"article","language":"German","note":"DOI: 10.25646/6539.3","publisher":"Robert Koch Institute","title":"Hinweise zu Erkennung, Diagnostik und Therapie von Patienten mit COVID-19","URL":"https://www.rki.de/DE/Content/Kommissionen/Stakob/Stellungnahmen/Stellungnahme-Covid-19_Therapie_Diagnose.pdf?__blob=publicationFile","author":[{"literal":"Ständiger Arbeitskreis der Kompetenz- und Behandlungszentren fürKrankheiten durch hochpathogene Erregeram Robert Koch-Institut"}],"issued":{"date-parts":[["2020",4,17]]}}}],"schema":"https://github.com/citation-style-language/schema/raw/master/csl-citation.json"} </w:instrText>
      </w:r>
      <w:r w:rsidR="00D9240F">
        <w:rPr>
          <w:lang w:val="en-US"/>
        </w:rPr>
        <w:fldChar w:fldCharType="separate"/>
      </w:r>
      <w:r w:rsidR="00D9240F" w:rsidRPr="00D9240F">
        <w:rPr>
          <w:rFonts w:ascii="Cambria" w:hAnsi="Cambria" w:cs="Times New Roman"/>
          <w:szCs w:val="24"/>
          <w:vertAlign w:val="superscript"/>
          <w:lang w:val="en-US"/>
        </w:rPr>
        <w:t>3</w:t>
      </w:r>
      <w:bookmarkEnd w:id="15"/>
      <w:r w:rsidR="00D9240F">
        <w:rPr>
          <w:lang w:val="en-US"/>
        </w:rPr>
        <w:fldChar w:fldCharType="end"/>
      </w:r>
    </w:p>
    <w:tbl>
      <w:tblPr>
        <w:tblStyle w:val="HelleSchattierung"/>
        <w:tblW w:w="9422" w:type="dxa"/>
        <w:tblLook w:val="0600" w:firstRow="0" w:lastRow="0" w:firstColumn="0" w:lastColumn="0" w:noHBand="1" w:noVBand="1"/>
      </w:tblPr>
      <w:tblGrid>
        <w:gridCol w:w="2662"/>
        <w:gridCol w:w="6760"/>
      </w:tblGrid>
      <w:tr w:rsidR="008628B5" w:rsidRPr="00703077" w:rsidTr="008628B5">
        <w:tc>
          <w:tcPr>
            <w:tcW w:w="2662" w:type="dxa"/>
            <w:tcBorders>
              <w:top w:val="single" w:sz="12" w:space="0" w:color="auto"/>
              <w:bottom w:val="single" w:sz="8" w:space="0" w:color="auto"/>
            </w:tcBorders>
          </w:tcPr>
          <w:p w:rsidR="008628B5" w:rsidRPr="008628B5" w:rsidRDefault="008628B5" w:rsidP="008628B5">
            <w:pPr>
              <w:pStyle w:val="KeinLeerraum"/>
              <w:rPr>
                <w:lang w:val="en-US"/>
              </w:rPr>
            </w:pPr>
            <w:r w:rsidRPr="008628B5">
              <w:rPr>
                <w:lang w:val="en-US"/>
              </w:rPr>
              <w:t>Severity level</w:t>
            </w:r>
          </w:p>
        </w:tc>
        <w:tc>
          <w:tcPr>
            <w:tcW w:w="6760" w:type="dxa"/>
            <w:tcBorders>
              <w:top w:val="single" w:sz="12" w:space="0" w:color="auto"/>
              <w:bottom w:val="single" w:sz="8" w:space="0" w:color="auto"/>
            </w:tcBorders>
          </w:tcPr>
          <w:p w:rsidR="008628B5" w:rsidRPr="008628B5" w:rsidRDefault="008628B5" w:rsidP="008628B5">
            <w:pPr>
              <w:pStyle w:val="KeinLeerraum"/>
              <w:rPr>
                <w:lang w:val="en-US"/>
              </w:rPr>
            </w:pPr>
            <w:r w:rsidRPr="008628B5">
              <w:rPr>
                <w:lang w:val="en-US"/>
              </w:rPr>
              <w:t>Symptom</w:t>
            </w:r>
          </w:p>
        </w:tc>
      </w:tr>
      <w:tr w:rsidR="008628B5" w:rsidRPr="0061091A" w:rsidTr="008628B5">
        <w:tc>
          <w:tcPr>
            <w:tcW w:w="2662" w:type="dxa"/>
            <w:tcBorders>
              <w:top w:val="single" w:sz="8" w:space="0" w:color="auto"/>
            </w:tcBorders>
          </w:tcPr>
          <w:p w:rsidR="008628B5" w:rsidRPr="0061091A" w:rsidRDefault="008628B5" w:rsidP="008628B5">
            <w:pPr>
              <w:pStyle w:val="KeinLeerraum"/>
              <w:rPr>
                <w:lang w:val="en-US"/>
              </w:rPr>
            </w:pPr>
            <w:r w:rsidRPr="0061091A">
              <w:rPr>
                <w:lang w:val="en-US"/>
              </w:rPr>
              <w:t>Light and uncomplicated</w:t>
            </w:r>
          </w:p>
        </w:tc>
        <w:tc>
          <w:tcPr>
            <w:tcW w:w="6760" w:type="dxa"/>
            <w:tcBorders>
              <w:top w:val="single" w:sz="8" w:space="0" w:color="auto"/>
            </w:tcBorders>
          </w:tcPr>
          <w:p w:rsidR="008628B5" w:rsidRPr="0061091A" w:rsidRDefault="008628B5" w:rsidP="008628B5">
            <w:pPr>
              <w:pStyle w:val="KeinLeerraum"/>
              <w:rPr>
                <w:lang w:val="en-US"/>
              </w:rPr>
            </w:pPr>
            <w:r w:rsidRPr="0061091A">
              <w:rPr>
                <w:lang w:val="en-US"/>
              </w:rPr>
              <w:t>Slight symptoms</w:t>
            </w:r>
          </w:p>
        </w:tc>
      </w:tr>
      <w:tr w:rsidR="008628B5" w:rsidRPr="0061091A" w:rsidTr="008628B5">
        <w:tc>
          <w:tcPr>
            <w:tcW w:w="2662" w:type="dxa"/>
          </w:tcPr>
          <w:p w:rsidR="008628B5" w:rsidRPr="0061091A" w:rsidRDefault="008628B5" w:rsidP="008628B5">
            <w:pPr>
              <w:pStyle w:val="KeinLeerraum"/>
              <w:rPr>
                <w:lang w:val="en-US"/>
              </w:rPr>
            </w:pPr>
            <w:r w:rsidRPr="0061091A">
              <w:rPr>
                <w:lang w:val="en-US"/>
              </w:rPr>
              <w:t>Moderate</w:t>
            </w:r>
          </w:p>
        </w:tc>
        <w:tc>
          <w:tcPr>
            <w:tcW w:w="6760" w:type="dxa"/>
          </w:tcPr>
          <w:p w:rsidR="008628B5" w:rsidRPr="0061091A" w:rsidRDefault="008628B5" w:rsidP="008628B5">
            <w:pPr>
              <w:pStyle w:val="KeinLeerraum"/>
              <w:rPr>
                <w:lang w:val="en-US"/>
              </w:rPr>
            </w:pPr>
            <w:r w:rsidRPr="0061091A">
              <w:rPr>
                <w:lang w:val="en-US"/>
              </w:rPr>
              <w:t>Light pneumonia</w:t>
            </w:r>
          </w:p>
        </w:tc>
      </w:tr>
      <w:tr w:rsidR="008628B5" w:rsidRPr="00C81646" w:rsidTr="008628B5">
        <w:tc>
          <w:tcPr>
            <w:tcW w:w="2662" w:type="dxa"/>
          </w:tcPr>
          <w:p w:rsidR="008628B5" w:rsidRPr="0061091A" w:rsidRDefault="008628B5" w:rsidP="008628B5">
            <w:pPr>
              <w:pStyle w:val="KeinLeerraum"/>
              <w:rPr>
                <w:lang w:val="en-US"/>
              </w:rPr>
            </w:pPr>
            <w:r w:rsidRPr="0061091A">
              <w:rPr>
                <w:lang w:val="en-US"/>
              </w:rPr>
              <w:t>Severe pneumonia</w:t>
            </w:r>
          </w:p>
        </w:tc>
        <w:tc>
          <w:tcPr>
            <w:tcW w:w="6760" w:type="dxa"/>
          </w:tcPr>
          <w:p w:rsidR="008628B5" w:rsidRPr="0061091A" w:rsidRDefault="008628B5" w:rsidP="008628B5">
            <w:pPr>
              <w:pStyle w:val="KeinLeerraum"/>
              <w:rPr>
                <w:lang w:val="en-US"/>
              </w:rPr>
            </w:pPr>
            <w:r w:rsidRPr="0061091A">
              <w:rPr>
                <w:lang w:val="en-US"/>
              </w:rPr>
              <w:t>Fever or respiratory tract infection and either respiratory rate &gt; 30/min, severe dyspnea, or SpO2 &lt;90% room air</w:t>
            </w:r>
          </w:p>
        </w:tc>
      </w:tr>
      <w:tr w:rsidR="008628B5" w:rsidRPr="00C81646" w:rsidTr="008628B5">
        <w:tc>
          <w:tcPr>
            <w:tcW w:w="2662" w:type="dxa"/>
            <w:tcBorders>
              <w:bottom w:val="single" w:sz="12" w:space="0" w:color="auto"/>
            </w:tcBorders>
          </w:tcPr>
          <w:p w:rsidR="008628B5" w:rsidRPr="0061091A" w:rsidRDefault="008628B5" w:rsidP="008628B5">
            <w:pPr>
              <w:pStyle w:val="KeinLeerraum"/>
              <w:rPr>
                <w:lang w:val="en-US"/>
              </w:rPr>
            </w:pPr>
            <w:r w:rsidRPr="0061091A">
              <w:rPr>
                <w:lang w:val="en-US"/>
              </w:rPr>
              <w:t>Critical</w:t>
            </w:r>
          </w:p>
        </w:tc>
        <w:tc>
          <w:tcPr>
            <w:tcW w:w="6760" w:type="dxa"/>
            <w:tcBorders>
              <w:bottom w:val="single" w:sz="12" w:space="0" w:color="auto"/>
            </w:tcBorders>
          </w:tcPr>
          <w:p w:rsidR="008628B5" w:rsidRPr="0061091A" w:rsidRDefault="008628B5" w:rsidP="008628B5">
            <w:pPr>
              <w:pStyle w:val="KeinLeerraum"/>
              <w:rPr>
                <w:lang w:val="en-US"/>
              </w:rPr>
            </w:pPr>
            <w:r w:rsidRPr="0061091A">
              <w:rPr>
                <w:lang w:val="en-US"/>
              </w:rPr>
              <w:t>ARDS, sepsis, or septic shock</w:t>
            </w:r>
          </w:p>
        </w:tc>
      </w:tr>
    </w:tbl>
    <w:p w:rsidR="008628B5" w:rsidRPr="008628B5" w:rsidRDefault="008628B5" w:rsidP="008628B5">
      <w:pPr>
        <w:rPr>
          <w:lang w:val="en-US"/>
        </w:rPr>
      </w:pPr>
    </w:p>
    <w:p w:rsidR="007A424D" w:rsidRDefault="007A424D">
      <w:pPr>
        <w:spacing w:line="480" w:lineRule="auto"/>
        <w:ind w:firstLine="360"/>
        <w:rPr>
          <w:rFonts w:asciiTheme="majorHAnsi" w:eastAsiaTheme="majorEastAsia" w:hAnsiTheme="majorHAnsi" w:cstheme="majorBidi"/>
          <w:b/>
          <w:bCs/>
          <w:iCs/>
          <w:sz w:val="28"/>
          <w:szCs w:val="28"/>
          <w:lang w:val="en-US"/>
        </w:rPr>
      </w:pPr>
      <w:r>
        <w:rPr>
          <w:lang w:val="en-US"/>
        </w:rPr>
        <w:br w:type="page"/>
      </w:r>
    </w:p>
    <w:p w:rsidR="00D94999" w:rsidRPr="00F85958" w:rsidRDefault="00D94999" w:rsidP="00AE6A0F">
      <w:pPr>
        <w:pStyle w:val="berschrift2"/>
        <w:rPr>
          <w:lang w:val="en-US"/>
        </w:rPr>
      </w:pPr>
      <w:bookmarkStart w:id="16" w:name="_Toc38892509"/>
      <w:r w:rsidRPr="00F85958">
        <w:rPr>
          <w:lang w:val="en-US"/>
        </w:rPr>
        <w:lastRenderedPageBreak/>
        <w:t xml:space="preserve">Table S2. Clinical </w:t>
      </w:r>
      <w:r w:rsidR="00AE6A0F" w:rsidRPr="00F85958">
        <w:rPr>
          <w:lang w:val="en-US"/>
        </w:rPr>
        <w:t>c</w:t>
      </w:r>
      <w:r w:rsidRPr="00F85958">
        <w:rPr>
          <w:lang w:val="en-US"/>
        </w:rPr>
        <w:t xml:space="preserve">haracteristics of the </w:t>
      </w:r>
      <w:r w:rsidR="00AE6A0F" w:rsidRPr="00F85958">
        <w:rPr>
          <w:lang w:val="en-US"/>
        </w:rPr>
        <w:t>s</w:t>
      </w:r>
      <w:r w:rsidRPr="00F85958">
        <w:rPr>
          <w:lang w:val="en-US"/>
        </w:rPr>
        <w:t xml:space="preserve">tudy </w:t>
      </w:r>
      <w:r w:rsidR="00AE6A0F" w:rsidRPr="00F85958">
        <w:rPr>
          <w:lang w:val="en-US"/>
        </w:rPr>
        <w:t>p</w:t>
      </w:r>
      <w:r w:rsidRPr="00F85958">
        <w:rPr>
          <w:lang w:val="en-US"/>
        </w:rPr>
        <w:t xml:space="preserve">atients according to </w:t>
      </w:r>
      <w:r w:rsidR="00AE6A0F" w:rsidRPr="00F85958">
        <w:rPr>
          <w:lang w:val="en-US"/>
        </w:rPr>
        <w:t>d</w:t>
      </w:r>
      <w:r w:rsidRPr="00F85958">
        <w:rPr>
          <w:lang w:val="en-US"/>
        </w:rPr>
        <w:t xml:space="preserve">isease </w:t>
      </w:r>
      <w:r w:rsidR="00AE6A0F" w:rsidRPr="00F85958">
        <w:rPr>
          <w:lang w:val="en-US"/>
        </w:rPr>
        <w:t>s</w:t>
      </w:r>
      <w:r w:rsidRPr="00F85958">
        <w:rPr>
          <w:lang w:val="en-US"/>
        </w:rPr>
        <w:t>everity</w:t>
      </w:r>
      <w:bookmarkEnd w:id="16"/>
    </w:p>
    <w:tbl>
      <w:tblPr>
        <w:tblStyle w:val="Tabellenraster"/>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1809"/>
        <w:gridCol w:w="1931"/>
        <w:gridCol w:w="2053"/>
      </w:tblGrid>
      <w:tr w:rsidR="008628B5" w:rsidRPr="00F85958" w:rsidTr="008628B5">
        <w:tc>
          <w:tcPr>
            <w:tcW w:w="3746" w:type="dxa"/>
            <w:tcBorders>
              <w:top w:val="single" w:sz="12" w:space="0" w:color="auto"/>
            </w:tcBorders>
            <w:shd w:val="clear" w:color="auto" w:fill="auto"/>
          </w:tcPr>
          <w:p w:rsidR="008628B5" w:rsidRPr="00F85958" w:rsidRDefault="008628B5" w:rsidP="00B51EE4">
            <w:pPr>
              <w:pStyle w:val="KeinLeerraum"/>
              <w:rPr>
                <w:lang w:val="en-US"/>
              </w:rPr>
            </w:pPr>
          </w:p>
        </w:tc>
        <w:tc>
          <w:tcPr>
            <w:tcW w:w="5793" w:type="dxa"/>
            <w:gridSpan w:val="3"/>
            <w:tcBorders>
              <w:top w:val="single" w:sz="12" w:space="0" w:color="auto"/>
              <w:bottom w:val="single" w:sz="8" w:space="0" w:color="auto"/>
            </w:tcBorders>
            <w:shd w:val="clear" w:color="auto" w:fill="auto"/>
            <w:vAlign w:val="bottom"/>
          </w:tcPr>
          <w:p w:rsidR="008628B5" w:rsidRPr="00F85958" w:rsidRDefault="008628B5" w:rsidP="008628B5">
            <w:pPr>
              <w:pStyle w:val="KeinLeerraum"/>
              <w:jc w:val="center"/>
              <w:rPr>
                <w:lang w:val="en-US"/>
              </w:rPr>
            </w:pPr>
            <w:r w:rsidRPr="00F85958">
              <w:rPr>
                <w:lang w:val="en-US"/>
              </w:rPr>
              <w:t>Disease Severity</w:t>
            </w:r>
          </w:p>
        </w:tc>
      </w:tr>
      <w:tr w:rsidR="00D94999" w:rsidRPr="00F85958" w:rsidTr="008628B5">
        <w:tc>
          <w:tcPr>
            <w:tcW w:w="3746" w:type="dxa"/>
            <w:tcBorders>
              <w:bottom w:val="single" w:sz="8" w:space="0" w:color="auto"/>
            </w:tcBorders>
            <w:shd w:val="clear" w:color="auto" w:fill="auto"/>
          </w:tcPr>
          <w:p w:rsidR="00D94999" w:rsidRPr="00F85958" w:rsidRDefault="00D94999" w:rsidP="00B51EE4">
            <w:pPr>
              <w:pStyle w:val="KeinLeerraum"/>
              <w:rPr>
                <w:lang w:val="en-US"/>
              </w:rPr>
            </w:pPr>
          </w:p>
        </w:tc>
        <w:tc>
          <w:tcPr>
            <w:tcW w:w="1809" w:type="dxa"/>
            <w:tcBorders>
              <w:top w:val="single" w:sz="8" w:space="0" w:color="auto"/>
              <w:bottom w:val="single" w:sz="8" w:space="0" w:color="auto"/>
            </w:tcBorders>
            <w:shd w:val="clear" w:color="auto" w:fill="auto"/>
            <w:vAlign w:val="bottom"/>
          </w:tcPr>
          <w:p w:rsidR="00D94999" w:rsidRPr="00F85958" w:rsidRDefault="00D94999" w:rsidP="008628B5">
            <w:pPr>
              <w:pStyle w:val="KeinLeerraum"/>
              <w:jc w:val="center"/>
              <w:rPr>
                <w:lang w:val="en-US"/>
              </w:rPr>
            </w:pPr>
            <w:r w:rsidRPr="00F85958">
              <w:rPr>
                <w:lang w:val="en-US"/>
              </w:rPr>
              <w:t>Moderate</w:t>
            </w:r>
          </w:p>
        </w:tc>
        <w:tc>
          <w:tcPr>
            <w:tcW w:w="1931" w:type="dxa"/>
            <w:tcBorders>
              <w:top w:val="single" w:sz="8" w:space="0" w:color="auto"/>
              <w:bottom w:val="single" w:sz="8" w:space="0" w:color="auto"/>
            </w:tcBorders>
            <w:shd w:val="clear" w:color="auto" w:fill="auto"/>
            <w:vAlign w:val="bottom"/>
          </w:tcPr>
          <w:p w:rsidR="00D94999" w:rsidRPr="00F85958" w:rsidRDefault="00D94999" w:rsidP="008628B5">
            <w:pPr>
              <w:pStyle w:val="KeinLeerraum"/>
              <w:jc w:val="center"/>
              <w:rPr>
                <w:lang w:val="en-US"/>
              </w:rPr>
            </w:pPr>
            <w:r w:rsidRPr="00F85958">
              <w:rPr>
                <w:lang w:val="en-US"/>
              </w:rPr>
              <w:t>Severe</w:t>
            </w:r>
          </w:p>
        </w:tc>
        <w:tc>
          <w:tcPr>
            <w:tcW w:w="2053" w:type="dxa"/>
            <w:tcBorders>
              <w:top w:val="single" w:sz="8" w:space="0" w:color="auto"/>
              <w:bottom w:val="single" w:sz="8" w:space="0" w:color="auto"/>
            </w:tcBorders>
            <w:shd w:val="clear" w:color="auto" w:fill="auto"/>
            <w:vAlign w:val="bottom"/>
          </w:tcPr>
          <w:p w:rsidR="00D94999" w:rsidRPr="00F85958" w:rsidRDefault="00D94999" w:rsidP="008628B5">
            <w:pPr>
              <w:pStyle w:val="KeinLeerraum"/>
              <w:jc w:val="center"/>
              <w:rPr>
                <w:lang w:val="en-US"/>
              </w:rPr>
            </w:pPr>
            <w:r w:rsidRPr="00F85958">
              <w:rPr>
                <w:lang w:val="en-US"/>
              </w:rPr>
              <w:t>Critical</w:t>
            </w:r>
          </w:p>
        </w:tc>
      </w:tr>
      <w:tr w:rsidR="00D94999" w:rsidRPr="00F85958" w:rsidTr="008628B5">
        <w:tc>
          <w:tcPr>
            <w:tcW w:w="3746" w:type="dxa"/>
            <w:tcBorders>
              <w:top w:val="single" w:sz="8" w:space="0" w:color="auto"/>
            </w:tcBorders>
            <w:shd w:val="clear" w:color="auto" w:fill="auto"/>
          </w:tcPr>
          <w:p w:rsidR="00D94999" w:rsidRPr="00F85958" w:rsidRDefault="00D94999" w:rsidP="00B51EE4">
            <w:pPr>
              <w:pStyle w:val="KeinLeerraum"/>
              <w:rPr>
                <w:lang w:val="en-US"/>
              </w:rPr>
            </w:pPr>
            <w:r w:rsidRPr="00F85958">
              <w:rPr>
                <w:lang w:val="en-US"/>
              </w:rPr>
              <w:t xml:space="preserve">Number of Patients </w:t>
            </w:r>
          </w:p>
        </w:tc>
        <w:tc>
          <w:tcPr>
            <w:tcW w:w="1809" w:type="dxa"/>
            <w:tcBorders>
              <w:top w:val="single" w:sz="8" w:space="0" w:color="auto"/>
            </w:tcBorders>
            <w:shd w:val="clear" w:color="auto" w:fill="auto"/>
          </w:tcPr>
          <w:p w:rsidR="00D94999" w:rsidRPr="00F85958" w:rsidRDefault="00D94999" w:rsidP="008628B5">
            <w:pPr>
              <w:pStyle w:val="KeinLeerraum"/>
              <w:jc w:val="center"/>
              <w:rPr>
                <w:lang w:val="en-US"/>
              </w:rPr>
            </w:pPr>
            <w:r w:rsidRPr="00F85958">
              <w:rPr>
                <w:lang w:val="en-US"/>
              </w:rPr>
              <w:t>21</w:t>
            </w:r>
          </w:p>
        </w:tc>
        <w:tc>
          <w:tcPr>
            <w:tcW w:w="1931" w:type="dxa"/>
            <w:tcBorders>
              <w:top w:val="single" w:sz="8" w:space="0" w:color="auto"/>
            </w:tcBorders>
            <w:shd w:val="clear" w:color="auto" w:fill="auto"/>
          </w:tcPr>
          <w:p w:rsidR="00D94999" w:rsidRPr="00F85958" w:rsidRDefault="00D94999" w:rsidP="008628B5">
            <w:pPr>
              <w:pStyle w:val="KeinLeerraum"/>
              <w:jc w:val="center"/>
              <w:rPr>
                <w:lang w:val="en-US"/>
              </w:rPr>
            </w:pPr>
            <w:r w:rsidRPr="00F85958">
              <w:rPr>
                <w:lang w:val="en-US"/>
              </w:rPr>
              <w:t>18</w:t>
            </w:r>
          </w:p>
        </w:tc>
        <w:tc>
          <w:tcPr>
            <w:tcW w:w="2053" w:type="dxa"/>
            <w:tcBorders>
              <w:top w:val="single" w:sz="8" w:space="0" w:color="auto"/>
            </w:tcBorders>
            <w:shd w:val="clear" w:color="auto" w:fill="auto"/>
          </w:tcPr>
          <w:p w:rsidR="00D94999" w:rsidRPr="00F85958" w:rsidRDefault="00D94999" w:rsidP="008628B5">
            <w:pPr>
              <w:pStyle w:val="KeinLeerraum"/>
              <w:jc w:val="center"/>
              <w:rPr>
                <w:lang w:val="en-US"/>
              </w:rPr>
            </w:pPr>
            <w:r w:rsidRPr="00F85958">
              <w:rPr>
                <w:lang w:val="en-US"/>
              </w:rPr>
              <w:t>14</w:t>
            </w:r>
          </w:p>
        </w:tc>
      </w:tr>
      <w:tr w:rsidR="00D94999" w:rsidRPr="00F85958" w:rsidTr="008628B5">
        <w:tc>
          <w:tcPr>
            <w:tcW w:w="3746" w:type="dxa"/>
            <w:shd w:val="clear" w:color="auto" w:fill="auto"/>
          </w:tcPr>
          <w:p w:rsidR="00D94999" w:rsidRPr="00F85958" w:rsidRDefault="00D94999" w:rsidP="00B51EE4">
            <w:pPr>
              <w:pStyle w:val="KeinLeerraum"/>
              <w:rPr>
                <w:lang w:val="en-US"/>
              </w:rPr>
            </w:pPr>
            <w:r w:rsidRPr="00F85958">
              <w:rPr>
                <w:lang w:val="en-US"/>
              </w:rPr>
              <w:t>Chest CT abnormalities</w:t>
            </w: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F85958" w:rsidTr="008628B5">
        <w:tc>
          <w:tcPr>
            <w:tcW w:w="3746" w:type="dxa"/>
            <w:shd w:val="clear" w:color="auto" w:fill="auto"/>
          </w:tcPr>
          <w:p w:rsidR="00D94999" w:rsidRPr="00F85958" w:rsidRDefault="00D94999" w:rsidP="00B51EE4">
            <w:pPr>
              <w:pStyle w:val="KeinLeerraum"/>
              <w:rPr>
                <w:lang w:val="en-US"/>
              </w:rPr>
            </w:pPr>
            <w:r w:rsidRPr="00F85958">
              <w:rPr>
                <w:lang w:val="en-US"/>
              </w:rPr>
              <w:t>Bilateral ground-glass opacity</w:t>
            </w:r>
          </w:p>
        </w:tc>
        <w:tc>
          <w:tcPr>
            <w:tcW w:w="1809" w:type="dxa"/>
            <w:shd w:val="clear" w:color="auto" w:fill="auto"/>
          </w:tcPr>
          <w:p w:rsidR="00D94999" w:rsidRPr="00F85958" w:rsidRDefault="00D94999" w:rsidP="008628B5">
            <w:pPr>
              <w:pStyle w:val="KeinLeerraum"/>
              <w:jc w:val="center"/>
              <w:rPr>
                <w:lang w:val="en-US"/>
              </w:rPr>
            </w:pPr>
            <w:r w:rsidRPr="00F85958">
              <w:rPr>
                <w:lang w:val="en-US"/>
              </w:rPr>
              <w:t>16</w:t>
            </w:r>
          </w:p>
        </w:tc>
        <w:tc>
          <w:tcPr>
            <w:tcW w:w="1931" w:type="dxa"/>
            <w:shd w:val="clear" w:color="auto" w:fill="auto"/>
          </w:tcPr>
          <w:p w:rsidR="00D94999" w:rsidRPr="00F85958" w:rsidRDefault="00D94999" w:rsidP="008628B5">
            <w:pPr>
              <w:pStyle w:val="KeinLeerraum"/>
              <w:jc w:val="center"/>
              <w:rPr>
                <w:lang w:val="en-US"/>
              </w:rPr>
            </w:pPr>
            <w:r w:rsidRPr="00F85958">
              <w:rPr>
                <w:lang w:val="en-US"/>
              </w:rPr>
              <w:t>15</w:t>
            </w:r>
          </w:p>
        </w:tc>
        <w:tc>
          <w:tcPr>
            <w:tcW w:w="2053" w:type="dxa"/>
            <w:shd w:val="clear" w:color="auto" w:fill="auto"/>
          </w:tcPr>
          <w:p w:rsidR="00D94999" w:rsidRPr="00F85958" w:rsidRDefault="00D94999" w:rsidP="008628B5">
            <w:pPr>
              <w:pStyle w:val="KeinLeerraum"/>
              <w:jc w:val="center"/>
              <w:rPr>
                <w:lang w:val="en-US"/>
              </w:rPr>
            </w:pPr>
            <w:r w:rsidRPr="00F85958">
              <w:rPr>
                <w:lang w:val="en-US"/>
              </w:rPr>
              <w:t>14</w:t>
            </w:r>
          </w:p>
        </w:tc>
      </w:tr>
      <w:tr w:rsidR="00D94999" w:rsidRPr="00F85958" w:rsidTr="008628B5">
        <w:tc>
          <w:tcPr>
            <w:tcW w:w="3746" w:type="dxa"/>
            <w:shd w:val="clear" w:color="auto" w:fill="auto"/>
          </w:tcPr>
          <w:p w:rsidR="00D94999" w:rsidRPr="00F85958" w:rsidRDefault="00D94999" w:rsidP="00B51EE4">
            <w:pPr>
              <w:pStyle w:val="KeinLeerraum"/>
              <w:rPr>
                <w:lang w:val="en-US"/>
              </w:rPr>
            </w:pPr>
            <w:r w:rsidRPr="00F85958">
              <w:rPr>
                <w:lang w:val="en-US"/>
              </w:rPr>
              <w:t>Pleural effusion</w:t>
            </w:r>
          </w:p>
        </w:tc>
        <w:tc>
          <w:tcPr>
            <w:tcW w:w="1809" w:type="dxa"/>
            <w:shd w:val="clear" w:color="auto" w:fill="auto"/>
          </w:tcPr>
          <w:p w:rsidR="00D94999" w:rsidRPr="00F85958" w:rsidRDefault="00D94999" w:rsidP="008628B5">
            <w:pPr>
              <w:pStyle w:val="KeinLeerraum"/>
              <w:jc w:val="center"/>
              <w:rPr>
                <w:lang w:val="en-US"/>
              </w:rPr>
            </w:pPr>
            <w:r w:rsidRPr="00F85958">
              <w:rPr>
                <w:lang w:val="en-US"/>
              </w:rPr>
              <w:t>0</w:t>
            </w:r>
          </w:p>
        </w:tc>
        <w:tc>
          <w:tcPr>
            <w:tcW w:w="1931" w:type="dxa"/>
            <w:shd w:val="clear" w:color="auto" w:fill="auto"/>
          </w:tcPr>
          <w:p w:rsidR="00D94999" w:rsidRPr="00F85958" w:rsidRDefault="00D94999" w:rsidP="008628B5">
            <w:pPr>
              <w:pStyle w:val="KeinLeerraum"/>
              <w:jc w:val="center"/>
              <w:rPr>
                <w:lang w:val="en-US"/>
              </w:rPr>
            </w:pPr>
            <w:r w:rsidRPr="00F85958">
              <w:rPr>
                <w:lang w:val="en-US"/>
              </w:rPr>
              <w:t>2</w:t>
            </w:r>
          </w:p>
        </w:tc>
        <w:tc>
          <w:tcPr>
            <w:tcW w:w="2053" w:type="dxa"/>
            <w:shd w:val="clear" w:color="auto" w:fill="auto"/>
          </w:tcPr>
          <w:p w:rsidR="00D94999" w:rsidRPr="00F85958" w:rsidRDefault="00D94999" w:rsidP="008628B5">
            <w:pPr>
              <w:pStyle w:val="KeinLeerraum"/>
              <w:jc w:val="center"/>
              <w:rPr>
                <w:lang w:val="en-US"/>
              </w:rPr>
            </w:pPr>
            <w:r w:rsidRPr="00F85958">
              <w:rPr>
                <w:lang w:val="en-US"/>
              </w:rPr>
              <w:t>1</w:t>
            </w:r>
          </w:p>
        </w:tc>
      </w:tr>
      <w:tr w:rsidR="00D94999" w:rsidRPr="00F85958" w:rsidTr="008628B5">
        <w:tc>
          <w:tcPr>
            <w:tcW w:w="3746" w:type="dxa"/>
            <w:shd w:val="clear" w:color="auto" w:fill="auto"/>
          </w:tcPr>
          <w:p w:rsidR="00D94999" w:rsidRPr="00F85958" w:rsidRDefault="00D94999" w:rsidP="00B51EE4">
            <w:pPr>
              <w:pStyle w:val="KeinLeerraum"/>
              <w:rPr>
                <w:lang w:val="en-US"/>
              </w:rPr>
            </w:pP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F85958" w:rsidTr="008628B5">
        <w:tc>
          <w:tcPr>
            <w:tcW w:w="3746" w:type="dxa"/>
            <w:shd w:val="clear" w:color="auto" w:fill="auto"/>
          </w:tcPr>
          <w:p w:rsidR="00D94999" w:rsidRPr="00F85958" w:rsidRDefault="00D94999" w:rsidP="00B51EE4">
            <w:pPr>
              <w:pStyle w:val="KeinLeerraum"/>
              <w:rPr>
                <w:lang w:val="en-US"/>
              </w:rPr>
            </w:pP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8628B5" w:rsidTr="008628B5">
        <w:tc>
          <w:tcPr>
            <w:tcW w:w="3746" w:type="dxa"/>
            <w:shd w:val="clear" w:color="auto" w:fill="auto"/>
          </w:tcPr>
          <w:p w:rsidR="00D94999" w:rsidRPr="00F85958" w:rsidRDefault="008628B5" w:rsidP="008628B5">
            <w:pPr>
              <w:pStyle w:val="KeinLeerraum"/>
              <w:rPr>
                <w:lang w:val="en-US"/>
              </w:rPr>
            </w:pPr>
            <w:r>
              <w:rPr>
                <w:lang w:val="en-US"/>
              </w:rPr>
              <w:t>Median laboratory findings</w:t>
            </w: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pO2/FiO2 mmHg </w:t>
            </w:r>
          </w:p>
        </w:tc>
        <w:tc>
          <w:tcPr>
            <w:tcW w:w="1809" w:type="dxa"/>
            <w:shd w:val="clear" w:color="auto" w:fill="auto"/>
            <w:noWrap/>
            <w:hideMark/>
          </w:tcPr>
          <w:p w:rsidR="00D94999" w:rsidRPr="00F85958" w:rsidRDefault="00F85958" w:rsidP="008628B5">
            <w:pPr>
              <w:pStyle w:val="KeinLeerraum"/>
              <w:jc w:val="center"/>
              <w:rPr>
                <w:lang w:val="en-US"/>
              </w:rPr>
            </w:pPr>
            <w:proofErr w:type="spellStart"/>
            <w:r>
              <w:rPr>
                <w:lang w:val="en-US"/>
              </w:rPr>
              <w:t>na</w:t>
            </w:r>
            <w:proofErr w:type="spellEnd"/>
          </w:p>
        </w:tc>
        <w:tc>
          <w:tcPr>
            <w:tcW w:w="1931" w:type="dxa"/>
            <w:shd w:val="clear" w:color="auto" w:fill="auto"/>
            <w:noWrap/>
          </w:tcPr>
          <w:p w:rsidR="00D94999" w:rsidRPr="00F85958" w:rsidRDefault="00F85958" w:rsidP="008628B5">
            <w:pPr>
              <w:pStyle w:val="KeinLeerraum"/>
              <w:jc w:val="center"/>
              <w:rPr>
                <w:lang w:val="en-US"/>
              </w:rPr>
            </w:pPr>
            <w:proofErr w:type="spellStart"/>
            <w:r>
              <w:rPr>
                <w:lang w:val="en-US"/>
              </w:rPr>
              <w:t>na</w:t>
            </w:r>
            <w:proofErr w:type="spellEnd"/>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138</w:t>
            </w:r>
            <w:r w:rsidR="008628B5">
              <w:rPr>
                <w:lang w:val="en-US"/>
              </w:rPr>
              <w:t xml:space="preserve"> </w:t>
            </w:r>
            <w:r w:rsidRPr="00F85958">
              <w:rPr>
                <w:lang w:val="en-US"/>
              </w:rPr>
              <w:t>(58-280)</w:t>
            </w:r>
          </w:p>
        </w:tc>
      </w:tr>
      <w:tr w:rsidR="00D94999" w:rsidRPr="00F85958" w:rsidTr="008628B5">
        <w:trPr>
          <w:trHeight w:val="300"/>
        </w:trPr>
        <w:tc>
          <w:tcPr>
            <w:tcW w:w="3746" w:type="dxa"/>
            <w:shd w:val="clear" w:color="auto" w:fill="auto"/>
            <w:noWrap/>
            <w:hideMark/>
          </w:tcPr>
          <w:p w:rsidR="00D94999" w:rsidRPr="00F85958" w:rsidRDefault="004D3FD5" w:rsidP="008628B5">
            <w:pPr>
              <w:pStyle w:val="KeinLeerraum"/>
              <w:rPr>
                <w:lang w:val="en-US"/>
              </w:rPr>
            </w:pPr>
            <w:proofErr w:type="spellStart"/>
            <w:r>
              <w:rPr>
                <w:lang w:val="en-US"/>
              </w:rPr>
              <w:t>Laucocyte</w:t>
            </w:r>
            <w:proofErr w:type="spellEnd"/>
            <w:r w:rsidR="00D94999" w:rsidRPr="00F85958">
              <w:rPr>
                <w:lang w:val="en-US"/>
              </w:rPr>
              <w:t xml:space="preserve"> </w:t>
            </w:r>
            <w:r w:rsidR="008628B5">
              <w:rPr>
                <w:lang w:val="en-US"/>
              </w:rPr>
              <w:t>(cells/</w:t>
            </w:r>
            <w:proofErr w:type="spellStart"/>
            <w:r w:rsidR="008628B5">
              <w:rPr>
                <w:lang w:val="en-US"/>
              </w:rPr>
              <w:t>nL</w:t>
            </w:r>
            <w:proofErr w:type="spellEnd"/>
            <w:r w:rsidR="008628B5">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5.17</w:t>
            </w:r>
            <w:r w:rsidR="008628B5">
              <w:rPr>
                <w:lang w:val="en-US"/>
              </w:rPr>
              <w:t xml:space="preserve"> </w:t>
            </w:r>
            <w:r w:rsidRPr="00F85958">
              <w:rPr>
                <w:lang w:val="en-US"/>
              </w:rPr>
              <w:t>(2.07-11)</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6.48</w:t>
            </w:r>
            <w:r w:rsidR="008628B5">
              <w:rPr>
                <w:lang w:val="en-US"/>
              </w:rPr>
              <w:t xml:space="preserve"> </w:t>
            </w:r>
            <w:r w:rsidRPr="00F85958">
              <w:rPr>
                <w:lang w:val="en-US"/>
              </w:rPr>
              <w:t>(0.85-33.9)</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12.74</w:t>
            </w:r>
            <w:r w:rsidR="008628B5">
              <w:rPr>
                <w:lang w:val="en-US"/>
              </w:rPr>
              <w:t xml:space="preserve"> </w:t>
            </w:r>
            <w:r w:rsidRPr="00F85958">
              <w:rPr>
                <w:lang w:val="en-US"/>
              </w:rPr>
              <w:t>(6.08-22.14)</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Lymphocyte </w:t>
            </w:r>
            <w:r w:rsidR="008628B5">
              <w:rPr>
                <w:lang w:val="en-US"/>
              </w:rPr>
              <w:t>(cells/</w:t>
            </w:r>
            <w:proofErr w:type="spellStart"/>
            <w:r w:rsidR="008628B5">
              <w:rPr>
                <w:lang w:val="en-US"/>
              </w:rPr>
              <w:t>nL</w:t>
            </w:r>
            <w:proofErr w:type="spellEnd"/>
            <w:r w:rsidR="008628B5">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0.81</w:t>
            </w:r>
            <w:r w:rsidR="008628B5">
              <w:rPr>
                <w:lang w:val="en-US"/>
              </w:rPr>
              <w:t xml:space="preserve"> </w:t>
            </w:r>
            <w:r w:rsidRPr="00F85958">
              <w:rPr>
                <w:lang w:val="en-US"/>
              </w:rPr>
              <w:t>(0.14-1.82)</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0.65</w:t>
            </w:r>
            <w:r w:rsidR="008628B5">
              <w:rPr>
                <w:lang w:val="en-US"/>
              </w:rPr>
              <w:t xml:space="preserve"> </w:t>
            </w:r>
            <w:r w:rsidRPr="00F85958">
              <w:rPr>
                <w:lang w:val="en-US"/>
              </w:rPr>
              <w:t>(0.16-1.36)</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1.11</w:t>
            </w:r>
            <w:r w:rsidR="008628B5">
              <w:rPr>
                <w:lang w:val="en-US"/>
              </w:rPr>
              <w:t xml:space="preserve"> </w:t>
            </w:r>
            <w:r w:rsidRPr="00F85958">
              <w:rPr>
                <w:lang w:val="en-US"/>
              </w:rPr>
              <w:t>(0.22-2.82)</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proofErr w:type="spellStart"/>
            <w:r w:rsidRPr="00F85958">
              <w:rPr>
                <w:lang w:val="en-US"/>
              </w:rPr>
              <w:t>Neutrophile</w:t>
            </w:r>
            <w:proofErr w:type="spellEnd"/>
            <w:r w:rsidRPr="00F85958">
              <w:rPr>
                <w:lang w:val="en-US"/>
              </w:rPr>
              <w:t xml:space="preserve"> </w:t>
            </w:r>
            <w:r w:rsidR="008628B5">
              <w:rPr>
                <w:lang w:val="en-US"/>
              </w:rPr>
              <w:t>(cells/</w:t>
            </w:r>
            <w:proofErr w:type="spellStart"/>
            <w:r w:rsidR="008628B5">
              <w:rPr>
                <w:lang w:val="en-US"/>
              </w:rPr>
              <w:t>nL</w:t>
            </w:r>
            <w:proofErr w:type="spellEnd"/>
            <w:r w:rsidR="008628B5">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4.15</w:t>
            </w:r>
            <w:r w:rsidR="008628B5">
              <w:rPr>
                <w:lang w:val="en-US"/>
              </w:rPr>
              <w:t xml:space="preserve"> </w:t>
            </w:r>
            <w:r w:rsidRPr="00F85958">
              <w:rPr>
                <w:lang w:val="en-US"/>
              </w:rPr>
              <w:t>(0.72-9.61)</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5.05</w:t>
            </w:r>
            <w:r w:rsidR="008628B5">
              <w:rPr>
                <w:lang w:val="en-US"/>
              </w:rPr>
              <w:t xml:space="preserve"> </w:t>
            </w:r>
            <w:r w:rsidRPr="00F85958">
              <w:rPr>
                <w:lang w:val="en-US"/>
              </w:rPr>
              <w:t>(1.68-22.84)</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10.3</w:t>
            </w:r>
            <w:r w:rsidR="008628B5">
              <w:rPr>
                <w:lang w:val="en-US"/>
              </w:rPr>
              <w:t xml:space="preserve"> </w:t>
            </w:r>
            <w:r w:rsidRPr="00F85958">
              <w:rPr>
                <w:lang w:val="en-US"/>
              </w:rPr>
              <w:t>(5.23-12.82)</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Platelet </w:t>
            </w:r>
            <w:r w:rsidR="008628B5">
              <w:rPr>
                <w:lang w:val="en-US"/>
              </w:rPr>
              <w:t>(cells/</w:t>
            </w:r>
            <w:proofErr w:type="spellStart"/>
            <w:r w:rsidR="008628B5">
              <w:rPr>
                <w:lang w:val="en-US"/>
              </w:rPr>
              <w:t>nL</w:t>
            </w:r>
            <w:proofErr w:type="spellEnd"/>
            <w:r w:rsidR="008628B5">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178</w:t>
            </w:r>
            <w:r w:rsidR="008628B5">
              <w:rPr>
                <w:lang w:val="en-US"/>
              </w:rPr>
              <w:t xml:space="preserve"> </w:t>
            </w:r>
            <w:r w:rsidRPr="00F85958">
              <w:rPr>
                <w:lang w:val="en-US"/>
              </w:rPr>
              <w:t>(120-380)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209</w:t>
            </w:r>
            <w:r w:rsidR="008628B5">
              <w:rPr>
                <w:lang w:val="en-US"/>
              </w:rPr>
              <w:t xml:space="preserve"> </w:t>
            </w:r>
            <w:r w:rsidRPr="00F85958">
              <w:rPr>
                <w:lang w:val="en-US"/>
              </w:rPr>
              <w:t>(115-377)</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190</w:t>
            </w:r>
            <w:r w:rsidR="008628B5">
              <w:rPr>
                <w:lang w:val="en-US"/>
              </w:rPr>
              <w:t xml:space="preserve"> </w:t>
            </w:r>
            <w:r w:rsidRPr="00F85958">
              <w:rPr>
                <w:lang w:val="en-US"/>
              </w:rPr>
              <w:t>(26-598)</w:t>
            </w:r>
          </w:p>
        </w:tc>
      </w:tr>
      <w:tr w:rsidR="00D94999" w:rsidRPr="00F85958" w:rsidTr="008628B5">
        <w:trPr>
          <w:trHeight w:val="300"/>
        </w:trPr>
        <w:tc>
          <w:tcPr>
            <w:tcW w:w="3746" w:type="dxa"/>
            <w:shd w:val="clear" w:color="auto" w:fill="auto"/>
            <w:noWrap/>
            <w:hideMark/>
          </w:tcPr>
          <w:p w:rsidR="00D94999" w:rsidRPr="00F85958" w:rsidRDefault="00D94999" w:rsidP="008628B5">
            <w:pPr>
              <w:pStyle w:val="KeinLeerraum"/>
              <w:rPr>
                <w:lang w:val="en-US"/>
              </w:rPr>
            </w:pPr>
            <w:r w:rsidRPr="00F85958">
              <w:rPr>
                <w:lang w:val="en-US"/>
              </w:rPr>
              <w:t>Hemoglobin</w:t>
            </w:r>
            <w:r w:rsidR="008628B5">
              <w:rPr>
                <w:lang w:val="en-US"/>
              </w:rPr>
              <w:t xml:space="preserve"> (g/</w:t>
            </w:r>
            <w:proofErr w:type="spellStart"/>
            <w:r w:rsidR="008628B5">
              <w:rPr>
                <w:lang w:val="en-US"/>
              </w:rPr>
              <w:t>dL</w:t>
            </w:r>
            <w:proofErr w:type="spellEnd"/>
            <w:r w:rsidR="008628B5">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12.7</w:t>
            </w:r>
            <w:r w:rsidR="008628B5">
              <w:rPr>
                <w:lang w:val="en-US"/>
              </w:rPr>
              <w:t xml:space="preserve"> </w:t>
            </w:r>
            <w:r w:rsidRPr="00F85958">
              <w:rPr>
                <w:lang w:val="en-US"/>
              </w:rPr>
              <w:t>(8.4-15.4)</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12.1</w:t>
            </w:r>
            <w:r w:rsidR="008628B5">
              <w:rPr>
                <w:lang w:val="en-US"/>
              </w:rPr>
              <w:t xml:space="preserve"> </w:t>
            </w:r>
            <w:r w:rsidRPr="00F85958">
              <w:rPr>
                <w:lang w:val="en-US"/>
              </w:rPr>
              <w:t>(6.1-16.9)</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9.2</w:t>
            </w:r>
            <w:r w:rsidR="008628B5">
              <w:rPr>
                <w:lang w:val="en-US"/>
              </w:rPr>
              <w:t xml:space="preserve"> </w:t>
            </w:r>
            <w:r w:rsidRPr="00F85958">
              <w:rPr>
                <w:lang w:val="en-US"/>
              </w:rPr>
              <w:t>(7.9-12.6)</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r>
              <w:rPr>
                <w:lang w:val="en-US"/>
              </w:rPr>
              <w:t>C-reactive protein (mg/</w:t>
            </w:r>
            <w:proofErr w:type="spellStart"/>
            <w:r>
              <w:rPr>
                <w:lang w:val="en-US"/>
              </w:rPr>
              <w:t>dL</w:t>
            </w:r>
            <w:proofErr w:type="spellEnd"/>
            <w:r>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5.1</w:t>
            </w:r>
            <w:r w:rsidR="008628B5">
              <w:rPr>
                <w:lang w:val="en-US"/>
              </w:rPr>
              <w:t xml:space="preserve"> </w:t>
            </w:r>
            <w:r w:rsidRPr="00F85958">
              <w:rPr>
                <w:lang w:val="en-US"/>
              </w:rPr>
              <w:t>(0.4-17.9)</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13.3</w:t>
            </w:r>
            <w:r w:rsidR="008628B5">
              <w:rPr>
                <w:lang w:val="en-US"/>
              </w:rPr>
              <w:t xml:space="preserve"> </w:t>
            </w:r>
            <w:r w:rsidRPr="00F85958">
              <w:rPr>
                <w:lang w:val="en-US"/>
              </w:rPr>
              <w:t>(6-24)</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14.15</w:t>
            </w:r>
            <w:r w:rsidR="008628B5">
              <w:rPr>
                <w:lang w:val="en-US"/>
              </w:rPr>
              <w:t xml:space="preserve"> </w:t>
            </w:r>
            <w:r w:rsidRPr="00F85958">
              <w:rPr>
                <w:lang w:val="en-US"/>
              </w:rPr>
              <w:t>(5-32)</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proofErr w:type="spellStart"/>
            <w:r>
              <w:rPr>
                <w:lang w:val="en-US"/>
              </w:rPr>
              <w:t>Procalcitonin</w:t>
            </w:r>
            <w:proofErr w:type="spellEnd"/>
            <w:r>
              <w:rPr>
                <w:lang w:val="en-US"/>
              </w:rPr>
              <w:t xml:space="preserve"> (ng/mL)</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0.09</w:t>
            </w:r>
            <w:r w:rsidR="008628B5">
              <w:rPr>
                <w:lang w:val="en-US"/>
              </w:rPr>
              <w:t xml:space="preserve"> </w:t>
            </w:r>
            <w:r w:rsidRPr="00F85958">
              <w:rPr>
                <w:lang w:val="en-US"/>
              </w:rPr>
              <w:t>(0.01-0.75)</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0.135</w:t>
            </w:r>
            <w:r w:rsidR="008628B5">
              <w:rPr>
                <w:lang w:val="en-US"/>
              </w:rPr>
              <w:t xml:space="preserve"> </w:t>
            </w:r>
            <w:r w:rsidRPr="00F85958">
              <w:rPr>
                <w:lang w:val="en-US"/>
              </w:rPr>
              <w:t>(0.01-2.35)</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2.08</w:t>
            </w:r>
            <w:r w:rsidR="008628B5">
              <w:rPr>
                <w:lang w:val="en-US"/>
              </w:rPr>
              <w:t xml:space="preserve"> </w:t>
            </w:r>
            <w:r w:rsidRPr="00F85958">
              <w:rPr>
                <w:lang w:val="en-US"/>
              </w:rPr>
              <w:t>(0.06-29.64)</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proofErr w:type="spellStart"/>
            <w:r>
              <w:rPr>
                <w:lang w:val="en-US"/>
              </w:rPr>
              <w:t>Lactat</w:t>
            </w:r>
            <w:proofErr w:type="spellEnd"/>
            <w:r>
              <w:rPr>
                <w:lang w:val="en-US"/>
              </w:rPr>
              <w:t xml:space="preserve"> dehydrogenase (</w:t>
            </w:r>
            <w:r w:rsidR="00D94999" w:rsidRPr="00F85958">
              <w:rPr>
                <w:lang w:val="en-US"/>
              </w:rPr>
              <w:t>U/L</w:t>
            </w:r>
            <w:r>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305</w:t>
            </w:r>
            <w:r w:rsidR="008628B5">
              <w:rPr>
                <w:lang w:val="en-US"/>
              </w:rPr>
              <w:t xml:space="preserve"> </w:t>
            </w:r>
            <w:r w:rsidRPr="00F85958">
              <w:rPr>
                <w:lang w:val="en-US"/>
              </w:rPr>
              <w:t>(194-615)</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301</w:t>
            </w:r>
            <w:r w:rsidR="008628B5">
              <w:rPr>
                <w:lang w:val="en-US"/>
              </w:rPr>
              <w:t xml:space="preserve"> </w:t>
            </w:r>
            <w:r w:rsidRPr="00F85958">
              <w:rPr>
                <w:lang w:val="en-US"/>
              </w:rPr>
              <w:t>(198-685)</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433.5</w:t>
            </w:r>
            <w:r w:rsidR="008628B5">
              <w:rPr>
                <w:lang w:val="en-US"/>
              </w:rPr>
              <w:t xml:space="preserve"> </w:t>
            </w:r>
            <w:r w:rsidRPr="00F85958">
              <w:rPr>
                <w:lang w:val="en-US"/>
              </w:rPr>
              <w:t>(141-1300)</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r>
              <w:rPr>
                <w:lang w:val="en-US"/>
              </w:rPr>
              <w:t>Aspartate aminotransferase (</w:t>
            </w:r>
            <w:r w:rsidR="00D94999" w:rsidRPr="00F85958">
              <w:rPr>
                <w:lang w:val="en-US"/>
              </w:rPr>
              <w:t>U/L</w:t>
            </w:r>
            <w:r>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35</w:t>
            </w:r>
            <w:r w:rsidR="008628B5">
              <w:rPr>
                <w:lang w:val="en-US"/>
              </w:rPr>
              <w:t xml:space="preserve"> </w:t>
            </w:r>
            <w:r w:rsidRPr="00F85958">
              <w:rPr>
                <w:lang w:val="en-US"/>
              </w:rPr>
              <w:t>(12-110)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35.5</w:t>
            </w:r>
            <w:r w:rsidR="008628B5">
              <w:rPr>
                <w:lang w:val="en-US"/>
              </w:rPr>
              <w:t xml:space="preserve"> </w:t>
            </w:r>
            <w:r w:rsidRPr="00F85958">
              <w:rPr>
                <w:lang w:val="en-US"/>
              </w:rPr>
              <w:t>(10-151)</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110.5</w:t>
            </w:r>
            <w:r w:rsidR="008628B5">
              <w:rPr>
                <w:lang w:val="en-US"/>
              </w:rPr>
              <w:t xml:space="preserve"> </w:t>
            </w:r>
            <w:r w:rsidRPr="00F85958">
              <w:rPr>
                <w:lang w:val="en-US"/>
              </w:rPr>
              <w:t>(25-625)</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r>
              <w:rPr>
                <w:lang w:val="en-US"/>
              </w:rPr>
              <w:t xml:space="preserve">Alanine </w:t>
            </w:r>
            <w:proofErr w:type="spellStart"/>
            <w:r>
              <w:rPr>
                <w:lang w:val="en-US"/>
              </w:rPr>
              <w:t>aminotranserase</w:t>
            </w:r>
            <w:proofErr w:type="spellEnd"/>
            <w:r>
              <w:rPr>
                <w:lang w:val="en-US"/>
              </w:rPr>
              <w:t xml:space="preserve"> (</w:t>
            </w:r>
            <w:r w:rsidR="00D94999" w:rsidRPr="00F85958">
              <w:rPr>
                <w:lang w:val="en-US"/>
              </w:rPr>
              <w:t>U/L</w:t>
            </w:r>
            <w:r>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27</w:t>
            </w:r>
            <w:r w:rsidR="008628B5">
              <w:rPr>
                <w:lang w:val="en-US"/>
              </w:rPr>
              <w:t xml:space="preserve"> </w:t>
            </w:r>
            <w:r w:rsidRPr="00F85958">
              <w:rPr>
                <w:lang w:val="en-US"/>
              </w:rPr>
              <w:t>(10-143)</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21.5</w:t>
            </w:r>
            <w:r w:rsidR="008628B5">
              <w:rPr>
                <w:lang w:val="en-US"/>
              </w:rPr>
              <w:t xml:space="preserve"> </w:t>
            </w:r>
            <w:r w:rsidRPr="00F85958">
              <w:rPr>
                <w:lang w:val="en-US"/>
              </w:rPr>
              <w:t>(10-220)</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59</w:t>
            </w:r>
            <w:r w:rsidR="008628B5">
              <w:rPr>
                <w:lang w:val="en-US"/>
              </w:rPr>
              <w:t xml:space="preserve"> </w:t>
            </w:r>
            <w:r w:rsidRPr="00F85958">
              <w:rPr>
                <w:lang w:val="en-US"/>
              </w:rPr>
              <w:t>(22-393)</w:t>
            </w:r>
          </w:p>
        </w:tc>
      </w:tr>
      <w:tr w:rsidR="00D94999" w:rsidRPr="00F85958" w:rsidTr="008628B5">
        <w:trPr>
          <w:trHeight w:val="300"/>
        </w:trPr>
        <w:tc>
          <w:tcPr>
            <w:tcW w:w="3746" w:type="dxa"/>
            <w:shd w:val="clear" w:color="auto" w:fill="auto"/>
            <w:noWrap/>
            <w:hideMark/>
          </w:tcPr>
          <w:p w:rsidR="00D94999" w:rsidRPr="00F85958" w:rsidRDefault="008628B5" w:rsidP="00B51EE4">
            <w:pPr>
              <w:pStyle w:val="KeinLeerraum"/>
              <w:rPr>
                <w:lang w:val="en-US"/>
              </w:rPr>
            </w:pPr>
            <w:r>
              <w:rPr>
                <w:lang w:val="en-US"/>
              </w:rPr>
              <w:t>Total Bilirubin (mg/</w:t>
            </w:r>
            <w:proofErr w:type="spellStart"/>
            <w:r>
              <w:rPr>
                <w:lang w:val="en-US"/>
              </w:rPr>
              <w:t>dL</w:t>
            </w:r>
            <w:proofErr w:type="spellEnd"/>
            <w:r>
              <w:rPr>
                <w:lang w:val="en-US"/>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0.55</w:t>
            </w:r>
            <w:r w:rsidR="008628B5">
              <w:rPr>
                <w:lang w:val="en-US"/>
              </w:rPr>
              <w:t xml:space="preserve"> </w:t>
            </w:r>
            <w:r w:rsidRPr="00F85958">
              <w:rPr>
                <w:lang w:val="en-US"/>
              </w:rPr>
              <w:t>(0.1-1.6)</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0.7</w:t>
            </w:r>
            <w:r w:rsidR="008628B5">
              <w:rPr>
                <w:lang w:val="en-US"/>
              </w:rPr>
              <w:t xml:space="preserve"> </w:t>
            </w:r>
            <w:r w:rsidRPr="00F85958">
              <w:rPr>
                <w:lang w:val="en-US"/>
              </w:rPr>
              <w:t>(0.2-1.8)</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1.3</w:t>
            </w:r>
            <w:r w:rsidR="008628B5">
              <w:rPr>
                <w:lang w:val="en-US"/>
              </w:rPr>
              <w:t xml:space="preserve"> </w:t>
            </w:r>
            <w:r w:rsidRPr="00F85958">
              <w:rPr>
                <w:lang w:val="en-US"/>
              </w:rPr>
              <w:t>(0.2-20.5)</w:t>
            </w:r>
          </w:p>
        </w:tc>
      </w:tr>
      <w:tr w:rsidR="00D94999" w:rsidRPr="00F85958" w:rsidTr="008628B5">
        <w:trPr>
          <w:trHeight w:val="300"/>
        </w:trPr>
        <w:tc>
          <w:tcPr>
            <w:tcW w:w="3746" w:type="dxa"/>
            <w:shd w:val="clear" w:color="auto" w:fill="auto"/>
            <w:noWrap/>
            <w:hideMark/>
          </w:tcPr>
          <w:p w:rsidR="00D94999" w:rsidRPr="005A32D2" w:rsidRDefault="00D94999" w:rsidP="008628B5">
            <w:pPr>
              <w:pStyle w:val="KeinLeerraum"/>
              <w:rPr>
                <w:lang w:val="da-DK"/>
              </w:rPr>
            </w:pPr>
            <w:r w:rsidRPr="005A32D2">
              <w:rPr>
                <w:lang w:val="da-DK"/>
              </w:rPr>
              <w:t>GFR</w:t>
            </w:r>
            <w:r w:rsidR="008628B5" w:rsidRPr="008628B5">
              <w:rPr>
                <w:vertAlign w:val="superscript"/>
                <w:lang w:val="da-DK"/>
              </w:rPr>
              <w:t>*</w:t>
            </w:r>
            <w:r w:rsidRPr="005A32D2">
              <w:rPr>
                <w:lang w:val="da-DK"/>
              </w:rPr>
              <w:t xml:space="preserve"> </w:t>
            </w:r>
            <w:r w:rsidR="008628B5">
              <w:rPr>
                <w:lang w:val="da-DK"/>
              </w:rPr>
              <w:t>(mL</w:t>
            </w:r>
            <w:r w:rsidRPr="005A32D2">
              <w:rPr>
                <w:lang w:val="da-DK"/>
              </w:rPr>
              <w:t>/min/1.73m</w:t>
            </w:r>
            <w:r w:rsidRPr="005A32D2">
              <w:rPr>
                <w:vertAlign w:val="superscript"/>
                <w:lang w:val="da-DK"/>
              </w:rPr>
              <w:t>2</w:t>
            </w:r>
            <w:r w:rsidR="008628B5" w:rsidRPr="008628B5">
              <w:rPr>
                <w:lang w:val="da-DK"/>
              </w:rPr>
              <w:t>)</w:t>
            </w:r>
          </w:p>
        </w:tc>
        <w:tc>
          <w:tcPr>
            <w:tcW w:w="1809" w:type="dxa"/>
            <w:shd w:val="clear" w:color="auto" w:fill="auto"/>
            <w:noWrap/>
          </w:tcPr>
          <w:p w:rsidR="00D94999" w:rsidRPr="00F85958" w:rsidRDefault="00D94999" w:rsidP="008628B5">
            <w:pPr>
              <w:pStyle w:val="KeinLeerraum"/>
              <w:jc w:val="center"/>
              <w:rPr>
                <w:lang w:val="en-US"/>
              </w:rPr>
            </w:pPr>
            <w:r w:rsidRPr="00F85958">
              <w:rPr>
                <w:lang w:val="en-US"/>
              </w:rPr>
              <w:t>70</w:t>
            </w:r>
            <w:r w:rsidR="008628B5">
              <w:rPr>
                <w:lang w:val="en-US"/>
              </w:rPr>
              <w:t xml:space="preserve"> </w:t>
            </w:r>
            <w:r w:rsidRPr="00F85958">
              <w:rPr>
                <w:lang w:val="en-US"/>
              </w:rPr>
              <w:t>(22-99)</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41.4</w:t>
            </w:r>
            <w:r w:rsidR="008628B5">
              <w:rPr>
                <w:lang w:val="en-US"/>
              </w:rPr>
              <w:t xml:space="preserve"> </w:t>
            </w:r>
            <w:r w:rsidRPr="00F85958">
              <w:rPr>
                <w:lang w:val="en-US"/>
              </w:rPr>
              <w:t>(50-99)</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46</w:t>
            </w:r>
            <w:r w:rsidR="008628B5">
              <w:rPr>
                <w:lang w:val="en-US"/>
              </w:rPr>
              <w:t xml:space="preserve"> </w:t>
            </w:r>
            <w:r w:rsidRPr="00F85958">
              <w:rPr>
                <w:lang w:val="en-US"/>
              </w:rPr>
              <w:t>(6-82)</w:t>
            </w:r>
          </w:p>
        </w:tc>
      </w:tr>
      <w:tr w:rsidR="00D94999" w:rsidRPr="00F85958" w:rsidTr="008628B5">
        <w:tc>
          <w:tcPr>
            <w:tcW w:w="3746" w:type="dxa"/>
            <w:shd w:val="clear" w:color="auto" w:fill="auto"/>
          </w:tcPr>
          <w:p w:rsidR="00D94999" w:rsidRPr="00F85958" w:rsidRDefault="00D94999" w:rsidP="00B51EE4">
            <w:pPr>
              <w:pStyle w:val="KeinLeerraum"/>
              <w:rPr>
                <w:lang w:val="en-US"/>
              </w:rPr>
            </w:pP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F85958" w:rsidTr="008628B5">
        <w:tc>
          <w:tcPr>
            <w:tcW w:w="3746" w:type="dxa"/>
            <w:shd w:val="clear" w:color="auto" w:fill="auto"/>
          </w:tcPr>
          <w:p w:rsidR="00D94999" w:rsidRPr="00F85958" w:rsidRDefault="00170AAD" w:rsidP="00B51EE4">
            <w:pPr>
              <w:pStyle w:val="KeinLeerraum"/>
              <w:rPr>
                <w:lang w:val="en-US"/>
              </w:rPr>
            </w:pPr>
            <w:r>
              <w:rPr>
                <w:lang w:val="en-US"/>
              </w:rPr>
              <w:t>Therapy</w:t>
            </w:r>
          </w:p>
        </w:tc>
        <w:tc>
          <w:tcPr>
            <w:tcW w:w="1809" w:type="dxa"/>
            <w:shd w:val="clear" w:color="auto" w:fill="auto"/>
          </w:tcPr>
          <w:p w:rsidR="00D94999" w:rsidRPr="00F85958" w:rsidRDefault="00D94999" w:rsidP="008628B5">
            <w:pPr>
              <w:pStyle w:val="KeinLeerraum"/>
              <w:jc w:val="center"/>
              <w:rPr>
                <w:lang w:val="en-US"/>
              </w:rPr>
            </w:pPr>
          </w:p>
        </w:tc>
        <w:tc>
          <w:tcPr>
            <w:tcW w:w="1931" w:type="dxa"/>
            <w:shd w:val="clear" w:color="auto" w:fill="auto"/>
          </w:tcPr>
          <w:p w:rsidR="00D94999" w:rsidRPr="00F85958" w:rsidRDefault="00D94999" w:rsidP="008628B5">
            <w:pPr>
              <w:pStyle w:val="KeinLeerraum"/>
              <w:jc w:val="center"/>
              <w:rPr>
                <w:lang w:val="en-US"/>
              </w:rPr>
            </w:pPr>
          </w:p>
        </w:tc>
        <w:tc>
          <w:tcPr>
            <w:tcW w:w="2053" w:type="dxa"/>
            <w:shd w:val="clear" w:color="auto" w:fill="auto"/>
          </w:tcPr>
          <w:p w:rsidR="00D94999" w:rsidRPr="00F85958" w:rsidRDefault="00D94999" w:rsidP="008628B5">
            <w:pPr>
              <w:pStyle w:val="KeinLeerraum"/>
              <w:jc w:val="center"/>
              <w:rPr>
                <w:lang w:val="en-US"/>
              </w:rPr>
            </w:pPr>
          </w:p>
        </w:tc>
      </w:tr>
      <w:tr w:rsidR="00D94999" w:rsidRPr="00F85958" w:rsidTr="008628B5">
        <w:trPr>
          <w:trHeight w:val="300"/>
        </w:trPr>
        <w:tc>
          <w:tcPr>
            <w:tcW w:w="3746" w:type="dxa"/>
            <w:shd w:val="clear" w:color="auto" w:fill="auto"/>
            <w:noWrap/>
            <w:hideMark/>
          </w:tcPr>
          <w:p w:rsidR="00D94999" w:rsidRPr="00F85958" w:rsidRDefault="00D94999" w:rsidP="00170AAD">
            <w:pPr>
              <w:pStyle w:val="KeinLeerraum"/>
              <w:rPr>
                <w:lang w:val="en-US"/>
              </w:rPr>
            </w:pPr>
            <w:r w:rsidRPr="00F85958">
              <w:rPr>
                <w:lang w:val="en-US"/>
              </w:rPr>
              <w:t>Oxygen</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6</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15</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14</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Intravenous antibiotics</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11</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18</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14</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Admission to intensive care unit </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12</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Mechanical Ventilation </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12</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w:t>
            </w:r>
          </w:p>
        </w:tc>
        <w:tc>
          <w:tcPr>
            <w:tcW w:w="1809" w:type="dxa"/>
            <w:shd w:val="clear" w:color="auto" w:fill="auto"/>
            <w:noWrap/>
            <w:hideMark/>
          </w:tcPr>
          <w:p w:rsidR="00D94999" w:rsidRPr="00F85958" w:rsidRDefault="00D94999" w:rsidP="008628B5">
            <w:pPr>
              <w:pStyle w:val="KeinLeerraum"/>
              <w:jc w:val="center"/>
              <w:rPr>
                <w:lang w:val="en-US"/>
              </w:rPr>
            </w:pPr>
          </w:p>
        </w:tc>
        <w:tc>
          <w:tcPr>
            <w:tcW w:w="1931" w:type="dxa"/>
            <w:shd w:val="clear" w:color="auto" w:fill="auto"/>
            <w:noWrap/>
            <w:hideMark/>
          </w:tcPr>
          <w:p w:rsidR="00D94999" w:rsidRPr="00F85958" w:rsidRDefault="00D94999" w:rsidP="008628B5">
            <w:pPr>
              <w:pStyle w:val="KeinLeerraum"/>
              <w:jc w:val="center"/>
              <w:rPr>
                <w:lang w:val="en-US"/>
              </w:rPr>
            </w:pPr>
          </w:p>
        </w:tc>
        <w:tc>
          <w:tcPr>
            <w:tcW w:w="2053" w:type="dxa"/>
            <w:shd w:val="clear" w:color="auto" w:fill="auto"/>
            <w:noWrap/>
            <w:hideMark/>
          </w:tcPr>
          <w:p w:rsidR="00D94999" w:rsidRPr="00F85958" w:rsidRDefault="00D94999" w:rsidP="008628B5">
            <w:pPr>
              <w:pStyle w:val="KeinLeerraum"/>
              <w:jc w:val="center"/>
              <w:rPr>
                <w:lang w:val="en-US"/>
              </w:rPr>
            </w:pPr>
          </w:p>
        </w:tc>
      </w:tr>
      <w:tr w:rsidR="00D94999" w:rsidRPr="00F85958" w:rsidTr="008628B5">
        <w:trPr>
          <w:trHeight w:val="300"/>
        </w:trPr>
        <w:tc>
          <w:tcPr>
            <w:tcW w:w="3746" w:type="dxa"/>
            <w:shd w:val="clear" w:color="auto" w:fill="auto"/>
            <w:noWrap/>
            <w:hideMark/>
          </w:tcPr>
          <w:p w:rsidR="00D94999" w:rsidRPr="00F85958" w:rsidRDefault="00D94999" w:rsidP="008628B5">
            <w:pPr>
              <w:pStyle w:val="KeinLeerraum"/>
              <w:rPr>
                <w:lang w:val="en-US"/>
              </w:rPr>
            </w:pPr>
            <w:r w:rsidRPr="00F85958">
              <w:rPr>
                <w:lang w:val="en-US"/>
              </w:rPr>
              <w:t xml:space="preserve">Length of </w:t>
            </w:r>
            <w:r w:rsidR="00AE6A0F" w:rsidRPr="00F85958">
              <w:rPr>
                <w:lang w:val="en-US"/>
              </w:rPr>
              <w:t>hospitalization</w:t>
            </w:r>
            <w:r w:rsidR="00170AAD">
              <w:rPr>
                <w:lang w:val="en-US"/>
              </w:rPr>
              <w:t xml:space="preserve"> (days)</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7</w:t>
            </w:r>
            <w:r w:rsidR="008628B5">
              <w:rPr>
                <w:lang w:val="en-US"/>
              </w:rPr>
              <w:t xml:space="preserve"> </w:t>
            </w:r>
            <w:r w:rsidRPr="00F85958">
              <w:rPr>
                <w:lang w:val="en-US"/>
              </w:rPr>
              <w:t>(2-20)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16</w:t>
            </w:r>
            <w:r w:rsidR="008628B5">
              <w:rPr>
                <w:lang w:val="en-US"/>
              </w:rPr>
              <w:t xml:space="preserve"> </w:t>
            </w:r>
            <w:r w:rsidRPr="00F85958">
              <w:rPr>
                <w:lang w:val="en-US"/>
              </w:rPr>
              <w:t>(5-29)</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23</w:t>
            </w:r>
            <w:r w:rsidR="008628B5">
              <w:rPr>
                <w:lang w:val="en-US"/>
              </w:rPr>
              <w:t xml:space="preserve"> </w:t>
            </w:r>
            <w:r w:rsidRPr="00F85958">
              <w:rPr>
                <w:lang w:val="en-US"/>
              </w:rPr>
              <w:t>(10-35)</w:t>
            </w:r>
          </w:p>
        </w:tc>
      </w:tr>
      <w:tr w:rsidR="00D94999" w:rsidRPr="00F85958" w:rsidTr="008628B5">
        <w:trPr>
          <w:trHeight w:val="300"/>
        </w:trPr>
        <w:tc>
          <w:tcPr>
            <w:tcW w:w="3746" w:type="dxa"/>
            <w:shd w:val="clear" w:color="auto" w:fill="auto"/>
            <w:noWrap/>
            <w:hideMark/>
          </w:tcPr>
          <w:p w:rsidR="00D94999" w:rsidRPr="00F85958" w:rsidRDefault="00170AAD" w:rsidP="00170AAD">
            <w:pPr>
              <w:pStyle w:val="KeinLeerraum"/>
              <w:rPr>
                <w:lang w:val="en-US"/>
              </w:rPr>
            </w:pPr>
            <w:r>
              <w:rPr>
                <w:lang w:val="en-US"/>
              </w:rPr>
              <w:t>Currently</w:t>
            </w:r>
            <w:r w:rsidR="00D94999" w:rsidRPr="00F85958">
              <w:rPr>
                <w:lang w:val="en-US"/>
              </w:rPr>
              <w:t xml:space="preserve"> </w:t>
            </w:r>
            <w:r>
              <w:rPr>
                <w:lang w:val="en-US"/>
              </w:rPr>
              <w:t>hospitalized</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6</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13</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8</w:t>
            </w:r>
          </w:p>
        </w:tc>
      </w:tr>
      <w:tr w:rsidR="00D94999" w:rsidRPr="00F85958" w:rsidTr="008628B5">
        <w:trPr>
          <w:trHeight w:val="300"/>
        </w:trPr>
        <w:tc>
          <w:tcPr>
            <w:tcW w:w="3746" w:type="dxa"/>
            <w:shd w:val="clear" w:color="auto" w:fill="auto"/>
            <w:noWrap/>
            <w:hideMark/>
          </w:tcPr>
          <w:p w:rsidR="00D94999" w:rsidRPr="00F85958" w:rsidRDefault="00D94999" w:rsidP="00B51EE4">
            <w:pPr>
              <w:pStyle w:val="KeinLeerraum"/>
              <w:rPr>
                <w:lang w:val="en-US"/>
              </w:rPr>
            </w:pPr>
            <w:r w:rsidRPr="00F85958">
              <w:rPr>
                <w:lang w:val="en-US"/>
              </w:rPr>
              <w:t xml:space="preserve">Death </w:t>
            </w:r>
          </w:p>
        </w:tc>
        <w:tc>
          <w:tcPr>
            <w:tcW w:w="1809"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1931" w:type="dxa"/>
            <w:shd w:val="clear" w:color="auto" w:fill="auto"/>
            <w:noWrap/>
            <w:hideMark/>
          </w:tcPr>
          <w:p w:rsidR="00D94999" w:rsidRPr="00F85958" w:rsidRDefault="00D94999" w:rsidP="008628B5">
            <w:pPr>
              <w:pStyle w:val="KeinLeerraum"/>
              <w:jc w:val="center"/>
              <w:rPr>
                <w:lang w:val="en-US"/>
              </w:rPr>
            </w:pPr>
            <w:r w:rsidRPr="00F85958">
              <w:rPr>
                <w:lang w:val="en-US"/>
              </w:rPr>
              <w:t>0</w:t>
            </w:r>
          </w:p>
        </w:tc>
        <w:tc>
          <w:tcPr>
            <w:tcW w:w="2053" w:type="dxa"/>
            <w:shd w:val="clear" w:color="auto" w:fill="auto"/>
            <w:noWrap/>
            <w:hideMark/>
          </w:tcPr>
          <w:p w:rsidR="00D94999" w:rsidRPr="00F85958" w:rsidRDefault="00D94999" w:rsidP="008628B5">
            <w:pPr>
              <w:pStyle w:val="KeinLeerraum"/>
              <w:jc w:val="center"/>
              <w:rPr>
                <w:lang w:val="en-US"/>
              </w:rPr>
            </w:pPr>
            <w:r w:rsidRPr="00F85958">
              <w:rPr>
                <w:lang w:val="en-US"/>
              </w:rPr>
              <w:t>5</w:t>
            </w:r>
          </w:p>
        </w:tc>
      </w:tr>
      <w:tr w:rsidR="00D94999" w:rsidRPr="00F85958" w:rsidTr="008628B5">
        <w:trPr>
          <w:trHeight w:val="300"/>
        </w:trPr>
        <w:tc>
          <w:tcPr>
            <w:tcW w:w="3746" w:type="dxa"/>
            <w:tcBorders>
              <w:bottom w:val="single" w:sz="12" w:space="0" w:color="auto"/>
            </w:tcBorders>
            <w:shd w:val="clear" w:color="auto" w:fill="auto"/>
            <w:noWrap/>
            <w:hideMark/>
          </w:tcPr>
          <w:p w:rsidR="00D94999" w:rsidRPr="00F85958" w:rsidRDefault="00D94999" w:rsidP="00B51EE4">
            <w:pPr>
              <w:pStyle w:val="KeinLeerraum"/>
              <w:rPr>
                <w:lang w:val="en-US"/>
              </w:rPr>
            </w:pPr>
            <w:r w:rsidRPr="00F85958">
              <w:rPr>
                <w:lang w:val="en-US"/>
              </w:rPr>
              <w:t>Discharge</w:t>
            </w:r>
          </w:p>
        </w:tc>
        <w:tc>
          <w:tcPr>
            <w:tcW w:w="1809" w:type="dxa"/>
            <w:tcBorders>
              <w:bottom w:val="single" w:sz="12" w:space="0" w:color="auto"/>
            </w:tcBorders>
            <w:shd w:val="clear" w:color="auto" w:fill="auto"/>
            <w:noWrap/>
            <w:hideMark/>
          </w:tcPr>
          <w:p w:rsidR="00D94999" w:rsidRPr="00F85958" w:rsidRDefault="00D94999" w:rsidP="008628B5">
            <w:pPr>
              <w:pStyle w:val="KeinLeerraum"/>
              <w:jc w:val="center"/>
              <w:rPr>
                <w:lang w:val="en-US"/>
              </w:rPr>
            </w:pPr>
            <w:r w:rsidRPr="00F85958">
              <w:rPr>
                <w:lang w:val="en-US"/>
              </w:rPr>
              <w:t>14</w:t>
            </w:r>
          </w:p>
        </w:tc>
        <w:tc>
          <w:tcPr>
            <w:tcW w:w="1931" w:type="dxa"/>
            <w:tcBorders>
              <w:bottom w:val="single" w:sz="12" w:space="0" w:color="auto"/>
            </w:tcBorders>
            <w:shd w:val="clear" w:color="auto" w:fill="auto"/>
            <w:noWrap/>
            <w:hideMark/>
          </w:tcPr>
          <w:p w:rsidR="00D94999" w:rsidRPr="00F85958" w:rsidRDefault="00D94999" w:rsidP="008628B5">
            <w:pPr>
              <w:pStyle w:val="KeinLeerraum"/>
              <w:jc w:val="center"/>
              <w:rPr>
                <w:lang w:val="en-US"/>
              </w:rPr>
            </w:pPr>
            <w:r w:rsidRPr="00F85958">
              <w:rPr>
                <w:lang w:val="en-US"/>
              </w:rPr>
              <w:t>5</w:t>
            </w:r>
          </w:p>
        </w:tc>
        <w:tc>
          <w:tcPr>
            <w:tcW w:w="2053" w:type="dxa"/>
            <w:tcBorders>
              <w:bottom w:val="single" w:sz="12" w:space="0" w:color="auto"/>
            </w:tcBorders>
            <w:shd w:val="clear" w:color="auto" w:fill="auto"/>
            <w:noWrap/>
            <w:hideMark/>
          </w:tcPr>
          <w:p w:rsidR="00D94999" w:rsidRPr="00F85958" w:rsidRDefault="00D94999" w:rsidP="008628B5">
            <w:pPr>
              <w:pStyle w:val="KeinLeerraum"/>
              <w:jc w:val="center"/>
              <w:rPr>
                <w:lang w:val="en-US"/>
              </w:rPr>
            </w:pPr>
            <w:r w:rsidRPr="00F85958">
              <w:rPr>
                <w:lang w:val="en-US"/>
              </w:rPr>
              <w:t>1</w:t>
            </w:r>
          </w:p>
        </w:tc>
      </w:tr>
    </w:tbl>
    <w:p w:rsidR="00A95F33" w:rsidRDefault="008628B5" w:rsidP="00A95F33">
      <w:pPr>
        <w:pStyle w:val="KeinLeerraum"/>
        <w:rPr>
          <w:lang w:val="en-US"/>
        </w:rPr>
      </w:pPr>
      <w:r w:rsidRPr="008628B5">
        <w:rPr>
          <w:vertAlign w:val="superscript"/>
          <w:lang w:val="en-US"/>
        </w:rPr>
        <w:t>*</w:t>
      </w:r>
      <w:r>
        <w:rPr>
          <w:lang w:val="en-US"/>
        </w:rPr>
        <w:t xml:space="preserve">Estimated by </w:t>
      </w:r>
      <w:r w:rsidRPr="008628B5">
        <w:rPr>
          <w:lang w:val="en-US"/>
        </w:rPr>
        <w:t>MDRD</w:t>
      </w:r>
      <w:r>
        <w:rPr>
          <w:lang w:val="en-US"/>
        </w:rPr>
        <w:t>.</w:t>
      </w:r>
      <w:r w:rsidR="00170AAD">
        <w:rPr>
          <w:lang w:val="en-US"/>
        </w:rPr>
        <w:t xml:space="preserve"> Values are given as median (range). </w:t>
      </w:r>
      <w:r w:rsidR="00F85958">
        <w:rPr>
          <w:lang w:val="en-US"/>
        </w:rPr>
        <w:t>Na indicate not applicable</w:t>
      </w:r>
    </w:p>
    <w:p w:rsidR="00D94999" w:rsidRPr="00F85958" w:rsidRDefault="00D94999" w:rsidP="00D94999">
      <w:pPr>
        <w:rPr>
          <w:lang w:val="en-US"/>
        </w:rPr>
      </w:pPr>
      <w:r w:rsidRPr="00F85958">
        <w:rPr>
          <w:lang w:val="en-US"/>
        </w:rPr>
        <w:br w:type="page"/>
      </w:r>
    </w:p>
    <w:p w:rsidR="007A424D" w:rsidRPr="00696C51" w:rsidRDefault="007A424D" w:rsidP="007A424D">
      <w:pPr>
        <w:pStyle w:val="berschrift2"/>
        <w:rPr>
          <w:lang w:val="en-US"/>
        </w:rPr>
      </w:pPr>
      <w:bookmarkStart w:id="17" w:name="_Toc38892510"/>
      <w:r w:rsidRPr="00696C51">
        <w:rPr>
          <w:lang w:val="en-US"/>
        </w:rPr>
        <w:lastRenderedPageBreak/>
        <w:t>Table S</w:t>
      </w:r>
      <w:r>
        <w:rPr>
          <w:lang w:val="en-US"/>
        </w:rPr>
        <w:t>3</w:t>
      </w:r>
      <w:r w:rsidRPr="00696C51">
        <w:rPr>
          <w:lang w:val="en-US"/>
        </w:rPr>
        <w:t xml:space="preserve">. Association of </w:t>
      </w:r>
      <w:r>
        <w:rPr>
          <w:lang w:val="en-US"/>
        </w:rPr>
        <w:t>gender</w:t>
      </w:r>
      <w:r w:rsidRPr="00696C51">
        <w:rPr>
          <w:lang w:val="en-US"/>
        </w:rPr>
        <w:t xml:space="preserve"> with the potential markers of COVID-19 severity</w:t>
      </w:r>
      <w:bookmarkEnd w:id="1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1016"/>
      </w:tblGrid>
      <w:tr w:rsidR="007A424D" w:rsidRPr="007A424D" w:rsidTr="007A424D">
        <w:tc>
          <w:tcPr>
            <w:tcW w:w="3531" w:type="dxa"/>
            <w:tcBorders>
              <w:top w:val="single" w:sz="12" w:space="0" w:color="auto"/>
              <w:bottom w:val="single" w:sz="8" w:space="0" w:color="auto"/>
            </w:tcBorders>
          </w:tcPr>
          <w:p w:rsidR="007A424D" w:rsidRPr="007A424D" w:rsidRDefault="007A424D" w:rsidP="007A424D">
            <w:pPr>
              <w:pStyle w:val="KeinLeerraum"/>
              <w:rPr>
                <w:lang w:val="en-US"/>
              </w:rPr>
            </w:pPr>
            <w:r w:rsidRPr="007A424D">
              <w:rPr>
                <w:lang w:val="en-US"/>
              </w:rPr>
              <w:t>Cell population</w:t>
            </w:r>
          </w:p>
        </w:tc>
        <w:tc>
          <w:tcPr>
            <w:tcW w:w="1016" w:type="dxa"/>
            <w:tcBorders>
              <w:top w:val="single" w:sz="12" w:space="0" w:color="auto"/>
              <w:bottom w:val="single" w:sz="8" w:space="0" w:color="auto"/>
            </w:tcBorders>
          </w:tcPr>
          <w:p w:rsidR="007A424D" w:rsidRPr="007A424D" w:rsidRDefault="007A424D" w:rsidP="007A424D">
            <w:pPr>
              <w:pStyle w:val="KeinLeerraum"/>
              <w:rPr>
                <w:lang w:val="en-US"/>
              </w:rPr>
            </w:pPr>
            <w:r w:rsidRPr="007A424D">
              <w:rPr>
                <w:lang w:val="en-US"/>
              </w:rPr>
              <w:t>P value</w:t>
            </w:r>
          </w:p>
        </w:tc>
      </w:tr>
      <w:tr w:rsidR="007A424D" w:rsidRPr="007A424D" w:rsidTr="007A424D">
        <w:tc>
          <w:tcPr>
            <w:tcW w:w="3531" w:type="dxa"/>
            <w:tcBorders>
              <w:top w:val="single" w:sz="8" w:space="0" w:color="auto"/>
            </w:tcBorders>
          </w:tcPr>
          <w:p w:rsidR="007A424D" w:rsidRPr="007A424D" w:rsidRDefault="007A424D" w:rsidP="007A424D">
            <w:pPr>
              <w:pStyle w:val="KeinLeerraum"/>
              <w:rPr>
                <w:lang w:val="en-US"/>
              </w:rPr>
            </w:pPr>
            <w:r w:rsidRPr="007A424D">
              <w:rPr>
                <w:lang w:val="en-US"/>
              </w:rPr>
              <w:t>NK</w:t>
            </w:r>
            <w:r w:rsidR="003F1F85">
              <w:rPr>
                <w:lang w:val="en-US"/>
              </w:rPr>
              <w:t>-cell</w:t>
            </w:r>
            <w:r w:rsidRPr="007A424D">
              <w:rPr>
                <w:lang w:val="en-US"/>
              </w:rPr>
              <w:t>s</w:t>
            </w:r>
          </w:p>
        </w:tc>
        <w:tc>
          <w:tcPr>
            <w:tcW w:w="1016" w:type="dxa"/>
            <w:tcBorders>
              <w:top w:val="single" w:sz="8" w:space="0" w:color="auto"/>
            </w:tcBorders>
          </w:tcPr>
          <w:p w:rsidR="007A424D" w:rsidRPr="007A424D" w:rsidRDefault="007A424D" w:rsidP="007A424D">
            <w:pPr>
              <w:pStyle w:val="KeinLeerraum"/>
              <w:rPr>
                <w:lang w:val="en-US"/>
              </w:rPr>
            </w:pPr>
            <w:r w:rsidRPr="007A424D">
              <w:rPr>
                <w:lang w:val="en-US"/>
              </w:rPr>
              <w:t>0.853</w:t>
            </w:r>
          </w:p>
        </w:tc>
      </w:tr>
      <w:tr w:rsidR="007A424D" w:rsidRPr="007A424D" w:rsidTr="007A424D">
        <w:tc>
          <w:tcPr>
            <w:tcW w:w="3531" w:type="dxa"/>
          </w:tcPr>
          <w:p w:rsidR="007A424D" w:rsidRPr="007A424D" w:rsidRDefault="007A424D" w:rsidP="007A424D">
            <w:pPr>
              <w:pStyle w:val="KeinLeerraum"/>
              <w:rPr>
                <w:lang w:val="en-US"/>
              </w:rPr>
            </w:pPr>
            <w:proofErr w:type="spellStart"/>
            <w:r w:rsidRPr="007A424D">
              <w:rPr>
                <w:lang w:val="en-US"/>
              </w:rPr>
              <w:t>Eosinophiles</w:t>
            </w:r>
            <w:proofErr w:type="spellEnd"/>
          </w:p>
        </w:tc>
        <w:tc>
          <w:tcPr>
            <w:tcW w:w="1016" w:type="dxa"/>
          </w:tcPr>
          <w:p w:rsidR="007A424D" w:rsidRPr="007A424D" w:rsidRDefault="007A424D" w:rsidP="007A424D">
            <w:pPr>
              <w:pStyle w:val="KeinLeerraum"/>
              <w:rPr>
                <w:lang w:val="en-US"/>
              </w:rPr>
            </w:pPr>
            <w:r w:rsidRPr="007A424D">
              <w:rPr>
                <w:lang w:val="en-US"/>
              </w:rPr>
              <w:t>0.272</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 among CD3+</w:t>
            </w:r>
          </w:p>
        </w:tc>
        <w:tc>
          <w:tcPr>
            <w:tcW w:w="1016" w:type="dxa"/>
          </w:tcPr>
          <w:p w:rsidR="007A424D" w:rsidRPr="007A424D" w:rsidRDefault="007A424D" w:rsidP="007A424D">
            <w:pPr>
              <w:pStyle w:val="KeinLeerraum"/>
              <w:rPr>
                <w:lang w:val="en-US"/>
              </w:rPr>
            </w:pPr>
            <w:r w:rsidRPr="007A424D">
              <w:rPr>
                <w:lang w:val="en-US"/>
              </w:rPr>
              <w:t>0.366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CD8+ among  CD3+</w:t>
            </w:r>
          </w:p>
        </w:tc>
        <w:tc>
          <w:tcPr>
            <w:tcW w:w="1016" w:type="dxa"/>
          </w:tcPr>
          <w:p w:rsidR="007A424D" w:rsidRPr="007A424D" w:rsidRDefault="007A424D" w:rsidP="007A424D">
            <w:pPr>
              <w:pStyle w:val="KeinLeerraum"/>
              <w:rPr>
                <w:lang w:val="en-US"/>
              </w:rPr>
            </w:pPr>
            <w:r w:rsidRPr="007A424D">
              <w:rPr>
                <w:lang w:val="en-US"/>
              </w:rPr>
              <w:t>0.301</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Ratio CD4+/CD8+</w:t>
            </w:r>
          </w:p>
        </w:tc>
        <w:tc>
          <w:tcPr>
            <w:tcW w:w="1016" w:type="dxa"/>
          </w:tcPr>
          <w:p w:rsidR="007A424D" w:rsidRPr="007A424D" w:rsidRDefault="007A424D" w:rsidP="007A424D">
            <w:pPr>
              <w:pStyle w:val="KeinLeerraum"/>
              <w:rPr>
                <w:lang w:val="en-US"/>
              </w:rPr>
            </w:pPr>
            <w:r w:rsidRPr="007A424D">
              <w:rPr>
                <w:lang w:val="en-US"/>
              </w:rPr>
              <w:t>0.409</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CM among CD4+</w:t>
            </w:r>
          </w:p>
        </w:tc>
        <w:tc>
          <w:tcPr>
            <w:tcW w:w="1016" w:type="dxa"/>
          </w:tcPr>
          <w:p w:rsidR="007A424D" w:rsidRPr="007A424D" w:rsidRDefault="007A424D" w:rsidP="007A424D">
            <w:pPr>
              <w:pStyle w:val="KeinLeerraum"/>
              <w:rPr>
                <w:lang w:val="en-US"/>
              </w:rPr>
            </w:pPr>
            <w:r w:rsidRPr="007A424D">
              <w:rPr>
                <w:lang w:val="en-US"/>
              </w:rPr>
              <w:t>0.574</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TEMRA among CD8+</w:t>
            </w:r>
          </w:p>
        </w:tc>
        <w:tc>
          <w:tcPr>
            <w:tcW w:w="1016" w:type="dxa"/>
          </w:tcPr>
          <w:p w:rsidR="007A424D" w:rsidRPr="007A424D" w:rsidRDefault="007A424D" w:rsidP="007A424D">
            <w:pPr>
              <w:pStyle w:val="KeinLeerraum"/>
              <w:rPr>
                <w:lang w:val="en-US"/>
              </w:rPr>
            </w:pPr>
            <w:r w:rsidRPr="007A424D">
              <w:rPr>
                <w:lang w:val="en-US"/>
              </w:rPr>
              <w:t>0.596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CD4+HLA-DR+ among CD4+</w:t>
            </w:r>
          </w:p>
        </w:tc>
        <w:tc>
          <w:tcPr>
            <w:tcW w:w="1016" w:type="dxa"/>
          </w:tcPr>
          <w:p w:rsidR="007A424D" w:rsidRPr="007A424D" w:rsidRDefault="007A424D" w:rsidP="007A424D">
            <w:pPr>
              <w:pStyle w:val="KeinLeerraum"/>
              <w:rPr>
                <w:lang w:val="en-US"/>
              </w:rPr>
            </w:pPr>
            <w:r w:rsidRPr="007A424D">
              <w:rPr>
                <w:lang w:val="en-US"/>
              </w:rPr>
              <w:t>0.798</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CD8+HLA-DR+ among CD8+</w:t>
            </w:r>
          </w:p>
        </w:tc>
        <w:tc>
          <w:tcPr>
            <w:tcW w:w="1016" w:type="dxa"/>
          </w:tcPr>
          <w:p w:rsidR="007A424D" w:rsidRPr="007A424D" w:rsidRDefault="007A424D" w:rsidP="007A424D">
            <w:pPr>
              <w:pStyle w:val="KeinLeerraum"/>
              <w:rPr>
                <w:lang w:val="en-US"/>
              </w:rPr>
            </w:pPr>
            <w:r w:rsidRPr="007A424D">
              <w:rPr>
                <w:lang w:val="en-US"/>
              </w:rPr>
              <w:t>0.743</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CD4+CD57+ among CD4+</w:t>
            </w:r>
          </w:p>
        </w:tc>
        <w:tc>
          <w:tcPr>
            <w:tcW w:w="1016" w:type="dxa"/>
          </w:tcPr>
          <w:p w:rsidR="007A424D" w:rsidRPr="007A424D" w:rsidRDefault="007A424D" w:rsidP="007A424D">
            <w:pPr>
              <w:pStyle w:val="KeinLeerraum"/>
              <w:rPr>
                <w:lang w:val="en-US"/>
              </w:rPr>
            </w:pPr>
            <w:r w:rsidRPr="007A424D">
              <w:rPr>
                <w:lang w:val="en-US"/>
              </w:rPr>
              <w:t>0.110</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CD8+CD57+ among CD8+</w:t>
            </w:r>
          </w:p>
        </w:tc>
        <w:tc>
          <w:tcPr>
            <w:tcW w:w="1016" w:type="dxa"/>
          </w:tcPr>
          <w:p w:rsidR="007A424D" w:rsidRPr="007A424D" w:rsidRDefault="007A424D" w:rsidP="007A424D">
            <w:pPr>
              <w:pStyle w:val="KeinLeerraum"/>
              <w:rPr>
                <w:lang w:val="en-US"/>
              </w:rPr>
            </w:pPr>
            <w:r w:rsidRPr="007A424D">
              <w:rPr>
                <w:lang w:val="en-US"/>
              </w:rPr>
              <w:t>0.066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CD4+CD11a+ among CD4+</w:t>
            </w:r>
          </w:p>
        </w:tc>
        <w:tc>
          <w:tcPr>
            <w:tcW w:w="1016" w:type="dxa"/>
          </w:tcPr>
          <w:p w:rsidR="007A424D" w:rsidRPr="007A424D" w:rsidRDefault="007A424D" w:rsidP="007A424D">
            <w:pPr>
              <w:pStyle w:val="KeinLeerraum"/>
              <w:rPr>
                <w:lang w:val="en-US"/>
              </w:rPr>
            </w:pPr>
            <w:r w:rsidRPr="007A424D">
              <w:rPr>
                <w:lang w:val="en-US"/>
              </w:rPr>
              <w:t>0.826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CD8+CD11a+ among CD8+</w:t>
            </w:r>
          </w:p>
        </w:tc>
        <w:tc>
          <w:tcPr>
            <w:tcW w:w="1016" w:type="dxa"/>
          </w:tcPr>
          <w:p w:rsidR="007A424D" w:rsidRPr="007A424D" w:rsidRDefault="007A424D" w:rsidP="007A424D">
            <w:pPr>
              <w:pStyle w:val="KeinLeerraum"/>
              <w:rPr>
                <w:lang w:val="en-US"/>
              </w:rPr>
            </w:pPr>
            <w:r w:rsidRPr="007A424D">
              <w:rPr>
                <w:lang w:val="en-US"/>
              </w:rPr>
              <w:t>0.196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CD4+CD28+ among CD4+</w:t>
            </w:r>
          </w:p>
        </w:tc>
        <w:tc>
          <w:tcPr>
            <w:tcW w:w="1016" w:type="dxa"/>
          </w:tcPr>
          <w:p w:rsidR="007A424D" w:rsidRPr="007A424D" w:rsidRDefault="007A424D" w:rsidP="007A424D">
            <w:pPr>
              <w:pStyle w:val="KeinLeerraum"/>
              <w:rPr>
                <w:lang w:val="en-US"/>
              </w:rPr>
            </w:pPr>
            <w:r w:rsidRPr="007A424D">
              <w:rPr>
                <w:lang w:val="en-US"/>
              </w:rPr>
              <w:t>0.336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Transitional among CD19+</w:t>
            </w:r>
          </w:p>
        </w:tc>
        <w:tc>
          <w:tcPr>
            <w:tcW w:w="1016" w:type="dxa"/>
          </w:tcPr>
          <w:p w:rsidR="007A424D" w:rsidRPr="007A424D" w:rsidRDefault="007A424D" w:rsidP="007A424D">
            <w:pPr>
              <w:pStyle w:val="KeinLeerraum"/>
              <w:rPr>
                <w:lang w:val="en-US"/>
              </w:rPr>
            </w:pPr>
            <w:r w:rsidRPr="007A424D">
              <w:rPr>
                <w:lang w:val="en-US"/>
              </w:rPr>
              <w:t>0.646</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MZ among CD19+</w:t>
            </w:r>
          </w:p>
        </w:tc>
        <w:tc>
          <w:tcPr>
            <w:tcW w:w="1016" w:type="dxa"/>
          </w:tcPr>
          <w:p w:rsidR="007A424D" w:rsidRPr="007A424D" w:rsidRDefault="007A424D" w:rsidP="007A424D">
            <w:pPr>
              <w:pStyle w:val="KeinLeerraum"/>
              <w:rPr>
                <w:lang w:val="en-US"/>
              </w:rPr>
            </w:pPr>
            <w:r w:rsidRPr="007A424D">
              <w:rPr>
                <w:lang w:val="en-US"/>
              </w:rPr>
              <w:t>0.112</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CD4+CD154+ among CD4+</w:t>
            </w:r>
          </w:p>
        </w:tc>
        <w:tc>
          <w:tcPr>
            <w:tcW w:w="1016" w:type="dxa"/>
          </w:tcPr>
          <w:p w:rsidR="007A424D" w:rsidRPr="007A424D" w:rsidRDefault="007A424D" w:rsidP="007A424D">
            <w:pPr>
              <w:pStyle w:val="KeinLeerraum"/>
              <w:rPr>
                <w:lang w:val="en-US"/>
              </w:rPr>
            </w:pPr>
            <w:r w:rsidRPr="007A424D">
              <w:rPr>
                <w:lang w:val="en-US"/>
              </w:rPr>
              <w:t>0.394</w:t>
            </w:r>
          </w:p>
        </w:tc>
      </w:tr>
      <w:tr w:rsidR="007A424D" w:rsidRPr="007A424D" w:rsidTr="007A424D">
        <w:tc>
          <w:tcPr>
            <w:tcW w:w="3531" w:type="dxa"/>
          </w:tcPr>
          <w:p w:rsidR="007A424D" w:rsidRPr="007A424D" w:rsidRDefault="007A424D" w:rsidP="007A424D">
            <w:pPr>
              <w:pStyle w:val="KeinLeerraum"/>
              <w:rPr>
                <w:lang w:val="en-US"/>
              </w:rPr>
            </w:pPr>
            <w:r w:rsidRPr="007A424D">
              <w:rPr>
                <w:lang w:val="en-US"/>
              </w:rPr>
              <w:t>% CD4+CD154+IL2+ among CD4+</w:t>
            </w:r>
          </w:p>
        </w:tc>
        <w:tc>
          <w:tcPr>
            <w:tcW w:w="1016" w:type="dxa"/>
          </w:tcPr>
          <w:p w:rsidR="007A424D" w:rsidRPr="007A424D" w:rsidRDefault="007A424D" w:rsidP="007A424D">
            <w:pPr>
              <w:pStyle w:val="KeinLeerraum"/>
              <w:rPr>
                <w:lang w:val="en-US"/>
              </w:rPr>
            </w:pPr>
            <w:r w:rsidRPr="007A424D">
              <w:rPr>
                <w:lang w:val="en-US"/>
              </w:rPr>
              <w:t>0.569</w:t>
            </w:r>
          </w:p>
        </w:tc>
      </w:tr>
      <w:tr w:rsidR="007A424D" w:rsidRPr="007A424D" w:rsidTr="007A424D">
        <w:tc>
          <w:tcPr>
            <w:tcW w:w="3531" w:type="dxa"/>
            <w:tcBorders>
              <w:bottom w:val="single" w:sz="12" w:space="0" w:color="auto"/>
            </w:tcBorders>
          </w:tcPr>
          <w:p w:rsidR="007A424D" w:rsidRPr="007A424D" w:rsidRDefault="007A424D" w:rsidP="007A424D">
            <w:pPr>
              <w:pStyle w:val="KeinLeerraum"/>
              <w:rPr>
                <w:lang w:val="en-US"/>
              </w:rPr>
            </w:pPr>
            <w:r w:rsidRPr="007A424D">
              <w:rPr>
                <w:lang w:val="en-US"/>
              </w:rPr>
              <w:t>% CD8+CD137+IL2+ among CD8+</w:t>
            </w:r>
          </w:p>
        </w:tc>
        <w:tc>
          <w:tcPr>
            <w:tcW w:w="1016" w:type="dxa"/>
            <w:tcBorders>
              <w:bottom w:val="single" w:sz="12" w:space="0" w:color="auto"/>
            </w:tcBorders>
          </w:tcPr>
          <w:p w:rsidR="007A424D" w:rsidRPr="007A424D" w:rsidRDefault="007A424D" w:rsidP="007A424D">
            <w:pPr>
              <w:pStyle w:val="KeinLeerraum"/>
              <w:rPr>
                <w:lang w:val="en-US"/>
              </w:rPr>
            </w:pPr>
            <w:r w:rsidRPr="007A424D">
              <w:rPr>
                <w:lang w:val="en-US"/>
              </w:rPr>
              <w:t>0.964</w:t>
            </w:r>
          </w:p>
        </w:tc>
      </w:tr>
    </w:tbl>
    <w:p w:rsidR="007A424D" w:rsidRPr="00696C51" w:rsidRDefault="007A424D" w:rsidP="007A424D">
      <w:pPr>
        <w:pStyle w:val="KeinLeerraum"/>
        <w:rPr>
          <w:lang w:val="en-US" w:eastAsia="de-DE"/>
        </w:rPr>
      </w:pPr>
      <w:r>
        <w:rPr>
          <w:lang w:val="en-US"/>
        </w:rPr>
        <w:t>A</w:t>
      </w:r>
      <w:r w:rsidRPr="00696C51">
        <w:rPr>
          <w:lang w:val="en-US"/>
        </w:rPr>
        <w:t xml:space="preserve">ssociation of </w:t>
      </w:r>
      <w:r>
        <w:rPr>
          <w:lang w:val="en-US"/>
        </w:rPr>
        <w:t>gender</w:t>
      </w:r>
      <w:r w:rsidRPr="00696C51">
        <w:rPr>
          <w:lang w:val="en-US"/>
        </w:rPr>
        <w:t xml:space="preserve"> with markers of COVID-19 severity</w:t>
      </w:r>
      <w:r>
        <w:rPr>
          <w:lang w:val="en-US"/>
        </w:rPr>
        <w:t xml:space="preserve"> was assessed </w:t>
      </w:r>
      <w:r w:rsidRPr="00696C51">
        <w:rPr>
          <w:lang w:val="en-US"/>
        </w:rPr>
        <w:t xml:space="preserve">by </w:t>
      </w:r>
      <w:r>
        <w:rPr>
          <w:lang w:val="en-US"/>
        </w:rPr>
        <w:t>bivariate regression.</w:t>
      </w:r>
    </w:p>
    <w:p w:rsidR="007A424D" w:rsidRDefault="007A424D">
      <w:pPr>
        <w:spacing w:line="480" w:lineRule="auto"/>
        <w:ind w:firstLine="360"/>
        <w:rPr>
          <w:rFonts w:asciiTheme="majorHAnsi" w:eastAsiaTheme="majorEastAsia" w:hAnsiTheme="majorHAnsi" w:cstheme="majorBidi"/>
          <w:b/>
          <w:bCs/>
          <w:iCs/>
          <w:sz w:val="28"/>
          <w:szCs w:val="28"/>
          <w:lang w:val="en-US"/>
        </w:rPr>
      </w:pPr>
      <w:r>
        <w:rPr>
          <w:lang w:val="en-US"/>
        </w:rPr>
        <w:br w:type="page"/>
      </w:r>
    </w:p>
    <w:p w:rsidR="00D94999" w:rsidRPr="00F85958" w:rsidRDefault="00D94999" w:rsidP="00AE6A0F">
      <w:pPr>
        <w:pStyle w:val="berschrift2"/>
        <w:rPr>
          <w:lang w:val="en-US"/>
        </w:rPr>
      </w:pPr>
      <w:bookmarkStart w:id="18" w:name="_Toc38892511"/>
      <w:r w:rsidRPr="00F85958">
        <w:rPr>
          <w:lang w:val="en-US"/>
        </w:rPr>
        <w:lastRenderedPageBreak/>
        <w:t>Table S</w:t>
      </w:r>
      <w:r w:rsidR="00B30889">
        <w:rPr>
          <w:lang w:val="en-US"/>
        </w:rPr>
        <w:t>4</w:t>
      </w:r>
      <w:r w:rsidRPr="00F85958">
        <w:rPr>
          <w:lang w:val="en-US"/>
        </w:rPr>
        <w:t>. Frequency of patients with detectable antigen specific T</w:t>
      </w:r>
      <w:r w:rsidR="003F1F85">
        <w:rPr>
          <w:lang w:val="en-US"/>
        </w:rPr>
        <w:t>-cell</w:t>
      </w:r>
      <w:r w:rsidRPr="00F85958">
        <w:rPr>
          <w:lang w:val="en-US"/>
        </w:rPr>
        <w:t xml:space="preserve"> subpopulations</w:t>
      </w:r>
      <w:bookmarkEnd w:id="18"/>
      <w:r w:rsidRPr="00F85958">
        <w:rPr>
          <w:lang w:val="en-US"/>
        </w:rPr>
        <w:t xml:space="preserve"> </w:t>
      </w:r>
    </w:p>
    <w:tbl>
      <w:tblPr>
        <w:tblStyle w:val="Tabellenraster"/>
        <w:tblW w:w="10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294"/>
        <w:gridCol w:w="1276"/>
        <w:gridCol w:w="1286"/>
        <w:gridCol w:w="1375"/>
        <w:gridCol w:w="1330"/>
        <w:gridCol w:w="1362"/>
      </w:tblGrid>
      <w:tr w:rsidR="00D94999" w:rsidRPr="00F85958" w:rsidTr="00DE3574">
        <w:trPr>
          <w:trHeight w:val="60"/>
        </w:trPr>
        <w:tc>
          <w:tcPr>
            <w:tcW w:w="2093" w:type="dxa"/>
            <w:tcBorders>
              <w:top w:val="single" w:sz="12" w:space="0" w:color="auto"/>
            </w:tcBorders>
          </w:tcPr>
          <w:p w:rsidR="00D94999" w:rsidRPr="00F85958" w:rsidRDefault="00D94999" w:rsidP="00B51EE4">
            <w:pPr>
              <w:pStyle w:val="KeinLeerraum"/>
              <w:rPr>
                <w:lang w:val="en-US"/>
              </w:rPr>
            </w:pPr>
          </w:p>
        </w:tc>
        <w:tc>
          <w:tcPr>
            <w:tcW w:w="1294" w:type="dxa"/>
            <w:tcBorders>
              <w:top w:val="single" w:sz="12" w:space="0" w:color="auto"/>
            </w:tcBorders>
          </w:tcPr>
          <w:p w:rsidR="00D94999" w:rsidRPr="00F85958" w:rsidRDefault="00D94999" w:rsidP="00B51EE4">
            <w:pPr>
              <w:pStyle w:val="KeinLeerraum"/>
              <w:rPr>
                <w:lang w:val="en-US"/>
              </w:rPr>
            </w:pPr>
          </w:p>
        </w:tc>
        <w:tc>
          <w:tcPr>
            <w:tcW w:w="1276" w:type="dxa"/>
            <w:tcBorders>
              <w:top w:val="single" w:sz="12" w:space="0" w:color="auto"/>
            </w:tcBorders>
          </w:tcPr>
          <w:p w:rsidR="00D94999" w:rsidRPr="00F85958" w:rsidRDefault="00D94999" w:rsidP="00B51EE4">
            <w:pPr>
              <w:pStyle w:val="KeinLeerraum"/>
              <w:rPr>
                <w:lang w:val="en-US"/>
              </w:rPr>
            </w:pPr>
          </w:p>
        </w:tc>
        <w:tc>
          <w:tcPr>
            <w:tcW w:w="3991" w:type="dxa"/>
            <w:gridSpan w:val="3"/>
            <w:tcBorders>
              <w:top w:val="single" w:sz="12" w:space="0" w:color="auto"/>
              <w:bottom w:val="single" w:sz="8" w:space="0" w:color="auto"/>
            </w:tcBorders>
            <w:vAlign w:val="bottom"/>
          </w:tcPr>
          <w:p w:rsidR="00D94999" w:rsidRPr="00F85958" w:rsidRDefault="00D94999" w:rsidP="008628B5">
            <w:pPr>
              <w:pStyle w:val="KeinLeerraum"/>
              <w:jc w:val="center"/>
              <w:rPr>
                <w:lang w:val="en-US"/>
              </w:rPr>
            </w:pPr>
            <w:r w:rsidRPr="00F85958">
              <w:rPr>
                <w:lang w:val="en-US"/>
              </w:rPr>
              <w:t>Disease Severity</w:t>
            </w:r>
          </w:p>
        </w:tc>
        <w:tc>
          <w:tcPr>
            <w:tcW w:w="1362" w:type="dxa"/>
            <w:tcBorders>
              <w:top w:val="single" w:sz="12" w:space="0" w:color="auto"/>
            </w:tcBorders>
          </w:tcPr>
          <w:p w:rsidR="00D94999" w:rsidRPr="00F85958" w:rsidRDefault="00D94999" w:rsidP="00B51EE4">
            <w:pPr>
              <w:pStyle w:val="KeinLeerraum"/>
              <w:rPr>
                <w:lang w:val="en-US"/>
              </w:rPr>
            </w:pPr>
          </w:p>
        </w:tc>
      </w:tr>
      <w:tr w:rsidR="00D94999" w:rsidRPr="00F85958" w:rsidTr="00DE3574">
        <w:tc>
          <w:tcPr>
            <w:tcW w:w="2093" w:type="dxa"/>
            <w:tcBorders>
              <w:bottom w:val="single" w:sz="8" w:space="0" w:color="auto"/>
            </w:tcBorders>
            <w:vAlign w:val="bottom"/>
          </w:tcPr>
          <w:p w:rsidR="00D94999" w:rsidRPr="00F85958" w:rsidRDefault="00D94999" w:rsidP="00B30889">
            <w:pPr>
              <w:pStyle w:val="KeinLeerraum"/>
              <w:rPr>
                <w:lang w:val="en-US"/>
              </w:rPr>
            </w:pPr>
            <w:r w:rsidRPr="00F85958">
              <w:rPr>
                <w:lang w:val="en-US"/>
              </w:rPr>
              <w:t>T</w:t>
            </w:r>
            <w:r w:rsidR="003F1F85">
              <w:rPr>
                <w:lang w:val="en-US"/>
              </w:rPr>
              <w:t>-cell</w:t>
            </w:r>
            <w:r w:rsidRPr="00F85958">
              <w:rPr>
                <w:lang w:val="en-US"/>
              </w:rPr>
              <w:t xml:space="preserve"> subpopulation</w:t>
            </w:r>
          </w:p>
        </w:tc>
        <w:tc>
          <w:tcPr>
            <w:tcW w:w="1294" w:type="dxa"/>
            <w:tcBorders>
              <w:bottom w:val="single" w:sz="8" w:space="0" w:color="auto"/>
            </w:tcBorders>
            <w:vAlign w:val="bottom"/>
          </w:tcPr>
          <w:p w:rsidR="00D94999" w:rsidRPr="00F85958" w:rsidRDefault="00D94999" w:rsidP="008628B5">
            <w:pPr>
              <w:pStyle w:val="KeinLeerraum"/>
              <w:jc w:val="center"/>
              <w:rPr>
                <w:lang w:val="en-US"/>
              </w:rPr>
            </w:pPr>
            <w:r w:rsidRPr="00F85958">
              <w:rPr>
                <w:lang w:val="en-US"/>
              </w:rPr>
              <w:t>Visit</w:t>
            </w:r>
          </w:p>
        </w:tc>
        <w:tc>
          <w:tcPr>
            <w:tcW w:w="1276" w:type="dxa"/>
            <w:tcBorders>
              <w:bottom w:val="single" w:sz="8" w:space="0" w:color="auto"/>
            </w:tcBorders>
            <w:vAlign w:val="bottom"/>
          </w:tcPr>
          <w:p w:rsidR="00D94999" w:rsidRPr="00F85958" w:rsidRDefault="00D94999" w:rsidP="008628B5">
            <w:pPr>
              <w:pStyle w:val="KeinLeerraum"/>
              <w:jc w:val="center"/>
              <w:rPr>
                <w:lang w:val="en-US"/>
              </w:rPr>
            </w:pPr>
            <w:r w:rsidRPr="00F85958">
              <w:rPr>
                <w:lang w:val="en-US"/>
              </w:rPr>
              <w:t>All patients</w:t>
            </w:r>
          </w:p>
        </w:tc>
        <w:tc>
          <w:tcPr>
            <w:tcW w:w="1286" w:type="dxa"/>
            <w:tcBorders>
              <w:top w:val="single" w:sz="8" w:space="0" w:color="auto"/>
              <w:bottom w:val="single" w:sz="8" w:space="0" w:color="auto"/>
            </w:tcBorders>
            <w:vAlign w:val="bottom"/>
          </w:tcPr>
          <w:p w:rsidR="00D94999" w:rsidRPr="00F85958" w:rsidRDefault="00D94999" w:rsidP="008628B5">
            <w:pPr>
              <w:pStyle w:val="KeinLeerraum"/>
              <w:jc w:val="center"/>
              <w:rPr>
                <w:lang w:val="en-US"/>
              </w:rPr>
            </w:pPr>
            <w:r w:rsidRPr="00F85958">
              <w:rPr>
                <w:lang w:val="en-US"/>
              </w:rPr>
              <w:t>Moderate</w:t>
            </w:r>
          </w:p>
        </w:tc>
        <w:tc>
          <w:tcPr>
            <w:tcW w:w="1375" w:type="dxa"/>
            <w:tcBorders>
              <w:top w:val="single" w:sz="8" w:space="0" w:color="auto"/>
              <w:bottom w:val="single" w:sz="8" w:space="0" w:color="auto"/>
            </w:tcBorders>
            <w:vAlign w:val="bottom"/>
          </w:tcPr>
          <w:p w:rsidR="00D94999" w:rsidRPr="00F85958" w:rsidRDefault="00D94999" w:rsidP="008628B5">
            <w:pPr>
              <w:pStyle w:val="KeinLeerraum"/>
              <w:jc w:val="center"/>
              <w:rPr>
                <w:lang w:val="en-US"/>
              </w:rPr>
            </w:pPr>
            <w:r w:rsidRPr="00F85958">
              <w:rPr>
                <w:lang w:val="en-US"/>
              </w:rPr>
              <w:t>Severe</w:t>
            </w:r>
          </w:p>
        </w:tc>
        <w:tc>
          <w:tcPr>
            <w:tcW w:w="1330" w:type="dxa"/>
            <w:tcBorders>
              <w:top w:val="single" w:sz="8" w:space="0" w:color="auto"/>
              <w:bottom w:val="single" w:sz="8" w:space="0" w:color="auto"/>
            </w:tcBorders>
            <w:vAlign w:val="bottom"/>
          </w:tcPr>
          <w:p w:rsidR="00D94999" w:rsidRPr="00F85958" w:rsidRDefault="00D94999" w:rsidP="008628B5">
            <w:pPr>
              <w:pStyle w:val="KeinLeerraum"/>
              <w:jc w:val="center"/>
              <w:rPr>
                <w:lang w:val="en-US"/>
              </w:rPr>
            </w:pPr>
            <w:r w:rsidRPr="00F85958">
              <w:rPr>
                <w:lang w:val="en-US"/>
              </w:rPr>
              <w:t>Critical</w:t>
            </w:r>
          </w:p>
        </w:tc>
        <w:tc>
          <w:tcPr>
            <w:tcW w:w="1362" w:type="dxa"/>
            <w:tcBorders>
              <w:bottom w:val="single" w:sz="8" w:space="0" w:color="auto"/>
            </w:tcBorders>
            <w:vAlign w:val="bottom"/>
          </w:tcPr>
          <w:p w:rsidR="00D94999" w:rsidRPr="00F85958" w:rsidRDefault="00D94999" w:rsidP="008628B5">
            <w:pPr>
              <w:pStyle w:val="KeinLeerraum"/>
              <w:jc w:val="center"/>
              <w:rPr>
                <w:lang w:val="en-US"/>
              </w:rPr>
            </w:pPr>
            <w:r w:rsidRPr="00F85958">
              <w:rPr>
                <w:lang w:val="en-US"/>
              </w:rPr>
              <w:t>p value</w:t>
            </w:r>
          </w:p>
        </w:tc>
      </w:tr>
      <w:tr w:rsidR="00D94999" w:rsidRPr="00F85958" w:rsidTr="00DE3574">
        <w:tc>
          <w:tcPr>
            <w:tcW w:w="2093" w:type="dxa"/>
            <w:vMerge w:val="restart"/>
            <w:tcBorders>
              <w:top w:val="single" w:sz="8" w:space="0" w:color="auto"/>
            </w:tcBorders>
            <w:vAlign w:val="center"/>
          </w:tcPr>
          <w:p w:rsidR="00D94999" w:rsidRPr="00F85958" w:rsidRDefault="00D94999" w:rsidP="00B51EE4">
            <w:pPr>
              <w:pStyle w:val="KeinLeerraum"/>
              <w:rPr>
                <w:lang w:val="en-US"/>
              </w:rPr>
            </w:pPr>
            <w:r w:rsidRPr="00F85958">
              <w:rPr>
                <w:lang w:val="en-US"/>
              </w:rPr>
              <w:t>CD4</w:t>
            </w:r>
            <w:r w:rsidRPr="00F85958">
              <w:rPr>
                <w:vertAlign w:val="superscript"/>
                <w:lang w:val="en-US"/>
              </w:rPr>
              <w:t>+</w:t>
            </w:r>
            <w:r w:rsidRPr="00F85958">
              <w:rPr>
                <w:lang w:val="en-US"/>
              </w:rPr>
              <w:t>CD154</w:t>
            </w:r>
            <w:r w:rsidRPr="00F85958">
              <w:rPr>
                <w:vertAlign w:val="superscript"/>
                <w:lang w:val="en-US"/>
              </w:rPr>
              <w:t>+</w:t>
            </w:r>
          </w:p>
        </w:tc>
        <w:tc>
          <w:tcPr>
            <w:tcW w:w="1294" w:type="dxa"/>
            <w:tcBorders>
              <w:top w:val="single" w:sz="8" w:space="0" w:color="auto"/>
            </w:tcBorders>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tcBorders>
              <w:top w:val="single" w:sz="8" w:space="0" w:color="auto"/>
            </w:tcBorders>
            <w:vAlign w:val="bottom"/>
          </w:tcPr>
          <w:p w:rsidR="00D94999" w:rsidRPr="00F85958" w:rsidRDefault="00D94999" w:rsidP="00B51EE4">
            <w:pPr>
              <w:pStyle w:val="KeinLeerraum"/>
              <w:rPr>
                <w:color w:val="000000"/>
                <w:lang w:val="en-US" w:eastAsia="de-DE"/>
              </w:rPr>
            </w:pPr>
            <w:r w:rsidRPr="00F85958">
              <w:rPr>
                <w:color w:val="000000"/>
                <w:lang w:val="en-US"/>
              </w:rPr>
              <w:t>66.7%</w:t>
            </w:r>
          </w:p>
        </w:tc>
        <w:tc>
          <w:tcPr>
            <w:tcW w:w="1286" w:type="dxa"/>
            <w:tcBorders>
              <w:top w:val="single" w:sz="8" w:space="0" w:color="auto"/>
            </w:tcBorders>
            <w:vAlign w:val="bottom"/>
          </w:tcPr>
          <w:p w:rsidR="00D94999" w:rsidRPr="00F85958" w:rsidRDefault="00D94999" w:rsidP="00B51EE4">
            <w:pPr>
              <w:pStyle w:val="KeinLeerraum"/>
              <w:rPr>
                <w:color w:val="000000"/>
                <w:lang w:val="en-US"/>
              </w:rPr>
            </w:pPr>
            <w:r w:rsidRPr="00F85958">
              <w:rPr>
                <w:color w:val="000000"/>
                <w:lang w:val="en-US"/>
              </w:rPr>
              <w:t>44.4%</w:t>
            </w:r>
          </w:p>
        </w:tc>
        <w:tc>
          <w:tcPr>
            <w:tcW w:w="1375" w:type="dxa"/>
            <w:tcBorders>
              <w:top w:val="single" w:sz="8" w:space="0" w:color="auto"/>
            </w:tcBorders>
            <w:vAlign w:val="bottom"/>
          </w:tcPr>
          <w:p w:rsidR="00D94999" w:rsidRPr="00F85958" w:rsidRDefault="00D94999" w:rsidP="00B51EE4">
            <w:pPr>
              <w:pStyle w:val="KeinLeerraum"/>
              <w:rPr>
                <w:color w:val="000000"/>
                <w:lang w:val="en-US"/>
              </w:rPr>
            </w:pPr>
            <w:r w:rsidRPr="00F85958">
              <w:rPr>
                <w:color w:val="000000"/>
                <w:lang w:val="en-US"/>
              </w:rPr>
              <w:t>75.0%</w:t>
            </w:r>
          </w:p>
        </w:tc>
        <w:tc>
          <w:tcPr>
            <w:tcW w:w="1330" w:type="dxa"/>
            <w:tcBorders>
              <w:top w:val="single" w:sz="8" w:space="0" w:color="auto"/>
            </w:tcBorders>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tcBorders>
              <w:top w:val="single" w:sz="8" w:space="0" w:color="auto"/>
            </w:tcBorders>
            <w:vAlign w:val="bottom"/>
          </w:tcPr>
          <w:p w:rsidR="00D94999" w:rsidRPr="00F85958" w:rsidRDefault="00D94999" w:rsidP="00B51EE4">
            <w:pPr>
              <w:pStyle w:val="KeinLeerraum"/>
              <w:rPr>
                <w:color w:val="000000"/>
                <w:lang w:val="en-US"/>
              </w:rPr>
            </w:pPr>
            <w:r w:rsidRPr="00F85958">
              <w:rPr>
                <w:color w:val="000000"/>
                <w:lang w:val="en-US"/>
              </w:rPr>
              <w:t>0.269</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81.5%</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76.9%</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100.0%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0.826</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CD4</w:t>
            </w:r>
            <w:r w:rsidRPr="00F85958">
              <w:rPr>
                <w:vertAlign w:val="superscript"/>
                <w:lang w:val="en-US"/>
              </w:rPr>
              <w:t>+</w:t>
            </w:r>
            <w:r w:rsidRPr="00F85958">
              <w:rPr>
                <w:lang w:val="en-US"/>
              </w:rPr>
              <w:t>CD154</w:t>
            </w:r>
            <w:r w:rsidRPr="00F85958">
              <w:rPr>
                <w:vertAlign w:val="superscript"/>
                <w:lang w:val="en-US"/>
              </w:rPr>
              <w:t>+</w:t>
            </w:r>
            <w:r w:rsidRPr="00F85958">
              <w:rPr>
                <w:lang w:val="en-US"/>
              </w:rPr>
              <w:t>GrB</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40.7%</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55.6%</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37.5%</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30.0%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0.551</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29.6%</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30.8%</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25.0%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30.0%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1</w:t>
            </w:r>
          </w:p>
        </w:tc>
      </w:tr>
      <w:tr w:rsidR="00D94999" w:rsidRPr="00F85958" w:rsidTr="00DE3574">
        <w:trPr>
          <w:trHeight w:val="290"/>
        </w:trPr>
        <w:tc>
          <w:tcPr>
            <w:tcW w:w="2093" w:type="dxa"/>
            <w:vMerge w:val="restart"/>
            <w:vAlign w:val="center"/>
          </w:tcPr>
          <w:p w:rsidR="00D94999" w:rsidRPr="00F85958" w:rsidRDefault="00D94999" w:rsidP="00B51EE4">
            <w:pPr>
              <w:pStyle w:val="KeinLeerraum"/>
              <w:rPr>
                <w:lang w:val="en-US"/>
              </w:rPr>
            </w:pPr>
            <w:r w:rsidRPr="00F85958">
              <w:rPr>
                <w:lang w:val="en-US"/>
              </w:rPr>
              <w:t>CD4</w:t>
            </w:r>
            <w:r w:rsidRPr="00F85958">
              <w:rPr>
                <w:vertAlign w:val="superscript"/>
                <w:lang w:val="en-US"/>
              </w:rPr>
              <w:t>+</w:t>
            </w:r>
            <w:r w:rsidRPr="00F85958">
              <w:rPr>
                <w:lang w:val="en-US"/>
              </w:rPr>
              <w:t>CD154</w:t>
            </w:r>
            <w:r w:rsidRPr="00F85958">
              <w:rPr>
                <w:vertAlign w:val="superscript"/>
                <w:lang w:val="en-US"/>
              </w:rPr>
              <w:t>+</w:t>
            </w:r>
            <w:r w:rsidRPr="00F85958">
              <w:rPr>
                <w:lang w:val="en-US"/>
              </w:rPr>
              <w:t>IFN</w:t>
            </w:r>
            <w:r w:rsidRPr="00F85958">
              <w:rPr>
                <w:rFonts w:cs="Calibri"/>
                <w:lang w:val="en-US"/>
              </w:rPr>
              <w:t>γ</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63.0%</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55.6%</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62.5%</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70.0%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0.883</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59.3%</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53.8%</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70.0%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0.666</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CD4</w:t>
            </w:r>
            <w:r w:rsidRPr="00F85958">
              <w:rPr>
                <w:vertAlign w:val="superscript"/>
                <w:lang w:val="en-US"/>
              </w:rPr>
              <w:t>+</w:t>
            </w:r>
            <w:r w:rsidRPr="00F85958">
              <w:rPr>
                <w:lang w:val="en-US"/>
              </w:rPr>
              <w:t>CD154</w:t>
            </w:r>
            <w:r w:rsidRPr="00F85958">
              <w:rPr>
                <w:vertAlign w:val="superscript"/>
                <w:lang w:val="en-US"/>
              </w:rPr>
              <w:t>+</w:t>
            </w:r>
            <w:r w:rsidRPr="00F85958">
              <w:rPr>
                <w:lang w:val="en-US"/>
              </w:rPr>
              <w:t>IL2</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66.7%</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44.4%</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62.5%</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90.0%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0.116</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77.8%</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61.5%</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100.0%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90.0%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0.194</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CD4</w:t>
            </w:r>
            <w:r w:rsidRPr="00F85958">
              <w:rPr>
                <w:vertAlign w:val="superscript"/>
                <w:lang w:val="en-US"/>
              </w:rPr>
              <w:t>+</w:t>
            </w:r>
            <w:r w:rsidRPr="00F85958">
              <w:rPr>
                <w:lang w:val="en-US"/>
              </w:rPr>
              <w:t>CD154</w:t>
            </w:r>
            <w:r w:rsidRPr="00F85958">
              <w:rPr>
                <w:vertAlign w:val="superscript"/>
                <w:lang w:val="en-US"/>
              </w:rPr>
              <w:t>+</w:t>
            </w:r>
            <w:r w:rsidRPr="00F85958">
              <w:rPr>
                <w:lang w:val="en-US"/>
              </w:rPr>
              <w:t>TNF</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66.7%</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44.4%</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75.0%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0.269</w:t>
            </w:r>
          </w:p>
        </w:tc>
      </w:tr>
      <w:tr w:rsidR="00D94999" w:rsidRPr="00F85958" w:rsidTr="00DE3574">
        <w:trPr>
          <w:trHeight w:val="196"/>
        </w:trPr>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70.4%</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61.5%</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75.0%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0.737</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CD8</w:t>
            </w:r>
            <w:r w:rsidRPr="00F85958">
              <w:rPr>
                <w:vertAlign w:val="superscript"/>
                <w:lang w:val="en-US"/>
              </w:rPr>
              <w:t>+</w:t>
            </w:r>
            <w:r w:rsidRPr="00F85958">
              <w:rPr>
                <w:lang w:val="en-US"/>
              </w:rPr>
              <w:t>CD137</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59.3%</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44.4%</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0.235</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59.3%</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38.5%</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75.0%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80.0%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0.095</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CD8</w:t>
            </w:r>
            <w:r w:rsidRPr="00F85958">
              <w:rPr>
                <w:vertAlign w:val="superscript"/>
                <w:lang w:val="en-US"/>
              </w:rPr>
              <w:t>+</w:t>
            </w:r>
            <w:r w:rsidRPr="00F85958">
              <w:rPr>
                <w:lang w:val="en-US"/>
              </w:rPr>
              <w:t>CD137</w:t>
            </w:r>
            <w:r w:rsidRPr="00F85958">
              <w:rPr>
                <w:vertAlign w:val="superscript"/>
                <w:lang w:val="en-US"/>
              </w:rPr>
              <w:t>+</w:t>
            </w:r>
            <w:r w:rsidRPr="00F85958">
              <w:rPr>
                <w:lang w:val="en-US"/>
              </w:rPr>
              <w:t>GrB</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59.3%</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55.6%</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70.0%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0.701</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55.6%</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46.2%</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70.0%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0.581</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CD8</w:t>
            </w:r>
            <w:r w:rsidRPr="00F85958">
              <w:rPr>
                <w:vertAlign w:val="superscript"/>
                <w:lang w:val="en-US"/>
              </w:rPr>
              <w:t>+</w:t>
            </w:r>
            <w:r w:rsidRPr="00F85958">
              <w:rPr>
                <w:lang w:val="en-US"/>
              </w:rPr>
              <w:t>CD137</w:t>
            </w:r>
            <w:r w:rsidRPr="00F85958">
              <w:rPr>
                <w:vertAlign w:val="superscript"/>
                <w:lang w:val="en-US"/>
              </w:rPr>
              <w:t>+</w:t>
            </w:r>
            <w:r w:rsidRPr="00F85958">
              <w:rPr>
                <w:lang w:val="en-US"/>
              </w:rPr>
              <w:t>IFN</w:t>
            </w:r>
            <w:r w:rsidRPr="00F85958">
              <w:rPr>
                <w:rFonts w:cs="Calibri"/>
                <w:lang w:val="en-US"/>
              </w:rPr>
              <w:t>γ</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37.0%</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22.2%</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25.0%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60.0%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0.224</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48.1%</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38.5%</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60.0%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0.677</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CD8</w:t>
            </w:r>
            <w:r w:rsidRPr="00F85958">
              <w:rPr>
                <w:vertAlign w:val="superscript"/>
                <w:lang w:val="en-US"/>
              </w:rPr>
              <w:t>+</w:t>
            </w:r>
            <w:r w:rsidRPr="00F85958">
              <w:rPr>
                <w:lang w:val="en-US"/>
              </w:rPr>
              <w:t>CD137</w:t>
            </w:r>
            <w:r w:rsidRPr="00F85958">
              <w:rPr>
                <w:vertAlign w:val="superscript"/>
                <w:lang w:val="en-US"/>
              </w:rPr>
              <w:t>+</w:t>
            </w:r>
            <w:r w:rsidRPr="00F85958">
              <w:rPr>
                <w:lang w:val="en-US"/>
              </w:rPr>
              <w:t>IL2</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29.6%</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11.1%</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12.5%</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60.0%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0.054</w:t>
            </w:r>
          </w:p>
        </w:tc>
      </w:tr>
      <w:tr w:rsidR="00D94999" w:rsidRPr="00F85958" w:rsidTr="00DE3574">
        <w:tc>
          <w:tcPr>
            <w:tcW w:w="2093" w:type="dxa"/>
            <w:vMerge/>
            <w:vAlign w:val="center"/>
          </w:tcPr>
          <w:p w:rsidR="00D94999" w:rsidRPr="00F85958" w:rsidRDefault="00D94999" w:rsidP="00B51EE4">
            <w:pPr>
              <w:pStyle w:val="KeinLeerraum"/>
              <w:rPr>
                <w:lang w:val="en-US"/>
              </w:rPr>
            </w:pP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37.0%</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15.4%</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60.0%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0.069</w:t>
            </w:r>
          </w:p>
        </w:tc>
      </w:tr>
      <w:tr w:rsidR="00D94999" w:rsidRPr="00F85958" w:rsidTr="00DE3574">
        <w:tc>
          <w:tcPr>
            <w:tcW w:w="2093" w:type="dxa"/>
            <w:vMerge w:val="restart"/>
            <w:vAlign w:val="center"/>
          </w:tcPr>
          <w:p w:rsidR="00D94999" w:rsidRPr="00F85958" w:rsidRDefault="00D94999" w:rsidP="00B51EE4">
            <w:pPr>
              <w:pStyle w:val="KeinLeerraum"/>
              <w:rPr>
                <w:lang w:val="en-US"/>
              </w:rPr>
            </w:pPr>
            <w:r w:rsidRPr="00F85958">
              <w:rPr>
                <w:lang w:val="en-US"/>
              </w:rPr>
              <w:t>CD8</w:t>
            </w:r>
            <w:r w:rsidRPr="00F85958">
              <w:rPr>
                <w:vertAlign w:val="superscript"/>
                <w:lang w:val="en-US"/>
              </w:rPr>
              <w:t>+</w:t>
            </w:r>
            <w:r w:rsidRPr="00F85958">
              <w:rPr>
                <w:lang w:val="en-US"/>
              </w:rPr>
              <w:t>CD137</w:t>
            </w:r>
            <w:r w:rsidRPr="00F85958">
              <w:rPr>
                <w:vertAlign w:val="superscript"/>
                <w:lang w:val="en-US"/>
              </w:rPr>
              <w:t>+</w:t>
            </w:r>
            <w:r w:rsidRPr="00F85958">
              <w:rPr>
                <w:lang w:val="en-US"/>
              </w:rPr>
              <w:t>TNF</w:t>
            </w:r>
            <w:r w:rsidRPr="00F85958">
              <w:rPr>
                <w:vertAlign w:val="superscript"/>
                <w:lang w:val="en-US"/>
              </w:rPr>
              <w:t>+</w:t>
            </w:r>
          </w:p>
        </w:tc>
        <w:tc>
          <w:tcPr>
            <w:tcW w:w="1294" w:type="dxa"/>
            <w:vAlign w:val="bottom"/>
          </w:tcPr>
          <w:p w:rsidR="00D94999" w:rsidRPr="00F85958" w:rsidRDefault="00D94999" w:rsidP="00B51EE4">
            <w:pPr>
              <w:pStyle w:val="KeinLeerraum"/>
              <w:rPr>
                <w:rFonts w:cs="Calibri"/>
                <w:color w:val="000000"/>
                <w:lang w:val="en-US"/>
              </w:rPr>
            </w:pPr>
            <w:r w:rsidRPr="00F85958">
              <w:rPr>
                <w:rFonts w:cs="Calibri"/>
                <w:color w:val="000000"/>
                <w:lang w:val="en-US"/>
              </w:rPr>
              <w:t>Initial</w:t>
            </w:r>
          </w:p>
        </w:tc>
        <w:tc>
          <w:tcPr>
            <w:tcW w:w="1276" w:type="dxa"/>
            <w:vAlign w:val="bottom"/>
          </w:tcPr>
          <w:p w:rsidR="00D94999" w:rsidRPr="00F85958" w:rsidRDefault="00D94999" w:rsidP="00B51EE4">
            <w:pPr>
              <w:pStyle w:val="KeinLeerraum"/>
              <w:rPr>
                <w:color w:val="000000"/>
                <w:lang w:val="en-US"/>
              </w:rPr>
            </w:pPr>
            <w:r w:rsidRPr="00F85958">
              <w:rPr>
                <w:color w:val="000000"/>
                <w:lang w:val="en-US"/>
              </w:rPr>
              <w:t>29.6%</w:t>
            </w:r>
          </w:p>
        </w:tc>
        <w:tc>
          <w:tcPr>
            <w:tcW w:w="1286" w:type="dxa"/>
            <w:vAlign w:val="bottom"/>
          </w:tcPr>
          <w:p w:rsidR="00D94999" w:rsidRPr="00F85958" w:rsidRDefault="00D94999" w:rsidP="00B51EE4">
            <w:pPr>
              <w:pStyle w:val="KeinLeerraum"/>
              <w:rPr>
                <w:color w:val="000000"/>
                <w:lang w:val="en-US"/>
              </w:rPr>
            </w:pPr>
            <w:r w:rsidRPr="00F85958">
              <w:rPr>
                <w:color w:val="000000"/>
                <w:lang w:val="en-US"/>
              </w:rPr>
              <w:t>22.2%</w:t>
            </w:r>
          </w:p>
        </w:tc>
        <w:tc>
          <w:tcPr>
            <w:tcW w:w="1375" w:type="dxa"/>
            <w:vAlign w:val="bottom"/>
          </w:tcPr>
          <w:p w:rsidR="00D94999" w:rsidRPr="00F85958" w:rsidRDefault="00D94999" w:rsidP="00B51EE4">
            <w:pPr>
              <w:pStyle w:val="KeinLeerraum"/>
              <w:rPr>
                <w:color w:val="000000"/>
                <w:lang w:val="en-US"/>
              </w:rPr>
            </w:pPr>
            <w:r w:rsidRPr="00F85958">
              <w:rPr>
                <w:color w:val="000000"/>
                <w:lang w:val="en-US"/>
              </w:rPr>
              <w:t>12.5%</w:t>
            </w:r>
          </w:p>
        </w:tc>
        <w:tc>
          <w:tcPr>
            <w:tcW w:w="1330" w:type="dxa"/>
            <w:vAlign w:val="bottom"/>
          </w:tcPr>
          <w:p w:rsidR="00D94999" w:rsidRPr="00F85958" w:rsidRDefault="00D94999" w:rsidP="00B51EE4">
            <w:pPr>
              <w:pStyle w:val="KeinLeerraum"/>
              <w:rPr>
                <w:color w:val="000000"/>
                <w:lang w:val="en-US"/>
              </w:rPr>
            </w:pPr>
            <w:r w:rsidRPr="00F85958">
              <w:rPr>
                <w:color w:val="000000"/>
                <w:lang w:val="en-US"/>
              </w:rPr>
              <w:t>50.0%</w:t>
            </w:r>
          </w:p>
        </w:tc>
        <w:tc>
          <w:tcPr>
            <w:tcW w:w="1362" w:type="dxa"/>
            <w:vAlign w:val="bottom"/>
          </w:tcPr>
          <w:p w:rsidR="00D94999" w:rsidRPr="00F85958" w:rsidRDefault="00D94999" w:rsidP="00B51EE4">
            <w:pPr>
              <w:pStyle w:val="KeinLeerraum"/>
              <w:rPr>
                <w:color w:val="000000"/>
                <w:lang w:val="en-US"/>
              </w:rPr>
            </w:pPr>
            <w:r w:rsidRPr="00F85958">
              <w:rPr>
                <w:color w:val="000000"/>
                <w:lang w:val="en-US"/>
              </w:rPr>
              <w:t>0.251</w:t>
            </w:r>
          </w:p>
        </w:tc>
      </w:tr>
      <w:tr w:rsidR="00D94999" w:rsidRPr="00F85958" w:rsidTr="00DE3574">
        <w:tc>
          <w:tcPr>
            <w:tcW w:w="2093" w:type="dxa"/>
            <w:vMerge/>
            <w:tcBorders>
              <w:bottom w:val="single" w:sz="12" w:space="0" w:color="auto"/>
            </w:tcBorders>
          </w:tcPr>
          <w:p w:rsidR="00D94999" w:rsidRPr="00F85958" w:rsidRDefault="00D94999" w:rsidP="00B51EE4">
            <w:pPr>
              <w:pStyle w:val="KeinLeerraum"/>
              <w:rPr>
                <w:lang w:val="en-US"/>
              </w:rPr>
            </w:pPr>
          </w:p>
        </w:tc>
        <w:tc>
          <w:tcPr>
            <w:tcW w:w="1294" w:type="dxa"/>
            <w:tcBorders>
              <w:bottom w:val="single" w:sz="12" w:space="0" w:color="auto"/>
            </w:tcBorders>
            <w:vAlign w:val="bottom"/>
          </w:tcPr>
          <w:p w:rsidR="00D94999" w:rsidRPr="00F85958" w:rsidRDefault="00D94999" w:rsidP="00B51EE4">
            <w:pPr>
              <w:pStyle w:val="KeinLeerraum"/>
              <w:rPr>
                <w:rFonts w:cs="Calibri"/>
                <w:color w:val="000000"/>
                <w:lang w:val="en-US"/>
              </w:rPr>
            </w:pPr>
            <w:r w:rsidRPr="00F85958">
              <w:rPr>
                <w:rFonts w:cs="Calibri"/>
                <w:color w:val="000000"/>
                <w:lang w:val="en-US"/>
              </w:rPr>
              <w:t>Follow-up</w:t>
            </w:r>
          </w:p>
        </w:tc>
        <w:tc>
          <w:tcPr>
            <w:tcW w:w="1276" w:type="dxa"/>
            <w:tcBorders>
              <w:bottom w:val="single" w:sz="12" w:space="0" w:color="auto"/>
            </w:tcBorders>
            <w:vAlign w:val="bottom"/>
          </w:tcPr>
          <w:p w:rsidR="00D94999" w:rsidRPr="00F85958" w:rsidRDefault="00D94999" w:rsidP="00B51EE4">
            <w:pPr>
              <w:pStyle w:val="KeinLeerraum"/>
              <w:rPr>
                <w:color w:val="000000"/>
                <w:lang w:val="en-US"/>
              </w:rPr>
            </w:pPr>
            <w:r w:rsidRPr="00F85958">
              <w:rPr>
                <w:color w:val="000000"/>
                <w:lang w:val="en-US"/>
              </w:rPr>
              <w:t>33.3%</w:t>
            </w:r>
          </w:p>
        </w:tc>
        <w:tc>
          <w:tcPr>
            <w:tcW w:w="1286" w:type="dxa"/>
            <w:tcBorders>
              <w:bottom w:val="single" w:sz="12" w:space="0" w:color="auto"/>
            </w:tcBorders>
            <w:vAlign w:val="bottom"/>
          </w:tcPr>
          <w:p w:rsidR="00D94999" w:rsidRPr="00F85958" w:rsidRDefault="00D94999" w:rsidP="00B51EE4">
            <w:pPr>
              <w:pStyle w:val="KeinLeerraum"/>
              <w:rPr>
                <w:color w:val="000000"/>
                <w:lang w:val="en-US"/>
              </w:rPr>
            </w:pPr>
            <w:r w:rsidRPr="00F85958">
              <w:rPr>
                <w:color w:val="000000"/>
                <w:lang w:val="en-US"/>
              </w:rPr>
              <w:t>23.1%</w:t>
            </w:r>
          </w:p>
        </w:tc>
        <w:tc>
          <w:tcPr>
            <w:tcW w:w="1375" w:type="dxa"/>
            <w:tcBorders>
              <w:bottom w:val="single" w:sz="12" w:space="0" w:color="auto"/>
            </w:tcBorders>
            <w:vAlign w:val="bottom"/>
          </w:tcPr>
          <w:p w:rsidR="00D94999" w:rsidRPr="00F85958" w:rsidRDefault="00D94999" w:rsidP="00B51EE4">
            <w:pPr>
              <w:pStyle w:val="KeinLeerraum"/>
              <w:rPr>
                <w:color w:val="000000"/>
                <w:lang w:val="en-US"/>
              </w:rPr>
            </w:pPr>
            <w:r w:rsidRPr="00F85958">
              <w:rPr>
                <w:color w:val="000000"/>
                <w:lang w:val="en-US"/>
              </w:rPr>
              <w:t>25.0%</w:t>
            </w:r>
          </w:p>
        </w:tc>
        <w:tc>
          <w:tcPr>
            <w:tcW w:w="1330" w:type="dxa"/>
            <w:tcBorders>
              <w:bottom w:val="single" w:sz="12" w:space="0" w:color="auto"/>
            </w:tcBorders>
            <w:vAlign w:val="bottom"/>
          </w:tcPr>
          <w:p w:rsidR="00D94999" w:rsidRPr="00F85958" w:rsidRDefault="00D94999" w:rsidP="00B51EE4">
            <w:pPr>
              <w:pStyle w:val="KeinLeerraum"/>
              <w:rPr>
                <w:color w:val="000000"/>
                <w:lang w:val="en-US"/>
              </w:rPr>
            </w:pPr>
            <w:r w:rsidRPr="00F85958">
              <w:rPr>
                <w:color w:val="000000"/>
                <w:lang w:val="en-US"/>
              </w:rPr>
              <w:t>50.0%</w:t>
            </w:r>
          </w:p>
        </w:tc>
        <w:tc>
          <w:tcPr>
            <w:tcW w:w="1362" w:type="dxa"/>
            <w:tcBorders>
              <w:bottom w:val="single" w:sz="12" w:space="0" w:color="auto"/>
            </w:tcBorders>
            <w:vAlign w:val="bottom"/>
          </w:tcPr>
          <w:p w:rsidR="00D94999" w:rsidRPr="00F85958" w:rsidRDefault="00D94999" w:rsidP="00B51EE4">
            <w:pPr>
              <w:pStyle w:val="KeinLeerraum"/>
              <w:rPr>
                <w:color w:val="000000"/>
                <w:lang w:val="en-US"/>
              </w:rPr>
            </w:pPr>
            <w:r w:rsidRPr="00F85958">
              <w:rPr>
                <w:color w:val="000000"/>
                <w:lang w:val="en-US"/>
              </w:rPr>
              <w:t>0.413</w:t>
            </w:r>
          </w:p>
        </w:tc>
      </w:tr>
    </w:tbl>
    <w:p w:rsidR="00D94999" w:rsidRPr="00F85958" w:rsidRDefault="00D94999" w:rsidP="00D94999">
      <w:pPr>
        <w:pStyle w:val="KeinLeerraum"/>
        <w:rPr>
          <w:lang w:val="en-US"/>
        </w:rPr>
      </w:pPr>
      <w:r w:rsidRPr="00C81646">
        <w:rPr>
          <w:lang w:val="en-US"/>
        </w:rPr>
        <w:t xml:space="preserve">Differences between patient groups for first and </w:t>
      </w:r>
      <w:r w:rsidR="00F15865" w:rsidRPr="00C81646">
        <w:rPr>
          <w:lang w:val="en-US"/>
        </w:rPr>
        <w:t>follow-up</w:t>
      </w:r>
      <w:r w:rsidRPr="00C81646">
        <w:rPr>
          <w:lang w:val="en-US"/>
        </w:rPr>
        <w:t xml:space="preserve"> for each T</w:t>
      </w:r>
      <w:r w:rsidR="003F1F85" w:rsidRPr="00C81646">
        <w:rPr>
          <w:lang w:val="en-US"/>
        </w:rPr>
        <w:t>-cell</w:t>
      </w:r>
      <w:r w:rsidRPr="00C81646">
        <w:rPr>
          <w:lang w:val="en-US"/>
        </w:rPr>
        <w:t xml:space="preserve"> subpopulation are calculated by </w:t>
      </w:r>
      <w:r w:rsidR="00822139" w:rsidRPr="00C81646">
        <w:rPr>
          <w:lang w:val="en-US"/>
        </w:rPr>
        <w:t>Fisher’s exact test</w:t>
      </w:r>
      <w:r w:rsidRPr="00C81646">
        <w:rPr>
          <w:lang w:val="en-US"/>
        </w:rPr>
        <w:t xml:space="preserve">. </w:t>
      </w:r>
      <w:r w:rsidR="007109D6" w:rsidRPr="00C81646">
        <w:rPr>
          <w:lang w:val="en-US"/>
        </w:rPr>
        <w:t xml:space="preserve">For critical patients, only </w:t>
      </w:r>
      <w:r w:rsidR="00D508E9" w:rsidRPr="00C81646">
        <w:rPr>
          <w:lang w:val="en-US"/>
        </w:rPr>
        <w:t xml:space="preserve">a single </w:t>
      </w:r>
      <w:r w:rsidR="007109D6" w:rsidRPr="00C81646">
        <w:rPr>
          <w:lang w:val="en-US"/>
        </w:rPr>
        <w:t xml:space="preserve">time point was available. To ensure the comparability of the data with respect to the longer </w:t>
      </w:r>
      <w:r w:rsidR="00C81646" w:rsidRPr="00C81646">
        <w:rPr>
          <w:lang w:val="en-US"/>
        </w:rPr>
        <w:t>disease duration</w:t>
      </w:r>
      <w:r w:rsidR="007109D6" w:rsidRPr="00C81646">
        <w:rPr>
          <w:lang w:val="en-US"/>
        </w:rPr>
        <w:t xml:space="preserve"> in critical COVID-19 patients, we performed the comparison of the available data </w:t>
      </w:r>
      <w:r w:rsidR="00C81646" w:rsidRPr="00C81646">
        <w:rPr>
          <w:lang w:val="en-US"/>
        </w:rPr>
        <w:t xml:space="preserve">of critically ill patients </w:t>
      </w:r>
      <w:r w:rsidR="007109D6" w:rsidRPr="00C81646">
        <w:rPr>
          <w:lang w:val="en-US"/>
        </w:rPr>
        <w:t>also with the follow up visits in moderate and severe cases.</w:t>
      </w:r>
      <w:r w:rsidR="007109D6" w:rsidRPr="007109D6">
        <w:rPr>
          <w:lang w:val="en-US"/>
        </w:rPr>
        <w:t xml:space="preserve"> </w:t>
      </w:r>
    </w:p>
    <w:p w:rsidR="00D46B03" w:rsidRPr="00F85958" w:rsidRDefault="00D46B03">
      <w:pPr>
        <w:rPr>
          <w:rFonts w:asciiTheme="majorHAnsi" w:eastAsiaTheme="majorEastAsia" w:hAnsiTheme="majorHAnsi" w:cstheme="majorBidi"/>
          <w:b/>
          <w:bCs/>
          <w:color w:val="A5A5A5" w:themeColor="accent1" w:themeShade="BF"/>
          <w:sz w:val="28"/>
          <w:szCs w:val="28"/>
          <w:lang w:val="en-US"/>
        </w:rPr>
      </w:pPr>
      <w:r w:rsidRPr="00F85958">
        <w:rPr>
          <w:lang w:val="en-US"/>
        </w:rPr>
        <w:br w:type="page"/>
      </w:r>
    </w:p>
    <w:p w:rsidR="00D94999" w:rsidRDefault="00D94999" w:rsidP="00A14797">
      <w:pPr>
        <w:pStyle w:val="berschrift1"/>
        <w:rPr>
          <w:lang w:val="en-US"/>
        </w:rPr>
      </w:pPr>
      <w:bookmarkStart w:id="19" w:name="_Toc38892512"/>
      <w:r w:rsidRPr="00F85958">
        <w:rPr>
          <w:lang w:val="en-US"/>
        </w:rPr>
        <w:lastRenderedPageBreak/>
        <w:t>Supplement figures</w:t>
      </w:r>
      <w:bookmarkEnd w:id="19"/>
    </w:p>
    <w:p w:rsidR="00D16165" w:rsidRPr="00D16165" w:rsidRDefault="00D16165" w:rsidP="00D16165">
      <w:pPr>
        <w:rPr>
          <w:lang w:val="en-US"/>
        </w:rPr>
      </w:pPr>
      <w:r>
        <w:rPr>
          <w:noProof/>
          <w:lang w:val="en-US"/>
        </w:rPr>
        <w:drawing>
          <wp:inline distT="0" distB="0" distL="0" distR="0" wp14:anchorId="5D0FCC96" wp14:editId="42286EFC">
            <wp:extent cx="5743789" cy="453643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orschung\Medizinische Klinik 1\Mitarbeiter\Ulrik\_Laptop\Documents\Papers\01-Working\02_By_colleagues\babel - COVID immunity\Figure_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43789" cy="4536439"/>
                    </a:xfrm>
                    <a:prstGeom prst="rect">
                      <a:avLst/>
                    </a:prstGeom>
                    <a:noFill/>
                    <a:ln>
                      <a:noFill/>
                    </a:ln>
                  </pic:spPr>
                </pic:pic>
              </a:graphicData>
            </a:graphic>
          </wp:inline>
        </w:drawing>
      </w:r>
    </w:p>
    <w:p w:rsidR="00AE6A0F" w:rsidRPr="00F85958" w:rsidRDefault="00D94999" w:rsidP="00AE6A0F">
      <w:pPr>
        <w:pStyle w:val="berschrift2"/>
        <w:rPr>
          <w:lang w:val="en-US"/>
        </w:rPr>
      </w:pPr>
      <w:bookmarkStart w:id="20" w:name="_Toc38892513"/>
      <w:r w:rsidRPr="00F85958">
        <w:rPr>
          <w:lang w:val="en-US"/>
        </w:rPr>
        <w:t>Fig</w:t>
      </w:r>
      <w:r w:rsidR="00AE6A0F" w:rsidRPr="00F85958">
        <w:rPr>
          <w:lang w:val="en-US"/>
        </w:rPr>
        <w:t>ure</w:t>
      </w:r>
      <w:r w:rsidRPr="00F85958">
        <w:rPr>
          <w:lang w:val="en-US"/>
        </w:rPr>
        <w:t xml:space="preserve"> S1</w:t>
      </w:r>
      <w:r w:rsidR="00AE6A0F" w:rsidRPr="00F85958">
        <w:rPr>
          <w:lang w:val="en-US"/>
        </w:rPr>
        <w:t>.</w:t>
      </w:r>
      <w:r w:rsidRPr="00F85958">
        <w:rPr>
          <w:lang w:val="en-US"/>
        </w:rPr>
        <w:t xml:space="preserve"> COVID-19 severity is not reflected in composition of the major immune cell populations.</w:t>
      </w:r>
      <w:bookmarkEnd w:id="20"/>
      <w:r w:rsidRPr="00F85958">
        <w:rPr>
          <w:lang w:val="en-US"/>
        </w:rPr>
        <w:t xml:space="preserve"> </w:t>
      </w:r>
    </w:p>
    <w:p w:rsidR="00A95F33" w:rsidRDefault="00D94999" w:rsidP="00AE6A0F">
      <w:pPr>
        <w:rPr>
          <w:lang w:val="en-US"/>
        </w:rPr>
      </w:pPr>
      <w:r w:rsidRPr="00F85958">
        <w:rPr>
          <w:lang w:val="en-US"/>
        </w:rPr>
        <w:t xml:space="preserve">Circulating immune cell subsets were characterized in patients confirmed COVID-19 at the initial visit using multiparametric flow cytometry. In total 53 patients were analyzed divided in sub groups with moderate, severe, and critical COVID-19 manifestation. Immune cell subsets in peripheral blood were evaluated according to the gating strategy in </w:t>
      </w:r>
      <w:r w:rsidR="00DC7595">
        <w:rPr>
          <w:lang w:val="en-US"/>
        </w:rPr>
        <w:t>Fig.</w:t>
      </w:r>
      <w:r w:rsidRPr="00F85958">
        <w:rPr>
          <w:lang w:val="en-US"/>
        </w:rPr>
        <w:t xml:space="preserve"> </w:t>
      </w:r>
      <w:r w:rsidR="00A36BC4">
        <w:rPr>
          <w:lang w:val="en-US"/>
        </w:rPr>
        <w:t>S</w:t>
      </w:r>
      <w:r w:rsidR="00DC7595">
        <w:rPr>
          <w:lang w:val="en-US"/>
        </w:rPr>
        <w:t>6</w:t>
      </w:r>
      <w:r w:rsidRPr="00F85958">
        <w:rPr>
          <w:lang w:val="en-US"/>
        </w:rPr>
        <w:t>. Cells/</w:t>
      </w:r>
      <w:proofErr w:type="spellStart"/>
      <w:r w:rsidRPr="00F85958">
        <w:rPr>
          <w:lang w:val="en-US"/>
        </w:rPr>
        <w:t>nL</w:t>
      </w:r>
      <w:proofErr w:type="spellEnd"/>
      <w:r w:rsidRPr="00F85958">
        <w:rPr>
          <w:lang w:val="en-US"/>
        </w:rPr>
        <w:t xml:space="preserve"> were evaluated for (A) Lymphocytes, defined as CD45</w:t>
      </w:r>
      <w:r w:rsidRPr="00F85958">
        <w:rPr>
          <w:vertAlign w:val="superscript"/>
          <w:lang w:val="en-US"/>
        </w:rPr>
        <w:t>+</w:t>
      </w:r>
      <w:r w:rsidRPr="00F85958">
        <w:rPr>
          <w:lang w:val="en-US"/>
        </w:rPr>
        <w:t>SSC</w:t>
      </w:r>
      <w:r w:rsidRPr="00F85958">
        <w:rPr>
          <w:vertAlign w:val="superscript"/>
          <w:lang w:val="en-US"/>
        </w:rPr>
        <w:t>low</w:t>
      </w:r>
      <w:r w:rsidRPr="00F85958">
        <w:rPr>
          <w:lang w:val="en-US"/>
        </w:rPr>
        <w:t>, (B) Granulocytes, defined as CD45</w:t>
      </w:r>
      <w:r w:rsidRPr="00F85958">
        <w:rPr>
          <w:vertAlign w:val="superscript"/>
          <w:lang w:val="en-US"/>
        </w:rPr>
        <w:t>+</w:t>
      </w:r>
      <w:r w:rsidRPr="00F85958">
        <w:rPr>
          <w:lang w:val="en-US"/>
        </w:rPr>
        <w:t>SSC</w:t>
      </w:r>
      <w:r w:rsidRPr="00F85958">
        <w:rPr>
          <w:vertAlign w:val="superscript"/>
          <w:lang w:val="en-US"/>
        </w:rPr>
        <w:t>high</w:t>
      </w:r>
      <w:r w:rsidRPr="00F85958">
        <w:rPr>
          <w:lang w:val="en-US"/>
        </w:rPr>
        <w:t>, and (C) Monocytes, defined as CD45</w:t>
      </w:r>
      <w:r w:rsidRPr="00F85958">
        <w:rPr>
          <w:vertAlign w:val="superscript"/>
          <w:lang w:val="en-US"/>
        </w:rPr>
        <w:t>+</w:t>
      </w:r>
      <w:r w:rsidRPr="00F85958">
        <w:rPr>
          <w:lang w:val="en-US"/>
        </w:rPr>
        <w:t>SSC</w:t>
      </w:r>
      <w:r w:rsidRPr="00F85958">
        <w:rPr>
          <w:vertAlign w:val="superscript"/>
          <w:lang w:val="en-US"/>
        </w:rPr>
        <w:t>intermediate</w:t>
      </w:r>
      <w:r w:rsidRPr="00F85958">
        <w:rPr>
          <w:lang w:val="en-US"/>
        </w:rPr>
        <w:t>. Within the lymphocytes the cells/</w:t>
      </w:r>
      <w:proofErr w:type="spellStart"/>
      <w:r w:rsidRPr="00F85958">
        <w:rPr>
          <w:lang w:val="en-US"/>
        </w:rPr>
        <w:t>nL</w:t>
      </w:r>
      <w:proofErr w:type="spellEnd"/>
      <w:r w:rsidRPr="00F85958">
        <w:rPr>
          <w:lang w:val="en-US"/>
        </w:rPr>
        <w:t xml:space="preserve"> were assessed for (D) T</w:t>
      </w:r>
      <w:r w:rsidR="003F1F85">
        <w:rPr>
          <w:lang w:val="en-US"/>
        </w:rPr>
        <w:t>-cell</w:t>
      </w:r>
      <w:r w:rsidRPr="00F85958">
        <w:rPr>
          <w:lang w:val="en-US"/>
        </w:rPr>
        <w:t>s, defined as CD3</w:t>
      </w:r>
      <w:r w:rsidRPr="00F85958">
        <w:rPr>
          <w:vertAlign w:val="superscript"/>
          <w:lang w:val="en-US"/>
        </w:rPr>
        <w:t>+</w:t>
      </w:r>
      <w:r w:rsidRPr="00F85958">
        <w:rPr>
          <w:lang w:val="en-US"/>
        </w:rPr>
        <w:t xml:space="preserve"> lymphocytes, (E) B</w:t>
      </w:r>
      <w:r w:rsidR="003F1F85">
        <w:rPr>
          <w:lang w:val="en-US"/>
        </w:rPr>
        <w:t>-cell</w:t>
      </w:r>
      <w:r w:rsidRPr="00F85958">
        <w:rPr>
          <w:lang w:val="en-US"/>
        </w:rPr>
        <w:t>s, defined as CD19</w:t>
      </w:r>
      <w:r w:rsidRPr="00F85958">
        <w:rPr>
          <w:vertAlign w:val="superscript"/>
          <w:lang w:val="en-US"/>
        </w:rPr>
        <w:t>+</w:t>
      </w:r>
      <w:r w:rsidR="00A36BC4">
        <w:rPr>
          <w:lang w:val="en-US"/>
        </w:rPr>
        <w:t>CD3</w:t>
      </w:r>
      <w:r w:rsidR="00A36BC4" w:rsidRPr="00A36BC4">
        <w:rPr>
          <w:vertAlign w:val="superscript"/>
          <w:lang w:val="en-US"/>
        </w:rPr>
        <w:t>–</w:t>
      </w:r>
      <w:r w:rsidRPr="00F85958">
        <w:rPr>
          <w:lang w:val="en-US"/>
        </w:rPr>
        <w:t>, (F) natural killer cells (NK), defined as CD56</w:t>
      </w:r>
      <w:r w:rsidRPr="00F85958">
        <w:rPr>
          <w:vertAlign w:val="superscript"/>
          <w:lang w:val="en-US"/>
        </w:rPr>
        <w:t>+</w:t>
      </w:r>
      <w:r w:rsidRPr="00F85958">
        <w:rPr>
          <w:lang w:val="en-US"/>
        </w:rPr>
        <w:t>CD3</w:t>
      </w:r>
      <w:r w:rsidRPr="00F85958">
        <w:rPr>
          <w:vertAlign w:val="superscript"/>
          <w:lang w:val="en-US"/>
        </w:rPr>
        <w:t>–</w:t>
      </w:r>
      <w:r w:rsidRPr="00F85958">
        <w:rPr>
          <w:lang w:val="en-US"/>
        </w:rPr>
        <w:t>. (G) The cell count/</w:t>
      </w:r>
      <w:proofErr w:type="spellStart"/>
      <w:r w:rsidRPr="00F85958">
        <w:rPr>
          <w:lang w:val="en-US"/>
        </w:rPr>
        <w:t>nL</w:t>
      </w:r>
      <w:proofErr w:type="spellEnd"/>
      <w:r w:rsidRPr="00F85958">
        <w:rPr>
          <w:lang w:val="en-US"/>
        </w:rPr>
        <w:t xml:space="preserve"> of the Granulocyte subpopulation Eosinophils, defined as CD45</w:t>
      </w:r>
      <w:r w:rsidRPr="00F85958">
        <w:rPr>
          <w:vertAlign w:val="superscript"/>
          <w:lang w:val="en-US"/>
        </w:rPr>
        <w:t>+</w:t>
      </w:r>
      <w:r w:rsidRPr="00F85958">
        <w:rPr>
          <w:lang w:val="en-US"/>
        </w:rPr>
        <w:t>SSC</w:t>
      </w:r>
      <w:r w:rsidRPr="00F85958">
        <w:rPr>
          <w:vertAlign w:val="superscript"/>
          <w:lang w:val="en-US"/>
        </w:rPr>
        <w:t>high</w:t>
      </w:r>
      <w:r w:rsidRPr="00F85958">
        <w:rPr>
          <w:lang w:val="en-US"/>
        </w:rPr>
        <w:t>CD16</w:t>
      </w:r>
      <w:r w:rsidRPr="00F85958">
        <w:rPr>
          <w:vertAlign w:val="superscript"/>
          <w:lang w:val="en-US"/>
        </w:rPr>
        <w:t>–</w:t>
      </w:r>
      <w:r w:rsidRPr="00F85958">
        <w:rPr>
          <w:lang w:val="en-US"/>
        </w:rPr>
        <w:t xml:space="preserve">. The frequency of (H) </w:t>
      </w:r>
      <w:r w:rsidR="002D6298">
        <w:rPr>
          <w:lang w:val="en-US"/>
        </w:rPr>
        <w:t>l</w:t>
      </w:r>
      <w:r w:rsidR="00BA198B">
        <w:rPr>
          <w:lang w:val="en-US"/>
        </w:rPr>
        <w:t xml:space="preserve">ymphocytes in whole blood, (I) </w:t>
      </w:r>
      <w:r w:rsidRPr="00F85958">
        <w:rPr>
          <w:lang w:val="en-US"/>
        </w:rPr>
        <w:t>T helper cells, defined as CD3</w:t>
      </w:r>
      <w:r w:rsidRPr="00F85958">
        <w:rPr>
          <w:vertAlign w:val="superscript"/>
          <w:lang w:val="en-US"/>
        </w:rPr>
        <w:t>+</w:t>
      </w:r>
      <w:r w:rsidRPr="00F85958">
        <w:rPr>
          <w:lang w:val="en-US"/>
        </w:rPr>
        <w:t>CD4</w:t>
      </w:r>
      <w:r w:rsidRPr="00F85958">
        <w:rPr>
          <w:vertAlign w:val="superscript"/>
          <w:lang w:val="en-US"/>
        </w:rPr>
        <w:t>+</w:t>
      </w:r>
      <w:r w:rsidRPr="00F85958">
        <w:rPr>
          <w:lang w:val="en-US"/>
        </w:rPr>
        <w:t>CD8</w:t>
      </w:r>
      <w:r w:rsidRPr="00F85958">
        <w:rPr>
          <w:vertAlign w:val="superscript"/>
          <w:lang w:val="en-US"/>
        </w:rPr>
        <w:t>–</w:t>
      </w:r>
      <w:r w:rsidR="00BA198B">
        <w:rPr>
          <w:lang w:val="en-US"/>
        </w:rPr>
        <w:t xml:space="preserve"> and (J</w:t>
      </w:r>
      <w:r w:rsidRPr="00F85958">
        <w:rPr>
          <w:lang w:val="en-US"/>
        </w:rPr>
        <w:t>) cytotoxic T</w:t>
      </w:r>
      <w:r w:rsidR="003F1F85">
        <w:rPr>
          <w:lang w:val="en-US"/>
        </w:rPr>
        <w:t>-cell</w:t>
      </w:r>
      <w:r w:rsidRPr="00F85958">
        <w:rPr>
          <w:lang w:val="en-US"/>
        </w:rPr>
        <w:t>s identified as CD3</w:t>
      </w:r>
      <w:r w:rsidRPr="00F85958">
        <w:rPr>
          <w:vertAlign w:val="superscript"/>
          <w:lang w:val="en-US"/>
        </w:rPr>
        <w:t>+</w:t>
      </w:r>
      <w:r w:rsidRPr="00F85958">
        <w:rPr>
          <w:lang w:val="en-US"/>
        </w:rPr>
        <w:t>CD8</w:t>
      </w:r>
      <w:r w:rsidRPr="00F85958">
        <w:rPr>
          <w:vertAlign w:val="superscript"/>
          <w:lang w:val="en-US"/>
        </w:rPr>
        <w:t>+</w:t>
      </w:r>
      <w:r w:rsidRPr="00F85958">
        <w:rPr>
          <w:lang w:val="en-US"/>
        </w:rPr>
        <w:t>CD4</w:t>
      </w:r>
      <w:r w:rsidRPr="00F85958">
        <w:rPr>
          <w:vertAlign w:val="superscript"/>
          <w:lang w:val="en-US"/>
        </w:rPr>
        <w:t>–</w:t>
      </w:r>
      <w:r w:rsidRPr="00F85958">
        <w:rPr>
          <w:lang w:val="en-US"/>
        </w:rPr>
        <w:t xml:space="preserve"> among CD3</w:t>
      </w:r>
      <w:r w:rsidRPr="00F85958">
        <w:rPr>
          <w:vertAlign w:val="superscript"/>
          <w:lang w:val="en-US"/>
        </w:rPr>
        <w:t>+</w:t>
      </w:r>
      <w:r w:rsidR="00BA198B">
        <w:rPr>
          <w:lang w:val="en-US"/>
        </w:rPr>
        <w:t xml:space="preserve"> T</w:t>
      </w:r>
      <w:r w:rsidR="003F1F85">
        <w:rPr>
          <w:lang w:val="en-US"/>
        </w:rPr>
        <w:t>-cell</w:t>
      </w:r>
      <w:r w:rsidR="00BA198B">
        <w:rPr>
          <w:lang w:val="en-US"/>
        </w:rPr>
        <w:t>s. (K</w:t>
      </w:r>
      <w:r w:rsidRPr="00F85958">
        <w:rPr>
          <w:lang w:val="en-US"/>
        </w:rPr>
        <w:t xml:space="preserve">) </w:t>
      </w:r>
      <w:r w:rsidR="00746B47">
        <w:rPr>
          <w:lang w:val="en-US"/>
        </w:rPr>
        <w:t>R</w:t>
      </w:r>
      <w:r w:rsidR="00746B47" w:rsidRPr="00F85958">
        <w:rPr>
          <w:lang w:val="en-US"/>
        </w:rPr>
        <w:t xml:space="preserve">atio </w:t>
      </w:r>
      <w:r w:rsidRPr="00F85958">
        <w:rPr>
          <w:lang w:val="en-US"/>
        </w:rPr>
        <w:t>of CD4</w:t>
      </w:r>
      <w:r w:rsidRPr="00F85958">
        <w:rPr>
          <w:vertAlign w:val="superscript"/>
          <w:lang w:val="en-US"/>
        </w:rPr>
        <w:t>+</w:t>
      </w:r>
      <w:r w:rsidRPr="00F85958">
        <w:rPr>
          <w:lang w:val="en-US"/>
        </w:rPr>
        <w:t xml:space="preserve"> and CD8</w:t>
      </w:r>
      <w:r w:rsidRPr="00F85958">
        <w:rPr>
          <w:vertAlign w:val="superscript"/>
          <w:lang w:val="en-US"/>
        </w:rPr>
        <w:t>+</w:t>
      </w:r>
      <w:r w:rsidR="00EF604C">
        <w:rPr>
          <w:lang w:val="en-US"/>
        </w:rPr>
        <w:t xml:space="preserve"> T</w:t>
      </w:r>
      <w:r w:rsidR="003F1F85">
        <w:rPr>
          <w:lang w:val="en-US"/>
        </w:rPr>
        <w:t>-cell</w:t>
      </w:r>
      <w:r w:rsidR="00EF604C">
        <w:rPr>
          <w:lang w:val="en-US"/>
        </w:rPr>
        <w:t xml:space="preserve">s in </w:t>
      </w:r>
      <w:proofErr w:type="gramStart"/>
      <w:r w:rsidR="00EF604C">
        <w:rPr>
          <w:lang w:val="en-US"/>
        </w:rPr>
        <w:t>I</w:t>
      </w:r>
      <w:proofErr w:type="gramEnd"/>
      <w:r w:rsidR="00EF604C">
        <w:rPr>
          <w:lang w:val="en-US"/>
        </w:rPr>
        <w:t xml:space="preserve"> and J</w:t>
      </w:r>
      <w:r w:rsidRPr="00F85958">
        <w:rPr>
          <w:lang w:val="en-US"/>
        </w:rPr>
        <w:t>. The horizontal dashed line indicate</w:t>
      </w:r>
      <w:r w:rsidR="00BA198B">
        <w:rPr>
          <w:lang w:val="en-US"/>
        </w:rPr>
        <w:t>s</w:t>
      </w:r>
      <w:r w:rsidRPr="00F85958">
        <w:rPr>
          <w:lang w:val="en-US"/>
        </w:rPr>
        <w:t xml:space="preserve"> the lower limit of the expected ranges in healthy individuals.</w:t>
      </w:r>
    </w:p>
    <w:p w:rsidR="00D46B03" w:rsidRPr="00F85958" w:rsidRDefault="00D16165" w:rsidP="00AE6A0F">
      <w:pPr>
        <w:rPr>
          <w:lang w:val="en-US"/>
        </w:rPr>
      </w:pPr>
      <w:r>
        <w:rPr>
          <w:noProof/>
          <w:lang w:val="en-US"/>
        </w:rPr>
        <w:lastRenderedPageBreak/>
        <w:drawing>
          <wp:inline distT="0" distB="0" distL="0" distR="0" wp14:anchorId="5367469D" wp14:editId="3C0CCD3A">
            <wp:extent cx="5743789" cy="453643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orschung\Medizinische Klinik 1\Mitarbeiter\Ulrik\_Laptop\Documents\Papers\01-Working\02_By_colleagues\babel - COVID immunity\Suppl_X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3789" cy="4536439"/>
                    </a:xfrm>
                    <a:prstGeom prst="rect">
                      <a:avLst/>
                    </a:prstGeom>
                    <a:noFill/>
                    <a:ln>
                      <a:noFill/>
                    </a:ln>
                  </pic:spPr>
                </pic:pic>
              </a:graphicData>
            </a:graphic>
          </wp:inline>
        </w:drawing>
      </w:r>
    </w:p>
    <w:p w:rsidR="00D94999" w:rsidRPr="00F85958" w:rsidRDefault="00AE6A0F" w:rsidP="00AE6A0F">
      <w:pPr>
        <w:pStyle w:val="berschrift2"/>
        <w:rPr>
          <w:rFonts w:ascii="Arial" w:hAnsi="Arial" w:cs="Arial"/>
          <w:sz w:val="20"/>
          <w:szCs w:val="20"/>
          <w:lang w:val="en-US"/>
        </w:rPr>
      </w:pPr>
      <w:bookmarkStart w:id="21" w:name="_Toc38892514"/>
      <w:r w:rsidRPr="00F85958">
        <w:rPr>
          <w:lang w:val="en-US"/>
        </w:rPr>
        <w:t>Figure</w:t>
      </w:r>
      <w:r w:rsidR="00D94999" w:rsidRPr="00F85958">
        <w:rPr>
          <w:lang w:val="en-US"/>
        </w:rPr>
        <w:t xml:space="preserve"> S2</w:t>
      </w:r>
      <w:r w:rsidRPr="00F85958">
        <w:rPr>
          <w:lang w:val="en-US"/>
        </w:rPr>
        <w:t>.</w:t>
      </w:r>
      <w:r w:rsidR="00D94999" w:rsidRPr="00F85958">
        <w:rPr>
          <w:lang w:val="en-US"/>
        </w:rPr>
        <w:t xml:space="preserve"> COVID-19 severity is not reflected in composition of the major immune cell populations at the follow-up visit</w:t>
      </w:r>
      <w:bookmarkEnd w:id="21"/>
    </w:p>
    <w:p w:rsidR="00D94999" w:rsidRDefault="00D94999" w:rsidP="00D94999">
      <w:pPr>
        <w:jc w:val="both"/>
        <w:rPr>
          <w:rFonts w:cstheme="minorHAnsi"/>
          <w:color w:val="000000" w:themeColor="text1"/>
          <w:lang w:val="en-US"/>
        </w:rPr>
      </w:pPr>
      <w:r w:rsidRPr="00F85958">
        <w:rPr>
          <w:rFonts w:cstheme="minorHAnsi"/>
          <w:color w:val="000000" w:themeColor="text1"/>
          <w:lang w:val="en-US"/>
        </w:rPr>
        <w:t xml:space="preserve">Circulating immune cell subsets were characterized in patients confirmed COVID-19 at the follow-up visit using multiparametric flow cytometry. In total 53 patients were analyzed divided in sub groups with moderate, severe, and critical COVID-19 manifestation. Immune cell subsets in peripheral blood were evaluated according to the gating strategy in </w:t>
      </w:r>
      <w:r w:rsidR="00DC7595">
        <w:rPr>
          <w:rFonts w:cstheme="minorHAnsi"/>
          <w:color w:val="000000" w:themeColor="text1"/>
          <w:lang w:val="en-US"/>
        </w:rPr>
        <w:t>Fig.</w:t>
      </w:r>
      <w:r w:rsidRPr="00F85958">
        <w:rPr>
          <w:rFonts w:cstheme="minorHAnsi"/>
          <w:color w:val="000000" w:themeColor="text1"/>
          <w:lang w:val="en-US"/>
        </w:rPr>
        <w:t xml:space="preserve"> </w:t>
      </w:r>
      <w:r w:rsidR="00DC7595">
        <w:rPr>
          <w:rFonts w:cstheme="minorHAnsi"/>
          <w:color w:val="000000" w:themeColor="text1"/>
          <w:lang w:val="en-US"/>
        </w:rPr>
        <w:t>S6</w:t>
      </w:r>
      <w:r w:rsidRPr="00F85958">
        <w:rPr>
          <w:rFonts w:cstheme="minorHAnsi"/>
          <w:color w:val="000000" w:themeColor="text1"/>
          <w:lang w:val="en-US"/>
        </w:rPr>
        <w:t>. Cells/</w:t>
      </w:r>
      <w:proofErr w:type="spellStart"/>
      <w:r w:rsidRPr="00F85958">
        <w:rPr>
          <w:rFonts w:cstheme="minorHAnsi"/>
          <w:color w:val="000000" w:themeColor="text1"/>
          <w:lang w:val="en-US"/>
        </w:rPr>
        <w:t>nL</w:t>
      </w:r>
      <w:proofErr w:type="spellEnd"/>
      <w:r w:rsidRPr="00F85958">
        <w:rPr>
          <w:rFonts w:cstheme="minorHAnsi"/>
          <w:color w:val="000000" w:themeColor="text1"/>
          <w:lang w:val="en-US"/>
        </w:rPr>
        <w:t xml:space="preserve"> were evaluated for (A) Lymphocytes, defined as CD45</w:t>
      </w:r>
      <w:r w:rsidRPr="00F85958">
        <w:rPr>
          <w:rFonts w:cstheme="minorHAnsi"/>
          <w:color w:val="000000" w:themeColor="text1"/>
          <w:vertAlign w:val="superscript"/>
          <w:lang w:val="en-US"/>
        </w:rPr>
        <w:t>+</w:t>
      </w:r>
      <w:r w:rsidRPr="00F85958">
        <w:rPr>
          <w:rFonts w:cstheme="minorHAnsi"/>
          <w:color w:val="000000" w:themeColor="text1"/>
          <w:lang w:val="en-US"/>
        </w:rPr>
        <w:t>SSC</w:t>
      </w:r>
      <w:r w:rsidRPr="00F85958">
        <w:rPr>
          <w:rFonts w:cstheme="minorHAnsi"/>
          <w:color w:val="000000" w:themeColor="text1"/>
          <w:vertAlign w:val="superscript"/>
          <w:lang w:val="en-US"/>
        </w:rPr>
        <w:t>low</w:t>
      </w:r>
      <w:r w:rsidRPr="00F85958">
        <w:rPr>
          <w:rFonts w:cstheme="minorHAnsi"/>
          <w:color w:val="000000" w:themeColor="text1"/>
          <w:lang w:val="en-US"/>
        </w:rPr>
        <w:t>, (B) Granulocytes, defined as CD45</w:t>
      </w:r>
      <w:r w:rsidRPr="00F85958">
        <w:rPr>
          <w:rFonts w:cstheme="minorHAnsi"/>
          <w:color w:val="000000" w:themeColor="text1"/>
          <w:vertAlign w:val="superscript"/>
          <w:lang w:val="en-US"/>
        </w:rPr>
        <w:t>+</w:t>
      </w:r>
      <w:r w:rsidRPr="00F85958">
        <w:rPr>
          <w:rFonts w:cstheme="minorHAnsi"/>
          <w:color w:val="000000" w:themeColor="text1"/>
          <w:lang w:val="en-US"/>
        </w:rPr>
        <w:t>SSC</w:t>
      </w:r>
      <w:r w:rsidRPr="00F85958">
        <w:rPr>
          <w:rFonts w:cstheme="minorHAnsi"/>
          <w:color w:val="000000" w:themeColor="text1"/>
          <w:vertAlign w:val="superscript"/>
          <w:lang w:val="en-US"/>
        </w:rPr>
        <w:t>high</w:t>
      </w:r>
      <w:r w:rsidRPr="00F85958">
        <w:rPr>
          <w:rFonts w:cstheme="minorHAnsi"/>
          <w:color w:val="000000" w:themeColor="text1"/>
          <w:lang w:val="en-US"/>
        </w:rPr>
        <w:t>, and (C) Monocytes, defined as CD45</w:t>
      </w:r>
      <w:r w:rsidRPr="00F85958">
        <w:rPr>
          <w:rFonts w:cstheme="minorHAnsi"/>
          <w:color w:val="000000" w:themeColor="text1"/>
          <w:vertAlign w:val="superscript"/>
          <w:lang w:val="en-US"/>
        </w:rPr>
        <w:t>+</w:t>
      </w:r>
      <w:r w:rsidRPr="00F85958">
        <w:rPr>
          <w:rFonts w:cstheme="minorHAnsi"/>
          <w:color w:val="000000" w:themeColor="text1"/>
          <w:lang w:val="en-US"/>
        </w:rPr>
        <w:t>SSC</w:t>
      </w:r>
      <w:r w:rsidRPr="00F85958">
        <w:rPr>
          <w:rFonts w:cstheme="minorHAnsi"/>
          <w:color w:val="000000" w:themeColor="text1"/>
          <w:vertAlign w:val="superscript"/>
          <w:lang w:val="en-US"/>
        </w:rPr>
        <w:t>intermediate</w:t>
      </w:r>
      <w:r w:rsidRPr="00F85958">
        <w:rPr>
          <w:rFonts w:cstheme="minorHAnsi"/>
          <w:color w:val="000000" w:themeColor="text1"/>
          <w:lang w:val="en-US"/>
        </w:rPr>
        <w:t>. Within the lymphocytes the cells/</w:t>
      </w:r>
      <w:proofErr w:type="spellStart"/>
      <w:r w:rsidRPr="00F85958">
        <w:rPr>
          <w:rFonts w:cstheme="minorHAnsi"/>
          <w:color w:val="000000" w:themeColor="text1"/>
          <w:lang w:val="en-US"/>
        </w:rPr>
        <w:t>nL</w:t>
      </w:r>
      <w:proofErr w:type="spellEnd"/>
      <w:r w:rsidRPr="00F85958">
        <w:rPr>
          <w:rFonts w:cstheme="minorHAnsi"/>
          <w:color w:val="000000" w:themeColor="text1"/>
          <w:lang w:val="en-US"/>
        </w:rPr>
        <w:t xml:space="preserve"> were assessed for (D) T</w:t>
      </w:r>
      <w:r w:rsidR="003F1F85">
        <w:rPr>
          <w:rFonts w:cstheme="minorHAnsi"/>
          <w:color w:val="000000" w:themeColor="text1"/>
          <w:lang w:val="en-US"/>
        </w:rPr>
        <w:t>-cell</w:t>
      </w:r>
      <w:r w:rsidRPr="00F85958">
        <w:rPr>
          <w:rFonts w:cstheme="minorHAnsi"/>
          <w:color w:val="000000" w:themeColor="text1"/>
          <w:lang w:val="en-US"/>
        </w:rPr>
        <w:t>s, defined as CD3</w:t>
      </w:r>
      <w:r w:rsidRPr="00F85958">
        <w:rPr>
          <w:rFonts w:cstheme="minorHAnsi"/>
          <w:color w:val="000000" w:themeColor="text1"/>
          <w:vertAlign w:val="superscript"/>
          <w:lang w:val="en-US"/>
        </w:rPr>
        <w:t>+</w:t>
      </w:r>
      <w:r w:rsidRPr="00F85958">
        <w:rPr>
          <w:rFonts w:cstheme="minorHAnsi"/>
          <w:color w:val="000000" w:themeColor="text1"/>
          <w:lang w:val="en-US"/>
        </w:rPr>
        <w:t xml:space="preserve"> lymphocytes, (E) B</w:t>
      </w:r>
      <w:r w:rsidR="003F1F85">
        <w:rPr>
          <w:rFonts w:cstheme="minorHAnsi"/>
          <w:color w:val="000000" w:themeColor="text1"/>
          <w:lang w:val="en-US"/>
        </w:rPr>
        <w:t>-cell</w:t>
      </w:r>
      <w:r w:rsidRPr="00F85958">
        <w:rPr>
          <w:rFonts w:cstheme="minorHAnsi"/>
          <w:color w:val="000000" w:themeColor="text1"/>
          <w:lang w:val="en-US"/>
        </w:rPr>
        <w:t>s, defined as CD19</w:t>
      </w:r>
      <w:r w:rsidRPr="00F85958">
        <w:rPr>
          <w:rFonts w:cstheme="minorHAnsi"/>
          <w:color w:val="000000" w:themeColor="text1"/>
          <w:vertAlign w:val="superscript"/>
          <w:lang w:val="en-US"/>
        </w:rPr>
        <w:t>+</w:t>
      </w:r>
      <w:r w:rsidRPr="00F85958">
        <w:rPr>
          <w:rFonts w:cstheme="minorHAnsi"/>
          <w:color w:val="000000" w:themeColor="text1"/>
          <w:lang w:val="en-US"/>
        </w:rPr>
        <w:t>CD3</w:t>
      </w:r>
      <w:r w:rsidRPr="00F85958">
        <w:rPr>
          <w:rFonts w:cstheme="minorHAnsi"/>
          <w:color w:val="000000" w:themeColor="text1"/>
          <w:lang w:val="en-US"/>
        </w:rPr>
        <w:softHyphen/>
      </w:r>
      <w:r w:rsidRPr="00F85958">
        <w:rPr>
          <w:rFonts w:cstheme="minorHAnsi"/>
          <w:color w:val="000000" w:themeColor="text1"/>
          <w:vertAlign w:val="superscript"/>
          <w:lang w:val="en-US"/>
        </w:rPr>
        <w:t>–</w:t>
      </w:r>
      <w:r w:rsidRPr="00F85958">
        <w:rPr>
          <w:rFonts w:cstheme="minorHAnsi"/>
          <w:color w:val="000000" w:themeColor="text1"/>
          <w:lang w:val="en-US"/>
        </w:rPr>
        <w:t>, (F) natural killer cells (NK), defined as CD56</w:t>
      </w:r>
      <w:r w:rsidRPr="00F85958">
        <w:rPr>
          <w:rFonts w:cstheme="minorHAnsi"/>
          <w:color w:val="000000" w:themeColor="text1"/>
          <w:vertAlign w:val="superscript"/>
          <w:lang w:val="en-US"/>
        </w:rPr>
        <w:t>+</w:t>
      </w:r>
      <w:r w:rsidRPr="00F85958">
        <w:rPr>
          <w:rFonts w:cstheme="minorHAnsi"/>
          <w:color w:val="000000" w:themeColor="text1"/>
          <w:lang w:val="en-US"/>
        </w:rPr>
        <w:t>CD3</w:t>
      </w:r>
      <w:r w:rsidRPr="00F85958">
        <w:rPr>
          <w:rFonts w:cstheme="minorHAnsi"/>
          <w:color w:val="000000" w:themeColor="text1"/>
          <w:vertAlign w:val="superscript"/>
          <w:lang w:val="en-US"/>
        </w:rPr>
        <w:t>–</w:t>
      </w:r>
      <w:r w:rsidRPr="00F85958">
        <w:rPr>
          <w:rFonts w:cstheme="minorHAnsi"/>
          <w:color w:val="000000" w:themeColor="text1"/>
          <w:lang w:val="en-US"/>
        </w:rPr>
        <w:t>. (G) The cell count/</w:t>
      </w:r>
      <w:proofErr w:type="spellStart"/>
      <w:r w:rsidRPr="00F85958">
        <w:rPr>
          <w:rFonts w:cstheme="minorHAnsi"/>
          <w:color w:val="000000" w:themeColor="text1"/>
          <w:lang w:val="en-US"/>
        </w:rPr>
        <w:t>nL</w:t>
      </w:r>
      <w:proofErr w:type="spellEnd"/>
      <w:r w:rsidRPr="00F85958">
        <w:rPr>
          <w:rFonts w:cstheme="minorHAnsi"/>
          <w:color w:val="000000" w:themeColor="text1"/>
          <w:lang w:val="en-US"/>
        </w:rPr>
        <w:t xml:space="preserve"> of the Granulocyte subpopulation Eosinophils, defined as CD45</w:t>
      </w:r>
      <w:r w:rsidRPr="00F85958">
        <w:rPr>
          <w:rFonts w:cstheme="minorHAnsi"/>
          <w:color w:val="000000" w:themeColor="text1"/>
          <w:vertAlign w:val="superscript"/>
          <w:lang w:val="en-US"/>
        </w:rPr>
        <w:t>+</w:t>
      </w:r>
      <w:r w:rsidRPr="00F85958">
        <w:rPr>
          <w:rFonts w:cstheme="minorHAnsi"/>
          <w:color w:val="000000" w:themeColor="text1"/>
          <w:lang w:val="en-US"/>
        </w:rPr>
        <w:t>SSC</w:t>
      </w:r>
      <w:r w:rsidRPr="00F85958">
        <w:rPr>
          <w:rFonts w:cstheme="minorHAnsi"/>
          <w:color w:val="000000" w:themeColor="text1"/>
          <w:vertAlign w:val="superscript"/>
          <w:lang w:val="en-US"/>
        </w:rPr>
        <w:t>high</w:t>
      </w:r>
      <w:r w:rsidRPr="00F85958">
        <w:rPr>
          <w:rFonts w:cstheme="minorHAnsi"/>
          <w:color w:val="000000" w:themeColor="text1"/>
          <w:lang w:val="en-US"/>
        </w:rPr>
        <w:t>CD16</w:t>
      </w:r>
      <w:r w:rsidRPr="00F85958">
        <w:rPr>
          <w:rFonts w:cstheme="minorHAnsi"/>
          <w:color w:val="000000" w:themeColor="text1"/>
          <w:vertAlign w:val="superscript"/>
          <w:lang w:val="en-US"/>
        </w:rPr>
        <w:t>–</w:t>
      </w:r>
      <w:r w:rsidRPr="00F85958">
        <w:rPr>
          <w:rFonts w:cstheme="minorHAnsi"/>
          <w:color w:val="000000" w:themeColor="text1"/>
          <w:lang w:val="en-US"/>
        </w:rPr>
        <w:t xml:space="preserve">. The frequency of (H) </w:t>
      </w:r>
      <w:r w:rsidR="00747269">
        <w:rPr>
          <w:rFonts w:cstheme="minorHAnsi"/>
          <w:color w:val="000000" w:themeColor="text1"/>
          <w:lang w:val="en-US"/>
        </w:rPr>
        <w:t xml:space="preserve">lymphocytes in whole blood, (I) </w:t>
      </w:r>
      <w:r w:rsidR="003F1F85">
        <w:rPr>
          <w:rFonts w:cstheme="minorHAnsi"/>
          <w:color w:val="000000" w:themeColor="text1"/>
          <w:lang w:val="en-US"/>
        </w:rPr>
        <w:t>T-</w:t>
      </w:r>
      <w:r w:rsidRPr="00F85958">
        <w:rPr>
          <w:rFonts w:cstheme="minorHAnsi"/>
          <w:color w:val="000000" w:themeColor="text1"/>
          <w:lang w:val="en-US"/>
        </w:rPr>
        <w:t>helper cells, defined as CD3</w:t>
      </w:r>
      <w:r w:rsidRPr="00F85958">
        <w:rPr>
          <w:rFonts w:cstheme="minorHAnsi"/>
          <w:color w:val="000000" w:themeColor="text1"/>
          <w:vertAlign w:val="superscript"/>
          <w:lang w:val="en-US"/>
        </w:rPr>
        <w:t>+</w:t>
      </w:r>
      <w:r w:rsidRPr="00F85958">
        <w:rPr>
          <w:rFonts w:cstheme="minorHAnsi"/>
          <w:color w:val="000000" w:themeColor="text1"/>
          <w:lang w:val="en-US"/>
        </w:rPr>
        <w:t>CD4</w:t>
      </w:r>
      <w:r w:rsidRPr="00F85958">
        <w:rPr>
          <w:rFonts w:cstheme="minorHAnsi"/>
          <w:color w:val="000000" w:themeColor="text1"/>
          <w:vertAlign w:val="superscript"/>
          <w:lang w:val="en-US"/>
        </w:rPr>
        <w:t>+</w:t>
      </w:r>
      <w:r w:rsidRPr="00F85958">
        <w:rPr>
          <w:rFonts w:cstheme="minorHAnsi"/>
          <w:color w:val="000000" w:themeColor="text1"/>
          <w:lang w:val="en-US"/>
        </w:rPr>
        <w:t>CD8</w:t>
      </w:r>
      <w:r w:rsidRPr="00F85958">
        <w:rPr>
          <w:rFonts w:cstheme="minorHAnsi"/>
          <w:color w:val="000000" w:themeColor="text1"/>
          <w:vertAlign w:val="superscript"/>
          <w:lang w:val="en-US"/>
        </w:rPr>
        <w:t>–</w:t>
      </w:r>
      <w:r w:rsidR="00747269">
        <w:rPr>
          <w:rFonts w:cstheme="minorHAnsi"/>
          <w:color w:val="000000" w:themeColor="text1"/>
          <w:lang w:val="en-US"/>
        </w:rPr>
        <w:t xml:space="preserve"> and (J</w:t>
      </w:r>
      <w:r w:rsidRPr="00F85958">
        <w:rPr>
          <w:rFonts w:cstheme="minorHAnsi"/>
          <w:color w:val="000000" w:themeColor="text1"/>
          <w:lang w:val="en-US"/>
        </w:rPr>
        <w:t>) cytotoxic T</w:t>
      </w:r>
      <w:r w:rsidR="003F1F85">
        <w:rPr>
          <w:rFonts w:cstheme="minorHAnsi"/>
          <w:color w:val="000000" w:themeColor="text1"/>
          <w:lang w:val="en-US"/>
        </w:rPr>
        <w:t>-cell</w:t>
      </w:r>
      <w:r w:rsidRPr="00F85958">
        <w:rPr>
          <w:rFonts w:cstheme="minorHAnsi"/>
          <w:color w:val="000000" w:themeColor="text1"/>
          <w:lang w:val="en-US"/>
        </w:rPr>
        <w:t>s identified as CD3</w:t>
      </w:r>
      <w:r w:rsidRPr="00F85958">
        <w:rPr>
          <w:rFonts w:cstheme="minorHAnsi"/>
          <w:color w:val="000000" w:themeColor="text1"/>
          <w:vertAlign w:val="superscript"/>
          <w:lang w:val="en-US"/>
        </w:rPr>
        <w:t>+</w:t>
      </w:r>
      <w:r w:rsidRPr="00F85958">
        <w:rPr>
          <w:rFonts w:cstheme="minorHAnsi"/>
          <w:color w:val="000000" w:themeColor="text1"/>
          <w:lang w:val="en-US"/>
        </w:rPr>
        <w:t>CD8</w:t>
      </w:r>
      <w:r w:rsidRPr="00F85958">
        <w:rPr>
          <w:rFonts w:cstheme="minorHAnsi"/>
          <w:color w:val="000000" w:themeColor="text1"/>
          <w:vertAlign w:val="superscript"/>
          <w:lang w:val="en-US"/>
        </w:rPr>
        <w:t>+</w:t>
      </w:r>
      <w:r w:rsidRPr="00F85958">
        <w:rPr>
          <w:rFonts w:cstheme="minorHAnsi"/>
          <w:color w:val="000000" w:themeColor="text1"/>
          <w:lang w:val="en-US"/>
        </w:rPr>
        <w:t>CD4</w:t>
      </w:r>
      <w:r w:rsidRPr="00F85958">
        <w:rPr>
          <w:rFonts w:cstheme="minorHAnsi"/>
          <w:color w:val="000000" w:themeColor="text1"/>
          <w:vertAlign w:val="superscript"/>
          <w:lang w:val="en-US"/>
        </w:rPr>
        <w:t>–</w:t>
      </w:r>
      <w:r w:rsidRPr="00F85958">
        <w:rPr>
          <w:rFonts w:cstheme="minorHAnsi"/>
          <w:color w:val="000000" w:themeColor="text1"/>
          <w:lang w:val="en-US"/>
        </w:rPr>
        <w:t xml:space="preserve"> among CD3</w:t>
      </w:r>
      <w:r w:rsidRPr="00F85958">
        <w:rPr>
          <w:rFonts w:cstheme="minorHAnsi"/>
          <w:color w:val="000000" w:themeColor="text1"/>
          <w:vertAlign w:val="superscript"/>
          <w:lang w:val="en-US"/>
        </w:rPr>
        <w:t>+</w:t>
      </w:r>
      <w:r w:rsidR="00747269">
        <w:rPr>
          <w:rFonts w:cstheme="minorHAnsi"/>
          <w:color w:val="000000" w:themeColor="text1"/>
          <w:lang w:val="en-US"/>
        </w:rPr>
        <w:t xml:space="preserve"> T</w:t>
      </w:r>
      <w:r w:rsidR="003F1F85">
        <w:rPr>
          <w:rFonts w:cstheme="minorHAnsi"/>
          <w:color w:val="000000" w:themeColor="text1"/>
          <w:lang w:val="en-US"/>
        </w:rPr>
        <w:t>-cell</w:t>
      </w:r>
      <w:r w:rsidR="00747269">
        <w:rPr>
          <w:rFonts w:cstheme="minorHAnsi"/>
          <w:color w:val="000000" w:themeColor="text1"/>
          <w:lang w:val="en-US"/>
        </w:rPr>
        <w:t>s. (K</w:t>
      </w:r>
      <w:r w:rsidRPr="00F85958">
        <w:rPr>
          <w:rFonts w:cstheme="minorHAnsi"/>
          <w:color w:val="000000" w:themeColor="text1"/>
          <w:lang w:val="en-US"/>
        </w:rPr>
        <w:t xml:space="preserve">) </w:t>
      </w:r>
      <w:r w:rsidR="00DD6057">
        <w:rPr>
          <w:rFonts w:cstheme="minorHAnsi"/>
          <w:color w:val="000000" w:themeColor="text1"/>
          <w:lang w:val="en-US"/>
        </w:rPr>
        <w:t>R</w:t>
      </w:r>
      <w:r w:rsidR="00DD6057" w:rsidRPr="00F85958">
        <w:rPr>
          <w:rFonts w:cstheme="minorHAnsi"/>
          <w:color w:val="000000" w:themeColor="text1"/>
          <w:lang w:val="en-US"/>
        </w:rPr>
        <w:t xml:space="preserve">atio </w:t>
      </w:r>
      <w:r w:rsidRPr="00F85958">
        <w:rPr>
          <w:rFonts w:cstheme="minorHAnsi"/>
          <w:color w:val="000000" w:themeColor="text1"/>
          <w:lang w:val="en-US"/>
        </w:rPr>
        <w:t>of CD4</w:t>
      </w:r>
      <w:r w:rsidRPr="00F85958">
        <w:rPr>
          <w:rFonts w:cstheme="minorHAnsi"/>
          <w:color w:val="000000" w:themeColor="text1"/>
          <w:vertAlign w:val="superscript"/>
          <w:lang w:val="en-US"/>
        </w:rPr>
        <w:t>+</w:t>
      </w:r>
      <w:r w:rsidRPr="00F85958">
        <w:rPr>
          <w:rFonts w:cstheme="minorHAnsi"/>
          <w:color w:val="000000" w:themeColor="text1"/>
          <w:lang w:val="en-US"/>
        </w:rPr>
        <w:t xml:space="preserve"> and CD8</w:t>
      </w:r>
      <w:r w:rsidRPr="00F85958">
        <w:rPr>
          <w:rFonts w:cstheme="minorHAnsi"/>
          <w:color w:val="000000" w:themeColor="text1"/>
          <w:vertAlign w:val="superscript"/>
          <w:lang w:val="en-US"/>
        </w:rPr>
        <w:t>+</w:t>
      </w:r>
      <w:r w:rsidR="00EF604C">
        <w:rPr>
          <w:rFonts w:cstheme="minorHAnsi"/>
          <w:color w:val="000000" w:themeColor="text1"/>
          <w:lang w:val="en-US"/>
        </w:rPr>
        <w:t xml:space="preserve"> T</w:t>
      </w:r>
      <w:r w:rsidR="003F1F85">
        <w:rPr>
          <w:rFonts w:cstheme="minorHAnsi"/>
          <w:color w:val="000000" w:themeColor="text1"/>
          <w:lang w:val="en-US"/>
        </w:rPr>
        <w:t>-cell</w:t>
      </w:r>
      <w:r w:rsidR="00EF604C">
        <w:rPr>
          <w:rFonts w:cstheme="minorHAnsi"/>
          <w:color w:val="000000" w:themeColor="text1"/>
          <w:lang w:val="en-US"/>
        </w:rPr>
        <w:t xml:space="preserve">s in </w:t>
      </w:r>
      <w:proofErr w:type="gramStart"/>
      <w:r w:rsidR="00EF604C">
        <w:rPr>
          <w:rFonts w:cstheme="minorHAnsi"/>
          <w:color w:val="000000" w:themeColor="text1"/>
          <w:lang w:val="en-US"/>
        </w:rPr>
        <w:t>I</w:t>
      </w:r>
      <w:proofErr w:type="gramEnd"/>
      <w:r w:rsidR="00EF604C">
        <w:rPr>
          <w:rFonts w:cstheme="minorHAnsi"/>
          <w:color w:val="000000" w:themeColor="text1"/>
          <w:lang w:val="en-US"/>
        </w:rPr>
        <w:t xml:space="preserve"> and J</w:t>
      </w:r>
      <w:r w:rsidRPr="00F85958">
        <w:rPr>
          <w:rFonts w:cstheme="minorHAnsi"/>
          <w:color w:val="000000" w:themeColor="text1"/>
          <w:lang w:val="en-US"/>
        </w:rPr>
        <w:t xml:space="preserve">. The horizontal dashed </w:t>
      </w:r>
      <w:r w:rsidR="00747269" w:rsidRPr="00F85958">
        <w:rPr>
          <w:rFonts w:cstheme="minorHAnsi"/>
          <w:color w:val="000000" w:themeColor="text1"/>
          <w:lang w:val="en-US"/>
        </w:rPr>
        <w:t>line indicates</w:t>
      </w:r>
      <w:r w:rsidRPr="00F85958">
        <w:rPr>
          <w:rFonts w:cstheme="minorHAnsi"/>
          <w:color w:val="000000" w:themeColor="text1"/>
          <w:lang w:val="en-US"/>
        </w:rPr>
        <w:t xml:space="preserve"> the lower limit of the expected ranges </w:t>
      </w:r>
      <w:r w:rsidR="00D46B03" w:rsidRPr="00F85958">
        <w:rPr>
          <w:rFonts w:cstheme="minorHAnsi"/>
          <w:color w:val="000000" w:themeColor="text1"/>
          <w:lang w:val="en-US"/>
        </w:rPr>
        <w:t>in healthy individuals.</w:t>
      </w:r>
    </w:p>
    <w:p w:rsidR="00A95F33" w:rsidRDefault="00A95F33">
      <w:pPr>
        <w:spacing w:line="480" w:lineRule="auto"/>
        <w:ind w:firstLine="360"/>
        <w:rPr>
          <w:rFonts w:cstheme="minorHAnsi"/>
          <w:color w:val="000000" w:themeColor="text1"/>
          <w:lang w:val="en-US"/>
        </w:rPr>
      </w:pPr>
      <w:r>
        <w:rPr>
          <w:rFonts w:cstheme="minorHAnsi"/>
          <w:color w:val="000000" w:themeColor="text1"/>
          <w:lang w:val="en-US"/>
        </w:rPr>
        <w:br w:type="page"/>
      </w:r>
    </w:p>
    <w:p w:rsidR="00D46B03" w:rsidRPr="00F85958" w:rsidRDefault="00D16165" w:rsidP="00D94999">
      <w:pPr>
        <w:jc w:val="both"/>
        <w:rPr>
          <w:rFonts w:cstheme="minorHAnsi"/>
          <w:color w:val="000000" w:themeColor="text1"/>
          <w:lang w:val="en-US"/>
        </w:rPr>
      </w:pPr>
      <w:r>
        <w:rPr>
          <w:rFonts w:cstheme="minorHAnsi"/>
          <w:noProof/>
          <w:color w:val="000000" w:themeColor="text1"/>
          <w:lang w:val="en-US"/>
        </w:rPr>
        <w:lastRenderedPageBreak/>
        <w:drawing>
          <wp:inline distT="0" distB="0" distL="0" distR="0" wp14:anchorId="0F6B319D" wp14:editId="1E5B1274">
            <wp:extent cx="5759065" cy="4548505"/>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orschung\Medizinische Klinik 1\Mitarbeiter\Ulrik\_Laptop\Documents\Papers\01-Working\02_By_colleagues\babel - COVID immunity\Suppl_X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065" cy="4548505"/>
                    </a:xfrm>
                    <a:prstGeom prst="rect">
                      <a:avLst/>
                    </a:prstGeom>
                    <a:noFill/>
                    <a:ln>
                      <a:noFill/>
                    </a:ln>
                  </pic:spPr>
                </pic:pic>
              </a:graphicData>
            </a:graphic>
          </wp:inline>
        </w:drawing>
      </w:r>
    </w:p>
    <w:p w:rsidR="00D94999" w:rsidRPr="00F85958" w:rsidRDefault="00D94999" w:rsidP="00AE6A0F">
      <w:pPr>
        <w:pStyle w:val="berschrift2"/>
        <w:rPr>
          <w:rFonts w:ascii="Arial" w:hAnsi="Arial" w:cs="Arial"/>
          <w:sz w:val="20"/>
          <w:szCs w:val="20"/>
          <w:lang w:val="en-US"/>
        </w:rPr>
      </w:pPr>
      <w:bookmarkStart w:id="22" w:name="_Toc38892515"/>
      <w:r w:rsidRPr="00F85958">
        <w:rPr>
          <w:lang w:val="en-US"/>
        </w:rPr>
        <w:t>Fig</w:t>
      </w:r>
      <w:r w:rsidR="00AE6A0F" w:rsidRPr="00F85958">
        <w:rPr>
          <w:lang w:val="en-US"/>
        </w:rPr>
        <w:t>ure</w:t>
      </w:r>
      <w:r w:rsidRPr="00F85958">
        <w:rPr>
          <w:lang w:val="en-US"/>
        </w:rPr>
        <w:t xml:space="preserve"> S3</w:t>
      </w:r>
      <w:r w:rsidR="00AE6A0F" w:rsidRPr="00F85958">
        <w:rPr>
          <w:lang w:val="en-US"/>
        </w:rPr>
        <w:t>.</w:t>
      </w:r>
      <w:r w:rsidRPr="00F85958">
        <w:rPr>
          <w:lang w:val="en-US"/>
        </w:rPr>
        <w:t xml:space="preserve"> Decrease of lymphocyte frequencies with differentiated and activated cytotoxic phenotype in patients with severe or critical COVID-19 at the follow-up visit</w:t>
      </w:r>
      <w:bookmarkEnd w:id="22"/>
    </w:p>
    <w:p w:rsidR="00D94999" w:rsidRDefault="00D94999" w:rsidP="00D94999">
      <w:pPr>
        <w:rPr>
          <w:rFonts w:cstheme="minorHAnsi"/>
          <w:lang w:val="en-US"/>
        </w:rPr>
      </w:pPr>
      <w:r w:rsidRPr="00F85958">
        <w:rPr>
          <w:rFonts w:cstheme="minorHAnsi"/>
          <w:lang w:val="en-US"/>
        </w:rPr>
        <w:t>Peripheral blood from patients with moderate, severe or critical COVID-19 manifestations was subjected to evaluation for differentiation and activation state of T</w:t>
      </w:r>
      <w:r w:rsidR="009F4892">
        <w:rPr>
          <w:rFonts w:cstheme="minorHAnsi"/>
          <w:lang w:val="en-US"/>
        </w:rPr>
        <w:t>-</w:t>
      </w:r>
      <w:r w:rsidRPr="00F85958">
        <w:rPr>
          <w:rFonts w:cstheme="minorHAnsi"/>
          <w:lang w:val="en-US"/>
        </w:rPr>
        <w:t xml:space="preserve"> and B</w:t>
      </w:r>
      <w:r w:rsidR="003F1F85">
        <w:rPr>
          <w:rFonts w:cstheme="minorHAnsi"/>
          <w:lang w:val="en-US"/>
        </w:rPr>
        <w:t>-cell</w:t>
      </w:r>
      <w:r w:rsidRPr="00F85958">
        <w:rPr>
          <w:rFonts w:cstheme="minorHAnsi"/>
          <w:lang w:val="en-US"/>
        </w:rPr>
        <w:t xml:space="preserve"> subsets at the follow-up visit using multiparametric flow cytometry. The subsets of the CD3</w:t>
      </w:r>
      <w:r w:rsidRPr="00F85958">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and the CD19</w:t>
      </w:r>
      <w:r w:rsidRPr="00F85958">
        <w:rPr>
          <w:rFonts w:cstheme="minorHAnsi"/>
          <w:vertAlign w:val="superscript"/>
          <w:lang w:val="en-US"/>
        </w:rPr>
        <w:t>+</w:t>
      </w:r>
      <w:r w:rsidRPr="00F85958">
        <w:rPr>
          <w:rFonts w:cstheme="minorHAnsi"/>
          <w:lang w:val="en-US"/>
        </w:rPr>
        <w:t xml:space="preserve"> B lymphocyte were identified according to the gating strategy </w:t>
      </w:r>
      <w:r w:rsidR="00DC7595">
        <w:rPr>
          <w:rFonts w:cstheme="minorHAnsi"/>
          <w:lang w:val="en-US"/>
        </w:rPr>
        <w:t>Fig. S7-S9</w:t>
      </w:r>
      <w:r w:rsidRPr="00F85958">
        <w:rPr>
          <w:rFonts w:cstheme="minorHAnsi"/>
          <w:lang w:val="en-US"/>
        </w:rPr>
        <w:t>. (A-B) Frequency of central memory, defined as CCR7</w:t>
      </w:r>
      <w:r w:rsidRPr="00F85958">
        <w:rPr>
          <w:rFonts w:cstheme="minorHAnsi"/>
          <w:vertAlign w:val="superscript"/>
          <w:lang w:val="en-US"/>
        </w:rPr>
        <w:t>+</w:t>
      </w:r>
      <w:r w:rsidRPr="00F85958">
        <w:rPr>
          <w:rFonts w:cstheme="minorHAnsi"/>
          <w:lang w:val="en-US"/>
        </w:rPr>
        <w:t>CD45RA</w:t>
      </w:r>
      <w:r w:rsidRPr="00F85958">
        <w:rPr>
          <w:rFonts w:cstheme="minorHAnsi"/>
          <w:vertAlign w:val="superscript"/>
          <w:lang w:val="en-US"/>
        </w:rPr>
        <w:t>–</w:t>
      </w:r>
      <w:r w:rsidRPr="00F85958">
        <w:rPr>
          <w:rFonts w:cstheme="minorHAnsi"/>
          <w:lang w:val="en-US"/>
        </w:rPr>
        <w:t>, among CD4</w:t>
      </w:r>
      <w:r w:rsidRPr="00F85958">
        <w:rPr>
          <w:rFonts w:cstheme="minorHAnsi"/>
          <w:vertAlign w:val="superscript"/>
          <w:lang w:val="en-US"/>
        </w:rPr>
        <w:t>+</w:t>
      </w:r>
      <w:r w:rsidRPr="00F85958">
        <w:rPr>
          <w:rFonts w:cstheme="minorHAnsi"/>
          <w:lang w:val="en-US"/>
        </w:rPr>
        <w:t xml:space="preserve"> (A) and CD8</w:t>
      </w:r>
      <w:r w:rsidRPr="00F85958">
        <w:rPr>
          <w:rFonts w:cstheme="minorHAnsi"/>
          <w:vertAlign w:val="superscript"/>
          <w:lang w:val="en-US"/>
        </w:rPr>
        <w:t>+</w:t>
      </w:r>
      <w:r w:rsidRPr="00F85958">
        <w:rPr>
          <w:rFonts w:cstheme="minorHAnsi"/>
          <w:lang w:val="en-US"/>
        </w:rPr>
        <w:t xml:space="preserve"> (B) CD3+ T</w:t>
      </w:r>
      <w:r w:rsidR="003F1F85">
        <w:rPr>
          <w:rFonts w:cstheme="minorHAnsi"/>
          <w:lang w:val="en-US"/>
        </w:rPr>
        <w:t xml:space="preserve">-cells. (C-D) Frequency of </w:t>
      </w:r>
      <w:r w:rsidRPr="00F85958">
        <w:rPr>
          <w:rFonts w:cstheme="minorHAnsi"/>
          <w:lang w:val="en-US"/>
        </w:rPr>
        <w:t>terminally differentiated effector T</w:t>
      </w:r>
      <w:r w:rsidR="003F1F85">
        <w:rPr>
          <w:rFonts w:cstheme="minorHAnsi"/>
          <w:lang w:val="en-US"/>
        </w:rPr>
        <w:t>-cell</w:t>
      </w:r>
      <w:r w:rsidRPr="00F85958">
        <w:rPr>
          <w:rFonts w:cstheme="minorHAnsi"/>
          <w:lang w:val="en-US"/>
        </w:rPr>
        <w:t>s (TEMRA), defined as CCR7</w:t>
      </w:r>
      <w:r w:rsidRPr="00F85958">
        <w:rPr>
          <w:rFonts w:cstheme="minorHAnsi"/>
          <w:vertAlign w:val="superscript"/>
          <w:lang w:val="en-US"/>
        </w:rPr>
        <w:t>–</w:t>
      </w:r>
      <w:r w:rsidRPr="00F85958">
        <w:rPr>
          <w:rFonts w:cstheme="minorHAnsi"/>
          <w:lang w:val="en-US"/>
        </w:rPr>
        <w:t>CD45RA</w:t>
      </w:r>
      <w:r w:rsidRPr="00F85958">
        <w:rPr>
          <w:rFonts w:cstheme="minorHAnsi"/>
          <w:vertAlign w:val="superscript"/>
          <w:lang w:val="en-US"/>
        </w:rPr>
        <w:t>+</w:t>
      </w:r>
      <w:r w:rsidRPr="00F85958">
        <w:rPr>
          <w:rFonts w:cstheme="minorHAnsi"/>
          <w:lang w:val="en-US"/>
        </w:rPr>
        <w:t>, among CD4</w:t>
      </w:r>
      <w:r w:rsidRPr="00F85958">
        <w:rPr>
          <w:rFonts w:cstheme="minorHAnsi"/>
          <w:vertAlign w:val="superscript"/>
          <w:lang w:val="en-US"/>
        </w:rPr>
        <w:t>+</w:t>
      </w:r>
      <w:r w:rsidRPr="00F85958">
        <w:rPr>
          <w:rFonts w:cstheme="minorHAnsi"/>
          <w:lang w:val="en-US"/>
        </w:rPr>
        <w:t xml:space="preserve"> (C) and CD8</w:t>
      </w:r>
      <w:r w:rsidRPr="00F85958">
        <w:rPr>
          <w:rFonts w:cstheme="minorHAnsi"/>
          <w:vertAlign w:val="superscript"/>
          <w:lang w:val="en-US"/>
        </w:rPr>
        <w:t>+</w:t>
      </w:r>
      <w:r w:rsidRPr="00F85958">
        <w:rPr>
          <w:rFonts w:cstheme="minorHAnsi"/>
          <w:lang w:val="en-US"/>
        </w:rPr>
        <w:t xml:space="preserve"> (D) CD3</w:t>
      </w:r>
      <w:r w:rsidRPr="00C81646">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(E-F) The frequency of HLA-DR expressing cells among CD4</w:t>
      </w:r>
      <w:r w:rsidRPr="00F85958">
        <w:rPr>
          <w:rFonts w:cstheme="minorHAnsi"/>
          <w:vertAlign w:val="superscript"/>
          <w:lang w:val="en-US"/>
        </w:rPr>
        <w:t>+</w:t>
      </w:r>
      <w:r w:rsidRPr="00F85958">
        <w:rPr>
          <w:rFonts w:cstheme="minorHAnsi"/>
          <w:lang w:val="en-US"/>
        </w:rPr>
        <w:t xml:space="preserve"> (E) and CD8</w:t>
      </w:r>
      <w:r w:rsidRPr="00F85958">
        <w:rPr>
          <w:rFonts w:cstheme="minorHAnsi"/>
          <w:vertAlign w:val="superscript"/>
          <w:lang w:val="en-US"/>
        </w:rPr>
        <w:t>+</w:t>
      </w:r>
      <w:r w:rsidRPr="00F85958">
        <w:rPr>
          <w:rFonts w:cstheme="minorHAnsi"/>
          <w:lang w:val="en-US"/>
        </w:rPr>
        <w:t xml:space="preserve"> (F) CD3</w:t>
      </w:r>
      <w:r w:rsidRPr="00C81646">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(G-H) The frequency of CD57 positive cells among CD4</w:t>
      </w:r>
      <w:r w:rsidRPr="00F85958">
        <w:rPr>
          <w:rFonts w:cstheme="minorHAnsi"/>
          <w:vertAlign w:val="superscript"/>
          <w:lang w:val="en-US"/>
        </w:rPr>
        <w:t>+</w:t>
      </w:r>
      <w:r w:rsidRPr="00F85958">
        <w:rPr>
          <w:rFonts w:cstheme="minorHAnsi"/>
          <w:lang w:val="en-US"/>
        </w:rPr>
        <w:t xml:space="preserve"> (G) and CD8</w:t>
      </w:r>
      <w:r w:rsidRPr="00F85958">
        <w:rPr>
          <w:rFonts w:cstheme="minorHAnsi"/>
          <w:vertAlign w:val="superscript"/>
          <w:lang w:val="en-US"/>
        </w:rPr>
        <w:t>+</w:t>
      </w:r>
      <w:r w:rsidRPr="00F85958">
        <w:rPr>
          <w:rFonts w:cstheme="minorHAnsi"/>
          <w:lang w:val="en-US"/>
        </w:rPr>
        <w:t xml:space="preserve"> (H) CD3</w:t>
      </w:r>
      <w:r w:rsidRPr="00C81646">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(I-J) The frequency of CD11a expressing cells among CD4</w:t>
      </w:r>
      <w:r w:rsidRPr="00F85958">
        <w:rPr>
          <w:rFonts w:cstheme="minorHAnsi"/>
          <w:vertAlign w:val="superscript"/>
          <w:lang w:val="en-US"/>
        </w:rPr>
        <w:t>+</w:t>
      </w:r>
      <w:r w:rsidRPr="00F85958">
        <w:rPr>
          <w:rFonts w:cstheme="minorHAnsi"/>
          <w:lang w:val="en-US"/>
        </w:rPr>
        <w:t xml:space="preserve"> (</w:t>
      </w:r>
      <w:proofErr w:type="gramStart"/>
      <w:r w:rsidRPr="00F85958">
        <w:rPr>
          <w:rFonts w:cstheme="minorHAnsi"/>
          <w:lang w:val="en-US"/>
        </w:rPr>
        <w:t>I) and CD8</w:t>
      </w:r>
      <w:r w:rsidRPr="00F85958">
        <w:rPr>
          <w:rFonts w:cstheme="minorHAnsi"/>
          <w:vertAlign w:val="superscript"/>
          <w:lang w:val="en-US"/>
        </w:rPr>
        <w:t>+</w:t>
      </w:r>
      <w:proofErr w:type="gramEnd"/>
      <w:r w:rsidRPr="00F85958">
        <w:rPr>
          <w:rFonts w:cstheme="minorHAnsi"/>
          <w:lang w:val="en-US"/>
        </w:rPr>
        <w:t xml:space="preserve"> (J) CD3</w:t>
      </w:r>
      <w:r w:rsidRPr="00C81646">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(K-L) The frequency of CD28expressing cells among CD4</w:t>
      </w:r>
      <w:r w:rsidRPr="00F85958">
        <w:rPr>
          <w:rFonts w:cstheme="minorHAnsi"/>
          <w:vertAlign w:val="superscript"/>
          <w:lang w:val="en-US"/>
        </w:rPr>
        <w:t>+</w:t>
      </w:r>
      <w:r w:rsidRPr="00F85958">
        <w:rPr>
          <w:rFonts w:cstheme="minorHAnsi"/>
          <w:lang w:val="en-US"/>
        </w:rPr>
        <w:t xml:space="preserve"> (K) and CD8</w:t>
      </w:r>
      <w:r w:rsidRPr="00F85958">
        <w:rPr>
          <w:rFonts w:cstheme="minorHAnsi"/>
          <w:vertAlign w:val="superscript"/>
          <w:lang w:val="en-US"/>
        </w:rPr>
        <w:t>+</w:t>
      </w:r>
      <w:r w:rsidRPr="00F85958">
        <w:rPr>
          <w:rFonts w:cstheme="minorHAnsi"/>
          <w:lang w:val="en-US"/>
        </w:rPr>
        <w:t xml:space="preserve"> (L) CD3</w:t>
      </w:r>
      <w:r w:rsidRPr="00C81646">
        <w:rPr>
          <w:rFonts w:cstheme="minorHAnsi"/>
          <w:vertAlign w:val="superscript"/>
          <w:lang w:val="en-US"/>
        </w:rPr>
        <w:t>+</w:t>
      </w:r>
      <w:r w:rsidRPr="00F85958">
        <w:rPr>
          <w:rFonts w:cstheme="minorHAnsi"/>
          <w:lang w:val="en-US"/>
        </w:rPr>
        <w:t xml:space="preserve"> T</w:t>
      </w:r>
      <w:r w:rsidR="003F1F85">
        <w:rPr>
          <w:rFonts w:cstheme="minorHAnsi"/>
          <w:lang w:val="en-US"/>
        </w:rPr>
        <w:t>-cell</w:t>
      </w:r>
      <w:r w:rsidRPr="00F85958">
        <w:rPr>
          <w:rFonts w:cstheme="minorHAnsi"/>
          <w:lang w:val="en-US"/>
        </w:rPr>
        <w:t>s. (M) The frequency of transitional B</w:t>
      </w:r>
      <w:r w:rsidR="003F1F85">
        <w:rPr>
          <w:rFonts w:cstheme="minorHAnsi"/>
          <w:lang w:val="en-US"/>
        </w:rPr>
        <w:t>-cell</w:t>
      </w:r>
      <w:r w:rsidRPr="00F85958">
        <w:rPr>
          <w:rFonts w:cstheme="minorHAnsi"/>
          <w:lang w:val="en-US"/>
        </w:rPr>
        <w:t>s defined as CD27</w:t>
      </w:r>
      <w:r w:rsidRPr="00F85958">
        <w:rPr>
          <w:rFonts w:cstheme="minorHAnsi"/>
          <w:vertAlign w:val="superscript"/>
          <w:lang w:val="en-US"/>
        </w:rPr>
        <w:t>–</w:t>
      </w:r>
      <w:r w:rsidRPr="00F85958">
        <w:rPr>
          <w:rFonts w:cstheme="minorHAnsi"/>
          <w:lang w:val="en-US"/>
        </w:rPr>
        <w:t>CD38</w:t>
      </w:r>
      <w:r w:rsidRPr="00F85958">
        <w:rPr>
          <w:rFonts w:cstheme="minorHAnsi"/>
          <w:vertAlign w:val="superscript"/>
          <w:lang w:val="en-US"/>
        </w:rPr>
        <w:t>high</w:t>
      </w:r>
      <w:r w:rsidRPr="00F85958">
        <w:rPr>
          <w:rFonts w:cstheme="minorHAnsi"/>
          <w:lang w:val="en-US"/>
        </w:rPr>
        <w:t>CD24</w:t>
      </w:r>
      <w:r w:rsidRPr="00F85958">
        <w:rPr>
          <w:rFonts w:cstheme="minorHAnsi"/>
          <w:vertAlign w:val="superscript"/>
          <w:lang w:val="en-US"/>
        </w:rPr>
        <w:t>high</w:t>
      </w:r>
      <w:r w:rsidRPr="00F85958">
        <w:rPr>
          <w:rFonts w:cstheme="minorHAnsi"/>
          <w:lang w:val="en-US"/>
        </w:rPr>
        <w:t>, among all CD19</w:t>
      </w:r>
      <w:r w:rsidRPr="00F85958">
        <w:rPr>
          <w:rFonts w:cstheme="minorHAnsi"/>
          <w:vertAlign w:val="superscript"/>
          <w:lang w:val="en-US"/>
        </w:rPr>
        <w:t>+</w:t>
      </w:r>
      <w:r w:rsidRPr="00F85958">
        <w:rPr>
          <w:rFonts w:cstheme="minorHAnsi"/>
          <w:lang w:val="en-US"/>
        </w:rPr>
        <w:t>IgM</w:t>
      </w:r>
      <w:r w:rsidRPr="00F85958">
        <w:rPr>
          <w:rFonts w:cstheme="minorHAnsi"/>
          <w:vertAlign w:val="superscript"/>
          <w:lang w:val="en-US"/>
        </w:rPr>
        <w:t>+</w:t>
      </w:r>
      <w:r w:rsidRPr="00F85958">
        <w:rPr>
          <w:rFonts w:cstheme="minorHAnsi"/>
          <w:lang w:val="en-US"/>
        </w:rPr>
        <w:t>IgD</w:t>
      </w:r>
      <w:r w:rsidRPr="00F85958">
        <w:rPr>
          <w:rFonts w:cstheme="minorHAnsi"/>
          <w:vertAlign w:val="superscript"/>
          <w:lang w:val="en-US"/>
        </w:rPr>
        <w:t>+</w:t>
      </w:r>
      <w:r w:rsidRPr="00F85958">
        <w:rPr>
          <w:rFonts w:cstheme="minorHAnsi"/>
          <w:lang w:val="en-US"/>
        </w:rPr>
        <w:t xml:space="preserve"> B</w:t>
      </w:r>
      <w:r w:rsidR="003F1F85">
        <w:rPr>
          <w:rFonts w:cstheme="minorHAnsi"/>
          <w:lang w:val="en-US"/>
        </w:rPr>
        <w:t>-cell</w:t>
      </w:r>
      <w:r w:rsidRPr="00F85958">
        <w:rPr>
          <w:rFonts w:cstheme="minorHAnsi"/>
          <w:lang w:val="en-US"/>
        </w:rPr>
        <w:t>s, and (N) the frequency of marginal zone (MZ) B</w:t>
      </w:r>
      <w:r w:rsidR="003F1F85">
        <w:rPr>
          <w:rFonts w:cstheme="minorHAnsi"/>
          <w:lang w:val="en-US"/>
        </w:rPr>
        <w:t>-cell</w:t>
      </w:r>
      <w:r w:rsidRPr="00F85958">
        <w:rPr>
          <w:rFonts w:cstheme="minorHAnsi"/>
          <w:lang w:val="en-US"/>
        </w:rPr>
        <w:t>s, defined as IgD</w:t>
      </w:r>
      <w:r w:rsidRPr="00F85958">
        <w:rPr>
          <w:rFonts w:cstheme="minorHAnsi"/>
          <w:vertAlign w:val="superscript"/>
          <w:lang w:val="en-US"/>
        </w:rPr>
        <w:t>+</w:t>
      </w:r>
      <w:r w:rsidRPr="00F85958">
        <w:rPr>
          <w:rFonts w:cstheme="minorHAnsi"/>
          <w:lang w:val="en-US"/>
        </w:rPr>
        <w:t>CD27</w:t>
      </w:r>
      <w:r w:rsidRPr="00F85958">
        <w:rPr>
          <w:rFonts w:cstheme="minorHAnsi"/>
          <w:vertAlign w:val="superscript"/>
          <w:lang w:val="en-US"/>
        </w:rPr>
        <w:t>+</w:t>
      </w:r>
      <w:r w:rsidRPr="00F85958">
        <w:rPr>
          <w:rFonts w:cstheme="minorHAnsi"/>
          <w:lang w:val="en-US"/>
        </w:rPr>
        <w:t>, among all CD19</w:t>
      </w:r>
      <w:r w:rsidRPr="00F85958">
        <w:rPr>
          <w:rFonts w:cstheme="minorHAnsi"/>
          <w:vertAlign w:val="superscript"/>
          <w:lang w:val="en-US"/>
        </w:rPr>
        <w:t>+</w:t>
      </w:r>
      <w:r w:rsidRPr="00F85958">
        <w:rPr>
          <w:rFonts w:cstheme="minorHAnsi"/>
          <w:lang w:val="en-US"/>
        </w:rPr>
        <w:t xml:space="preserve"> </w:t>
      </w:r>
      <w:r w:rsidR="00D46B03" w:rsidRPr="00F85958">
        <w:rPr>
          <w:rFonts w:cstheme="minorHAnsi"/>
          <w:lang w:val="en-US"/>
        </w:rPr>
        <w:t>B</w:t>
      </w:r>
      <w:r w:rsidR="003F1F85">
        <w:rPr>
          <w:rFonts w:cstheme="minorHAnsi"/>
          <w:lang w:val="en-US"/>
        </w:rPr>
        <w:t>-cell</w:t>
      </w:r>
      <w:r w:rsidR="00D46B03" w:rsidRPr="00F85958">
        <w:rPr>
          <w:rFonts w:cstheme="minorHAnsi"/>
          <w:lang w:val="en-US"/>
        </w:rPr>
        <w:t>s.</w:t>
      </w:r>
    </w:p>
    <w:p w:rsidR="00A025C8" w:rsidRDefault="00A025C8" w:rsidP="00A025C8">
      <w:pPr>
        <w:rPr>
          <w:noProof/>
          <w:lang w:eastAsia="de-DE"/>
        </w:rPr>
      </w:pPr>
      <w:r w:rsidRPr="00FD5073">
        <w:rPr>
          <w:noProof/>
          <w:lang w:val="en-US"/>
        </w:rPr>
        <w:lastRenderedPageBreak/>
        <w:drawing>
          <wp:inline distT="0" distB="0" distL="0" distR="0" wp14:anchorId="766EA5AC" wp14:editId="0DD6B66B">
            <wp:extent cx="5727700" cy="654621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6546215"/>
                    </a:xfrm>
                    <a:prstGeom prst="rect">
                      <a:avLst/>
                    </a:prstGeom>
                  </pic:spPr>
                </pic:pic>
              </a:graphicData>
            </a:graphic>
          </wp:inline>
        </w:drawing>
      </w:r>
    </w:p>
    <w:p w:rsidR="00AE6A0F" w:rsidRPr="00F85958" w:rsidRDefault="00D94999" w:rsidP="00AE6A0F">
      <w:pPr>
        <w:pStyle w:val="berschrift2"/>
        <w:rPr>
          <w:lang w:val="en-US"/>
        </w:rPr>
      </w:pPr>
      <w:bookmarkStart w:id="23" w:name="_Toc38892516"/>
      <w:r w:rsidRPr="00F85958">
        <w:rPr>
          <w:rFonts w:cs="Arial"/>
          <w:lang w:val="en-US"/>
        </w:rPr>
        <w:t>Fig</w:t>
      </w:r>
      <w:r w:rsidR="00AE6A0F" w:rsidRPr="00F85958">
        <w:rPr>
          <w:rFonts w:cs="Arial"/>
          <w:lang w:val="en-US"/>
        </w:rPr>
        <w:t>ure</w:t>
      </w:r>
      <w:r w:rsidRPr="00F85958">
        <w:rPr>
          <w:rFonts w:cs="Arial"/>
          <w:lang w:val="en-US"/>
        </w:rPr>
        <w:t xml:space="preserve"> S4. </w:t>
      </w:r>
      <w:r w:rsidRPr="00F85958">
        <w:rPr>
          <w:lang w:val="en-US"/>
        </w:rPr>
        <w:t>Increased number and functional activity of SARS-CoV-2-reactive T</w:t>
      </w:r>
      <w:r w:rsidR="003F1F85">
        <w:rPr>
          <w:lang w:val="en-US"/>
        </w:rPr>
        <w:t>-cell</w:t>
      </w:r>
      <w:r w:rsidRPr="00F85958">
        <w:rPr>
          <w:lang w:val="en-US"/>
        </w:rPr>
        <w:t>s in patients with critical COVID-19.</w:t>
      </w:r>
      <w:bookmarkEnd w:id="23"/>
    </w:p>
    <w:p w:rsidR="00D94999" w:rsidRPr="00F85958" w:rsidRDefault="00D94999" w:rsidP="00D94999">
      <w:pPr>
        <w:rPr>
          <w:lang w:val="en-US"/>
        </w:rPr>
      </w:pPr>
      <w:r w:rsidRPr="00F85958">
        <w:rPr>
          <w:lang w:val="en-US"/>
        </w:rPr>
        <w:t>The presence and functional status of SARS-CoV-2 specific T</w:t>
      </w:r>
      <w:r w:rsidR="003F1F85">
        <w:rPr>
          <w:lang w:val="en-US"/>
        </w:rPr>
        <w:t>-cell</w:t>
      </w:r>
      <w:r w:rsidRPr="00F85958">
        <w:rPr>
          <w:lang w:val="en-US"/>
        </w:rPr>
        <w:t xml:space="preserve">s was evaluated using PBMCs, isolated from the peripheral blood of patients with moderate, severe, or critical COVID-19 manifestations. Defrosted PBMCs rested for 24 hours before treatment with overlapping peptide pools covering the SARS-CoV-2 S protein. The cells were stimulated for a total of 16 hours and in the presence of </w:t>
      </w:r>
      <w:proofErr w:type="spellStart"/>
      <w:r w:rsidRPr="00F85958">
        <w:rPr>
          <w:lang w:val="en-US"/>
        </w:rPr>
        <w:t>Brefeldin</w:t>
      </w:r>
      <w:proofErr w:type="spellEnd"/>
      <w:r w:rsidRPr="00F85958">
        <w:rPr>
          <w:lang w:val="en-US"/>
        </w:rPr>
        <w:t xml:space="preserve"> A for the last 14 hours. SARS-CoV-2 reactive CD4</w:t>
      </w:r>
      <w:r w:rsidRPr="00C81646">
        <w:rPr>
          <w:vertAlign w:val="superscript"/>
          <w:lang w:val="en-US"/>
        </w:rPr>
        <w:t>+</w:t>
      </w:r>
      <w:r w:rsidRPr="00F85958">
        <w:rPr>
          <w:lang w:val="en-US"/>
        </w:rPr>
        <w:t xml:space="preserve"> T</w:t>
      </w:r>
      <w:r w:rsidR="003F1F85">
        <w:rPr>
          <w:lang w:val="en-US"/>
        </w:rPr>
        <w:t>-cell</w:t>
      </w:r>
      <w:r w:rsidRPr="00F85958">
        <w:rPr>
          <w:lang w:val="en-US"/>
        </w:rPr>
        <w:t>s and CD8</w:t>
      </w:r>
      <w:r w:rsidRPr="00C81646">
        <w:rPr>
          <w:vertAlign w:val="superscript"/>
          <w:lang w:val="en-US"/>
        </w:rPr>
        <w:t>+</w:t>
      </w:r>
      <w:r w:rsidRPr="00F85958">
        <w:rPr>
          <w:lang w:val="en-US"/>
        </w:rPr>
        <w:t xml:space="preserve"> T</w:t>
      </w:r>
      <w:r w:rsidR="003F1F85">
        <w:rPr>
          <w:lang w:val="en-US"/>
        </w:rPr>
        <w:t>-cell</w:t>
      </w:r>
      <w:r w:rsidRPr="00F85958">
        <w:rPr>
          <w:lang w:val="en-US"/>
        </w:rPr>
        <w:t xml:space="preserve">s were evaluated using multiparametric flow cytometry, using the expression of CD154 and </w:t>
      </w:r>
      <w:r w:rsidRPr="00F85958">
        <w:rPr>
          <w:lang w:val="en-US"/>
        </w:rPr>
        <w:lastRenderedPageBreak/>
        <w:t>CD137 to identify the activated CD4</w:t>
      </w:r>
      <w:r w:rsidRPr="00F85958">
        <w:rPr>
          <w:vertAlign w:val="superscript"/>
          <w:lang w:val="en-US"/>
        </w:rPr>
        <w:t>+</w:t>
      </w:r>
      <w:r w:rsidRPr="00F85958">
        <w:rPr>
          <w:lang w:val="en-US"/>
        </w:rPr>
        <w:t xml:space="preserve"> and CD8</w:t>
      </w:r>
      <w:r w:rsidRPr="00F85958">
        <w:rPr>
          <w:vertAlign w:val="superscript"/>
          <w:lang w:val="en-US"/>
        </w:rPr>
        <w:t>+</w:t>
      </w:r>
      <w:r w:rsidRPr="00F85958">
        <w:rPr>
          <w:lang w:val="en-US"/>
        </w:rPr>
        <w:t xml:space="preserve"> T</w:t>
      </w:r>
      <w:r w:rsidR="003F1F85">
        <w:rPr>
          <w:lang w:val="en-US"/>
        </w:rPr>
        <w:t>-cell</w:t>
      </w:r>
      <w:r w:rsidRPr="00F85958">
        <w:rPr>
          <w:lang w:val="en-US"/>
        </w:rPr>
        <w:t xml:space="preserve">, respectively. The complete gating strategy is presented in </w:t>
      </w:r>
      <w:r w:rsidR="00DC7595">
        <w:rPr>
          <w:lang w:val="en-US"/>
        </w:rPr>
        <w:t>Fig.</w:t>
      </w:r>
      <w:r w:rsidRPr="00F85958">
        <w:rPr>
          <w:lang w:val="en-US"/>
        </w:rPr>
        <w:t xml:space="preserve"> S5. </w:t>
      </w:r>
      <w:r w:rsidR="00207BC1" w:rsidRPr="00C81646">
        <w:rPr>
          <w:lang w:val="en-US"/>
        </w:rPr>
        <w:t xml:space="preserve">For critical </w:t>
      </w:r>
      <w:r w:rsidR="00207BC1">
        <w:rPr>
          <w:lang w:val="en-US"/>
        </w:rPr>
        <w:t xml:space="preserve">COVID-19 </w:t>
      </w:r>
      <w:r w:rsidR="00207BC1" w:rsidRPr="00C81646">
        <w:rPr>
          <w:lang w:val="en-US"/>
        </w:rPr>
        <w:t xml:space="preserve">patients, only a single time point was available. To ensure the comparability of the data with respect to the longer disease duration in critical COVID-19 patients, the comparison of the data </w:t>
      </w:r>
      <w:r w:rsidR="00207BC1">
        <w:rPr>
          <w:lang w:val="en-US"/>
        </w:rPr>
        <w:t>in</w:t>
      </w:r>
      <w:r w:rsidR="00207BC1" w:rsidRPr="00C81646">
        <w:rPr>
          <w:lang w:val="en-US"/>
        </w:rPr>
        <w:t xml:space="preserve"> critically ill patients </w:t>
      </w:r>
      <w:r w:rsidR="00207BC1">
        <w:rPr>
          <w:lang w:val="en-US"/>
        </w:rPr>
        <w:t>was performed also with the follow-up visit data</w:t>
      </w:r>
      <w:r w:rsidR="00207BC1" w:rsidRPr="00C81646">
        <w:rPr>
          <w:lang w:val="en-US"/>
        </w:rPr>
        <w:t xml:space="preserve"> in moderate and severe cases.</w:t>
      </w:r>
      <w:r w:rsidR="00207BC1" w:rsidRPr="007109D6">
        <w:rPr>
          <w:lang w:val="en-US"/>
        </w:rPr>
        <w:t xml:space="preserve"> </w:t>
      </w:r>
      <w:r w:rsidRPr="00F85958">
        <w:rPr>
          <w:lang w:val="en-US"/>
        </w:rPr>
        <w:t>(A) Number of CD4</w:t>
      </w:r>
      <w:r w:rsidRPr="00F85958">
        <w:rPr>
          <w:vertAlign w:val="superscript"/>
          <w:lang w:val="en-US"/>
        </w:rPr>
        <w:t>+</w:t>
      </w:r>
      <w:r w:rsidRPr="00F85958">
        <w:rPr>
          <w:lang w:val="en-US"/>
        </w:rPr>
        <w:t>CD154</w:t>
      </w:r>
      <w:r w:rsidRPr="00F85958">
        <w:rPr>
          <w:vertAlign w:val="superscript"/>
          <w:lang w:val="en-US"/>
        </w:rPr>
        <w:t>+</w:t>
      </w:r>
      <w:r w:rsidRPr="00F85958">
        <w:rPr>
          <w:lang w:val="en-US"/>
        </w:rPr>
        <w:t xml:space="preserve"> T</w:t>
      </w:r>
      <w:r w:rsidR="003F1F85">
        <w:rPr>
          <w:lang w:val="en-US"/>
        </w:rPr>
        <w:t>-cell</w:t>
      </w:r>
      <w:r w:rsidRPr="00F85958">
        <w:rPr>
          <w:lang w:val="en-US"/>
        </w:rPr>
        <w:t>s (first row) to the initial visit (left column) and follow-up visit (right column), and number of CD4</w:t>
      </w:r>
      <w:r w:rsidRPr="00F85958">
        <w:rPr>
          <w:vertAlign w:val="superscript"/>
          <w:lang w:val="en-US"/>
        </w:rPr>
        <w:t>+</w:t>
      </w:r>
      <w:r w:rsidRPr="00F85958">
        <w:rPr>
          <w:lang w:val="en-US"/>
        </w:rPr>
        <w:t>CD154</w:t>
      </w:r>
      <w:r w:rsidRPr="00F85958">
        <w:rPr>
          <w:vertAlign w:val="superscript"/>
          <w:lang w:val="en-US"/>
        </w:rPr>
        <w:t>+</w:t>
      </w:r>
      <w:r w:rsidRPr="00F85958">
        <w:rPr>
          <w:lang w:val="en-US"/>
        </w:rPr>
        <w:t xml:space="preserve"> cells expressing </w:t>
      </w:r>
      <w:proofErr w:type="spellStart"/>
      <w:r w:rsidRPr="00F85958">
        <w:rPr>
          <w:lang w:val="en-US"/>
        </w:rPr>
        <w:t>granzyme</w:t>
      </w:r>
      <w:proofErr w:type="spellEnd"/>
      <w:r w:rsidRPr="00F85958">
        <w:rPr>
          <w:lang w:val="en-US"/>
        </w:rPr>
        <w:t xml:space="preserve"> B (</w:t>
      </w:r>
      <w:proofErr w:type="spellStart"/>
      <w:r w:rsidRPr="00F85958">
        <w:rPr>
          <w:lang w:val="en-US"/>
        </w:rPr>
        <w:t>GrB</w:t>
      </w:r>
      <w:proofErr w:type="spellEnd"/>
      <w:r w:rsidRPr="00F85958">
        <w:rPr>
          <w:lang w:val="en-US"/>
        </w:rPr>
        <w:t>), INF-γ, IL-2, and TNF-α (row two to four). (B) Number of CD8</w:t>
      </w:r>
      <w:r w:rsidRPr="00F85958">
        <w:rPr>
          <w:vertAlign w:val="superscript"/>
          <w:lang w:val="en-US"/>
        </w:rPr>
        <w:t>+</w:t>
      </w:r>
      <w:r w:rsidRPr="00F85958">
        <w:rPr>
          <w:lang w:val="en-US"/>
        </w:rPr>
        <w:t>CD137</w:t>
      </w:r>
      <w:r w:rsidRPr="00F85958">
        <w:rPr>
          <w:vertAlign w:val="superscript"/>
          <w:lang w:val="en-US"/>
        </w:rPr>
        <w:t>+</w:t>
      </w:r>
      <w:r w:rsidRPr="00F85958">
        <w:rPr>
          <w:lang w:val="en-US"/>
        </w:rPr>
        <w:t xml:space="preserve"> T</w:t>
      </w:r>
      <w:r w:rsidR="003F1F85">
        <w:rPr>
          <w:lang w:val="en-US"/>
        </w:rPr>
        <w:t>-cell</w:t>
      </w:r>
      <w:r w:rsidRPr="00F85958">
        <w:rPr>
          <w:lang w:val="en-US"/>
        </w:rPr>
        <w:t>s (first row) to the initial visit (left column) and follow-up visit (right column), and number of CD8</w:t>
      </w:r>
      <w:r w:rsidRPr="00F85958">
        <w:rPr>
          <w:vertAlign w:val="superscript"/>
          <w:lang w:val="en-US"/>
        </w:rPr>
        <w:t>+</w:t>
      </w:r>
      <w:r w:rsidRPr="00F85958">
        <w:rPr>
          <w:lang w:val="en-US"/>
        </w:rPr>
        <w:t>CD137</w:t>
      </w:r>
      <w:r w:rsidRPr="00F85958">
        <w:rPr>
          <w:vertAlign w:val="superscript"/>
          <w:lang w:val="en-US"/>
        </w:rPr>
        <w:t>+</w:t>
      </w:r>
      <w:r w:rsidRPr="00F85958">
        <w:rPr>
          <w:lang w:val="en-US"/>
        </w:rPr>
        <w:t xml:space="preserve"> cells expressing </w:t>
      </w:r>
      <w:proofErr w:type="spellStart"/>
      <w:r w:rsidRPr="00F85958">
        <w:rPr>
          <w:lang w:val="en-US"/>
        </w:rPr>
        <w:t>granzyme</w:t>
      </w:r>
      <w:proofErr w:type="spellEnd"/>
      <w:r w:rsidRPr="00F85958">
        <w:rPr>
          <w:lang w:val="en-US"/>
        </w:rPr>
        <w:t xml:space="preserve"> B (</w:t>
      </w:r>
      <w:proofErr w:type="spellStart"/>
      <w:r w:rsidRPr="00F85958">
        <w:rPr>
          <w:lang w:val="en-US"/>
        </w:rPr>
        <w:t>GrB</w:t>
      </w:r>
      <w:proofErr w:type="spellEnd"/>
      <w:r w:rsidRPr="00F85958">
        <w:rPr>
          <w:lang w:val="en-US"/>
        </w:rPr>
        <w:t>), INF-γ, IL-2, and TNF-α (row two to four). (C) The number of SARS-CoV-2 specific CD4</w:t>
      </w:r>
      <w:r w:rsidRPr="00F85958">
        <w:rPr>
          <w:vertAlign w:val="superscript"/>
          <w:lang w:val="en-US"/>
        </w:rPr>
        <w:t>+</w:t>
      </w:r>
      <w:r w:rsidRPr="00F85958">
        <w:rPr>
          <w:lang w:val="en-US"/>
        </w:rPr>
        <w:t xml:space="preserve"> T</w:t>
      </w:r>
      <w:r w:rsidR="003F1F85">
        <w:rPr>
          <w:lang w:val="en-US"/>
        </w:rPr>
        <w:t>-cell</w:t>
      </w:r>
      <w:r w:rsidRPr="00F85958">
        <w:rPr>
          <w:lang w:val="en-US"/>
        </w:rPr>
        <w:t>s (left) and SARS-CoV-2 specific CD8</w:t>
      </w:r>
      <w:r w:rsidRPr="00F85958">
        <w:rPr>
          <w:vertAlign w:val="superscript"/>
          <w:lang w:val="en-US"/>
        </w:rPr>
        <w:t>+</w:t>
      </w:r>
      <w:r w:rsidRPr="00F85958">
        <w:rPr>
          <w:lang w:val="en-US"/>
        </w:rPr>
        <w:t xml:space="preserve"> T</w:t>
      </w:r>
      <w:r w:rsidR="003F1F85">
        <w:rPr>
          <w:lang w:val="en-US"/>
        </w:rPr>
        <w:t>-cell</w:t>
      </w:r>
      <w:r w:rsidRPr="00F85958">
        <w:rPr>
          <w:lang w:val="en-US"/>
        </w:rPr>
        <w:t>s (right) against relative titers of SARS-CoV-2 S protein specific IgG antibodies, measured by ELISA and evaluated a</w:t>
      </w:r>
      <w:r w:rsidR="00D46B03" w:rsidRPr="00F85958">
        <w:rPr>
          <w:lang w:val="en-US"/>
        </w:rPr>
        <w:t>s ratio to an internal control.</w:t>
      </w:r>
    </w:p>
    <w:p w:rsidR="00A95F33" w:rsidRPr="00E57999" w:rsidRDefault="00A95F33">
      <w:pPr>
        <w:spacing w:line="480" w:lineRule="auto"/>
        <w:ind w:firstLine="360"/>
        <w:rPr>
          <w:noProof/>
          <w:lang w:val="en-US" w:eastAsia="de-DE"/>
        </w:rPr>
      </w:pPr>
      <w:r w:rsidRPr="00E57999">
        <w:rPr>
          <w:noProof/>
          <w:lang w:val="en-US" w:eastAsia="de-DE"/>
        </w:rPr>
        <w:br w:type="page"/>
      </w:r>
    </w:p>
    <w:p w:rsidR="00D46B03" w:rsidRPr="00F85958" w:rsidRDefault="00986018" w:rsidP="00D94999">
      <w:pPr>
        <w:rPr>
          <w:lang w:val="en-US"/>
        </w:rPr>
      </w:pPr>
      <w:r>
        <w:rPr>
          <w:noProof/>
          <w:lang w:val="en-US"/>
        </w:rPr>
        <w:lastRenderedPageBreak/>
        <w:drawing>
          <wp:inline distT="0" distB="0" distL="0" distR="0">
            <wp:extent cx="5131435" cy="4653915"/>
            <wp:effectExtent l="0" t="0" r="0" b="0"/>
            <wp:docPr id="9" name="Grafik 9" descr="C:\Users\manft\Desktop\fig 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ft\Desktop\fig S5.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1435" cy="4653915"/>
                    </a:xfrm>
                    <a:prstGeom prst="rect">
                      <a:avLst/>
                    </a:prstGeom>
                    <a:noFill/>
                    <a:ln>
                      <a:noFill/>
                    </a:ln>
                  </pic:spPr>
                </pic:pic>
              </a:graphicData>
            </a:graphic>
          </wp:inline>
        </w:drawing>
      </w:r>
    </w:p>
    <w:p w:rsidR="00AE6A0F" w:rsidRPr="00F85958" w:rsidRDefault="00D94999" w:rsidP="00AE6A0F">
      <w:pPr>
        <w:pStyle w:val="berschrift2"/>
        <w:rPr>
          <w:lang w:val="en-US"/>
        </w:rPr>
      </w:pPr>
      <w:bookmarkStart w:id="24" w:name="_Toc38892517"/>
      <w:r w:rsidRPr="00F85958">
        <w:rPr>
          <w:lang w:val="en-US"/>
        </w:rPr>
        <w:t>Fig</w:t>
      </w:r>
      <w:r w:rsidR="00AE6A0F" w:rsidRPr="00F85958">
        <w:rPr>
          <w:lang w:val="en-US"/>
        </w:rPr>
        <w:t>ure</w:t>
      </w:r>
      <w:r w:rsidRPr="00F85958">
        <w:rPr>
          <w:lang w:val="en-US"/>
        </w:rPr>
        <w:t xml:space="preserve"> S5. Gating strategy for detection of cytokine producing CD4</w:t>
      </w:r>
      <w:r w:rsidRPr="00F85958">
        <w:rPr>
          <w:vertAlign w:val="superscript"/>
          <w:lang w:val="en-US"/>
        </w:rPr>
        <w:t>+</w:t>
      </w:r>
      <w:r w:rsidRPr="00F85958">
        <w:rPr>
          <w:lang w:val="en-US"/>
        </w:rPr>
        <w:t xml:space="preserve"> and CD8</w:t>
      </w:r>
      <w:r w:rsidRPr="00F85958">
        <w:rPr>
          <w:vertAlign w:val="superscript"/>
          <w:lang w:val="en-US"/>
        </w:rPr>
        <w:t>+</w:t>
      </w:r>
      <w:r w:rsidRPr="00F85958">
        <w:rPr>
          <w:lang w:val="en-US"/>
        </w:rPr>
        <w:t xml:space="preserve"> antigen specific T</w:t>
      </w:r>
      <w:r w:rsidR="003F1F85">
        <w:rPr>
          <w:lang w:val="en-US"/>
        </w:rPr>
        <w:t>-cell</w:t>
      </w:r>
      <w:r w:rsidRPr="00F85958">
        <w:rPr>
          <w:lang w:val="en-US"/>
        </w:rPr>
        <w:t>s.</w:t>
      </w:r>
      <w:bookmarkEnd w:id="24"/>
    </w:p>
    <w:p w:rsidR="00D94999" w:rsidRPr="00F85958" w:rsidRDefault="00D94999" w:rsidP="00D94999">
      <w:pPr>
        <w:rPr>
          <w:lang w:val="en-US"/>
        </w:rPr>
      </w:pPr>
      <w:r w:rsidRPr="00F85958">
        <w:rPr>
          <w:lang w:val="en-US"/>
        </w:rPr>
        <w:t>Isolated PBMCs were stimulated with SARS-CoV</w:t>
      </w:r>
      <w:r w:rsidR="00AC3601">
        <w:rPr>
          <w:lang w:val="en-US"/>
        </w:rPr>
        <w:t>-</w:t>
      </w:r>
      <w:r w:rsidRPr="00F85958">
        <w:rPr>
          <w:lang w:val="en-US"/>
        </w:rPr>
        <w:t>2 spike protein OPPs or left untreated for 16h. (A) Lymphocytes were gated based on side and forward scatter profile, doublets were excluded and living T</w:t>
      </w:r>
      <w:r w:rsidR="003F1F85">
        <w:rPr>
          <w:lang w:val="en-US"/>
        </w:rPr>
        <w:t>-cell</w:t>
      </w:r>
      <w:r w:rsidRPr="00F85958">
        <w:rPr>
          <w:lang w:val="en-US"/>
        </w:rPr>
        <w:t>s were identified as CD3</w:t>
      </w:r>
      <w:r w:rsidRPr="00F85958">
        <w:rPr>
          <w:vertAlign w:val="superscript"/>
          <w:lang w:val="en-US"/>
        </w:rPr>
        <w:t>+</w:t>
      </w:r>
      <w:r w:rsidRPr="00F85958">
        <w:rPr>
          <w:lang w:val="en-US"/>
        </w:rPr>
        <w:t xml:space="preserve"> and Live</w:t>
      </w:r>
      <w:r w:rsidR="009A3C95">
        <w:rPr>
          <w:lang w:val="en-US"/>
        </w:rPr>
        <w:t>/</w:t>
      </w:r>
      <w:r w:rsidRPr="00F85958">
        <w:rPr>
          <w:lang w:val="en-US"/>
        </w:rPr>
        <w:t>Dead-Marker</w:t>
      </w:r>
      <w:r w:rsidRPr="00F85958">
        <w:rPr>
          <w:vertAlign w:val="superscript"/>
          <w:lang w:val="en-US"/>
        </w:rPr>
        <w:t xml:space="preserve"> </w:t>
      </w:r>
      <w:r w:rsidRPr="00F85958">
        <w:rPr>
          <w:lang w:val="en-US"/>
        </w:rPr>
        <w:t>negative cells, expressing either CD4 or CD8. Antigen specific T</w:t>
      </w:r>
      <w:r w:rsidR="003F1F85">
        <w:rPr>
          <w:lang w:val="en-US"/>
        </w:rPr>
        <w:t>-cell</w:t>
      </w:r>
      <w:r w:rsidRPr="00F85958">
        <w:rPr>
          <w:lang w:val="en-US"/>
        </w:rPr>
        <w:t>s were identified as CD4</w:t>
      </w:r>
      <w:r w:rsidRPr="00F85958">
        <w:rPr>
          <w:vertAlign w:val="superscript"/>
          <w:lang w:val="en-US"/>
        </w:rPr>
        <w:t>+</w:t>
      </w:r>
      <w:r w:rsidRPr="00F85958">
        <w:rPr>
          <w:lang w:val="en-US"/>
        </w:rPr>
        <w:t>CD154</w:t>
      </w:r>
      <w:r w:rsidRPr="00F85958">
        <w:rPr>
          <w:vertAlign w:val="superscript"/>
          <w:lang w:val="en-US"/>
        </w:rPr>
        <w:t>+</w:t>
      </w:r>
      <w:r w:rsidRPr="00F85958">
        <w:rPr>
          <w:lang w:val="en-US"/>
        </w:rPr>
        <w:t>CD137</w:t>
      </w:r>
      <w:r w:rsidRPr="00F85958">
        <w:rPr>
          <w:vertAlign w:val="superscript"/>
          <w:lang w:val="en-US"/>
        </w:rPr>
        <w:t>+</w:t>
      </w:r>
      <w:r w:rsidRPr="00F85958">
        <w:rPr>
          <w:lang w:val="en-US"/>
        </w:rPr>
        <w:t xml:space="preserve"> T</w:t>
      </w:r>
      <w:r w:rsidR="003F1F85">
        <w:rPr>
          <w:lang w:val="en-US"/>
        </w:rPr>
        <w:t>-</w:t>
      </w:r>
      <w:r w:rsidRPr="00F85958">
        <w:rPr>
          <w:lang w:val="en-US"/>
        </w:rPr>
        <w:t>helper cells (B) or CD8</w:t>
      </w:r>
      <w:r w:rsidRPr="00F85958">
        <w:rPr>
          <w:vertAlign w:val="superscript"/>
          <w:lang w:val="en-US"/>
        </w:rPr>
        <w:t>+</w:t>
      </w:r>
      <w:r w:rsidRPr="00F85958">
        <w:rPr>
          <w:lang w:val="en-US"/>
        </w:rPr>
        <w:t>CD137</w:t>
      </w:r>
      <w:r w:rsidRPr="00F85958">
        <w:rPr>
          <w:vertAlign w:val="superscript"/>
          <w:lang w:val="en-US"/>
        </w:rPr>
        <w:t>+</w:t>
      </w:r>
      <w:r w:rsidRPr="00F85958">
        <w:rPr>
          <w:lang w:val="en-US"/>
        </w:rPr>
        <w:t xml:space="preserve"> cytotoxic T</w:t>
      </w:r>
      <w:r w:rsidR="003F1F85">
        <w:rPr>
          <w:lang w:val="en-US"/>
        </w:rPr>
        <w:t>-cell</w:t>
      </w:r>
      <w:r w:rsidRPr="00F85958">
        <w:rPr>
          <w:lang w:val="en-US"/>
        </w:rPr>
        <w:t>s (C). Within the antigen specific T</w:t>
      </w:r>
      <w:r w:rsidR="003F1F85">
        <w:rPr>
          <w:lang w:val="en-US"/>
        </w:rPr>
        <w:t>-cell</w:t>
      </w:r>
      <w:r w:rsidR="00986018">
        <w:rPr>
          <w:lang w:val="en-US"/>
        </w:rPr>
        <w:t xml:space="preserve">s, </w:t>
      </w:r>
      <w:r w:rsidRPr="00F85958">
        <w:rPr>
          <w:lang w:val="en-US"/>
        </w:rPr>
        <w:t xml:space="preserve">intracellular staining of cytokines and </w:t>
      </w:r>
      <w:proofErr w:type="spellStart"/>
      <w:r w:rsidR="00F862C1">
        <w:rPr>
          <w:lang w:val="en-US"/>
        </w:rPr>
        <w:t>g</w:t>
      </w:r>
      <w:r w:rsidR="00F862C1" w:rsidRPr="00F85958">
        <w:rPr>
          <w:lang w:val="en-US"/>
        </w:rPr>
        <w:t>ranzyme</w:t>
      </w:r>
      <w:proofErr w:type="spellEnd"/>
      <w:r w:rsidR="00F862C1" w:rsidRPr="00F85958">
        <w:rPr>
          <w:lang w:val="en-US"/>
        </w:rPr>
        <w:t xml:space="preserve"> </w:t>
      </w:r>
      <w:r w:rsidRPr="00F85958">
        <w:rPr>
          <w:lang w:val="en-US"/>
        </w:rPr>
        <w:t xml:space="preserve">B </w:t>
      </w:r>
      <w:r w:rsidR="00986018">
        <w:rPr>
          <w:lang w:val="en-US"/>
        </w:rPr>
        <w:t xml:space="preserve">was used </w:t>
      </w:r>
      <w:r w:rsidRPr="00F85958">
        <w:rPr>
          <w:lang w:val="en-US"/>
        </w:rPr>
        <w:t>to identify effector cells.</w:t>
      </w:r>
      <w:bookmarkStart w:id="25" w:name="_GoBack"/>
      <w:bookmarkEnd w:id="25"/>
    </w:p>
    <w:p w:rsidR="00A95F33" w:rsidRPr="00E57999" w:rsidRDefault="00A95F33">
      <w:pPr>
        <w:spacing w:line="480" w:lineRule="auto"/>
        <w:ind w:firstLine="360"/>
        <w:rPr>
          <w:noProof/>
          <w:lang w:val="en-US" w:eastAsia="de-DE"/>
        </w:rPr>
      </w:pPr>
      <w:r w:rsidRPr="00E57999">
        <w:rPr>
          <w:noProof/>
          <w:lang w:val="en-US" w:eastAsia="de-DE"/>
        </w:rPr>
        <w:br w:type="page"/>
      </w:r>
    </w:p>
    <w:p w:rsidR="00D46B03" w:rsidRPr="00F85958" w:rsidRDefault="005A32D2" w:rsidP="00D94999">
      <w:pPr>
        <w:rPr>
          <w:lang w:val="en-US"/>
        </w:rPr>
      </w:pPr>
      <w:r>
        <w:rPr>
          <w:noProof/>
          <w:lang w:val="en-US"/>
        </w:rPr>
        <w:lastRenderedPageBreak/>
        <w:drawing>
          <wp:inline distT="0" distB="0" distL="0" distR="0" wp14:anchorId="6921C5B4" wp14:editId="4FAA6E0B">
            <wp:extent cx="5753100" cy="3505200"/>
            <wp:effectExtent l="0" t="0" r="0" b="0"/>
            <wp:docPr id="4" name="Grafik 4" descr="K:\Forschung\Medizinische Klinik 1\Mitarbeiter\Ulrik\_Laptop\Documents\Papers\01-Working\02_By_colleagues\babel - COVID immunity\Figure S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rschung\Medizinische Klinik 1\Mitarbeiter\Ulrik\_Laptop\Documents\Papers\01-Working\02_By_colleagues\babel - COVID immunity\Figure S6.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AE6A0F" w:rsidRPr="00F85958" w:rsidRDefault="00D94999" w:rsidP="00AE6A0F">
      <w:pPr>
        <w:pStyle w:val="berschrift2"/>
        <w:rPr>
          <w:lang w:val="en-US"/>
        </w:rPr>
      </w:pPr>
      <w:bookmarkStart w:id="26" w:name="_Toc38892518"/>
      <w:r w:rsidRPr="00F85958">
        <w:rPr>
          <w:lang w:val="en-US"/>
        </w:rPr>
        <w:t>Fig</w:t>
      </w:r>
      <w:r w:rsidR="00AE6A0F" w:rsidRPr="00F85958">
        <w:rPr>
          <w:lang w:val="en-US"/>
        </w:rPr>
        <w:t>ure</w:t>
      </w:r>
      <w:r w:rsidRPr="00F85958">
        <w:rPr>
          <w:lang w:val="en-US"/>
        </w:rPr>
        <w:t xml:space="preserve"> S6</w:t>
      </w:r>
      <w:r w:rsidR="00AE6A0F" w:rsidRPr="00F85958">
        <w:rPr>
          <w:lang w:val="en-US"/>
        </w:rPr>
        <w:t>.</w:t>
      </w:r>
      <w:r w:rsidRPr="00F85958">
        <w:rPr>
          <w:lang w:val="en-US"/>
        </w:rPr>
        <w:t xml:space="preserve"> Gating strategy for identification of main immune cell populations.</w:t>
      </w:r>
      <w:bookmarkEnd w:id="26"/>
    </w:p>
    <w:p w:rsidR="00D94999" w:rsidRPr="00F85958" w:rsidRDefault="00D94999" w:rsidP="00AE6A0F">
      <w:pPr>
        <w:rPr>
          <w:lang w:val="en-US"/>
        </w:rPr>
      </w:pPr>
      <w:r w:rsidRPr="00F85958">
        <w:rPr>
          <w:lang w:val="en-US"/>
        </w:rPr>
        <w:t xml:space="preserve">Whole blood was diluted 1:1 in staining solution </w:t>
      </w:r>
      <w:r w:rsidR="00D508E9">
        <w:rPr>
          <w:lang w:val="en-US"/>
        </w:rPr>
        <w:t>prior to</w:t>
      </w:r>
      <w:r w:rsidRPr="00F85958">
        <w:rPr>
          <w:lang w:val="en-US"/>
        </w:rPr>
        <w:t xml:space="preserve"> erythrocytes </w:t>
      </w:r>
      <w:r w:rsidR="00D508E9">
        <w:rPr>
          <w:lang w:val="en-US"/>
        </w:rPr>
        <w:t>lysis</w:t>
      </w:r>
      <w:r w:rsidRPr="00F85958">
        <w:rPr>
          <w:lang w:val="en-US"/>
        </w:rPr>
        <w:t xml:space="preserve">. </w:t>
      </w:r>
      <w:proofErr w:type="spellStart"/>
      <w:r w:rsidR="00D508E9">
        <w:rPr>
          <w:lang w:val="en-US"/>
        </w:rPr>
        <w:t>Live</w:t>
      </w:r>
      <w:r w:rsidRPr="00F85958">
        <w:rPr>
          <w:lang w:val="en-US"/>
        </w:rPr>
        <w:t>cells</w:t>
      </w:r>
      <w:proofErr w:type="spellEnd"/>
      <w:r w:rsidRPr="00F85958">
        <w:rPr>
          <w:lang w:val="en-US"/>
        </w:rPr>
        <w:t xml:space="preserve"> were identified </w:t>
      </w:r>
      <w:proofErr w:type="gramStart"/>
      <w:r w:rsidRPr="00F85958">
        <w:rPr>
          <w:lang w:val="en-US"/>
        </w:rPr>
        <w:t>as  negative</w:t>
      </w:r>
      <w:proofErr w:type="gramEnd"/>
      <w:r w:rsidRPr="00F85958">
        <w:rPr>
          <w:lang w:val="en-US"/>
        </w:rPr>
        <w:t xml:space="preserve"> </w:t>
      </w:r>
      <w:r w:rsidR="00D508E9">
        <w:rPr>
          <w:lang w:val="en-US"/>
        </w:rPr>
        <w:t xml:space="preserve">for </w:t>
      </w:r>
      <w:proofErr w:type="spellStart"/>
      <w:r w:rsidR="00D508E9" w:rsidRPr="00D508E9">
        <w:rPr>
          <w:lang w:val="en-US"/>
        </w:rPr>
        <w:t>Propidium</w:t>
      </w:r>
      <w:proofErr w:type="spellEnd"/>
      <w:r w:rsidR="00D508E9" w:rsidRPr="00D508E9">
        <w:rPr>
          <w:lang w:val="en-US"/>
        </w:rPr>
        <w:t xml:space="preserve"> iodide</w:t>
      </w:r>
      <w:r w:rsidRPr="00F85958">
        <w:rPr>
          <w:lang w:val="en-US"/>
        </w:rPr>
        <w:t xml:space="preserve"> and doublets were excluded. Granulocytes, Monocytes and Lymphocytes were distinguished by CD45 and side scatter profile. Granulocytes were separated by CD16 in </w:t>
      </w:r>
      <w:proofErr w:type="spellStart"/>
      <w:r w:rsidRPr="00F85958">
        <w:rPr>
          <w:lang w:val="en-US"/>
        </w:rPr>
        <w:t>Eosinophiles</w:t>
      </w:r>
      <w:proofErr w:type="spellEnd"/>
      <w:r w:rsidRPr="00F85958">
        <w:rPr>
          <w:lang w:val="en-US"/>
        </w:rPr>
        <w:t xml:space="preserve"> (CD16</w:t>
      </w:r>
      <w:r w:rsidR="00CF5609">
        <w:rPr>
          <w:vertAlign w:val="superscript"/>
          <w:lang w:val="en-US"/>
        </w:rPr>
        <w:t>–</w:t>
      </w:r>
      <w:r w:rsidRPr="00F85958">
        <w:rPr>
          <w:lang w:val="en-US"/>
        </w:rPr>
        <w:t xml:space="preserve">) and </w:t>
      </w:r>
      <w:proofErr w:type="spellStart"/>
      <w:r w:rsidRPr="00F85958">
        <w:rPr>
          <w:lang w:val="en-US"/>
        </w:rPr>
        <w:t>Neutrophiles</w:t>
      </w:r>
      <w:proofErr w:type="spellEnd"/>
      <w:r w:rsidRPr="00F85958">
        <w:rPr>
          <w:lang w:val="en-US"/>
        </w:rPr>
        <w:t xml:space="preserve"> (CD16</w:t>
      </w:r>
      <w:r w:rsidRPr="00F85958">
        <w:rPr>
          <w:vertAlign w:val="superscript"/>
          <w:lang w:val="en-US"/>
        </w:rPr>
        <w:t>+</w:t>
      </w:r>
      <w:r w:rsidRPr="00F85958">
        <w:rPr>
          <w:lang w:val="en-US"/>
        </w:rPr>
        <w:t>). Monocytes were divided by the expression of CD14 and CD16 into classical-(CD14</w:t>
      </w:r>
      <w:r w:rsidRPr="00F85958">
        <w:rPr>
          <w:vertAlign w:val="superscript"/>
          <w:lang w:val="en-US"/>
        </w:rPr>
        <w:t>++</w:t>
      </w:r>
      <w:r w:rsidRPr="00F85958">
        <w:rPr>
          <w:lang w:val="en-US"/>
        </w:rPr>
        <w:t>CD16</w:t>
      </w:r>
      <w:r w:rsidR="00CF5609">
        <w:rPr>
          <w:vertAlign w:val="superscript"/>
          <w:lang w:val="en-US"/>
        </w:rPr>
        <w:t>–</w:t>
      </w:r>
      <w:r w:rsidRPr="00F85958">
        <w:rPr>
          <w:lang w:val="en-US"/>
        </w:rPr>
        <w:t>), intermediate- (CD14</w:t>
      </w:r>
      <w:r w:rsidRPr="00F85958">
        <w:rPr>
          <w:vertAlign w:val="superscript"/>
          <w:lang w:val="en-US"/>
        </w:rPr>
        <w:t>++</w:t>
      </w:r>
      <w:r w:rsidRPr="00F85958">
        <w:rPr>
          <w:lang w:val="en-US"/>
        </w:rPr>
        <w:t>CD16</w:t>
      </w:r>
      <w:r w:rsidRPr="00F85958">
        <w:rPr>
          <w:vertAlign w:val="superscript"/>
          <w:lang w:val="en-US"/>
        </w:rPr>
        <w:t>+</w:t>
      </w:r>
      <w:r w:rsidRPr="00F85958">
        <w:rPr>
          <w:lang w:val="en-US"/>
        </w:rPr>
        <w:t>) and non-classical Monocytes (CD14</w:t>
      </w:r>
      <w:r w:rsidRPr="00F85958">
        <w:rPr>
          <w:vertAlign w:val="superscript"/>
          <w:lang w:val="en-US"/>
        </w:rPr>
        <w:t>+</w:t>
      </w:r>
      <w:r w:rsidRPr="00F85958">
        <w:rPr>
          <w:lang w:val="en-US"/>
        </w:rPr>
        <w:t>CD16</w:t>
      </w:r>
      <w:r w:rsidRPr="00F85958">
        <w:rPr>
          <w:vertAlign w:val="superscript"/>
          <w:lang w:val="en-US"/>
        </w:rPr>
        <w:t>+</w:t>
      </w:r>
      <w:r w:rsidRPr="00F85958">
        <w:rPr>
          <w:lang w:val="en-US"/>
        </w:rPr>
        <w:t>). Lymphocytes were separated by CD3 and CD56 in NK (CD3</w:t>
      </w:r>
      <w:r w:rsidR="00CF5609">
        <w:rPr>
          <w:vertAlign w:val="superscript"/>
          <w:lang w:val="en-US"/>
        </w:rPr>
        <w:t>–</w:t>
      </w:r>
      <w:r w:rsidRPr="00F85958">
        <w:rPr>
          <w:lang w:val="en-US"/>
        </w:rPr>
        <w:t>CD56</w:t>
      </w:r>
      <w:r w:rsidRPr="00F85958">
        <w:rPr>
          <w:vertAlign w:val="superscript"/>
          <w:lang w:val="en-US"/>
        </w:rPr>
        <w:t>+</w:t>
      </w:r>
      <w:r w:rsidRPr="00F85958">
        <w:rPr>
          <w:lang w:val="en-US"/>
        </w:rPr>
        <w:t>), NKT (CD3</w:t>
      </w:r>
      <w:r w:rsidRPr="00F85958">
        <w:rPr>
          <w:vertAlign w:val="superscript"/>
          <w:lang w:val="en-US"/>
        </w:rPr>
        <w:t>+</w:t>
      </w:r>
      <w:r w:rsidRPr="00F85958">
        <w:rPr>
          <w:lang w:val="en-US"/>
        </w:rPr>
        <w:t>CD56</w:t>
      </w:r>
      <w:r w:rsidRPr="00F85958">
        <w:rPr>
          <w:vertAlign w:val="superscript"/>
          <w:lang w:val="en-US"/>
        </w:rPr>
        <w:t>+</w:t>
      </w:r>
      <w:r w:rsidRPr="00F85958">
        <w:rPr>
          <w:lang w:val="en-US"/>
        </w:rPr>
        <w:t>) and T</w:t>
      </w:r>
      <w:r w:rsidR="003F1F85">
        <w:rPr>
          <w:lang w:val="en-US"/>
        </w:rPr>
        <w:t>-cell</w:t>
      </w:r>
      <w:r w:rsidRPr="00F85958">
        <w:rPr>
          <w:lang w:val="en-US"/>
        </w:rPr>
        <w:t>s (CD3</w:t>
      </w:r>
      <w:r w:rsidRPr="00F85958">
        <w:rPr>
          <w:vertAlign w:val="superscript"/>
          <w:lang w:val="en-US"/>
        </w:rPr>
        <w:t>+</w:t>
      </w:r>
      <w:r w:rsidRPr="00F85958">
        <w:rPr>
          <w:lang w:val="en-US"/>
        </w:rPr>
        <w:t>CD56</w:t>
      </w:r>
      <w:r w:rsidR="00CF5609">
        <w:rPr>
          <w:vertAlign w:val="superscript"/>
          <w:lang w:val="en-US"/>
        </w:rPr>
        <w:t>–</w:t>
      </w:r>
      <w:r w:rsidRPr="00F85958">
        <w:rPr>
          <w:lang w:val="en-US"/>
        </w:rPr>
        <w:t>) and T</w:t>
      </w:r>
      <w:r w:rsidR="003F1F85">
        <w:rPr>
          <w:lang w:val="en-US"/>
        </w:rPr>
        <w:t>-cell</w:t>
      </w:r>
      <w:r w:rsidRPr="00F85958">
        <w:rPr>
          <w:lang w:val="en-US"/>
        </w:rPr>
        <w:t>s were further distinguished into CD4</w:t>
      </w:r>
      <w:r w:rsidRPr="00F85958">
        <w:rPr>
          <w:vertAlign w:val="superscript"/>
          <w:lang w:val="en-US"/>
        </w:rPr>
        <w:t>+</w:t>
      </w:r>
      <w:r w:rsidRPr="00F85958">
        <w:rPr>
          <w:lang w:val="en-US"/>
        </w:rPr>
        <w:t xml:space="preserve"> helper T</w:t>
      </w:r>
      <w:r w:rsidR="003F1F85">
        <w:rPr>
          <w:lang w:val="en-US"/>
        </w:rPr>
        <w:t>-cell</w:t>
      </w:r>
      <w:r w:rsidRPr="00F85958">
        <w:rPr>
          <w:lang w:val="en-US"/>
        </w:rPr>
        <w:t>s and CD8</w:t>
      </w:r>
      <w:r w:rsidRPr="00F85958">
        <w:rPr>
          <w:vertAlign w:val="superscript"/>
          <w:lang w:val="en-US"/>
        </w:rPr>
        <w:t>+</w:t>
      </w:r>
      <w:r w:rsidRPr="00F85958">
        <w:rPr>
          <w:lang w:val="en-US"/>
        </w:rPr>
        <w:t xml:space="preserve"> cytotoxic T</w:t>
      </w:r>
      <w:r w:rsidR="003F1F85">
        <w:rPr>
          <w:lang w:val="en-US"/>
        </w:rPr>
        <w:t>-cell</w:t>
      </w:r>
      <w:r w:rsidRPr="00F85958">
        <w:rPr>
          <w:lang w:val="en-US"/>
        </w:rPr>
        <w:t>s. B</w:t>
      </w:r>
      <w:r w:rsidR="003F1F85">
        <w:rPr>
          <w:lang w:val="en-US"/>
        </w:rPr>
        <w:t>-cell</w:t>
      </w:r>
      <w:r w:rsidRPr="00F85958">
        <w:rPr>
          <w:lang w:val="en-US"/>
        </w:rPr>
        <w:t>s were identified as CD3/CD56 double negative and CD19 positive cells.</w:t>
      </w:r>
    </w:p>
    <w:p w:rsidR="00A95F33" w:rsidRPr="00E57999" w:rsidRDefault="00A95F33">
      <w:pPr>
        <w:spacing w:line="480" w:lineRule="auto"/>
        <w:ind w:firstLine="360"/>
        <w:rPr>
          <w:noProof/>
          <w:lang w:val="en-US" w:eastAsia="de-DE"/>
        </w:rPr>
      </w:pPr>
      <w:r w:rsidRPr="00E57999">
        <w:rPr>
          <w:noProof/>
          <w:lang w:val="en-US" w:eastAsia="de-DE"/>
        </w:rPr>
        <w:br w:type="page"/>
      </w:r>
    </w:p>
    <w:p w:rsidR="00D46B03" w:rsidRPr="00F85958" w:rsidRDefault="005A32D2" w:rsidP="00AE6A0F">
      <w:pPr>
        <w:rPr>
          <w:lang w:val="en-US"/>
        </w:rPr>
      </w:pPr>
      <w:r>
        <w:rPr>
          <w:noProof/>
          <w:lang w:val="en-US"/>
        </w:rPr>
        <w:lastRenderedPageBreak/>
        <w:drawing>
          <wp:inline distT="0" distB="0" distL="0" distR="0" wp14:anchorId="0BA9FDE1" wp14:editId="137D5351">
            <wp:extent cx="5743575" cy="3438525"/>
            <wp:effectExtent l="0" t="0" r="0" b="0"/>
            <wp:docPr id="3" name="Grafik 3" descr="K:\Forschung\Medizinische Klinik 1\Mitarbeiter\Ulrik\_Laptop\Documents\Papers\01-Working\02_By_colleagues\babel - COVID immunity\Figure 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rschung\Medizinische Klinik 1\Mitarbeiter\Ulrik\_Laptop\Documents\Papers\01-Working\02_By_colleagues\babel - COVID immunity\Figure S7.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inline>
        </w:drawing>
      </w:r>
    </w:p>
    <w:p w:rsidR="00AE6A0F" w:rsidRPr="00F85958" w:rsidRDefault="00D94999" w:rsidP="00AE6A0F">
      <w:pPr>
        <w:pStyle w:val="berschrift2"/>
        <w:rPr>
          <w:lang w:val="en-US"/>
        </w:rPr>
      </w:pPr>
      <w:bookmarkStart w:id="27" w:name="_Toc38892519"/>
      <w:r w:rsidRPr="00F85958">
        <w:rPr>
          <w:lang w:val="en-US"/>
        </w:rPr>
        <w:t>Fig</w:t>
      </w:r>
      <w:r w:rsidR="00AE6A0F" w:rsidRPr="00F85958">
        <w:rPr>
          <w:lang w:val="en-US"/>
        </w:rPr>
        <w:t>ure</w:t>
      </w:r>
      <w:r w:rsidRPr="00F85958">
        <w:rPr>
          <w:lang w:val="en-US"/>
        </w:rPr>
        <w:t xml:space="preserve"> S7</w:t>
      </w:r>
      <w:r w:rsidR="00AE6A0F" w:rsidRPr="00F85958">
        <w:rPr>
          <w:lang w:val="en-US"/>
        </w:rPr>
        <w:t>.</w:t>
      </w:r>
      <w:r w:rsidRPr="00F85958">
        <w:rPr>
          <w:lang w:val="en-US"/>
        </w:rPr>
        <w:t xml:space="preserve"> Gating strategy for identification of activated T</w:t>
      </w:r>
      <w:r w:rsidR="003F1F85">
        <w:rPr>
          <w:lang w:val="en-US"/>
        </w:rPr>
        <w:t>-cell</w:t>
      </w:r>
      <w:r w:rsidRPr="00F85958">
        <w:rPr>
          <w:lang w:val="en-US"/>
        </w:rPr>
        <w:t>s.</w:t>
      </w:r>
      <w:bookmarkEnd w:id="27"/>
    </w:p>
    <w:p w:rsidR="00A95F33" w:rsidRDefault="00D94999" w:rsidP="00AE6A0F">
      <w:pPr>
        <w:rPr>
          <w:lang w:val="en-US"/>
        </w:rPr>
      </w:pPr>
      <w:r w:rsidRPr="00F85958">
        <w:rPr>
          <w:lang w:val="en-US"/>
        </w:rPr>
        <w:t xml:space="preserve">Whole blood was diluted 1:1 in staining solution </w:t>
      </w:r>
      <w:r w:rsidR="00D508E9">
        <w:rPr>
          <w:lang w:val="en-US"/>
        </w:rPr>
        <w:t>prior to</w:t>
      </w:r>
      <w:r w:rsidR="00D508E9" w:rsidRPr="00F85958">
        <w:rPr>
          <w:lang w:val="en-US"/>
        </w:rPr>
        <w:t xml:space="preserve"> erythrocytes </w:t>
      </w:r>
      <w:r w:rsidR="00D508E9">
        <w:rPr>
          <w:lang w:val="en-US"/>
        </w:rPr>
        <w:t>lysis</w:t>
      </w:r>
      <w:r w:rsidRPr="00F85958">
        <w:rPr>
          <w:lang w:val="en-US"/>
        </w:rPr>
        <w:t>. Living lymphocytes were identified by their forward and sideward scatter profile and doublets were excluded. T</w:t>
      </w:r>
      <w:r w:rsidR="003F1F85">
        <w:rPr>
          <w:lang w:val="en-US"/>
        </w:rPr>
        <w:t>-cell</w:t>
      </w:r>
      <w:r w:rsidRPr="00F85958">
        <w:rPr>
          <w:lang w:val="en-US"/>
        </w:rPr>
        <w:t>s were identified as CD3</w:t>
      </w:r>
      <w:r w:rsidRPr="00F85958">
        <w:rPr>
          <w:vertAlign w:val="superscript"/>
          <w:lang w:val="en-US"/>
        </w:rPr>
        <w:t>+</w:t>
      </w:r>
      <w:r w:rsidRPr="00F85958">
        <w:rPr>
          <w:lang w:val="en-US"/>
        </w:rPr>
        <w:t xml:space="preserve"> and separated by expression of CD4 and/or CD8 into double negative (CD4</w:t>
      </w:r>
      <w:r w:rsidR="00CF5609" w:rsidRPr="00CF5609">
        <w:rPr>
          <w:vertAlign w:val="superscript"/>
          <w:lang w:val="en-US"/>
        </w:rPr>
        <w:t>–</w:t>
      </w:r>
      <w:r w:rsidRPr="00F85958">
        <w:rPr>
          <w:lang w:val="en-US"/>
        </w:rPr>
        <w:t>CD8</w:t>
      </w:r>
      <w:r w:rsidR="00CF5609">
        <w:rPr>
          <w:vertAlign w:val="superscript"/>
          <w:lang w:val="en-US"/>
        </w:rPr>
        <w:t>–</w:t>
      </w:r>
      <w:r w:rsidRPr="00F85958">
        <w:rPr>
          <w:lang w:val="en-US"/>
        </w:rPr>
        <w:t>), double positive (CD4</w:t>
      </w:r>
      <w:r w:rsidRPr="00F85958">
        <w:rPr>
          <w:vertAlign w:val="superscript"/>
          <w:lang w:val="en-US"/>
        </w:rPr>
        <w:t>+</w:t>
      </w:r>
      <w:r w:rsidRPr="00F85958">
        <w:rPr>
          <w:lang w:val="en-US"/>
        </w:rPr>
        <w:t>CD8</w:t>
      </w:r>
      <w:r w:rsidRPr="00F85958">
        <w:rPr>
          <w:vertAlign w:val="superscript"/>
          <w:lang w:val="en-US"/>
        </w:rPr>
        <w:t>+</w:t>
      </w:r>
      <w:r w:rsidRPr="00F85958">
        <w:rPr>
          <w:lang w:val="en-US"/>
        </w:rPr>
        <w:t>), T</w:t>
      </w:r>
      <w:r w:rsidR="003F1F85">
        <w:rPr>
          <w:lang w:val="en-US"/>
        </w:rPr>
        <w:t>-</w:t>
      </w:r>
      <w:r w:rsidRPr="00F85958">
        <w:rPr>
          <w:lang w:val="en-US"/>
        </w:rPr>
        <w:t>helper cells (CD4</w:t>
      </w:r>
      <w:r w:rsidRPr="00F85958">
        <w:rPr>
          <w:vertAlign w:val="superscript"/>
          <w:lang w:val="en-US"/>
        </w:rPr>
        <w:t>+</w:t>
      </w:r>
      <w:r w:rsidRPr="00F85958">
        <w:rPr>
          <w:lang w:val="en-US"/>
        </w:rPr>
        <w:t>CD8</w:t>
      </w:r>
      <w:r w:rsidR="00CF5609">
        <w:rPr>
          <w:vertAlign w:val="superscript"/>
          <w:lang w:val="en-US"/>
        </w:rPr>
        <w:t>–</w:t>
      </w:r>
      <w:r w:rsidRPr="00F85958">
        <w:rPr>
          <w:lang w:val="en-US"/>
        </w:rPr>
        <w:t>) and cytotoxic T</w:t>
      </w:r>
      <w:r w:rsidR="003F1F85">
        <w:rPr>
          <w:lang w:val="en-US"/>
        </w:rPr>
        <w:t>-cell</w:t>
      </w:r>
      <w:r w:rsidRPr="00F85958">
        <w:rPr>
          <w:lang w:val="en-US"/>
        </w:rPr>
        <w:t>s (CD4</w:t>
      </w:r>
      <w:r w:rsidR="00CF5609">
        <w:rPr>
          <w:vertAlign w:val="superscript"/>
          <w:lang w:val="en-US"/>
        </w:rPr>
        <w:t>–</w:t>
      </w:r>
      <w:r w:rsidRPr="00F85958">
        <w:rPr>
          <w:lang w:val="en-US"/>
        </w:rPr>
        <w:t>CD8</w:t>
      </w:r>
      <w:r w:rsidRPr="00F85958">
        <w:rPr>
          <w:vertAlign w:val="superscript"/>
          <w:lang w:val="en-US"/>
        </w:rPr>
        <w:t>+</w:t>
      </w:r>
      <w:r w:rsidRPr="00F85958">
        <w:rPr>
          <w:lang w:val="en-US"/>
        </w:rPr>
        <w:t>). The expression of activation marker CD11a, HLA-DR, CD28 and CD57 was assessed on CD4</w:t>
      </w:r>
      <w:r w:rsidRPr="00F85958">
        <w:rPr>
          <w:vertAlign w:val="superscript"/>
          <w:lang w:val="en-US"/>
        </w:rPr>
        <w:t>+</w:t>
      </w:r>
      <w:r w:rsidRPr="00F85958">
        <w:rPr>
          <w:lang w:val="en-US"/>
        </w:rPr>
        <w:t xml:space="preserve"> and CD8</w:t>
      </w:r>
      <w:r w:rsidRPr="00F85958">
        <w:rPr>
          <w:vertAlign w:val="superscript"/>
          <w:lang w:val="en-US"/>
        </w:rPr>
        <w:t xml:space="preserve">+ </w:t>
      </w:r>
      <w:r w:rsidRPr="00F85958">
        <w:rPr>
          <w:lang w:val="en-US"/>
        </w:rPr>
        <w:t>single positive T</w:t>
      </w:r>
      <w:r w:rsidR="003F1F85">
        <w:rPr>
          <w:lang w:val="en-US"/>
        </w:rPr>
        <w:t>-cell</w:t>
      </w:r>
      <w:r w:rsidRPr="00F85958">
        <w:rPr>
          <w:lang w:val="en-US"/>
        </w:rPr>
        <w:t>s.</w:t>
      </w:r>
    </w:p>
    <w:p w:rsidR="00A95F33" w:rsidRDefault="00A95F33" w:rsidP="00A95F33">
      <w:pPr>
        <w:rPr>
          <w:lang w:val="en-US"/>
        </w:rPr>
      </w:pPr>
      <w:r>
        <w:rPr>
          <w:lang w:val="en-US"/>
        </w:rPr>
        <w:br w:type="page"/>
      </w:r>
    </w:p>
    <w:p w:rsidR="00D46B03" w:rsidRPr="00F85958" w:rsidRDefault="005A32D2" w:rsidP="00AE6A0F">
      <w:pPr>
        <w:rPr>
          <w:lang w:val="en-US"/>
        </w:rPr>
      </w:pPr>
      <w:r>
        <w:rPr>
          <w:noProof/>
          <w:lang w:val="en-US"/>
        </w:rPr>
        <w:lastRenderedPageBreak/>
        <w:drawing>
          <wp:inline distT="0" distB="0" distL="0" distR="0" wp14:anchorId="6724505E" wp14:editId="772C163D">
            <wp:extent cx="5753100" cy="3333750"/>
            <wp:effectExtent l="0" t="0" r="0" b="0"/>
            <wp:docPr id="2" name="Grafik 2" descr="K:\Forschung\Medizinische Klinik 1\Mitarbeiter\Ulrik\_Laptop\Documents\Papers\01-Working\02_By_colleagues\babel - COVID immunity\Figure S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rschung\Medizinische Klinik 1\Mitarbeiter\Ulrik\_Laptop\Documents\Papers\01-Working\02_By_colleagues\babel - COVID immunity\Figure S8.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rsidR="00AE6A0F" w:rsidRPr="00F85958" w:rsidRDefault="00D94999" w:rsidP="00AE6A0F">
      <w:pPr>
        <w:pStyle w:val="berschrift2"/>
        <w:rPr>
          <w:lang w:val="en-US"/>
        </w:rPr>
      </w:pPr>
      <w:bookmarkStart w:id="28" w:name="_Toc38892520"/>
      <w:r w:rsidRPr="00F85958">
        <w:rPr>
          <w:lang w:val="en-US"/>
        </w:rPr>
        <w:t>Fig</w:t>
      </w:r>
      <w:r w:rsidR="00AE6A0F" w:rsidRPr="00F85958">
        <w:rPr>
          <w:lang w:val="en-US"/>
        </w:rPr>
        <w:t>ure</w:t>
      </w:r>
      <w:r w:rsidRPr="00F85958">
        <w:rPr>
          <w:lang w:val="en-US"/>
        </w:rPr>
        <w:t xml:space="preserve"> S8</w:t>
      </w:r>
      <w:r w:rsidR="00AE6A0F" w:rsidRPr="00F85958">
        <w:rPr>
          <w:lang w:val="en-US"/>
        </w:rPr>
        <w:t>.</w:t>
      </w:r>
      <w:r w:rsidRPr="00F85958">
        <w:rPr>
          <w:lang w:val="en-US"/>
        </w:rPr>
        <w:t xml:space="preserve"> Gating strategy for identification of</w:t>
      </w:r>
      <w:r w:rsidR="00AE6A0F" w:rsidRPr="00F85958">
        <w:rPr>
          <w:lang w:val="en-US"/>
        </w:rPr>
        <w:t xml:space="preserve"> memory and regulatory T</w:t>
      </w:r>
      <w:r w:rsidR="003F1F85">
        <w:rPr>
          <w:lang w:val="en-US"/>
        </w:rPr>
        <w:t>-cell</w:t>
      </w:r>
      <w:r w:rsidR="00AE6A0F" w:rsidRPr="00F85958">
        <w:rPr>
          <w:lang w:val="en-US"/>
        </w:rPr>
        <w:t>s.</w:t>
      </w:r>
      <w:bookmarkEnd w:id="28"/>
    </w:p>
    <w:p w:rsidR="00D94999" w:rsidRPr="00F85958" w:rsidRDefault="00D94999" w:rsidP="00AE6A0F">
      <w:pPr>
        <w:rPr>
          <w:lang w:val="en-US"/>
        </w:rPr>
      </w:pPr>
      <w:r w:rsidRPr="00F85958">
        <w:rPr>
          <w:lang w:val="en-US"/>
        </w:rPr>
        <w:t xml:space="preserve">Whole blood was diluted 1:1 in staining solution </w:t>
      </w:r>
      <w:r w:rsidR="00D508E9">
        <w:rPr>
          <w:lang w:val="en-US"/>
        </w:rPr>
        <w:t>prior to</w:t>
      </w:r>
      <w:r w:rsidR="00D508E9" w:rsidRPr="00F85958">
        <w:rPr>
          <w:lang w:val="en-US"/>
        </w:rPr>
        <w:t xml:space="preserve"> erythrocytes </w:t>
      </w:r>
      <w:r w:rsidR="00D508E9">
        <w:rPr>
          <w:lang w:val="en-US"/>
        </w:rPr>
        <w:t>lysis</w:t>
      </w:r>
      <w:r w:rsidRPr="00F85958">
        <w:rPr>
          <w:lang w:val="en-US"/>
        </w:rPr>
        <w:t>. Living lymphocytes were identified by their forward and sideward scatter profile and doublets were excluded. T</w:t>
      </w:r>
      <w:r w:rsidR="003F1F85">
        <w:rPr>
          <w:lang w:val="en-US"/>
        </w:rPr>
        <w:t>-cell</w:t>
      </w:r>
      <w:r w:rsidRPr="00F85958">
        <w:rPr>
          <w:lang w:val="en-US"/>
        </w:rPr>
        <w:t>s were identified by the expression of CD3 and separated into αβ-T</w:t>
      </w:r>
      <w:r w:rsidR="003F1F85">
        <w:rPr>
          <w:lang w:val="en-US"/>
        </w:rPr>
        <w:t>-cell</w:t>
      </w:r>
      <w:r w:rsidRPr="00F85958">
        <w:rPr>
          <w:lang w:val="en-US"/>
        </w:rPr>
        <w:t xml:space="preserve">s and </w:t>
      </w:r>
      <w:proofErr w:type="spellStart"/>
      <w:r w:rsidRPr="00F85958">
        <w:rPr>
          <w:lang w:val="en-US"/>
        </w:rPr>
        <w:t>γδ</w:t>
      </w:r>
      <w:proofErr w:type="spellEnd"/>
      <w:r w:rsidRPr="00F85958">
        <w:rPr>
          <w:lang w:val="en-US"/>
        </w:rPr>
        <w:t>-T</w:t>
      </w:r>
      <w:r w:rsidR="003F1F85">
        <w:rPr>
          <w:lang w:val="en-US"/>
        </w:rPr>
        <w:t>-cell</w:t>
      </w:r>
      <w:r w:rsidRPr="00F85958">
        <w:rPr>
          <w:lang w:val="en-US"/>
        </w:rPr>
        <w:t>s by staining with TCR</w:t>
      </w:r>
      <w:r w:rsidR="001148B0">
        <w:rPr>
          <w:lang w:val="en-US"/>
        </w:rPr>
        <w:t xml:space="preserve"> antibodies against TCR</w:t>
      </w:r>
      <w:r w:rsidR="001148B0" w:rsidRPr="00F85958">
        <w:rPr>
          <w:lang w:val="en-US"/>
        </w:rPr>
        <w:t xml:space="preserve">αβ </w:t>
      </w:r>
      <w:r w:rsidR="001148B0">
        <w:rPr>
          <w:lang w:val="en-US"/>
        </w:rPr>
        <w:t xml:space="preserve">and </w:t>
      </w:r>
      <w:proofErr w:type="spellStart"/>
      <w:r w:rsidR="001148B0">
        <w:rPr>
          <w:lang w:val="en-US"/>
        </w:rPr>
        <w:t>TCR</w:t>
      </w:r>
      <w:r w:rsidR="001148B0" w:rsidRPr="00F85958">
        <w:rPr>
          <w:lang w:val="en-US"/>
        </w:rPr>
        <w:t>γδ</w:t>
      </w:r>
      <w:proofErr w:type="spellEnd"/>
      <w:r w:rsidR="001148B0" w:rsidRPr="00F85958">
        <w:rPr>
          <w:lang w:val="en-US"/>
        </w:rPr>
        <w:t xml:space="preserve"> </w:t>
      </w:r>
      <w:r w:rsidRPr="00F85958">
        <w:rPr>
          <w:lang w:val="en-US"/>
        </w:rPr>
        <w:t>antibodies. Additionally, CD3</w:t>
      </w:r>
      <w:r w:rsidRPr="00F85958">
        <w:rPr>
          <w:vertAlign w:val="superscript"/>
          <w:lang w:val="en-US"/>
        </w:rPr>
        <w:t>+</w:t>
      </w:r>
      <w:r w:rsidRPr="00F85958">
        <w:rPr>
          <w:lang w:val="en-US"/>
        </w:rPr>
        <w:t xml:space="preserve"> T</w:t>
      </w:r>
      <w:r w:rsidR="003F1F85">
        <w:rPr>
          <w:lang w:val="en-US"/>
        </w:rPr>
        <w:t>-cell</w:t>
      </w:r>
      <w:r w:rsidRPr="00F85958">
        <w:rPr>
          <w:lang w:val="en-US"/>
        </w:rPr>
        <w:t>s were divided into T</w:t>
      </w:r>
      <w:r w:rsidR="003F1F85">
        <w:rPr>
          <w:lang w:val="en-US"/>
        </w:rPr>
        <w:t>-</w:t>
      </w:r>
      <w:r w:rsidRPr="00F85958">
        <w:rPr>
          <w:lang w:val="en-US"/>
        </w:rPr>
        <w:t>helper cells (CD4</w:t>
      </w:r>
      <w:r w:rsidRPr="00F85958">
        <w:rPr>
          <w:vertAlign w:val="superscript"/>
          <w:lang w:val="en-US"/>
        </w:rPr>
        <w:t>+</w:t>
      </w:r>
      <w:r w:rsidRPr="00F85958">
        <w:rPr>
          <w:lang w:val="en-US"/>
        </w:rPr>
        <w:t>CD8</w:t>
      </w:r>
      <w:r w:rsidR="00A36BC4">
        <w:rPr>
          <w:vertAlign w:val="superscript"/>
          <w:lang w:val="en-US"/>
        </w:rPr>
        <w:t>–</w:t>
      </w:r>
      <w:r w:rsidRPr="00F85958">
        <w:rPr>
          <w:lang w:val="en-US"/>
        </w:rPr>
        <w:t>) and cytotoxic T</w:t>
      </w:r>
      <w:r w:rsidR="003F1F85">
        <w:rPr>
          <w:lang w:val="en-US"/>
        </w:rPr>
        <w:t>-cell</w:t>
      </w:r>
      <w:r w:rsidRPr="00F85958">
        <w:rPr>
          <w:lang w:val="en-US"/>
        </w:rPr>
        <w:t>s (CD4</w:t>
      </w:r>
      <w:r w:rsidR="00CF5609">
        <w:rPr>
          <w:vertAlign w:val="superscript"/>
          <w:lang w:val="en-US"/>
        </w:rPr>
        <w:t>–</w:t>
      </w:r>
      <w:r w:rsidRPr="00F85958">
        <w:rPr>
          <w:lang w:val="en-US"/>
        </w:rPr>
        <w:t>CD8</w:t>
      </w:r>
      <w:r w:rsidRPr="00F85958">
        <w:rPr>
          <w:vertAlign w:val="superscript"/>
          <w:lang w:val="en-US"/>
        </w:rPr>
        <w:t>+</w:t>
      </w:r>
      <w:r w:rsidRPr="00F85958">
        <w:rPr>
          <w:lang w:val="en-US"/>
        </w:rPr>
        <w:t>). Both T</w:t>
      </w:r>
      <w:r w:rsidR="003F1F85">
        <w:rPr>
          <w:lang w:val="en-US"/>
        </w:rPr>
        <w:t>-cell</w:t>
      </w:r>
      <w:r w:rsidRPr="00F85958">
        <w:rPr>
          <w:lang w:val="en-US"/>
        </w:rPr>
        <w:t xml:space="preserve"> subsets were further divided by the expression of CD45RA and CCR7 into Naïve (CD45RA</w:t>
      </w:r>
      <w:r w:rsidRPr="00F85958">
        <w:rPr>
          <w:vertAlign w:val="superscript"/>
          <w:lang w:val="en-US"/>
        </w:rPr>
        <w:t>+</w:t>
      </w:r>
      <w:r w:rsidRPr="00F85958">
        <w:rPr>
          <w:lang w:val="en-US"/>
        </w:rPr>
        <w:t>CCR7</w:t>
      </w:r>
      <w:r w:rsidRPr="00F85958">
        <w:rPr>
          <w:vertAlign w:val="superscript"/>
          <w:lang w:val="en-US"/>
        </w:rPr>
        <w:t>+</w:t>
      </w:r>
      <w:r w:rsidRPr="00F85958">
        <w:rPr>
          <w:lang w:val="en-US"/>
        </w:rPr>
        <w:t>), central memory (CM, CD45RA</w:t>
      </w:r>
      <w:r w:rsidR="00CF5609">
        <w:rPr>
          <w:vertAlign w:val="superscript"/>
          <w:lang w:val="en-US"/>
        </w:rPr>
        <w:t>–</w:t>
      </w:r>
      <w:r w:rsidRPr="00F85958">
        <w:rPr>
          <w:lang w:val="en-US"/>
        </w:rPr>
        <w:t>CCR7</w:t>
      </w:r>
      <w:r w:rsidRPr="00F85958">
        <w:rPr>
          <w:vertAlign w:val="superscript"/>
          <w:lang w:val="en-US"/>
        </w:rPr>
        <w:t>+</w:t>
      </w:r>
      <w:r w:rsidRPr="00F85958">
        <w:rPr>
          <w:lang w:val="en-US"/>
        </w:rPr>
        <w:t>), effector memory (EM, CD45RA</w:t>
      </w:r>
      <w:r w:rsidR="00CF5609">
        <w:rPr>
          <w:vertAlign w:val="superscript"/>
          <w:lang w:val="en-US"/>
        </w:rPr>
        <w:t>–</w:t>
      </w:r>
      <w:r w:rsidRPr="00F85958">
        <w:rPr>
          <w:lang w:val="en-US"/>
        </w:rPr>
        <w:t>CCR7</w:t>
      </w:r>
      <w:r w:rsidR="00CF5609">
        <w:rPr>
          <w:vertAlign w:val="superscript"/>
          <w:lang w:val="en-US"/>
        </w:rPr>
        <w:t>–</w:t>
      </w:r>
      <w:r w:rsidRPr="00F85958">
        <w:rPr>
          <w:lang w:val="en-US"/>
        </w:rPr>
        <w:t>) and T effector RA (TEMRA, CD45RA</w:t>
      </w:r>
      <w:r w:rsidRPr="00F85958">
        <w:rPr>
          <w:vertAlign w:val="superscript"/>
          <w:lang w:val="en-US"/>
        </w:rPr>
        <w:t>+</w:t>
      </w:r>
      <w:r w:rsidRPr="00F85958">
        <w:rPr>
          <w:lang w:val="en-US"/>
        </w:rPr>
        <w:t>CCR7</w:t>
      </w:r>
      <w:r w:rsidR="00CF5609">
        <w:rPr>
          <w:vertAlign w:val="superscript"/>
          <w:lang w:val="en-US"/>
        </w:rPr>
        <w:t>–</w:t>
      </w:r>
      <w:r w:rsidRPr="00F85958">
        <w:rPr>
          <w:lang w:val="en-US"/>
        </w:rPr>
        <w:t>) T</w:t>
      </w:r>
      <w:r w:rsidR="003F1F85">
        <w:rPr>
          <w:lang w:val="en-US"/>
        </w:rPr>
        <w:t>-cell</w:t>
      </w:r>
      <w:r w:rsidRPr="00F85958">
        <w:rPr>
          <w:lang w:val="en-US"/>
        </w:rPr>
        <w:t>s. Additionally, regulatory T</w:t>
      </w:r>
      <w:r w:rsidR="003F1F85">
        <w:rPr>
          <w:lang w:val="en-US"/>
        </w:rPr>
        <w:t>-cell</w:t>
      </w:r>
      <w:r w:rsidRPr="00F85958">
        <w:rPr>
          <w:lang w:val="en-US"/>
        </w:rPr>
        <w:t>s (Tregs) were identified as CD4</w:t>
      </w:r>
      <w:r w:rsidRPr="00F85958">
        <w:rPr>
          <w:vertAlign w:val="superscript"/>
          <w:lang w:val="en-US"/>
        </w:rPr>
        <w:t>+</w:t>
      </w:r>
      <w:r w:rsidRPr="00F85958">
        <w:rPr>
          <w:lang w:val="en-US"/>
        </w:rPr>
        <w:t>CD25</w:t>
      </w:r>
      <w:r w:rsidRPr="00F85958">
        <w:rPr>
          <w:vertAlign w:val="superscript"/>
          <w:lang w:val="en-US"/>
        </w:rPr>
        <w:t>+</w:t>
      </w:r>
      <w:r w:rsidRPr="00F85958">
        <w:rPr>
          <w:lang w:val="en-US"/>
        </w:rPr>
        <w:t>CD127</w:t>
      </w:r>
      <w:r w:rsidRPr="00F85958">
        <w:rPr>
          <w:vertAlign w:val="superscript"/>
          <w:lang w:val="en-US"/>
        </w:rPr>
        <w:t>+</w:t>
      </w:r>
      <w:r w:rsidRPr="00F85958">
        <w:rPr>
          <w:lang w:val="en-US"/>
        </w:rPr>
        <w:t xml:space="preserve"> and further separated by their expression of CD45RA into Naïve (CD45RA</w:t>
      </w:r>
      <w:r w:rsidRPr="00F85958">
        <w:rPr>
          <w:vertAlign w:val="superscript"/>
          <w:lang w:val="en-US"/>
        </w:rPr>
        <w:t>+</w:t>
      </w:r>
      <w:r w:rsidRPr="00F85958">
        <w:rPr>
          <w:lang w:val="en-US"/>
        </w:rPr>
        <w:t>) and effector Tregs (CD45RA</w:t>
      </w:r>
      <w:r w:rsidR="00CF5609">
        <w:rPr>
          <w:vertAlign w:val="superscript"/>
          <w:lang w:val="en-US"/>
        </w:rPr>
        <w:t>–</w:t>
      </w:r>
      <w:r w:rsidRPr="00F85958">
        <w:rPr>
          <w:lang w:val="en-US"/>
        </w:rPr>
        <w:t>).</w:t>
      </w:r>
    </w:p>
    <w:p w:rsidR="00A95F33" w:rsidRPr="00E57999" w:rsidRDefault="00A95F33">
      <w:pPr>
        <w:spacing w:line="480" w:lineRule="auto"/>
        <w:ind w:firstLine="360"/>
        <w:rPr>
          <w:noProof/>
          <w:lang w:val="en-US" w:eastAsia="de-DE"/>
        </w:rPr>
      </w:pPr>
      <w:r w:rsidRPr="00E57999">
        <w:rPr>
          <w:noProof/>
          <w:lang w:val="en-US" w:eastAsia="de-DE"/>
        </w:rPr>
        <w:br w:type="page"/>
      </w:r>
    </w:p>
    <w:p w:rsidR="00D46B03" w:rsidRPr="00F85958" w:rsidRDefault="005A32D2" w:rsidP="00AE6A0F">
      <w:pPr>
        <w:rPr>
          <w:lang w:val="en-US"/>
        </w:rPr>
      </w:pPr>
      <w:r>
        <w:rPr>
          <w:noProof/>
          <w:lang w:val="en-US"/>
        </w:rPr>
        <w:lastRenderedPageBreak/>
        <w:drawing>
          <wp:inline distT="0" distB="0" distL="0" distR="0" wp14:anchorId="2C421789" wp14:editId="7E8DAD78">
            <wp:extent cx="5753100" cy="3686175"/>
            <wp:effectExtent l="0" t="0" r="0" b="9525"/>
            <wp:docPr id="1" name="Grafik 1" descr="K:\Forschung\Medizinische Klinik 1\Mitarbeiter\Ulrik\_Laptop\Documents\Papers\01-Working\02_By_colleagues\babel - COVID immunity\Figure 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rschung\Medizinische Klinik 1\Mitarbeiter\Ulrik\_Laptop\Documents\Papers\01-Working\02_By_colleagues\babel - COVID immunity\Figure S9.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rsidR="00AE6A0F" w:rsidRPr="00F85958" w:rsidRDefault="00D94999" w:rsidP="00AE6A0F">
      <w:pPr>
        <w:pStyle w:val="berschrift2"/>
        <w:rPr>
          <w:lang w:val="en-US"/>
        </w:rPr>
      </w:pPr>
      <w:bookmarkStart w:id="29" w:name="_Toc38892521"/>
      <w:r w:rsidRPr="00F85958">
        <w:rPr>
          <w:lang w:val="en-US"/>
        </w:rPr>
        <w:t>Fig</w:t>
      </w:r>
      <w:r w:rsidR="00AE6A0F" w:rsidRPr="00F85958">
        <w:rPr>
          <w:lang w:val="en-US"/>
        </w:rPr>
        <w:t>ure</w:t>
      </w:r>
      <w:r w:rsidRPr="00F85958">
        <w:rPr>
          <w:lang w:val="en-US"/>
        </w:rPr>
        <w:t xml:space="preserve"> S9</w:t>
      </w:r>
      <w:r w:rsidR="00AE6A0F" w:rsidRPr="00F85958">
        <w:rPr>
          <w:lang w:val="en-US"/>
        </w:rPr>
        <w:t>.</w:t>
      </w:r>
      <w:r w:rsidRPr="00F85958">
        <w:rPr>
          <w:lang w:val="en-US"/>
        </w:rPr>
        <w:t>Gating strategy for identific</w:t>
      </w:r>
      <w:r w:rsidR="00AE6A0F" w:rsidRPr="00F85958">
        <w:rPr>
          <w:lang w:val="en-US"/>
        </w:rPr>
        <w:t>ation of B</w:t>
      </w:r>
      <w:r w:rsidR="003F1F85">
        <w:rPr>
          <w:lang w:val="en-US"/>
        </w:rPr>
        <w:t>-cell</w:t>
      </w:r>
      <w:r w:rsidR="00AE6A0F" w:rsidRPr="00F85958">
        <w:rPr>
          <w:lang w:val="en-US"/>
        </w:rPr>
        <w:t xml:space="preserve"> subpopulations.</w:t>
      </w:r>
      <w:bookmarkEnd w:id="29"/>
    </w:p>
    <w:p w:rsidR="00D94999" w:rsidRDefault="00D94999" w:rsidP="00AE6A0F">
      <w:pPr>
        <w:rPr>
          <w:lang w:val="en-US"/>
        </w:rPr>
      </w:pPr>
      <w:r w:rsidRPr="00F85958">
        <w:rPr>
          <w:lang w:val="en-US"/>
        </w:rPr>
        <w:t>Whole blood was diluted 1:1 in staining solution and afterwards erythrocytes were lysed. Living lymphocytes were identified by their forward and sideward scatter profile and doublets were excluded. B</w:t>
      </w:r>
      <w:r w:rsidR="003F1F85">
        <w:rPr>
          <w:lang w:val="en-US"/>
        </w:rPr>
        <w:t>-cell</w:t>
      </w:r>
      <w:r w:rsidRPr="00F85958">
        <w:rPr>
          <w:lang w:val="en-US"/>
        </w:rPr>
        <w:t>s were identified by the expression of CD19 and separated into Naïve (IgD</w:t>
      </w:r>
      <w:r w:rsidRPr="00F85958">
        <w:rPr>
          <w:vertAlign w:val="superscript"/>
          <w:lang w:val="en-US"/>
        </w:rPr>
        <w:t>+</w:t>
      </w:r>
      <w:r w:rsidRPr="00F85958">
        <w:rPr>
          <w:lang w:val="en-US"/>
        </w:rPr>
        <w:t>CD27</w:t>
      </w:r>
      <w:r w:rsidR="00CF5609">
        <w:rPr>
          <w:vertAlign w:val="superscript"/>
          <w:lang w:val="en-US"/>
        </w:rPr>
        <w:t>–</w:t>
      </w:r>
      <w:r w:rsidRPr="00F85958">
        <w:rPr>
          <w:lang w:val="en-US"/>
        </w:rPr>
        <w:t>), marginal zone B</w:t>
      </w:r>
      <w:r w:rsidR="003F1F85">
        <w:rPr>
          <w:lang w:val="en-US"/>
        </w:rPr>
        <w:t>-cell</w:t>
      </w:r>
      <w:r w:rsidRPr="00F85958">
        <w:rPr>
          <w:lang w:val="en-US"/>
        </w:rPr>
        <w:t>s (IgD</w:t>
      </w:r>
      <w:r w:rsidRPr="00F85958">
        <w:rPr>
          <w:vertAlign w:val="superscript"/>
          <w:lang w:val="en-US"/>
        </w:rPr>
        <w:t>+</w:t>
      </w:r>
      <w:r w:rsidRPr="00F85958">
        <w:rPr>
          <w:lang w:val="en-US"/>
        </w:rPr>
        <w:t>CD27</w:t>
      </w:r>
      <w:r w:rsidRPr="00F85958">
        <w:rPr>
          <w:vertAlign w:val="superscript"/>
          <w:lang w:val="en-US"/>
        </w:rPr>
        <w:t>+</w:t>
      </w:r>
      <w:r w:rsidRPr="00F85958">
        <w:rPr>
          <w:lang w:val="en-US"/>
        </w:rPr>
        <w:t>) and CD21</w:t>
      </w:r>
      <w:r w:rsidRPr="00F85958">
        <w:rPr>
          <w:vertAlign w:val="superscript"/>
          <w:lang w:val="en-US"/>
        </w:rPr>
        <w:t>low</w:t>
      </w:r>
      <w:r w:rsidRPr="00F85958">
        <w:rPr>
          <w:lang w:val="en-US"/>
        </w:rPr>
        <w:t>CD38</w:t>
      </w:r>
      <w:r w:rsidRPr="00F85958">
        <w:rPr>
          <w:vertAlign w:val="superscript"/>
          <w:lang w:val="en-US"/>
        </w:rPr>
        <w:t>low</w:t>
      </w:r>
      <w:r w:rsidRPr="00F85958">
        <w:rPr>
          <w:lang w:val="en-US"/>
        </w:rPr>
        <w:t xml:space="preserve"> B</w:t>
      </w:r>
      <w:r w:rsidR="003F1F85">
        <w:rPr>
          <w:lang w:val="en-US"/>
        </w:rPr>
        <w:t>-cell</w:t>
      </w:r>
      <w:r w:rsidRPr="00F85958">
        <w:rPr>
          <w:lang w:val="en-US"/>
        </w:rPr>
        <w:t>s. Additionally, B</w:t>
      </w:r>
      <w:r w:rsidR="003F1F85">
        <w:rPr>
          <w:lang w:val="en-US"/>
        </w:rPr>
        <w:t>-cell</w:t>
      </w:r>
      <w:r w:rsidRPr="00F85958">
        <w:rPr>
          <w:lang w:val="en-US"/>
        </w:rPr>
        <w:t xml:space="preserve">s were separated by expression of IgM and </w:t>
      </w:r>
      <w:proofErr w:type="spellStart"/>
      <w:r w:rsidRPr="00F85958">
        <w:rPr>
          <w:lang w:val="en-US"/>
        </w:rPr>
        <w:t>IgD</w:t>
      </w:r>
      <w:proofErr w:type="spellEnd"/>
      <w:r w:rsidRPr="00F85958">
        <w:rPr>
          <w:lang w:val="en-US"/>
        </w:rPr>
        <w:t xml:space="preserve"> into double negative (IgM</w:t>
      </w:r>
      <w:r w:rsidR="00CF5609">
        <w:rPr>
          <w:vertAlign w:val="superscript"/>
          <w:lang w:val="en-US"/>
        </w:rPr>
        <w:t>–</w:t>
      </w:r>
      <w:proofErr w:type="spellStart"/>
      <w:r w:rsidRPr="00F85958">
        <w:rPr>
          <w:lang w:val="en-US"/>
        </w:rPr>
        <w:t>IgD</w:t>
      </w:r>
      <w:proofErr w:type="spellEnd"/>
      <w:r w:rsidR="00CF5609">
        <w:rPr>
          <w:vertAlign w:val="superscript"/>
          <w:lang w:val="en-US"/>
        </w:rPr>
        <w:t>–</w:t>
      </w:r>
      <w:r w:rsidRPr="00F85958">
        <w:rPr>
          <w:lang w:val="en-US"/>
        </w:rPr>
        <w:t>) and double positive (</w:t>
      </w:r>
      <w:proofErr w:type="spellStart"/>
      <w:r w:rsidRPr="00F85958">
        <w:rPr>
          <w:lang w:val="en-US"/>
        </w:rPr>
        <w:t>IgM</w:t>
      </w:r>
      <w:r w:rsidRPr="00F85958">
        <w:rPr>
          <w:vertAlign w:val="superscript"/>
          <w:lang w:val="en-US"/>
        </w:rPr>
        <w:t>+</w:t>
      </w:r>
      <w:r w:rsidRPr="00F85958">
        <w:rPr>
          <w:lang w:val="en-US"/>
        </w:rPr>
        <w:t>IgD</w:t>
      </w:r>
      <w:proofErr w:type="spellEnd"/>
      <w:r w:rsidRPr="00F85958">
        <w:rPr>
          <w:vertAlign w:val="superscript"/>
          <w:lang w:val="en-US"/>
        </w:rPr>
        <w:t>+</w:t>
      </w:r>
      <w:r w:rsidRPr="00F85958">
        <w:rPr>
          <w:lang w:val="en-US"/>
        </w:rPr>
        <w:t>)</w:t>
      </w:r>
      <w:r w:rsidR="003F1F85">
        <w:rPr>
          <w:lang w:val="en-US"/>
        </w:rPr>
        <w:t xml:space="preserve"> cell</w:t>
      </w:r>
      <w:r w:rsidRPr="00F85958">
        <w:rPr>
          <w:lang w:val="en-US"/>
        </w:rPr>
        <w:t xml:space="preserve">s. Double negative cells could be </w:t>
      </w:r>
      <w:r w:rsidR="00AC3601" w:rsidRPr="00F85958">
        <w:rPr>
          <w:lang w:val="en-US"/>
        </w:rPr>
        <w:t>separated</w:t>
      </w:r>
      <w:r w:rsidRPr="00F85958">
        <w:rPr>
          <w:lang w:val="en-US"/>
        </w:rPr>
        <w:t xml:space="preserve"> by CD38 and CD27 into class-switch memory B</w:t>
      </w:r>
      <w:r w:rsidR="003F1F85">
        <w:rPr>
          <w:lang w:val="en-US"/>
        </w:rPr>
        <w:t>-cell</w:t>
      </w:r>
      <w:r w:rsidRPr="00F85958">
        <w:rPr>
          <w:lang w:val="en-US"/>
        </w:rPr>
        <w:t xml:space="preserve">s and </w:t>
      </w:r>
      <w:proofErr w:type="spellStart"/>
      <w:r w:rsidRPr="00F85958">
        <w:rPr>
          <w:lang w:val="en-US"/>
        </w:rPr>
        <w:t>Plasmablasts</w:t>
      </w:r>
      <w:proofErr w:type="spellEnd"/>
      <w:r w:rsidRPr="00F85958">
        <w:rPr>
          <w:lang w:val="en-US"/>
        </w:rPr>
        <w:t xml:space="preserve"> (CD27</w:t>
      </w:r>
      <w:r w:rsidRPr="00F85958">
        <w:rPr>
          <w:vertAlign w:val="superscript"/>
          <w:lang w:val="en-US"/>
        </w:rPr>
        <w:t>high</w:t>
      </w:r>
      <w:r w:rsidRPr="00F85958">
        <w:rPr>
          <w:lang w:val="en-US"/>
        </w:rPr>
        <w:t>CD38</w:t>
      </w:r>
      <w:r w:rsidRPr="00F85958">
        <w:rPr>
          <w:vertAlign w:val="superscript"/>
          <w:lang w:val="en-US"/>
        </w:rPr>
        <w:t>high</w:t>
      </w:r>
      <w:r w:rsidRPr="00F85958">
        <w:rPr>
          <w:lang w:val="en-US"/>
        </w:rPr>
        <w:t>). IgM/</w:t>
      </w:r>
      <w:proofErr w:type="spellStart"/>
      <w:r w:rsidRPr="00F85958">
        <w:rPr>
          <w:lang w:val="en-US"/>
        </w:rPr>
        <w:t>IgD</w:t>
      </w:r>
      <w:proofErr w:type="spellEnd"/>
      <w:r w:rsidRPr="00F85958">
        <w:rPr>
          <w:lang w:val="en-US"/>
        </w:rPr>
        <w:t xml:space="preserve"> double positive B</w:t>
      </w:r>
      <w:r w:rsidR="003F1F85">
        <w:rPr>
          <w:lang w:val="en-US"/>
        </w:rPr>
        <w:t>-cell</w:t>
      </w:r>
      <w:r w:rsidRPr="00F85958">
        <w:rPr>
          <w:lang w:val="en-US"/>
        </w:rPr>
        <w:t>s were further divided into class-</w:t>
      </w:r>
      <w:proofErr w:type="spellStart"/>
      <w:r w:rsidRPr="00F85958">
        <w:rPr>
          <w:lang w:val="en-US"/>
        </w:rPr>
        <w:t>unswitched</w:t>
      </w:r>
      <w:proofErr w:type="spellEnd"/>
      <w:r w:rsidRPr="00F85958">
        <w:rPr>
          <w:lang w:val="en-US"/>
        </w:rPr>
        <w:t xml:space="preserve"> memory B</w:t>
      </w:r>
      <w:r w:rsidR="003F1F85">
        <w:rPr>
          <w:lang w:val="en-US"/>
        </w:rPr>
        <w:t>-cell</w:t>
      </w:r>
      <w:r w:rsidRPr="00F85958">
        <w:rPr>
          <w:lang w:val="en-US"/>
        </w:rPr>
        <w:t>s (CD27</w:t>
      </w:r>
      <w:r w:rsidRPr="00F85958">
        <w:rPr>
          <w:vertAlign w:val="superscript"/>
          <w:lang w:val="en-US"/>
        </w:rPr>
        <w:t>+</w:t>
      </w:r>
      <w:r w:rsidRPr="00F85958">
        <w:rPr>
          <w:lang w:val="en-US"/>
        </w:rPr>
        <w:t>CD38</w:t>
      </w:r>
      <w:r w:rsidR="00CF5609">
        <w:rPr>
          <w:vertAlign w:val="superscript"/>
          <w:lang w:val="en-US"/>
        </w:rPr>
        <w:t>–</w:t>
      </w:r>
      <w:r w:rsidRPr="00F85958">
        <w:rPr>
          <w:lang w:val="en-US"/>
        </w:rPr>
        <w:t>) and CD38</w:t>
      </w:r>
      <w:r w:rsidRPr="00F85958">
        <w:rPr>
          <w:vertAlign w:val="superscript"/>
          <w:lang w:val="en-US"/>
        </w:rPr>
        <w:t>high</w:t>
      </w:r>
      <w:r w:rsidRPr="00F85958">
        <w:rPr>
          <w:lang w:val="en-US"/>
        </w:rPr>
        <w:t>CD24</w:t>
      </w:r>
      <w:r w:rsidRPr="00F85958">
        <w:rPr>
          <w:vertAlign w:val="superscript"/>
          <w:lang w:val="en-US"/>
        </w:rPr>
        <w:t xml:space="preserve">high </w:t>
      </w:r>
      <w:r w:rsidRPr="00F85958">
        <w:rPr>
          <w:lang w:val="en-US"/>
        </w:rPr>
        <w:t>transitional B</w:t>
      </w:r>
      <w:r w:rsidR="003F1F85">
        <w:rPr>
          <w:lang w:val="en-US"/>
        </w:rPr>
        <w:t>-cell</w:t>
      </w:r>
      <w:r w:rsidRPr="00F85958">
        <w:rPr>
          <w:lang w:val="en-US"/>
        </w:rPr>
        <w:t>s.</w:t>
      </w:r>
    </w:p>
    <w:p w:rsidR="00CD6D66" w:rsidRDefault="00CD6D66" w:rsidP="00CD6D66">
      <w:pPr>
        <w:pStyle w:val="berschrift1"/>
        <w:rPr>
          <w:lang w:val="en-US"/>
        </w:rPr>
      </w:pPr>
      <w:bookmarkStart w:id="30" w:name="_Toc38892522"/>
      <w:r>
        <w:rPr>
          <w:lang w:val="en-US"/>
        </w:rPr>
        <w:t>References</w:t>
      </w:r>
      <w:bookmarkEnd w:id="30"/>
    </w:p>
    <w:p w:rsidR="00C95368" w:rsidRPr="00C95368" w:rsidRDefault="00F86119" w:rsidP="00C95368">
      <w:pPr>
        <w:pStyle w:val="Literaturverzeichnis"/>
        <w:rPr>
          <w:rFonts w:ascii="Cambria" w:hAnsi="Cambria"/>
          <w:lang w:val="en-US"/>
        </w:rPr>
      </w:pPr>
      <w:r>
        <w:rPr>
          <w:lang w:val="en-US"/>
        </w:rPr>
        <w:fldChar w:fldCharType="begin"/>
      </w:r>
      <w:r w:rsidR="00C95368">
        <w:rPr>
          <w:lang w:val="en-US"/>
        </w:rPr>
        <w:instrText xml:space="preserve"> ADDIN ZOTERO_BIBL {"uncited":[],"omitted":[],"custom":[]} CSL_BIBLIOGRAPHY </w:instrText>
      </w:r>
      <w:r>
        <w:rPr>
          <w:lang w:val="en-US"/>
        </w:rPr>
        <w:fldChar w:fldCharType="separate"/>
      </w:r>
      <w:r w:rsidR="00C95368" w:rsidRPr="00C95368">
        <w:rPr>
          <w:rFonts w:ascii="Cambria" w:hAnsi="Cambria"/>
          <w:lang w:val="en-US"/>
        </w:rPr>
        <w:t xml:space="preserve">1. </w:t>
      </w:r>
      <w:r w:rsidR="00C95368" w:rsidRPr="00C95368">
        <w:rPr>
          <w:rFonts w:ascii="Cambria" w:hAnsi="Cambria"/>
          <w:lang w:val="en-US"/>
        </w:rPr>
        <w:tab/>
        <w:t>R Core Team. R: A Language and Environment for Statistical Computing [Internet]. Vienna, Austria: R Foundation for Statistical Computing; 2020. Available from: http://www.R-project.org/</w:t>
      </w:r>
    </w:p>
    <w:p w:rsidR="00C95368" w:rsidRPr="00C95368" w:rsidRDefault="00C95368" w:rsidP="00C95368">
      <w:pPr>
        <w:pStyle w:val="Literaturverzeichnis"/>
        <w:rPr>
          <w:rFonts w:ascii="Cambria" w:hAnsi="Cambria"/>
        </w:rPr>
      </w:pPr>
      <w:r w:rsidRPr="00C95368">
        <w:rPr>
          <w:rFonts w:ascii="Cambria" w:hAnsi="Cambria"/>
          <w:lang w:val="da-DK"/>
        </w:rPr>
        <w:t xml:space="preserve">2. </w:t>
      </w:r>
      <w:r w:rsidRPr="00C95368">
        <w:rPr>
          <w:rFonts w:ascii="Cambria" w:hAnsi="Cambria"/>
          <w:lang w:val="da-DK"/>
        </w:rPr>
        <w:tab/>
        <w:t xml:space="preserve">Li G, Taljaard M, Van den Heuvel ER, et al. </w:t>
      </w:r>
      <w:r w:rsidRPr="00C95368">
        <w:rPr>
          <w:rFonts w:ascii="Cambria" w:hAnsi="Cambria"/>
          <w:lang w:val="en-US"/>
        </w:rPr>
        <w:t xml:space="preserve">An introduction to multiplicity issues in clinical trials: the what, why, when and how. </w:t>
      </w:r>
      <w:r w:rsidRPr="00C95368">
        <w:rPr>
          <w:rFonts w:ascii="Cambria" w:hAnsi="Cambria"/>
        </w:rPr>
        <w:t xml:space="preserve">International Journal of Epidemiology 2016;dyw320. </w:t>
      </w:r>
    </w:p>
    <w:p w:rsidR="00C95368" w:rsidRPr="00C95368" w:rsidRDefault="00C95368" w:rsidP="00C95368">
      <w:pPr>
        <w:pStyle w:val="Literaturverzeichnis"/>
        <w:rPr>
          <w:rFonts w:ascii="Cambria" w:hAnsi="Cambria"/>
          <w:lang w:val="en-US"/>
        </w:rPr>
      </w:pPr>
      <w:r w:rsidRPr="00C95368">
        <w:rPr>
          <w:rFonts w:ascii="Cambria" w:hAnsi="Cambria"/>
        </w:rPr>
        <w:t xml:space="preserve">3. </w:t>
      </w:r>
      <w:r w:rsidRPr="00C95368">
        <w:rPr>
          <w:rFonts w:ascii="Cambria" w:hAnsi="Cambria"/>
        </w:rPr>
        <w:tab/>
        <w:t xml:space="preserve">Ständiger Arbeitskreis der Kompetenz- und Behandlungszentren fürKrankheiten durch hochpathogene Erregeram Robert Koch-Institut. Hinweise zu Erkennung, Diagnostik und Therapie von Patienten mit COVID-19 [Internet]. </w:t>
      </w:r>
      <w:r w:rsidRPr="00C95368">
        <w:rPr>
          <w:rFonts w:ascii="Cambria" w:hAnsi="Cambria"/>
          <w:lang w:val="en-US"/>
        </w:rPr>
        <w:t xml:space="preserve">2020;Available from: </w:t>
      </w:r>
      <w:r w:rsidRPr="00C95368">
        <w:rPr>
          <w:rFonts w:ascii="Cambria" w:hAnsi="Cambria"/>
          <w:lang w:val="en-US"/>
        </w:rPr>
        <w:lastRenderedPageBreak/>
        <w:t>https://www.rki.de/DE/Content/Kommissionen/Stakob/Stellungnahmen/Stellungnahme-Covid-19_Therapie_Diagnose.pdf?__blob=publicationFile</w:t>
      </w:r>
    </w:p>
    <w:p w:rsidR="00B51EE4" w:rsidRPr="00B51EE4" w:rsidRDefault="00F86119" w:rsidP="00B51EE4">
      <w:pPr>
        <w:rPr>
          <w:lang w:val="en-US"/>
        </w:rPr>
      </w:pPr>
      <w:r>
        <w:rPr>
          <w:lang w:val="en-US"/>
        </w:rPr>
        <w:fldChar w:fldCharType="end"/>
      </w:r>
    </w:p>
    <w:sectPr w:rsidR="00B51EE4" w:rsidRPr="00B51EE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544" w:rsidRDefault="00550544" w:rsidP="00D94999">
      <w:r>
        <w:separator/>
      </w:r>
    </w:p>
  </w:endnote>
  <w:endnote w:type="continuationSeparator" w:id="0">
    <w:p w:rsidR="00550544" w:rsidRDefault="00550544" w:rsidP="00D9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D6" w:rsidRDefault="007109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93989"/>
      <w:docPartObj>
        <w:docPartGallery w:val="Page Numbers (Bottom of Page)"/>
        <w:docPartUnique/>
      </w:docPartObj>
    </w:sdtPr>
    <w:sdtEndPr/>
    <w:sdtContent>
      <w:p w:rsidR="007109D6" w:rsidRDefault="007109D6">
        <w:pPr>
          <w:pStyle w:val="Fuzeile"/>
          <w:jc w:val="right"/>
        </w:pPr>
        <w:r>
          <w:fldChar w:fldCharType="begin"/>
        </w:r>
        <w:r>
          <w:instrText>PAGE   \* MERGEFORMAT</w:instrText>
        </w:r>
        <w:r>
          <w:fldChar w:fldCharType="separate"/>
        </w:r>
        <w:r w:rsidR="00986018">
          <w:rPr>
            <w:noProof/>
          </w:rPr>
          <w:t>16</w:t>
        </w:r>
        <w:r>
          <w:fldChar w:fldCharType="end"/>
        </w:r>
      </w:p>
    </w:sdtContent>
  </w:sdt>
  <w:p w:rsidR="007109D6" w:rsidRDefault="007109D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D6" w:rsidRDefault="007109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544" w:rsidRDefault="00550544" w:rsidP="00D94999">
      <w:r>
        <w:separator/>
      </w:r>
    </w:p>
  </w:footnote>
  <w:footnote w:type="continuationSeparator" w:id="0">
    <w:p w:rsidR="00550544" w:rsidRDefault="00550544" w:rsidP="00D94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D6" w:rsidRDefault="007109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D6" w:rsidRDefault="007109D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D6" w:rsidRDefault="007109D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999"/>
    <w:rsid w:val="00044871"/>
    <w:rsid w:val="001148B0"/>
    <w:rsid w:val="00170AAD"/>
    <w:rsid w:val="001A0B18"/>
    <w:rsid w:val="002043E7"/>
    <w:rsid w:val="00207BC1"/>
    <w:rsid w:val="002B36B6"/>
    <w:rsid w:val="002D6298"/>
    <w:rsid w:val="00391D87"/>
    <w:rsid w:val="003B5208"/>
    <w:rsid w:val="003F1F85"/>
    <w:rsid w:val="003F6CEC"/>
    <w:rsid w:val="004130F2"/>
    <w:rsid w:val="00472855"/>
    <w:rsid w:val="0047595F"/>
    <w:rsid w:val="004D3FD5"/>
    <w:rsid w:val="005000FF"/>
    <w:rsid w:val="00550544"/>
    <w:rsid w:val="00583649"/>
    <w:rsid w:val="005A32D2"/>
    <w:rsid w:val="005B50C3"/>
    <w:rsid w:val="00697AE2"/>
    <w:rsid w:val="006C5F94"/>
    <w:rsid w:val="007109D6"/>
    <w:rsid w:val="00746B47"/>
    <w:rsid w:val="00747269"/>
    <w:rsid w:val="00761324"/>
    <w:rsid w:val="007A424D"/>
    <w:rsid w:val="007E1372"/>
    <w:rsid w:val="008114A3"/>
    <w:rsid w:val="00822139"/>
    <w:rsid w:val="00841287"/>
    <w:rsid w:val="008628B5"/>
    <w:rsid w:val="008F7276"/>
    <w:rsid w:val="00942261"/>
    <w:rsid w:val="00977989"/>
    <w:rsid w:val="00986018"/>
    <w:rsid w:val="009A3C95"/>
    <w:rsid w:val="009F4892"/>
    <w:rsid w:val="00A025C8"/>
    <w:rsid w:val="00A14797"/>
    <w:rsid w:val="00A231E4"/>
    <w:rsid w:val="00A36BC4"/>
    <w:rsid w:val="00A95F33"/>
    <w:rsid w:val="00AC3601"/>
    <w:rsid w:val="00AC7E8C"/>
    <w:rsid w:val="00AE6A0F"/>
    <w:rsid w:val="00B30889"/>
    <w:rsid w:val="00B42518"/>
    <w:rsid w:val="00B51EE4"/>
    <w:rsid w:val="00B81C2C"/>
    <w:rsid w:val="00BA198B"/>
    <w:rsid w:val="00BF55FE"/>
    <w:rsid w:val="00C074FE"/>
    <w:rsid w:val="00C67841"/>
    <w:rsid w:val="00C81646"/>
    <w:rsid w:val="00C95368"/>
    <w:rsid w:val="00CD6D66"/>
    <w:rsid w:val="00CF5609"/>
    <w:rsid w:val="00D16165"/>
    <w:rsid w:val="00D20559"/>
    <w:rsid w:val="00D34D0E"/>
    <w:rsid w:val="00D46B03"/>
    <w:rsid w:val="00D508E9"/>
    <w:rsid w:val="00D9240F"/>
    <w:rsid w:val="00D94999"/>
    <w:rsid w:val="00DC7595"/>
    <w:rsid w:val="00DD6057"/>
    <w:rsid w:val="00DE3574"/>
    <w:rsid w:val="00E255AA"/>
    <w:rsid w:val="00E57999"/>
    <w:rsid w:val="00E728A4"/>
    <w:rsid w:val="00ED7912"/>
    <w:rsid w:val="00EF604C"/>
    <w:rsid w:val="00EF7B84"/>
    <w:rsid w:val="00F15865"/>
    <w:rsid w:val="00F85958"/>
    <w:rsid w:val="00F86119"/>
    <w:rsid w:val="00F862C1"/>
    <w:rsid w:val="00FB5EB6"/>
    <w:rsid w:val="00FD497F"/>
    <w:rsid w:val="00FF25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7AE2"/>
    <w:pPr>
      <w:spacing w:line="360" w:lineRule="auto"/>
      <w:ind w:firstLine="0"/>
    </w:pPr>
  </w:style>
  <w:style w:type="paragraph" w:styleId="berschrift1">
    <w:name w:val="heading 1"/>
    <w:basedOn w:val="Standard"/>
    <w:next w:val="Standard"/>
    <w:link w:val="berschrift1Zchn"/>
    <w:uiPriority w:val="9"/>
    <w:qFormat/>
    <w:rsid w:val="00CD6D66"/>
    <w:pPr>
      <w:spacing w:before="600" w:after="0"/>
      <w:outlineLvl w:val="0"/>
    </w:pPr>
    <w:rPr>
      <w:rFonts w:asciiTheme="majorHAnsi" w:eastAsiaTheme="majorEastAsia" w:hAnsiTheme="majorHAnsi" w:cstheme="majorBidi"/>
      <w:b/>
      <w:bCs/>
      <w:iCs/>
      <w:sz w:val="32"/>
      <w:szCs w:val="32"/>
    </w:rPr>
  </w:style>
  <w:style w:type="paragraph" w:styleId="berschrift2">
    <w:name w:val="heading 2"/>
    <w:basedOn w:val="Standard"/>
    <w:next w:val="Standard"/>
    <w:link w:val="berschrift2Zchn"/>
    <w:uiPriority w:val="9"/>
    <w:unhideWhenUsed/>
    <w:qFormat/>
    <w:rsid w:val="00CD6D66"/>
    <w:pPr>
      <w:spacing w:before="320" w:after="0"/>
      <w:outlineLvl w:val="1"/>
    </w:pPr>
    <w:rPr>
      <w:rFonts w:asciiTheme="majorHAnsi" w:eastAsiaTheme="majorEastAsia" w:hAnsiTheme="majorHAnsi" w:cstheme="majorBidi"/>
      <w:b/>
      <w:bCs/>
      <w:iCs/>
      <w:sz w:val="28"/>
      <w:szCs w:val="28"/>
    </w:rPr>
  </w:style>
  <w:style w:type="paragraph" w:styleId="berschrift3">
    <w:name w:val="heading 3"/>
    <w:basedOn w:val="Standard"/>
    <w:next w:val="Standard"/>
    <w:link w:val="berschrift3Zchn"/>
    <w:uiPriority w:val="9"/>
    <w:semiHidden/>
    <w:unhideWhenUsed/>
    <w:qFormat/>
    <w:rsid w:val="00697AE2"/>
    <w:pPr>
      <w:spacing w:before="320" w:after="0"/>
      <w:outlineLvl w:val="2"/>
    </w:pPr>
    <w:rPr>
      <w:rFonts w:asciiTheme="majorHAnsi" w:eastAsiaTheme="majorEastAsia" w:hAnsiTheme="majorHAnsi" w:cstheme="majorBidi"/>
      <w:b/>
      <w:bCs/>
      <w:i/>
      <w:iCs/>
      <w:sz w:val="26"/>
      <w:szCs w:val="26"/>
    </w:rPr>
  </w:style>
  <w:style w:type="paragraph" w:styleId="berschrift4">
    <w:name w:val="heading 4"/>
    <w:basedOn w:val="Standard"/>
    <w:next w:val="Standard"/>
    <w:link w:val="berschrift4Zchn"/>
    <w:uiPriority w:val="9"/>
    <w:semiHidden/>
    <w:unhideWhenUsed/>
    <w:qFormat/>
    <w:rsid w:val="00697AE2"/>
    <w:pPr>
      <w:spacing w:before="280" w:after="0"/>
      <w:outlineLvl w:val="3"/>
    </w:pPr>
    <w:rPr>
      <w:rFonts w:asciiTheme="majorHAnsi" w:eastAsiaTheme="majorEastAsia" w:hAnsiTheme="majorHAnsi" w:cstheme="majorBidi"/>
      <w:b/>
      <w:bCs/>
      <w:i/>
      <w:iCs/>
      <w:sz w:val="24"/>
      <w:szCs w:val="24"/>
    </w:rPr>
  </w:style>
  <w:style w:type="paragraph" w:styleId="berschrift5">
    <w:name w:val="heading 5"/>
    <w:basedOn w:val="Standard"/>
    <w:next w:val="Standard"/>
    <w:link w:val="berschrift5Zchn"/>
    <w:uiPriority w:val="9"/>
    <w:semiHidden/>
    <w:unhideWhenUsed/>
    <w:qFormat/>
    <w:rsid w:val="00697AE2"/>
    <w:pPr>
      <w:spacing w:before="280" w:after="0"/>
      <w:outlineLvl w:val="4"/>
    </w:pPr>
    <w:rPr>
      <w:rFonts w:asciiTheme="majorHAnsi" w:eastAsiaTheme="majorEastAsia" w:hAnsiTheme="majorHAnsi" w:cstheme="majorBidi"/>
      <w:b/>
      <w:bCs/>
      <w:i/>
      <w:iCs/>
    </w:rPr>
  </w:style>
  <w:style w:type="paragraph" w:styleId="berschrift6">
    <w:name w:val="heading 6"/>
    <w:basedOn w:val="Standard"/>
    <w:next w:val="Standard"/>
    <w:link w:val="berschrift6Zchn"/>
    <w:uiPriority w:val="9"/>
    <w:semiHidden/>
    <w:unhideWhenUsed/>
    <w:qFormat/>
    <w:rsid w:val="00697AE2"/>
    <w:pPr>
      <w:spacing w:before="280" w:after="8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697AE2"/>
    <w:pPr>
      <w:spacing w:before="280" w:after="0"/>
      <w:outlineLvl w:val="6"/>
    </w:pPr>
    <w:rPr>
      <w:rFonts w:asciiTheme="majorHAnsi" w:eastAsiaTheme="majorEastAsia" w:hAnsiTheme="majorHAnsi" w:cstheme="majorBidi"/>
      <w:b/>
      <w:bCs/>
      <w:i/>
      <w:iCs/>
      <w:sz w:val="20"/>
      <w:szCs w:val="20"/>
    </w:rPr>
  </w:style>
  <w:style w:type="paragraph" w:styleId="berschrift8">
    <w:name w:val="heading 8"/>
    <w:basedOn w:val="Standard"/>
    <w:next w:val="Standard"/>
    <w:link w:val="berschrift8Zchn"/>
    <w:uiPriority w:val="9"/>
    <w:semiHidden/>
    <w:unhideWhenUsed/>
    <w:qFormat/>
    <w:rsid w:val="00697AE2"/>
    <w:pPr>
      <w:spacing w:before="280" w:after="0"/>
      <w:outlineLvl w:val="7"/>
    </w:pPr>
    <w:rPr>
      <w:rFonts w:asciiTheme="majorHAnsi" w:eastAsiaTheme="majorEastAsia" w:hAnsiTheme="majorHAnsi" w:cstheme="majorBidi"/>
      <w:b/>
      <w:bCs/>
      <w:i/>
      <w:iCs/>
      <w:sz w:val="18"/>
      <w:szCs w:val="18"/>
    </w:rPr>
  </w:style>
  <w:style w:type="paragraph" w:styleId="berschrift9">
    <w:name w:val="heading 9"/>
    <w:basedOn w:val="Standard"/>
    <w:next w:val="Standard"/>
    <w:link w:val="berschrift9Zchn"/>
    <w:uiPriority w:val="9"/>
    <w:semiHidden/>
    <w:unhideWhenUsed/>
    <w:qFormat/>
    <w:rsid w:val="00697AE2"/>
    <w:pPr>
      <w:spacing w:before="280" w:after="0"/>
      <w:outlineLvl w:val="8"/>
    </w:pPr>
    <w:rPr>
      <w:rFonts w:asciiTheme="majorHAnsi" w:eastAsiaTheme="majorEastAsia" w:hAnsiTheme="majorHAnsi" w:cstheme="majorBidi"/>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D6D66"/>
    <w:rPr>
      <w:rFonts w:asciiTheme="majorHAnsi" w:eastAsiaTheme="majorEastAsia" w:hAnsiTheme="majorHAnsi" w:cstheme="majorBidi"/>
      <w:b/>
      <w:bCs/>
      <w:iCs/>
      <w:sz w:val="32"/>
      <w:szCs w:val="32"/>
    </w:rPr>
  </w:style>
  <w:style w:type="character" w:customStyle="1" w:styleId="berschrift2Zchn">
    <w:name w:val="Überschrift 2 Zchn"/>
    <w:basedOn w:val="Absatz-Standardschriftart"/>
    <w:link w:val="berschrift2"/>
    <w:uiPriority w:val="9"/>
    <w:rsid w:val="00CD6D66"/>
    <w:rPr>
      <w:rFonts w:asciiTheme="majorHAnsi" w:eastAsiaTheme="majorEastAsia" w:hAnsiTheme="majorHAnsi" w:cstheme="majorBidi"/>
      <w:b/>
      <w:bCs/>
      <w:iCs/>
      <w:sz w:val="28"/>
      <w:szCs w:val="28"/>
    </w:rPr>
  </w:style>
  <w:style w:type="paragraph" w:styleId="Kopfzeile">
    <w:name w:val="header"/>
    <w:basedOn w:val="Standard"/>
    <w:link w:val="KopfzeileZchn"/>
    <w:uiPriority w:val="99"/>
    <w:unhideWhenUsed/>
    <w:rsid w:val="00D949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4999"/>
  </w:style>
  <w:style w:type="paragraph" w:styleId="Fuzeile">
    <w:name w:val="footer"/>
    <w:basedOn w:val="Standard"/>
    <w:link w:val="FuzeileZchn"/>
    <w:uiPriority w:val="99"/>
    <w:unhideWhenUsed/>
    <w:rsid w:val="00D949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4999"/>
  </w:style>
  <w:style w:type="character" w:styleId="Kommentarzeichen">
    <w:name w:val="annotation reference"/>
    <w:basedOn w:val="Absatz-Standardschriftart"/>
    <w:uiPriority w:val="99"/>
    <w:semiHidden/>
    <w:unhideWhenUsed/>
    <w:rsid w:val="00D94999"/>
    <w:rPr>
      <w:sz w:val="16"/>
      <w:szCs w:val="16"/>
    </w:rPr>
  </w:style>
  <w:style w:type="paragraph" w:styleId="Kommentartext">
    <w:name w:val="annotation text"/>
    <w:basedOn w:val="Standard"/>
    <w:link w:val="KommentartextZchn"/>
    <w:uiPriority w:val="99"/>
    <w:unhideWhenUsed/>
    <w:rsid w:val="00D94999"/>
    <w:pPr>
      <w:spacing w:line="240" w:lineRule="auto"/>
    </w:pPr>
    <w:rPr>
      <w:sz w:val="20"/>
      <w:szCs w:val="20"/>
    </w:rPr>
  </w:style>
  <w:style w:type="character" w:customStyle="1" w:styleId="KommentartextZchn">
    <w:name w:val="Kommentartext Zchn"/>
    <w:basedOn w:val="Absatz-Standardschriftart"/>
    <w:link w:val="Kommentartext"/>
    <w:uiPriority w:val="99"/>
    <w:rsid w:val="00D94999"/>
    <w:rPr>
      <w:sz w:val="20"/>
      <w:szCs w:val="20"/>
    </w:rPr>
  </w:style>
  <w:style w:type="table" w:styleId="Tabellenraster">
    <w:name w:val="Table Grid"/>
    <w:basedOn w:val="NormaleTabelle"/>
    <w:uiPriority w:val="59"/>
    <w:rsid w:val="00D9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697AE2"/>
    <w:pPr>
      <w:spacing w:after="0" w:line="240" w:lineRule="auto"/>
    </w:pPr>
  </w:style>
  <w:style w:type="paragraph" w:styleId="Sprechblasentext">
    <w:name w:val="Balloon Text"/>
    <w:basedOn w:val="Standard"/>
    <w:link w:val="SprechblasentextZchn"/>
    <w:uiPriority w:val="99"/>
    <w:semiHidden/>
    <w:unhideWhenUsed/>
    <w:rsid w:val="00D949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4999"/>
    <w:rPr>
      <w:rFonts w:ascii="Tahoma" w:hAnsi="Tahoma" w:cs="Tahoma"/>
      <w:sz w:val="16"/>
      <w:szCs w:val="16"/>
    </w:rPr>
  </w:style>
  <w:style w:type="paragraph" w:styleId="Titel">
    <w:name w:val="Title"/>
    <w:basedOn w:val="Standard"/>
    <w:next w:val="Standard"/>
    <w:link w:val="TitelZchn"/>
    <w:uiPriority w:val="10"/>
    <w:qFormat/>
    <w:rsid w:val="00CD6D66"/>
    <w:pPr>
      <w:spacing w:line="240" w:lineRule="auto"/>
    </w:pPr>
    <w:rPr>
      <w:rFonts w:asciiTheme="majorHAnsi" w:eastAsiaTheme="majorEastAsia" w:hAnsiTheme="majorHAnsi" w:cstheme="majorBidi"/>
      <w:b/>
      <w:bCs/>
      <w:iCs/>
      <w:spacing w:val="10"/>
      <w:sz w:val="60"/>
      <w:szCs w:val="60"/>
    </w:rPr>
  </w:style>
  <w:style w:type="character" w:customStyle="1" w:styleId="TitelZchn">
    <w:name w:val="Titel Zchn"/>
    <w:basedOn w:val="Absatz-Standardschriftart"/>
    <w:link w:val="Titel"/>
    <w:uiPriority w:val="10"/>
    <w:rsid w:val="00CD6D66"/>
    <w:rPr>
      <w:rFonts w:asciiTheme="majorHAnsi" w:eastAsiaTheme="majorEastAsia" w:hAnsiTheme="majorHAnsi" w:cstheme="majorBidi"/>
      <w:b/>
      <w:bCs/>
      <w:iCs/>
      <w:spacing w:val="10"/>
      <w:sz w:val="60"/>
      <w:szCs w:val="60"/>
    </w:rPr>
  </w:style>
  <w:style w:type="paragraph" w:styleId="Untertitel">
    <w:name w:val="Subtitle"/>
    <w:basedOn w:val="Standard"/>
    <w:next w:val="Standard"/>
    <w:link w:val="UntertitelZchn"/>
    <w:uiPriority w:val="11"/>
    <w:qFormat/>
    <w:rsid w:val="00CD6D66"/>
    <w:pPr>
      <w:spacing w:after="320"/>
    </w:pPr>
    <w:rPr>
      <w:b/>
      <w:iCs/>
      <w:color w:val="262626" w:themeColor="text1" w:themeTint="D9"/>
      <w:spacing w:val="10"/>
      <w:sz w:val="24"/>
      <w:szCs w:val="24"/>
    </w:rPr>
  </w:style>
  <w:style w:type="character" w:customStyle="1" w:styleId="UntertitelZchn">
    <w:name w:val="Untertitel Zchn"/>
    <w:basedOn w:val="Absatz-Standardschriftart"/>
    <w:link w:val="Untertitel"/>
    <w:uiPriority w:val="11"/>
    <w:rsid w:val="00CD6D66"/>
    <w:rPr>
      <w:b/>
      <w:iCs/>
      <w:color w:val="262626" w:themeColor="text1" w:themeTint="D9"/>
      <w:spacing w:val="10"/>
      <w:sz w:val="24"/>
      <w:szCs w:val="24"/>
    </w:rPr>
  </w:style>
  <w:style w:type="paragraph" w:styleId="Inhaltsverzeichnisberschrift">
    <w:name w:val="TOC Heading"/>
    <w:basedOn w:val="berschrift1"/>
    <w:next w:val="Standard"/>
    <w:uiPriority w:val="39"/>
    <w:unhideWhenUsed/>
    <w:qFormat/>
    <w:rsid w:val="00697AE2"/>
    <w:pPr>
      <w:outlineLvl w:val="9"/>
    </w:pPr>
    <w:rPr>
      <w:lang w:bidi="en-US"/>
    </w:rPr>
  </w:style>
  <w:style w:type="paragraph" w:styleId="Verzeichnis1">
    <w:name w:val="toc 1"/>
    <w:basedOn w:val="Standard"/>
    <w:next w:val="Standard"/>
    <w:autoRedefine/>
    <w:uiPriority w:val="39"/>
    <w:unhideWhenUsed/>
    <w:rsid w:val="00044871"/>
    <w:pPr>
      <w:spacing w:after="100"/>
    </w:pPr>
  </w:style>
  <w:style w:type="paragraph" w:styleId="Verzeichnis2">
    <w:name w:val="toc 2"/>
    <w:basedOn w:val="Standard"/>
    <w:next w:val="Standard"/>
    <w:autoRedefine/>
    <w:uiPriority w:val="39"/>
    <w:unhideWhenUsed/>
    <w:rsid w:val="00044871"/>
    <w:pPr>
      <w:spacing w:after="100"/>
      <w:ind w:left="220"/>
    </w:pPr>
  </w:style>
  <w:style w:type="character" w:styleId="Hyperlink">
    <w:name w:val="Hyperlink"/>
    <w:basedOn w:val="Absatz-Standardschriftart"/>
    <w:uiPriority w:val="99"/>
    <w:unhideWhenUsed/>
    <w:rsid w:val="00044871"/>
    <w:rPr>
      <w:color w:val="5F5F5F" w:themeColor="hyperlink"/>
      <w:u w:val="single"/>
    </w:rPr>
  </w:style>
  <w:style w:type="character" w:customStyle="1" w:styleId="berschrift3Zchn">
    <w:name w:val="Überschrift 3 Zchn"/>
    <w:basedOn w:val="Absatz-Standardschriftart"/>
    <w:link w:val="berschrift3"/>
    <w:uiPriority w:val="9"/>
    <w:semiHidden/>
    <w:rsid w:val="00697AE2"/>
    <w:rPr>
      <w:rFonts w:asciiTheme="majorHAnsi" w:eastAsiaTheme="majorEastAsia" w:hAnsiTheme="majorHAnsi" w:cstheme="majorBidi"/>
      <w:b/>
      <w:bCs/>
      <w:i/>
      <w:iCs/>
      <w:sz w:val="26"/>
      <w:szCs w:val="26"/>
    </w:rPr>
  </w:style>
  <w:style w:type="character" w:customStyle="1" w:styleId="berschrift4Zchn">
    <w:name w:val="Überschrift 4 Zchn"/>
    <w:basedOn w:val="Absatz-Standardschriftart"/>
    <w:link w:val="berschrift4"/>
    <w:uiPriority w:val="9"/>
    <w:semiHidden/>
    <w:rsid w:val="00697AE2"/>
    <w:rPr>
      <w:rFonts w:asciiTheme="majorHAnsi" w:eastAsiaTheme="majorEastAsia" w:hAnsiTheme="majorHAnsi" w:cstheme="majorBidi"/>
      <w:b/>
      <w:bCs/>
      <w:i/>
      <w:iCs/>
      <w:sz w:val="24"/>
      <w:szCs w:val="24"/>
    </w:rPr>
  </w:style>
  <w:style w:type="character" w:customStyle="1" w:styleId="berschrift5Zchn">
    <w:name w:val="Überschrift 5 Zchn"/>
    <w:basedOn w:val="Absatz-Standardschriftart"/>
    <w:link w:val="berschrift5"/>
    <w:uiPriority w:val="9"/>
    <w:semiHidden/>
    <w:rsid w:val="00697AE2"/>
    <w:rPr>
      <w:rFonts w:asciiTheme="majorHAnsi" w:eastAsiaTheme="majorEastAsia" w:hAnsiTheme="majorHAnsi" w:cstheme="majorBidi"/>
      <w:b/>
      <w:bCs/>
      <w:i/>
      <w:iCs/>
    </w:rPr>
  </w:style>
  <w:style w:type="character" w:customStyle="1" w:styleId="berschrift6Zchn">
    <w:name w:val="Überschrift 6 Zchn"/>
    <w:basedOn w:val="Absatz-Standardschriftart"/>
    <w:link w:val="berschrift6"/>
    <w:uiPriority w:val="9"/>
    <w:semiHidden/>
    <w:rsid w:val="00697AE2"/>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697AE2"/>
    <w:rPr>
      <w:rFonts w:asciiTheme="majorHAnsi" w:eastAsiaTheme="majorEastAsia" w:hAnsiTheme="majorHAnsi" w:cstheme="majorBidi"/>
      <w:b/>
      <w:bCs/>
      <w:i/>
      <w:iCs/>
      <w:sz w:val="20"/>
      <w:szCs w:val="20"/>
    </w:rPr>
  </w:style>
  <w:style w:type="character" w:customStyle="1" w:styleId="berschrift8Zchn">
    <w:name w:val="Überschrift 8 Zchn"/>
    <w:basedOn w:val="Absatz-Standardschriftart"/>
    <w:link w:val="berschrift8"/>
    <w:uiPriority w:val="9"/>
    <w:semiHidden/>
    <w:rsid w:val="00697AE2"/>
    <w:rPr>
      <w:rFonts w:asciiTheme="majorHAnsi" w:eastAsiaTheme="majorEastAsia" w:hAnsiTheme="majorHAnsi" w:cstheme="majorBidi"/>
      <w:b/>
      <w:bCs/>
      <w:i/>
      <w:iCs/>
      <w:sz w:val="18"/>
      <w:szCs w:val="18"/>
    </w:rPr>
  </w:style>
  <w:style w:type="character" w:customStyle="1" w:styleId="berschrift9Zchn">
    <w:name w:val="Überschrift 9 Zchn"/>
    <w:basedOn w:val="Absatz-Standardschriftart"/>
    <w:link w:val="berschrift9"/>
    <w:uiPriority w:val="9"/>
    <w:semiHidden/>
    <w:rsid w:val="00697AE2"/>
    <w:rPr>
      <w:rFonts w:asciiTheme="majorHAnsi" w:eastAsiaTheme="majorEastAsia" w:hAnsiTheme="majorHAnsi" w:cstheme="majorBidi"/>
      <w:i/>
      <w:iCs/>
      <w:sz w:val="18"/>
      <w:szCs w:val="18"/>
    </w:rPr>
  </w:style>
  <w:style w:type="character" w:styleId="Fett">
    <w:name w:val="Strong"/>
    <w:basedOn w:val="Absatz-Standardschriftart"/>
    <w:uiPriority w:val="22"/>
    <w:qFormat/>
    <w:rsid w:val="00697AE2"/>
    <w:rPr>
      <w:b/>
      <w:bCs/>
      <w:spacing w:val="0"/>
    </w:rPr>
  </w:style>
  <w:style w:type="character" w:styleId="Hervorhebung">
    <w:name w:val="Emphasis"/>
    <w:uiPriority w:val="20"/>
    <w:qFormat/>
    <w:rsid w:val="00697AE2"/>
    <w:rPr>
      <w:b/>
      <w:bCs/>
      <w:i/>
      <w:iCs/>
      <w:color w:val="auto"/>
    </w:rPr>
  </w:style>
  <w:style w:type="paragraph" w:styleId="Listenabsatz">
    <w:name w:val="List Paragraph"/>
    <w:basedOn w:val="Standard"/>
    <w:uiPriority w:val="34"/>
    <w:qFormat/>
    <w:rsid w:val="00697AE2"/>
    <w:pPr>
      <w:ind w:left="720"/>
      <w:contextualSpacing/>
    </w:pPr>
  </w:style>
  <w:style w:type="paragraph" w:styleId="Zitat">
    <w:name w:val="Quote"/>
    <w:basedOn w:val="Standard"/>
    <w:next w:val="Standard"/>
    <w:link w:val="ZitatZchn"/>
    <w:uiPriority w:val="29"/>
    <w:qFormat/>
    <w:rsid w:val="00697AE2"/>
    <w:rPr>
      <w:color w:val="5A5A5A" w:themeColor="text1" w:themeTint="A5"/>
    </w:rPr>
  </w:style>
  <w:style w:type="character" w:customStyle="1" w:styleId="ZitatZchn">
    <w:name w:val="Zitat Zchn"/>
    <w:basedOn w:val="Absatz-Standardschriftart"/>
    <w:link w:val="Zitat"/>
    <w:uiPriority w:val="29"/>
    <w:rsid w:val="00697AE2"/>
    <w:rPr>
      <w:color w:val="5A5A5A" w:themeColor="text1" w:themeTint="A5"/>
    </w:rPr>
  </w:style>
  <w:style w:type="paragraph" w:styleId="IntensivesZitat">
    <w:name w:val="Intense Quote"/>
    <w:basedOn w:val="Standard"/>
    <w:next w:val="Standard"/>
    <w:link w:val="IntensivesZitatZchn"/>
    <w:uiPriority w:val="30"/>
    <w:qFormat/>
    <w:rsid w:val="00697AE2"/>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ivesZitatZchn">
    <w:name w:val="Intensives Zitat Zchn"/>
    <w:basedOn w:val="Absatz-Standardschriftart"/>
    <w:link w:val="IntensivesZitat"/>
    <w:uiPriority w:val="30"/>
    <w:rsid w:val="00697AE2"/>
    <w:rPr>
      <w:rFonts w:asciiTheme="majorHAnsi" w:eastAsiaTheme="majorEastAsia" w:hAnsiTheme="majorHAnsi" w:cstheme="majorBidi"/>
      <w:i/>
      <w:iCs/>
      <w:sz w:val="20"/>
      <w:szCs w:val="20"/>
    </w:rPr>
  </w:style>
  <w:style w:type="character" w:styleId="SchwacheHervorhebung">
    <w:name w:val="Subtle Emphasis"/>
    <w:uiPriority w:val="19"/>
    <w:qFormat/>
    <w:rsid w:val="00697AE2"/>
    <w:rPr>
      <w:i/>
      <w:iCs/>
      <w:color w:val="5A5A5A" w:themeColor="text1" w:themeTint="A5"/>
    </w:rPr>
  </w:style>
  <w:style w:type="character" w:styleId="IntensiveHervorhebung">
    <w:name w:val="Intense Emphasis"/>
    <w:uiPriority w:val="21"/>
    <w:qFormat/>
    <w:rsid w:val="00697AE2"/>
    <w:rPr>
      <w:b/>
      <w:bCs/>
      <w:i/>
      <w:iCs/>
      <w:color w:val="auto"/>
      <w:u w:val="single"/>
    </w:rPr>
  </w:style>
  <w:style w:type="character" w:styleId="SchwacherVerweis">
    <w:name w:val="Subtle Reference"/>
    <w:uiPriority w:val="31"/>
    <w:qFormat/>
    <w:rsid w:val="00697AE2"/>
    <w:rPr>
      <w:smallCaps/>
    </w:rPr>
  </w:style>
  <w:style w:type="character" w:styleId="IntensiverVerweis">
    <w:name w:val="Intense Reference"/>
    <w:uiPriority w:val="32"/>
    <w:qFormat/>
    <w:rsid w:val="00697AE2"/>
    <w:rPr>
      <w:b/>
      <w:bCs/>
      <w:smallCaps/>
      <w:color w:val="auto"/>
    </w:rPr>
  </w:style>
  <w:style w:type="character" w:styleId="Buchtitel">
    <w:name w:val="Book Title"/>
    <w:uiPriority w:val="33"/>
    <w:qFormat/>
    <w:rsid w:val="00697AE2"/>
    <w:rPr>
      <w:rFonts w:asciiTheme="majorHAnsi" w:eastAsiaTheme="majorEastAsia" w:hAnsiTheme="majorHAnsi" w:cstheme="majorBidi"/>
      <w:b/>
      <w:bCs/>
      <w:smallCaps/>
      <w:color w:val="auto"/>
      <w:u w:val="single"/>
    </w:rPr>
  </w:style>
  <w:style w:type="paragraph" w:styleId="Beschriftung">
    <w:name w:val="caption"/>
    <w:basedOn w:val="Standard"/>
    <w:next w:val="Standard"/>
    <w:uiPriority w:val="35"/>
    <w:semiHidden/>
    <w:unhideWhenUsed/>
    <w:qFormat/>
    <w:rsid w:val="00697AE2"/>
    <w:rPr>
      <w:b/>
      <w:bCs/>
      <w:sz w:val="18"/>
      <w:szCs w:val="18"/>
    </w:rPr>
  </w:style>
  <w:style w:type="paragraph" w:styleId="Literaturverzeichnis">
    <w:name w:val="Bibliography"/>
    <w:basedOn w:val="Standard"/>
    <w:next w:val="Standard"/>
    <w:uiPriority w:val="37"/>
    <w:unhideWhenUsed/>
    <w:rsid w:val="00F86119"/>
    <w:pPr>
      <w:tabs>
        <w:tab w:val="left" w:pos="384"/>
      </w:tabs>
      <w:spacing w:line="240" w:lineRule="auto"/>
      <w:ind w:left="384" w:hanging="384"/>
    </w:pPr>
  </w:style>
  <w:style w:type="table" w:styleId="HelleSchattierung">
    <w:name w:val="Light Shading"/>
    <w:basedOn w:val="NormaleTabelle"/>
    <w:uiPriority w:val="60"/>
    <w:rsid w:val="008628B5"/>
    <w:pPr>
      <w:spacing w:after="0" w:line="240" w:lineRule="auto"/>
      <w:ind w:firstLine="0"/>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7AE2"/>
    <w:pPr>
      <w:spacing w:line="360" w:lineRule="auto"/>
      <w:ind w:firstLine="0"/>
    </w:pPr>
  </w:style>
  <w:style w:type="paragraph" w:styleId="berschrift1">
    <w:name w:val="heading 1"/>
    <w:basedOn w:val="Standard"/>
    <w:next w:val="Standard"/>
    <w:link w:val="berschrift1Zchn"/>
    <w:uiPriority w:val="9"/>
    <w:qFormat/>
    <w:rsid w:val="00CD6D66"/>
    <w:pPr>
      <w:spacing w:before="600" w:after="0"/>
      <w:outlineLvl w:val="0"/>
    </w:pPr>
    <w:rPr>
      <w:rFonts w:asciiTheme="majorHAnsi" w:eastAsiaTheme="majorEastAsia" w:hAnsiTheme="majorHAnsi" w:cstheme="majorBidi"/>
      <w:b/>
      <w:bCs/>
      <w:iCs/>
      <w:sz w:val="32"/>
      <w:szCs w:val="32"/>
    </w:rPr>
  </w:style>
  <w:style w:type="paragraph" w:styleId="berschrift2">
    <w:name w:val="heading 2"/>
    <w:basedOn w:val="Standard"/>
    <w:next w:val="Standard"/>
    <w:link w:val="berschrift2Zchn"/>
    <w:uiPriority w:val="9"/>
    <w:unhideWhenUsed/>
    <w:qFormat/>
    <w:rsid w:val="00CD6D66"/>
    <w:pPr>
      <w:spacing w:before="320" w:after="0"/>
      <w:outlineLvl w:val="1"/>
    </w:pPr>
    <w:rPr>
      <w:rFonts w:asciiTheme="majorHAnsi" w:eastAsiaTheme="majorEastAsia" w:hAnsiTheme="majorHAnsi" w:cstheme="majorBidi"/>
      <w:b/>
      <w:bCs/>
      <w:iCs/>
      <w:sz w:val="28"/>
      <w:szCs w:val="28"/>
    </w:rPr>
  </w:style>
  <w:style w:type="paragraph" w:styleId="berschrift3">
    <w:name w:val="heading 3"/>
    <w:basedOn w:val="Standard"/>
    <w:next w:val="Standard"/>
    <w:link w:val="berschrift3Zchn"/>
    <w:uiPriority w:val="9"/>
    <w:semiHidden/>
    <w:unhideWhenUsed/>
    <w:qFormat/>
    <w:rsid w:val="00697AE2"/>
    <w:pPr>
      <w:spacing w:before="320" w:after="0"/>
      <w:outlineLvl w:val="2"/>
    </w:pPr>
    <w:rPr>
      <w:rFonts w:asciiTheme="majorHAnsi" w:eastAsiaTheme="majorEastAsia" w:hAnsiTheme="majorHAnsi" w:cstheme="majorBidi"/>
      <w:b/>
      <w:bCs/>
      <w:i/>
      <w:iCs/>
      <w:sz w:val="26"/>
      <w:szCs w:val="26"/>
    </w:rPr>
  </w:style>
  <w:style w:type="paragraph" w:styleId="berschrift4">
    <w:name w:val="heading 4"/>
    <w:basedOn w:val="Standard"/>
    <w:next w:val="Standard"/>
    <w:link w:val="berschrift4Zchn"/>
    <w:uiPriority w:val="9"/>
    <w:semiHidden/>
    <w:unhideWhenUsed/>
    <w:qFormat/>
    <w:rsid w:val="00697AE2"/>
    <w:pPr>
      <w:spacing w:before="280" w:after="0"/>
      <w:outlineLvl w:val="3"/>
    </w:pPr>
    <w:rPr>
      <w:rFonts w:asciiTheme="majorHAnsi" w:eastAsiaTheme="majorEastAsia" w:hAnsiTheme="majorHAnsi" w:cstheme="majorBidi"/>
      <w:b/>
      <w:bCs/>
      <w:i/>
      <w:iCs/>
      <w:sz w:val="24"/>
      <w:szCs w:val="24"/>
    </w:rPr>
  </w:style>
  <w:style w:type="paragraph" w:styleId="berschrift5">
    <w:name w:val="heading 5"/>
    <w:basedOn w:val="Standard"/>
    <w:next w:val="Standard"/>
    <w:link w:val="berschrift5Zchn"/>
    <w:uiPriority w:val="9"/>
    <w:semiHidden/>
    <w:unhideWhenUsed/>
    <w:qFormat/>
    <w:rsid w:val="00697AE2"/>
    <w:pPr>
      <w:spacing w:before="280" w:after="0"/>
      <w:outlineLvl w:val="4"/>
    </w:pPr>
    <w:rPr>
      <w:rFonts w:asciiTheme="majorHAnsi" w:eastAsiaTheme="majorEastAsia" w:hAnsiTheme="majorHAnsi" w:cstheme="majorBidi"/>
      <w:b/>
      <w:bCs/>
      <w:i/>
      <w:iCs/>
    </w:rPr>
  </w:style>
  <w:style w:type="paragraph" w:styleId="berschrift6">
    <w:name w:val="heading 6"/>
    <w:basedOn w:val="Standard"/>
    <w:next w:val="Standard"/>
    <w:link w:val="berschrift6Zchn"/>
    <w:uiPriority w:val="9"/>
    <w:semiHidden/>
    <w:unhideWhenUsed/>
    <w:qFormat/>
    <w:rsid w:val="00697AE2"/>
    <w:pPr>
      <w:spacing w:before="280" w:after="8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697AE2"/>
    <w:pPr>
      <w:spacing w:before="280" w:after="0"/>
      <w:outlineLvl w:val="6"/>
    </w:pPr>
    <w:rPr>
      <w:rFonts w:asciiTheme="majorHAnsi" w:eastAsiaTheme="majorEastAsia" w:hAnsiTheme="majorHAnsi" w:cstheme="majorBidi"/>
      <w:b/>
      <w:bCs/>
      <w:i/>
      <w:iCs/>
      <w:sz w:val="20"/>
      <w:szCs w:val="20"/>
    </w:rPr>
  </w:style>
  <w:style w:type="paragraph" w:styleId="berschrift8">
    <w:name w:val="heading 8"/>
    <w:basedOn w:val="Standard"/>
    <w:next w:val="Standard"/>
    <w:link w:val="berschrift8Zchn"/>
    <w:uiPriority w:val="9"/>
    <w:semiHidden/>
    <w:unhideWhenUsed/>
    <w:qFormat/>
    <w:rsid w:val="00697AE2"/>
    <w:pPr>
      <w:spacing w:before="280" w:after="0"/>
      <w:outlineLvl w:val="7"/>
    </w:pPr>
    <w:rPr>
      <w:rFonts w:asciiTheme="majorHAnsi" w:eastAsiaTheme="majorEastAsia" w:hAnsiTheme="majorHAnsi" w:cstheme="majorBidi"/>
      <w:b/>
      <w:bCs/>
      <w:i/>
      <w:iCs/>
      <w:sz w:val="18"/>
      <w:szCs w:val="18"/>
    </w:rPr>
  </w:style>
  <w:style w:type="paragraph" w:styleId="berschrift9">
    <w:name w:val="heading 9"/>
    <w:basedOn w:val="Standard"/>
    <w:next w:val="Standard"/>
    <w:link w:val="berschrift9Zchn"/>
    <w:uiPriority w:val="9"/>
    <w:semiHidden/>
    <w:unhideWhenUsed/>
    <w:qFormat/>
    <w:rsid w:val="00697AE2"/>
    <w:pPr>
      <w:spacing w:before="280" w:after="0"/>
      <w:outlineLvl w:val="8"/>
    </w:pPr>
    <w:rPr>
      <w:rFonts w:asciiTheme="majorHAnsi" w:eastAsiaTheme="majorEastAsia" w:hAnsiTheme="majorHAnsi" w:cstheme="majorBidi"/>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D6D66"/>
    <w:rPr>
      <w:rFonts w:asciiTheme="majorHAnsi" w:eastAsiaTheme="majorEastAsia" w:hAnsiTheme="majorHAnsi" w:cstheme="majorBidi"/>
      <w:b/>
      <w:bCs/>
      <w:iCs/>
      <w:sz w:val="32"/>
      <w:szCs w:val="32"/>
    </w:rPr>
  </w:style>
  <w:style w:type="character" w:customStyle="1" w:styleId="berschrift2Zchn">
    <w:name w:val="Überschrift 2 Zchn"/>
    <w:basedOn w:val="Absatz-Standardschriftart"/>
    <w:link w:val="berschrift2"/>
    <w:uiPriority w:val="9"/>
    <w:rsid w:val="00CD6D66"/>
    <w:rPr>
      <w:rFonts w:asciiTheme="majorHAnsi" w:eastAsiaTheme="majorEastAsia" w:hAnsiTheme="majorHAnsi" w:cstheme="majorBidi"/>
      <w:b/>
      <w:bCs/>
      <w:iCs/>
      <w:sz w:val="28"/>
      <w:szCs w:val="28"/>
    </w:rPr>
  </w:style>
  <w:style w:type="paragraph" w:styleId="Kopfzeile">
    <w:name w:val="header"/>
    <w:basedOn w:val="Standard"/>
    <w:link w:val="KopfzeileZchn"/>
    <w:uiPriority w:val="99"/>
    <w:unhideWhenUsed/>
    <w:rsid w:val="00D949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4999"/>
  </w:style>
  <w:style w:type="paragraph" w:styleId="Fuzeile">
    <w:name w:val="footer"/>
    <w:basedOn w:val="Standard"/>
    <w:link w:val="FuzeileZchn"/>
    <w:uiPriority w:val="99"/>
    <w:unhideWhenUsed/>
    <w:rsid w:val="00D949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4999"/>
  </w:style>
  <w:style w:type="character" w:styleId="Kommentarzeichen">
    <w:name w:val="annotation reference"/>
    <w:basedOn w:val="Absatz-Standardschriftart"/>
    <w:uiPriority w:val="99"/>
    <w:semiHidden/>
    <w:unhideWhenUsed/>
    <w:rsid w:val="00D94999"/>
    <w:rPr>
      <w:sz w:val="16"/>
      <w:szCs w:val="16"/>
    </w:rPr>
  </w:style>
  <w:style w:type="paragraph" w:styleId="Kommentartext">
    <w:name w:val="annotation text"/>
    <w:basedOn w:val="Standard"/>
    <w:link w:val="KommentartextZchn"/>
    <w:uiPriority w:val="99"/>
    <w:unhideWhenUsed/>
    <w:rsid w:val="00D94999"/>
    <w:pPr>
      <w:spacing w:line="240" w:lineRule="auto"/>
    </w:pPr>
    <w:rPr>
      <w:sz w:val="20"/>
      <w:szCs w:val="20"/>
    </w:rPr>
  </w:style>
  <w:style w:type="character" w:customStyle="1" w:styleId="KommentartextZchn">
    <w:name w:val="Kommentartext Zchn"/>
    <w:basedOn w:val="Absatz-Standardschriftart"/>
    <w:link w:val="Kommentartext"/>
    <w:uiPriority w:val="99"/>
    <w:rsid w:val="00D94999"/>
    <w:rPr>
      <w:sz w:val="20"/>
      <w:szCs w:val="20"/>
    </w:rPr>
  </w:style>
  <w:style w:type="table" w:styleId="Tabellenraster">
    <w:name w:val="Table Grid"/>
    <w:basedOn w:val="NormaleTabelle"/>
    <w:uiPriority w:val="59"/>
    <w:rsid w:val="00D9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697AE2"/>
    <w:pPr>
      <w:spacing w:after="0" w:line="240" w:lineRule="auto"/>
    </w:pPr>
  </w:style>
  <w:style w:type="paragraph" w:styleId="Sprechblasentext">
    <w:name w:val="Balloon Text"/>
    <w:basedOn w:val="Standard"/>
    <w:link w:val="SprechblasentextZchn"/>
    <w:uiPriority w:val="99"/>
    <w:semiHidden/>
    <w:unhideWhenUsed/>
    <w:rsid w:val="00D949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4999"/>
    <w:rPr>
      <w:rFonts w:ascii="Tahoma" w:hAnsi="Tahoma" w:cs="Tahoma"/>
      <w:sz w:val="16"/>
      <w:szCs w:val="16"/>
    </w:rPr>
  </w:style>
  <w:style w:type="paragraph" w:styleId="Titel">
    <w:name w:val="Title"/>
    <w:basedOn w:val="Standard"/>
    <w:next w:val="Standard"/>
    <w:link w:val="TitelZchn"/>
    <w:uiPriority w:val="10"/>
    <w:qFormat/>
    <w:rsid w:val="00CD6D66"/>
    <w:pPr>
      <w:spacing w:line="240" w:lineRule="auto"/>
    </w:pPr>
    <w:rPr>
      <w:rFonts w:asciiTheme="majorHAnsi" w:eastAsiaTheme="majorEastAsia" w:hAnsiTheme="majorHAnsi" w:cstheme="majorBidi"/>
      <w:b/>
      <w:bCs/>
      <w:iCs/>
      <w:spacing w:val="10"/>
      <w:sz w:val="60"/>
      <w:szCs w:val="60"/>
    </w:rPr>
  </w:style>
  <w:style w:type="character" w:customStyle="1" w:styleId="TitelZchn">
    <w:name w:val="Titel Zchn"/>
    <w:basedOn w:val="Absatz-Standardschriftart"/>
    <w:link w:val="Titel"/>
    <w:uiPriority w:val="10"/>
    <w:rsid w:val="00CD6D66"/>
    <w:rPr>
      <w:rFonts w:asciiTheme="majorHAnsi" w:eastAsiaTheme="majorEastAsia" w:hAnsiTheme="majorHAnsi" w:cstheme="majorBidi"/>
      <w:b/>
      <w:bCs/>
      <w:iCs/>
      <w:spacing w:val="10"/>
      <w:sz w:val="60"/>
      <w:szCs w:val="60"/>
    </w:rPr>
  </w:style>
  <w:style w:type="paragraph" w:styleId="Untertitel">
    <w:name w:val="Subtitle"/>
    <w:basedOn w:val="Standard"/>
    <w:next w:val="Standard"/>
    <w:link w:val="UntertitelZchn"/>
    <w:uiPriority w:val="11"/>
    <w:qFormat/>
    <w:rsid w:val="00CD6D66"/>
    <w:pPr>
      <w:spacing w:after="320"/>
    </w:pPr>
    <w:rPr>
      <w:b/>
      <w:iCs/>
      <w:color w:val="262626" w:themeColor="text1" w:themeTint="D9"/>
      <w:spacing w:val="10"/>
      <w:sz w:val="24"/>
      <w:szCs w:val="24"/>
    </w:rPr>
  </w:style>
  <w:style w:type="character" w:customStyle="1" w:styleId="UntertitelZchn">
    <w:name w:val="Untertitel Zchn"/>
    <w:basedOn w:val="Absatz-Standardschriftart"/>
    <w:link w:val="Untertitel"/>
    <w:uiPriority w:val="11"/>
    <w:rsid w:val="00CD6D66"/>
    <w:rPr>
      <w:b/>
      <w:iCs/>
      <w:color w:val="262626" w:themeColor="text1" w:themeTint="D9"/>
      <w:spacing w:val="10"/>
      <w:sz w:val="24"/>
      <w:szCs w:val="24"/>
    </w:rPr>
  </w:style>
  <w:style w:type="paragraph" w:styleId="Inhaltsverzeichnisberschrift">
    <w:name w:val="TOC Heading"/>
    <w:basedOn w:val="berschrift1"/>
    <w:next w:val="Standard"/>
    <w:uiPriority w:val="39"/>
    <w:unhideWhenUsed/>
    <w:qFormat/>
    <w:rsid w:val="00697AE2"/>
    <w:pPr>
      <w:outlineLvl w:val="9"/>
    </w:pPr>
    <w:rPr>
      <w:lang w:bidi="en-US"/>
    </w:rPr>
  </w:style>
  <w:style w:type="paragraph" w:styleId="Verzeichnis1">
    <w:name w:val="toc 1"/>
    <w:basedOn w:val="Standard"/>
    <w:next w:val="Standard"/>
    <w:autoRedefine/>
    <w:uiPriority w:val="39"/>
    <w:unhideWhenUsed/>
    <w:rsid w:val="00044871"/>
    <w:pPr>
      <w:spacing w:after="100"/>
    </w:pPr>
  </w:style>
  <w:style w:type="paragraph" w:styleId="Verzeichnis2">
    <w:name w:val="toc 2"/>
    <w:basedOn w:val="Standard"/>
    <w:next w:val="Standard"/>
    <w:autoRedefine/>
    <w:uiPriority w:val="39"/>
    <w:unhideWhenUsed/>
    <w:rsid w:val="00044871"/>
    <w:pPr>
      <w:spacing w:after="100"/>
      <w:ind w:left="220"/>
    </w:pPr>
  </w:style>
  <w:style w:type="character" w:styleId="Hyperlink">
    <w:name w:val="Hyperlink"/>
    <w:basedOn w:val="Absatz-Standardschriftart"/>
    <w:uiPriority w:val="99"/>
    <w:unhideWhenUsed/>
    <w:rsid w:val="00044871"/>
    <w:rPr>
      <w:color w:val="5F5F5F" w:themeColor="hyperlink"/>
      <w:u w:val="single"/>
    </w:rPr>
  </w:style>
  <w:style w:type="character" w:customStyle="1" w:styleId="berschrift3Zchn">
    <w:name w:val="Überschrift 3 Zchn"/>
    <w:basedOn w:val="Absatz-Standardschriftart"/>
    <w:link w:val="berschrift3"/>
    <w:uiPriority w:val="9"/>
    <w:semiHidden/>
    <w:rsid w:val="00697AE2"/>
    <w:rPr>
      <w:rFonts w:asciiTheme="majorHAnsi" w:eastAsiaTheme="majorEastAsia" w:hAnsiTheme="majorHAnsi" w:cstheme="majorBidi"/>
      <w:b/>
      <w:bCs/>
      <w:i/>
      <w:iCs/>
      <w:sz w:val="26"/>
      <w:szCs w:val="26"/>
    </w:rPr>
  </w:style>
  <w:style w:type="character" w:customStyle="1" w:styleId="berschrift4Zchn">
    <w:name w:val="Überschrift 4 Zchn"/>
    <w:basedOn w:val="Absatz-Standardschriftart"/>
    <w:link w:val="berschrift4"/>
    <w:uiPriority w:val="9"/>
    <w:semiHidden/>
    <w:rsid w:val="00697AE2"/>
    <w:rPr>
      <w:rFonts w:asciiTheme="majorHAnsi" w:eastAsiaTheme="majorEastAsia" w:hAnsiTheme="majorHAnsi" w:cstheme="majorBidi"/>
      <w:b/>
      <w:bCs/>
      <w:i/>
      <w:iCs/>
      <w:sz w:val="24"/>
      <w:szCs w:val="24"/>
    </w:rPr>
  </w:style>
  <w:style w:type="character" w:customStyle="1" w:styleId="berschrift5Zchn">
    <w:name w:val="Überschrift 5 Zchn"/>
    <w:basedOn w:val="Absatz-Standardschriftart"/>
    <w:link w:val="berschrift5"/>
    <w:uiPriority w:val="9"/>
    <w:semiHidden/>
    <w:rsid w:val="00697AE2"/>
    <w:rPr>
      <w:rFonts w:asciiTheme="majorHAnsi" w:eastAsiaTheme="majorEastAsia" w:hAnsiTheme="majorHAnsi" w:cstheme="majorBidi"/>
      <w:b/>
      <w:bCs/>
      <w:i/>
      <w:iCs/>
    </w:rPr>
  </w:style>
  <w:style w:type="character" w:customStyle="1" w:styleId="berschrift6Zchn">
    <w:name w:val="Überschrift 6 Zchn"/>
    <w:basedOn w:val="Absatz-Standardschriftart"/>
    <w:link w:val="berschrift6"/>
    <w:uiPriority w:val="9"/>
    <w:semiHidden/>
    <w:rsid w:val="00697AE2"/>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697AE2"/>
    <w:rPr>
      <w:rFonts w:asciiTheme="majorHAnsi" w:eastAsiaTheme="majorEastAsia" w:hAnsiTheme="majorHAnsi" w:cstheme="majorBidi"/>
      <w:b/>
      <w:bCs/>
      <w:i/>
      <w:iCs/>
      <w:sz w:val="20"/>
      <w:szCs w:val="20"/>
    </w:rPr>
  </w:style>
  <w:style w:type="character" w:customStyle="1" w:styleId="berschrift8Zchn">
    <w:name w:val="Überschrift 8 Zchn"/>
    <w:basedOn w:val="Absatz-Standardschriftart"/>
    <w:link w:val="berschrift8"/>
    <w:uiPriority w:val="9"/>
    <w:semiHidden/>
    <w:rsid w:val="00697AE2"/>
    <w:rPr>
      <w:rFonts w:asciiTheme="majorHAnsi" w:eastAsiaTheme="majorEastAsia" w:hAnsiTheme="majorHAnsi" w:cstheme="majorBidi"/>
      <w:b/>
      <w:bCs/>
      <w:i/>
      <w:iCs/>
      <w:sz w:val="18"/>
      <w:szCs w:val="18"/>
    </w:rPr>
  </w:style>
  <w:style w:type="character" w:customStyle="1" w:styleId="berschrift9Zchn">
    <w:name w:val="Überschrift 9 Zchn"/>
    <w:basedOn w:val="Absatz-Standardschriftart"/>
    <w:link w:val="berschrift9"/>
    <w:uiPriority w:val="9"/>
    <w:semiHidden/>
    <w:rsid w:val="00697AE2"/>
    <w:rPr>
      <w:rFonts w:asciiTheme="majorHAnsi" w:eastAsiaTheme="majorEastAsia" w:hAnsiTheme="majorHAnsi" w:cstheme="majorBidi"/>
      <w:i/>
      <w:iCs/>
      <w:sz w:val="18"/>
      <w:szCs w:val="18"/>
    </w:rPr>
  </w:style>
  <w:style w:type="character" w:styleId="Fett">
    <w:name w:val="Strong"/>
    <w:basedOn w:val="Absatz-Standardschriftart"/>
    <w:uiPriority w:val="22"/>
    <w:qFormat/>
    <w:rsid w:val="00697AE2"/>
    <w:rPr>
      <w:b/>
      <w:bCs/>
      <w:spacing w:val="0"/>
    </w:rPr>
  </w:style>
  <w:style w:type="character" w:styleId="Hervorhebung">
    <w:name w:val="Emphasis"/>
    <w:uiPriority w:val="20"/>
    <w:qFormat/>
    <w:rsid w:val="00697AE2"/>
    <w:rPr>
      <w:b/>
      <w:bCs/>
      <w:i/>
      <w:iCs/>
      <w:color w:val="auto"/>
    </w:rPr>
  </w:style>
  <w:style w:type="paragraph" w:styleId="Listenabsatz">
    <w:name w:val="List Paragraph"/>
    <w:basedOn w:val="Standard"/>
    <w:uiPriority w:val="34"/>
    <w:qFormat/>
    <w:rsid w:val="00697AE2"/>
    <w:pPr>
      <w:ind w:left="720"/>
      <w:contextualSpacing/>
    </w:pPr>
  </w:style>
  <w:style w:type="paragraph" w:styleId="Zitat">
    <w:name w:val="Quote"/>
    <w:basedOn w:val="Standard"/>
    <w:next w:val="Standard"/>
    <w:link w:val="ZitatZchn"/>
    <w:uiPriority w:val="29"/>
    <w:qFormat/>
    <w:rsid w:val="00697AE2"/>
    <w:rPr>
      <w:color w:val="5A5A5A" w:themeColor="text1" w:themeTint="A5"/>
    </w:rPr>
  </w:style>
  <w:style w:type="character" w:customStyle="1" w:styleId="ZitatZchn">
    <w:name w:val="Zitat Zchn"/>
    <w:basedOn w:val="Absatz-Standardschriftart"/>
    <w:link w:val="Zitat"/>
    <w:uiPriority w:val="29"/>
    <w:rsid w:val="00697AE2"/>
    <w:rPr>
      <w:color w:val="5A5A5A" w:themeColor="text1" w:themeTint="A5"/>
    </w:rPr>
  </w:style>
  <w:style w:type="paragraph" w:styleId="IntensivesZitat">
    <w:name w:val="Intense Quote"/>
    <w:basedOn w:val="Standard"/>
    <w:next w:val="Standard"/>
    <w:link w:val="IntensivesZitatZchn"/>
    <w:uiPriority w:val="30"/>
    <w:qFormat/>
    <w:rsid w:val="00697AE2"/>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ivesZitatZchn">
    <w:name w:val="Intensives Zitat Zchn"/>
    <w:basedOn w:val="Absatz-Standardschriftart"/>
    <w:link w:val="IntensivesZitat"/>
    <w:uiPriority w:val="30"/>
    <w:rsid w:val="00697AE2"/>
    <w:rPr>
      <w:rFonts w:asciiTheme="majorHAnsi" w:eastAsiaTheme="majorEastAsia" w:hAnsiTheme="majorHAnsi" w:cstheme="majorBidi"/>
      <w:i/>
      <w:iCs/>
      <w:sz w:val="20"/>
      <w:szCs w:val="20"/>
    </w:rPr>
  </w:style>
  <w:style w:type="character" w:styleId="SchwacheHervorhebung">
    <w:name w:val="Subtle Emphasis"/>
    <w:uiPriority w:val="19"/>
    <w:qFormat/>
    <w:rsid w:val="00697AE2"/>
    <w:rPr>
      <w:i/>
      <w:iCs/>
      <w:color w:val="5A5A5A" w:themeColor="text1" w:themeTint="A5"/>
    </w:rPr>
  </w:style>
  <w:style w:type="character" w:styleId="IntensiveHervorhebung">
    <w:name w:val="Intense Emphasis"/>
    <w:uiPriority w:val="21"/>
    <w:qFormat/>
    <w:rsid w:val="00697AE2"/>
    <w:rPr>
      <w:b/>
      <w:bCs/>
      <w:i/>
      <w:iCs/>
      <w:color w:val="auto"/>
      <w:u w:val="single"/>
    </w:rPr>
  </w:style>
  <w:style w:type="character" w:styleId="SchwacherVerweis">
    <w:name w:val="Subtle Reference"/>
    <w:uiPriority w:val="31"/>
    <w:qFormat/>
    <w:rsid w:val="00697AE2"/>
    <w:rPr>
      <w:smallCaps/>
    </w:rPr>
  </w:style>
  <w:style w:type="character" w:styleId="IntensiverVerweis">
    <w:name w:val="Intense Reference"/>
    <w:uiPriority w:val="32"/>
    <w:qFormat/>
    <w:rsid w:val="00697AE2"/>
    <w:rPr>
      <w:b/>
      <w:bCs/>
      <w:smallCaps/>
      <w:color w:val="auto"/>
    </w:rPr>
  </w:style>
  <w:style w:type="character" w:styleId="Buchtitel">
    <w:name w:val="Book Title"/>
    <w:uiPriority w:val="33"/>
    <w:qFormat/>
    <w:rsid w:val="00697AE2"/>
    <w:rPr>
      <w:rFonts w:asciiTheme="majorHAnsi" w:eastAsiaTheme="majorEastAsia" w:hAnsiTheme="majorHAnsi" w:cstheme="majorBidi"/>
      <w:b/>
      <w:bCs/>
      <w:smallCaps/>
      <w:color w:val="auto"/>
      <w:u w:val="single"/>
    </w:rPr>
  </w:style>
  <w:style w:type="paragraph" w:styleId="Beschriftung">
    <w:name w:val="caption"/>
    <w:basedOn w:val="Standard"/>
    <w:next w:val="Standard"/>
    <w:uiPriority w:val="35"/>
    <w:semiHidden/>
    <w:unhideWhenUsed/>
    <w:qFormat/>
    <w:rsid w:val="00697AE2"/>
    <w:rPr>
      <w:b/>
      <w:bCs/>
      <w:sz w:val="18"/>
      <w:szCs w:val="18"/>
    </w:rPr>
  </w:style>
  <w:style w:type="paragraph" w:styleId="Literaturverzeichnis">
    <w:name w:val="Bibliography"/>
    <w:basedOn w:val="Standard"/>
    <w:next w:val="Standard"/>
    <w:uiPriority w:val="37"/>
    <w:unhideWhenUsed/>
    <w:rsid w:val="00F86119"/>
    <w:pPr>
      <w:tabs>
        <w:tab w:val="left" w:pos="384"/>
      </w:tabs>
      <w:spacing w:line="240" w:lineRule="auto"/>
      <w:ind w:left="384" w:hanging="384"/>
    </w:pPr>
  </w:style>
  <w:style w:type="table" w:styleId="HelleSchattierung">
    <w:name w:val="Light Shading"/>
    <w:basedOn w:val="NormaleTabelle"/>
    <w:uiPriority w:val="60"/>
    <w:rsid w:val="008628B5"/>
    <w:pPr>
      <w:spacing w:after="0" w:line="240" w:lineRule="auto"/>
      <w:ind w:firstLine="0"/>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57523">
      <w:bodyDiv w:val="1"/>
      <w:marLeft w:val="0"/>
      <w:marRight w:val="0"/>
      <w:marTop w:val="0"/>
      <w:marBottom w:val="0"/>
      <w:divBdr>
        <w:top w:val="none" w:sz="0" w:space="0" w:color="auto"/>
        <w:left w:val="none" w:sz="0" w:space="0" w:color="auto"/>
        <w:bottom w:val="none" w:sz="0" w:space="0" w:color="auto"/>
        <w:right w:val="none" w:sz="0" w:space="0" w:color="auto"/>
      </w:divBdr>
    </w:div>
    <w:div w:id="36498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mbria">
      <a:majorFont>
        <a:latin typeface="Cambria"/>
        <a:ea typeface=""/>
        <a:cs typeface=""/>
      </a:majorFont>
      <a:minorFont>
        <a:latin typeface="Cambri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F9F95-9100-44CD-9637-1D41C2693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4278</Words>
  <Characters>24391</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 Stervbo</dc:creator>
  <cp:lastModifiedBy>Anft, Moritz</cp:lastModifiedBy>
  <cp:revision>6</cp:revision>
  <cp:lastPrinted>2020-04-27T12:36:00Z</cp:lastPrinted>
  <dcterms:created xsi:type="dcterms:W3CDTF">2020-04-27T14:03:00Z</dcterms:created>
  <dcterms:modified xsi:type="dcterms:W3CDTF">2020-04-27T14:48:00Z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id="Sp709bzO"/&gt;&lt;style id="http://www.zotero.org/styles/the-new-england-journal-of-medicine" hasBibliography="1" bibliographyStyleHasBeenSet="1"/&gt;&lt;prefs&gt;&lt;pref name="fieldType" value="Field"/&gt;&lt;/prefs&gt;&lt;</vt:lpwstr>
  </property>
  <property fmtid="{D5CDD505-2E9C-101B-9397-08002B2CF9AE}" pid="3" name="ZOTERO_PREF_2">
    <vt:lpwstr>/data&gt;</vt:lpwstr>
  </property>
</Properties>
</file>