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0BEF7" w14:textId="77777777" w:rsidR="008E16DB" w:rsidRDefault="008E16DB" w:rsidP="008E16DB">
      <w:pPr>
        <w:snapToGrid w:val="0"/>
        <w:spacing w:line="480" w:lineRule="auto"/>
        <w:contextualSpacing/>
        <w:rPr>
          <w:rFonts w:ascii="Arial" w:hAnsi="Arial" w:cs="Arial"/>
          <w:b/>
          <w:bCs/>
        </w:rPr>
      </w:pPr>
      <w:r w:rsidRPr="00B35731">
        <w:rPr>
          <w:rFonts w:ascii="Arial" w:hAnsi="Arial" w:cs="Arial"/>
          <w:b/>
          <w:bCs/>
          <w:lang w:val="en-CA"/>
        </w:rPr>
        <w:t xml:space="preserve">Supplementary Material for: </w:t>
      </w:r>
    </w:p>
    <w:p w14:paraId="036FD1F5" w14:textId="3970F1AC" w:rsidR="008E16DB" w:rsidRPr="00B35731" w:rsidRDefault="008E16DB" w:rsidP="008E16DB">
      <w:pPr>
        <w:snapToGrid w:val="0"/>
        <w:spacing w:line="480" w:lineRule="auto"/>
        <w:contextualSpacing/>
        <w:rPr>
          <w:rFonts w:ascii="Arial" w:hAnsi="Arial" w:cs="Arial"/>
          <w:b/>
          <w:bCs/>
        </w:rPr>
      </w:pPr>
      <w:r>
        <w:rPr>
          <w:rFonts w:ascii="Arial" w:hAnsi="Arial" w:cs="Arial"/>
          <w:b/>
          <w:bCs/>
        </w:rPr>
        <w:t xml:space="preserve">Gut microbiota features on nursing home admission are associated with subsequent acquisition of antibiotic resistant organism colonization </w:t>
      </w:r>
    </w:p>
    <w:sdt>
      <w:sdtPr>
        <w:rPr>
          <w:rFonts w:asciiTheme="minorHAnsi" w:eastAsiaTheme="minorEastAsia" w:hAnsiTheme="minorHAnsi" w:cstheme="minorBidi"/>
          <w:b w:val="0"/>
          <w:bCs w:val="0"/>
          <w:color w:val="auto"/>
          <w:sz w:val="24"/>
          <w:szCs w:val="24"/>
          <w:lang w:eastAsia="zh-TW"/>
        </w:rPr>
        <w:id w:val="837427691"/>
        <w:docPartObj>
          <w:docPartGallery w:val="Table of Contents"/>
          <w:docPartUnique/>
        </w:docPartObj>
      </w:sdtPr>
      <w:sdtEndPr>
        <w:rPr>
          <w:rFonts w:ascii="Times New Roman" w:eastAsia="Times New Roman" w:hAnsi="Times New Roman" w:cs="Times New Roman"/>
          <w:noProof/>
        </w:rPr>
      </w:sdtEndPr>
      <w:sdtContent>
        <w:p w14:paraId="73D64498" w14:textId="77777777" w:rsidR="008E16DB" w:rsidRPr="00AA76D3" w:rsidRDefault="008E16DB" w:rsidP="008E16DB">
          <w:pPr>
            <w:pStyle w:val="TOCHeading"/>
            <w:jc w:val="both"/>
            <w:rPr>
              <w:rFonts w:ascii="Arial" w:hAnsi="Arial" w:cs="Arial"/>
              <w:color w:val="auto"/>
              <w:sz w:val="24"/>
              <w:szCs w:val="24"/>
            </w:rPr>
          </w:pPr>
          <w:r w:rsidRPr="00AA76D3">
            <w:rPr>
              <w:rFonts w:ascii="Arial" w:hAnsi="Arial" w:cs="Arial"/>
              <w:color w:val="auto"/>
              <w:sz w:val="24"/>
              <w:szCs w:val="24"/>
            </w:rPr>
            <w:t>Table of Contents</w:t>
          </w:r>
        </w:p>
        <w:p w14:paraId="7E127BF1" w14:textId="77777777" w:rsidR="008E16DB" w:rsidRDefault="008E16DB" w:rsidP="008E16DB">
          <w:pPr>
            <w:pStyle w:val="TOC1"/>
            <w:tabs>
              <w:tab w:val="right" w:leader="dot" w:pos="9350"/>
            </w:tabs>
            <w:rPr>
              <w:b w:val="0"/>
              <w:bCs w:val="0"/>
              <w:i w:val="0"/>
              <w:iCs w:val="0"/>
              <w:noProof/>
            </w:rPr>
          </w:pPr>
          <w:r>
            <w:rPr>
              <w:b w:val="0"/>
              <w:bCs w:val="0"/>
            </w:rPr>
            <w:fldChar w:fldCharType="begin"/>
          </w:r>
          <w:r>
            <w:instrText xml:space="preserve"> TOC \o "1-3" \h \z \u </w:instrText>
          </w:r>
          <w:r>
            <w:rPr>
              <w:b w:val="0"/>
              <w:bCs w:val="0"/>
            </w:rPr>
            <w:fldChar w:fldCharType="separate"/>
          </w:r>
          <w:hyperlink w:anchor="_Toc34580996" w:history="1">
            <w:r w:rsidRPr="0008285D">
              <w:rPr>
                <w:rStyle w:val="Hyperlink"/>
                <w:rFonts w:ascii="Arial" w:hAnsi="Arial" w:cs="Arial"/>
                <w:noProof/>
                <w:lang w:val="en-CA"/>
              </w:rPr>
              <w:t>Supplementary Methods</w:t>
            </w:r>
            <w:r>
              <w:rPr>
                <w:noProof/>
                <w:webHidden/>
              </w:rPr>
              <w:tab/>
            </w:r>
            <w:r>
              <w:rPr>
                <w:noProof/>
                <w:webHidden/>
              </w:rPr>
              <w:fldChar w:fldCharType="begin"/>
            </w:r>
            <w:r>
              <w:rPr>
                <w:noProof/>
                <w:webHidden/>
              </w:rPr>
              <w:instrText xml:space="preserve"> PAGEREF _Toc34580996 \h </w:instrText>
            </w:r>
            <w:r>
              <w:rPr>
                <w:noProof/>
                <w:webHidden/>
              </w:rPr>
            </w:r>
            <w:r>
              <w:rPr>
                <w:noProof/>
                <w:webHidden/>
              </w:rPr>
              <w:fldChar w:fldCharType="separate"/>
            </w:r>
            <w:r>
              <w:rPr>
                <w:noProof/>
                <w:webHidden/>
              </w:rPr>
              <w:t>2</w:t>
            </w:r>
            <w:r>
              <w:rPr>
                <w:noProof/>
                <w:webHidden/>
              </w:rPr>
              <w:fldChar w:fldCharType="end"/>
            </w:r>
          </w:hyperlink>
        </w:p>
        <w:p w14:paraId="2629CF27" w14:textId="77777777" w:rsidR="008E16DB" w:rsidRDefault="003908B9" w:rsidP="008E16DB">
          <w:pPr>
            <w:pStyle w:val="TOC2"/>
            <w:tabs>
              <w:tab w:val="right" w:leader="dot" w:pos="9350"/>
            </w:tabs>
            <w:rPr>
              <w:b w:val="0"/>
              <w:bCs w:val="0"/>
              <w:noProof/>
              <w:sz w:val="24"/>
              <w:szCs w:val="24"/>
            </w:rPr>
          </w:pPr>
          <w:hyperlink w:anchor="_Toc34580997" w:history="1">
            <w:r w:rsidR="008E16DB" w:rsidRPr="0008285D">
              <w:rPr>
                <w:rStyle w:val="Hyperlink"/>
                <w:rFonts w:ascii="Arial" w:hAnsi="Arial" w:cs="Arial"/>
                <w:noProof/>
                <w:lang w:val="en-CA"/>
              </w:rPr>
              <w:t>16S rRNA Gene Sequencing and Analysis</w:t>
            </w:r>
            <w:r w:rsidR="008E16DB">
              <w:rPr>
                <w:noProof/>
                <w:webHidden/>
              </w:rPr>
              <w:tab/>
            </w:r>
            <w:r w:rsidR="008E16DB">
              <w:rPr>
                <w:noProof/>
                <w:webHidden/>
              </w:rPr>
              <w:fldChar w:fldCharType="begin"/>
            </w:r>
            <w:r w:rsidR="008E16DB">
              <w:rPr>
                <w:noProof/>
                <w:webHidden/>
              </w:rPr>
              <w:instrText xml:space="preserve"> PAGEREF _Toc34580997 \h </w:instrText>
            </w:r>
            <w:r w:rsidR="008E16DB">
              <w:rPr>
                <w:noProof/>
                <w:webHidden/>
              </w:rPr>
            </w:r>
            <w:r w:rsidR="008E16DB">
              <w:rPr>
                <w:noProof/>
                <w:webHidden/>
              </w:rPr>
              <w:fldChar w:fldCharType="separate"/>
            </w:r>
            <w:r w:rsidR="008E16DB">
              <w:rPr>
                <w:noProof/>
                <w:webHidden/>
              </w:rPr>
              <w:t>2</w:t>
            </w:r>
            <w:r w:rsidR="008E16DB">
              <w:rPr>
                <w:noProof/>
                <w:webHidden/>
              </w:rPr>
              <w:fldChar w:fldCharType="end"/>
            </w:r>
          </w:hyperlink>
        </w:p>
        <w:p w14:paraId="2CFCD5B9" w14:textId="77777777" w:rsidR="008E16DB" w:rsidRDefault="003908B9" w:rsidP="008E16DB">
          <w:pPr>
            <w:pStyle w:val="TOC2"/>
            <w:tabs>
              <w:tab w:val="right" w:leader="dot" w:pos="9350"/>
            </w:tabs>
            <w:rPr>
              <w:b w:val="0"/>
              <w:bCs w:val="0"/>
              <w:noProof/>
              <w:sz w:val="24"/>
              <w:szCs w:val="24"/>
            </w:rPr>
          </w:pPr>
          <w:hyperlink w:anchor="_Toc34580998" w:history="1">
            <w:r w:rsidR="008E16DB" w:rsidRPr="0008285D">
              <w:rPr>
                <w:rStyle w:val="Hyperlink"/>
                <w:rFonts w:ascii="Arial" w:hAnsi="Arial" w:cs="Arial"/>
                <w:noProof/>
                <w:lang w:val="en-CA"/>
              </w:rPr>
              <w:t>Identification of Anaerobes and Butyrate-Producers</w:t>
            </w:r>
            <w:r w:rsidR="008E16DB">
              <w:rPr>
                <w:noProof/>
                <w:webHidden/>
              </w:rPr>
              <w:tab/>
            </w:r>
            <w:r w:rsidR="008E16DB">
              <w:rPr>
                <w:noProof/>
                <w:webHidden/>
              </w:rPr>
              <w:fldChar w:fldCharType="begin"/>
            </w:r>
            <w:r w:rsidR="008E16DB">
              <w:rPr>
                <w:noProof/>
                <w:webHidden/>
              </w:rPr>
              <w:instrText xml:space="preserve"> PAGEREF _Toc34580998 \h </w:instrText>
            </w:r>
            <w:r w:rsidR="008E16DB">
              <w:rPr>
                <w:noProof/>
                <w:webHidden/>
              </w:rPr>
            </w:r>
            <w:r w:rsidR="008E16DB">
              <w:rPr>
                <w:noProof/>
                <w:webHidden/>
              </w:rPr>
              <w:fldChar w:fldCharType="separate"/>
            </w:r>
            <w:r w:rsidR="008E16DB">
              <w:rPr>
                <w:noProof/>
                <w:webHidden/>
              </w:rPr>
              <w:t>2</w:t>
            </w:r>
            <w:r w:rsidR="008E16DB">
              <w:rPr>
                <w:noProof/>
                <w:webHidden/>
              </w:rPr>
              <w:fldChar w:fldCharType="end"/>
            </w:r>
          </w:hyperlink>
        </w:p>
        <w:p w14:paraId="7A9FE9C7" w14:textId="77777777" w:rsidR="008E16DB" w:rsidRDefault="003908B9" w:rsidP="008E16DB">
          <w:pPr>
            <w:pStyle w:val="TOC1"/>
            <w:tabs>
              <w:tab w:val="right" w:leader="dot" w:pos="9350"/>
            </w:tabs>
            <w:rPr>
              <w:b w:val="0"/>
              <w:bCs w:val="0"/>
              <w:i w:val="0"/>
              <w:iCs w:val="0"/>
              <w:noProof/>
            </w:rPr>
          </w:pPr>
          <w:hyperlink w:anchor="_Toc34580999" w:history="1">
            <w:r w:rsidR="008E16DB" w:rsidRPr="0008285D">
              <w:rPr>
                <w:rStyle w:val="Hyperlink"/>
                <w:rFonts w:ascii="Arial" w:hAnsi="Arial" w:cs="Arial"/>
                <w:noProof/>
                <w:lang w:val="en-CA"/>
              </w:rPr>
              <w:t>Supplementary Figures</w:t>
            </w:r>
            <w:r w:rsidR="008E16DB">
              <w:rPr>
                <w:noProof/>
                <w:webHidden/>
              </w:rPr>
              <w:tab/>
            </w:r>
            <w:r w:rsidR="008E16DB">
              <w:rPr>
                <w:noProof/>
                <w:webHidden/>
              </w:rPr>
              <w:fldChar w:fldCharType="begin"/>
            </w:r>
            <w:r w:rsidR="008E16DB">
              <w:rPr>
                <w:noProof/>
                <w:webHidden/>
              </w:rPr>
              <w:instrText xml:space="preserve"> PAGEREF _Toc34580999 \h </w:instrText>
            </w:r>
            <w:r w:rsidR="008E16DB">
              <w:rPr>
                <w:noProof/>
                <w:webHidden/>
              </w:rPr>
            </w:r>
            <w:r w:rsidR="008E16DB">
              <w:rPr>
                <w:noProof/>
                <w:webHidden/>
              </w:rPr>
              <w:fldChar w:fldCharType="separate"/>
            </w:r>
            <w:r w:rsidR="008E16DB">
              <w:rPr>
                <w:noProof/>
                <w:webHidden/>
              </w:rPr>
              <w:t>3</w:t>
            </w:r>
            <w:r w:rsidR="008E16DB">
              <w:rPr>
                <w:noProof/>
                <w:webHidden/>
              </w:rPr>
              <w:fldChar w:fldCharType="end"/>
            </w:r>
          </w:hyperlink>
        </w:p>
        <w:p w14:paraId="63D873BF" w14:textId="77777777" w:rsidR="008E16DB" w:rsidRDefault="003908B9" w:rsidP="008E16DB">
          <w:pPr>
            <w:pStyle w:val="TOC2"/>
            <w:tabs>
              <w:tab w:val="right" w:leader="dot" w:pos="9350"/>
            </w:tabs>
            <w:rPr>
              <w:b w:val="0"/>
              <w:bCs w:val="0"/>
              <w:noProof/>
              <w:sz w:val="24"/>
              <w:szCs w:val="24"/>
            </w:rPr>
          </w:pPr>
          <w:hyperlink w:anchor="_Toc34581000" w:history="1">
            <w:r w:rsidR="008E16DB" w:rsidRPr="0008285D">
              <w:rPr>
                <w:rStyle w:val="Hyperlink"/>
                <w:rFonts w:ascii="Arial" w:hAnsi="Arial" w:cs="Arial"/>
                <w:noProof/>
              </w:rPr>
              <w:t>Figure S1. Patient enrollment flow chart</w:t>
            </w:r>
            <w:r w:rsidR="008E16DB">
              <w:rPr>
                <w:noProof/>
                <w:webHidden/>
              </w:rPr>
              <w:tab/>
            </w:r>
            <w:r w:rsidR="008E16DB">
              <w:rPr>
                <w:noProof/>
                <w:webHidden/>
              </w:rPr>
              <w:fldChar w:fldCharType="begin"/>
            </w:r>
            <w:r w:rsidR="008E16DB">
              <w:rPr>
                <w:noProof/>
                <w:webHidden/>
              </w:rPr>
              <w:instrText xml:space="preserve"> PAGEREF _Toc34581000 \h </w:instrText>
            </w:r>
            <w:r w:rsidR="008E16DB">
              <w:rPr>
                <w:noProof/>
                <w:webHidden/>
              </w:rPr>
            </w:r>
            <w:r w:rsidR="008E16DB">
              <w:rPr>
                <w:noProof/>
                <w:webHidden/>
              </w:rPr>
              <w:fldChar w:fldCharType="separate"/>
            </w:r>
            <w:r w:rsidR="008E16DB">
              <w:rPr>
                <w:noProof/>
                <w:webHidden/>
              </w:rPr>
              <w:t>3</w:t>
            </w:r>
            <w:r w:rsidR="008E16DB">
              <w:rPr>
                <w:noProof/>
                <w:webHidden/>
              </w:rPr>
              <w:fldChar w:fldCharType="end"/>
            </w:r>
          </w:hyperlink>
        </w:p>
        <w:p w14:paraId="01DD5B5B" w14:textId="77777777" w:rsidR="008E16DB" w:rsidRDefault="003908B9" w:rsidP="008E16DB">
          <w:pPr>
            <w:pStyle w:val="TOC2"/>
            <w:tabs>
              <w:tab w:val="right" w:leader="dot" w:pos="9350"/>
            </w:tabs>
            <w:rPr>
              <w:b w:val="0"/>
              <w:bCs w:val="0"/>
              <w:noProof/>
              <w:sz w:val="24"/>
              <w:szCs w:val="24"/>
            </w:rPr>
          </w:pPr>
          <w:hyperlink r:id="rId8" w:anchor="_Toc34581001" w:history="1">
            <w:r w:rsidR="008E16DB" w:rsidRPr="0008285D">
              <w:rPr>
                <w:rStyle w:val="Hyperlink"/>
                <w:rFonts w:ascii="Arial" w:hAnsi="Arial" w:cs="Arial"/>
                <w:noProof/>
              </w:rPr>
              <w:t>Figure S2. Heatmap depicting the time of high-risk antibiotic initiation, and colonization with antibiotic-resistant organism in patients who were exposed to high-risk antibiotics within 14 days of study enrollment.</w:t>
            </w:r>
            <w:r w:rsidR="008E16DB">
              <w:rPr>
                <w:noProof/>
                <w:webHidden/>
              </w:rPr>
              <w:tab/>
            </w:r>
            <w:r w:rsidR="008E16DB">
              <w:rPr>
                <w:noProof/>
                <w:webHidden/>
              </w:rPr>
              <w:fldChar w:fldCharType="begin"/>
            </w:r>
            <w:r w:rsidR="008E16DB">
              <w:rPr>
                <w:noProof/>
                <w:webHidden/>
              </w:rPr>
              <w:instrText xml:space="preserve"> PAGEREF _Toc34581001 \h </w:instrText>
            </w:r>
            <w:r w:rsidR="008E16DB">
              <w:rPr>
                <w:noProof/>
                <w:webHidden/>
              </w:rPr>
            </w:r>
            <w:r w:rsidR="008E16DB">
              <w:rPr>
                <w:noProof/>
                <w:webHidden/>
              </w:rPr>
              <w:fldChar w:fldCharType="separate"/>
            </w:r>
            <w:r w:rsidR="008E16DB">
              <w:rPr>
                <w:noProof/>
                <w:webHidden/>
              </w:rPr>
              <w:t>4</w:t>
            </w:r>
            <w:r w:rsidR="008E16DB">
              <w:rPr>
                <w:noProof/>
                <w:webHidden/>
              </w:rPr>
              <w:fldChar w:fldCharType="end"/>
            </w:r>
          </w:hyperlink>
        </w:p>
        <w:p w14:paraId="240653EE" w14:textId="77777777" w:rsidR="008E16DB" w:rsidRDefault="003908B9" w:rsidP="008E16DB">
          <w:pPr>
            <w:pStyle w:val="TOC2"/>
            <w:tabs>
              <w:tab w:val="right" w:leader="dot" w:pos="9350"/>
            </w:tabs>
            <w:rPr>
              <w:b w:val="0"/>
              <w:bCs w:val="0"/>
              <w:noProof/>
              <w:sz w:val="24"/>
              <w:szCs w:val="24"/>
            </w:rPr>
          </w:pPr>
          <w:hyperlink w:anchor="_Toc34581002" w:history="1">
            <w:r w:rsidR="008E16DB" w:rsidRPr="0008285D">
              <w:rPr>
                <w:rStyle w:val="Hyperlink"/>
                <w:rFonts w:ascii="Arial" w:hAnsi="Arial" w:cs="Arial"/>
                <w:noProof/>
              </w:rPr>
              <w:t>Table S1.  Clinical characteristics at enrollment and unadjusted bivariable analysis of patients who did not acquire versus who acquired an ARO.</w:t>
            </w:r>
            <w:r w:rsidR="008E16DB">
              <w:rPr>
                <w:noProof/>
                <w:webHidden/>
              </w:rPr>
              <w:tab/>
            </w:r>
            <w:r w:rsidR="008E16DB">
              <w:rPr>
                <w:noProof/>
                <w:webHidden/>
              </w:rPr>
              <w:fldChar w:fldCharType="begin"/>
            </w:r>
            <w:r w:rsidR="008E16DB">
              <w:rPr>
                <w:noProof/>
                <w:webHidden/>
              </w:rPr>
              <w:instrText xml:space="preserve"> PAGEREF _Toc34581002 \h </w:instrText>
            </w:r>
            <w:r w:rsidR="008E16DB">
              <w:rPr>
                <w:noProof/>
                <w:webHidden/>
              </w:rPr>
            </w:r>
            <w:r w:rsidR="008E16DB">
              <w:rPr>
                <w:noProof/>
                <w:webHidden/>
              </w:rPr>
              <w:fldChar w:fldCharType="separate"/>
            </w:r>
            <w:r w:rsidR="008E16DB">
              <w:rPr>
                <w:noProof/>
                <w:webHidden/>
              </w:rPr>
              <w:t>5</w:t>
            </w:r>
            <w:r w:rsidR="008E16DB">
              <w:rPr>
                <w:noProof/>
                <w:webHidden/>
              </w:rPr>
              <w:fldChar w:fldCharType="end"/>
            </w:r>
          </w:hyperlink>
        </w:p>
        <w:p w14:paraId="21CE88D6" w14:textId="77777777" w:rsidR="008E16DB" w:rsidRDefault="003908B9" w:rsidP="008E16DB">
          <w:pPr>
            <w:pStyle w:val="TOC1"/>
            <w:tabs>
              <w:tab w:val="right" w:leader="dot" w:pos="9350"/>
            </w:tabs>
            <w:rPr>
              <w:b w:val="0"/>
              <w:bCs w:val="0"/>
              <w:i w:val="0"/>
              <w:iCs w:val="0"/>
              <w:noProof/>
            </w:rPr>
          </w:pPr>
          <w:hyperlink w:anchor="_Toc34581003" w:history="1">
            <w:r w:rsidR="008E16DB" w:rsidRPr="0008285D">
              <w:rPr>
                <w:rStyle w:val="Hyperlink"/>
                <w:rFonts w:ascii="Arial" w:hAnsi="Arial" w:cs="Arial"/>
                <w:noProof/>
                <w:lang w:val="en-CA"/>
              </w:rPr>
              <w:t>REFERENCES</w:t>
            </w:r>
            <w:r w:rsidR="008E16DB">
              <w:rPr>
                <w:noProof/>
                <w:webHidden/>
              </w:rPr>
              <w:tab/>
            </w:r>
            <w:r w:rsidR="008E16DB">
              <w:rPr>
                <w:noProof/>
                <w:webHidden/>
              </w:rPr>
              <w:fldChar w:fldCharType="begin"/>
            </w:r>
            <w:r w:rsidR="008E16DB">
              <w:rPr>
                <w:noProof/>
                <w:webHidden/>
              </w:rPr>
              <w:instrText xml:space="preserve"> PAGEREF _Toc34581003 \h </w:instrText>
            </w:r>
            <w:r w:rsidR="008E16DB">
              <w:rPr>
                <w:noProof/>
                <w:webHidden/>
              </w:rPr>
            </w:r>
            <w:r w:rsidR="008E16DB">
              <w:rPr>
                <w:noProof/>
                <w:webHidden/>
              </w:rPr>
              <w:fldChar w:fldCharType="separate"/>
            </w:r>
            <w:r w:rsidR="008E16DB">
              <w:rPr>
                <w:noProof/>
                <w:webHidden/>
              </w:rPr>
              <w:t>7</w:t>
            </w:r>
            <w:r w:rsidR="008E16DB">
              <w:rPr>
                <w:noProof/>
                <w:webHidden/>
              </w:rPr>
              <w:fldChar w:fldCharType="end"/>
            </w:r>
          </w:hyperlink>
        </w:p>
        <w:p w14:paraId="0B644D24" w14:textId="77777777" w:rsidR="008E16DB" w:rsidRDefault="008E16DB" w:rsidP="008E16DB">
          <w:pPr>
            <w:jc w:val="both"/>
            <w:rPr>
              <w:b/>
              <w:bCs/>
              <w:noProof/>
            </w:rPr>
          </w:pPr>
          <w:r>
            <w:rPr>
              <w:b/>
              <w:bCs/>
              <w:noProof/>
            </w:rPr>
            <w:fldChar w:fldCharType="end"/>
          </w:r>
        </w:p>
      </w:sdtContent>
    </w:sdt>
    <w:p w14:paraId="21F017ED" w14:textId="77777777" w:rsidR="008E16DB" w:rsidRDefault="008E16DB" w:rsidP="008E16DB">
      <w:pPr>
        <w:rPr>
          <w:b/>
          <w:bCs/>
          <w:noProof/>
        </w:rPr>
      </w:pPr>
      <w:r>
        <w:rPr>
          <w:b/>
          <w:bCs/>
          <w:noProof/>
        </w:rPr>
        <w:br w:type="page"/>
      </w:r>
    </w:p>
    <w:p w14:paraId="12D29B45" w14:textId="77777777" w:rsidR="008E16DB" w:rsidRDefault="008E16DB" w:rsidP="008E16DB">
      <w:pPr>
        <w:pStyle w:val="Heading1"/>
        <w:jc w:val="both"/>
        <w:rPr>
          <w:rFonts w:ascii="Arial" w:hAnsi="Arial" w:cs="Arial"/>
          <w:b/>
          <w:bCs/>
          <w:color w:val="auto"/>
          <w:sz w:val="24"/>
          <w:szCs w:val="24"/>
          <w:lang w:val="en-CA"/>
        </w:rPr>
      </w:pPr>
      <w:bookmarkStart w:id="0" w:name="_Toc34580996"/>
      <w:r w:rsidRPr="00AA76D3">
        <w:rPr>
          <w:rFonts w:ascii="Arial" w:hAnsi="Arial" w:cs="Arial"/>
          <w:b/>
          <w:bCs/>
          <w:color w:val="auto"/>
          <w:sz w:val="24"/>
          <w:szCs w:val="24"/>
          <w:lang w:val="en-CA"/>
        </w:rPr>
        <w:lastRenderedPageBreak/>
        <w:t>Supplementary Methods</w:t>
      </w:r>
      <w:bookmarkEnd w:id="0"/>
    </w:p>
    <w:p w14:paraId="349B5413" w14:textId="77777777" w:rsidR="008E16DB" w:rsidRDefault="008E16DB" w:rsidP="008E16DB">
      <w:pPr>
        <w:jc w:val="both"/>
        <w:rPr>
          <w:lang w:val="en-CA"/>
        </w:rPr>
      </w:pPr>
    </w:p>
    <w:p w14:paraId="45F5249C" w14:textId="77777777" w:rsidR="008E16DB" w:rsidRPr="00715774" w:rsidRDefault="008E16DB" w:rsidP="008E16DB">
      <w:pPr>
        <w:pStyle w:val="Heading2"/>
        <w:rPr>
          <w:rFonts w:ascii="Arial" w:hAnsi="Arial" w:cs="Arial"/>
          <w:b/>
          <w:bCs/>
          <w:color w:val="auto"/>
          <w:sz w:val="24"/>
          <w:szCs w:val="24"/>
          <w:lang w:val="en-CA"/>
        </w:rPr>
      </w:pPr>
      <w:bookmarkStart w:id="1" w:name="_Toc34580997"/>
      <w:r w:rsidRPr="00715774">
        <w:rPr>
          <w:rFonts w:ascii="Arial" w:hAnsi="Arial" w:cs="Arial"/>
          <w:b/>
          <w:bCs/>
          <w:color w:val="auto"/>
          <w:sz w:val="24"/>
          <w:szCs w:val="24"/>
          <w:lang w:val="en-CA"/>
        </w:rPr>
        <w:t>16S rRNA Gene Sequencing and Analysis</w:t>
      </w:r>
      <w:bookmarkEnd w:id="1"/>
      <w:r w:rsidRPr="00715774">
        <w:rPr>
          <w:rFonts w:ascii="Arial" w:hAnsi="Arial" w:cs="Arial"/>
          <w:b/>
          <w:bCs/>
          <w:color w:val="auto"/>
          <w:sz w:val="24"/>
          <w:szCs w:val="24"/>
          <w:lang w:val="en-CA"/>
        </w:rPr>
        <w:t xml:space="preserve"> </w:t>
      </w:r>
    </w:p>
    <w:p w14:paraId="688A47FD" w14:textId="77777777" w:rsidR="008E16DB" w:rsidRDefault="008E16DB" w:rsidP="008E16DB">
      <w:pPr>
        <w:jc w:val="both"/>
        <w:rPr>
          <w:rFonts w:ascii="Arial" w:hAnsi="Arial" w:cs="Arial"/>
          <w:color w:val="000000" w:themeColor="text1"/>
          <w:lang w:val="en-CA"/>
        </w:rPr>
      </w:pPr>
      <w:r>
        <w:rPr>
          <w:rFonts w:ascii="Arial" w:hAnsi="Arial" w:cs="Arial"/>
          <w:color w:val="000000" w:themeColor="text1"/>
          <w:lang w:val="en-CA"/>
        </w:rPr>
        <w:t>Perirectal specimens were resuspended in 1mL of l</w:t>
      </w:r>
      <w:r w:rsidRPr="0045652E">
        <w:rPr>
          <w:rFonts w:ascii="Arial" w:hAnsi="Arial" w:cs="Arial"/>
          <w:color w:val="000000" w:themeColor="text1"/>
          <w:lang w:val="en-CA"/>
        </w:rPr>
        <w:t>iquid Amies Elutio</w:t>
      </w:r>
      <w:r>
        <w:rPr>
          <w:rFonts w:ascii="Arial" w:hAnsi="Arial" w:cs="Arial"/>
          <w:color w:val="000000" w:themeColor="text1"/>
          <w:lang w:val="en-CA"/>
        </w:rPr>
        <w:t>n medium and stored at -80</w:t>
      </w:r>
      <w:r w:rsidRPr="00343FA4">
        <w:rPr>
          <w:rFonts w:ascii="Arial" w:hAnsi="Arial" w:cs="Arial"/>
          <w:color w:val="000000" w:themeColor="text1"/>
          <w:vertAlign w:val="superscript"/>
          <w:lang w:val="en-CA"/>
        </w:rPr>
        <w:t>o</w:t>
      </w:r>
      <w:r>
        <w:rPr>
          <w:rFonts w:ascii="Arial" w:hAnsi="Arial" w:cs="Arial"/>
          <w:color w:val="000000" w:themeColor="text1"/>
          <w:lang w:val="en-CA"/>
        </w:rPr>
        <w:t xml:space="preserve">C until ready. Total DNA was extracted from 250 uL of sample using the PowerMag Soil DNA Isolation Kit on the EpMotion 5075 liquid handling station. Bacterial 16S rRNA genes were PCR-amplified and sequenced on a MiSeq by the University of Michigan Microbial Systems Molecular Biology Laboratory as described </w:t>
      </w:r>
      <w:r>
        <w:rPr>
          <w:rFonts w:ascii="Arial" w:hAnsi="Arial" w:cs="Arial"/>
          <w:color w:val="000000" w:themeColor="text1"/>
          <w:lang w:val="en-CA"/>
        </w:rPr>
        <w:fldChar w:fldCharType="begin"/>
      </w:r>
      <w:r>
        <w:rPr>
          <w:rFonts w:ascii="Arial" w:hAnsi="Arial" w:cs="Arial"/>
          <w:color w:val="000000" w:themeColor="text1"/>
          <w:lang w:val="en-CA"/>
        </w:rPr>
        <w:instrText xml:space="preserve"> ADDIN ZOTERO_ITEM CSL_CITATION {"citationID":"p0uFaSSe","properties":{"formattedCitation":"[1]","plainCitation":"[1]","noteIndex":0},"citationItems":[{"id":2674,"uris":["http://zotero.org/groups/349695/items/HRHP44IX"],"uri":["http://zotero.org/groups/349695/items/HRHP44IX"],"itemData":{"id":2674,"type":"article-journal","abstract":"AbstractBackground.  Identification of gut microbiota features associated with antibiotic-resistant bacterial colonization may reveal new infection prevention t","container-title":"Open Forum Infectious Diseases","DOI":"10.1093/ofid/ofy190","issue":"8","journalAbbreviation":"Open Forum Infect Dis","language":"en","source":"academic-oup-com.proxy.lib.umich.edu","title":"Gut Microbiota and Clinical Features Distinguish Colonization With Klebsiella pneumoniae Carbapenemase-Producing Klebsiella pneumoniae at the Time of Admission to a Long-term Acute Care Hospital","URL":"http://academic.oup.com/ofid/article/5/8/ofy190/5062196","volume":"5","author":[{"family":"Seekatz","given":"Anna M."},{"family":"Bassis","given":"Christine M."},{"family":"Fogg","given":"Louis"},{"family":"Moore","given":"Nicholas M."},{"family":"Rhee","given":"Yoona"},{"family":"Lolans","given":"Karen"},{"family":"Weinstein","given":"Robert A."},{"family":"Lin","given":"Michael Y."},{"family":"Young","given":"Vincent B."},{"family":"Hayden","given":"Mary K."}],"accessed":{"date-parts":[["2018",8,31]]},"issued":{"date-parts":[["2018",8,1]]}}}],"schema":"https://github.com/citation-style-language/schema/raw/master/csl-citation.json"} </w:instrText>
      </w:r>
      <w:r>
        <w:rPr>
          <w:rFonts w:ascii="Arial" w:hAnsi="Arial" w:cs="Arial"/>
          <w:color w:val="000000" w:themeColor="text1"/>
          <w:lang w:val="en-CA"/>
        </w:rPr>
        <w:fldChar w:fldCharType="separate"/>
      </w:r>
      <w:r>
        <w:rPr>
          <w:rFonts w:ascii="Arial" w:hAnsi="Arial" w:cs="Arial"/>
          <w:noProof/>
          <w:color w:val="000000" w:themeColor="text1"/>
          <w:lang w:val="en-CA"/>
        </w:rPr>
        <w:t>[1]</w:t>
      </w:r>
      <w:r>
        <w:rPr>
          <w:rFonts w:ascii="Arial" w:hAnsi="Arial" w:cs="Arial"/>
          <w:color w:val="000000" w:themeColor="text1"/>
          <w:lang w:val="en-CA"/>
        </w:rPr>
        <w:fldChar w:fldCharType="end"/>
      </w:r>
      <w:r>
        <w:rPr>
          <w:rFonts w:ascii="Arial" w:hAnsi="Arial" w:cs="Arial"/>
          <w:color w:val="000000" w:themeColor="text1"/>
          <w:lang w:val="en-CA"/>
        </w:rPr>
        <w:t xml:space="preserve">. </w:t>
      </w:r>
    </w:p>
    <w:p w14:paraId="1BF8B484" w14:textId="77777777" w:rsidR="008E16DB" w:rsidRPr="0004082C" w:rsidRDefault="008E16DB" w:rsidP="008E16DB">
      <w:pPr>
        <w:jc w:val="both"/>
        <w:rPr>
          <w:rFonts w:ascii="Arial" w:hAnsi="Arial" w:cs="Arial"/>
          <w:color w:val="000000" w:themeColor="text1"/>
          <w:lang w:val="en-CA"/>
        </w:rPr>
      </w:pPr>
    </w:p>
    <w:p w14:paraId="2F31EC3E" w14:textId="77777777" w:rsidR="008E16DB" w:rsidRDefault="008E16DB" w:rsidP="008E16DB">
      <w:pPr>
        <w:jc w:val="both"/>
        <w:rPr>
          <w:rFonts w:ascii="Arial" w:hAnsi="Arial" w:cs="Arial"/>
          <w:color w:val="000000" w:themeColor="text1"/>
          <w:lang w:val="en-CA"/>
        </w:rPr>
      </w:pPr>
      <w:r>
        <w:rPr>
          <w:rFonts w:ascii="Arial" w:hAnsi="Arial" w:cs="Arial"/>
          <w:color w:val="000000" w:themeColor="text1"/>
          <w:lang w:val="en-CA"/>
        </w:rPr>
        <w:t xml:space="preserve">Sequences were processed following instruction provided on the </w:t>
      </w:r>
      <w:r>
        <w:rPr>
          <w:rFonts w:ascii="Arial" w:hAnsi="Arial" w:cs="Arial"/>
          <w:i/>
          <w:iCs/>
          <w:color w:val="000000" w:themeColor="text1"/>
          <w:lang w:val="en-CA"/>
        </w:rPr>
        <w:t xml:space="preserve">mothur </w:t>
      </w:r>
      <w:r>
        <w:rPr>
          <w:rFonts w:ascii="Arial" w:hAnsi="Arial" w:cs="Arial"/>
          <w:color w:val="000000" w:themeColor="text1"/>
          <w:lang w:val="en-CA"/>
        </w:rPr>
        <w:t>tutorial website (</w:t>
      </w:r>
      <w:r w:rsidRPr="00952F1D">
        <w:rPr>
          <w:rFonts w:ascii="Arial" w:hAnsi="Arial" w:cs="Arial"/>
          <w:color w:val="000000" w:themeColor="text1"/>
          <w:lang w:val="en-CA"/>
        </w:rPr>
        <w:t>https://www.mothur.org/wiki/MiSeq_SOP</w:t>
      </w:r>
      <w:r>
        <w:rPr>
          <w:rFonts w:ascii="Arial" w:hAnsi="Arial" w:cs="Arial"/>
          <w:color w:val="000000" w:themeColor="text1"/>
          <w:lang w:val="en-CA"/>
        </w:rPr>
        <w:t xml:space="preserve">). Briefly, sequences were aligned to the recreated SILVA SEED reference database (release v. 132) and trimmed to the same start and end positions </w:t>
      </w:r>
      <w:r>
        <w:rPr>
          <w:rFonts w:ascii="Arial" w:hAnsi="Arial" w:cs="Arial"/>
          <w:color w:val="000000" w:themeColor="text1"/>
          <w:lang w:val="en-CA"/>
        </w:rPr>
        <w:fldChar w:fldCharType="begin"/>
      </w:r>
      <w:r>
        <w:rPr>
          <w:rFonts w:ascii="Arial" w:hAnsi="Arial" w:cs="Arial"/>
          <w:color w:val="000000" w:themeColor="text1"/>
          <w:lang w:val="en-CA"/>
        </w:rPr>
        <w:instrText xml:space="preserve"> ADDIN ZOTERO_ITEM CSL_CITATION {"citationID":"cfhGddlk","properties":{"formattedCitation":"[2]","plainCitation":"[2]","noteIndex":0},"citationItems":[{"id":4072,"uris":["http://zotero.org/groups/349695/items/HJ9Z3GYC"],"uri":["http://zotero.org/groups/349695/items/HJ9Z3GYC"],"itemData":{"id":4072,"type":"article-journal","abstract":"Sequencing ribosomal RNA (rRNA) genes is currently the method of choice for phylogenetic reconstruction, nucleic acid based detection and quantification of microbial diversity. The ARB software suite with its corresponding rRNA datasets has been accepted by researchers worldwide as a standard tool for large scale rRNA analysis. However, the rapid increase of publicly available rRNA sequence data has recently hampered the maintenance of comprehensive and curated rRNA knowledge databases. A new system, SILVA (from Latin silva, forest), was implemented to provide a central comprehensive web resource for up to date, quality controlled databases of aligned rRNA sequences from the Bacteria, Archaea and Eukarya domains. All sequences are checked for anomalies, carry a rich set of sequence associated contextual information, have multiple taxonomic classifications, and the latest validly described nomenclature. Furthermore, two precompiled sequence datasets compatible with ARB are offered for download on the SILVA website: (i) the reference (Ref) datasets, comprising only high quality, nearly full length sequences suitable for in-depth phylogenetic analysis and probe design and (ii) the comprehensive Parc datasets with all publicly available rRNA sequences longer than 300 nucleotides suitable for biodiversity analyses. The latest publicly available database release 91 (August 2007) hosts 547 521 sequences split into 461 823 small subunit and 85 689 large subunit rRNAs.","container-title":"Nucleic Acids Research","DOI":"10.1093/nar/gkm864","ISSN":"0305-1048","issue":"21","journalAbbreviation":"Nucleic Acids Res","note":"PMID: 17947321\nPMCID: PMC2175337","page":"7188-7196","source":"PubMed Central","title":"SILVA: a comprehensive online resource for quality checked and aligned ribosomal RNA sequence data compatible with ARB","title-short":"SILVA","URL":"https://www.ncbi.nlm.nih.gov/pmc/articles/PMC2175337/","volume":"35","author":[{"family":"Pruesse","given":"Elmar"},{"family":"Quast","given":"Christian"},{"family":"Knittel","given":"Katrin"},{"family":"Fuchs","given":"Bernhard M."},{"family":"Ludwig","given":"Wolfgang"},{"family":"Peplies","given":"Jörg"},{"family":"Glöckner","given":"Frank Oliver"}],"accessed":{"date-parts":[["2020",1,1]]},"issued":{"date-parts":[["2007",12]]}}}],"schema":"https://github.com/citation-style-language/schema/raw/master/csl-citation.json"} </w:instrText>
      </w:r>
      <w:r>
        <w:rPr>
          <w:rFonts w:ascii="Arial" w:hAnsi="Arial" w:cs="Arial"/>
          <w:color w:val="000000" w:themeColor="text1"/>
          <w:lang w:val="en-CA"/>
        </w:rPr>
        <w:fldChar w:fldCharType="separate"/>
      </w:r>
      <w:r>
        <w:rPr>
          <w:rFonts w:ascii="Arial" w:hAnsi="Arial" w:cs="Arial"/>
          <w:noProof/>
          <w:color w:val="000000" w:themeColor="text1"/>
          <w:lang w:val="en-CA"/>
        </w:rPr>
        <w:t>[2]</w:t>
      </w:r>
      <w:r>
        <w:rPr>
          <w:rFonts w:ascii="Arial" w:hAnsi="Arial" w:cs="Arial"/>
          <w:color w:val="000000" w:themeColor="text1"/>
          <w:lang w:val="en-CA"/>
        </w:rPr>
        <w:fldChar w:fldCharType="end"/>
      </w:r>
      <w:r>
        <w:rPr>
          <w:rFonts w:ascii="Arial" w:hAnsi="Arial" w:cs="Arial"/>
          <w:color w:val="000000" w:themeColor="text1"/>
          <w:lang w:val="en-CA"/>
        </w:rPr>
        <w:t xml:space="preserve">. Chimeras were removed using the VSEARCH algorithm </w:t>
      </w:r>
      <w:r>
        <w:rPr>
          <w:rFonts w:ascii="Arial" w:hAnsi="Arial" w:cs="Arial"/>
          <w:color w:val="000000" w:themeColor="text1"/>
          <w:lang w:val="en-CA"/>
        </w:rPr>
        <w:fldChar w:fldCharType="begin"/>
      </w:r>
      <w:r>
        <w:rPr>
          <w:rFonts w:ascii="Arial" w:hAnsi="Arial" w:cs="Arial"/>
          <w:color w:val="000000" w:themeColor="text1"/>
          <w:lang w:val="en-CA"/>
        </w:rPr>
        <w:instrText xml:space="preserve"> ADDIN ZOTERO_ITEM CSL_CITATION {"citationID":"Z1AcbMKV","properties":{"formattedCitation":"[3]","plainCitation":"[3]","noteIndex":0},"citationItems":[{"id":4075,"uris":["http://zotero.org/groups/349695/items/ZIBSDS9C"],"uri":["http://zotero.org/groups/349695/items/ZIBSDS9C"],"itemData":{"id":4075,"type":"article-journal","abstract":"Background\nVSEARCH is an open source and free of charge multithreaded 64-bit tool for processing and preparing metagenomics, genomics and population genomics nucleotide sequence data. It is designed as an alternative to the widely used USEARCH tool () for which the source code is not publicly available, algorithm details are only rudimentarily described, and only a memory-confined 32-bit version is freely available for academic use.\n\nMethods\nWhen searching nucleotide sequences, VSEARCH uses a fast heuristic based on words shared by the query and target sequences in order to quickly identify similar sequences, a similar strategy is probably used in USEARCH. VSEARCH then performs optimal global sequence alignment of the query against potential target sequences, using full dynamic programming instead of the seed-and-extend heuristic used by USEARCH. Pairwise alignments are computed in parallel using vectorisation and multiple threads.\n\nResults\nVSEARCH includes most commands for analysing nucleotide sequences available in USEARCH version 7 and several of those available in USEARCH version 8, including searching (exact or based on global alignment), clustering by similarity (using length pre-sorting, abundance pre-sorting or a user-defined order), chimera detection (reference-based or de novo), dereplication (full length or prefix), pairwise alignment, reverse complementation, sorting, and subsampling. VSEARCH also includes commands for FASTQ file processing, i.e., format detection, filtering, read quality statistics, and merging of paired reads. Furthermore, VSEARCH extends functionality with several new commands and improvements, including shuffling, rereplication, masking of low-complexity sequences with the well-known DUST algorithm, a choice among different similarity definitions, and FASTQ file format conversion. VSEARCH is here shown to be more accurate than USEARCH when performing searching, clustering, chimera detection and subsampling, while on a par with USEARCH for paired-ends read merging. VSEARCH is slower than USEARCH when performing clustering and chimera detection, but significantly faster when performing paired-end reads merging and dereplication. VSEARCH is available at https://github.com/torognes/vsearch under either the BSD 2-clause license or the GNU General Public License version 3.0.\n\nDiscussion\nVSEARCH has been shown to be a fast, accurate and full-fledged alternative to USEARCH. A free and open-source versatile tool for sequence analysis is now available to the metagenomics community.","container-title":"PeerJ","DOI":"10.7717/peerj.2584","ISSN":"2167-8359","journalAbbreviation":"PeerJ","note":"PMID: 27781170\nPMCID: PMC5075697","source":"PubMed Central","title":"VSEARCH: a versatile open source tool for metagenomics","title-short":"VSEARCH","URL":"https://www.ncbi.nlm.nih.gov/pmc/articles/PMC5075697/","volume":"4","author":[{"family":"Rognes","given":"Torbjørn"},{"family":"Flouri","given":"Tomáš"},{"family":"Nichols","given":"Ben"},{"family":"Quince","given":"Christopher"},{"family":"Mahé","given":"Frédéric"}],"accessed":{"date-parts":[["2020",1,1]]},"issued":{"date-parts":[["2016",10,18]]}}}],"schema":"https://github.com/citation-style-language/schema/raw/master/csl-citation.json"} </w:instrText>
      </w:r>
      <w:r>
        <w:rPr>
          <w:rFonts w:ascii="Arial" w:hAnsi="Arial" w:cs="Arial"/>
          <w:color w:val="000000" w:themeColor="text1"/>
          <w:lang w:val="en-CA"/>
        </w:rPr>
        <w:fldChar w:fldCharType="separate"/>
      </w:r>
      <w:r>
        <w:rPr>
          <w:rFonts w:ascii="Arial" w:hAnsi="Arial" w:cs="Arial"/>
          <w:noProof/>
          <w:color w:val="000000" w:themeColor="text1"/>
          <w:lang w:val="en-CA"/>
        </w:rPr>
        <w:t>[3]</w:t>
      </w:r>
      <w:r>
        <w:rPr>
          <w:rFonts w:ascii="Arial" w:hAnsi="Arial" w:cs="Arial"/>
          <w:color w:val="000000" w:themeColor="text1"/>
          <w:lang w:val="en-CA"/>
        </w:rPr>
        <w:fldChar w:fldCharType="end"/>
      </w:r>
      <w:r>
        <w:rPr>
          <w:rFonts w:ascii="Arial" w:hAnsi="Arial" w:cs="Arial"/>
          <w:color w:val="000000" w:themeColor="text1"/>
          <w:lang w:val="en-CA"/>
        </w:rPr>
        <w:t xml:space="preserve">. Samples with fewer than 1000 reads, or did not classify as bacteria against the Ribosomal Database Project (RDP) 16S rRNA gene training set (version 16) </w:t>
      </w:r>
      <w:r>
        <w:rPr>
          <w:rFonts w:ascii="Arial" w:hAnsi="Arial" w:cs="Arial"/>
          <w:color w:val="000000" w:themeColor="text1"/>
          <w:lang w:val="en-CA"/>
        </w:rPr>
        <w:fldChar w:fldCharType="begin"/>
      </w:r>
      <w:r>
        <w:rPr>
          <w:rFonts w:ascii="Arial" w:hAnsi="Arial" w:cs="Arial"/>
          <w:color w:val="000000" w:themeColor="text1"/>
          <w:lang w:val="en-CA"/>
        </w:rPr>
        <w:instrText xml:space="preserve"> ADDIN ZOTERO_ITEM CSL_CITATION {"citationID":"OHHIGYCX","properties":{"formattedCitation":"[4]","plainCitation":"[4]","noteIndex":0},"citationItems":[{"id":4078,"uris":["http://zotero.org/groups/349695/items/9HQYKVH2"],"uri":["http://zotero.org/groups/349695/items/9HQYKVH2"],"itemData":{"id":4078,"type":"article-journal","abstract":"Abstract.  Ribosomal Database Project (RDP; http://rdp.cme.msu.edu/) provides the research community with aligned and annotated rRNA gene sequence data, along w","container-title":"Nucleic Acids Research","DOI":"10.1093/nar/gkt1244","ISSN":"0305-1048","issue":"D1","journalAbbreviation":"Nucleic Acids Res","language":"en","page":"D633-D642","source":"academic.oup.com","title":"Ribosomal Database Project: data and tools for high throughput rRNA analysis","title-short":"Ribosomal Database Project","URL":"https://academic.oup.com/nar/article/42/D1/D633/1063201","volume":"42","author":[{"family":"Cole","given":"James R."},{"family":"Wang","given":"Qiong"},{"family":"Fish","given":"Jordan A."},{"family":"Chai","given":"Benli"},{"family":"McGarrell","given":"Donna M."},{"family":"Sun","given":"Yanni"},{"family":"Brown","given":"C. Titus"},{"family":"Porras-Alfaro","given":"Andrea"},{"family":"Kuske","given":"Cheryl R."},{"family":"Tiedje","given":"James M."}],"accessed":{"date-parts":[["2020",1,1]]},"issued":{"date-parts":[["2014",1,1]]}}}],"schema":"https://github.com/citation-style-language/schema/raw/master/csl-citation.json"} </w:instrText>
      </w:r>
      <w:r>
        <w:rPr>
          <w:rFonts w:ascii="Arial" w:hAnsi="Arial" w:cs="Arial"/>
          <w:color w:val="000000" w:themeColor="text1"/>
          <w:lang w:val="en-CA"/>
        </w:rPr>
        <w:fldChar w:fldCharType="separate"/>
      </w:r>
      <w:r>
        <w:rPr>
          <w:rFonts w:ascii="Arial" w:hAnsi="Arial" w:cs="Arial"/>
          <w:noProof/>
          <w:color w:val="000000" w:themeColor="text1"/>
          <w:lang w:val="en-CA"/>
        </w:rPr>
        <w:t>[4]</w:t>
      </w:r>
      <w:r>
        <w:rPr>
          <w:rFonts w:ascii="Arial" w:hAnsi="Arial" w:cs="Arial"/>
          <w:color w:val="000000" w:themeColor="text1"/>
          <w:lang w:val="en-CA"/>
        </w:rPr>
        <w:fldChar w:fldCharType="end"/>
      </w:r>
      <w:r>
        <w:rPr>
          <w:rFonts w:ascii="Arial" w:hAnsi="Arial" w:cs="Arial"/>
          <w:color w:val="000000" w:themeColor="text1"/>
          <w:lang w:val="en-CA"/>
        </w:rPr>
        <w:t xml:space="preserve"> were excluded from subsequent analyses. For samples included in the final analysis (N=61), sequences were clustered into operational taxonomic units (OTUs) based on 97% sequence similarity.</w:t>
      </w:r>
    </w:p>
    <w:p w14:paraId="2940DA85" w14:textId="77777777" w:rsidR="008E16DB" w:rsidRPr="00876CC3" w:rsidRDefault="008E16DB" w:rsidP="008E16DB">
      <w:pPr>
        <w:jc w:val="both"/>
        <w:rPr>
          <w:rFonts w:ascii="Arial" w:hAnsi="Arial" w:cs="Arial"/>
          <w:b/>
          <w:bCs/>
          <w:color w:val="000000" w:themeColor="text1"/>
          <w:lang w:val="en-CA"/>
        </w:rPr>
      </w:pPr>
    </w:p>
    <w:p w14:paraId="380BEB8C" w14:textId="77777777" w:rsidR="008E16DB" w:rsidRPr="00A61457" w:rsidRDefault="008E16DB" w:rsidP="008E16DB">
      <w:pPr>
        <w:pStyle w:val="Heading2"/>
        <w:rPr>
          <w:rFonts w:ascii="Arial" w:hAnsi="Arial" w:cs="Arial"/>
          <w:b/>
          <w:bCs/>
          <w:color w:val="auto"/>
          <w:sz w:val="24"/>
          <w:szCs w:val="24"/>
          <w:lang w:val="en-CA"/>
        </w:rPr>
      </w:pPr>
      <w:bookmarkStart w:id="2" w:name="_Toc34580998"/>
      <w:r w:rsidRPr="00A61457">
        <w:rPr>
          <w:rFonts w:ascii="Arial" w:hAnsi="Arial" w:cs="Arial"/>
          <w:b/>
          <w:bCs/>
          <w:color w:val="auto"/>
          <w:sz w:val="24"/>
          <w:szCs w:val="24"/>
          <w:lang w:val="en-CA"/>
        </w:rPr>
        <w:t>Identification of Anaerobes and Butyrate-Producers</w:t>
      </w:r>
      <w:bookmarkEnd w:id="2"/>
    </w:p>
    <w:p w14:paraId="3C581B6C" w14:textId="77777777" w:rsidR="008E16DB" w:rsidRDefault="008E16DB" w:rsidP="008E16DB">
      <w:pPr>
        <w:jc w:val="both"/>
        <w:rPr>
          <w:rFonts w:ascii="Arial" w:hAnsi="Arial" w:cs="Arial"/>
          <w:b/>
          <w:bCs/>
          <w:lang w:val="en-CA"/>
        </w:rPr>
      </w:pPr>
    </w:p>
    <w:p w14:paraId="1B20D59A" w14:textId="77777777" w:rsidR="008E16DB" w:rsidRPr="009B600C" w:rsidRDefault="008E16DB" w:rsidP="008E16DB">
      <w:pPr>
        <w:jc w:val="both"/>
        <w:rPr>
          <w:rFonts w:ascii="Arial" w:hAnsi="Arial" w:cs="Arial"/>
          <w:lang w:val="en-CA"/>
        </w:rPr>
      </w:pPr>
      <w:r>
        <w:rPr>
          <w:rFonts w:ascii="Arial" w:hAnsi="Arial" w:cs="Arial"/>
          <w:lang w:val="en-CA"/>
        </w:rPr>
        <w:t xml:space="preserve">A list of anaerobes at the genus level was manually curated from literature: </w:t>
      </w:r>
      <w:r>
        <w:rPr>
          <w:rFonts w:ascii="Arial" w:hAnsi="Arial" w:cs="Arial"/>
          <w:i/>
          <w:iCs/>
          <w:lang w:val="en-CA"/>
        </w:rPr>
        <w:t>Clostridium</w:t>
      </w:r>
      <w:r>
        <w:rPr>
          <w:rFonts w:ascii="Arial" w:hAnsi="Arial" w:cs="Arial"/>
          <w:lang w:val="en-CA"/>
        </w:rPr>
        <w:t xml:space="preserve">, </w:t>
      </w:r>
      <w:r>
        <w:rPr>
          <w:rFonts w:ascii="Arial" w:hAnsi="Arial" w:cs="Arial"/>
          <w:i/>
          <w:iCs/>
          <w:lang w:val="en-CA"/>
        </w:rPr>
        <w:t>Bifidobacterium</w:t>
      </w:r>
      <w:r>
        <w:rPr>
          <w:rFonts w:ascii="Arial" w:hAnsi="Arial" w:cs="Arial"/>
          <w:lang w:val="en-CA"/>
        </w:rPr>
        <w:t xml:space="preserve">, </w:t>
      </w:r>
      <w:r>
        <w:rPr>
          <w:rFonts w:ascii="Arial" w:hAnsi="Arial" w:cs="Arial"/>
          <w:i/>
          <w:iCs/>
          <w:lang w:val="en-CA"/>
        </w:rPr>
        <w:t>Eubacterium</w:t>
      </w:r>
      <w:r>
        <w:rPr>
          <w:rFonts w:ascii="Arial" w:hAnsi="Arial" w:cs="Arial"/>
          <w:lang w:val="en-CA"/>
        </w:rPr>
        <w:t xml:space="preserve">, </w:t>
      </w:r>
      <w:r>
        <w:rPr>
          <w:rFonts w:ascii="Arial" w:hAnsi="Arial" w:cs="Arial"/>
          <w:i/>
          <w:iCs/>
          <w:lang w:val="en-CA"/>
        </w:rPr>
        <w:t>Lactobacillus</w:t>
      </w:r>
      <w:r>
        <w:rPr>
          <w:rFonts w:ascii="Arial" w:hAnsi="Arial" w:cs="Arial"/>
          <w:lang w:val="en-CA"/>
        </w:rPr>
        <w:t xml:space="preserve">, </w:t>
      </w:r>
      <w:r>
        <w:rPr>
          <w:rFonts w:ascii="Arial" w:hAnsi="Arial" w:cs="Arial"/>
          <w:i/>
          <w:iCs/>
          <w:lang w:val="en-CA"/>
        </w:rPr>
        <w:t>Anaerococcus</w:t>
      </w:r>
      <w:r>
        <w:rPr>
          <w:rFonts w:ascii="Arial" w:hAnsi="Arial" w:cs="Arial"/>
          <w:lang w:val="en-CA"/>
        </w:rPr>
        <w:t xml:space="preserve">, </w:t>
      </w:r>
      <w:r>
        <w:rPr>
          <w:rFonts w:ascii="Arial" w:hAnsi="Arial" w:cs="Arial"/>
          <w:i/>
          <w:iCs/>
          <w:lang w:val="en-CA"/>
        </w:rPr>
        <w:t>Finegoldia</w:t>
      </w:r>
      <w:r>
        <w:rPr>
          <w:rFonts w:ascii="Arial" w:hAnsi="Arial" w:cs="Arial"/>
          <w:lang w:val="en-CA"/>
        </w:rPr>
        <w:t xml:space="preserve">, </w:t>
      </w:r>
      <w:r>
        <w:rPr>
          <w:rFonts w:ascii="Arial" w:hAnsi="Arial" w:cs="Arial"/>
          <w:i/>
          <w:iCs/>
          <w:lang w:val="en-CA"/>
        </w:rPr>
        <w:t>Peptoniphilus</w:t>
      </w:r>
      <w:r>
        <w:rPr>
          <w:rFonts w:ascii="Arial" w:hAnsi="Arial" w:cs="Arial"/>
          <w:lang w:val="en-CA"/>
        </w:rPr>
        <w:t xml:space="preserve">, </w:t>
      </w:r>
      <w:r>
        <w:rPr>
          <w:rFonts w:ascii="Arial" w:hAnsi="Arial" w:cs="Arial"/>
          <w:i/>
          <w:iCs/>
          <w:lang w:val="en-CA"/>
        </w:rPr>
        <w:t>Porphyromonas</w:t>
      </w:r>
      <w:r>
        <w:rPr>
          <w:rFonts w:ascii="Arial" w:hAnsi="Arial" w:cs="Arial"/>
          <w:lang w:val="en-CA"/>
        </w:rPr>
        <w:t xml:space="preserve">, </w:t>
      </w:r>
      <w:r>
        <w:rPr>
          <w:rFonts w:ascii="Arial" w:hAnsi="Arial" w:cs="Arial"/>
          <w:i/>
          <w:iCs/>
          <w:lang w:val="en-CA"/>
        </w:rPr>
        <w:t>Prevotella</w:t>
      </w:r>
      <w:r>
        <w:rPr>
          <w:rFonts w:ascii="Arial" w:hAnsi="Arial" w:cs="Arial"/>
          <w:lang w:val="en-CA"/>
        </w:rPr>
        <w:t xml:space="preserve">, </w:t>
      </w:r>
      <w:r>
        <w:rPr>
          <w:rFonts w:ascii="Arial" w:hAnsi="Arial" w:cs="Arial"/>
          <w:i/>
          <w:iCs/>
          <w:lang w:val="en-CA"/>
        </w:rPr>
        <w:t>Bacteroides</w:t>
      </w:r>
      <w:r>
        <w:rPr>
          <w:rFonts w:ascii="Arial" w:hAnsi="Arial" w:cs="Arial"/>
          <w:lang w:val="en-CA"/>
        </w:rPr>
        <w:t xml:space="preserve">, </w:t>
      </w:r>
      <w:r>
        <w:rPr>
          <w:rFonts w:ascii="Arial" w:hAnsi="Arial" w:cs="Arial"/>
          <w:i/>
          <w:iCs/>
          <w:lang w:val="en-CA"/>
        </w:rPr>
        <w:t>Fusobacterium</w:t>
      </w:r>
      <w:r>
        <w:rPr>
          <w:rFonts w:ascii="Arial" w:hAnsi="Arial" w:cs="Arial"/>
          <w:lang w:val="en-CA"/>
        </w:rPr>
        <w:t xml:space="preserve">, </w:t>
      </w:r>
      <w:r>
        <w:rPr>
          <w:rFonts w:ascii="Arial" w:hAnsi="Arial" w:cs="Arial"/>
          <w:i/>
          <w:iCs/>
          <w:lang w:val="en-CA"/>
        </w:rPr>
        <w:t>Peptococcus</w:t>
      </w:r>
      <w:r>
        <w:rPr>
          <w:rFonts w:ascii="Arial" w:hAnsi="Arial" w:cs="Arial"/>
          <w:lang w:val="en-CA"/>
        </w:rPr>
        <w:t xml:space="preserve">, </w:t>
      </w:r>
      <w:r>
        <w:rPr>
          <w:rFonts w:ascii="Arial" w:hAnsi="Arial" w:cs="Arial"/>
          <w:i/>
          <w:iCs/>
          <w:lang w:val="en-CA"/>
        </w:rPr>
        <w:t>Peptostreptococcus</w:t>
      </w:r>
      <w:r>
        <w:rPr>
          <w:rFonts w:ascii="Arial" w:hAnsi="Arial" w:cs="Arial"/>
          <w:lang w:val="en-CA"/>
        </w:rPr>
        <w:t xml:space="preserve">, </w:t>
      </w:r>
      <w:r>
        <w:rPr>
          <w:rFonts w:ascii="Arial" w:hAnsi="Arial" w:cs="Arial"/>
          <w:i/>
          <w:iCs/>
          <w:lang w:val="en-CA"/>
        </w:rPr>
        <w:t>Veillonella</w:t>
      </w:r>
      <w:r>
        <w:rPr>
          <w:rFonts w:ascii="Arial" w:hAnsi="Arial" w:cs="Arial"/>
          <w:lang w:val="en-CA"/>
        </w:rPr>
        <w:t xml:space="preserve">, </w:t>
      </w:r>
      <w:r>
        <w:rPr>
          <w:rFonts w:ascii="Arial" w:hAnsi="Arial" w:cs="Arial"/>
          <w:i/>
          <w:iCs/>
          <w:lang w:val="en-CA"/>
        </w:rPr>
        <w:t>Odoribacter</w:t>
      </w:r>
      <w:r>
        <w:rPr>
          <w:rFonts w:ascii="Arial" w:hAnsi="Arial" w:cs="Arial"/>
          <w:lang w:val="en-CA"/>
        </w:rPr>
        <w:t xml:space="preserve">, </w:t>
      </w:r>
      <w:r>
        <w:rPr>
          <w:rFonts w:ascii="Arial" w:hAnsi="Arial" w:cs="Arial"/>
          <w:i/>
          <w:iCs/>
          <w:lang w:val="en-CA"/>
        </w:rPr>
        <w:t>Parabacteroides</w:t>
      </w:r>
      <w:r>
        <w:rPr>
          <w:rFonts w:ascii="Arial" w:hAnsi="Arial" w:cs="Arial"/>
          <w:lang w:val="en-CA"/>
        </w:rPr>
        <w:t xml:space="preserve">, </w:t>
      </w:r>
      <w:r>
        <w:rPr>
          <w:rFonts w:ascii="Arial" w:hAnsi="Arial" w:cs="Arial"/>
          <w:i/>
          <w:iCs/>
          <w:lang w:val="en-CA"/>
        </w:rPr>
        <w:t>Paraprevotella</w:t>
      </w:r>
      <w:r>
        <w:rPr>
          <w:rFonts w:ascii="Arial" w:hAnsi="Arial" w:cs="Arial"/>
          <w:lang w:val="en-CA"/>
        </w:rPr>
        <w:t xml:space="preserve">, </w:t>
      </w:r>
      <w:r>
        <w:rPr>
          <w:rFonts w:ascii="Arial" w:hAnsi="Arial" w:cs="Arial"/>
          <w:i/>
          <w:iCs/>
          <w:lang w:val="en-CA"/>
        </w:rPr>
        <w:t>Alistipes</w:t>
      </w:r>
      <w:r>
        <w:rPr>
          <w:rFonts w:ascii="Arial" w:hAnsi="Arial" w:cs="Arial"/>
          <w:lang w:val="en-CA"/>
        </w:rPr>
        <w:t xml:space="preserve">, </w:t>
      </w:r>
      <w:r>
        <w:rPr>
          <w:rFonts w:ascii="Arial" w:hAnsi="Arial" w:cs="Arial"/>
          <w:i/>
          <w:iCs/>
          <w:lang w:val="en-CA"/>
        </w:rPr>
        <w:t>Blautia</w:t>
      </w:r>
      <w:r>
        <w:rPr>
          <w:rFonts w:ascii="Arial" w:hAnsi="Arial" w:cs="Arial"/>
          <w:lang w:val="en-CA"/>
        </w:rPr>
        <w:t xml:space="preserve">, </w:t>
      </w:r>
      <w:r>
        <w:rPr>
          <w:rFonts w:ascii="Arial" w:hAnsi="Arial" w:cs="Arial"/>
          <w:i/>
          <w:iCs/>
          <w:lang w:val="en-CA"/>
        </w:rPr>
        <w:t>Collinsella</w:t>
      </w:r>
      <w:r>
        <w:rPr>
          <w:rFonts w:ascii="Arial" w:hAnsi="Arial" w:cs="Arial"/>
          <w:lang w:val="en-CA"/>
        </w:rPr>
        <w:t xml:space="preserve">, </w:t>
      </w:r>
      <w:r>
        <w:rPr>
          <w:rFonts w:ascii="Arial" w:hAnsi="Arial" w:cs="Arial"/>
          <w:i/>
          <w:iCs/>
          <w:lang w:val="en-CA"/>
        </w:rPr>
        <w:t>Ruminococcus</w:t>
      </w:r>
      <w:r>
        <w:rPr>
          <w:rFonts w:ascii="Arial" w:hAnsi="Arial" w:cs="Arial"/>
          <w:lang w:val="en-CA"/>
        </w:rPr>
        <w:t xml:space="preserve">, </w:t>
      </w:r>
      <w:r>
        <w:rPr>
          <w:rFonts w:ascii="Arial" w:hAnsi="Arial" w:cs="Arial"/>
          <w:i/>
          <w:iCs/>
          <w:lang w:val="en-CA"/>
        </w:rPr>
        <w:t>Coprococcus</w:t>
      </w:r>
      <w:r>
        <w:rPr>
          <w:rFonts w:ascii="Arial" w:hAnsi="Arial" w:cs="Arial"/>
          <w:lang w:val="en-CA"/>
        </w:rPr>
        <w:t xml:space="preserve">, </w:t>
      </w:r>
      <w:r>
        <w:rPr>
          <w:rFonts w:ascii="Arial" w:hAnsi="Arial" w:cs="Arial"/>
          <w:i/>
          <w:iCs/>
          <w:lang w:val="en-CA"/>
        </w:rPr>
        <w:t>Sarcina</w:t>
      </w:r>
      <w:r>
        <w:rPr>
          <w:rFonts w:ascii="Arial" w:hAnsi="Arial" w:cs="Arial"/>
          <w:lang w:val="en-CA"/>
        </w:rPr>
        <w:t xml:space="preserve">, </w:t>
      </w:r>
      <w:r w:rsidRPr="00160A83">
        <w:rPr>
          <w:rFonts w:ascii="Arial" w:hAnsi="Arial" w:cs="Arial"/>
          <w:lang w:val="en-CA"/>
        </w:rPr>
        <w:t>and</w:t>
      </w:r>
      <w:r>
        <w:rPr>
          <w:rFonts w:ascii="Arial" w:hAnsi="Arial" w:cs="Arial"/>
          <w:lang w:val="en-CA"/>
        </w:rPr>
        <w:t xml:space="preserve"> </w:t>
      </w:r>
      <w:r>
        <w:rPr>
          <w:rFonts w:ascii="Arial" w:hAnsi="Arial" w:cs="Arial"/>
          <w:i/>
          <w:iCs/>
          <w:lang w:val="en-CA"/>
        </w:rPr>
        <w:t xml:space="preserve">Atopobium </w:t>
      </w:r>
      <w:r>
        <w:rPr>
          <w:rFonts w:ascii="Arial" w:hAnsi="Arial" w:cs="Arial"/>
          <w:i/>
          <w:iCs/>
          <w:lang w:val="en-CA"/>
        </w:rPr>
        <w:fldChar w:fldCharType="begin"/>
      </w:r>
      <w:r>
        <w:rPr>
          <w:rFonts w:ascii="Arial" w:hAnsi="Arial" w:cs="Arial"/>
          <w:i/>
          <w:iCs/>
          <w:lang w:val="en-CA"/>
        </w:rPr>
        <w:instrText xml:space="preserve"> ADDIN ZOTERO_ITEM CSL_CITATION {"citationID":"TVuIYE1k","properties":{"formattedCitation":"[5\\uc0\\u8211{}8]","plainCitation":"[5–8]","noteIndex":0},"citationItems":[{"id":4090,"uris":["http://zotero.org/groups/349695/items/VWJTYFQX"],"uri":["http://zotero.org/groups/349695/items/VWJTYFQX"],"itemData":{"id":4090,"type":"book","abstract":"Includes bibliographical references.","archive":"U-M Catalog Search","call-number":"See URL for access","collection-number":"1 online resource :","edition":"28th edition.","language":"English","number-of-volumes":"1 online resource :","publisher":"New York, NY : McGraw-Hill Education, [2019]","source":"University of Michigan Library","title":"Jawetz, Melnick &amp; Adelberg's medical microbiology","editor":[{"family":"Riedel","given":"Stefan","suffix":""}],"author":[{"family":"Riedel","given":"Stefan","suffix":"editor."},{"family":"Hobden","given":"Jeffrey A.","suffix":"editor."},{"family":"Miller","given":"Steve","suffix":"editor."},{"family":"Morse","given":"Stephen A.","suffix":"editor."},{"family":"Mietzner","given":"Timothy A.","suffix":"editor."},{"family":"Detrick","given":"Barbara","suffix":"editor."},{"family":"Mitchell","given":"Thomas G.","suffix":"editor."},{"family":"Sakanari","given":"Judy A.","suffix":"editor."},{"family":"Hotez","given":"Peter","suffix":"editor."},{"family":"Mejia","given":"Rojelio","suffix":"editor."}],"accessed":{"date-parts":[["2020",1,3]]},"issued":{"date-parts":[["2019"]]}}},{"id":4098,"uris":["http://zotero.org/groups/349695/items/LGH3ZZMY"],"uri":["http://zotero.org/groups/349695/items/LGH3ZZMY"],"itemData":{"id":4098,"type":"article-journal","abstract":"Gram-positive anaerobic cocci (GPAC) are a heterogeneous group of organisms defined by their morphological appearance and their inability to grow in the presence of oxygen; most clinical isolates are identified to species in the genus Peptostreptococcus. GPAC are part of the normal flora of all mucocutaneous surfaces and are often isolated from infections such as deep organ abscesses, obstetric and gynecological sepsis, and intraoral infections. They have been little studied for several reasons, which include an inadequate classification, difficulties with laboratory identification, and the mixed nature of the infections from which they are usually isolated. Nucleic acid studies indicate that the classification is in need of radical revision at the genus level. Several species of Peptostreptococcus have recently been described, but others still await formal recognition. Identification has been based on carbohydrate fermentation tests, but most GPAC are asaccharolytic and use the products of protein degradation for their metabolism; the introduction of commercially available preformed enzyme kits affords a physiologically more appropriate method of identification, which is simple and relatively rapid and can be used in routine diagnostic laboratories. Recent reports have documented the isolation in pure culture of several species, notably Peptostreptococcus magnus, from serious infections. Studies of P. magnus have elucidated several virulence factors which correlate with the site of infection, and reveal some similarities to Staphylococcus aureus. P. micros is a strongly proteolytic species; it is increasingly recognized as an important pathogen in intraoral infections, particularly periodontitis, and mixed anaerobic deep-organ abscesses. Comparison of antibiotic susceptibility patterns reveals major differences between species. Penicillins are the antibiotics of choice, although some strains of P. anaerobius show broad-spectrum β-lactam resistance.","container-title":"Clinical Microbiology Reviews","DOI":"10.1128/CMR.11.1.81","ISSN":"0893-8512, 1098-6618","issue":"1","language":"en","note":"PMID: 9457430","page":"81-120","source":"cmr-asm-org.proxy.lib.umich.edu","title":"Gram-Positive Anaerobic Cocci","URL":"http://cmr.asm.org/content/11/1/81","volume":"11","author":[{"family":"Murdoch","given":"D. A."}],"accessed":{"date-parts":[["2020",1,2]]},"issued":{"date-parts":[["1998",1,1]]}}},{"id":4103,"uris":["http://zotero.org/groups/349695/items/MNRBVJAR"],"uri":["http://zotero.org/groups/349695/items/MNRBVJAR"],"itemData":{"id":4103,"type":"article-journal","abstract":"&lt;h2&gt;Abstract&lt;/h2&gt;&lt;p&gt;The relationship between intestinal microbiota composition and acute graft-versus-host disease (GVHD) after allogeneic blood/marrow transplantation (allo-BMT) is not well understood. Intestinal bacteria have long been thought to contribute to GVHD pathophysiology, but recent animal studies in nontransplant settings have found that anti-inflammatory effects are mediated by certain subpopulations of intestinal commensals. Hypothesizing that a more nuanced relationship may exist between the intestinal bacteria and GVHD, we evaluated the fecal bacterial composition of 64 patients 12 days after BMT. We found that increased bacterial diversity was associated with reduced GVHD-related mortality. Furthermore, harboring increased amounts of bacteria belonging to the genus &lt;i&gt;Blautia&lt;/i&gt; was associated with reduced GVHD lethality in this cohort and was confirmed in another independent cohort of 51 patients from the same institution. &lt;i&gt;Blautia&lt;/i&gt; abundance was also associated with improved overall survival. We evaluated the abundance of &lt;i&gt;Blautia&lt;/i&gt; with respect to clinical factors and found that loss of &lt;i&gt;Blautia&lt;/i&gt; was associated with treatment with antibiotics that inhibit anaerobic bacteria and receiving total parenteral nutrition for longer durations. We conclude that increased abundance of commensal bacteria belonging to the &lt;i&gt;Blautia&lt;/i&gt; genus is associated with reduced lethal GVHD and improved overall survival.&lt;/p&gt;","container-title":"Biology of Blood and Marrow Transplantation","DOI":"10.1016/j.bbmt.2015.04.016","ISSN":"1083-8791, 1523-6536","issue":"8","journalAbbreviation":"Biology of Blood and Marrow Transplantation","language":"English","note":"PMID: 25977230","page":"1373-1383","source":"www.bbmt.org","title":"Intestinal Blautia Is Associated with Reduced Death from Graft-versus-Host Disease","URL":"https://www.bbmt.org/article/S1083-8791(15)00293-1/abstract","volume":"21","author":[{"family":"Jenq","given":"Robert R."},{"family":"Taur","given":"Ying"},{"family":"Devlin","given":"Sean M."},{"family":"Ponce","given":"Doris M."},{"family":"Goldberg","given":"Jenna D."},{"family":"Ahr","given":"Katya F."},{"family":"Littmann","given":"Eric R."},{"family":"Ling","given":"Lilan"},{"family":"Gobourne","given":"Asia C."},{"family":"Miller","given":"Liza C."},{"family":"Docampo","given":"Melissa D."},{"family":"Peled","given":"Jonathan U."},{"family":"Arpaia","given":"Nicholas"},{"family":"Cross","given":"Justin R."},{"family":"Peets","given":"Tatanisha K."},{"family":"Lumish","given":"Melissa A."},{"family":"Shono","given":"Yusuke"},{"family":"Dudakov","given":"Jarrod A."},{"family":"Poeck","given":"Hendrik"},{"family":"Hanash","given":"Alan M."},{"family":"Barker","given":"Juliet N."},{"family":"Perales","given":"Miguel-Angel"},{"family":"Giralt","given":"Sergio A."},{"family":"Pamer","given":"Eric G."},{"family":"Brink","given":"Marcel R. M.","dropping-particle":"van den"}],"accessed":{"date-parts":[["2020",1,2]]},"issued":{"date-parts":[["2015",8,1]]}}},{"id":4094,"uris":["http://zotero.org/groups/349695/items/GSF6KNCY"],"uri":["http://zotero.org/groups/349695/items/GSF6KNCY"],"itemData":{"id":4094,"type":"article-journal","abstract":"The microorganisms that inhabit the human gastrointestinal tract comprise a complex ecosystem with functions that significantly contribute to our systemic metabolism and have an impact on health and disease. In line with its importance, the human gastrointestinal microbiota has been extensively studied. Despite the fact that a significant part of the intestinal microorganisms has not yet been cultured, presently over 1000 different microbial species that can reside in the human gastrointestinal tract have been identified. This review provides a systematic overview and detailed references of the total of 1057 intestinal species of Eukarya (92), Archaea (8) and Bacteria (957), based on the phylogenetic framework of their small subunit ribosomal RNA gene sequences. Moreover, it unifies knowledge about the prevalence, abundance, stability, physiology, genetics and the association with human health of these gastrointestinal microorganisms, which is currently scattered over a vast amount of literature published in the last 150 years. This detailed physiological and genetic information is expected to be instrumental in advancing our knowledge of the gastrointestinal microbiota. Moreover, it opens avenues for future comparative and functional metagenomic and other high-throughput approaches that need a systematic and physiological basis to have an impact.","container-title":"Fems Microbiology Reviews","DOI":"10.1111/1574-6976.12075","ISSN":"0168-6445","issue":"5","journalAbbreviation":"FEMS Microbiol Rev","note":"PMID: 24861948\nPMCID: PMC4262072","page":"996-1047","source":"PubMed Central","title":"The first 1000 cultured species of the human gastrointestinal microbiota","URL":"https://www.ncbi.nlm.nih.gov/pmc/articles/PMC4262072/","volume":"38","author":[{"family":"Rajilić-Stojanović","given":"Mirjana"},{"family":"Vos","given":"Willem M","non-dropping-particle":"de"}],"accessed":{"date-parts":[["2020",1,2]]},"issued":{"date-parts":[["2014",9]]}}}],"schema":"https://github.com/citation-style-language/schema/raw/master/csl-citation.json"} </w:instrText>
      </w:r>
      <w:r>
        <w:rPr>
          <w:rFonts w:ascii="Arial" w:hAnsi="Arial" w:cs="Arial"/>
          <w:i/>
          <w:iCs/>
          <w:lang w:val="en-CA"/>
        </w:rPr>
        <w:fldChar w:fldCharType="separate"/>
      </w:r>
      <w:r w:rsidRPr="009C34FD">
        <w:rPr>
          <w:rFonts w:ascii="Arial" w:hAnsi="Arial" w:cs="Arial"/>
        </w:rPr>
        <w:t>[5–8]</w:t>
      </w:r>
      <w:r>
        <w:rPr>
          <w:rFonts w:ascii="Arial" w:hAnsi="Arial" w:cs="Arial"/>
          <w:i/>
          <w:iCs/>
          <w:lang w:val="en-CA"/>
        </w:rPr>
        <w:fldChar w:fldCharType="end"/>
      </w:r>
      <w:r>
        <w:rPr>
          <w:rFonts w:ascii="Arial" w:hAnsi="Arial" w:cs="Arial"/>
          <w:lang w:val="en-CA"/>
        </w:rPr>
        <w:t xml:space="preserve">. </w:t>
      </w:r>
    </w:p>
    <w:p w14:paraId="55AF46D7" w14:textId="77777777" w:rsidR="008E16DB" w:rsidRDefault="008E16DB" w:rsidP="008E16DB">
      <w:pPr>
        <w:jc w:val="both"/>
        <w:rPr>
          <w:rFonts w:ascii="Arial" w:hAnsi="Arial" w:cs="Arial"/>
          <w:b/>
          <w:bCs/>
          <w:lang w:val="en-CA"/>
        </w:rPr>
      </w:pPr>
    </w:p>
    <w:p w14:paraId="403D9466" w14:textId="77777777" w:rsidR="008E16DB" w:rsidRDefault="008E16DB" w:rsidP="008E16DB">
      <w:pPr>
        <w:jc w:val="both"/>
        <w:rPr>
          <w:rFonts w:ascii="Arial" w:hAnsi="Arial" w:cs="Arial"/>
          <w:lang w:val="en-CA"/>
        </w:rPr>
      </w:pPr>
      <w:r>
        <w:rPr>
          <w:rFonts w:ascii="Arial" w:hAnsi="Arial" w:cs="Arial"/>
          <w:lang w:val="en-CA"/>
        </w:rPr>
        <w:t xml:space="preserve">We searched for OTUs associated with butyrate-producing bacterial species as previously published </w:t>
      </w:r>
      <w:r>
        <w:rPr>
          <w:rFonts w:ascii="Arial" w:hAnsi="Arial" w:cs="Arial"/>
          <w:lang w:val="en-CA"/>
        </w:rPr>
        <w:fldChar w:fldCharType="begin"/>
      </w:r>
      <w:r>
        <w:rPr>
          <w:rFonts w:ascii="Arial" w:hAnsi="Arial" w:cs="Arial"/>
          <w:lang w:val="en-CA"/>
        </w:rPr>
        <w:instrText xml:space="preserve"> ADDIN ZOTERO_ITEM CSL_CITATION {"citationID":"MQ7r0y3l","properties":{"formattedCitation":"[9]","plainCitation":"[9]","noteIndex":0},"citationItems":[{"id":4087,"uris":["http://zotero.org/groups/349695/items/PBJ4X45Q"],"uri":["http://zotero.org/groups/349695/items/PBJ4X45Q"],"itemData":{"id":4087,"type":"article-journal","container-title":"Blood","DOI":"10.1182/blood-2018-01-828996","ISSN":"0006-4971","issue":"26","journalAbbreviation":"Blood","language":"en","page":"2978-2986","source":"ashpublications.org","title":"Impact of gut colonization with butyrate-producing microbiota on respiratory viral infection following allo-HCT","URL":"https://ashpublications.org/blood/article/131/26/2978/39137/Impact-of-gut-colonization-with-butyrate-producing","volume":"131","author":[{"family":"Haak","given":"Bastiaan W."},{"family":"Littmann","given":"Eric R."},{"family":"Chaubard","given":"Jean-Luc"},{"family":"Pickard","given":"Amanda J."},{"family":"Fontana","given":"Emily"},{"family":"Adhi","given":"Fatima"},{"family":"Gyaltshen","given":"Yangtsho"},{"family":"Ling","given":"Lilan"},{"family":"Morjaria","given":"Sejal M."},{"family":"Peled","given":"Jonathan U."},{"family":"Brink","given":"Marcel R.","non-dropping-particle":"van den"},{"family":"Geyer","given":"Alexander I."},{"family":"Cross","given":"Justin R."},{"family":"Pamer","given":"Eric G."},{"family":"Taur","given":"Ying"}],"accessed":{"date-parts":[["2020",1,1]]},"issued":{"date-parts":[["2018",6,28]]}}}],"schema":"https://github.com/citation-style-language/schema/raw/master/csl-citation.json"} </w:instrText>
      </w:r>
      <w:r>
        <w:rPr>
          <w:rFonts w:ascii="Arial" w:hAnsi="Arial" w:cs="Arial"/>
          <w:lang w:val="en-CA"/>
        </w:rPr>
        <w:fldChar w:fldCharType="separate"/>
      </w:r>
      <w:r>
        <w:rPr>
          <w:rFonts w:ascii="Arial" w:hAnsi="Arial" w:cs="Arial"/>
          <w:noProof/>
          <w:lang w:val="en-CA"/>
        </w:rPr>
        <w:t>[9]</w:t>
      </w:r>
      <w:r>
        <w:rPr>
          <w:rFonts w:ascii="Arial" w:hAnsi="Arial" w:cs="Arial"/>
          <w:lang w:val="en-CA"/>
        </w:rPr>
        <w:fldChar w:fldCharType="end"/>
      </w:r>
      <w:r>
        <w:rPr>
          <w:rFonts w:ascii="Arial" w:hAnsi="Arial" w:cs="Arial"/>
          <w:lang w:val="en-CA"/>
        </w:rPr>
        <w:t xml:space="preserve">. We first built a BLAST database with SILVA sequences, and blasted representative sequences in each OTU generated by </w:t>
      </w:r>
      <w:r>
        <w:rPr>
          <w:rFonts w:ascii="Arial" w:hAnsi="Arial" w:cs="Arial"/>
          <w:i/>
          <w:iCs/>
          <w:lang w:val="en-CA"/>
        </w:rPr>
        <w:t>mothur</w:t>
      </w:r>
      <w:r>
        <w:rPr>
          <w:rFonts w:ascii="Arial" w:hAnsi="Arial" w:cs="Arial"/>
          <w:lang w:val="en-CA"/>
        </w:rPr>
        <w:t xml:space="preserve"> against the custom database, using an E-value cutoff of </w:t>
      </w:r>
      <w:r w:rsidRPr="00342AA7">
        <w:rPr>
          <w:rFonts w:ascii="Arial" w:hAnsi="Arial" w:cs="Arial"/>
          <w:lang w:val="en-CA"/>
        </w:rPr>
        <w:t>1e-10</w:t>
      </w:r>
      <w:r>
        <w:rPr>
          <w:rFonts w:ascii="Arial" w:hAnsi="Arial" w:cs="Arial"/>
          <w:lang w:val="en-CA"/>
        </w:rPr>
        <w:t xml:space="preserve">. OTUs containing taxa associated with butyrate producing properties were included in analysis.   </w:t>
      </w:r>
    </w:p>
    <w:p w14:paraId="1572F548" w14:textId="77777777" w:rsidR="008E16DB" w:rsidRDefault="008E16DB" w:rsidP="008E16DB">
      <w:pPr>
        <w:rPr>
          <w:rFonts w:ascii="Arial" w:hAnsi="Arial" w:cs="Arial"/>
          <w:lang w:val="en-CA"/>
        </w:rPr>
      </w:pPr>
      <w:r>
        <w:rPr>
          <w:rFonts w:ascii="Arial" w:hAnsi="Arial" w:cs="Arial"/>
          <w:lang w:val="en-CA"/>
        </w:rPr>
        <w:br w:type="page"/>
      </w:r>
    </w:p>
    <w:p w14:paraId="76389808" w14:textId="77777777" w:rsidR="008E16DB" w:rsidRPr="00F83E60" w:rsidRDefault="008E16DB" w:rsidP="008E16DB">
      <w:pPr>
        <w:pStyle w:val="Heading1"/>
        <w:rPr>
          <w:rFonts w:ascii="Arial" w:hAnsi="Arial" w:cs="Arial"/>
          <w:b/>
          <w:bCs/>
          <w:color w:val="auto"/>
          <w:sz w:val="24"/>
          <w:szCs w:val="24"/>
          <w:lang w:val="en-CA"/>
        </w:rPr>
      </w:pPr>
      <w:bookmarkStart w:id="3" w:name="_Toc34580999"/>
      <w:r w:rsidRPr="00F83E60">
        <w:rPr>
          <w:rFonts w:ascii="Arial" w:hAnsi="Arial" w:cs="Arial"/>
          <w:b/>
          <w:bCs/>
          <w:color w:val="auto"/>
          <w:sz w:val="24"/>
          <w:szCs w:val="24"/>
          <w:lang w:val="en-CA"/>
        </w:rPr>
        <w:lastRenderedPageBreak/>
        <w:t>Supplementary Figures</w:t>
      </w:r>
      <w:bookmarkEnd w:id="3"/>
    </w:p>
    <w:p w14:paraId="742D52AE" w14:textId="77777777" w:rsidR="008E16DB" w:rsidRDefault="008E16DB" w:rsidP="008E16DB">
      <w:pPr>
        <w:jc w:val="both"/>
        <w:rPr>
          <w:rFonts w:ascii="Arial" w:hAnsi="Arial" w:cs="Arial"/>
          <w:b/>
          <w:bCs/>
          <w:lang w:val="en-CA"/>
        </w:rPr>
      </w:pPr>
    </w:p>
    <w:p w14:paraId="09C9CD15" w14:textId="77777777" w:rsidR="008E16DB" w:rsidRDefault="008E16DB" w:rsidP="008E16DB">
      <w:pPr>
        <w:keepNext/>
        <w:jc w:val="both"/>
      </w:pPr>
      <w:r>
        <w:rPr>
          <w:rFonts w:ascii="Arial" w:hAnsi="Arial" w:cs="Arial"/>
          <w:b/>
          <w:bCs/>
          <w:noProof/>
          <w:lang w:val="en-CA"/>
        </w:rPr>
        <w:drawing>
          <wp:inline distT="0" distB="0" distL="0" distR="0" wp14:anchorId="4A3727C6" wp14:editId="40FDAB00">
            <wp:extent cx="5943600" cy="3343275"/>
            <wp:effectExtent l="0" t="0" r="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1_flow_chart_v1.png"/>
                    <pic:cNvPicPr/>
                  </pic:nvPicPr>
                  <pic:blipFill>
                    <a:blip r:embed="rId9">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1DCD5973" w14:textId="77777777" w:rsidR="008E16DB" w:rsidRDefault="008E16DB" w:rsidP="008E16DB">
      <w:pPr>
        <w:pStyle w:val="Caption"/>
        <w:jc w:val="both"/>
        <w:rPr>
          <w:rStyle w:val="Heading2Char"/>
          <w:rFonts w:ascii="Arial" w:hAnsi="Arial" w:cs="Arial"/>
          <w:b/>
          <w:bCs/>
          <w:i w:val="0"/>
          <w:iCs w:val="0"/>
          <w:color w:val="auto"/>
          <w:sz w:val="24"/>
          <w:szCs w:val="24"/>
        </w:rPr>
      </w:pPr>
    </w:p>
    <w:p w14:paraId="69ED5ACE" w14:textId="77777777" w:rsidR="008E16DB" w:rsidRDefault="008E16DB" w:rsidP="008E16DB">
      <w:pPr>
        <w:pStyle w:val="Caption"/>
        <w:jc w:val="both"/>
        <w:rPr>
          <w:rFonts w:ascii="Arial" w:hAnsi="Arial" w:cs="Arial"/>
          <w:i w:val="0"/>
          <w:iCs w:val="0"/>
          <w:color w:val="auto"/>
          <w:sz w:val="24"/>
          <w:szCs w:val="24"/>
        </w:rPr>
      </w:pPr>
      <w:bookmarkStart w:id="4" w:name="_Toc34581000"/>
      <w:r w:rsidRPr="00A96075">
        <w:rPr>
          <w:rStyle w:val="Heading2Char"/>
          <w:rFonts w:ascii="Arial" w:hAnsi="Arial" w:cs="Arial"/>
          <w:b/>
          <w:bCs/>
          <w:i w:val="0"/>
          <w:iCs w:val="0"/>
          <w:color w:val="auto"/>
          <w:sz w:val="24"/>
          <w:szCs w:val="24"/>
        </w:rPr>
        <w:t>Figure S</w:t>
      </w:r>
      <w:r w:rsidRPr="00A96075">
        <w:rPr>
          <w:rStyle w:val="Heading2Char"/>
          <w:rFonts w:ascii="Arial" w:hAnsi="Arial" w:cs="Arial"/>
          <w:b/>
          <w:bCs/>
          <w:i w:val="0"/>
          <w:iCs w:val="0"/>
          <w:color w:val="auto"/>
          <w:sz w:val="24"/>
          <w:szCs w:val="24"/>
        </w:rPr>
        <w:fldChar w:fldCharType="begin"/>
      </w:r>
      <w:r w:rsidRPr="00A96075">
        <w:rPr>
          <w:rStyle w:val="Heading2Char"/>
          <w:rFonts w:ascii="Arial" w:hAnsi="Arial" w:cs="Arial"/>
          <w:b/>
          <w:bCs/>
          <w:i w:val="0"/>
          <w:iCs w:val="0"/>
          <w:color w:val="auto"/>
          <w:sz w:val="24"/>
          <w:szCs w:val="24"/>
        </w:rPr>
        <w:instrText xml:space="preserve"> SEQ Figure_S \* ARABIC </w:instrText>
      </w:r>
      <w:r w:rsidRPr="00A96075">
        <w:rPr>
          <w:rStyle w:val="Heading2Char"/>
          <w:rFonts w:ascii="Arial" w:hAnsi="Arial" w:cs="Arial"/>
          <w:b/>
          <w:bCs/>
          <w:i w:val="0"/>
          <w:iCs w:val="0"/>
          <w:color w:val="auto"/>
          <w:sz w:val="24"/>
          <w:szCs w:val="24"/>
        </w:rPr>
        <w:fldChar w:fldCharType="separate"/>
      </w:r>
      <w:r>
        <w:rPr>
          <w:rStyle w:val="Heading2Char"/>
          <w:rFonts w:ascii="Arial" w:hAnsi="Arial" w:cs="Arial"/>
          <w:b/>
          <w:bCs/>
          <w:i w:val="0"/>
          <w:iCs w:val="0"/>
          <w:noProof/>
          <w:color w:val="auto"/>
          <w:sz w:val="24"/>
          <w:szCs w:val="24"/>
        </w:rPr>
        <w:t>1</w:t>
      </w:r>
      <w:r w:rsidRPr="00A96075">
        <w:rPr>
          <w:rStyle w:val="Heading2Char"/>
          <w:rFonts w:ascii="Arial" w:hAnsi="Arial" w:cs="Arial"/>
          <w:b/>
          <w:bCs/>
          <w:i w:val="0"/>
          <w:iCs w:val="0"/>
          <w:color w:val="auto"/>
          <w:sz w:val="24"/>
          <w:szCs w:val="24"/>
        </w:rPr>
        <w:fldChar w:fldCharType="end"/>
      </w:r>
      <w:r w:rsidRPr="00A96075">
        <w:rPr>
          <w:rStyle w:val="Heading2Char"/>
          <w:rFonts w:ascii="Arial" w:hAnsi="Arial" w:cs="Arial"/>
          <w:b/>
          <w:bCs/>
          <w:i w:val="0"/>
          <w:iCs w:val="0"/>
          <w:color w:val="auto"/>
          <w:sz w:val="24"/>
          <w:szCs w:val="24"/>
        </w:rPr>
        <w:t>. Patient enrollment flow chart</w:t>
      </w:r>
      <w:bookmarkEnd w:id="4"/>
      <w:r w:rsidRPr="00A96075">
        <w:rPr>
          <w:rFonts w:ascii="Arial" w:hAnsi="Arial" w:cs="Arial"/>
          <w:b/>
          <w:bCs/>
          <w:i w:val="0"/>
          <w:iCs w:val="0"/>
          <w:color w:val="auto"/>
          <w:sz w:val="24"/>
          <w:szCs w:val="24"/>
        </w:rPr>
        <w:t>.</w:t>
      </w:r>
      <w:r w:rsidRPr="00F71B49">
        <w:rPr>
          <w:rFonts w:ascii="Arial" w:hAnsi="Arial" w:cs="Arial"/>
          <w:i w:val="0"/>
          <w:iCs w:val="0"/>
          <w:color w:val="auto"/>
          <w:sz w:val="24"/>
          <w:szCs w:val="24"/>
        </w:rPr>
        <w:t xml:space="preserve"> *All enrolled patients had </w:t>
      </w:r>
      <w:r>
        <w:rPr>
          <w:rFonts w:ascii="Arial" w:hAnsi="Arial" w:cs="Arial"/>
          <w:i w:val="0"/>
          <w:iCs w:val="0"/>
          <w:color w:val="auto"/>
          <w:sz w:val="24"/>
          <w:szCs w:val="24"/>
        </w:rPr>
        <w:t>enrollment</w:t>
      </w:r>
      <w:r w:rsidRPr="00F71B49">
        <w:rPr>
          <w:rFonts w:ascii="Arial" w:hAnsi="Arial" w:cs="Arial"/>
          <w:i w:val="0"/>
          <w:iCs w:val="0"/>
          <w:color w:val="auto"/>
          <w:sz w:val="24"/>
          <w:szCs w:val="24"/>
        </w:rPr>
        <w:t xml:space="preserve"> culture samples tested for antibiotic resistant organism colonization. **OTU, operational taxonomic unit; skin-associated OTUs included </w:t>
      </w:r>
      <w:r w:rsidRPr="00603564">
        <w:rPr>
          <w:rFonts w:ascii="Arial" w:hAnsi="Arial" w:cs="Arial"/>
          <w:color w:val="auto"/>
          <w:sz w:val="24"/>
          <w:szCs w:val="24"/>
        </w:rPr>
        <w:t>Staphylococcus</w:t>
      </w:r>
      <w:r w:rsidRPr="00F71B49">
        <w:rPr>
          <w:rFonts w:ascii="Arial" w:hAnsi="Arial" w:cs="Arial"/>
          <w:i w:val="0"/>
          <w:iCs w:val="0"/>
          <w:color w:val="auto"/>
          <w:sz w:val="24"/>
          <w:szCs w:val="24"/>
        </w:rPr>
        <w:t xml:space="preserve">, </w:t>
      </w:r>
      <w:r w:rsidRPr="00603564">
        <w:rPr>
          <w:rFonts w:ascii="Arial" w:hAnsi="Arial" w:cs="Arial"/>
          <w:color w:val="auto"/>
          <w:sz w:val="24"/>
          <w:szCs w:val="24"/>
        </w:rPr>
        <w:t>Corynebacterium</w:t>
      </w:r>
      <w:r w:rsidRPr="00F71B49">
        <w:rPr>
          <w:rFonts w:ascii="Arial" w:hAnsi="Arial" w:cs="Arial"/>
          <w:i w:val="0"/>
          <w:iCs w:val="0"/>
          <w:color w:val="auto"/>
          <w:sz w:val="24"/>
          <w:szCs w:val="24"/>
        </w:rPr>
        <w:t xml:space="preserve">, and </w:t>
      </w:r>
      <w:r w:rsidRPr="00603564">
        <w:rPr>
          <w:rFonts w:ascii="Arial" w:hAnsi="Arial" w:cs="Arial"/>
          <w:color w:val="auto"/>
          <w:sz w:val="24"/>
          <w:szCs w:val="24"/>
        </w:rPr>
        <w:t>Propionibacterium</w:t>
      </w:r>
      <w:r w:rsidRPr="00F71B49">
        <w:rPr>
          <w:rFonts w:ascii="Arial" w:hAnsi="Arial" w:cs="Arial"/>
          <w:i w:val="0"/>
          <w:iCs w:val="0"/>
          <w:color w:val="auto"/>
          <w:sz w:val="24"/>
          <w:szCs w:val="24"/>
        </w:rPr>
        <w:t xml:space="preserve">. </w:t>
      </w:r>
    </w:p>
    <w:p w14:paraId="51C17C5B" w14:textId="77777777" w:rsidR="008E16DB" w:rsidRDefault="008E16DB" w:rsidP="008E16DB">
      <w:pPr>
        <w:rPr>
          <w:rFonts w:ascii="Arial" w:hAnsi="Arial" w:cs="Arial"/>
        </w:rPr>
      </w:pPr>
      <w:r>
        <w:rPr>
          <w:rFonts w:ascii="Arial" w:hAnsi="Arial" w:cs="Arial"/>
          <w:i/>
          <w:iCs/>
        </w:rPr>
        <w:br w:type="page"/>
      </w:r>
    </w:p>
    <w:p w14:paraId="06CCA201" w14:textId="77777777" w:rsidR="008E16DB" w:rsidRDefault="008E16DB" w:rsidP="008E16DB">
      <w:pPr>
        <w:pStyle w:val="Caption"/>
        <w:jc w:val="both"/>
        <w:rPr>
          <w:rFonts w:ascii="Arial" w:hAnsi="Arial" w:cs="Arial"/>
          <w:i w:val="0"/>
          <w:iCs w:val="0"/>
          <w:color w:val="auto"/>
          <w:sz w:val="24"/>
          <w:szCs w:val="24"/>
        </w:rPr>
      </w:pPr>
      <w:r w:rsidRPr="00146ABC">
        <w:rPr>
          <w:noProof/>
        </w:rPr>
        <w:lastRenderedPageBreak/>
        <w:t xml:space="preserve"> </w:t>
      </w:r>
    </w:p>
    <w:p w14:paraId="736FA5E6" w14:textId="77777777" w:rsidR="008E16DB" w:rsidRDefault="008E16DB" w:rsidP="008E16DB">
      <w:pPr>
        <w:rPr>
          <w:rFonts w:ascii="Arial" w:hAnsi="Arial" w:cs="Arial"/>
        </w:rPr>
      </w:pPr>
      <w:r>
        <w:rPr>
          <w:noProof/>
        </w:rPr>
        <mc:AlternateContent>
          <mc:Choice Requires="wps">
            <w:drawing>
              <wp:anchor distT="0" distB="0" distL="114300" distR="114300" simplePos="0" relativeHeight="251659264" behindDoc="0" locked="0" layoutInCell="1" allowOverlap="1" wp14:anchorId="5E95F132" wp14:editId="3952EEF8">
                <wp:simplePos x="0" y="0"/>
                <wp:positionH relativeFrom="column">
                  <wp:posOffset>4445</wp:posOffset>
                </wp:positionH>
                <wp:positionV relativeFrom="paragraph">
                  <wp:posOffset>3196590</wp:posOffset>
                </wp:positionV>
                <wp:extent cx="5942965" cy="635"/>
                <wp:effectExtent l="0" t="0" r="635" b="12065"/>
                <wp:wrapSquare wrapText="bothSides"/>
                <wp:docPr id="2" name="Text Box 2"/>
                <wp:cNvGraphicFramePr/>
                <a:graphic xmlns:a="http://schemas.openxmlformats.org/drawingml/2006/main">
                  <a:graphicData uri="http://schemas.microsoft.com/office/word/2010/wordprocessingShape">
                    <wps:wsp>
                      <wps:cNvSpPr txBox="1"/>
                      <wps:spPr>
                        <a:xfrm>
                          <a:off x="0" y="0"/>
                          <a:ext cx="5942965" cy="635"/>
                        </a:xfrm>
                        <a:prstGeom prst="rect">
                          <a:avLst/>
                        </a:prstGeom>
                        <a:solidFill>
                          <a:prstClr val="white"/>
                        </a:solidFill>
                        <a:ln>
                          <a:noFill/>
                        </a:ln>
                      </wps:spPr>
                      <wps:txbx>
                        <w:txbxContent>
                          <w:p w14:paraId="04617CA8" w14:textId="77777777" w:rsidR="008E16DB" w:rsidRPr="00337B33" w:rsidRDefault="008E16DB" w:rsidP="008E16DB">
                            <w:pPr>
                              <w:pStyle w:val="Caption"/>
                              <w:rPr>
                                <w:rFonts w:ascii="Arial" w:hAnsi="Arial" w:cs="Arial"/>
                                <w:i w:val="0"/>
                                <w:iCs w:val="0"/>
                                <w:color w:val="auto"/>
                                <w:sz w:val="24"/>
                                <w:szCs w:val="24"/>
                              </w:rPr>
                            </w:pPr>
                            <w:bookmarkStart w:id="5" w:name="_Toc34581001"/>
                            <w:r w:rsidRPr="00337B33">
                              <w:rPr>
                                <w:rStyle w:val="Heading2Char"/>
                                <w:rFonts w:ascii="Arial" w:hAnsi="Arial" w:cs="Arial"/>
                                <w:b/>
                                <w:bCs/>
                                <w:i w:val="0"/>
                                <w:iCs w:val="0"/>
                                <w:color w:val="auto"/>
                                <w:sz w:val="24"/>
                                <w:szCs w:val="24"/>
                              </w:rPr>
                              <w:t>Figure S</w:t>
                            </w:r>
                            <w:r w:rsidRPr="00337B33">
                              <w:rPr>
                                <w:rStyle w:val="Heading2Char"/>
                                <w:rFonts w:ascii="Arial" w:hAnsi="Arial" w:cs="Arial"/>
                                <w:b/>
                                <w:bCs/>
                                <w:i w:val="0"/>
                                <w:iCs w:val="0"/>
                                <w:color w:val="auto"/>
                                <w:sz w:val="24"/>
                                <w:szCs w:val="24"/>
                              </w:rPr>
                              <w:fldChar w:fldCharType="begin"/>
                            </w:r>
                            <w:r w:rsidRPr="00337B33">
                              <w:rPr>
                                <w:rStyle w:val="Heading2Char"/>
                                <w:rFonts w:ascii="Arial" w:hAnsi="Arial" w:cs="Arial"/>
                                <w:b/>
                                <w:bCs/>
                                <w:i w:val="0"/>
                                <w:iCs w:val="0"/>
                                <w:color w:val="auto"/>
                                <w:sz w:val="24"/>
                                <w:szCs w:val="24"/>
                              </w:rPr>
                              <w:instrText xml:space="preserve"> SEQ Figure_S \* ARABIC </w:instrText>
                            </w:r>
                            <w:r w:rsidRPr="00337B33">
                              <w:rPr>
                                <w:rStyle w:val="Heading2Char"/>
                                <w:rFonts w:ascii="Arial" w:hAnsi="Arial" w:cs="Arial"/>
                                <w:b/>
                                <w:bCs/>
                                <w:i w:val="0"/>
                                <w:iCs w:val="0"/>
                                <w:color w:val="auto"/>
                                <w:sz w:val="24"/>
                                <w:szCs w:val="24"/>
                              </w:rPr>
                              <w:fldChar w:fldCharType="separate"/>
                            </w:r>
                            <w:r w:rsidRPr="00337B33">
                              <w:rPr>
                                <w:rStyle w:val="Heading2Char"/>
                                <w:rFonts w:ascii="Arial" w:hAnsi="Arial" w:cs="Arial"/>
                                <w:b/>
                                <w:bCs/>
                                <w:i w:val="0"/>
                                <w:iCs w:val="0"/>
                                <w:color w:val="auto"/>
                                <w:sz w:val="24"/>
                                <w:szCs w:val="24"/>
                              </w:rPr>
                              <w:t>2</w:t>
                            </w:r>
                            <w:r w:rsidRPr="00337B33">
                              <w:rPr>
                                <w:rStyle w:val="Heading2Char"/>
                                <w:rFonts w:ascii="Arial" w:hAnsi="Arial" w:cs="Arial"/>
                                <w:b/>
                                <w:bCs/>
                                <w:i w:val="0"/>
                                <w:iCs w:val="0"/>
                                <w:color w:val="auto"/>
                                <w:sz w:val="24"/>
                                <w:szCs w:val="24"/>
                              </w:rPr>
                              <w:fldChar w:fldCharType="end"/>
                            </w:r>
                            <w:r w:rsidRPr="00337B33">
                              <w:rPr>
                                <w:rStyle w:val="Heading2Char"/>
                                <w:rFonts w:ascii="Arial" w:hAnsi="Arial" w:cs="Arial"/>
                                <w:b/>
                                <w:bCs/>
                                <w:i w:val="0"/>
                                <w:iCs w:val="0"/>
                                <w:color w:val="auto"/>
                                <w:sz w:val="24"/>
                                <w:szCs w:val="24"/>
                              </w:rPr>
                              <w:t xml:space="preserve">. Heatmap depicting </w:t>
                            </w:r>
                            <w:r>
                              <w:rPr>
                                <w:rStyle w:val="Heading2Char"/>
                                <w:rFonts w:ascii="Arial" w:hAnsi="Arial" w:cs="Arial"/>
                                <w:b/>
                                <w:bCs/>
                                <w:i w:val="0"/>
                                <w:iCs w:val="0"/>
                                <w:color w:val="auto"/>
                                <w:sz w:val="24"/>
                                <w:szCs w:val="24"/>
                              </w:rPr>
                              <w:t>the time of high-risk antibiotic initiation, and colonization with antibiotic-resistant organism in patients who were exposed to high-risk antibiotics within 14 days of study enrollment.</w:t>
                            </w:r>
                            <w:bookmarkEnd w:id="5"/>
                            <w:r>
                              <w:rPr>
                                <w:rStyle w:val="Heading2Char"/>
                                <w:rFonts w:ascii="Arial" w:hAnsi="Arial" w:cs="Arial"/>
                                <w:b/>
                                <w:bCs/>
                                <w:i w:val="0"/>
                                <w:iCs w:val="0"/>
                                <w:color w:val="auto"/>
                                <w:sz w:val="24"/>
                                <w:szCs w:val="24"/>
                              </w:rPr>
                              <w:t xml:space="preserve"> </w:t>
                            </w:r>
                            <w:r w:rsidRPr="00337B33">
                              <w:rPr>
                                <w:rFonts w:ascii="Arial" w:hAnsi="Arial" w:cs="Arial"/>
                                <w:i w:val="0"/>
                                <w:iCs w:val="0"/>
                                <w:color w:val="auto"/>
                                <w:sz w:val="24"/>
                                <w:szCs w:val="24"/>
                              </w:rPr>
                              <w:t>Each row is a patient who received a</w:t>
                            </w:r>
                            <w:r>
                              <w:rPr>
                                <w:rFonts w:ascii="Arial" w:hAnsi="Arial" w:cs="Arial"/>
                                <w:i w:val="0"/>
                                <w:iCs w:val="0"/>
                                <w:color w:val="auto"/>
                                <w:sz w:val="24"/>
                                <w:szCs w:val="24"/>
                              </w:rPr>
                              <w:t xml:space="preserve"> broad-spectrum</w:t>
                            </w:r>
                            <w:r w:rsidRPr="00337B33">
                              <w:rPr>
                                <w:rFonts w:ascii="Arial" w:hAnsi="Arial" w:cs="Arial"/>
                                <w:i w:val="0"/>
                                <w:iCs w:val="0"/>
                                <w:color w:val="auto"/>
                                <w:sz w:val="24"/>
                                <w:szCs w:val="24"/>
                              </w:rPr>
                              <w:t xml:space="preserve"> antibiotic </w:t>
                            </w:r>
                            <w:r>
                              <w:rPr>
                                <w:rFonts w:ascii="Arial" w:hAnsi="Arial" w:cs="Arial"/>
                                <w:i w:val="0"/>
                                <w:iCs w:val="0"/>
                                <w:color w:val="auto"/>
                                <w:sz w:val="24"/>
                                <w:szCs w:val="24"/>
                              </w:rPr>
                              <w:t>(high-risk)</w:t>
                            </w:r>
                            <w:r w:rsidRPr="00337B33">
                              <w:rPr>
                                <w:rFonts w:ascii="Arial" w:hAnsi="Arial" w:cs="Arial"/>
                                <w:i w:val="0"/>
                                <w:iCs w:val="0"/>
                                <w:color w:val="auto"/>
                                <w:sz w:val="24"/>
                                <w:szCs w:val="24"/>
                              </w:rPr>
                              <w:t xml:space="preserve"> during </w:t>
                            </w:r>
                            <w:r>
                              <w:rPr>
                                <w:rFonts w:ascii="Arial" w:hAnsi="Arial" w:cs="Arial"/>
                                <w:i w:val="0"/>
                                <w:iCs w:val="0"/>
                                <w:color w:val="auto"/>
                                <w:sz w:val="24"/>
                                <w:szCs w:val="24"/>
                              </w:rPr>
                              <w:t xml:space="preserve">most recent </w:t>
                            </w:r>
                            <w:r w:rsidRPr="00337B33">
                              <w:rPr>
                                <w:rFonts w:ascii="Arial" w:hAnsi="Arial" w:cs="Arial"/>
                                <w:i w:val="0"/>
                                <w:iCs w:val="0"/>
                                <w:color w:val="auto"/>
                                <w:sz w:val="24"/>
                                <w:szCs w:val="24"/>
                              </w:rPr>
                              <w:t xml:space="preserve">acute care hospitalization (ACH) or during stay at a </w:t>
                            </w:r>
                            <w:r>
                              <w:rPr>
                                <w:rFonts w:ascii="Arial" w:hAnsi="Arial" w:cs="Arial"/>
                                <w:i w:val="0"/>
                                <w:iCs w:val="0"/>
                                <w:color w:val="auto"/>
                                <w:sz w:val="24"/>
                                <w:szCs w:val="24"/>
                              </w:rPr>
                              <w:t>nursing home</w:t>
                            </w:r>
                            <w:r w:rsidRPr="00337B33">
                              <w:rPr>
                                <w:rFonts w:ascii="Arial" w:hAnsi="Arial" w:cs="Arial"/>
                                <w:i w:val="0"/>
                                <w:iCs w:val="0"/>
                                <w:color w:val="auto"/>
                                <w:sz w:val="24"/>
                                <w:szCs w:val="24"/>
                              </w:rPr>
                              <w:t xml:space="preserve">. </w:t>
                            </w:r>
                            <w:r>
                              <w:rPr>
                                <w:rStyle w:val="Heading2Char"/>
                                <w:rFonts w:ascii="Arial" w:hAnsi="Arial" w:cs="Arial"/>
                                <w:i w:val="0"/>
                                <w:iCs w:val="0"/>
                                <w:color w:val="auto"/>
                                <w:sz w:val="24"/>
                                <w:szCs w:val="24"/>
                              </w:rPr>
                              <w:t xml:space="preserve">Each column is day before or after the time of study enrolment (day 0; black cell in bar on top). </w:t>
                            </w:r>
                            <w:r w:rsidRPr="00337B33">
                              <w:rPr>
                                <w:rFonts w:ascii="Arial" w:hAnsi="Arial" w:cs="Arial"/>
                                <w:i w:val="0"/>
                                <w:iCs w:val="0"/>
                                <w:color w:val="auto"/>
                                <w:sz w:val="24"/>
                                <w:szCs w:val="24"/>
                              </w:rPr>
                              <w:t>Red indicates</w:t>
                            </w:r>
                            <w:r>
                              <w:rPr>
                                <w:rFonts w:ascii="Arial" w:hAnsi="Arial" w:cs="Arial"/>
                                <w:i w:val="0"/>
                                <w:iCs w:val="0"/>
                                <w:color w:val="auto"/>
                                <w:sz w:val="24"/>
                                <w:szCs w:val="24"/>
                              </w:rPr>
                              <w:t xml:space="preserve"> receipt of antibiotic treatment</w:t>
                            </w:r>
                            <w:r w:rsidRPr="00337B33">
                              <w:rPr>
                                <w:rFonts w:ascii="Arial" w:hAnsi="Arial" w:cs="Arial"/>
                                <w:i w:val="0"/>
                                <w:iCs w:val="0"/>
                                <w:color w:val="auto"/>
                                <w:sz w:val="24"/>
                                <w:szCs w:val="24"/>
                              </w:rPr>
                              <w:t xml:space="preserve">, blue indicates </w:t>
                            </w:r>
                            <w:r>
                              <w:rPr>
                                <w:rFonts w:ascii="Arial" w:hAnsi="Arial" w:cs="Arial"/>
                                <w:i w:val="0"/>
                                <w:iCs w:val="0"/>
                                <w:color w:val="auto"/>
                                <w:sz w:val="24"/>
                                <w:szCs w:val="24"/>
                              </w:rPr>
                              <w:t xml:space="preserve">time of nursing home admission, and orange indicates acquisition of antibiotic resistant organism colonization. For patients with no documented antibiotic stop date, we arbitrarily use one day as exposure duration. Patients deemed to have received antibiotics prior to study enrollment are labeled with an asterisk (*).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E95F132" id="Text Box 2" o:spid="_x0000_s1033" type="#_x0000_t202" style="position:absolute;margin-left:.35pt;margin-top:251.7pt;width:467.9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" stroked="f">
                <v:textbox style="mso-fit-shape-to-text:t" inset="0,0,0,0">
                  <w:txbxContent>
                    <w:p w14:paraId="04617CA8" w14:textId="77777777" w:rsidR="008E16DB" w:rsidRPr="00337B33" w:rsidRDefault="008E16DB" w:rsidP="008E16DB">
                      <w:pPr>
                        <w:pStyle w:val="Caption"/>
                        <w:rPr>
                          <w:rFonts w:ascii="Arial" w:hAnsi="Arial" w:cs="Arial"/>
                          <w:i w:val="0"/>
                          <w:iCs w:val="0"/>
                          <w:color w:val="auto"/>
                          <w:sz w:val="24"/>
                          <w:szCs w:val="24"/>
                        </w:rPr>
                      </w:pPr>
                      <w:bookmarkStart w:id="6" w:name="_Toc34581001"/>
                      <w:r w:rsidRPr="00337B33">
                        <w:rPr>
                          <w:rStyle w:val="Heading2Char"/>
                          <w:rFonts w:ascii="Arial" w:hAnsi="Arial" w:cs="Arial"/>
                          <w:b/>
                          <w:bCs/>
                          <w:i w:val="0"/>
                          <w:iCs w:val="0"/>
                          <w:color w:val="auto"/>
                          <w:sz w:val="24"/>
                          <w:szCs w:val="24"/>
                        </w:rPr>
                        <w:t>Figure S</w:t>
                      </w:r>
                      <w:r w:rsidRPr="00337B33">
                        <w:rPr>
                          <w:rStyle w:val="Heading2Char"/>
                          <w:rFonts w:ascii="Arial" w:hAnsi="Arial" w:cs="Arial"/>
                          <w:b/>
                          <w:bCs/>
                          <w:i w:val="0"/>
                          <w:iCs w:val="0"/>
                          <w:color w:val="auto"/>
                          <w:sz w:val="24"/>
                          <w:szCs w:val="24"/>
                        </w:rPr>
                        <w:fldChar w:fldCharType="begin"/>
                      </w:r>
                      <w:r w:rsidRPr="00337B33">
                        <w:rPr>
                          <w:rStyle w:val="Heading2Char"/>
                          <w:rFonts w:ascii="Arial" w:hAnsi="Arial" w:cs="Arial"/>
                          <w:b/>
                          <w:bCs/>
                          <w:i w:val="0"/>
                          <w:iCs w:val="0"/>
                          <w:color w:val="auto"/>
                          <w:sz w:val="24"/>
                          <w:szCs w:val="24"/>
                        </w:rPr>
                        <w:instrText xml:space="preserve"> SEQ Figure_S \* ARABIC </w:instrText>
                      </w:r>
                      <w:r w:rsidRPr="00337B33">
                        <w:rPr>
                          <w:rStyle w:val="Heading2Char"/>
                          <w:rFonts w:ascii="Arial" w:hAnsi="Arial" w:cs="Arial"/>
                          <w:b/>
                          <w:bCs/>
                          <w:i w:val="0"/>
                          <w:iCs w:val="0"/>
                          <w:color w:val="auto"/>
                          <w:sz w:val="24"/>
                          <w:szCs w:val="24"/>
                        </w:rPr>
                        <w:fldChar w:fldCharType="separate"/>
                      </w:r>
                      <w:r w:rsidRPr="00337B33">
                        <w:rPr>
                          <w:rStyle w:val="Heading2Char"/>
                          <w:rFonts w:ascii="Arial" w:hAnsi="Arial" w:cs="Arial"/>
                          <w:b/>
                          <w:bCs/>
                          <w:i w:val="0"/>
                          <w:iCs w:val="0"/>
                          <w:color w:val="auto"/>
                          <w:sz w:val="24"/>
                          <w:szCs w:val="24"/>
                        </w:rPr>
                        <w:t>2</w:t>
                      </w:r>
                      <w:r w:rsidRPr="00337B33">
                        <w:rPr>
                          <w:rStyle w:val="Heading2Char"/>
                          <w:rFonts w:ascii="Arial" w:hAnsi="Arial" w:cs="Arial"/>
                          <w:b/>
                          <w:bCs/>
                          <w:i w:val="0"/>
                          <w:iCs w:val="0"/>
                          <w:color w:val="auto"/>
                          <w:sz w:val="24"/>
                          <w:szCs w:val="24"/>
                        </w:rPr>
                        <w:fldChar w:fldCharType="end"/>
                      </w:r>
                      <w:r w:rsidRPr="00337B33">
                        <w:rPr>
                          <w:rStyle w:val="Heading2Char"/>
                          <w:rFonts w:ascii="Arial" w:hAnsi="Arial" w:cs="Arial"/>
                          <w:b/>
                          <w:bCs/>
                          <w:i w:val="0"/>
                          <w:iCs w:val="0"/>
                          <w:color w:val="auto"/>
                          <w:sz w:val="24"/>
                          <w:szCs w:val="24"/>
                        </w:rPr>
                        <w:t xml:space="preserve">. Heatmap depicting </w:t>
                      </w:r>
                      <w:r>
                        <w:rPr>
                          <w:rStyle w:val="Heading2Char"/>
                          <w:rFonts w:ascii="Arial" w:hAnsi="Arial" w:cs="Arial"/>
                          <w:b/>
                          <w:bCs/>
                          <w:i w:val="0"/>
                          <w:iCs w:val="0"/>
                          <w:color w:val="auto"/>
                          <w:sz w:val="24"/>
                          <w:szCs w:val="24"/>
                        </w:rPr>
                        <w:t>the time of high-risk antibiotic initiation, and colonization with antibiotic-resistant organism in patients who were exposed to high-risk antibiotics within 14 days of study enrollment.</w:t>
                      </w:r>
                      <w:bookmarkEnd w:id="6"/>
                      <w:r>
                        <w:rPr>
                          <w:rStyle w:val="Heading2Char"/>
                          <w:rFonts w:ascii="Arial" w:hAnsi="Arial" w:cs="Arial"/>
                          <w:b/>
                          <w:bCs/>
                          <w:i w:val="0"/>
                          <w:iCs w:val="0"/>
                          <w:color w:val="auto"/>
                          <w:sz w:val="24"/>
                          <w:szCs w:val="24"/>
                        </w:rPr>
                        <w:t xml:space="preserve"> </w:t>
                      </w:r>
                      <w:r w:rsidRPr="00337B33">
                        <w:rPr>
                          <w:rFonts w:ascii="Arial" w:hAnsi="Arial" w:cs="Arial"/>
                          <w:i w:val="0"/>
                          <w:iCs w:val="0"/>
                          <w:color w:val="auto"/>
                          <w:sz w:val="24"/>
                          <w:szCs w:val="24"/>
                        </w:rPr>
                        <w:t>Each row is a patient who received a</w:t>
                      </w:r>
                      <w:r>
                        <w:rPr>
                          <w:rFonts w:ascii="Arial" w:hAnsi="Arial" w:cs="Arial"/>
                          <w:i w:val="0"/>
                          <w:iCs w:val="0"/>
                          <w:color w:val="auto"/>
                          <w:sz w:val="24"/>
                          <w:szCs w:val="24"/>
                        </w:rPr>
                        <w:t xml:space="preserve"> broad-spectrum</w:t>
                      </w:r>
                      <w:r w:rsidRPr="00337B33">
                        <w:rPr>
                          <w:rFonts w:ascii="Arial" w:hAnsi="Arial" w:cs="Arial"/>
                          <w:i w:val="0"/>
                          <w:iCs w:val="0"/>
                          <w:color w:val="auto"/>
                          <w:sz w:val="24"/>
                          <w:szCs w:val="24"/>
                        </w:rPr>
                        <w:t xml:space="preserve"> antibiotic </w:t>
                      </w:r>
                      <w:r>
                        <w:rPr>
                          <w:rFonts w:ascii="Arial" w:hAnsi="Arial" w:cs="Arial"/>
                          <w:i w:val="0"/>
                          <w:iCs w:val="0"/>
                          <w:color w:val="auto"/>
                          <w:sz w:val="24"/>
                          <w:szCs w:val="24"/>
                        </w:rPr>
                        <w:t>(high-risk)</w:t>
                      </w:r>
                      <w:r w:rsidRPr="00337B33">
                        <w:rPr>
                          <w:rFonts w:ascii="Arial" w:hAnsi="Arial" w:cs="Arial"/>
                          <w:i w:val="0"/>
                          <w:iCs w:val="0"/>
                          <w:color w:val="auto"/>
                          <w:sz w:val="24"/>
                          <w:szCs w:val="24"/>
                        </w:rPr>
                        <w:t xml:space="preserve"> during </w:t>
                      </w:r>
                      <w:r>
                        <w:rPr>
                          <w:rFonts w:ascii="Arial" w:hAnsi="Arial" w:cs="Arial"/>
                          <w:i w:val="0"/>
                          <w:iCs w:val="0"/>
                          <w:color w:val="auto"/>
                          <w:sz w:val="24"/>
                          <w:szCs w:val="24"/>
                        </w:rPr>
                        <w:t xml:space="preserve">most recent </w:t>
                      </w:r>
                      <w:r w:rsidRPr="00337B33">
                        <w:rPr>
                          <w:rFonts w:ascii="Arial" w:hAnsi="Arial" w:cs="Arial"/>
                          <w:i w:val="0"/>
                          <w:iCs w:val="0"/>
                          <w:color w:val="auto"/>
                          <w:sz w:val="24"/>
                          <w:szCs w:val="24"/>
                        </w:rPr>
                        <w:t xml:space="preserve">acute care hospitalization (ACH) or during stay at a </w:t>
                      </w:r>
                      <w:r>
                        <w:rPr>
                          <w:rFonts w:ascii="Arial" w:hAnsi="Arial" w:cs="Arial"/>
                          <w:i w:val="0"/>
                          <w:iCs w:val="0"/>
                          <w:color w:val="auto"/>
                          <w:sz w:val="24"/>
                          <w:szCs w:val="24"/>
                        </w:rPr>
                        <w:t>nursing home</w:t>
                      </w:r>
                      <w:r w:rsidRPr="00337B33">
                        <w:rPr>
                          <w:rFonts w:ascii="Arial" w:hAnsi="Arial" w:cs="Arial"/>
                          <w:i w:val="0"/>
                          <w:iCs w:val="0"/>
                          <w:color w:val="auto"/>
                          <w:sz w:val="24"/>
                          <w:szCs w:val="24"/>
                        </w:rPr>
                        <w:t xml:space="preserve">. </w:t>
                      </w:r>
                      <w:r>
                        <w:rPr>
                          <w:rStyle w:val="Heading2Char"/>
                          <w:rFonts w:ascii="Arial" w:hAnsi="Arial" w:cs="Arial"/>
                          <w:i w:val="0"/>
                          <w:iCs w:val="0"/>
                          <w:color w:val="auto"/>
                          <w:sz w:val="24"/>
                          <w:szCs w:val="24"/>
                        </w:rPr>
                        <w:t xml:space="preserve">Each column is day before or after the time of study enrolment (day 0; black cell in bar on top). </w:t>
                      </w:r>
                      <w:r w:rsidRPr="00337B33">
                        <w:rPr>
                          <w:rFonts w:ascii="Arial" w:hAnsi="Arial" w:cs="Arial"/>
                          <w:i w:val="0"/>
                          <w:iCs w:val="0"/>
                          <w:color w:val="auto"/>
                          <w:sz w:val="24"/>
                          <w:szCs w:val="24"/>
                        </w:rPr>
                        <w:t>Red indicates</w:t>
                      </w:r>
                      <w:r>
                        <w:rPr>
                          <w:rFonts w:ascii="Arial" w:hAnsi="Arial" w:cs="Arial"/>
                          <w:i w:val="0"/>
                          <w:iCs w:val="0"/>
                          <w:color w:val="auto"/>
                          <w:sz w:val="24"/>
                          <w:szCs w:val="24"/>
                        </w:rPr>
                        <w:t xml:space="preserve"> receipt of antibiotic treatment</w:t>
                      </w:r>
                      <w:r w:rsidRPr="00337B33">
                        <w:rPr>
                          <w:rFonts w:ascii="Arial" w:hAnsi="Arial" w:cs="Arial"/>
                          <w:i w:val="0"/>
                          <w:iCs w:val="0"/>
                          <w:color w:val="auto"/>
                          <w:sz w:val="24"/>
                          <w:szCs w:val="24"/>
                        </w:rPr>
                        <w:t xml:space="preserve">, blue indicates </w:t>
                      </w:r>
                      <w:r>
                        <w:rPr>
                          <w:rFonts w:ascii="Arial" w:hAnsi="Arial" w:cs="Arial"/>
                          <w:i w:val="0"/>
                          <w:iCs w:val="0"/>
                          <w:color w:val="auto"/>
                          <w:sz w:val="24"/>
                          <w:szCs w:val="24"/>
                        </w:rPr>
                        <w:t xml:space="preserve">time of nursing home admission, and orange indicates acquisition of antibiotic resistant organism colonization. For patients with no documented antibiotic stop date, we arbitrarily use one day as exposure duration. Patients deemed to have received antibiotics prior to study enrollment are labeled with an asterisk (*). </w:t>
                      </w:r>
                    </w:p>
                  </w:txbxContent>
                </v:textbox>
                <w10:wrap type="square"/>
              </v:shape>
            </w:pict>
          </mc:Fallback>
        </mc:AlternateContent>
      </w:r>
      <w:r w:rsidRPr="00264A87">
        <w:rPr>
          <w:rFonts w:ascii="Arial" w:hAnsi="Arial" w:cs="Arial"/>
          <w:i/>
          <w:iCs/>
          <w:noProof/>
        </w:rPr>
        <w:drawing>
          <wp:inline distT="0" distB="0" distL="0" distR="0" wp14:anchorId="3DA677D6" wp14:editId="36501B1E">
            <wp:extent cx="5408506" cy="3042285"/>
            <wp:effectExtent l="0" t="0" r="190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408506" cy="3042285"/>
                    </a:xfrm>
                    <a:prstGeom prst="rect">
                      <a:avLst/>
                    </a:prstGeom>
                  </pic:spPr>
                </pic:pic>
              </a:graphicData>
            </a:graphic>
          </wp:inline>
        </w:drawing>
      </w:r>
      <w:r>
        <w:rPr>
          <w:rFonts w:ascii="Arial" w:hAnsi="Arial" w:cs="Arial"/>
          <w:i/>
          <w:iCs/>
        </w:rPr>
        <w:br w:type="page"/>
      </w:r>
    </w:p>
    <w:p w14:paraId="1D3C68D6" w14:textId="77777777" w:rsidR="008E16DB" w:rsidRDefault="008E16DB" w:rsidP="008E16DB">
      <w:pPr>
        <w:pStyle w:val="Caption"/>
        <w:jc w:val="both"/>
        <w:rPr>
          <w:rStyle w:val="Heading2Char"/>
          <w:rFonts w:ascii="Arial" w:hAnsi="Arial" w:cs="Arial"/>
          <w:b/>
          <w:bCs/>
          <w:i w:val="0"/>
          <w:iCs w:val="0"/>
          <w:color w:val="auto"/>
          <w:sz w:val="24"/>
          <w:szCs w:val="24"/>
        </w:rPr>
        <w:sectPr w:rsidR="008E16DB" w:rsidSect="007B71EC">
          <w:headerReference w:type="default" r:id="rId11"/>
          <w:pgSz w:w="12240" w:h="15840"/>
          <w:pgMar w:top="1440" w:right="1440" w:bottom="1440" w:left="1440" w:header="720" w:footer="720" w:gutter="0"/>
          <w:cols w:space="720"/>
          <w:docGrid w:linePitch="360"/>
        </w:sectPr>
      </w:pPr>
    </w:p>
    <w:tbl>
      <w:tblPr>
        <w:tblW w:w="12420" w:type="dxa"/>
        <w:tblLook w:val="04A0" w:firstRow="1" w:lastRow="0" w:firstColumn="1" w:lastColumn="0" w:noHBand="0" w:noVBand="1"/>
      </w:tblPr>
      <w:tblGrid>
        <w:gridCol w:w="5040"/>
        <w:gridCol w:w="1980"/>
        <w:gridCol w:w="1890"/>
        <w:gridCol w:w="2250"/>
        <w:gridCol w:w="1260"/>
      </w:tblGrid>
      <w:tr w:rsidR="008E16DB" w:rsidRPr="00274C3E" w14:paraId="3981A61F" w14:textId="77777777" w:rsidTr="00E77716">
        <w:trPr>
          <w:trHeight w:val="476"/>
        </w:trPr>
        <w:tc>
          <w:tcPr>
            <w:tcW w:w="5040" w:type="dxa"/>
            <w:tcBorders>
              <w:top w:val="nil"/>
              <w:left w:val="nil"/>
              <w:bottom w:val="single" w:sz="4" w:space="0" w:color="auto"/>
              <w:right w:val="nil"/>
            </w:tcBorders>
            <w:shd w:val="clear" w:color="auto" w:fill="auto"/>
            <w:vAlign w:val="center"/>
            <w:hideMark/>
          </w:tcPr>
          <w:p w14:paraId="318E8C05" w14:textId="77777777" w:rsidR="008E16DB" w:rsidRPr="00274C3E" w:rsidRDefault="008E16DB" w:rsidP="00E77716">
            <w:pPr>
              <w:contextualSpacing/>
              <w:rPr>
                <w:rFonts w:ascii="Arial" w:hAnsi="Arial" w:cs="Arial"/>
                <w:color w:val="000000"/>
              </w:rPr>
            </w:pPr>
            <w:r w:rsidRPr="00274C3E">
              <w:rPr>
                <w:rFonts w:ascii="Arial" w:hAnsi="Arial" w:cs="Arial"/>
                <w:color w:val="000000"/>
              </w:rPr>
              <w:lastRenderedPageBreak/>
              <w:t> </w:t>
            </w:r>
          </w:p>
        </w:tc>
        <w:tc>
          <w:tcPr>
            <w:tcW w:w="1980" w:type="dxa"/>
            <w:tcBorders>
              <w:top w:val="nil"/>
              <w:left w:val="nil"/>
              <w:bottom w:val="single" w:sz="4" w:space="0" w:color="auto"/>
              <w:right w:val="nil"/>
            </w:tcBorders>
            <w:shd w:val="clear" w:color="auto" w:fill="auto"/>
            <w:vAlign w:val="center"/>
            <w:hideMark/>
          </w:tcPr>
          <w:p w14:paraId="449E7116" w14:textId="77777777" w:rsidR="008E16DB" w:rsidRDefault="008E16DB" w:rsidP="00E77716">
            <w:pPr>
              <w:contextualSpacing/>
              <w:rPr>
                <w:rFonts w:ascii="Arial" w:hAnsi="Arial" w:cs="Arial"/>
                <w:b/>
                <w:bCs/>
                <w:color w:val="000000"/>
              </w:rPr>
            </w:pPr>
            <w:r w:rsidRPr="00274C3E">
              <w:rPr>
                <w:rFonts w:ascii="Arial" w:hAnsi="Arial" w:cs="Arial"/>
                <w:b/>
                <w:bCs/>
                <w:color w:val="000000"/>
              </w:rPr>
              <w:t xml:space="preserve">Did not acquire </w:t>
            </w:r>
            <w:r>
              <w:rPr>
                <w:rFonts w:ascii="Arial" w:hAnsi="Arial" w:cs="Arial"/>
                <w:b/>
                <w:bCs/>
                <w:color w:val="000000"/>
              </w:rPr>
              <w:t>an ARO</w:t>
            </w:r>
          </w:p>
          <w:p w14:paraId="0D652798" w14:textId="77777777" w:rsidR="008E16DB" w:rsidRPr="00274C3E" w:rsidRDefault="008E16DB" w:rsidP="00E77716">
            <w:pPr>
              <w:contextualSpacing/>
              <w:rPr>
                <w:rFonts w:ascii="Arial" w:hAnsi="Arial" w:cs="Arial"/>
                <w:b/>
                <w:bCs/>
                <w:color w:val="000000"/>
              </w:rPr>
            </w:pPr>
            <w:r w:rsidRPr="00274C3E">
              <w:rPr>
                <w:rFonts w:ascii="Arial" w:hAnsi="Arial" w:cs="Arial"/>
                <w:b/>
                <w:bCs/>
                <w:color w:val="000000"/>
              </w:rPr>
              <w:t>(N = 43)</w:t>
            </w:r>
          </w:p>
        </w:tc>
        <w:tc>
          <w:tcPr>
            <w:tcW w:w="1890" w:type="dxa"/>
            <w:tcBorders>
              <w:top w:val="nil"/>
              <w:left w:val="nil"/>
              <w:bottom w:val="single" w:sz="4" w:space="0" w:color="auto"/>
              <w:right w:val="nil"/>
            </w:tcBorders>
            <w:shd w:val="clear" w:color="auto" w:fill="auto"/>
            <w:vAlign w:val="center"/>
            <w:hideMark/>
          </w:tcPr>
          <w:p w14:paraId="7CACBA72" w14:textId="77777777" w:rsidR="008E16DB" w:rsidRDefault="008E16DB" w:rsidP="00E77716">
            <w:pPr>
              <w:contextualSpacing/>
              <w:rPr>
                <w:rFonts w:ascii="Arial" w:hAnsi="Arial" w:cs="Arial"/>
                <w:b/>
                <w:bCs/>
                <w:color w:val="000000"/>
              </w:rPr>
            </w:pPr>
            <w:r w:rsidRPr="00274C3E">
              <w:rPr>
                <w:rFonts w:ascii="Arial" w:hAnsi="Arial" w:cs="Arial"/>
                <w:b/>
                <w:bCs/>
                <w:color w:val="000000"/>
              </w:rPr>
              <w:t xml:space="preserve">Acquired </w:t>
            </w:r>
            <w:r>
              <w:rPr>
                <w:rFonts w:ascii="Arial" w:hAnsi="Arial" w:cs="Arial"/>
                <w:b/>
                <w:bCs/>
                <w:color w:val="000000"/>
              </w:rPr>
              <w:t>an ARO</w:t>
            </w:r>
          </w:p>
          <w:p w14:paraId="0979AB84" w14:textId="77777777" w:rsidR="008E16DB" w:rsidRPr="00274C3E" w:rsidRDefault="008E16DB" w:rsidP="00E77716">
            <w:pPr>
              <w:contextualSpacing/>
              <w:rPr>
                <w:rFonts w:ascii="Arial" w:hAnsi="Arial" w:cs="Arial"/>
                <w:b/>
                <w:bCs/>
                <w:color w:val="000000"/>
              </w:rPr>
            </w:pPr>
            <w:r w:rsidRPr="00274C3E">
              <w:rPr>
                <w:rFonts w:ascii="Arial" w:hAnsi="Arial" w:cs="Arial"/>
                <w:b/>
                <w:bCs/>
                <w:color w:val="000000"/>
              </w:rPr>
              <w:t>(N = 18)</w:t>
            </w:r>
          </w:p>
        </w:tc>
        <w:tc>
          <w:tcPr>
            <w:tcW w:w="2250" w:type="dxa"/>
            <w:tcBorders>
              <w:top w:val="nil"/>
              <w:left w:val="nil"/>
              <w:bottom w:val="single" w:sz="4" w:space="0" w:color="auto"/>
              <w:right w:val="nil"/>
            </w:tcBorders>
            <w:shd w:val="clear" w:color="auto" w:fill="auto"/>
            <w:vAlign w:val="center"/>
            <w:hideMark/>
          </w:tcPr>
          <w:p w14:paraId="1BB5A36C" w14:textId="77777777" w:rsidR="008E16DB" w:rsidRPr="00274C3E" w:rsidRDefault="008E16DB" w:rsidP="00E77716">
            <w:pPr>
              <w:contextualSpacing/>
              <w:rPr>
                <w:rFonts w:ascii="Arial" w:hAnsi="Arial" w:cs="Arial"/>
                <w:b/>
                <w:bCs/>
                <w:color w:val="000000"/>
              </w:rPr>
            </w:pPr>
            <w:r w:rsidRPr="00274C3E">
              <w:rPr>
                <w:rFonts w:ascii="Arial" w:hAnsi="Arial" w:cs="Arial"/>
                <w:b/>
                <w:bCs/>
                <w:color w:val="000000"/>
              </w:rPr>
              <w:t>OR (95% CI)</w:t>
            </w:r>
          </w:p>
        </w:tc>
        <w:tc>
          <w:tcPr>
            <w:tcW w:w="1260" w:type="dxa"/>
            <w:tcBorders>
              <w:top w:val="nil"/>
              <w:left w:val="nil"/>
              <w:bottom w:val="single" w:sz="4" w:space="0" w:color="auto"/>
              <w:right w:val="nil"/>
            </w:tcBorders>
            <w:shd w:val="clear" w:color="auto" w:fill="auto"/>
            <w:vAlign w:val="center"/>
            <w:hideMark/>
          </w:tcPr>
          <w:p w14:paraId="224B301E" w14:textId="77777777" w:rsidR="008E16DB" w:rsidRPr="00274C3E" w:rsidRDefault="008E16DB" w:rsidP="00E77716">
            <w:pPr>
              <w:contextualSpacing/>
              <w:rPr>
                <w:rFonts w:ascii="Arial" w:hAnsi="Arial" w:cs="Arial"/>
                <w:b/>
                <w:bCs/>
                <w:color w:val="000000"/>
              </w:rPr>
            </w:pPr>
            <w:r w:rsidRPr="00274C3E">
              <w:rPr>
                <w:rFonts w:ascii="Arial" w:hAnsi="Arial" w:cs="Arial"/>
                <w:b/>
                <w:bCs/>
                <w:color w:val="000000"/>
              </w:rPr>
              <w:t>P value</w:t>
            </w:r>
          </w:p>
        </w:tc>
      </w:tr>
      <w:tr w:rsidR="008E16DB" w:rsidRPr="00274C3E" w14:paraId="03576B5A" w14:textId="77777777" w:rsidTr="00E77716">
        <w:trPr>
          <w:trHeight w:val="368"/>
        </w:trPr>
        <w:tc>
          <w:tcPr>
            <w:tcW w:w="5040" w:type="dxa"/>
            <w:tcBorders>
              <w:top w:val="nil"/>
              <w:left w:val="nil"/>
              <w:bottom w:val="nil"/>
              <w:right w:val="nil"/>
            </w:tcBorders>
            <w:shd w:val="clear" w:color="auto" w:fill="auto"/>
            <w:vAlign w:val="center"/>
            <w:hideMark/>
          </w:tcPr>
          <w:p w14:paraId="3DCEC815"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Age, year, mean, (SD)</w:t>
            </w:r>
          </w:p>
        </w:tc>
        <w:tc>
          <w:tcPr>
            <w:tcW w:w="1980" w:type="dxa"/>
            <w:tcBorders>
              <w:top w:val="nil"/>
              <w:left w:val="nil"/>
              <w:bottom w:val="nil"/>
              <w:right w:val="nil"/>
            </w:tcBorders>
            <w:shd w:val="clear" w:color="auto" w:fill="auto"/>
            <w:vAlign w:val="center"/>
            <w:hideMark/>
          </w:tcPr>
          <w:p w14:paraId="40DE98C8"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71.1 (13.4)</w:t>
            </w:r>
          </w:p>
        </w:tc>
        <w:tc>
          <w:tcPr>
            <w:tcW w:w="1890" w:type="dxa"/>
            <w:tcBorders>
              <w:top w:val="nil"/>
              <w:left w:val="nil"/>
              <w:bottom w:val="nil"/>
              <w:right w:val="nil"/>
            </w:tcBorders>
            <w:shd w:val="clear" w:color="auto" w:fill="auto"/>
            <w:vAlign w:val="center"/>
            <w:hideMark/>
          </w:tcPr>
          <w:p w14:paraId="3698119D"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74.5 (11.5)</w:t>
            </w:r>
          </w:p>
        </w:tc>
        <w:tc>
          <w:tcPr>
            <w:tcW w:w="2250" w:type="dxa"/>
            <w:tcBorders>
              <w:top w:val="nil"/>
              <w:left w:val="nil"/>
              <w:bottom w:val="nil"/>
              <w:right w:val="nil"/>
            </w:tcBorders>
            <w:shd w:val="clear" w:color="auto" w:fill="auto"/>
            <w:vAlign w:val="center"/>
            <w:hideMark/>
          </w:tcPr>
          <w:p w14:paraId="02E88F87"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1.02 (0.98 - 1.07)</w:t>
            </w:r>
          </w:p>
        </w:tc>
        <w:tc>
          <w:tcPr>
            <w:tcW w:w="1260" w:type="dxa"/>
            <w:tcBorders>
              <w:top w:val="nil"/>
              <w:left w:val="nil"/>
              <w:bottom w:val="nil"/>
              <w:right w:val="nil"/>
            </w:tcBorders>
            <w:shd w:val="clear" w:color="auto" w:fill="auto"/>
            <w:vAlign w:val="center"/>
            <w:hideMark/>
          </w:tcPr>
          <w:p w14:paraId="2ED6D934"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0.34</w:t>
            </w:r>
          </w:p>
        </w:tc>
      </w:tr>
      <w:tr w:rsidR="008E16DB" w:rsidRPr="00274C3E" w14:paraId="577EFA21" w14:textId="77777777" w:rsidTr="00E77716">
        <w:trPr>
          <w:trHeight w:val="368"/>
        </w:trPr>
        <w:tc>
          <w:tcPr>
            <w:tcW w:w="5040" w:type="dxa"/>
            <w:tcBorders>
              <w:top w:val="nil"/>
              <w:left w:val="nil"/>
              <w:bottom w:val="nil"/>
              <w:right w:val="nil"/>
            </w:tcBorders>
            <w:shd w:val="clear" w:color="auto" w:fill="auto"/>
            <w:vAlign w:val="center"/>
            <w:hideMark/>
          </w:tcPr>
          <w:p w14:paraId="4BBDFC70"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Male sex, N, (%)</w:t>
            </w:r>
          </w:p>
        </w:tc>
        <w:tc>
          <w:tcPr>
            <w:tcW w:w="1980" w:type="dxa"/>
            <w:tcBorders>
              <w:top w:val="nil"/>
              <w:left w:val="nil"/>
              <w:bottom w:val="nil"/>
              <w:right w:val="nil"/>
            </w:tcBorders>
            <w:shd w:val="clear" w:color="auto" w:fill="auto"/>
            <w:vAlign w:val="center"/>
            <w:hideMark/>
          </w:tcPr>
          <w:p w14:paraId="528A3CFD"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15 (34.9)</w:t>
            </w:r>
          </w:p>
        </w:tc>
        <w:tc>
          <w:tcPr>
            <w:tcW w:w="1890" w:type="dxa"/>
            <w:tcBorders>
              <w:top w:val="nil"/>
              <w:left w:val="nil"/>
              <w:bottom w:val="nil"/>
              <w:right w:val="nil"/>
            </w:tcBorders>
            <w:shd w:val="clear" w:color="auto" w:fill="auto"/>
            <w:vAlign w:val="center"/>
            <w:hideMark/>
          </w:tcPr>
          <w:p w14:paraId="1C5289C2"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7 (38.9)</w:t>
            </w:r>
          </w:p>
        </w:tc>
        <w:tc>
          <w:tcPr>
            <w:tcW w:w="2250" w:type="dxa"/>
            <w:tcBorders>
              <w:top w:val="nil"/>
              <w:left w:val="nil"/>
              <w:bottom w:val="nil"/>
              <w:right w:val="nil"/>
            </w:tcBorders>
            <w:shd w:val="clear" w:color="auto" w:fill="auto"/>
            <w:vAlign w:val="center"/>
            <w:hideMark/>
          </w:tcPr>
          <w:p w14:paraId="257B94C5"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1.19 (0.37 - 3.68)</w:t>
            </w:r>
          </w:p>
        </w:tc>
        <w:tc>
          <w:tcPr>
            <w:tcW w:w="1260" w:type="dxa"/>
            <w:tcBorders>
              <w:top w:val="nil"/>
              <w:left w:val="nil"/>
              <w:bottom w:val="nil"/>
              <w:right w:val="nil"/>
            </w:tcBorders>
            <w:shd w:val="clear" w:color="auto" w:fill="auto"/>
            <w:vAlign w:val="center"/>
            <w:hideMark/>
          </w:tcPr>
          <w:p w14:paraId="11071360"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0.77</w:t>
            </w:r>
          </w:p>
        </w:tc>
      </w:tr>
      <w:tr w:rsidR="008E16DB" w:rsidRPr="00274C3E" w14:paraId="10589F65" w14:textId="77777777" w:rsidTr="00E77716">
        <w:trPr>
          <w:trHeight w:val="368"/>
        </w:trPr>
        <w:tc>
          <w:tcPr>
            <w:tcW w:w="5040" w:type="dxa"/>
            <w:tcBorders>
              <w:top w:val="nil"/>
              <w:left w:val="nil"/>
              <w:bottom w:val="nil"/>
              <w:right w:val="nil"/>
            </w:tcBorders>
            <w:shd w:val="clear" w:color="auto" w:fill="auto"/>
            <w:vAlign w:val="center"/>
            <w:hideMark/>
          </w:tcPr>
          <w:p w14:paraId="3D4E9CEE"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Black race, N, (%)</w:t>
            </w:r>
          </w:p>
        </w:tc>
        <w:tc>
          <w:tcPr>
            <w:tcW w:w="1980" w:type="dxa"/>
            <w:tcBorders>
              <w:top w:val="nil"/>
              <w:left w:val="nil"/>
              <w:bottom w:val="nil"/>
              <w:right w:val="nil"/>
            </w:tcBorders>
            <w:shd w:val="clear" w:color="auto" w:fill="auto"/>
            <w:vAlign w:val="center"/>
            <w:hideMark/>
          </w:tcPr>
          <w:p w14:paraId="0BE7213E"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16 (37.2)</w:t>
            </w:r>
          </w:p>
        </w:tc>
        <w:tc>
          <w:tcPr>
            <w:tcW w:w="1890" w:type="dxa"/>
            <w:tcBorders>
              <w:top w:val="nil"/>
              <w:left w:val="nil"/>
              <w:bottom w:val="nil"/>
              <w:right w:val="nil"/>
            </w:tcBorders>
            <w:shd w:val="clear" w:color="auto" w:fill="auto"/>
            <w:vAlign w:val="center"/>
            <w:hideMark/>
          </w:tcPr>
          <w:p w14:paraId="3CF305A4"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8 (44.4)</w:t>
            </w:r>
          </w:p>
        </w:tc>
        <w:tc>
          <w:tcPr>
            <w:tcW w:w="2250" w:type="dxa"/>
            <w:tcBorders>
              <w:top w:val="nil"/>
              <w:left w:val="nil"/>
              <w:bottom w:val="nil"/>
              <w:right w:val="nil"/>
            </w:tcBorders>
            <w:shd w:val="clear" w:color="auto" w:fill="auto"/>
            <w:vAlign w:val="center"/>
            <w:hideMark/>
          </w:tcPr>
          <w:p w14:paraId="522C2E4F"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1.35 (0.43 - 4.14)</w:t>
            </w:r>
          </w:p>
        </w:tc>
        <w:tc>
          <w:tcPr>
            <w:tcW w:w="1260" w:type="dxa"/>
            <w:tcBorders>
              <w:top w:val="nil"/>
              <w:left w:val="nil"/>
              <w:bottom w:val="nil"/>
              <w:right w:val="nil"/>
            </w:tcBorders>
            <w:shd w:val="clear" w:color="auto" w:fill="auto"/>
            <w:vAlign w:val="center"/>
            <w:hideMark/>
          </w:tcPr>
          <w:p w14:paraId="03F95C5A"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0.6</w:t>
            </w:r>
            <w:r>
              <w:rPr>
                <w:rFonts w:ascii="Arial" w:hAnsi="Arial" w:cs="Arial"/>
                <w:color w:val="000000"/>
              </w:rPr>
              <w:t>0</w:t>
            </w:r>
          </w:p>
        </w:tc>
      </w:tr>
      <w:tr w:rsidR="008E16DB" w:rsidRPr="00274C3E" w14:paraId="10FCB93A" w14:textId="77777777" w:rsidTr="00E77716">
        <w:trPr>
          <w:trHeight w:val="368"/>
        </w:trPr>
        <w:tc>
          <w:tcPr>
            <w:tcW w:w="5040" w:type="dxa"/>
            <w:tcBorders>
              <w:top w:val="nil"/>
              <w:left w:val="nil"/>
              <w:bottom w:val="nil"/>
              <w:right w:val="nil"/>
            </w:tcBorders>
            <w:shd w:val="clear" w:color="auto" w:fill="auto"/>
            <w:vAlign w:val="center"/>
            <w:hideMark/>
          </w:tcPr>
          <w:p w14:paraId="32E7B019"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Body mass index, mean, (SD)</w:t>
            </w:r>
          </w:p>
        </w:tc>
        <w:tc>
          <w:tcPr>
            <w:tcW w:w="1980" w:type="dxa"/>
            <w:tcBorders>
              <w:top w:val="nil"/>
              <w:left w:val="nil"/>
              <w:bottom w:val="nil"/>
              <w:right w:val="nil"/>
            </w:tcBorders>
            <w:shd w:val="clear" w:color="auto" w:fill="auto"/>
            <w:vAlign w:val="center"/>
            <w:hideMark/>
          </w:tcPr>
          <w:p w14:paraId="7D5B70B7"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29.7 (9.1)</w:t>
            </w:r>
          </w:p>
        </w:tc>
        <w:tc>
          <w:tcPr>
            <w:tcW w:w="1890" w:type="dxa"/>
            <w:tcBorders>
              <w:top w:val="nil"/>
              <w:left w:val="nil"/>
              <w:bottom w:val="nil"/>
              <w:right w:val="nil"/>
            </w:tcBorders>
            <w:shd w:val="clear" w:color="auto" w:fill="auto"/>
            <w:vAlign w:val="center"/>
            <w:hideMark/>
          </w:tcPr>
          <w:p w14:paraId="3800212E"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27.3 (7.7)</w:t>
            </w:r>
          </w:p>
        </w:tc>
        <w:tc>
          <w:tcPr>
            <w:tcW w:w="2250" w:type="dxa"/>
            <w:tcBorders>
              <w:top w:val="nil"/>
              <w:left w:val="nil"/>
              <w:bottom w:val="nil"/>
              <w:right w:val="nil"/>
            </w:tcBorders>
            <w:shd w:val="clear" w:color="auto" w:fill="auto"/>
            <w:vAlign w:val="center"/>
            <w:hideMark/>
          </w:tcPr>
          <w:p w14:paraId="7805AF8F"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0.97 (0.90 - 1.03)</w:t>
            </w:r>
          </w:p>
        </w:tc>
        <w:tc>
          <w:tcPr>
            <w:tcW w:w="1260" w:type="dxa"/>
            <w:tcBorders>
              <w:top w:val="nil"/>
              <w:left w:val="nil"/>
              <w:bottom w:val="nil"/>
              <w:right w:val="nil"/>
            </w:tcBorders>
            <w:shd w:val="clear" w:color="auto" w:fill="auto"/>
            <w:vAlign w:val="center"/>
            <w:hideMark/>
          </w:tcPr>
          <w:p w14:paraId="0D2CF697"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0.34</w:t>
            </w:r>
          </w:p>
        </w:tc>
      </w:tr>
      <w:tr w:rsidR="008E16DB" w:rsidRPr="00274C3E" w14:paraId="430390E8" w14:textId="77777777" w:rsidTr="00E77716">
        <w:trPr>
          <w:trHeight w:val="368"/>
        </w:trPr>
        <w:tc>
          <w:tcPr>
            <w:tcW w:w="5040" w:type="dxa"/>
            <w:tcBorders>
              <w:top w:val="nil"/>
              <w:left w:val="nil"/>
              <w:bottom w:val="nil"/>
              <w:right w:val="nil"/>
            </w:tcBorders>
            <w:shd w:val="clear" w:color="auto" w:fill="auto"/>
            <w:vAlign w:val="center"/>
            <w:hideMark/>
          </w:tcPr>
          <w:p w14:paraId="4A5AACA7"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Physical self-maintenance score, mean, (SD)</w:t>
            </w:r>
          </w:p>
        </w:tc>
        <w:tc>
          <w:tcPr>
            <w:tcW w:w="1980" w:type="dxa"/>
            <w:tcBorders>
              <w:top w:val="nil"/>
              <w:left w:val="nil"/>
              <w:bottom w:val="nil"/>
              <w:right w:val="nil"/>
            </w:tcBorders>
            <w:shd w:val="clear" w:color="auto" w:fill="auto"/>
            <w:vAlign w:val="center"/>
            <w:hideMark/>
          </w:tcPr>
          <w:p w14:paraId="139E608E"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11.6 (3.0)</w:t>
            </w:r>
          </w:p>
        </w:tc>
        <w:tc>
          <w:tcPr>
            <w:tcW w:w="1890" w:type="dxa"/>
            <w:tcBorders>
              <w:top w:val="nil"/>
              <w:left w:val="nil"/>
              <w:bottom w:val="nil"/>
              <w:right w:val="nil"/>
            </w:tcBorders>
            <w:shd w:val="clear" w:color="auto" w:fill="auto"/>
            <w:vAlign w:val="center"/>
            <w:hideMark/>
          </w:tcPr>
          <w:p w14:paraId="3DEAF1EA"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11.4 (3.9)</w:t>
            </w:r>
          </w:p>
        </w:tc>
        <w:tc>
          <w:tcPr>
            <w:tcW w:w="2250" w:type="dxa"/>
            <w:tcBorders>
              <w:top w:val="nil"/>
              <w:left w:val="nil"/>
              <w:bottom w:val="nil"/>
              <w:right w:val="nil"/>
            </w:tcBorders>
            <w:shd w:val="clear" w:color="auto" w:fill="auto"/>
            <w:vAlign w:val="center"/>
            <w:hideMark/>
          </w:tcPr>
          <w:p w14:paraId="794F7F09"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0.98 (0.82 - 1.16)</w:t>
            </w:r>
          </w:p>
        </w:tc>
        <w:tc>
          <w:tcPr>
            <w:tcW w:w="1260" w:type="dxa"/>
            <w:tcBorders>
              <w:top w:val="nil"/>
              <w:left w:val="nil"/>
              <w:bottom w:val="nil"/>
              <w:right w:val="nil"/>
            </w:tcBorders>
            <w:shd w:val="clear" w:color="auto" w:fill="auto"/>
            <w:vAlign w:val="center"/>
            <w:hideMark/>
          </w:tcPr>
          <w:p w14:paraId="79C98516"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0.83</w:t>
            </w:r>
          </w:p>
        </w:tc>
      </w:tr>
      <w:tr w:rsidR="008E16DB" w:rsidRPr="00274C3E" w14:paraId="1F93CC30" w14:textId="77777777" w:rsidTr="00E77716">
        <w:trPr>
          <w:trHeight w:val="368"/>
        </w:trPr>
        <w:tc>
          <w:tcPr>
            <w:tcW w:w="5040" w:type="dxa"/>
            <w:tcBorders>
              <w:top w:val="nil"/>
              <w:left w:val="nil"/>
              <w:bottom w:val="nil"/>
              <w:right w:val="nil"/>
            </w:tcBorders>
            <w:shd w:val="clear" w:color="auto" w:fill="auto"/>
            <w:vAlign w:val="center"/>
            <w:hideMark/>
          </w:tcPr>
          <w:p w14:paraId="7ADAEE1E"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Charlson comorbidity score, mean, (SD)</w:t>
            </w:r>
          </w:p>
        </w:tc>
        <w:tc>
          <w:tcPr>
            <w:tcW w:w="1980" w:type="dxa"/>
            <w:tcBorders>
              <w:top w:val="nil"/>
              <w:left w:val="nil"/>
              <w:bottom w:val="nil"/>
              <w:right w:val="nil"/>
            </w:tcBorders>
            <w:shd w:val="clear" w:color="auto" w:fill="auto"/>
            <w:vAlign w:val="center"/>
            <w:hideMark/>
          </w:tcPr>
          <w:p w14:paraId="3BEDECEF"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1.1 (0.6)</w:t>
            </w:r>
          </w:p>
        </w:tc>
        <w:tc>
          <w:tcPr>
            <w:tcW w:w="1890" w:type="dxa"/>
            <w:tcBorders>
              <w:top w:val="nil"/>
              <w:left w:val="nil"/>
              <w:bottom w:val="nil"/>
              <w:right w:val="nil"/>
            </w:tcBorders>
            <w:shd w:val="clear" w:color="auto" w:fill="auto"/>
            <w:vAlign w:val="center"/>
            <w:hideMark/>
          </w:tcPr>
          <w:p w14:paraId="31A7665D"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1.2 (0.6)</w:t>
            </w:r>
          </w:p>
        </w:tc>
        <w:tc>
          <w:tcPr>
            <w:tcW w:w="2250" w:type="dxa"/>
            <w:tcBorders>
              <w:top w:val="nil"/>
              <w:left w:val="nil"/>
              <w:bottom w:val="nil"/>
              <w:right w:val="nil"/>
            </w:tcBorders>
            <w:shd w:val="clear" w:color="auto" w:fill="auto"/>
            <w:vAlign w:val="center"/>
            <w:hideMark/>
          </w:tcPr>
          <w:p w14:paraId="7E0ED9F2"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1.21 (0.49 - 3.12)</w:t>
            </w:r>
          </w:p>
        </w:tc>
        <w:tc>
          <w:tcPr>
            <w:tcW w:w="1260" w:type="dxa"/>
            <w:tcBorders>
              <w:top w:val="nil"/>
              <w:left w:val="nil"/>
              <w:bottom w:val="nil"/>
              <w:right w:val="nil"/>
            </w:tcBorders>
            <w:shd w:val="clear" w:color="auto" w:fill="auto"/>
            <w:vAlign w:val="center"/>
            <w:hideMark/>
          </w:tcPr>
          <w:p w14:paraId="1ACC02CA"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0.68</w:t>
            </w:r>
          </w:p>
        </w:tc>
      </w:tr>
      <w:tr w:rsidR="008E16DB" w:rsidRPr="00274C3E" w14:paraId="03B66C50" w14:textId="77777777" w:rsidTr="00E77716">
        <w:trPr>
          <w:trHeight w:val="368"/>
        </w:trPr>
        <w:tc>
          <w:tcPr>
            <w:tcW w:w="5040" w:type="dxa"/>
            <w:tcBorders>
              <w:top w:val="nil"/>
              <w:left w:val="nil"/>
              <w:bottom w:val="nil"/>
              <w:right w:val="nil"/>
            </w:tcBorders>
            <w:shd w:val="clear" w:color="auto" w:fill="auto"/>
            <w:vAlign w:val="center"/>
            <w:hideMark/>
          </w:tcPr>
          <w:p w14:paraId="040D07E3"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Length of hospital stay, mean, (SD)</w:t>
            </w:r>
          </w:p>
        </w:tc>
        <w:tc>
          <w:tcPr>
            <w:tcW w:w="1980" w:type="dxa"/>
            <w:tcBorders>
              <w:top w:val="nil"/>
              <w:left w:val="nil"/>
              <w:bottom w:val="nil"/>
              <w:right w:val="nil"/>
            </w:tcBorders>
            <w:shd w:val="clear" w:color="auto" w:fill="auto"/>
            <w:vAlign w:val="center"/>
            <w:hideMark/>
          </w:tcPr>
          <w:p w14:paraId="02F436A8"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1.7 (0.5)</w:t>
            </w:r>
          </w:p>
        </w:tc>
        <w:tc>
          <w:tcPr>
            <w:tcW w:w="1890" w:type="dxa"/>
            <w:tcBorders>
              <w:top w:val="nil"/>
              <w:left w:val="nil"/>
              <w:bottom w:val="nil"/>
              <w:right w:val="nil"/>
            </w:tcBorders>
            <w:shd w:val="clear" w:color="auto" w:fill="auto"/>
            <w:vAlign w:val="center"/>
            <w:hideMark/>
          </w:tcPr>
          <w:p w14:paraId="6DE17E6E"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1.9 (0.8)</w:t>
            </w:r>
          </w:p>
        </w:tc>
        <w:tc>
          <w:tcPr>
            <w:tcW w:w="2250" w:type="dxa"/>
            <w:tcBorders>
              <w:top w:val="nil"/>
              <w:left w:val="nil"/>
              <w:bottom w:val="nil"/>
              <w:right w:val="nil"/>
            </w:tcBorders>
            <w:shd w:val="clear" w:color="auto" w:fill="auto"/>
            <w:vAlign w:val="center"/>
            <w:hideMark/>
          </w:tcPr>
          <w:p w14:paraId="7EBC3307"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1.80 (0.73 - 4.68)</w:t>
            </w:r>
          </w:p>
        </w:tc>
        <w:tc>
          <w:tcPr>
            <w:tcW w:w="1260" w:type="dxa"/>
            <w:tcBorders>
              <w:top w:val="nil"/>
              <w:left w:val="nil"/>
              <w:bottom w:val="nil"/>
              <w:right w:val="nil"/>
            </w:tcBorders>
            <w:shd w:val="clear" w:color="auto" w:fill="auto"/>
            <w:vAlign w:val="center"/>
            <w:hideMark/>
          </w:tcPr>
          <w:p w14:paraId="14FE880F"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0.21</w:t>
            </w:r>
          </w:p>
        </w:tc>
      </w:tr>
      <w:tr w:rsidR="008E16DB" w:rsidRPr="00274C3E" w14:paraId="56719D39" w14:textId="77777777" w:rsidTr="00E77716">
        <w:trPr>
          <w:trHeight w:val="368"/>
        </w:trPr>
        <w:tc>
          <w:tcPr>
            <w:tcW w:w="5040" w:type="dxa"/>
            <w:tcBorders>
              <w:top w:val="nil"/>
              <w:left w:val="nil"/>
              <w:bottom w:val="nil"/>
              <w:right w:val="nil"/>
            </w:tcBorders>
            <w:shd w:val="clear" w:color="auto" w:fill="auto"/>
            <w:vAlign w:val="center"/>
            <w:hideMark/>
          </w:tcPr>
          <w:p w14:paraId="0865E9C5"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Urinary catheter within last 30 days, N, (%)</w:t>
            </w:r>
          </w:p>
        </w:tc>
        <w:tc>
          <w:tcPr>
            <w:tcW w:w="1980" w:type="dxa"/>
            <w:tcBorders>
              <w:top w:val="nil"/>
              <w:left w:val="nil"/>
              <w:bottom w:val="nil"/>
              <w:right w:val="nil"/>
            </w:tcBorders>
            <w:shd w:val="clear" w:color="auto" w:fill="auto"/>
            <w:vAlign w:val="center"/>
            <w:hideMark/>
          </w:tcPr>
          <w:p w14:paraId="48C5E097"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4 (9.3)</w:t>
            </w:r>
          </w:p>
        </w:tc>
        <w:tc>
          <w:tcPr>
            <w:tcW w:w="1890" w:type="dxa"/>
            <w:tcBorders>
              <w:top w:val="nil"/>
              <w:left w:val="nil"/>
              <w:bottom w:val="nil"/>
              <w:right w:val="nil"/>
            </w:tcBorders>
            <w:shd w:val="clear" w:color="auto" w:fill="auto"/>
            <w:vAlign w:val="center"/>
            <w:hideMark/>
          </w:tcPr>
          <w:p w14:paraId="6A45D945"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4 (22.2)</w:t>
            </w:r>
          </w:p>
        </w:tc>
        <w:tc>
          <w:tcPr>
            <w:tcW w:w="2250" w:type="dxa"/>
            <w:tcBorders>
              <w:top w:val="nil"/>
              <w:left w:val="nil"/>
              <w:bottom w:val="nil"/>
              <w:right w:val="nil"/>
            </w:tcBorders>
            <w:shd w:val="clear" w:color="auto" w:fill="auto"/>
            <w:vAlign w:val="center"/>
            <w:hideMark/>
          </w:tcPr>
          <w:p w14:paraId="14AD12CC"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2.92 (0.61 - 14.06)</w:t>
            </w:r>
          </w:p>
        </w:tc>
        <w:tc>
          <w:tcPr>
            <w:tcW w:w="1260" w:type="dxa"/>
            <w:tcBorders>
              <w:top w:val="nil"/>
              <w:left w:val="nil"/>
              <w:bottom w:val="nil"/>
              <w:right w:val="nil"/>
            </w:tcBorders>
            <w:shd w:val="clear" w:color="auto" w:fill="auto"/>
            <w:vAlign w:val="center"/>
            <w:hideMark/>
          </w:tcPr>
          <w:p w14:paraId="4EB6D0B5"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0.17</w:t>
            </w:r>
          </w:p>
        </w:tc>
      </w:tr>
      <w:tr w:rsidR="008E16DB" w:rsidRPr="00274C3E" w14:paraId="6FE9A08E" w14:textId="77777777" w:rsidTr="00E77716">
        <w:trPr>
          <w:trHeight w:val="368"/>
        </w:trPr>
        <w:tc>
          <w:tcPr>
            <w:tcW w:w="5040" w:type="dxa"/>
            <w:tcBorders>
              <w:top w:val="nil"/>
              <w:left w:val="nil"/>
              <w:bottom w:val="nil"/>
              <w:right w:val="nil"/>
            </w:tcBorders>
            <w:shd w:val="clear" w:color="auto" w:fill="auto"/>
            <w:vAlign w:val="center"/>
            <w:hideMark/>
          </w:tcPr>
          <w:p w14:paraId="5FA97C01"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 xml:space="preserve">Prior exposure to </w:t>
            </w:r>
            <w:r>
              <w:rPr>
                <w:rFonts w:ascii="Arial" w:hAnsi="Arial" w:cs="Arial"/>
                <w:color w:val="000000"/>
              </w:rPr>
              <w:t>low</w:t>
            </w:r>
            <w:r w:rsidRPr="00274C3E">
              <w:rPr>
                <w:rFonts w:ascii="Arial" w:hAnsi="Arial" w:cs="Arial"/>
                <w:color w:val="000000"/>
              </w:rPr>
              <w:t>-risk antibiotics, N, (%)</w:t>
            </w:r>
          </w:p>
        </w:tc>
        <w:tc>
          <w:tcPr>
            <w:tcW w:w="1980" w:type="dxa"/>
            <w:tcBorders>
              <w:top w:val="nil"/>
              <w:left w:val="nil"/>
              <w:bottom w:val="nil"/>
              <w:right w:val="nil"/>
            </w:tcBorders>
            <w:shd w:val="clear" w:color="auto" w:fill="auto"/>
            <w:vAlign w:val="center"/>
            <w:hideMark/>
          </w:tcPr>
          <w:p w14:paraId="04072C93"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11 (25.6)</w:t>
            </w:r>
          </w:p>
        </w:tc>
        <w:tc>
          <w:tcPr>
            <w:tcW w:w="1890" w:type="dxa"/>
            <w:tcBorders>
              <w:top w:val="nil"/>
              <w:left w:val="nil"/>
              <w:bottom w:val="nil"/>
              <w:right w:val="nil"/>
            </w:tcBorders>
            <w:shd w:val="clear" w:color="auto" w:fill="auto"/>
            <w:vAlign w:val="center"/>
            <w:hideMark/>
          </w:tcPr>
          <w:p w14:paraId="2245C0B2"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2 (11.1)</w:t>
            </w:r>
          </w:p>
        </w:tc>
        <w:tc>
          <w:tcPr>
            <w:tcW w:w="2250" w:type="dxa"/>
            <w:tcBorders>
              <w:top w:val="nil"/>
              <w:left w:val="nil"/>
              <w:bottom w:val="nil"/>
              <w:right w:val="nil"/>
            </w:tcBorders>
            <w:shd w:val="clear" w:color="auto" w:fill="auto"/>
            <w:vAlign w:val="center"/>
            <w:hideMark/>
          </w:tcPr>
          <w:p w14:paraId="68FE3677"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0.55 (0.08 - 2.57)</w:t>
            </w:r>
          </w:p>
        </w:tc>
        <w:tc>
          <w:tcPr>
            <w:tcW w:w="1260" w:type="dxa"/>
            <w:tcBorders>
              <w:top w:val="nil"/>
              <w:left w:val="nil"/>
              <w:bottom w:val="nil"/>
              <w:right w:val="nil"/>
            </w:tcBorders>
            <w:shd w:val="clear" w:color="auto" w:fill="auto"/>
            <w:vAlign w:val="center"/>
            <w:hideMark/>
          </w:tcPr>
          <w:p w14:paraId="7B7C7035"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0.</w:t>
            </w:r>
            <w:r>
              <w:rPr>
                <w:rFonts w:ascii="Arial" w:hAnsi="Arial" w:cs="Arial"/>
                <w:color w:val="000000"/>
              </w:rPr>
              <w:t>48</w:t>
            </w:r>
          </w:p>
        </w:tc>
      </w:tr>
      <w:tr w:rsidR="008E16DB" w:rsidRPr="00274C3E" w14:paraId="17F6454D" w14:textId="77777777" w:rsidTr="00E77716">
        <w:trPr>
          <w:trHeight w:val="368"/>
        </w:trPr>
        <w:tc>
          <w:tcPr>
            <w:tcW w:w="5040" w:type="dxa"/>
            <w:tcBorders>
              <w:top w:val="nil"/>
              <w:left w:val="nil"/>
              <w:bottom w:val="nil"/>
              <w:right w:val="nil"/>
            </w:tcBorders>
            <w:shd w:val="clear" w:color="auto" w:fill="auto"/>
            <w:vAlign w:val="center"/>
            <w:hideMark/>
          </w:tcPr>
          <w:p w14:paraId="70C158CD"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 xml:space="preserve">Prior exposure to </w:t>
            </w:r>
            <w:r>
              <w:rPr>
                <w:rFonts w:ascii="Arial" w:hAnsi="Arial" w:cs="Arial"/>
                <w:color w:val="000000"/>
              </w:rPr>
              <w:t>high</w:t>
            </w:r>
            <w:r w:rsidRPr="00274C3E">
              <w:rPr>
                <w:rFonts w:ascii="Arial" w:hAnsi="Arial" w:cs="Arial"/>
                <w:color w:val="000000"/>
              </w:rPr>
              <w:t>-risk antibiotics, N, (%)</w:t>
            </w:r>
          </w:p>
        </w:tc>
        <w:tc>
          <w:tcPr>
            <w:tcW w:w="1980" w:type="dxa"/>
            <w:tcBorders>
              <w:top w:val="nil"/>
              <w:left w:val="nil"/>
              <w:bottom w:val="nil"/>
              <w:right w:val="nil"/>
            </w:tcBorders>
            <w:shd w:val="clear" w:color="auto" w:fill="auto"/>
            <w:vAlign w:val="center"/>
            <w:hideMark/>
          </w:tcPr>
          <w:p w14:paraId="44789BFF"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5 (11.6)</w:t>
            </w:r>
          </w:p>
        </w:tc>
        <w:tc>
          <w:tcPr>
            <w:tcW w:w="1890" w:type="dxa"/>
            <w:tcBorders>
              <w:top w:val="nil"/>
              <w:left w:val="nil"/>
              <w:bottom w:val="nil"/>
              <w:right w:val="nil"/>
            </w:tcBorders>
            <w:shd w:val="clear" w:color="auto" w:fill="auto"/>
            <w:vAlign w:val="center"/>
            <w:hideMark/>
          </w:tcPr>
          <w:p w14:paraId="62055249"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7 (38.9)</w:t>
            </w:r>
          </w:p>
        </w:tc>
        <w:tc>
          <w:tcPr>
            <w:tcW w:w="2250" w:type="dxa"/>
            <w:tcBorders>
              <w:top w:val="nil"/>
              <w:left w:val="nil"/>
              <w:bottom w:val="nil"/>
              <w:right w:val="nil"/>
            </w:tcBorders>
            <w:shd w:val="clear" w:color="auto" w:fill="auto"/>
            <w:vAlign w:val="center"/>
            <w:hideMark/>
          </w:tcPr>
          <w:p w14:paraId="0132B3C2" w14:textId="77777777" w:rsidR="008E16DB" w:rsidRPr="00274C3E" w:rsidRDefault="008E16DB" w:rsidP="00E77716">
            <w:pPr>
              <w:spacing w:line="480" w:lineRule="auto"/>
              <w:rPr>
                <w:rFonts w:ascii="Arial" w:hAnsi="Arial" w:cs="Arial"/>
                <w:color w:val="000000"/>
              </w:rPr>
            </w:pPr>
            <w:r>
              <w:rPr>
                <w:rFonts w:ascii="Arial" w:hAnsi="Arial" w:cs="Arial"/>
                <w:color w:val="000000"/>
              </w:rPr>
              <w:t>4</w:t>
            </w:r>
            <w:r w:rsidRPr="00274C3E">
              <w:rPr>
                <w:rFonts w:ascii="Arial" w:hAnsi="Arial" w:cs="Arial"/>
                <w:color w:val="000000"/>
              </w:rPr>
              <w:t>.</w:t>
            </w:r>
            <w:r>
              <w:rPr>
                <w:rFonts w:ascii="Arial" w:hAnsi="Arial" w:cs="Arial"/>
                <w:color w:val="000000"/>
              </w:rPr>
              <w:t>20</w:t>
            </w:r>
            <w:r w:rsidRPr="00274C3E">
              <w:rPr>
                <w:rFonts w:ascii="Arial" w:hAnsi="Arial" w:cs="Arial"/>
                <w:color w:val="000000"/>
              </w:rPr>
              <w:t xml:space="preserve"> (</w:t>
            </w:r>
            <w:r>
              <w:rPr>
                <w:rFonts w:ascii="Arial" w:hAnsi="Arial" w:cs="Arial"/>
                <w:color w:val="000000"/>
              </w:rPr>
              <w:t>1</w:t>
            </w:r>
            <w:r w:rsidRPr="00274C3E">
              <w:rPr>
                <w:rFonts w:ascii="Arial" w:hAnsi="Arial" w:cs="Arial"/>
                <w:color w:val="000000"/>
              </w:rPr>
              <w:t xml:space="preserve">.08 - </w:t>
            </w:r>
            <w:r>
              <w:rPr>
                <w:rFonts w:ascii="Arial" w:hAnsi="Arial" w:cs="Arial"/>
                <w:color w:val="000000"/>
              </w:rPr>
              <w:t>17</w:t>
            </w:r>
            <w:r w:rsidRPr="00274C3E">
              <w:rPr>
                <w:rFonts w:ascii="Arial" w:hAnsi="Arial" w:cs="Arial"/>
                <w:color w:val="000000"/>
              </w:rPr>
              <w:t>.</w:t>
            </w:r>
            <w:r>
              <w:rPr>
                <w:rFonts w:ascii="Arial" w:hAnsi="Arial" w:cs="Arial"/>
                <w:color w:val="000000"/>
              </w:rPr>
              <w:t>63</w:t>
            </w:r>
            <w:r w:rsidRPr="00274C3E">
              <w:rPr>
                <w:rFonts w:ascii="Arial" w:hAnsi="Arial" w:cs="Arial"/>
                <w:color w:val="000000"/>
              </w:rPr>
              <w:t>)</w:t>
            </w:r>
          </w:p>
        </w:tc>
        <w:tc>
          <w:tcPr>
            <w:tcW w:w="1260" w:type="dxa"/>
            <w:tcBorders>
              <w:top w:val="nil"/>
              <w:left w:val="nil"/>
              <w:bottom w:val="nil"/>
              <w:right w:val="nil"/>
            </w:tcBorders>
            <w:shd w:val="clear" w:color="auto" w:fill="auto"/>
            <w:vAlign w:val="center"/>
            <w:hideMark/>
          </w:tcPr>
          <w:p w14:paraId="1126C8E9" w14:textId="77777777" w:rsidR="008E16DB" w:rsidRPr="00274C3E" w:rsidRDefault="008E16DB" w:rsidP="00E77716">
            <w:pPr>
              <w:spacing w:line="480" w:lineRule="auto"/>
              <w:rPr>
                <w:rFonts w:ascii="Arial" w:hAnsi="Arial" w:cs="Arial"/>
                <w:color w:val="000000"/>
              </w:rPr>
            </w:pPr>
            <w:r w:rsidRPr="00274C3E">
              <w:rPr>
                <w:rFonts w:ascii="Arial" w:hAnsi="Arial" w:cs="Arial"/>
                <w:color w:val="000000"/>
              </w:rPr>
              <w:t>0.</w:t>
            </w:r>
            <w:r>
              <w:rPr>
                <w:rFonts w:ascii="Arial" w:hAnsi="Arial" w:cs="Arial"/>
                <w:color w:val="000000"/>
              </w:rPr>
              <w:t>04</w:t>
            </w:r>
          </w:p>
        </w:tc>
      </w:tr>
    </w:tbl>
    <w:p w14:paraId="5DCD51DB" w14:textId="77777777" w:rsidR="008E16DB" w:rsidRDefault="008E16DB" w:rsidP="008E16DB">
      <w:pPr>
        <w:spacing w:line="480" w:lineRule="auto"/>
      </w:pPr>
    </w:p>
    <w:p w14:paraId="28CA2D91" w14:textId="77777777" w:rsidR="008E16DB" w:rsidRPr="00A6017B" w:rsidRDefault="008E16DB" w:rsidP="008E16DB">
      <w:pPr>
        <w:spacing w:line="480" w:lineRule="auto"/>
        <w:rPr>
          <w:rFonts w:ascii="Arial" w:hAnsi="Arial" w:cs="Arial"/>
        </w:rPr>
        <w:sectPr w:rsidR="008E16DB" w:rsidRPr="00A6017B" w:rsidSect="00A6017B">
          <w:pgSz w:w="15840" w:h="12240" w:orient="landscape"/>
          <w:pgMar w:top="1440" w:right="1440" w:bottom="1440" w:left="1440" w:header="720" w:footer="720" w:gutter="0"/>
          <w:cols w:space="720"/>
          <w:docGrid w:linePitch="360"/>
        </w:sectPr>
      </w:pPr>
      <w:bookmarkStart w:id="6" w:name="_Toc34581002"/>
      <w:r w:rsidRPr="00EA3429">
        <w:rPr>
          <w:rStyle w:val="Heading2Char"/>
          <w:rFonts w:ascii="Arial" w:hAnsi="Arial" w:cs="Arial"/>
          <w:b/>
          <w:bCs/>
          <w:color w:val="000000" w:themeColor="text1"/>
          <w:sz w:val="22"/>
          <w:szCs w:val="22"/>
        </w:rPr>
        <w:t>Table S1.  Clinical characteristics at enrollment and unadjusted bivariable analysis of patients who did not acquire versus who acquired an ARO.</w:t>
      </w:r>
      <w:bookmarkEnd w:id="6"/>
      <w:r w:rsidRPr="00EA3429">
        <w:rPr>
          <w:rFonts w:ascii="Arial" w:hAnsi="Arial" w:cs="Arial"/>
          <w:b/>
          <w:bCs/>
          <w:color w:val="000000" w:themeColor="text1"/>
        </w:rPr>
        <w:t xml:space="preserve"> </w:t>
      </w:r>
      <w:r>
        <w:rPr>
          <w:rFonts w:ascii="Arial" w:hAnsi="Arial" w:cs="Arial"/>
        </w:rPr>
        <w:t xml:space="preserve">Abbreviations: ARO, antibiotic-resistant organism including vancomycin-resistant </w:t>
      </w:r>
      <w:r>
        <w:rPr>
          <w:rFonts w:ascii="Arial" w:hAnsi="Arial" w:cs="Arial"/>
          <w:i/>
          <w:iCs/>
        </w:rPr>
        <w:t xml:space="preserve">Enterococcus </w:t>
      </w:r>
      <w:r>
        <w:rPr>
          <w:rFonts w:ascii="Arial" w:hAnsi="Arial" w:cs="Arial"/>
        </w:rPr>
        <w:t xml:space="preserve">and resistant Gram-negative bacteria; OR, odds ratio; CI, confidence interval; SD, standard deviation. Charlson comorbidity score and length of hospital stay were log transformed. Physical self-maintenance score is a metric for </w:t>
      </w:r>
      <w:r>
        <w:rPr>
          <w:rFonts w:ascii="Arial" w:hAnsi="Arial" w:cs="Arial"/>
        </w:rPr>
        <w:lastRenderedPageBreak/>
        <w:t>functional status, ranging from full independence (score of 6) to full</w:t>
      </w:r>
      <w:r w:rsidRPr="007C3562">
        <w:rPr>
          <w:rFonts w:ascii="Arial" w:hAnsi="Arial" w:cs="Arial"/>
        </w:rPr>
        <w:t xml:space="preserve"> dependence (score of 30) in six categories of </w:t>
      </w:r>
      <w:r>
        <w:rPr>
          <w:rFonts w:ascii="Arial" w:hAnsi="Arial" w:cs="Arial"/>
        </w:rPr>
        <w:t>daily</w:t>
      </w:r>
      <w:r w:rsidRPr="007C3562">
        <w:rPr>
          <w:rFonts w:ascii="Arial" w:hAnsi="Arial" w:cs="Arial"/>
        </w:rPr>
        <w:t xml:space="preserve"> activities including bathing, dressing feeding, walking, grooming and toileting.</w:t>
      </w:r>
    </w:p>
    <w:p w14:paraId="6F42DE27" w14:textId="598E22C5" w:rsidR="008E16DB" w:rsidRPr="008E16DB" w:rsidRDefault="008E16DB" w:rsidP="008E16DB">
      <w:pPr>
        <w:pStyle w:val="Heading1"/>
        <w:rPr>
          <w:rFonts w:ascii="Arial" w:hAnsi="Arial" w:cs="Arial"/>
          <w:b/>
          <w:bCs/>
          <w:color w:val="000000" w:themeColor="text1"/>
          <w:sz w:val="24"/>
          <w:szCs w:val="24"/>
          <w:lang w:val="en-CA"/>
        </w:rPr>
      </w:pPr>
      <w:r>
        <w:rPr>
          <w:rFonts w:ascii="Arial" w:hAnsi="Arial" w:cs="Arial"/>
          <w:b/>
          <w:bCs/>
          <w:color w:val="000000" w:themeColor="text1"/>
          <w:sz w:val="24"/>
          <w:szCs w:val="24"/>
          <w:lang w:val="en-CA"/>
        </w:rPr>
        <w:lastRenderedPageBreak/>
        <w:t>Supplemental References</w:t>
      </w:r>
    </w:p>
    <w:p w14:paraId="73516D22" w14:textId="77777777" w:rsidR="008E16DB" w:rsidRPr="00FC0365" w:rsidRDefault="008E16DB" w:rsidP="008E16DB">
      <w:pPr>
        <w:rPr>
          <w:lang w:val="en-CA"/>
        </w:rPr>
      </w:pPr>
    </w:p>
    <w:p w14:paraId="15D4B202" w14:textId="77777777" w:rsidR="008E16DB" w:rsidRPr="009C34FD" w:rsidRDefault="008E16DB" w:rsidP="008E16DB">
      <w:pPr>
        <w:pStyle w:val="Bibliography"/>
        <w:widowControl w:val="0"/>
        <w:rPr>
          <w:rFonts w:ascii="Arial" w:hAnsi="Arial" w:cs="Arial"/>
        </w:rPr>
      </w:pPr>
      <w:r>
        <w:rPr>
          <w:rFonts w:ascii="Arial" w:hAnsi="Arial" w:cs="Arial"/>
          <w:i/>
          <w:iCs/>
          <w:lang w:val="en-CA"/>
        </w:rPr>
        <w:fldChar w:fldCharType="begin"/>
      </w:r>
      <w:r>
        <w:rPr>
          <w:rFonts w:ascii="Arial" w:hAnsi="Arial" w:cs="Arial"/>
          <w:i/>
          <w:iCs/>
          <w:lang w:val="en-CA"/>
        </w:rPr>
        <w:instrText xml:space="preserve"> ADDIN ZOTERO_BIBL {"uncited":[],"omitted":[],"custom":[]} CSL_BIBLIOGRAPHY </w:instrText>
      </w:r>
      <w:r>
        <w:rPr>
          <w:rFonts w:ascii="Arial" w:hAnsi="Arial" w:cs="Arial"/>
          <w:i/>
          <w:iCs/>
          <w:lang w:val="en-CA"/>
        </w:rPr>
        <w:fldChar w:fldCharType="separate"/>
      </w:r>
      <w:r w:rsidRPr="009C34FD">
        <w:rPr>
          <w:rFonts w:ascii="Arial" w:hAnsi="Arial" w:cs="Arial"/>
        </w:rPr>
        <w:t xml:space="preserve">1. </w:t>
      </w:r>
      <w:r w:rsidRPr="009C34FD">
        <w:rPr>
          <w:rFonts w:ascii="Arial" w:hAnsi="Arial" w:cs="Arial"/>
        </w:rPr>
        <w:tab/>
        <w:t xml:space="preserve">Seekatz AM, Bassis CM, Fogg L, et al. Gut Microbiota and Clinical Features Distinguish Colonization With Klebsiella pneumoniae Carbapenemase-Producing Klebsiella pneumoniae at the Time of Admission to a Long-term Acute Care Hospital. Open Forum Infect Dis </w:t>
      </w:r>
      <w:r w:rsidRPr="009C34FD">
        <w:rPr>
          <w:rFonts w:ascii="Arial" w:hAnsi="Arial" w:cs="Arial"/>
          <w:b/>
          <w:bCs/>
        </w:rPr>
        <w:t>2018</w:t>
      </w:r>
      <w:r w:rsidRPr="009C34FD">
        <w:rPr>
          <w:rFonts w:ascii="Arial" w:hAnsi="Arial" w:cs="Arial"/>
        </w:rPr>
        <w:t>; 5. Available at: http://academic.oup.com/ofid/article/5/8/ofy190/5062196. Accessed 31 August 2018.</w:t>
      </w:r>
    </w:p>
    <w:p w14:paraId="1BBDA58F" w14:textId="77777777" w:rsidR="008E16DB" w:rsidRPr="009C34FD" w:rsidRDefault="008E16DB" w:rsidP="008E16DB">
      <w:pPr>
        <w:pStyle w:val="Bibliography"/>
        <w:widowControl w:val="0"/>
        <w:rPr>
          <w:rFonts w:ascii="Arial" w:hAnsi="Arial" w:cs="Arial"/>
        </w:rPr>
      </w:pPr>
      <w:r w:rsidRPr="009C34FD">
        <w:rPr>
          <w:rFonts w:ascii="Arial" w:hAnsi="Arial" w:cs="Arial"/>
        </w:rPr>
        <w:t xml:space="preserve">2. </w:t>
      </w:r>
      <w:r w:rsidRPr="009C34FD">
        <w:rPr>
          <w:rFonts w:ascii="Arial" w:hAnsi="Arial" w:cs="Arial"/>
        </w:rPr>
        <w:tab/>
        <w:t xml:space="preserve">Pruesse E, Quast C, Knittel K, et al. SILVA: a comprehensive online resource for quality checked and aligned ribosomal RNA sequence data compatible with ARB. Nucleic Acids Res </w:t>
      </w:r>
      <w:r w:rsidRPr="009C34FD">
        <w:rPr>
          <w:rFonts w:ascii="Arial" w:hAnsi="Arial" w:cs="Arial"/>
          <w:b/>
          <w:bCs/>
        </w:rPr>
        <w:t>2007</w:t>
      </w:r>
      <w:r w:rsidRPr="009C34FD">
        <w:rPr>
          <w:rFonts w:ascii="Arial" w:hAnsi="Arial" w:cs="Arial"/>
        </w:rPr>
        <w:t>; 35:7188–7196. Available at: https://www.ncbi.nlm.nih.gov/pmc/articles/PMC2175337/. Accessed 1 January 2020.</w:t>
      </w:r>
    </w:p>
    <w:p w14:paraId="55852694" w14:textId="77777777" w:rsidR="008E16DB" w:rsidRPr="009C34FD" w:rsidRDefault="008E16DB" w:rsidP="008E16DB">
      <w:pPr>
        <w:pStyle w:val="Bibliography"/>
        <w:widowControl w:val="0"/>
        <w:rPr>
          <w:rFonts w:ascii="Arial" w:hAnsi="Arial" w:cs="Arial"/>
        </w:rPr>
      </w:pPr>
      <w:r w:rsidRPr="009C34FD">
        <w:rPr>
          <w:rFonts w:ascii="Arial" w:hAnsi="Arial" w:cs="Arial"/>
        </w:rPr>
        <w:t xml:space="preserve">3. </w:t>
      </w:r>
      <w:r w:rsidRPr="009C34FD">
        <w:rPr>
          <w:rFonts w:ascii="Arial" w:hAnsi="Arial" w:cs="Arial"/>
        </w:rPr>
        <w:tab/>
        <w:t xml:space="preserve">Rognes T, Flouri T, Nichols B, Quince C, Mahé F. VSEARCH: a versatile open source tool for metagenomics. PeerJ </w:t>
      </w:r>
      <w:r w:rsidRPr="009C34FD">
        <w:rPr>
          <w:rFonts w:ascii="Arial" w:hAnsi="Arial" w:cs="Arial"/>
          <w:b/>
          <w:bCs/>
        </w:rPr>
        <w:t>2016</w:t>
      </w:r>
      <w:r w:rsidRPr="009C34FD">
        <w:rPr>
          <w:rFonts w:ascii="Arial" w:hAnsi="Arial" w:cs="Arial"/>
        </w:rPr>
        <w:t>; 4. Available at: https://www.ncbi.nlm.nih.gov/pmc/articles/PMC5075697/. Accessed 1 January 2020.</w:t>
      </w:r>
    </w:p>
    <w:p w14:paraId="7025EE7A" w14:textId="77777777" w:rsidR="008E16DB" w:rsidRPr="009C34FD" w:rsidRDefault="008E16DB" w:rsidP="008E16DB">
      <w:pPr>
        <w:pStyle w:val="Bibliography"/>
        <w:widowControl w:val="0"/>
        <w:rPr>
          <w:rFonts w:ascii="Arial" w:hAnsi="Arial" w:cs="Arial"/>
        </w:rPr>
      </w:pPr>
      <w:r w:rsidRPr="009C34FD">
        <w:rPr>
          <w:rFonts w:ascii="Arial" w:hAnsi="Arial" w:cs="Arial"/>
        </w:rPr>
        <w:t xml:space="preserve">4. </w:t>
      </w:r>
      <w:r w:rsidRPr="009C34FD">
        <w:rPr>
          <w:rFonts w:ascii="Arial" w:hAnsi="Arial" w:cs="Arial"/>
        </w:rPr>
        <w:tab/>
        <w:t xml:space="preserve">Cole JR, Wang Q, Fish JA, et al. Ribosomal Database Project: data and tools for high throughput rRNA analysis. Nucleic Acids Res </w:t>
      </w:r>
      <w:r w:rsidRPr="009C34FD">
        <w:rPr>
          <w:rFonts w:ascii="Arial" w:hAnsi="Arial" w:cs="Arial"/>
          <w:b/>
          <w:bCs/>
        </w:rPr>
        <w:t>2014</w:t>
      </w:r>
      <w:r w:rsidRPr="009C34FD">
        <w:rPr>
          <w:rFonts w:ascii="Arial" w:hAnsi="Arial" w:cs="Arial"/>
        </w:rPr>
        <w:t>; 42:D633–D642. Available at: https://academic.oup.com/nar/article/42/D1/D633/1063201. Accessed 1 January 2020.</w:t>
      </w:r>
    </w:p>
    <w:p w14:paraId="7A3AC20B" w14:textId="77777777" w:rsidR="008E16DB" w:rsidRPr="009C34FD" w:rsidRDefault="008E16DB" w:rsidP="008E16DB">
      <w:pPr>
        <w:pStyle w:val="Bibliography"/>
        <w:widowControl w:val="0"/>
        <w:rPr>
          <w:rFonts w:ascii="Arial" w:hAnsi="Arial" w:cs="Arial"/>
        </w:rPr>
      </w:pPr>
      <w:r w:rsidRPr="009C34FD">
        <w:rPr>
          <w:rFonts w:ascii="Arial" w:hAnsi="Arial" w:cs="Arial"/>
        </w:rPr>
        <w:t xml:space="preserve">5. </w:t>
      </w:r>
      <w:r w:rsidRPr="009C34FD">
        <w:rPr>
          <w:rFonts w:ascii="Arial" w:hAnsi="Arial" w:cs="Arial"/>
        </w:rPr>
        <w:tab/>
        <w:t xml:space="preserve">Riedel S editor, Hobden JA editor, Miller S editor, et al. Jawetz, Melnick &amp; Adelberg’s medical microbiology. 28th edition. New York, NY : McGraw-Hill Education, [2019], 2019. </w:t>
      </w:r>
    </w:p>
    <w:p w14:paraId="3B33066C" w14:textId="77777777" w:rsidR="008E16DB" w:rsidRPr="009C34FD" w:rsidRDefault="008E16DB" w:rsidP="008E16DB">
      <w:pPr>
        <w:pStyle w:val="Bibliography"/>
        <w:widowControl w:val="0"/>
        <w:rPr>
          <w:rFonts w:ascii="Arial" w:hAnsi="Arial" w:cs="Arial"/>
        </w:rPr>
      </w:pPr>
      <w:r w:rsidRPr="009C34FD">
        <w:rPr>
          <w:rFonts w:ascii="Arial" w:hAnsi="Arial" w:cs="Arial"/>
        </w:rPr>
        <w:t xml:space="preserve">6. </w:t>
      </w:r>
      <w:r w:rsidRPr="009C34FD">
        <w:rPr>
          <w:rFonts w:ascii="Arial" w:hAnsi="Arial" w:cs="Arial"/>
        </w:rPr>
        <w:tab/>
        <w:t xml:space="preserve">Murdoch DA. Gram-Positive Anaerobic Cocci. Clinical Microbiology Reviews </w:t>
      </w:r>
      <w:r w:rsidRPr="009C34FD">
        <w:rPr>
          <w:rFonts w:ascii="Arial" w:hAnsi="Arial" w:cs="Arial"/>
          <w:b/>
          <w:bCs/>
        </w:rPr>
        <w:t>1998</w:t>
      </w:r>
      <w:r w:rsidRPr="009C34FD">
        <w:rPr>
          <w:rFonts w:ascii="Arial" w:hAnsi="Arial" w:cs="Arial"/>
        </w:rPr>
        <w:t>; 11:81–120. Available at: http://cmr.asm.org/content/11/1/81. Accessed 2 January 2020.</w:t>
      </w:r>
    </w:p>
    <w:p w14:paraId="2F8A42C3" w14:textId="77777777" w:rsidR="008E16DB" w:rsidRPr="009C34FD" w:rsidRDefault="008E16DB" w:rsidP="008E16DB">
      <w:pPr>
        <w:pStyle w:val="Bibliography"/>
        <w:widowControl w:val="0"/>
        <w:rPr>
          <w:rFonts w:ascii="Arial" w:hAnsi="Arial" w:cs="Arial"/>
        </w:rPr>
      </w:pPr>
      <w:r w:rsidRPr="009C34FD">
        <w:rPr>
          <w:rFonts w:ascii="Arial" w:hAnsi="Arial" w:cs="Arial"/>
        </w:rPr>
        <w:t xml:space="preserve">7. </w:t>
      </w:r>
      <w:r w:rsidRPr="009C34FD">
        <w:rPr>
          <w:rFonts w:ascii="Arial" w:hAnsi="Arial" w:cs="Arial"/>
        </w:rPr>
        <w:tab/>
        <w:t xml:space="preserve">Jenq RR, Taur Y, Devlin SM, et al. Intestinal Blautia Is Associated with Reduced Death from Graft-versus-Host Disease. Biology of Blood and Marrow Transplantation </w:t>
      </w:r>
      <w:r w:rsidRPr="009C34FD">
        <w:rPr>
          <w:rFonts w:ascii="Arial" w:hAnsi="Arial" w:cs="Arial"/>
          <w:b/>
          <w:bCs/>
        </w:rPr>
        <w:t>2015</w:t>
      </w:r>
      <w:r w:rsidRPr="009C34FD">
        <w:rPr>
          <w:rFonts w:ascii="Arial" w:hAnsi="Arial" w:cs="Arial"/>
        </w:rPr>
        <w:t>; 21:1373–1383. Available at: https://www.bbmt.org/article/S1083-8791(15)00293-1/abstract. Accessed 2 January 2020.</w:t>
      </w:r>
    </w:p>
    <w:p w14:paraId="66301166" w14:textId="77777777" w:rsidR="008E16DB" w:rsidRPr="009C34FD" w:rsidRDefault="008E16DB" w:rsidP="008E16DB">
      <w:pPr>
        <w:pStyle w:val="Bibliography"/>
        <w:widowControl w:val="0"/>
        <w:rPr>
          <w:rFonts w:ascii="Arial" w:hAnsi="Arial" w:cs="Arial"/>
        </w:rPr>
      </w:pPr>
      <w:r w:rsidRPr="009C34FD">
        <w:rPr>
          <w:rFonts w:ascii="Arial" w:hAnsi="Arial" w:cs="Arial"/>
        </w:rPr>
        <w:t xml:space="preserve">8. </w:t>
      </w:r>
      <w:r w:rsidRPr="009C34FD">
        <w:rPr>
          <w:rFonts w:ascii="Arial" w:hAnsi="Arial" w:cs="Arial"/>
        </w:rPr>
        <w:tab/>
        <w:t xml:space="preserve">Rajilić-Stojanović M, de Vos WM. The first 1000 cultured species of the human gastrointestinal microbiota. FEMS Microbiol Rev </w:t>
      </w:r>
      <w:r w:rsidRPr="009C34FD">
        <w:rPr>
          <w:rFonts w:ascii="Arial" w:hAnsi="Arial" w:cs="Arial"/>
          <w:b/>
          <w:bCs/>
        </w:rPr>
        <w:t>2014</w:t>
      </w:r>
      <w:r w:rsidRPr="009C34FD">
        <w:rPr>
          <w:rFonts w:ascii="Arial" w:hAnsi="Arial" w:cs="Arial"/>
        </w:rPr>
        <w:t>; 38:996–1047. Available at: https://www.ncbi.nlm.nih.gov/pmc/articles/PMC4262072/. Accessed 2 January 2020.</w:t>
      </w:r>
    </w:p>
    <w:p w14:paraId="5D1858BC" w14:textId="77777777" w:rsidR="008E16DB" w:rsidRPr="009C34FD" w:rsidRDefault="008E16DB" w:rsidP="008E16DB">
      <w:pPr>
        <w:pStyle w:val="Bibliography"/>
        <w:widowControl w:val="0"/>
        <w:rPr>
          <w:rFonts w:ascii="Arial" w:hAnsi="Arial" w:cs="Arial"/>
        </w:rPr>
      </w:pPr>
      <w:r w:rsidRPr="009C34FD">
        <w:rPr>
          <w:rFonts w:ascii="Arial" w:hAnsi="Arial" w:cs="Arial"/>
        </w:rPr>
        <w:t xml:space="preserve">9. </w:t>
      </w:r>
      <w:r w:rsidRPr="009C34FD">
        <w:rPr>
          <w:rFonts w:ascii="Arial" w:hAnsi="Arial" w:cs="Arial"/>
        </w:rPr>
        <w:tab/>
        <w:t xml:space="preserve">Haak BW, Littmann ER, Chaubard J-L, et al. Impact of gut colonization with butyrate-producing microbiota on respiratory viral infection following allo-HCT. Blood </w:t>
      </w:r>
      <w:r w:rsidRPr="009C34FD">
        <w:rPr>
          <w:rFonts w:ascii="Arial" w:hAnsi="Arial" w:cs="Arial"/>
          <w:b/>
          <w:bCs/>
        </w:rPr>
        <w:t>2018</w:t>
      </w:r>
      <w:r w:rsidRPr="009C34FD">
        <w:rPr>
          <w:rFonts w:ascii="Arial" w:hAnsi="Arial" w:cs="Arial"/>
        </w:rPr>
        <w:t xml:space="preserve">; 131:2978–2986. Available at: </w:t>
      </w:r>
      <w:r w:rsidRPr="009C34FD">
        <w:rPr>
          <w:rFonts w:ascii="Arial" w:hAnsi="Arial" w:cs="Arial"/>
        </w:rPr>
        <w:lastRenderedPageBreak/>
        <w:t>https://ashpublications.org/blood/article/131/26/2978/39137/Impact-of-gut-colonization-with-butyrate-producing. Accessed 1 January 2020.</w:t>
      </w:r>
    </w:p>
    <w:p w14:paraId="29E70A04" w14:textId="22F8A098" w:rsidR="008E16DB" w:rsidRPr="008E16DB" w:rsidRDefault="008E16DB" w:rsidP="008E16DB">
      <w:pPr>
        <w:pStyle w:val="Caption"/>
        <w:widowControl w:val="0"/>
        <w:jc w:val="both"/>
      </w:pPr>
      <w:r>
        <w:rPr>
          <w:rFonts w:ascii="Arial" w:hAnsi="Arial" w:cs="Arial"/>
          <w:i w:val="0"/>
          <w:iCs w:val="0"/>
          <w:color w:val="auto"/>
          <w:sz w:val="24"/>
          <w:szCs w:val="24"/>
          <w:lang w:val="en-CA"/>
        </w:rPr>
        <w:fldChar w:fldCharType="end"/>
      </w:r>
    </w:p>
    <w:sectPr w:rsidR="008E16DB" w:rsidRPr="008E16DB" w:rsidSect="008E16DB">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1A85E" w14:textId="77777777" w:rsidR="003908B9" w:rsidRDefault="003908B9" w:rsidP="00EF7E15">
      <w:r>
        <w:separator/>
      </w:r>
    </w:p>
  </w:endnote>
  <w:endnote w:type="continuationSeparator" w:id="0">
    <w:p w14:paraId="7C1CCDEB" w14:textId="77777777" w:rsidR="003908B9" w:rsidRDefault="003908B9" w:rsidP="00EF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AFC76" w14:textId="77777777" w:rsidR="003908B9" w:rsidRDefault="003908B9" w:rsidP="00EF7E15">
      <w:r>
        <w:separator/>
      </w:r>
    </w:p>
  </w:footnote>
  <w:footnote w:type="continuationSeparator" w:id="0">
    <w:p w14:paraId="7582F73C" w14:textId="77777777" w:rsidR="003908B9" w:rsidRDefault="003908B9" w:rsidP="00EF7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D2797" w14:textId="77777777" w:rsidR="008E16DB" w:rsidRPr="00D00E82" w:rsidRDefault="008E16DB" w:rsidP="007854B6">
    <w:pPr>
      <w:pStyle w:val="Header"/>
      <w:tabs>
        <w:tab w:val="left" w:pos="3281"/>
      </w:tabs>
      <w:rPr>
        <w:rFonts w:ascii="Arial" w:hAnsi="Arial" w:cs="Arial"/>
        <w:i/>
        <w:iCs/>
        <w:lang w:val="en-CA"/>
      </w:rPr>
    </w:pPr>
    <w:r>
      <w:rPr>
        <w:rFonts w:ascii="Arial" w:hAnsi="Arial" w:cs="Arial"/>
        <w:lang w:val="en-CA"/>
      </w:rPr>
      <w:t>Gut microbiota and acquisition of resistant organism</w:t>
    </w:r>
    <w:r>
      <w:rPr>
        <w:rFonts w:ascii="Arial" w:hAnsi="Arial" w:cs="Arial"/>
        <w:lang w:val="en-CA"/>
      </w:rPr>
      <w:tab/>
      <w:t xml:space="preserve">Wang </w:t>
    </w:r>
    <w:r>
      <w:rPr>
        <w:rFonts w:ascii="Arial" w:hAnsi="Arial" w:cs="Arial"/>
        <w:i/>
        <w:iCs/>
        <w:lang w:val="en-CA"/>
      </w:rPr>
      <w:t>et al.</w:t>
    </w:r>
  </w:p>
  <w:p w14:paraId="71548F97" w14:textId="77777777" w:rsidR="008E16DB" w:rsidRPr="007854B6" w:rsidRDefault="008E16DB">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608C7"/>
    <w:multiLevelType w:val="multilevel"/>
    <w:tmpl w:val="EF08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E15"/>
    <w:rsid w:val="000003CE"/>
    <w:rsid w:val="00000FA8"/>
    <w:rsid w:val="000010C6"/>
    <w:rsid w:val="000013E4"/>
    <w:rsid w:val="000069D5"/>
    <w:rsid w:val="000070A7"/>
    <w:rsid w:val="00007ABE"/>
    <w:rsid w:val="00007CDF"/>
    <w:rsid w:val="000133C7"/>
    <w:rsid w:val="0001628E"/>
    <w:rsid w:val="00017BAA"/>
    <w:rsid w:val="00021ADF"/>
    <w:rsid w:val="000232AE"/>
    <w:rsid w:val="000237B5"/>
    <w:rsid w:val="00023EE5"/>
    <w:rsid w:val="00024384"/>
    <w:rsid w:val="00024424"/>
    <w:rsid w:val="000245F6"/>
    <w:rsid w:val="00024C60"/>
    <w:rsid w:val="00025611"/>
    <w:rsid w:val="000258B9"/>
    <w:rsid w:val="00025F6C"/>
    <w:rsid w:val="0002645C"/>
    <w:rsid w:val="00026C90"/>
    <w:rsid w:val="00027859"/>
    <w:rsid w:val="00030F02"/>
    <w:rsid w:val="000319CB"/>
    <w:rsid w:val="000355EB"/>
    <w:rsid w:val="000363E6"/>
    <w:rsid w:val="00037A31"/>
    <w:rsid w:val="0004082C"/>
    <w:rsid w:val="000417DF"/>
    <w:rsid w:val="00043856"/>
    <w:rsid w:val="000449B4"/>
    <w:rsid w:val="0004688F"/>
    <w:rsid w:val="00051583"/>
    <w:rsid w:val="0005247A"/>
    <w:rsid w:val="00054563"/>
    <w:rsid w:val="00055733"/>
    <w:rsid w:val="000565BE"/>
    <w:rsid w:val="00056A54"/>
    <w:rsid w:val="00056AB5"/>
    <w:rsid w:val="0005717D"/>
    <w:rsid w:val="00057271"/>
    <w:rsid w:val="00057C11"/>
    <w:rsid w:val="0006057D"/>
    <w:rsid w:val="0006173C"/>
    <w:rsid w:val="00061F8A"/>
    <w:rsid w:val="00062BA1"/>
    <w:rsid w:val="00063264"/>
    <w:rsid w:val="0006537C"/>
    <w:rsid w:val="000655EA"/>
    <w:rsid w:val="00070C31"/>
    <w:rsid w:val="0007305A"/>
    <w:rsid w:val="00073721"/>
    <w:rsid w:val="00073C87"/>
    <w:rsid w:val="00074237"/>
    <w:rsid w:val="00074E49"/>
    <w:rsid w:val="0007536F"/>
    <w:rsid w:val="00076E77"/>
    <w:rsid w:val="000772E7"/>
    <w:rsid w:val="00077408"/>
    <w:rsid w:val="00080BD6"/>
    <w:rsid w:val="00080DCF"/>
    <w:rsid w:val="000813E4"/>
    <w:rsid w:val="000828B2"/>
    <w:rsid w:val="00084C7B"/>
    <w:rsid w:val="00084E6D"/>
    <w:rsid w:val="0008651E"/>
    <w:rsid w:val="000868AF"/>
    <w:rsid w:val="00087B83"/>
    <w:rsid w:val="00090DC5"/>
    <w:rsid w:val="00092025"/>
    <w:rsid w:val="000942CD"/>
    <w:rsid w:val="00094751"/>
    <w:rsid w:val="00094D9F"/>
    <w:rsid w:val="0009522D"/>
    <w:rsid w:val="00097CD6"/>
    <w:rsid w:val="00097D57"/>
    <w:rsid w:val="000A05A0"/>
    <w:rsid w:val="000A2572"/>
    <w:rsid w:val="000A477E"/>
    <w:rsid w:val="000A4825"/>
    <w:rsid w:val="000A50CD"/>
    <w:rsid w:val="000A56CF"/>
    <w:rsid w:val="000A5D5D"/>
    <w:rsid w:val="000A6804"/>
    <w:rsid w:val="000A74A9"/>
    <w:rsid w:val="000A7BEA"/>
    <w:rsid w:val="000B08E1"/>
    <w:rsid w:val="000B3D0E"/>
    <w:rsid w:val="000B510A"/>
    <w:rsid w:val="000B63EE"/>
    <w:rsid w:val="000B6559"/>
    <w:rsid w:val="000B6BE5"/>
    <w:rsid w:val="000B7253"/>
    <w:rsid w:val="000C1484"/>
    <w:rsid w:val="000C21BC"/>
    <w:rsid w:val="000C2C53"/>
    <w:rsid w:val="000C581A"/>
    <w:rsid w:val="000D2C04"/>
    <w:rsid w:val="000D2E51"/>
    <w:rsid w:val="000D2FE8"/>
    <w:rsid w:val="000D4680"/>
    <w:rsid w:val="000D502E"/>
    <w:rsid w:val="000D6D74"/>
    <w:rsid w:val="000D734A"/>
    <w:rsid w:val="000E03DE"/>
    <w:rsid w:val="000E1A1F"/>
    <w:rsid w:val="000E31D0"/>
    <w:rsid w:val="000E50E0"/>
    <w:rsid w:val="000E6016"/>
    <w:rsid w:val="000E6DCB"/>
    <w:rsid w:val="000F0841"/>
    <w:rsid w:val="000F0B64"/>
    <w:rsid w:val="000F241F"/>
    <w:rsid w:val="000F2DA1"/>
    <w:rsid w:val="000F57F0"/>
    <w:rsid w:val="000F5A29"/>
    <w:rsid w:val="000F772D"/>
    <w:rsid w:val="00100CD7"/>
    <w:rsid w:val="001017B9"/>
    <w:rsid w:val="001019DF"/>
    <w:rsid w:val="00102B71"/>
    <w:rsid w:val="00104335"/>
    <w:rsid w:val="00106D2F"/>
    <w:rsid w:val="001072FA"/>
    <w:rsid w:val="00107EA6"/>
    <w:rsid w:val="00107EFD"/>
    <w:rsid w:val="00111069"/>
    <w:rsid w:val="00112443"/>
    <w:rsid w:val="00113BD6"/>
    <w:rsid w:val="001148E0"/>
    <w:rsid w:val="00114C64"/>
    <w:rsid w:val="00115CCE"/>
    <w:rsid w:val="00115F4F"/>
    <w:rsid w:val="0011715C"/>
    <w:rsid w:val="00117F46"/>
    <w:rsid w:val="00120637"/>
    <w:rsid w:val="00121D03"/>
    <w:rsid w:val="00122BB1"/>
    <w:rsid w:val="00122C7D"/>
    <w:rsid w:val="00124E7F"/>
    <w:rsid w:val="00126C59"/>
    <w:rsid w:val="00126E80"/>
    <w:rsid w:val="001301F7"/>
    <w:rsid w:val="00130755"/>
    <w:rsid w:val="00130FB6"/>
    <w:rsid w:val="00132F9D"/>
    <w:rsid w:val="00140D75"/>
    <w:rsid w:val="00141CD8"/>
    <w:rsid w:val="00142B89"/>
    <w:rsid w:val="0014360A"/>
    <w:rsid w:val="00144643"/>
    <w:rsid w:val="00144A51"/>
    <w:rsid w:val="00144E2F"/>
    <w:rsid w:val="00144F20"/>
    <w:rsid w:val="00147B4A"/>
    <w:rsid w:val="00147F2B"/>
    <w:rsid w:val="0015037F"/>
    <w:rsid w:val="00150C88"/>
    <w:rsid w:val="001535A0"/>
    <w:rsid w:val="00153809"/>
    <w:rsid w:val="00154241"/>
    <w:rsid w:val="00155D5F"/>
    <w:rsid w:val="00161A9C"/>
    <w:rsid w:val="00162A05"/>
    <w:rsid w:val="00163168"/>
    <w:rsid w:val="00165395"/>
    <w:rsid w:val="001672B0"/>
    <w:rsid w:val="00167BC5"/>
    <w:rsid w:val="001702E3"/>
    <w:rsid w:val="00171552"/>
    <w:rsid w:val="00171C40"/>
    <w:rsid w:val="0017201F"/>
    <w:rsid w:val="00173348"/>
    <w:rsid w:val="00173D0E"/>
    <w:rsid w:val="001743A3"/>
    <w:rsid w:val="00174C81"/>
    <w:rsid w:val="00175C37"/>
    <w:rsid w:val="0017639C"/>
    <w:rsid w:val="00183558"/>
    <w:rsid w:val="00183C66"/>
    <w:rsid w:val="00184E1D"/>
    <w:rsid w:val="00190519"/>
    <w:rsid w:val="001917E4"/>
    <w:rsid w:val="00193ACE"/>
    <w:rsid w:val="00194FF5"/>
    <w:rsid w:val="00195B22"/>
    <w:rsid w:val="00197752"/>
    <w:rsid w:val="001977F8"/>
    <w:rsid w:val="001A2C17"/>
    <w:rsid w:val="001A2EF4"/>
    <w:rsid w:val="001A3642"/>
    <w:rsid w:val="001A4A5C"/>
    <w:rsid w:val="001A5375"/>
    <w:rsid w:val="001A54A9"/>
    <w:rsid w:val="001A5555"/>
    <w:rsid w:val="001A5789"/>
    <w:rsid w:val="001A683E"/>
    <w:rsid w:val="001A6ACE"/>
    <w:rsid w:val="001A7B0B"/>
    <w:rsid w:val="001A7BE7"/>
    <w:rsid w:val="001B1524"/>
    <w:rsid w:val="001B25D6"/>
    <w:rsid w:val="001B4BEA"/>
    <w:rsid w:val="001B587E"/>
    <w:rsid w:val="001B6189"/>
    <w:rsid w:val="001B7110"/>
    <w:rsid w:val="001B7D32"/>
    <w:rsid w:val="001C038D"/>
    <w:rsid w:val="001C2FC4"/>
    <w:rsid w:val="001C3B24"/>
    <w:rsid w:val="001C3DF4"/>
    <w:rsid w:val="001C4038"/>
    <w:rsid w:val="001C5764"/>
    <w:rsid w:val="001C62DE"/>
    <w:rsid w:val="001D11CC"/>
    <w:rsid w:val="001D1AB3"/>
    <w:rsid w:val="001D3987"/>
    <w:rsid w:val="001D3A94"/>
    <w:rsid w:val="001D4B07"/>
    <w:rsid w:val="001D5E9F"/>
    <w:rsid w:val="001D65BC"/>
    <w:rsid w:val="001D6859"/>
    <w:rsid w:val="001D73D2"/>
    <w:rsid w:val="001E06BD"/>
    <w:rsid w:val="001E1B5B"/>
    <w:rsid w:val="001E1DD6"/>
    <w:rsid w:val="001E3875"/>
    <w:rsid w:val="001E45E6"/>
    <w:rsid w:val="001F0166"/>
    <w:rsid w:val="001F6479"/>
    <w:rsid w:val="001F6820"/>
    <w:rsid w:val="002006D8"/>
    <w:rsid w:val="0020182A"/>
    <w:rsid w:val="00203A3A"/>
    <w:rsid w:val="00204096"/>
    <w:rsid w:val="00204280"/>
    <w:rsid w:val="002044CB"/>
    <w:rsid w:val="00204A7F"/>
    <w:rsid w:val="002050C4"/>
    <w:rsid w:val="00206446"/>
    <w:rsid w:val="00206BA7"/>
    <w:rsid w:val="0021049B"/>
    <w:rsid w:val="0021122A"/>
    <w:rsid w:val="00211D9E"/>
    <w:rsid w:val="00212C4E"/>
    <w:rsid w:val="00215691"/>
    <w:rsid w:val="0021651B"/>
    <w:rsid w:val="0021658F"/>
    <w:rsid w:val="00217AA0"/>
    <w:rsid w:val="00220B38"/>
    <w:rsid w:val="00221A04"/>
    <w:rsid w:val="00223D48"/>
    <w:rsid w:val="00224BB4"/>
    <w:rsid w:val="00224FB2"/>
    <w:rsid w:val="00225DAE"/>
    <w:rsid w:val="002269E5"/>
    <w:rsid w:val="002270A5"/>
    <w:rsid w:val="00230FF3"/>
    <w:rsid w:val="00231B3A"/>
    <w:rsid w:val="00233D30"/>
    <w:rsid w:val="00235386"/>
    <w:rsid w:val="0023609C"/>
    <w:rsid w:val="0023642F"/>
    <w:rsid w:val="00236935"/>
    <w:rsid w:val="00240523"/>
    <w:rsid w:val="00243554"/>
    <w:rsid w:val="0024372E"/>
    <w:rsid w:val="002446E4"/>
    <w:rsid w:val="00246698"/>
    <w:rsid w:val="00247037"/>
    <w:rsid w:val="00251969"/>
    <w:rsid w:val="00254162"/>
    <w:rsid w:val="0025446C"/>
    <w:rsid w:val="00255F34"/>
    <w:rsid w:val="0025669F"/>
    <w:rsid w:val="00261B7C"/>
    <w:rsid w:val="0026241C"/>
    <w:rsid w:val="00263234"/>
    <w:rsid w:val="00263D54"/>
    <w:rsid w:val="002642B9"/>
    <w:rsid w:val="00266CBF"/>
    <w:rsid w:val="00266D42"/>
    <w:rsid w:val="00270242"/>
    <w:rsid w:val="00274C3E"/>
    <w:rsid w:val="002761DF"/>
    <w:rsid w:val="0027632B"/>
    <w:rsid w:val="00282313"/>
    <w:rsid w:val="002829D7"/>
    <w:rsid w:val="0028577F"/>
    <w:rsid w:val="0028608F"/>
    <w:rsid w:val="00286164"/>
    <w:rsid w:val="0028630D"/>
    <w:rsid w:val="002866DD"/>
    <w:rsid w:val="00286FA8"/>
    <w:rsid w:val="0028783A"/>
    <w:rsid w:val="002938F5"/>
    <w:rsid w:val="00294EC5"/>
    <w:rsid w:val="002959D1"/>
    <w:rsid w:val="0029727D"/>
    <w:rsid w:val="002A145B"/>
    <w:rsid w:val="002A2E8E"/>
    <w:rsid w:val="002A345A"/>
    <w:rsid w:val="002A5413"/>
    <w:rsid w:val="002A5796"/>
    <w:rsid w:val="002A5896"/>
    <w:rsid w:val="002A6119"/>
    <w:rsid w:val="002A7A90"/>
    <w:rsid w:val="002B039F"/>
    <w:rsid w:val="002B0980"/>
    <w:rsid w:val="002B465F"/>
    <w:rsid w:val="002C2022"/>
    <w:rsid w:val="002C2667"/>
    <w:rsid w:val="002C2936"/>
    <w:rsid w:val="002C327B"/>
    <w:rsid w:val="002C3D46"/>
    <w:rsid w:val="002C4FFF"/>
    <w:rsid w:val="002C63FF"/>
    <w:rsid w:val="002C7732"/>
    <w:rsid w:val="002D066E"/>
    <w:rsid w:val="002D0B26"/>
    <w:rsid w:val="002D0C9C"/>
    <w:rsid w:val="002D1209"/>
    <w:rsid w:val="002D1E1F"/>
    <w:rsid w:val="002D22C4"/>
    <w:rsid w:val="002D486A"/>
    <w:rsid w:val="002D4A3F"/>
    <w:rsid w:val="002D5947"/>
    <w:rsid w:val="002D7541"/>
    <w:rsid w:val="002D79DE"/>
    <w:rsid w:val="002E2A26"/>
    <w:rsid w:val="002E2A49"/>
    <w:rsid w:val="002E443A"/>
    <w:rsid w:val="002E5260"/>
    <w:rsid w:val="002E5528"/>
    <w:rsid w:val="002E5DCD"/>
    <w:rsid w:val="002E6034"/>
    <w:rsid w:val="002E7155"/>
    <w:rsid w:val="002E765F"/>
    <w:rsid w:val="002E7939"/>
    <w:rsid w:val="002E7BCA"/>
    <w:rsid w:val="002F000C"/>
    <w:rsid w:val="002F053E"/>
    <w:rsid w:val="002F0BF8"/>
    <w:rsid w:val="002F0CDB"/>
    <w:rsid w:val="002F2396"/>
    <w:rsid w:val="002F34AF"/>
    <w:rsid w:val="002F3D40"/>
    <w:rsid w:val="002F4A1D"/>
    <w:rsid w:val="002F4F90"/>
    <w:rsid w:val="002F627C"/>
    <w:rsid w:val="002F6AE1"/>
    <w:rsid w:val="002F740E"/>
    <w:rsid w:val="002F7CD9"/>
    <w:rsid w:val="003006D1"/>
    <w:rsid w:val="003038C5"/>
    <w:rsid w:val="00304D87"/>
    <w:rsid w:val="00307200"/>
    <w:rsid w:val="00312197"/>
    <w:rsid w:val="0031257D"/>
    <w:rsid w:val="00313616"/>
    <w:rsid w:val="0031442F"/>
    <w:rsid w:val="003147F0"/>
    <w:rsid w:val="00316156"/>
    <w:rsid w:val="00320CEE"/>
    <w:rsid w:val="00321FB4"/>
    <w:rsid w:val="00322B08"/>
    <w:rsid w:val="00325119"/>
    <w:rsid w:val="00325185"/>
    <w:rsid w:val="0032529B"/>
    <w:rsid w:val="00327E83"/>
    <w:rsid w:val="00332193"/>
    <w:rsid w:val="00332993"/>
    <w:rsid w:val="003329FF"/>
    <w:rsid w:val="00332F1F"/>
    <w:rsid w:val="003341E2"/>
    <w:rsid w:val="00334A6F"/>
    <w:rsid w:val="00334BDF"/>
    <w:rsid w:val="00334BE8"/>
    <w:rsid w:val="00334C41"/>
    <w:rsid w:val="00335923"/>
    <w:rsid w:val="0033683D"/>
    <w:rsid w:val="00337DFA"/>
    <w:rsid w:val="00340042"/>
    <w:rsid w:val="00340C2C"/>
    <w:rsid w:val="00341BFB"/>
    <w:rsid w:val="00341C78"/>
    <w:rsid w:val="0034234A"/>
    <w:rsid w:val="00343DA7"/>
    <w:rsid w:val="00343FA4"/>
    <w:rsid w:val="00344F46"/>
    <w:rsid w:val="00345839"/>
    <w:rsid w:val="00345A3B"/>
    <w:rsid w:val="0034702D"/>
    <w:rsid w:val="00347CB9"/>
    <w:rsid w:val="00354B76"/>
    <w:rsid w:val="00354C08"/>
    <w:rsid w:val="0035674A"/>
    <w:rsid w:val="0035717A"/>
    <w:rsid w:val="00357ED2"/>
    <w:rsid w:val="00360082"/>
    <w:rsid w:val="00362A3F"/>
    <w:rsid w:val="003644A9"/>
    <w:rsid w:val="00364B01"/>
    <w:rsid w:val="003658E6"/>
    <w:rsid w:val="00365B43"/>
    <w:rsid w:val="003707FA"/>
    <w:rsid w:val="003711BB"/>
    <w:rsid w:val="003715BA"/>
    <w:rsid w:val="00371F4C"/>
    <w:rsid w:val="00372202"/>
    <w:rsid w:val="003764D0"/>
    <w:rsid w:val="003813F2"/>
    <w:rsid w:val="00385C5B"/>
    <w:rsid w:val="003908B9"/>
    <w:rsid w:val="00391DE8"/>
    <w:rsid w:val="00392D32"/>
    <w:rsid w:val="003960A7"/>
    <w:rsid w:val="00396F15"/>
    <w:rsid w:val="00397C2C"/>
    <w:rsid w:val="003A0A31"/>
    <w:rsid w:val="003A10B0"/>
    <w:rsid w:val="003A1266"/>
    <w:rsid w:val="003A5338"/>
    <w:rsid w:val="003A618A"/>
    <w:rsid w:val="003A6A7C"/>
    <w:rsid w:val="003A6B44"/>
    <w:rsid w:val="003A75B8"/>
    <w:rsid w:val="003A7B17"/>
    <w:rsid w:val="003A7D00"/>
    <w:rsid w:val="003A7ED1"/>
    <w:rsid w:val="003B1DFE"/>
    <w:rsid w:val="003B229E"/>
    <w:rsid w:val="003B4FC7"/>
    <w:rsid w:val="003B555C"/>
    <w:rsid w:val="003B5EDE"/>
    <w:rsid w:val="003B65A0"/>
    <w:rsid w:val="003B6663"/>
    <w:rsid w:val="003B6B72"/>
    <w:rsid w:val="003C04EA"/>
    <w:rsid w:val="003C11F2"/>
    <w:rsid w:val="003C36D1"/>
    <w:rsid w:val="003C38E8"/>
    <w:rsid w:val="003C39B1"/>
    <w:rsid w:val="003C3AAE"/>
    <w:rsid w:val="003C4602"/>
    <w:rsid w:val="003C4784"/>
    <w:rsid w:val="003C4EF7"/>
    <w:rsid w:val="003C6512"/>
    <w:rsid w:val="003C73E8"/>
    <w:rsid w:val="003D039B"/>
    <w:rsid w:val="003D0892"/>
    <w:rsid w:val="003D0C01"/>
    <w:rsid w:val="003D0C18"/>
    <w:rsid w:val="003D2F5A"/>
    <w:rsid w:val="003D6078"/>
    <w:rsid w:val="003D7A7F"/>
    <w:rsid w:val="003D7C91"/>
    <w:rsid w:val="003E17FF"/>
    <w:rsid w:val="003E18A8"/>
    <w:rsid w:val="003E2C5B"/>
    <w:rsid w:val="003E3DFD"/>
    <w:rsid w:val="003E6117"/>
    <w:rsid w:val="003E684E"/>
    <w:rsid w:val="003E7DB4"/>
    <w:rsid w:val="003F2B33"/>
    <w:rsid w:val="003F2DAA"/>
    <w:rsid w:val="003F4210"/>
    <w:rsid w:val="003F4D03"/>
    <w:rsid w:val="003F7725"/>
    <w:rsid w:val="00400505"/>
    <w:rsid w:val="0040062B"/>
    <w:rsid w:val="00401F0C"/>
    <w:rsid w:val="00402388"/>
    <w:rsid w:val="00402505"/>
    <w:rsid w:val="00402AA0"/>
    <w:rsid w:val="00403721"/>
    <w:rsid w:val="00403D63"/>
    <w:rsid w:val="004043DB"/>
    <w:rsid w:val="00404756"/>
    <w:rsid w:val="00406201"/>
    <w:rsid w:val="004067C6"/>
    <w:rsid w:val="0041081C"/>
    <w:rsid w:val="00410BE9"/>
    <w:rsid w:val="004111CE"/>
    <w:rsid w:val="00411ECA"/>
    <w:rsid w:val="00412E18"/>
    <w:rsid w:val="0041689E"/>
    <w:rsid w:val="00421B7C"/>
    <w:rsid w:val="00422E0F"/>
    <w:rsid w:val="00423126"/>
    <w:rsid w:val="0042384D"/>
    <w:rsid w:val="00423ECC"/>
    <w:rsid w:val="004241BD"/>
    <w:rsid w:val="004246C9"/>
    <w:rsid w:val="004248B3"/>
    <w:rsid w:val="00425C9F"/>
    <w:rsid w:val="00426404"/>
    <w:rsid w:val="00426F95"/>
    <w:rsid w:val="0043027E"/>
    <w:rsid w:val="004307DB"/>
    <w:rsid w:val="00430C9E"/>
    <w:rsid w:val="00431634"/>
    <w:rsid w:val="004348F8"/>
    <w:rsid w:val="0043585C"/>
    <w:rsid w:val="004364C5"/>
    <w:rsid w:val="004364E7"/>
    <w:rsid w:val="004364F5"/>
    <w:rsid w:val="00437EA6"/>
    <w:rsid w:val="0044019F"/>
    <w:rsid w:val="00442379"/>
    <w:rsid w:val="00442CFB"/>
    <w:rsid w:val="00442D96"/>
    <w:rsid w:val="00443967"/>
    <w:rsid w:val="00447F7F"/>
    <w:rsid w:val="00451AEB"/>
    <w:rsid w:val="00452BC5"/>
    <w:rsid w:val="00454158"/>
    <w:rsid w:val="00456CD7"/>
    <w:rsid w:val="00456E0D"/>
    <w:rsid w:val="0045709E"/>
    <w:rsid w:val="004574D5"/>
    <w:rsid w:val="00457548"/>
    <w:rsid w:val="004576D2"/>
    <w:rsid w:val="00460A30"/>
    <w:rsid w:val="00460F74"/>
    <w:rsid w:val="004621AD"/>
    <w:rsid w:val="004622E7"/>
    <w:rsid w:val="004623C4"/>
    <w:rsid w:val="00462C4D"/>
    <w:rsid w:val="0046380E"/>
    <w:rsid w:val="004645E5"/>
    <w:rsid w:val="0046735A"/>
    <w:rsid w:val="00473D7A"/>
    <w:rsid w:val="00476E62"/>
    <w:rsid w:val="004773CD"/>
    <w:rsid w:val="00480669"/>
    <w:rsid w:val="0048068D"/>
    <w:rsid w:val="00481DA1"/>
    <w:rsid w:val="00481E48"/>
    <w:rsid w:val="00483A95"/>
    <w:rsid w:val="00483A9F"/>
    <w:rsid w:val="00487062"/>
    <w:rsid w:val="004909C4"/>
    <w:rsid w:val="00495816"/>
    <w:rsid w:val="0049678F"/>
    <w:rsid w:val="00496F56"/>
    <w:rsid w:val="004A0475"/>
    <w:rsid w:val="004A0497"/>
    <w:rsid w:val="004A11DD"/>
    <w:rsid w:val="004A61BF"/>
    <w:rsid w:val="004A70B4"/>
    <w:rsid w:val="004B01C9"/>
    <w:rsid w:val="004B2480"/>
    <w:rsid w:val="004B292E"/>
    <w:rsid w:val="004B34AE"/>
    <w:rsid w:val="004B42A6"/>
    <w:rsid w:val="004B4E9D"/>
    <w:rsid w:val="004B5112"/>
    <w:rsid w:val="004B5128"/>
    <w:rsid w:val="004B541B"/>
    <w:rsid w:val="004B6AE4"/>
    <w:rsid w:val="004B7F19"/>
    <w:rsid w:val="004C32CE"/>
    <w:rsid w:val="004C3CDA"/>
    <w:rsid w:val="004C3F55"/>
    <w:rsid w:val="004C6D24"/>
    <w:rsid w:val="004C71DA"/>
    <w:rsid w:val="004D00F8"/>
    <w:rsid w:val="004D04A7"/>
    <w:rsid w:val="004D070C"/>
    <w:rsid w:val="004D1545"/>
    <w:rsid w:val="004D213B"/>
    <w:rsid w:val="004D2590"/>
    <w:rsid w:val="004D327B"/>
    <w:rsid w:val="004D3C4B"/>
    <w:rsid w:val="004D3F3B"/>
    <w:rsid w:val="004D6056"/>
    <w:rsid w:val="004D6C10"/>
    <w:rsid w:val="004E0918"/>
    <w:rsid w:val="004E0A04"/>
    <w:rsid w:val="004E10E1"/>
    <w:rsid w:val="004E20A2"/>
    <w:rsid w:val="004E2C27"/>
    <w:rsid w:val="004E39D6"/>
    <w:rsid w:val="004E4BE0"/>
    <w:rsid w:val="004E53FF"/>
    <w:rsid w:val="004E6B0D"/>
    <w:rsid w:val="004E791B"/>
    <w:rsid w:val="004F05FB"/>
    <w:rsid w:val="004F23E5"/>
    <w:rsid w:val="004F2F6E"/>
    <w:rsid w:val="004F46B1"/>
    <w:rsid w:val="004F5E8C"/>
    <w:rsid w:val="004F635B"/>
    <w:rsid w:val="004F740D"/>
    <w:rsid w:val="004F78DF"/>
    <w:rsid w:val="004F7EF9"/>
    <w:rsid w:val="0050253C"/>
    <w:rsid w:val="0050442C"/>
    <w:rsid w:val="00504A21"/>
    <w:rsid w:val="00504EA3"/>
    <w:rsid w:val="005058A4"/>
    <w:rsid w:val="005075E2"/>
    <w:rsid w:val="00507C48"/>
    <w:rsid w:val="0051076F"/>
    <w:rsid w:val="005123A4"/>
    <w:rsid w:val="005123DD"/>
    <w:rsid w:val="0051270B"/>
    <w:rsid w:val="00512852"/>
    <w:rsid w:val="005128B2"/>
    <w:rsid w:val="005130E6"/>
    <w:rsid w:val="00514336"/>
    <w:rsid w:val="00514F47"/>
    <w:rsid w:val="00515D7D"/>
    <w:rsid w:val="00517457"/>
    <w:rsid w:val="00520098"/>
    <w:rsid w:val="0052354F"/>
    <w:rsid w:val="00524614"/>
    <w:rsid w:val="0052503A"/>
    <w:rsid w:val="005252ED"/>
    <w:rsid w:val="005276D4"/>
    <w:rsid w:val="00530448"/>
    <w:rsid w:val="005324D8"/>
    <w:rsid w:val="005324DC"/>
    <w:rsid w:val="0053258C"/>
    <w:rsid w:val="00533339"/>
    <w:rsid w:val="005334B4"/>
    <w:rsid w:val="00534108"/>
    <w:rsid w:val="00534A09"/>
    <w:rsid w:val="00536A17"/>
    <w:rsid w:val="005378F7"/>
    <w:rsid w:val="005402EF"/>
    <w:rsid w:val="00540681"/>
    <w:rsid w:val="005407EA"/>
    <w:rsid w:val="00542EFD"/>
    <w:rsid w:val="00543075"/>
    <w:rsid w:val="00543B40"/>
    <w:rsid w:val="005450C2"/>
    <w:rsid w:val="005458CF"/>
    <w:rsid w:val="00545A57"/>
    <w:rsid w:val="00546D35"/>
    <w:rsid w:val="00547A93"/>
    <w:rsid w:val="00550EF2"/>
    <w:rsid w:val="00553236"/>
    <w:rsid w:val="00554BDF"/>
    <w:rsid w:val="00554DC1"/>
    <w:rsid w:val="00556FCE"/>
    <w:rsid w:val="0056188B"/>
    <w:rsid w:val="00562A25"/>
    <w:rsid w:val="00565322"/>
    <w:rsid w:val="00567A01"/>
    <w:rsid w:val="00570484"/>
    <w:rsid w:val="00570F3C"/>
    <w:rsid w:val="00571A1F"/>
    <w:rsid w:val="00574DFB"/>
    <w:rsid w:val="00576329"/>
    <w:rsid w:val="005765F7"/>
    <w:rsid w:val="005779AB"/>
    <w:rsid w:val="00580F5B"/>
    <w:rsid w:val="00581496"/>
    <w:rsid w:val="00584A6A"/>
    <w:rsid w:val="00584F4B"/>
    <w:rsid w:val="005853D5"/>
    <w:rsid w:val="00585542"/>
    <w:rsid w:val="00586B64"/>
    <w:rsid w:val="00587DD9"/>
    <w:rsid w:val="005912C5"/>
    <w:rsid w:val="005920A0"/>
    <w:rsid w:val="00592B9A"/>
    <w:rsid w:val="00592CCB"/>
    <w:rsid w:val="005930D8"/>
    <w:rsid w:val="00593B2D"/>
    <w:rsid w:val="005940AD"/>
    <w:rsid w:val="005A0742"/>
    <w:rsid w:val="005A09D3"/>
    <w:rsid w:val="005A1595"/>
    <w:rsid w:val="005A275D"/>
    <w:rsid w:val="005A28BF"/>
    <w:rsid w:val="005A2D15"/>
    <w:rsid w:val="005A5FAE"/>
    <w:rsid w:val="005B05C4"/>
    <w:rsid w:val="005B0F8A"/>
    <w:rsid w:val="005B45C9"/>
    <w:rsid w:val="005B738E"/>
    <w:rsid w:val="005C0729"/>
    <w:rsid w:val="005C1412"/>
    <w:rsid w:val="005C237B"/>
    <w:rsid w:val="005C3CF1"/>
    <w:rsid w:val="005C57A1"/>
    <w:rsid w:val="005D042E"/>
    <w:rsid w:val="005D0BC0"/>
    <w:rsid w:val="005D0F8C"/>
    <w:rsid w:val="005D3A31"/>
    <w:rsid w:val="005D3BE4"/>
    <w:rsid w:val="005D3D3A"/>
    <w:rsid w:val="005D4B9C"/>
    <w:rsid w:val="005D4C03"/>
    <w:rsid w:val="005D68FD"/>
    <w:rsid w:val="005D6C38"/>
    <w:rsid w:val="005E0142"/>
    <w:rsid w:val="005E0AE3"/>
    <w:rsid w:val="005E0C90"/>
    <w:rsid w:val="005E1AEC"/>
    <w:rsid w:val="005E51DF"/>
    <w:rsid w:val="005E5568"/>
    <w:rsid w:val="005E5D5F"/>
    <w:rsid w:val="005E6288"/>
    <w:rsid w:val="005F0588"/>
    <w:rsid w:val="005F08F0"/>
    <w:rsid w:val="005F0AC4"/>
    <w:rsid w:val="005F183D"/>
    <w:rsid w:val="005F4053"/>
    <w:rsid w:val="005F5677"/>
    <w:rsid w:val="005F5AB9"/>
    <w:rsid w:val="005F6E64"/>
    <w:rsid w:val="005F75AD"/>
    <w:rsid w:val="005F7F75"/>
    <w:rsid w:val="0060026E"/>
    <w:rsid w:val="00600E20"/>
    <w:rsid w:val="00601033"/>
    <w:rsid w:val="00601043"/>
    <w:rsid w:val="0060245F"/>
    <w:rsid w:val="00602840"/>
    <w:rsid w:val="0060378D"/>
    <w:rsid w:val="00604AF9"/>
    <w:rsid w:val="0060550A"/>
    <w:rsid w:val="00606B3D"/>
    <w:rsid w:val="006079E7"/>
    <w:rsid w:val="00613A33"/>
    <w:rsid w:val="00613E02"/>
    <w:rsid w:val="0061421D"/>
    <w:rsid w:val="00614A75"/>
    <w:rsid w:val="006153DE"/>
    <w:rsid w:val="006156D8"/>
    <w:rsid w:val="00617C41"/>
    <w:rsid w:val="006211EA"/>
    <w:rsid w:val="00622597"/>
    <w:rsid w:val="00625027"/>
    <w:rsid w:val="0062562B"/>
    <w:rsid w:val="00626B00"/>
    <w:rsid w:val="00627052"/>
    <w:rsid w:val="006305B5"/>
    <w:rsid w:val="00632325"/>
    <w:rsid w:val="00632CD5"/>
    <w:rsid w:val="00632D15"/>
    <w:rsid w:val="006331F8"/>
    <w:rsid w:val="006343B5"/>
    <w:rsid w:val="00634BD9"/>
    <w:rsid w:val="006353B1"/>
    <w:rsid w:val="00636F03"/>
    <w:rsid w:val="00643624"/>
    <w:rsid w:val="00643F04"/>
    <w:rsid w:val="0064522E"/>
    <w:rsid w:val="00645F5E"/>
    <w:rsid w:val="0064613E"/>
    <w:rsid w:val="006467C2"/>
    <w:rsid w:val="00646F96"/>
    <w:rsid w:val="006505C1"/>
    <w:rsid w:val="00652949"/>
    <w:rsid w:val="00654940"/>
    <w:rsid w:val="006550B1"/>
    <w:rsid w:val="006566D8"/>
    <w:rsid w:val="0065673A"/>
    <w:rsid w:val="00657197"/>
    <w:rsid w:val="00657D71"/>
    <w:rsid w:val="00665708"/>
    <w:rsid w:val="006663C2"/>
    <w:rsid w:val="006665F1"/>
    <w:rsid w:val="00666C30"/>
    <w:rsid w:val="006713A1"/>
    <w:rsid w:val="00672227"/>
    <w:rsid w:val="00672A92"/>
    <w:rsid w:val="0067314A"/>
    <w:rsid w:val="00673DBB"/>
    <w:rsid w:val="00674EE1"/>
    <w:rsid w:val="0067543A"/>
    <w:rsid w:val="00676783"/>
    <w:rsid w:val="00676C3B"/>
    <w:rsid w:val="00683248"/>
    <w:rsid w:val="006839CB"/>
    <w:rsid w:val="0068562C"/>
    <w:rsid w:val="00685BC7"/>
    <w:rsid w:val="00691556"/>
    <w:rsid w:val="006919BA"/>
    <w:rsid w:val="006921E5"/>
    <w:rsid w:val="0069351E"/>
    <w:rsid w:val="006935EE"/>
    <w:rsid w:val="00693690"/>
    <w:rsid w:val="006953AF"/>
    <w:rsid w:val="006965B6"/>
    <w:rsid w:val="00697691"/>
    <w:rsid w:val="006A0949"/>
    <w:rsid w:val="006A108C"/>
    <w:rsid w:val="006A1802"/>
    <w:rsid w:val="006A3469"/>
    <w:rsid w:val="006A38A8"/>
    <w:rsid w:val="006A391A"/>
    <w:rsid w:val="006A3F03"/>
    <w:rsid w:val="006A4B46"/>
    <w:rsid w:val="006A5601"/>
    <w:rsid w:val="006A66CC"/>
    <w:rsid w:val="006A7042"/>
    <w:rsid w:val="006A798E"/>
    <w:rsid w:val="006A7DE5"/>
    <w:rsid w:val="006B00FA"/>
    <w:rsid w:val="006B0CAB"/>
    <w:rsid w:val="006B0D99"/>
    <w:rsid w:val="006B179A"/>
    <w:rsid w:val="006B3FE9"/>
    <w:rsid w:val="006B797E"/>
    <w:rsid w:val="006C1638"/>
    <w:rsid w:val="006C331E"/>
    <w:rsid w:val="006C502B"/>
    <w:rsid w:val="006C5169"/>
    <w:rsid w:val="006C7267"/>
    <w:rsid w:val="006C791D"/>
    <w:rsid w:val="006D04C1"/>
    <w:rsid w:val="006D1537"/>
    <w:rsid w:val="006D35AF"/>
    <w:rsid w:val="006D3EC0"/>
    <w:rsid w:val="006D4E56"/>
    <w:rsid w:val="006D5881"/>
    <w:rsid w:val="006D5AED"/>
    <w:rsid w:val="006E0614"/>
    <w:rsid w:val="006E1FDD"/>
    <w:rsid w:val="006E3B58"/>
    <w:rsid w:val="006E4167"/>
    <w:rsid w:val="006E4D74"/>
    <w:rsid w:val="006E5BA5"/>
    <w:rsid w:val="006E5D5E"/>
    <w:rsid w:val="006E5E47"/>
    <w:rsid w:val="006E7517"/>
    <w:rsid w:val="006E794F"/>
    <w:rsid w:val="006F352B"/>
    <w:rsid w:val="006F3720"/>
    <w:rsid w:val="006F407A"/>
    <w:rsid w:val="006F5B70"/>
    <w:rsid w:val="006F6518"/>
    <w:rsid w:val="006F6689"/>
    <w:rsid w:val="006F6984"/>
    <w:rsid w:val="006F7C1A"/>
    <w:rsid w:val="0070077A"/>
    <w:rsid w:val="00701551"/>
    <w:rsid w:val="00702D8F"/>
    <w:rsid w:val="007042FA"/>
    <w:rsid w:val="00706E44"/>
    <w:rsid w:val="00706FD6"/>
    <w:rsid w:val="00711575"/>
    <w:rsid w:val="00711664"/>
    <w:rsid w:val="00715147"/>
    <w:rsid w:val="00722DF6"/>
    <w:rsid w:val="00722E1D"/>
    <w:rsid w:val="0072327C"/>
    <w:rsid w:val="007239AC"/>
    <w:rsid w:val="00724A61"/>
    <w:rsid w:val="007264AB"/>
    <w:rsid w:val="00727180"/>
    <w:rsid w:val="00731A6A"/>
    <w:rsid w:val="00732B1F"/>
    <w:rsid w:val="007344D0"/>
    <w:rsid w:val="00735675"/>
    <w:rsid w:val="0073700B"/>
    <w:rsid w:val="00737668"/>
    <w:rsid w:val="007408CE"/>
    <w:rsid w:val="0074342A"/>
    <w:rsid w:val="00744DF1"/>
    <w:rsid w:val="007509A1"/>
    <w:rsid w:val="00752CEF"/>
    <w:rsid w:val="0075369A"/>
    <w:rsid w:val="00754088"/>
    <w:rsid w:val="0075422A"/>
    <w:rsid w:val="00754784"/>
    <w:rsid w:val="007551AA"/>
    <w:rsid w:val="00756EB3"/>
    <w:rsid w:val="00757E19"/>
    <w:rsid w:val="00760692"/>
    <w:rsid w:val="00762246"/>
    <w:rsid w:val="00762D47"/>
    <w:rsid w:val="00762E77"/>
    <w:rsid w:val="00763140"/>
    <w:rsid w:val="00763187"/>
    <w:rsid w:val="007632B0"/>
    <w:rsid w:val="0076372B"/>
    <w:rsid w:val="00765511"/>
    <w:rsid w:val="0076590F"/>
    <w:rsid w:val="00766B63"/>
    <w:rsid w:val="00767FA4"/>
    <w:rsid w:val="00770C25"/>
    <w:rsid w:val="00770DC6"/>
    <w:rsid w:val="00771A5C"/>
    <w:rsid w:val="00774B14"/>
    <w:rsid w:val="00775785"/>
    <w:rsid w:val="0077727F"/>
    <w:rsid w:val="00777FE2"/>
    <w:rsid w:val="00780617"/>
    <w:rsid w:val="0078105A"/>
    <w:rsid w:val="007816AA"/>
    <w:rsid w:val="0078229E"/>
    <w:rsid w:val="0078300D"/>
    <w:rsid w:val="007830A6"/>
    <w:rsid w:val="00783367"/>
    <w:rsid w:val="0078349E"/>
    <w:rsid w:val="00786EDF"/>
    <w:rsid w:val="00787069"/>
    <w:rsid w:val="0078773B"/>
    <w:rsid w:val="00787992"/>
    <w:rsid w:val="00787E47"/>
    <w:rsid w:val="00790917"/>
    <w:rsid w:val="00790FA1"/>
    <w:rsid w:val="007917F3"/>
    <w:rsid w:val="007945F6"/>
    <w:rsid w:val="00795528"/>
    <w:rsid w:val="00795ABF"/>
    <w:rsid w:val="00797B0A"/>
    <w:rsid w:val="00797E17"/>
    <w:rsid w:val="007A6AD9"/>
    <w:rsid w:val="007A7305"/>
    <w:rsid w:val="007A7817"/>
    <w:rsid w:val="007A7A0C"/>
    <w:rsid w:val="007A7DBF"/>
    <w:rsid w:val="007B0211"/>
    <w:rsid w:val="007B1716"/>
    <w:rsid w:val="007B2037"/>
    <w:rsid w:val="007B4AC3"/>
    <w:rsid w:val="007B5540"/>
    <w:rsid w:val="007B58B7"/>
    <w:rsid w:val="007B71EC"/>
    <w:rsid w:val="007C27EF"/>
    <w:rsid w:val="007C28EA"/>
    <w:rsid w:val="007C3519"/>
    <w:rsid w:val="007C3562"/>
    <w:rsid w:val="007C38D5"/>
    <w:rsid w:val="007C3B51"/>
    <w:rsid w:val="007C57B6"/>
    <w:rsid w:val="007C6653"/>
    <w:rsid w:val="007C7116"/>
    <w:rsid w:val="007D2A7B"/>
    <w:rsid w:val="007D3026"/>
    <w:rsid w:val="007D3722"/>
    <w:rsid w:val="007D3EF6"/>
    <w:rsid w:val="007D47A9"/>
    <w:rsid w:val="007D583F"/>
    <w:rsid w:val="007D7895"/>
    <w:rsid w:val="007E3DB6"/>
    <w:rsid w:val="007E4066"/>
    <w:rsid w:val="007E55C9"/>
    <w:rsid w:val="007E569D"/>
    <w:rsid w:val="007E7FA9"/>
    <w:rsid w:val="007F282E"/>
    <w:rsid w:val="007F2CD6"/>
    <w:rsid w:val="007F2EBD"/>
    <w:rsid w:val="007F3583"/>
    <w:rsid w:val="007F398A"/>
    <w:rsid w:val="007F3D0D"/>
    <w:rsid w:val="007F4615"/>
    <w:rsid w:val="007F4976"/>
    <w:rsid w:val="007F7AD7"/>
    <w:rsid w:val="007F7C0A"/>
    <w:rsid w:val="00801B8B"/>
    <w:rsid w:val="008029C8"/>
    <w:rsid w:val="0080383F"/>
    <w:rsid w:val="00803982"/>
    <w:rsid w:val="00807101"/>
    <w:rsid w:val="00807E6B"/>
    <w:rsid w:val="0081021D"/>
    <w:rsid w:val="00810FE4"/>
    <w:rsid w:val="008134DB"/>
    <w:rsid w:val="00814653"/>
    <w:rsid w:val="008146B9"/>
    <w:rsid w:val="00816113"/>
    <w:rsid w:val="0082032D"/>
    <w:rsid w:val="00821A99"/>
    <w:rsid w:val="00822A7A"/>
    <w:rsid w:val="00823C67"/>
    <w:rsid w:val="008266DF"/>
    <w:rsid w:val="00826C85"/>
    <w:rsid w:val="00831234"/>
    <w:rsid w:val="008322A1"/>
    <w:rsid w:val="0083331E"/>
    <w:rsid w:val="00833D6D"/>
    <w:rsid w:val="00836A60"/>
    <w:rsid w:val="008400EF"/>
    <w:rsid w:val="0084290A"/>
    <w:rsid w:val="0084559B"/>
    <w:rsid w:val="00845680"/>
    <w:rsid w:val="008461AB"/>
    <w:rsid w:val="0084783D"/>
    <w:rsid w:val="00850620"/>
    <w:rsid w:val="008511AA"/>
    <w:rsid w:val="008514D5"/>
    <w:rsid w:val="008532F1"/>
    <w:rsid w:val="00853C09"/>
    <w:rsid w:val="00857321"/>
    <w:rsid w:val="008575CA"/>
    <w:rsid w:val="00860326"/>
    <w:rsid w:val="00863B06"/>
    <w:rsid w:val="00866629"/>
    <w:rsid w:val="00866E4B"/>
    <w:rsid w:val="00867CD9"/>
    <w:rsid w:val="00871B42"/>
    <w:rsid w:val="00875A5B"/>
    <w:rsid w:val="00875ED3"/>
    <w:rsid w:val="00877B5C"/>
    <w:rsid w:val="00880F6B"/>
    <w:rsid w:val="00881CCD"/>
    <w:rsid w:val="00882FCB"/>
    <w:rsid w:val="008848EB"/>
    <w:rsid w:val="00884CA4"/>
    <w:rsid w:val="00885BA1"/>
    <w:rsid w:val="008870A3"/>
    <w:rsid w:val="00887AFB"/>
    <w:rsid w:val="0089036D"/>
    <w:rsid w:val="00890661"/>
    <w:rsid w:val="0089209D"/>
    <w:rsid w:val="00892F82"/>
    <w:rsid w:val="00893B81"/>
    <w:rsid w:val="0089490F"/>
    <w:rsid w:val="00895ADC"/>
    <w:rsid w:val="00896088"/>
    <w:rsid w:val="008A0904"/>
    <w:rsid w:val="008A12D5"/>
    <w:rsid w:val="008A1D56"/>
    <w:rsid w:val="008A27BA"/>
    <w:rsid w:val="008A53A7"/>
    <w:rsid w:val="008A5D2A"/>
    <w:rsid w:val="008A5DE9"/>
    <w:rsid w:val="008A646C"/>
    <w:rsid w:val="008A7BD8"/>
    <w:rsid w:val="008A7E4B"/>
    <w:rsid w:val="008B2A52"/>
    <w:rsid w:val="008B3683"/>
    <w:rsid w:val="008B4756"/>
    <w:rsid w:val="008B4760"/>
    <w:rsid w:val="008B4E44"/>
    <w:rsid w:val="008B5EC6"/>
    <w:rsid w:val="008C1783"/>
    <w:rsid w:val="008C1BEC"/>
    <w:rsid w:val="008C458A"/>
    <w:rsid w:val="008C4C41"/>
    <w:rsid w:val="008C7092"/>
    <w:rsid w:val="008C72B0"/>
    <w:rsid w:val="008C7647"/>
    <w:rsid w:val="008D057A"/>
    <w:rsid w:val="008D1A51"/>
    <w:rsid w:val="008D1FDC"/>
    <w:rsid w:val="008D2CFC"/>
    <w:rsid w:val="008D5804"/>
    <w:rsid w:val="008D5A72"/>
    <w:rsid w:val="008D6EF0"/>
    <w:rsid w:val="008E0B3F"/>
    <w:rsid w:val="008E0C8D"/>
    <w:rsid w:val="008E16DB"/>
    <w:rsid w:val="008E19BA"/>
    <w:rsid w:val="008E1DAB"/>
    <w:rsid w:val="008E252F"/>
    <w:rsid w:val="008E3B1F"/>
    <w:rsid w:val="008E49B9"/>
    <w:rsid w:val="008E4C09"/>
    <w:rsid w:val="008E4FE2"/>
    <w:rsid w:val="008E5383"/>
    <w:rsid w:val="008E5B1E"/>
    <w:rsid w:val="008E7DC3"/>
    <w:rsid w:val="008F01F1"/>
    <w:rsid w:val="008F26F7"/>
    <w:rsid w:val="008F3387"/>
    <w:rsid w:val="008F5162"/>
    <w:rsid w:val="008F5891"/>
    <w:rsid w:val="008F61E1"/>
    <w:rsid w:val="008F675D"/>
    <w:rsid w:val="008F6DBA"/>
    <w:rsid w:val="008F6FAF"/>
    <w:rsid w:val="008F797A"/>
    <w:rsid w:val="008F7A45"/>
    <w:rsid w:val="009030CB"/>
    <w:rsid w:val="00904BDF"/>
    <w:rsid w:val="00906B5E"/>
    <w:rsid w:val="00910090"/>
    <w:rsid w:val="0091084E"/>
    <w:rsid w:val="009134A3"/>
    <w:rsid w:val="009155DD"/>
    <w:rsid w:val="00915A4C"/>
    <w:rsid w:val="00917642"/>
    <w:rsid w:val="00920429"/>
    <w:rsid w:val="009207C3"/>
    <w:rsid w:val="0092133D"/>
    <w:rsid w:val="009224F6"/>
    <w:rsid w:val="00923829"/>
    <w:rsid w:val="00925D8D"/>
    <w:rsid w:val="00927144"/>
    <w:rsid w:val="00927594"/>
    <w:rsid w:val="00927C84"/>
    <w:rsid w:val="00930945"/>
    <w:rsid w:val="009309FD"/>
    <w:rsid w:val="009325B0"/>
    <w:rsid w:val="009345FB"/>
    <w:rsid w:val="009366D9"/>
    <w:rsid w:val="00941EE3"/>
    <w:rsid w:val="009423A8"/>
    <w:rsid w:val="009439B9"/>
    <w:rsid w:val="00944E67"/>
    <w:rsid w:val="00945DE7"/>
    <w:rsid w:val="009461E4"/>
    <w:rsid w:val="00946B4C"/>
    <w:rsid w:val="00946C25"/>
    <w:rsid w:val="0095031A"/>
    <w:rsid w:val="00951CE3"/>
    <w:rsid w:val="00953029"/>
    <w:rsid w:val="009540B1"/>
    <w:rsid w:val="00956243"/>
    <w:rsid w:val="00956931"/>
    <w:rsid w:val="00956EF2"/>
    <w:rsid w:val="0096036F"/>
    <w:rsid w:val="00962236"/>
    <w:rsid w:val="00964212"/>
    <w:rsid w:val="009670A6"/>
    <w:rsid w:val="00970310"/>
    <w:rsid w:val="00970C75"/>
    <w:rsid w:val="00971945"/>
    <w:rsid w:val="00972417"/>
    <w:rsid w:val="00972948"/>
    <w:rsid w:val="0097295A"/>
    <w:rsid w:val="00972E60"/>
    <w:rsid w:val="00974526"/>
    <w:rsid w:val="00975BB7"/>
    <w:rsid w:val="00975CE3"/>
    <w:rsid w:val="00975DB1"/>
    <w:rsid w:val="00976F3D"/>
    <w:rsid w:val="00977229"/>
    <w:rsid w:val="00980BB9"/>
    <w:rsid w:val="0098208F"/>
    <w:rsid w:val="00982CDA"/>
    <w:rsid w:val="00984B74"/>
    <w:rsid w:val="00985D22"/>
    <w:rsid w:val="0099376C"/>
    <w:rsid w:val="00995037"/>
    <w:rsid w:val="0099619C"/>
    <w:rsid w:val="00996490"/>
    <w:rsid w:val="00996592"/>
    <w:rsid w:val="009A06D6"/>
    <w:rsid w:val="009A16EF"/>
    <w:rsid w:val="009A1CAB"/>
    <w:rsid w:val="009A2491"/>
    <w:rsid w:val="009A283F"/>
    <w:rsid w:val="009A3E53"/>
    <w:rsid w:val="009A444F"/>
    <w:rsid w:val="009A5AAC"/>
    <w:rsid w:val="009A5D82"/>
    <w:rsid w:val="009A7271"/>
    <w:rsid w:val="009A7D89"/>
    <w:rsid w:val="009B07C3"/>
    <w:rsid w:val="009B0F18"/>
    <w:rsid w:val="009B13D2"/>
    <w:rsid w:val="009B45BD"/>
    <w:rsid w:val="009B516C"/>
    <w:rsid w:val="009B5204"/>
    <w:rsid w:val="009B6B61"/>
    <w:rsid w:val="009B6BF8"/>
    <w:rsid w:val="009B6E88"/>
    <w:rsid w:val="009B7558"/>
    <w:rsid w:val="009B782E"/>
    <w:rsid w:val="009C0D2C"/>
    <w:rsid w:val="009C1457"/>
    <w:rsid w:val="009C1909"/>
    <w:rsid w:val="009C2286"/>
    <w:rsid w:val="009C5841"/>
    <w:rsid w:val="009C5D4D"/>
    <w:rsid w:val="009C5EE0"/>
    <w:rsid w:val="009C6336"/>
    <w:rsid w:val="009C7048"/>
    <w:rsid w:val="009D0E6C"/>
    <w:rsid w:val="009D1F3E"/>
    <w:rsid w:val="009D2DA2"/>
    <w:rsid w:val="009D68AC"/>
    <w:rsid w:val="009D6BE6"/>
    <w:rsid w:val="009E2BE3"/>
    <w:rsid w:val="009E2DF6"/>
    <w:rsid w:val="009E50AD"/>
    <w:rsid w:val="009E7ADB"/>
    <w:rsid w:val="009F1F46"/>
    <w:rsid w:val="009F2140"/>
    <w:rsid w:val="009F2E48"/>
    <w:rsid w:val="009F3462"/>
    <w:rsid w:val="009F3912"/>
    <w:rsid w:val="009F4452"/>
    <w:rsid w:val="009F5188"/>
    <w:rsid w:val="009F5B4D"/>
    <w:rsid w:val="009F6BEB"/>
    <w:rsid w:val="009F7BD9"/>
    <w:rsid w:val="00A0129F"/>
    <w:rsid w:val="00A02F53"/>
    <w:rsid w:val="00A035FD"/>
    <w:rsid w:val="00A03A87"/>
    <w:rsid w:val="00A05635"/>
    <w:rsid w:val="00A06CD1"/>
    <w:rsid w:val="00A1075F"/>
    <w:rsid w:val="00A11DCF"/>
    <w:rsid w:val="00A14782"/>
    <w:rsid w:val="00A15214"/>
    <w:rsid w:val="00A17090"/>
    <w:rsid w:val="00A1778F"/>
    <w:rsid w:val="00A17ACE"/>
    <w:rsid w:val="00A2035A"/>
    <w:rsid w:val="00A20899"/>
    <w:rsid w:val="00A20994"/>
    <w:rsid w:val="00A20C04"/>
    <w:rsid w:val="00A23041"/>
    <w:rsid w:val="00A2517B"/>
    <w:rsid w:val="00A25B5C"/>
    <w:rsid w:val="00A26994"/>
    <w:rsid w:val="00A26CD2"/>
    <w:rsid w:val="00A27BCD"/>
    <w:rsid w:val="00A312CC"/>
    <w:rsid w:val="00A31A66"/>
    <w:rsid w:val="00A32941"/>
    <w:rsid w:val="00A32B21"/>
    <w:rsid w:val="00A33F3C"/>
    <w:rsid w:val="00A35C83"/>
    <w:rsid w:val="00A369F4"/>
    <w:rsid w:val="00A36B38"/>
    <w:rsid w:val="00A36F07"/>
    <w:rsid w:val="00A40179"/>
    <w:rsid w:val="00A40C3D"/>
    <w:rsid w:val="00A40C46"/>
    <w:rsid w:val="00A410F3"/>
    <w:rsid w:val="00A4188C"/>
    <w:rsid w:val="00A41A17"/>
    <w:rsid w:val="00A41C36"/>
    <w:rsid w:val="00A42527"/>
    <w:rsid w:val="00A4272A"/>
    <w:rsid w:val="00A43D69"/>
    <w:rsid w:val="00A442D3"/>
    <w:rsid w:val="00A45738"/>
    <w:rsid w:val="00A45EA2"/>
    <w:rsid w:val="00A46FA6"/>
    <w:rsid w:val="00A4778F"/>
    <w:rsid w:val="00A506BA"/>
    <w:rsid w:val="00A52422"/>
    <w:rsid w:val="00A541F1"/>
    <w:rsid w:val="00A57253"/>
    <w:rsid w:val="00A57416"/>
    <w:rsid w:val="00A6128D"/>
    <w:rsid w:val="00A614DB"/>
    <w:rsid w:val="00A624E6"/>
    <w:rsid w:val="00A639EF"/>
    <w:rsid w:val="00A64338"/>
    <w:rsid w:val="00A65DAA"/>
    <w:rsid w:val="00A66EA6"/>
    <w:rsid w:val="00A67528"/>
    <w:rsid w:val="00A71280"/>
    <w:rsid w:val="00A71727"/>
    <w:rsid w:val="00A71759"/>
    <w:rsid w:val="00A735AE"/>
    <w:rsid w:val="00A76134"/>
    <w:rsid w:val="00A778C2"/>
    <w:rsid w:val="00A81D9C"/>
    <w:rsid w:val="00A82086"/>
    <w:rsid w:val="00A823C6"/>
    <w:rsid w:val="00A8297B"/>
    <w:rsid w:val="00A84418"/>
    <w:rsid w:val="00A93888"/>
    <w:rsid w:val="00A93E79"/>
    <w:rsid w:val="00A95107"/>
    <w:rsid w:val="00A960E8"/>
    <w:rsid w:val="00AA0341"/>
    <w:rsid w:val="00AA198A"/>
    <w:rsid w:val="00AA3E77"/>
    <w:rsid w:val="00AA43FC"/>
    <w:rsid w:val="00AA454E"/>
    <w:rsid w:val="00AA4A52"/>
    <w:rsid w:val="00AA5921"/>
    <w:rsid w:val="00AA5952"/>
    <w:rsid w:val="00AB4EBC"/>
    <w:rsid w:val="00AB5A8E"/>
    <w:rsid w:val="00AB67C4"/>
    <w:rsid w:val="00AB7E5A"/>
    <w:rsid w:val="00AC0BA2"/>
    <w:rsid w:val="00AC0C6F"/>
    <w:rsid w:val="00AC20A3"/>
    <w:rsid w:val="00AC27E6"/>
    <w:rsid w:val="00AC39AD"/>
    <w:rsid w:val="00AC4FF6"/>
    <w:rsid w:val="00AC5A9A"/>
    <w:rsid w:val="00AC5B32"/>
    <w:rsid w:val="00AC620A"/>
    <w:rsid w:val="00AC7C14"/>
    <w:rsid w:val="00AD02BF"/>
    <w:rsid w:val="00AD2372"/>
    <w:rsid w:val="00AD3714"/>
    <w:rsid w:val="00AD429C"/>
    <w:rsid w:val="00AD7DB7"/>
    <w:rsid w:val="00AE193B"/>
    <w:rsid w:val="00AE4B45"/>
    <w:rsid w:val="00AE62DF"/>
    <w:rsid w:val="00AE639B"/>
    <w:rsid w:val="00AE65CB"/>
    <w:rsid w:val="00AE7033"/>
    <w:rsid w:val="00AF3DBF"/>
    <w:rsid w:val="00AF548B"/>
    <w:rsid w:val="00AF5ED7"/>
    <w:rsid w:val="00AF62BD"/>
    <w:rsid w:val="00AF72E8"/>
    <w:rsid w:val="00B0017F"/>
    <w:rsid w:val="00B025E8"/>
    <w:rsid w:val="00B027EF"/>
    <w:rsid w:val="00B02FC0"/>
    <w:rsid w:val="00B03DD6"/>
    <w:rsid w:val="00B06E86"/>
    <w:rsid w:val="00B07796"/>
    <w:rsid w:val="00B11E7D"/>
    <w:rsid w:val="00B12338"/>
    <w:rsid w:val="00B12FCA"/>
    <w:rsid w:val="00B13ACA"/>
    <w:rsid w:val="00B14EC1"/>
    <w:rsid w:val="00B15A5E"/>
    <w:rsid w:val="00B15CFD"/>
    <w:rsid w:val="00B1657C"/>
    <w:rsid w:val="00B16F45"/>
    <w:rsid w:val="00B17059"/>
    <w:rsid w:val="00B209C2"/>
    <w:rsid w:val="00B20A14"/>
    <w:rsid w:val="00B20B00"/>
    <w:rsid w:val="00B21056"/>
    <w:rsid w:val="00B2115E"/>
    <w:rsid w:val="00B21378"/>
    <w:rsid w:val="00B2212F"/>
    <w:rsid w:val="00B2290F"/>
    <w:rsid w:val="00B30144"/>
    <w:rsid w:val="00B31AA7"/>
    <w:rsid w:val="00B32C07"/>
    <w:rsid w:val="00B33612"/>
    <w:rsid w:val="00B34A41"/>
    <w:rsid w:val="00B34EEF"/>
    <w:rsid w:val="00B34F53"/>
    <w:rsid w:val="00B3575F"/>
    <w:rsid w:val="00B36D98"/>
    <w:rsid w:val="00B423CA"/>
    <w:rsid w:val="00B426C5"/>
    <w:rsid w:val="00B433E8"/>
    <w:rsid w:val="00B445E7"/>
    <w:rsid w:val="00B460B1"/>
    <w:rsid w:val="00B5097C"/>
    <w:rsid w:val="00B52641"/>
    <w:rsid w:val="00B52FC0"/>
    <w:rsid w:val="00B53683"/>
    <w:rsid w:val="00B53DD6"/>
    <w:rsid w:val="00B55063"/>
    <w:rsid w:val="00B6019E"/>
    <w:rsid w:val="00B601AF"/>
    <w:rsid w:val="00B608D7"/>
    <w:rsid w:val="00B613BD"/>
    <w:rsid w:val="00B61601"/>
    <w:rsid w:val="00B65C82"/>
    <w:rsid w:val="00B66AE8"/>
    <w:rsid w:val="00B67B5A"/>
    <w:rsid w:val="00B702D9"/>
    <w:rsid w:val="00B71C6D"/>
    <w:rsid w:val="00B721D6"/>
    <w:rsid w:val="00B72DED"/>
    <w:rsid w:val="00B72E66"/>
    <w:rsid w:val="00B75437"/>
    <w:rsid w:val="00B8038C"/>
    <w:rsid w:val="00B8066E"/>
    <w:rsid w:val="00B8222B"/>
    <w:rsid w:val="00B82D50"/>
    <w:rsid w:val="00B83892"/>
    <w:rsid w:val="00B8393F"/>
    <w:rsid w:val="00B83AD5"/>
    <w:rsid w:val="00B8790B"/>
    <w:rsid w:val="00B9173A"/>
    <w:rsid w:val="00B946BE"/>
    <w:rsid w:val="00B95FC6"/>
    <w:rsid w:val="00B96778"/>
    <w:rsid w:val="00BA03D8"/>
    <w:rsid w:val="00BA0E69"/>
    <w:rsid w:val="00BA0FBC"/>
    <w:rsid w:val="00BA2CE3"/>
    <w:rsid w:val="00BA3058"/>
    <w:rsid w:val="00BA330A"/>
    <w:rsid w:val="00BA34A4"/>
    <w:rsid w:val="00BA56CE"/>
    <w:rsid w:val="00BA572D"/>
    <w:rsid w:val="00BA58C0"/>
    <w:rsid w:val="00BA5EF4"/>
    <w:rsid w:val="00BA68FB"/>
    <w:rsid w:val="00BA69EE"/>
    <w:rsid w:val="00BA6CCD"/>
    <w:rsid w:val="00BA7151"/>
    <w:rsid w:val="00BB00FD"/>
    <w:rsid w:val="00BB1E8D"/>
    <w:rsid w:val="00BB3378"/>
    <w:rsid w:val="00BB341C"/>
    <w:rsid w:val="00BB651A"/>
    <w:rsid w:val="00BB6F58"/>
    <w:rsid w:val="00BB763D"/>
    <w:rsid w:val="00BC16F1"/>
    <w:rsid w:val="00BC2C6F"/>
    <w:rsid w:val="00BC307A"/>
    <w:rsid w:val="00BC37D9"/>
    <w:rsid w:val="00BC418F"/>
    <w:rsid w:val="00BC4445"/>
    <w:rsid w:val="00BC59BE"/>
    <w:rsid w:val="00BC67D8"/>
    <w:rsid w:val="00BD1026"/>
    <w:rsid w:val="00BD21D7"/>
    <w:rsid w:val="00BD41EE"/>
    <w:rsid w:val="00BD4691"/>
    <w:rsid w:val="00BD5B07"/>
    <w:rsid w:val="00BE03F7"/>
    <w:rsid w:val="00BE0474"/>
    <w:rsid w:val="00BE1C2B"/>
    <w:rsid w:val="00BE3015"/>
    <w:rsid w:val="00BE417B"/>
    <w:rsid w:val="00BE6C65"/>
    <w:rsid w:val="00BE7BEC"/>
    <w:rsid w:val="00BF020E"/>
    <w:rsid w:val="00BF0A01"/>
    <w:rsid w:val="00BF1330"/>
    <w:rsid w:val="00BF34EF"/>
    <w:rsid w:val="00BF75C2"/>
    <w:rsid w:val="00C020F1"/>
    <w:rsid w:val="00C0330D"/>
    <w:rsid w:val="00C04FB7"/>
    <w:rsid w:val="00C05597"/>
    <w:rsid w:val="00C07990"/>
    <w:rsid w:val="00C079F2"/>
    <w:rsid w:val="00C10A15"/>
    <w:rsid w:val="00C11309"/>
    <w:rsid w:val="00C117CD"/>
    <w:rsid w:val="00C11DD6"/>
    <w:rsid w:val="00C13119"/>
    <w:rsid w:val="00C13241"/>
    <w:rsid w:val="00C1361A"/>
    <w:rsid w:val="00C1420C"/>
    <w:rsid w:val="00C1459C"/>
    <w:rsid w:val="00C2020C"/>
    <w:rsid w:val="00C20DE5"/>
    <w:rsid w:val="00C20EB9"/>
    <w:rsid w:val="00C21060"/>
    <w:rsid w:val="00C22056"/>
    <w:rsid w:val="00C22648"/>
    <w:rsid w:val="00C22AE8"/>
    <w:rsid w:val="00C27415"/>
    <w:rsid w:val="00C27801"/>
    <w:rsid w:val="00C3185C"/>
    <w:rsid w:val="00C32557"/>
    <w:rsid w:val="00C32F6B"/>
    <w:rsid w:val="00C346D2"/>
    <w:rsid w:val="00C3539C"/>
    <w:rsid w:val="00C35FCB"/>
    <w:rsid w:val="00C36267"/>
    <w:rsid w:val="00C407E0"/>
    <w:rsid w:val="00C40AEC"/>
    <w:rsid w:val="00C416A3"/>
    <w:rsid w:val="00C4620A"/>
    <w:rsid w:val="00C4629B"/>
    <w:rsid w:val="00C46306"/>
    <w:rsid w:val="00C46AFF"/>
    <w:rsid w:val="00C470D9"/>
    <w:rsid w:val="00C512B8"/>
    <w:rsid w:val="00C52DF8"/>
    <w:rsid w:val="00C55757"/>
    <w:rsid w:val="00C560C6"/>
    <w:rsid w:val="00C576BA"/>
    <w:rsid w:val="00C62EF1"/>
    <w:rsid w:val="00C636DA"/>
    <w:rsid w:val="00C63D06"/>
    <w:rsid w:val="00C651A9"/>
    <w:rsid w:val="00C70190"/>
    <w:rsid w:val="00C704CD"/>
    <w:rsid w:val="00C70A84"/>
    <w:rsid w:val="00C70CA7"/>
    <w:rsid w:val="00C71674"/>
    <w:rsid w:val="00C71F5A"/>
    <w:rsid w:val="00C72732"/>
    <w:rsid w:val="00C72A8B"/>
    <w:rsid w:val="00C76152"/>
    <w:rsid w:val="00C7621B"/>
    <w:rsid w:val="00C80388"/>
    <w:rsid w:val="00C80405"/>
    <w:rsid w:val="00C81E77"/>
    <w:rsid w:val="00C84974"/>
    <w:rsid w:val="00C84DA1"/>
    <w:rsid w:val="00C85986"/>
    <w:rsid w:val="00C85D09"/>
    <w:rsid w:val="00C86607"/>
    <w:rsid w:val="00C87050"/>
    <w:rsid w:val="00C87357"/>
    <w:rsid w:val="00C8753D"/>
    <w:rsid w:val="00C87D9F"/>
    <w:rsid w:val="00C921C2"/>
    <w:rsid w:val="00C924D2"/>
    <w:rsid w:val="00C95169"/>
    <w:rsid w:val="00C95594"/>
    <w:rsid w:val="00C967AB"/>
    <w:rsid w:val="00C97B80"/>
    <w:rsid w:val="00CA0D16"/>
    <w:rsid w:val="00CA139B"/>
    <w:rsid w:val="00CA15B0"/>
    <w:rsid w:val="00CA15FA"/>
    <w:rsid w:val="00CA2558"/>
    <w:rsid w:val="00CA2701"/>
    <w:rsid w:val="00CA3706"/>
    <w:rsid w:val="00CA3B6B"/>
    <w:rsid w:val="00CA48FC"/>
    <w:rsid w:val="00CA4DC4"/>
    <w:rsid w:val="00CA7227"/>
    <w:rsid w:val="00CB0057"/>
    <w:rsid w:val="00CB049D"/>
    <w:rsid w:val="00CB0550"/>
    <w:rsid w:val="00CB0726"/>
    <w:rsid w:val="00CB1CB0"/>
    <w:rsid w:val="00CB7C65"/>
    <w:rsid w:val="00CB7EA6"/>
    <w:rsid w:val="00CC0481"/>
    <w:rsid w:val="00CC27B5"/>
    <w:rsid w:val="00CC351C"/>
    <w:rsid w:val="00CC3803"/>
    <w:rsid w:val="00CC41B8"/>
    <w:rsid w:val="00CC4D50"/>
    <w:rsid w:val="00CC5FF4"/>
    <w:rsid w:val="00CD23CC"/>
    <w:rsid w:val="00CD352A"/>
    <w:rsid w:val="00CD357E"/>
    <w:rsid w:val="00CD3EBD"/>
    <w:rsid w:val="00CD3FA3"/>
    <w:rsid w:val="00CD4779"/>
    <w:rsid w:val="00CD7974"/>
    <w:rsid w:val="00CD79A9"/>
    <w:rsid w:val="00CE03DB"/>
    <w:rsid w:val="00CE244B"/>
    <w:rsid w:val="00CE295A"/>
    <w:rsid w:val="00CE4AE2"/>
    <w:rsid w:val="00CE66C7"/>
    <w:rsid w:val="00CE69BC"/>
    <w:rsid w:val="00CF1146"/>
    <w:rsid w:val="00CF193F"/>
    <w:rsid w:val="00CF33C0"/>
    <w:rsid w:val="00CF3EF8"/>
    <w:rsid w:val="00CF4643"/>
    <w:rsid w:val="00CF4CD6"/>
    <w:rsid w:val="00CF682E"/>
    <w:rsid w:val="00CF7FE8"/>
    <w:rsid w:val="00D00E82"/>
    <w:rsid w:val="00D02BC0"/>
    <w:rsid w:val="00D032E0"/>
    <w:rsid w:val="00D03635"/>
    <w:rsid w:val="00D04D9C"/>
    <w:rsid w:val="00D050CC"/>
    <w:rsid w:val="00D05840"/>
    <w:rsid w:val="00D05852"/>
    <w:rsid w:val="00D05D36"/>
    <w:rsid w:val="00D127C4"/>
    <w:rsid w:val="00D13041"/>
    <w:rsid w:val="00D1478E"/>
    <w:rsid w:val="00D1481D"/>
    <w:rsid w:val="00D14978"/>
    <w:rsid w:val="00D14BB7"/>
    <w:rsid w:val="00D14CF9"/>
    <w:rsid w:val="00D15167"/>
    <w:rsid w:val="00D1586F"/>
    <w:rsid w:val="00D160BC"/>
    <w:rsid w:val="00D24359"/>
    <w:rsid w:val="00D2451F"/>
    <w:rsid w:val="00D24D7D"/>
    <w:rsid w:val="00D25D33"/>
    <w:rsid w:val="00D26053"/>
    <w:rsid w:val="00D268D0"/>
    <w:rsid w:val="00D2790A"/>
    <w:rsid w:val="00D30977"/>
    <w:rsid w:val="00D3166C"/>
    <w:rsid w:val="00D31874"/>
    <w:rsid w:val="00D322D1"/>
    <w:rsid w:val="00D33CD4"/>
    <w:rsid w:val="00D3515A"/>
    <w:rsid w:val="00D365D8"/>
    <w:rsid w:val="00D37494"/>
    <w:rsid w:val="00D37B93"/>
    <w:rsid w:val="00D4003E"/>
    <w:rsid w:val="00D40DAC"/>
    <w:rsid w:val="00D421E8"/>
    <w:rsid w:val="00D43EF6"/>
    <w:rsid w:val="00D44B01"/>
    <w:rsid w:val="00D45780"/>
    <w:rsid w:val="00D459D6"/>
    <w:rsid w:val="00D462B2"/>
    <w:rsid w:val="00D52465"/>
    <w:rsid w:val="00D52AA6"/>
    <w:rsid w:val="00D54000"/>
    <w:rsid w:val="00D55F50"/>
    <w:rsid w:val="00D57689"/>
    <w:rsid w:val="00D61B37"/>
    <w:rsid w:val="00D64523"/>
    <w:rsid w:val="00D66224"/>
    <w:rsid w:val="00D66388"/>
    <w:rsid w:val="00D66B3C"/>
    <w:rsid w:val="00D702A2"/>
    <w:rsid w:val="00D70D5A"/>
    <w:rsid w:val="00D726D5"/>
    <w:rsid w:val="00D73A54"/>
    <w:rsid w:val="00D73CA7"/>
    <w:rsid w:val="00D74691"/>
    <w:rsid w:val="00D75655"/>
    <w:rsid w:val="00D75B7A"/>
    <w:rsid w:val="00D75C80"/>
    <w:rsid w:val="00D75E1B"/>
    <w:rsid w:val="00D82946"/>
    <w:rsid w:val="00D84A86"/>
    <w:rsid w:val="00D84CAE"/>
    <w:rsid w:val="00D8509B"/>
    <w:rsid w:val="00D85173"/>
    <w:rsid w:val="00D85A05"/>
    <w:rsid w:val="00D86CCD"/>
    <w:rsid w:val="00D87988"/>
    <w:rsid w:val="00D87BE4"/>
    <w:rsid w:val="00D90782"/>
    <w:rsid w:val="00D91A38"/>
    <w:rsid w:val="00D9315A"/>
    <w:rsid w:val="00D945EF"/>
    <w:rsid w:val="00D96347"/>
    <w:rsid w:val="00D963E1"/>
    <w:rsid w:val="00DA1A35"/>
    <w:rsid w:val="00DA3544"/>
    <w:rsid w:val="00DA42D3"/>
    <w:rsid w:val="00DA4739"/>
    <w:rsid w:val="00DA47D4"/>
    <w:rsid w:val="00DA4C27"/>
    <w:rsid w:val="00DA6231"/>
    <w:rsid w:val="00DA7CD6"/>
    <w:rsid w:val="00DB039D"/>
    <w:rsid w:val="00DB1075"/>
    <w:rsid w:val="00DB1E16"/>
    <w:rsid w:val="00DB3533"/>
    <w:rsid w:val="00DB37EC"/>
    <w:rsid w:val="00DB5125"/>
    <w:rsid w:val="00DB596A"/>
    <w:rsid w:val="00DB776A"/>
    <w:rsid w:val="00DC04FD"/>
    <w:rsid w:val="00DC08F1"/>
    <w:rsid w:val="00DC0B03"/>
    <w:rsid w:val="00DC0B3E"/>
    <w:rsid w:val="00DC0C23"/>
    <w:rsid w:val="00DC0F4E"/>
    <w:rsid w:val="00DC2FEF"/>
    <w:rsid w:val="00DC39C1"/>
    <w:rsid w:val="00DC66A9"/>
    <w:rsid w:val="00DC6DD7"/>
    <w:rsid w:val="00DC6E65"/>
    <w:rsid w:val="00DC7727"/>
    <w:rsid w:val="00DD0653"/>
    <w:rsid w:val="00DD0EF4"/>
    <w:rsid w:val="00DD27EA"/>
    <w:rsid w:val="00DD4714"/>
    <w:rsid w:val="00DE0424"/>
    <w:rsid w:val="00DE1A97"/>
    <w:rsid w:val="00DE21FC"/>
    <w:rsid w:val="00DE2328"/>
    <w:rsid w:val="00DE4F8C"/>
    <w:rsid w:val="00DE6E16"/>
    <w:rsid w:val="00DF146C"/>
    <w:rsid w:val="00DF1687"/>
    <w:rsid w:val="00DF27BE"/>
    <w:rsid w:val="00DF47BA"/>
    <w:rsid w:val="00DF5DA3"/>
    <w:rsid w:val="00DF7513"/>
    <w:rsid w:val="00E0065D"/>
    <w:rsid w:val="00E00732"/>
    <w:rsid w:val="00E0459F"/>
    <w:rsid w:val="00E0701D"/>
    <w:rsid w:val="00E1086A"/>
    <w:rsid w:val="00E10B4A"/>
    <w:rsid w:val="00E116F7"/>
    <w:rsid w:val="00E139DD"/>
    <w:rsid w:val="00E16C8F"/>
    <w:rsid w:val="00E20714"/>
    <w:rsid w:val="00E23CAE"/>
    <w:rsid w:val="00E23F53"/>
    <w:rsid w:val="00E24871"/>
    <w:rsid w:val="00E255DF"/>
    <w:rsid w:val="00E26151"/>
    <w:rsid w:val="00E272D9"/>
    <w:rsid w:val="00E27BF7"/>
    <w:rsid w:val="00E30538"/>
    <w:rsid w:val="00E30B4C"/>
    <w:rsid w:val="00E3186C"/>
    <w:rsid w:val="00E31C12"/>
    <w:rsid w:val="00E3206D"/>
    <w:rsid w:val="00E33157"/>
    <w:rsid w:val="00E35654"/>
    <w:rsid w:val="00E37B41"/>
    <w:rsid w:val="00E4255E"/>
    <w:rsid w:val="00E4398C"/>
    <w:rsid w:val="00E4449E"/>
    <w:rsid w:val="00E44522"/>
    <w:rsid w:val="00E44DD2"/>
    <w:rsid w:val="00E45CB3"/>
    <w:rsid w:val="00E45CF2"/>
    <w:rsid w:val="00E45DA0"/>
    <w:rsid w:val="00E45DE9"/>
    <w:rsid w:val="00E45E24"/>
    <w:rsid w:val="00E4779A"/>
    <w:rsid w:val="00E50AB8"/>
    <w:rsid w:val="00E51077"/>
    <w:rsid w:val="00E548E4"/>
    <w:rsid w:val="00E605E6"/>
    <w:rsid w:val="00E60A09"/>
    <w:rsid w:val="00E6149D"/>
    <w:rsid w:val="00E615A6"/>
    <w:rsid w:val="00E624B6"/>
    <w:rsid w:val="00E62A17"/>
    <w:rsid w:val="00E640C6"/>
    <w:rsid w:val="00E66786"/>
    <w:rsid w:val="00E67156"/>
    <w:rsid w:val="00E67F03"/>
    <w:rsid w:val="00E70110"/>
    <w:rsid w:val="00E70E6D"/>
    <w:rsid w:val="00E71AEB"/>
    <w:rsid w:val="00E727B6"/>
    <w:rsid w:val="00E75704"/>
    <w:rsid w:val="00E75D6A"/>
    <w:rsid w:val="00E778AA"/>
    <w:rsid w:val="00E77D44"/>
    <w:rsid w:val="00E809CA"/>
    <w:rsid w:val="00E826E3"/>
    <w:rsid w:val="00E840A6"/>
    <w:rsid w:val="00E847FE"/>
    <w:rsid w:val="00E860EE"/>
    <w:rsid w:val="00E87067"/>
    <w:rsid w:val="00E87D6B"/>
    <w:rsid w:val="00E87E74"/>
    <w:rsid w:val="00E907BC"/>
    <w:rsid w:val="00E91181"/>
    <w:rsid w:val="00E91BA5"/>
    <w:rsid w:val="00E92292"/>
    <w:rsid w:val="00E933F8"/>
    <w:rsid w:val="00EA0753"/>
    <w:rsid w:val="00EA09C9"/>
    <w:rsid w:val="00EA184B"/>
    <w:rsid w:val="00EA202F"/>
    <w:rsid w:val="00EA32F0"/>
    <w:rsid w:val="00EA4952"/>
    <w:rsid w:val="00EA4F65"/>
    <w:rsid w:val="00EA5D8E"/>
    <w:rsid w:val="00EA67B1"/>
    <w:rsid w:val="00EA6B27"/>
    <w:rsid w:val="00EA735E"/>
    <w:rsid w:val="00EB1DE8"/>
    <w:rsid w:val="00EB25E0"/>
    <w:rsid w:val="00EB2B3C"/>
    <w:rsid w:val="00EB2DEE"/>
    <w:rsid w:val="00EB60FF"/>
    <w:rsid w:val="00EC220A"/>
    <w:rsid w:val="00EC55DC"/>
    <w:rsid w:val="00EC636A"/>
    <w:rsid w:val="00ED0A0A"/>
    <w:rsid w:val="00ED19A5"/>
    <w:rsid w:val="00ED20A5"/>
    <w:rsid w:val="00ED2709"/>
    <w:rsid w:val="00ED43C4"/>
    <w:rsid w:val="00ED4C4A"/>
    <w:rsid w:val="00ED6841"/>
    <w:rsid w:val="00EE088A"/>
    <w:rsid w:val="00EE29F9"/>
    <w:rsid w:val="00EE2D67"/>
    <w:rsid w:val="00EE2D7F"/>
    <w:rsid w:val="00EE536C"/>
    <w:rsid w:val="00EE5ECD"/>
    <w:rsid w:val="00EE6505"/>
    <w:rsid w:val="00EF1AC2"/>
    <w:rsid w:val="00EF1AE6"/>
    <w:rsid w:val="00EF2D53"/>
    <w:rsid w:val="00EF3DDD"/>
    <w:rsid w:val="00EF401A"/>
    <w:rsid w:val="00EF41D7"/>
    <w:rsid w:val="00EF5AF6"/>
    <w:rsid w:val="00EF7E15"/>
    <w:rsid w:val="00F03199"/>
    <w:rsid w:val="00F06019"/>
    <w:rsid w:val="00F0724C"/>
    <w:rsid w:val="00F07514"/>
    <w:rsid w:val="00F10E57"/>
    <w:rsid w:val="00F121CA"/>
    <w:rsid w:val="00F1594A"/>
    <w:rsid w:val="00F23103"/>
    <w:rsid w:val="00F231EB"/>
    <w:rsid w:val="00F242AC"/>
    <w:rsid w:val="00F24E6C"/>
    <w:rsid w:val="00F31AB4"/>
    <w:rsid w:val="00F32B0D"/>
    <w:rsid w:val="00F3411F"/>
    <w:rsid w:val="00F34518"/>
    <w:rsid w:val="00F35A89"/>
    <w:rsid w:val="00F36B78"/>
    <w:rsid w:val="00F4077D"/>
    <w:rsid w:val="00F4529E"/>
    <w:rsid w:val="00F4671C"/>
    <w:rsid w:val="00F517D6"/>
    <w:rsid w:val="00F52C39"/>
    <w:rsid w:val="00F57157"/>
    <w:rsid w:val="00F60D09"/>
    <w:rsid w:val="00F64B8E"/>
    <w:rsid w:val="00F65CC0"/>
    <w:rsid w:val="00F65CED"/>
    <w:rsid w:val="00F672F7"/>
    <w:rsid w:val="00F72B5E"/>
    <w:rsid w:val="00F744B4"/>
    <w:rsid w:val="00F74768"/>
    <w:rsid w:val="00F7519E"/>
    <w:rsid w:val="00F76216"/>
    <w:rsid w:val="00F7639B"/>
    <w:rsid w:val="00F764B3"/>
    <w:rsid w:val="00F770C9"/>
    <w:rsid w:val="00F7736E"/>
    <w:rsid w:val="00F80101"/>
    <w:rsid w:val="00F807CD"/>
    <w:rsid w:val="00F80919"/>
    <w:rsid w:val="00F82885"/>
    <w:rsid w:val="00F82D2B"/>
    <w:rsid w:val="00F82DE7"/>
    <w:rsid w:val="00F83410"/>
    <w:rsid w:val="00F84755"/>
    <w:rsid w:val="00F84CCB"/>
    <w:rsid w:val="00F859E1"/>
    <w:rsid w:val="00F93964"/>
    <w:rsid w:val="00F93B02"/>
    <w:rsid w:val="00F96945"/>
    <w:rsid w:val="00F976FE"/>
    <w:rsid w:val="00F978A7"/>
    <w:rsid w:val="00F97CD4"/>
    <w:rsid w:val="00FA0A10"/>
    <w:rsid w:val="00FA13CB"/>
    <w:rsid w:val="00FA1D6E"/>
    <w:rsid w:val="00FA4C21"/>
    <w:rsid w:val="00FA575C"/>
    <w:rsid w:val="00FA5E9E"/>
    <w:rsid w:val="00FA6373"/>
    <w:rsid w:val="00FA7A41"/>
    <w:rsid w:val="00FA7D0C"/>
    <w:rsid w:val="00FB01E6"/>
    <w:rsid w:val="00FB137E"/>
    <w:rsid w:val="00FB1E11"/>
    <w:rsid w:val="00FB2F9D"/>
    <w:rsid w:val="00FC0D78"/>
    <w:rsid w:val="00FC0F3B"/>
    <w:rsid w:val="00FC1F00"/>
    <w:rsid w:val="00FC2239"/>
    <w:rsid w:val="00FC2351"/>
    <w:rsid w:val="00FC24F0"/>
    <w:rsid w:val="00FC294D"/>
    <w:rsid w:val="00FC4112"/>
    <w:rsid w:val="00FC5B5E"/>
    <w:rsid w:val="00FC6A89"/>
    <w:rsid w:val="00FC7F6B"/>
    <w:rsid w:val="00FD11BA"/>
    <w:rsid w:val="00FD485C"/>
    <w:rsid w:val="00FD4881"/>
    <w:rsid w:val="00FD5BC1"/>
    <w:rsid w:val="00FD5E1A"/>
    <w:rsid w:val="00FD6D11"/>
    <w:rsid w:val="00FE13BE"/>
    <w:rsid w:val="00FE24CD"/>
    <w:rsid w:val="00FE3064"/>
    <w:rsid w:val="00FE382F"/>
    <w:rsid w:val="00FE5693"/>
    <w:rsid w:val="00FE599F"/>
    <w:rsid w:val="00FE5E3C"/>
    <w:rsid w:val="00FE5E9D"/>
    <w:rsid w:val="00FE79E7"/>
    <w:rsid w:val="00FE7C70"/>
    <w:rsid w:val="00FF04AB"/>
    <w:rsid w:val="00FF0B50"/>
    <w:rsid w:val="00FF1E5F"/>
    <w:rsid w:val="00FF4D8F"/>
    <w:rsid w:val="00FF6D05"/>
    <w:rsid w:val="00FF7C93"/>
    <w:rsid w:val="00FF7D73"/>
    <w:rsid w:val="00FF7E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4F277C"/>
  <w14:defaultImageDpi w14:val="32767"/>
  <w15:docId w15:val="{075A3D85-B038-D444-82E9-E8016E42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128"/>
    <w:rPr>
      <w:rFonts w:ascii="Times New Roman" w:eastAsia="Times New Roman" w:hAnsi="Times New Roman" w:cs="Times New Roman"/>
    </w:rPr>
  </w:style>
  <w:style w:type="paragraph" w:styleId="Heading1">
    <w:name w:val="heading 1"/>
    <w:basedOn w:val="Normal"/>
    <w:next w:val="Normal"/>
    <w:link w:val="Heading1Char"/>
    <w:uiPriority w:val="9"/>
    <w:qFormat/>
    <w:rsid w:val="008C4C4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E1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706E4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qFormat/>
    <w:rsid w:val="008C4C41"/>
    <w:rPr>
      <w:rFonts w:ascii="Times New Roman" w:hAnsi="Times New Roman"/>
      <w:sz w:val="24"/>
      <w:lang w:val="en-CA"/>
    </w:rPr>
  </w:style>
  <w:style w:type="character" w:customStyle="1" w:styleId="Heading1Char">
    <w:name w:val="Heading 1 Char"/>
    <w:basedOn w:val="DefaultParagraphFont"/>
    <w:link w:val="Heading1"/>
    <w:uiPriority w:val="9"/>
    <w:rsid w:val="008C4C41"/>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EF7E15"/>
    <w:rPr>
      <w:b/>
      <w:bCs/>
    </w:rPr>
  </w:style>
  <w:style w:type="paragraph" w:styleId="NormalWeb">
    <w:name w:val="Normal (Web)"/>
    <w:basedOn w:val="Normal"/>
    <w:uiPriority w:val="99"/>
    <w:unhideWhenUsed/>
    <w:rsid w:val="00EF7E15"/>
    <w:pPr>
      <w:spacing w:before="100" w:beforeAutospacing="1" w:after="100" w:afterAutospacing="1"/>
    </w:pPr>
  </w:style>
  <w:style w:type="paragraph" w:styleId="Header">
    <w:name w:val="header"/>
    <w:basedOn w:val="Normal"/>
    <w:link w:val="HeaderChar"/>
    <w:uiPriority w:val="99"/>
    <w:unhideWhenUsed/>
    <w:rsid w:val="00EF7E15"/>
    <w:pPr>
      <w:tabs>
        <w:tab w:val="center" w:pos="4680"/>
        <w:tab w:val="right" w:pos="9360"/>
      </w:tabs>
    </w:pPr>
  </w:style>
  <w:style w:type="character" w:customStyle="1" w:styleId="HeaderChar">
    <w:name w:val="Header Char"/>
    <w:basedOn w:val="DefaultParagraphFont"/>
    <w:link w:val="Header"/>
    <w:uiPriority w:val="99"/>
    <w:rsid w:val="00EF7E15"/>
  </w:style>
  <w:style w:type="paragraph" w:styleId="Footer">
    <w:name w:val="footer"/>
    <w:basedOn w:val="Normal"/>
    <w:link w:val="FooterChar"/>
    <w:uiPriority w:val="99"/>
    <w:unhideWhenUsed/>
    <w:rsid w:val="00EF7E15"/>
    <w:pPr>
      <w:tabs>
        <w:tab w:val="center" w:pos="4680"/>
        <w:tab w:val="right" w:pos="9360"/>
      </w:tabs>
    </w:pPr>
  </w:style>
  <w:style w:type="character" w:customStyle="1" w:styleId="FooterChar">
    <w:name w:val="Footer Char"/>
    <w:basedOn w:val="DefaultParagraphFont"/>
    <w:link w:val="Footer"/>
    <w:uiPriority w:val="99"/>
    <w:rsid w:val="00EF7E15"/>
  </w:style>
  <w:style w:type="character" w:customStyle="1" w:styleId="Heading4Char">
    <w:name w:val="Heading 4 Char"/>
    <w:basedOn w:val="DefaultParagraphFont"/>
    <w:link w:val="Heading4"/>
    <w:uiPriority w:val="9"/>
    <w:rsid w:val="00706E44"/>
    <w:rPr>
      <w:rFonts w:ascii="Times New Roman" w:eastAsia="Times New Roman" w:hAnsi="Times New Roman" w:cs="Times New Roman"/>
      <w:b/>
      <w:bCs/>
    </w:rPr>
  </w:style>
  <w:style w:type="character" w:styleId="Emphasis">
    <w:name w:val="Emphasis"/>
    <w:basedOn w:val="DefaultParagraphFont"/>
    <w:uiPriority w:val="20"/>
    <w:qFormat/>
    <w:rsid w:val="004C6D24"/>
    <w:rPr>
      <w:i/>
      <w:iCs/>
    </w:rPr>
  </w:style>
  <w:style w:type="character" w:styleId="CommentReference">
    <w:name w:val="annotation reference"/>
    <w:basedOn w:val="DefaultParagraphFont"/>
    <w:uiPriority w:val="99"/>
    <w:semiHidden/>
    <w:unhideWhenUsed/>
    <w:rsid w:val="00FE3064"/>
    <w:rPr>
      <w:sz w:val="16"/>
      <w:szCs w:val="16"/>
    </w:rPr>
  </w:style>
  <w:style w:type="paragraph" w:styleId="CommentText">
    <w:name w:val="annotation text"/>
    <w:basedOn w:val="Normal"/>
    <w:link w:val="CommentTextChar"/>
    <w:uiPriority w:val="99"/>
    <w:semiHidden/>
    <w:unhideWhenUsed/>
    <w:rsid w:val="00FE3064"/>
    <w:rPr>
      <w:sz w:val="20"/>
      <w:szCs w:val="20"/>
    </w:rPr>
  </w:style>
  <w:style w:type="character" w:customStyle="1" w:styleId="CommentTextChar">
    <w:name w:val="Comment Text Char"/>
    <w:basedOn w:val="DefaultParagraphFont"/>
    <w:link w:val="CommentText"/>
    <w:uiPriority w:val="99"/>
    <w:semiHidden/>
    <w:rsid w:val="00FE30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3064"/>
    <w:rPr>
      <w:b/>
      <w:bCs/>
    </w:rPr>
  </w:style>
  <w:style w:type="character" w:customStyle="1" w:styleId="CommentSubjectChar">
    <w:name w:val="Comment Subject Char"/>
    <w:basedOn w:val="CommentTextChar"/>
    <w:link w:val="CommentSubject"/>
    <w:uiPriority w:val="99"/>
    <w:semiHidden/>
    <w:rsid w:val="00FE306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E30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064"/>
    <w:rPr>
      <w:rFonts w:ascii="Segoe UI" w:eastAsia="Times New Roman" w:hAnsi="Segoe UI" w:cs="Segoe UI"/>
      <w:sz w:val="18"/>
      <w:szCs w:val="18"/>
    </w:rPr>
  </w:style>
  <w:style w:type="paragraph" w:styleId="Revision">
    <w:name w:val="Revision"/>
    <w:hidden/>
    <w:uiPriority w:val="99"/>
    <w:semiHidden/>
    <w:rsid w:val="005D6C38"/>
    <w:rPr>
      <w:rFonts w:ascii="Times New Roman" w:eastAsia="Times New Roman" w:hAnsi="Times New Roman" w:cs="Times New Roman"/>
    </w:rPr>
  </w:style>
  <w:style w:type="character" w:styleId="PlaceholderText">
    <w:name w:val="Placeholder Text"/>
    <w:basedOn w:val="DefaultParagraphFont"/>
    <w:uiPriority w:val="99"/>
    <w:semiHidden/>
    <w:rsid w:val="003E684E"/>
    <w:rPr>
      <w:color w:val="808080"/>
    </w:rPr>
  </w:style>
  <w:style w:type="paragraph" w:styleId="Bibliography">
    <w:name w:val="Bibliography"/>
    <w:basedOn w:val="Normal"/>
    <w:next w:val="Normal"/>
    <w:uiPriority w:val="37"/>
    <w:unhideWhenUsed/>
    <w:rsid w:val="00D61B37"/>
    <w:pPr>
      <w:tabs>
        <w:tab w:val="left" w:pos="500"/>
      </w:tabs>
      <w:spacing w:after="240"/>
      <w:ind w:left="504" w:hanging="504"/>
    </w:pPr>
  </w:style>
  <w:style w:type="character" w:styleId="LineNumber">
    <w:name w:val="line number"/>
    <w:basedOn w:val="DefaultParagraphFont"/>
    <w:uiPriority w:val="99"/>
    <w:semiHidden/>
    <w:unhideWhenUsed/>
    <w:rsid w:val="00130FB6"/>
  </w:style>
  <w:style w:type="character" w:styleId="PageNumber">
    <w:name w:val="page number"/>
    <w:basedOn w:val="DefaultParagraphFont"/>
    <w:uiPriority w:val="99"/>
    <w:semiHidden/>
    <w:unhideWhenUsed/>
    <w:rsid w:val="00130FB6"/>
  </w:style>
  <w:style w:type="paragraph" w:customStyle="1" w:styleId="Default">
    <w:name w:val="Default"/>
    <w:rsid w:val="00B8066E"/>
    <w:pPr>
      <w:autoSpaceDE w:val="0"/>
      <w:autoSpaceDN w:val="0"/>
      <w:adjustRightInd w:val="0"/>
    </w:pPr>
    <w:rPr>
      <w:rFonts w:ascii="Arial" w:hAnsi="Arial" w:cs="Arial"/>
      <w:color w:val="000000"/>
    </w:rPr>
  </w:style>
  <w:style w:type="paragraph" w:styleId="Caption">
    <w:name w:val="caption"/>
    <w:basedOn w:val="Normal"/>
    <w:next w:val="Normal"/>
    <w:uiPriority w:val="35"/>
    <w:unhideWhenUsed/>
    <w:qFormat/>
    <w:rsid w:val="009B516C"/>
    <w:pPr>
      <w:spacing w:after="200"/>
    </w:pPr>
    <w:rPr>
      <w:i/>
      <w:iCs/>
      <w:color w:val="44546A" w:themeColor="text2"/>
      <w:sz w:val="18"/>
      <w:szCs w:val="18"/>
    </w:rPr>
  </w:style>
  <w:style w:type="character" w:customStyle="1" w:styleId="Heading2Char">
    <w:name w:val="Heading 2 Char"/>
    <w:basedOn w:val="DefaultParagraphFont"/>
    <w:link w:val="Heading2"/>
    <w:uiPriority w:val="9"/>
    <w:rsid w:val="008E16DB"/>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8E16DB"/>
    <w:pPr>
      <w:spacing w:before="480" w:line="276" w:lineRule="auto"/>
      <w:outlineLvl w:val="9"/>
    </w:pPr>
    <w:rPr>
      <w:b/>
      <w:bCs/>
      <w:sz w:val="28"/>
      <w:szCs w:val="28"/>
      <w:lang w:eastAsia="en-US"/>
    </w:rPr>
  </w:style>
  <w:style w:type="paragraph" w:styleId="TOC1">
    <w:name w:val="toc 1"/>
    <w:basedOn w:val="Normal"/>
    <w:next w:val="Normal"/>
    <w:autoRedefine/>
    <w:uiPriority w:val="39"/>
    <w:unhideWhenUsed/>
    <w:rsid w:val="008E16DB"/>
    <w:pPr>
      <w:spacing w:before="120"/>
    </w:pPr>
    <w:rPr>
      <w:rFonts w:asciiTheme="minorHAnsi" w:eastAsiaTheme="minorEastAsia" w:hAnsiTheme="minorHAnsi" w:cstheme="minorBidi"/>
      <w:b/>
      <w:bCs/>
      <w:i/>
      <w:iCs/>
    </w:rPr>
  </w:style>
  <w:style w:type="character" w:styleId="Hyperlink">
    <w:name w:val="Hyperlink"/>
    <w:basedOn w:val="DefaultParagraphFont"/>
    <w:uiPriority w:val="99"/>
    <w:unhideWhenUsed/>
    <w:rsid w:val="008E16DB"/>
    <w:rPr>
      <w:color w:val="0563C1" w:themeColor="hyperlink"/>
      <w:u w:val="single"/>
    </w:rPr>
  </w:style>
  <w:style w:type="paragraph" w:styleId="TOC2">
    <w:name w:val="toc 2"/>
    <w:basedOn w:val="Normal"/>
    <w:next w:val="Normal"/>
    <w:autoRedefine/>
    <w:uiPriority w:val="39"/>
    <w:unhideWhenUsed/>
    <w:rsid w:val="008E16DB"/>
    <w:pPr>
      <w:spacing w:before="120"/>
      <w:ind w:left="240"/>
    </w:pPr>
    <w:rPr>
      <w:rFonts w:asciiTheme="minorHAnsi" w:eastAsiaTheme="minorEastAsia"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02677">
      <w:bodyDiv w:val="1"/>
      <w:marLeft w:val="0"/>
      <w:marRight w:val="0"/>
      <w:marTop w:val="0"/>
      <w:marBottom w:val="0"/>
      <w:divBdr>
        <w:top w:val="none" w:sz="0" w:space="0" w:color="auto"/>
        <w:left w:val="none" w:sz="0" w:space="0" w:color="auto"/>
        <w:bottom w:val="none" w:sz="0" w:space="0" w:color="auto"/>
        <w:right w:val="none" w:sz="0" w:space="0" w:color="auto"/>
      </w:divBdr>
      <w:divsChild>
        <w:div w:id="67189901">
          <w:marLeft w:val="0"/>
          <w:marRight w:val="0"/>
          <w:marTop w:val="0"/>
          <w:marBottom w:val="0"/>
          <w:divBdr>
            <w:top w:val="none" w:sz="0" w:space="0" w:color="auto"/>
            <w:left w:val="none" w:sz="0" w:space="0" w:color="auto"/>
            <w:bottom w:val="none" w:sz="0" w:space="0" w:color="auto"/>
            <w:right w:val="none" w:sz="0" w:space="0" w:color="auto"/>
          </w:divBdr>
        </w:div>
        <w:div w:id="214313069">
          <w:marLeft w:val="0"/>
          <w:marRight w:val="0"/>
          <w:marTop w:val="0"/>
          <w:marBottom w:val="0"/>
          <w:divBdr>
            <w:top w:val="none" w:sz="0" w:space="0" w:color="auto"/>
            <w:left w:val="none" w:sz="0" w:space="0" w:color="auto"/>
            <w:bottom w:val="none" w:sz="0" w:space="0" w:color="auto"/>
            <w:right w:val="none" w:sz="0" w:space="0" w:color="auto"/>
          </w:divBdr>
        </w:div>
      </w:divsChild>
    </w:div>
    <w:div w:id="136191670">
      <w:bodyDiv w:val="1"/>
      <w:marLeft w:val="0"/>
      <w:marRight w:val="0"/>
      <w:marTop w:val="0"/>
      <w:marBottom w:val="0"/>
      <w:divBdr>
        <w:top w:val="none" w:sz="0" w:space="0" w:color="auto"/>
        <w:left w:val="none" w:sz="0" w:space="0" w:color="auto"/>
        <w:bottom w:val="none" w:sz="0" w:space="0" w:color="auto"/>
        <w:right w:val="none" w:sz="0" w:space="0" w:color="auto"/>
      </w:divBdr>
    </w:div>
    <w:div w:id="175777095">
      <w:bodyDiv w:val="1"/>
      <w:marLeft w:val="0"/>
      <w:marRight w:val="0"/>
      <w:marTop w:val="0"/>
      <w:marBottom w:val="0"/>
      <w:divBdr>
        <w:top w:val="none" w:sz="0" w:space="0" w:color="auto"/>
        <w:left w:val="none" w:sz="0" w:space="0" w:color="auto"/>
        <w:bottom w:val="none" w:sz="0" w:space="0" w:color="auto"/>
        <w:right w:val="none" w:sz="0" w:space="0" w:color="auto"/>
      </w:divBdr>
    </w:div>
    <w:div w:id="207648110">
      <w:bodyDiv w:val="1"/>
      <w:marLeft w:val="0"/>
      <w:marRight w:val="0"/>
      <w:marTop w:val="0"/>
      <w:marBottom w:val="0"/>
      <w:divBdr>
        <w:top w:val="none" w:sz="0" w:space="0" w:color="auto"/>
        <w:left w:val="none" w:sz="0" w:space="0" w:color="auto"/>
        <w:bottom w:val="none" w:sz="0" w:space="0" w:color="auto"/>
        <w:right w:val="none" w:sz="0" w:space="0" w:color="auto"/>
      </w:divBdr>
    </w:div>
    <w:div w:id="509833820">
      <w:bodyDiv w:val="1"/>
      <w:marLeft w:val="0"/>
      <w:marRight w:val="0"/>
      <w:marTop w:val="0"/>
      <w:marBottom w:val="0"/>
      <w:divBdr>
        <w:top w:val="none" w:sz="0" w:space="0" w:color="auto"/>
        <w:left w:val="none" w:sz="0" w:space="0" w:color="auto"/>
        <w:bottom w:val="none" w:sz="0" w:space="0" w:color="auto"/>
        <w:right w:val="none" w:sz="0" w:space="0" w:color="auto"/>
      </w:divBdr>
    </w:div>
    <w:div w:id="535197263">
      <w:bodyDiv w:val="1"/>
      <w:marLeft w:val="0"/>
      <w:marRight w:val="0"/>
      <w:marTop w:val="0"/>
      <w:marBottom w:val="0"/>
      <w:divBdr>
        <w:top w:val="none" w:sz="0" w:space="0" w:color="auto"/>
        <w:left w:val="none" w:sz="0" w:space="0" w:color="auto"/>
        <w:bottom w:val="none" w:sz="0" w:space="0" w:color="auto"/>
        <w:right w:val="none" w:sz="0" w:space="0" w:color="auto"/>
      </w:divBdr>
    </w:div>
    <w:div w:id="637035385">
      <w:bodyDiv w:val="1"/>
      <w:marLeft w:val="0"/>
      <w:marRight w:val="0"/>
      <w:marTop w:val="0"/>
      <w:marBottom w:val="0"/>
      <w:divBdr>
        <w:top w:val="none" w:sz="0" w:space="0" w:color="auto"/>
        <w:left w:val="none" w:sz="0" w:space="0" w:color="auto"/>
        <w:bottom w:val="none" w:sz="0" w:space="0" w:color="auto"/>
        <w:right w:val="none" w:sz="0" w:space="0" w:color="auto"/>
      </w:divBdr>
    </w:div>
    <w:div w:id="720708470">
      <w:bodyDiv w:val="1"/>
      <w:marLeft w:val="0"/>
      <w:marRight w:val="0"/>
      <w:marTop w:val="0"/>
      <w:marBottom w:val="0"/>
      <w:divBdr>
        <w:top w:val="none" w:sz="0" w:space="0" w:color="auto"/>
        <w:left w:val="none" w:sz="0" w:space="0" w:color="auto"/>
        <w:bottom w:val="none" w:sz="0" w:space="0" w:color="auto"/>
        <w:right w:val="none" w:sz="0" w:space="0" w:color="auto"/>
      </w:divBdr>
    </w:div>
    <w:div w:id="721173230">
      <w:bodyDiv w:val="1"/>
      <w:marLeft w:val="0"/>
      <w:marRight w:val="0"/>
      <w:marTop w:val="0"/>
      <w:marBottom w:val="0"/>
      <w:divBdr>
        <w:top w:val="none" w:sz="0" w:space="0" w:color="auto"/>
        <w:left w:val="none" w:sz="0" w:space="0" w:color="auto"/>
        <w:bottom w:val="none" w:sz="0" w:space="0" w:color="auto"/>
        <w:right w:val="none" w:sz="0" w:space="0" w:color="auto"/>
      </w:divBdr>
    </w:div>
    <w:div w:id="765735821">
      <w:bodyDiv w:val="1"/>
      <w:marLeft w:val="0"/>
      <w:marRight w:val="0"/>
      <w:marTop w:val="0"/>
      <w:marBottom w:val="0"/>
      <w:divBdr>
        <w:top w:val="none" w:sz="0" w:space="0" w:color="auto"/>
        <w:left w:val="none" w:sz="0" w:space="0" w:color="auto"/>
        <w:bottom w:val="none" w:sz="0" w:space="0" w:color="auto"/>
        <w:right w:val="none" w:sz="0" w:space="0" w:color="auto"/>
      </w:divBdr>
    </w:div>
    <w:div w:id="902762061">
      <w:bodyDiv w:val="1"/>
      <w:marLeft w:val="0"/>
      <w:marRight w:val="0"/>
      <w:marTop w:val="0"/>
      <w:marBottom w:val="0"/>
      <w:divBdr>
        <w:top w:val="none" w:sz="0" w:space="0" w:color="auto"/>
        <w:left w:val="none" w:sz="0" w:space="0" w:color="auto"/>
        <w:bottom w:val="none" w:sz="0" w:space="0" w:color="auto"/>
        <w:right w:val="none" w:sz="0" w:space="0" w:color="auto"/>
      </w:divBdr>
    </w:div>
    <w:div w:id="957371489">
      <w:bodyDiv w:val="1"/>
      <w:marLeft w:val="0"/>
      <w:marRight w:val="0"/>
      <w:marTop w:val="0"/>
      <w:marBottom w:val="0"/>
      <w:divBdr>
        <w:top w:val="none" w:sz="0" w:space="0" w:color="auto"/>
        <w:left w:val="none" w:sz="0" w:space="0" w:color="auto"/>
        <w:bottom w:val="none" w:sz="0" w:space="0" w:color="auto"/>
        <w:right w:val="none" w:sz="0" w:space="0" w:color="auto"/>
      </w:divBdr>
    </w:div>
    <w:div w:id="975183640">
      <w:bodyDiv w:val="1"/>
      <w:marLeft w:val="0"/>
      <w:marRight w:val="0"/>
      <w:marTop w:val="0"/>
      <w:marBottom w:val="0"/>
      <w:divBdr>
        <w:top w:val="none" w:sz="0" w:space="0" w:color="auto"/>
        <w:left w:val="none" w:sz="0" w:space="0" w:color="auto"/>
        <w:bottom w:val="none" w:sz="0" w:space="0" w:color="auto"/>
        <w:right w:val="none" w:sz="0" w:space="0" w:color="auto"/>
      </w:divBdr>
    </w:div>
    <w:div w:id="1131090105">
      <w:bodyDiv w:val="1"/>
      <w:marLeft w:val="0"/>
      <w:marRight w:val="0"/>
      <w:marTop w:val="0"/>
      <w:marBottom w:val="0"/>
      <w:divBdr>
        <w:top w:val="none" w:sz="0" w:space="0" w:color="auto"/>
        <w:left w:val="none" w:sz="0" w:space="0" w:color="auto"/>
        <w:bottom w:val="none" w:sz="0" w:space="0" w:color="auto"/>
        <w:right w:val="none" w:sz="0" w:space="0" w:color="auto"/>
      </w:divBdr>
      <w:divsChild>
        <w:div w:id="1660429032">
          <w:marLeft w:val="0"/>
          <w:marRight w:val="0"/>
          <w:marTop w:val="0"/>
          <w:marBottom w:val="0"/>
          <w:divBdr>
            <w:top w:val="none" w:sz="0" w:space="0" w:color="auto"/>
            <w:left w:val="none" w:sz="0" w:space="0" w:color="auto"/>
            <w:bottom w:val="none" w:sz="0" w:space="0" w:color="auto"/>
            <w:right w:val="none" w:sz="0" w:space="0" w:color="auto"/>
          </w:divBdr>
        </w:div>
      </w:divsChild>
    </w:div>
    <w:div w:id="1224949838">
      <w:bodyDiv w:val="1"/>
      <w:marLeft w:val="0"/>
      <w:marRight w:val="0"/>
      <w:marTop w:val="0"/>
      <w:marBottom w:val="0"/>
      <w:divBdr>
        <w:top w:val="none" w:sz="0" w:space="0" w:color="auto"/>
        <w:left w:val="none" w:sz="0" w:space="0" w:color="auto"/>
        <w:bottom w:val="none" w:sz="0" w:space="0" w:color="auto"/>
        <w:right w:val="none" w:sz="0" w:space="0" w:color="auto"/>
      </w:divBdr>
    </w:div>
    <w:div w:id="1260870513">
      <w:bodyDiv w:val="1"/>
      <w:marLeft w:val="0"/>
      <w:marRight w:val="0"/>
      <w:marTop w:val="0"/>
      <w:marBottom w:val="0"/>
      <w:divBdr>
        <w:top w:val="none" w:sz="0" w:space="0" w:color="auto"/>
        <w:left w:val="none" w:sz="0" w:space="0" w:color="auto"/>
        <w:bottom w:val="none" w:sz="0" w:space="0" w:color="auto"/>
        <w:right w:val="none" w:sz="0" w:space="0" w:color="auto"/>
      </w:divBdr>
    </w:div>
    <w:div w:id="1343630349">
      <w:bodyDiv w:val="1"/>
      <w:marLeft w:val="0"/>
      <w:marRight w:val="0"/>
      <w:marTop w:val="0"/>
      <w:marBottom w:val="0"/>
      <w:divBdr>
        <w:top w:val="none" w:sz="0" w:space="0" w:color="auto"/>
        <w:left w:val="none" w:sz="0" w:space="0" w:color="auto"/>
        <w:bottom w:val="none" w:sz="0" w:space="0" w:color="auto"/>
        <w:right w:val="none" w:sz="0" w:space="0" w:color="auto"/>
      </w:divBdr>
    </w:div>
    <w:div w:id="1439177704">
      <w:bodyDiv w:val="1"/>
      <w:marLeft w:val="0"/>
      <w:marRight w:val="0"/>
      <w:marTop w:val="0"/>
      <w:marBottom w:val="0"/>
      <w:divBdr>
        <w:top w:val="none" w:sz="0" w:space="0" w:color="auto"/>
        <w:left w:val="none" w:sz="0" w:space="0" w:color="auto"/>
        <w:bottom w:val="none" w:sz="0" w:space="0" w:color="auto"/>
        <w:right w:val="none" w:sz="0" w:space="0" w:color="auto"/>
      </w:divBdr>
    </w:div>
    <w:div w:id="1490560371">
      <w:bodyDiv w:val="1"/>
      <w:marLeft w:val="0"/>
      <w:marRight w:val="0"/>
      <w:marTop w:val="0"/>
      <w:marBottom w:val="0"/>
      <w:divBdr>
        <w:top w:val="none" w:sz="0" w:space="0" w:color="auto"/>
        <w:left w:val="none" w:sz="0" w:space="0" w:color="auto"/>
        <w:bottom w:val="none" w:sz="0" w:space="0" w:color="auto"/>
        <w:right w:val="none" w:sz="0" w:space="0" w:color="auto"/>
      </w:divBdr>
    </w:div>
    <w:div w:id="1592859344">
      <w:bodyDiv w:val="1"/>
      <w:marLeft w:val="0"/>
      <w:marRight w:val="0"/>
      <w:marTop w:val="0"/>
      <w:marBottom w:val="0"/>
      <w:divBdr>
        <w:top w:val="none" w:sz="0" w:space="0" w:color="auto"/>
        <w:left w:val="none" w:sz="0" w:space="0" w:color="auto"/>
        <w:bottom w:val="none" w:sz="0" w:space="0" w:color="auto"/>
        <w:right w:val="none" w:sz="0" w:space="0" w:color="auto"/>
      </w:divBdr>
    </w:div>
    <w:div w:id="1617369959">
      <w:bodyDiv w:val="1"/>
      <w:marLeft w:val="0"/>
      <w:marRight w:val="0"/>
      <w:marTop w:val="0"/>
      <w:marBottom w:val="0"/>
      <w:divBdr>
        <w:top w:val="none" w:sz="0" w:space="0" w:color="auto"/>
        <w:left w:val="none" w:sz="0" w:space="0" w:color="auto"/>
        <w:bottom w:val="none" w:sz="0" w:space="0" w:color="auto"/>
        <w:right w:val="none" w:sz="0" w:space="0" w:color="auto"/>
      </w:divBdr>
    </w:div>
    <w:div w:id="1669019214">
      <w:bodyDiv w:val="1"/>
      <w:marLeft w:val="0"/>
      <w:marRight w:val="0"/>
      <w:marTop w:val="0"/>
      <w:marBottom w:val="0"/>
      <w:divBdr>
        <w:top w:val="none" w:sz="0" w:space="0" w:color="auto"/>
        <w:left w:val="none" w:sz="0" w:space="0" w:color="auto"/>
        <w:bottom w:val="none" w:sz="0" w:space="0" w:color="auto"/>
        <w:right w:val="none" w:sz="0" w:space="0" w:color="auto"/>
      </w:divBdr>
    </w:div>
    <w:div w:id="1689796370">
      <w:bodyDiv w:val="1"/>
      <w:marLeft w:val="0"/>
      <w:marRight w:val="0"/>
      <w:marTop w:val="0"/>
      <w:marBottom w:val="0"/>
      <w:divBdr>
        <w:top w:val="none" w:sz="0" w:space="0" w:color="auto"/>
        <w:left w:val="none" w:sz="0" w:space="0" w:color="auto"/>
        <w:bottom w:val="none" w:sz="0" w:space="0" w:color="auto"/>
        <w:right w:val="none" w:sz="0" w:space="0" w:color="auto"/>
      </w:divBdr>
    </w:div>
    <w:div w:id="1860317067">
      <w:bodyDiv w:val="1"/>
      <w:marLeft w:val="0"/>
      <w:marRight w:val="0"/>
      <w:marTop w:val="0"/>
      <w:marBottom w:val="0"/>
      <w:divBdr>
        <w:top w:val="none" w:sz="0" w:space="0" w:color="auto"/>
        <w:left w:val="none" w:sz="0" w:space="0" w:color="auto"/>
        <w:bottom w:val="none" w:sz="0" w:space="0" w:color="auto"/>
        <w:right w:val="none" w:sz="0" w:space="0" w:color="auto"/>
      </w:divBdr>
    </w:div>
    <w:div w:id="1906604209">
      <w:bodyDiv w:val="1"/>
      <w:marLeft w:val="0"/>
      <w:marRight w:val="0"/>
      <w:marTop w:val="0"/>
      <w:marBottom w:val="0"/>
      <w:divBdr>
        <w:top w:val="none" w:sz="0" w:space="0" w:color="auto"/>
        <w:left w:val="none" w:sz="0" w:space="0" w:color="auto"/>
        <w:bottom w:val="none" w:sz="0" w:space="0" w:color="auto"/>
        <w:right w:val="none" w:sz="0" w:space="0" w:color="auto"/>
      </w:divBdr>
    </w:div>
    <w:div w:id="1955793116">
      <w:bodyDiv w:val="1"/>
      <w:marLeft w:val="0"/>
      <w:marRight w:val="0"/>
      <w:marTop w:val="0"/>
      <w:marBottom w:val="0"/>
      <w:divBdr>
        <w:top w:val="none" w:sz="0" w:space="0" w:color="auto"/>
        <w:left w:val="none" w:sz="0" w:space="0" w:color="auto"/>
        <w:bottom w:val="none" w:sz="0" w:space="0" w:color="auto"/>
        <w:right w:val="none" w:sz="0" w:space="0" w:color="auto"/>
      </w:divBdr>
    </w:div>
    <w:div w:id="2013529847">
      <w:bodyDiv w:val="1"/>
      <w:marLeft w:val="0"/>
      <w:marRight w:val="0"/>
      <w:marTop w:val="0"/>
      <w:marBottom w:val="0"/>
      <w:divBdr>
        <w:top w:val="none" w:sz="0" w:space="0" w:color="auto"/>
        <w:left w:val="none" w:sz="0" w:space="0" w:color="auto"/>
        <w:bottom w:val="none" w:sz="0" w:space="0" w:color="auto"/>
        <w:right w:val="none" w:sz="0" w:space="0" w:color="auto"/>
      </w:divBdr>
    </w:div>
    <w:div w:id="207435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joycewang/Desktop/Snitkin_lab/Manuscripts/Pathways_perirectal_Eswabs/Drafts/For_coauthors/v6/SNF_microbiome_SM_for_coauthors_v6.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1D958-52ED-D64A-9924-F02250706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4220</Words>
  <Characters>24060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wang</dc:creator>
  <cp:keywords/>
  <dc:description/>
  <cp:lastModifiedBy>joyce wang</cp:lastModifiedBy>
  <cp:revision>3</cp:revision>
  <cp:lastPrinted>2020-02-18T14:56:00Z</cp:lastPrinted>
  <dcterms:created xsi:type="dcterms:W3CDTF">2020-04-25T07:43:00Z</dcterms:created>
  <dcterms:modified xsi:type="dcterms:W3CDTF">2020-04-25T07:44:00Z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zotero-version="5.0.84"&gt;&lt;session id="CpE9Swku"/&gt;&lt;style id="http://www.zotero.org/styles/clinical-infectious-diseases" hasBibliography="1" bibliographyStyleHasBeenSet="1"/&gt;&lt;prefs&gt;&lt;pref name="fieldType" value="Field"/&gt;&lt;pref name="dont</vt:lpwstr>
  </property>
  <property fmtid="{D5CDD505-2E9C-101B-9397-08002B2CF9AE}" pid="3" name="ZOTERO_PREF_2">
    <vt:lpwstr>AskDelayCitationUpdates" value="true"/&gt;&lt;/prefs&gt;&lt;/data&gt;</vt:lpwstr>
  </property>
</Properties>
</file>