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B6" w:rsidRDefault="000B44B6" w:rsidP="000B44B6">
      <w:pPr>
        <w:ind w:firstLine="0"/>
        <w:rPr>
          <w:rFonts w:cs="Arial"/>
          <w:b/>
          <w:lang w:val="en-US"/>
        </w:rPr>
      </w:pPr>
      <w:r w:rsidRPr="00B41D55">
        <w:rPr>
          <w:rFonts w:cs="Arial"/>
          <w:b/>
          <w:lang w:val="en-US"/>
        </w:rPr>
        <w:t xml:space="preserve">Supplemental </w:t>
      </w:r>
      <w:r>
        <w:rPr>
          <w:rFonts w:cs="Arial"/>
          <w:b/>
          <w:lang w:val="en-US"/>
        </w:rPr>
        <w:t>information</w:t>
      </w:r>
    </w:p>
    <w:p w:rsidR="00242D12" w:rsidRDefault="00242D12" w:rsidP="00242D12">
      <w:pPr>
        <w:ind w:firstLine="0"/>
        <w:jc w:val="left"/>
        <w:rPr>
          <w:b/>
          <w:iCs/>
          <w:sz w:val="22"/>
          <w:szCs w:val="18"/>
          <w:lang w:val="en-US"/>
        </w:rPr>
      </w:pPr>
      <w:r w:rsidRPr="00DF654E">
        <w:rPr>
          <w:b/>
          <w:iCs/>
          <w:sz w:val="22"/>
          <w:szCs w:val="18"/>
          <w:lang w:val="en-US"/>
        </w:rPr>
        <w:t>Simulations supposing either 2 or 10 days between time of infection and symptom onset</w:t>
      </w:r>
    </w:p>
    <w:p w:rsidR="00242D12" w:rsidRPr="00006374" w:rsidRDefault="00845959" w:rsidP="00845959">
      <w:pPr>
        <w:ind w:firstLine="0"/>
        <w:jc w:val="left"/>
        <w:rPr>
          <w:iCs/>
          <w:sz w:val="22"/>
          <w:szCs w:val="18"/>
          <w:lang w:val="en-US"/>
        </w:rPr>
      </w:pPr>
      <w:r w:rsidRPr="00845959">
        <w:rPr>
          <w:iCs/>
          <w:sz w:val="22"/>
          <w:szCs w:val="18"/>
          <w:lang w:val="en-US"/>
        </w:rPr>
        <w:t>Analysis of Equation (1), shows that the model has two stable equilibr</w:t>
      </w:r>
      <w:r>
        <w:rPr>
          <w:iCs/>
          <w:sz w:val="22"/>
          <w:szCs w:val="18"/>
          <w:lang w:val="en-US"/>
        </w:rPr>
        <w:t xml:space="preserve">ia: a disease free equilibrium </w:t>
      </w:r>
      <w:r w:rsidRPr="00845959">
        <w:rPr>
          <w:iCs/>
          <w:sz w:val="22"/>
          <w:szCs w:val="18"/>
          <w:lang w:val="en-US"/>
        </w:rPr>
        <w:t xml:space="preserve">with V=0 and an infected equilibrium where V &gt;0. The infected equilibrium only exists if  </w:t>
      </w:r>
      <m:oMath>
        <m:f>
          <m:fPr>
            <m:ctrlPr>
              <w:rPr>
                <w:rFonts w:ascii="Cambria Math" w:hAnsi="Cambria Math"/>
                <w:i/>
                <w:iCs/>
                <w:sz w:val="22"/>
                <w:szCs w:val="18"/>
                <w:lang w:val="en-US"/>
              </w:rPr>
            </m:ctrlPr>
          </m:fPr>
          <m:num>
            <m:r>
              <w:rPr>
                <w:rFonts w:ascii="Cambria Math" w:hAnsi="Cambria Math"/>
                <w:sz w:val="22"/>
                <w:szCs w:val="18"/>
                <w:lang w:val="en-US"/>
              </w:rPr>
              <m:t>βp</m:t>
            </m:r>
            <m:sSub>
              <m:sSubPr>
                <m:ctrlPr>
                  <w:rPr>
                    <w:rFonts w:ascii="Cambria Math" w:hAnsi="Cambria Math"/>
                    <w:i/>
                    <w:iCs/>
                    <w:sz w:val="22"/>
                    <w:szCs w:val="18"/>
                    <w:lang w:val="en-US"/>
                  </w:rPr>
                </m:ctrlPr>
              </m:sSubPr>
              <m:e>
                <m:r>
                  <w:rPr>
                    <w:rFonts w:ascii="Cambria Math" w:hAnsi="Cambria Math"/>
                    <w:sz w:val="22"/>
                    <w:szCs w:val="18"/>
                    <w:lang w:val="en-US"/>
                  </w:rPr>
                  <m:t>T</m:t>
                </m:r>
              </m:e>
              <m:sub>
                <m:r>
                  <w:rPr>
                    <w:rFonts w:ascii="Cambria Math" w:hAnsi="Cambria Math"/>
                    <w:sz w:val="22"/>
                    <w:szCs w:val="18"/>
                    <w:lang w:val="en-US"/>
                  </w:rPr>
                  <m:t>0</m:t>
                </m:r>
              </m:sub>
            </m:sSub>
          </m:num>
          <m:den>
            <m:r>
              <w:rPr>
                <w:rFonts w:ascii="Cambria Math" w:hAnsi="Cambria Math"/>
                <w:sz w:val="22"/>
                <w:szCs w:val="18"/>
                <w:lang w:val="en-US"/>
              </w:rPr>
              <m:t>cδ</m:t>
            </m:r>
          </m:den>
        </m:f>
      </m:oMath>
      <w:r w:rsidRPr="00845959">
        <w:rPr>
          <w:iCs/>
          <w:sz w:val="22"/>
          <w:szCs w:val="18"/>
          <w:lang w:val="en-US"/>
        </w:rPr>
        <w:t>&gt; 1. This quantity, called R</w:t>
      </w:r>
      <w:r w:rsidRPr="00597109">
        <w:rPr>
          <w:iCs/>
          <w:sz w:val="22"/>
          <w:szCs w:val="18"/>
          <w:vertAlign w:val="subscript"/>
          <w:lang w:val="en-US"/>
        </w:rPr>
        <w:t>0</w:t>
      </w:r>
      <w:r w:rsidRPr="00845959">
        <w:rPr>
          <w:iCs/>
          <w:sz w:val="22"/>
          <w:szCs w:val="18"/>
          <w:lang w:val="en-US"/>
        </w:rPr>
        <w:t>, is the basic reproduction number and is defined as the the number of infected cells produced by the progeny of one infected cell at the start of the infection when the number of target cells is T</w:t>
      </w:r>
      <w:r w:rsidRPr="00597109">
        <w:rPr>
          <w:iCs/>
          <w:sz w:val="22"/>
          <w:szCs w:val="18"/>
          <w:vertAlign w:val="subscript"/>
          <w:lang w:val="en-US"/>
        </w:rPr>
        <w:t>0</w:t>
      </w:r>
      <w:r w:rsidRPr="00845959">
        <w:rPr>
          <w:iCs/>
          <w:sz w:val="22"/>
          <w:szCs w:val="18"/>
          <w:lang w:val="en-US"/>
        </w:rPr>
        <w:t>.  We assumed that antivirals, could reduce R</w:t>
      </w:r>
      <w:r w:rsidRPr="00845959">
        <w:rPr>
          <w:iCs/>
          <w:sz w:val="22"/>
          <w:szCs w:val="18"/>
          <w:vertAlign w:val="subscript"/>
          <w:lang w:val="en-US"/>
        </w:rPr>
        <w:t>0</w:t>
      </w:r>
      <w:r w:rsidRPr="00845959">
        <w:rPr>
          <w:iCs/>
          <w:sz w:val="22"/>
          <w:szCs w:val="18"/>
          <w:lang w:val="en-US"/>
        </w:rPr>
        <w:t xml:space="preserve"> by limiting the viral production p by a factor (1-ε).</w:t>
      </w:r>
      <w:r w:rsidR="00B27331">
        <w:rPr>
          <w:iCs/>
          <w:sz w:val="22"/>
          <w:szCs w:val="18"/>
          <w:lang w:val="en-US"/>
        </w:rPr>
        <w:t xml:space="preserve"> By substituting </w:t>
      </w:r>
      <w:r w:rsidR="00B27331" w:rsidRPr="00B27331">
        <w:rPr>
          <w:i/>
          <w:iCs/>
          <w:sz w:val="22"/>
          <w:szCs w:val="18"/>
          <w:lang w:val="en-US"/>
        </w:rPr>
        <w:t>p</w:t>
      </w:r>
      <w:r w:rsidR="00B27331">
        <w:rPr>
          <w:iCs/>
          <w:sz w:val="22"/>
          <w:szCs w:val="18"/>
          <w:lang w:val="en-US"/>
        </w:rPr>
        <w:t xml:space="preserve"> by </w:t>
      </w:r>
      <w:r w:rsidR="00B27331" w:rsidRPr="00B27331">
        <w:rPr>
          <w:i/>
          <w:iCs/>
          <w:sz w:val="22"/>
          <w:szCs w:val="18"/>
          <w:lang w:val="en-US"/>
        </w:rPr>
        <w:t>(1-</w:t>
      </w:r>
      <w:r w:rsidR="00B27331" w:rsidRPr="00B27331">
        <w:rPr>
          <w:rFonts w:ascii="Cambria Math" w:hAnsi="Cambria Math"/>
          <w:i/>
          <w:iCs/>
          <w:sz w:val="22"/>
          <w:szCs w:val="18"/>
          <w:lang w:val="en-US"/>
        </w:rPr>
        <w:t>ε</w:t>
      </w:r>
      <w:r w:rsidR="00B27331" w:rsidRPr="00B27331">
        <w:rPr>
          <w:i/>
          <w:iCs/>
          <w:sz w:val="22"/>
          <w:szCs w:val="18"/>
          <w:lang w:val="en-US"/>
        </w:rPr>
        <w:t>)p</w:t>
      </w:r>
      <w:r w:rsidR="00B27331">
        <w:rPr>
          <w:iCs/>
          <w:sz w:val="22"/>
          <w:szCs w:val="18"/>
          <w:lang w:val="en-US"/>
        </w:rPr>
        <w:t xml:space="preserve"> in </w:t>
      </w:r>
      <w:r w:rsidR="00D45AB7">
        <w:rPr>
          <w:iCs/>
          <w:sz w:val="22"/>
          <w:szCs w:val="18"/>
          <w:lang w:val="en-US"/>
        </w:rPr>
        <w:t>E</w:t>
      </w:r>
      <w:bookmarkStart w:id="0" w:name="_GoBack"/>
      <w:bookmarkEnd w:id="0"/>
      <w:r w:rsidR="00B27331">
        <w:rPr>
          <w:iCs/>
          <w:sz w:val="22"/>
          <w:szCs w:val="18"/>
          <w:lang w:val="en-US"/>
        </w:rPr>
        <w:t>quation 1, we</w:t>
      </w:r>
      <w:r w:rsidR="00242D12">
        <w:rPr>
          <w:iCs/>
          <w:sz w:val="22"/>
          <w:szCs w:val="18"/>
          <w:lang w:val="en-US"/>
        </w:rPr>
        <w:t xml:space="preserve"> </w:t>
      </w:r>
      <w:r w:rsidR="00375503">
        <w:rPr>
          <w:iCs/>
          <w:sz w:val="22"/>
          <w:szCs w:val="18"/>
          <w:lang w:val="en-US"/>
        </w:rPr>
        <w:t xml:space="preserve">calculated </w:t>
      </w:r>
      <w:r w:rsidR="00242D12">
        <w:rPr>
          <w:iCs/>
          <w:sz w:val="22"/>
          <w:szCs w:val="18"/>
          <w:lang w:val="en-US"/>
        </w:rPr>
        <w:t xml:space="preserve">the expected difference of log10 viral loads at time to peak </w:t>
      </w:r>
      <m:oMath>
        <m:r>
          <w:rPr>
            <w:rFonts w:ascii="Cambria Math" w:hAnsi="Cambria Math"/>
            <w:sz w:val="22"/>
            <w:szCs w:val="18"/>
            <w:lang w:val="en-US"/>
          </w:rPr>
          <m:t>∆LVL=</m:t>
        </m:r>
        <m:sSub>
          <m:sSubPr>
            <m:ctrlPr>
              <w:rPr>
                <w:rFonts w:ascii="Cambria Math" w:hAnsi="Cambria Math"/>
                <w:i/>
                <w:iCs/>
                <w:sz w:val="22"/>
                <w:szCs w:val="18"/>
                <w:lang w:val="en-US"/>
              </w:rPr>
            </m:ctrlPr>
          </m:sSubPr>
          <m:e>
            <m:r>
              <w:rPr>
                <w:rFonts w:ascii="Cambria Math" w:hAnsi="Cambria Math"/>
                <w:sz w:val="22"/>
                <w:szCs w:val="18"/>
                <w:lang w:val="en-US"/>
              </w:rPr>
              <m:t>LVL</m:t>
            </m:r>
          </m:e>
          <m:sub>
            <m:r>
              <w:rPr>
                <w:rFonts w:ascii="Cambria Math" w:hAnsi="Cambria Math"/>
                <w:sz w:val="22"/>
                <w:szCs w:val="18"/>
                <w:lang w:val="en-US"/>
              </w:rPr>
              <m:t>0</m:t>
            </m:r>
          </m:sub>
        </m:sSub>
        <m:r>
          <w:rPr>
            <w:rFonts w:ascii="Cambria Math" w:hAnsi="Cambria Math"/>
            <w:sz w:val="22"/>
            <w:szCs w:val="18"/>
            <w:lang w:val="en-US"/>
          </w:rPr>
          <m:t>-</m:t>
        </m:r>
        <m:sSub>
          <m:sSubPr>
            <m:ctrlPr>
              <w:rPr>
                <w:rFonts w:ascii="Cambria Math" w:hAnsi="Cambria Math"/>
                <w:i/>
                <w:iCs/>
                <w:sz w:val="22"/>
                <w:szCs w:val="18"/>
                <w:lang w:val="en-US"/>
              </w:rPr>
            </m:ctrlPr>
          </m:sSubPr>
          <m:e>
            <m:r>
              <w:rPr>
                <w:rFonts w:ascii="Cambria Math" w:hAnsi="Cambria Math"/>
                <w:sz w:val="22"/>
                <w:szCs w:val="18"/>
                <w:lang w:val="en-US"/>
              </w:rPr>
              <m:t>LVL</m:t>
            </m:r>
          </m:e>
          <m:sub>
            <m:r>
              <w:rPr>
                <w:rFonts w:ascii="Cambria Math" w:hAnsi="Cambria Math"/>
                <w:sz w:val="22"/>
                <w:szCs w:val="18"/>
                <w:lang w:val="en-US"/>
              </w:rPr>
              <m:t xml:space="preserve">peak </m:t>
            </m:r>
          </m:sub>
        </m:sSub>
      </m:oMath>
      <w:r w:rsidR="00242D12">
        <w:rPr>
          <w:rFonts w:eastAsiaTheme="minorEastAsia"/>
          <w:iCs/>
          <w:sz w:val="22"/>
          <w:szCs w:val="18"/>
          <w:lang w:val="en-US"/>
        </w:rPr>
        <w:t xml:space="preserve"> </w:t>
      </w:r>
      <w:r w:rsidR="00375503">
        <w:rPr>
          <w:rFonts w:eastAsiaTheme="minorEastAsia"/>
          <w:iCs/>
          <w:sz w:val="22"/>
          <w:szCs w:val="18"/>
          <w:lang w:val="en-US"/>
        </w:rPr>
        <w:t xml:space="preserve">by simulating </w:t>
      </w:r>
      <w:r w:rsidR="00253011">
        <w:rPr>
          <w:rFonts w:eastAsiaTheme="minorEastAsia"/>
          <w:iCs/>
          <w:sz w:val="22"/>
          <w:szCs w:val="18"/>
          <w:lang w:val="en-US"/>
        </w:rPr>
        <w:t xml:space="preserve">the model using best-fit parameter values. </w:t>
      </w:r>
      <w:r w:rsidR="00242D12">
        <w:rPr>
          <w:rFonts w:eastAsiaTheme="minorEastAsia"/>
          <w:iCs/>
          <w:sz w:val="22"/>
          <w:szCs w:val="18"/>
          <w:lang w:val="en-US"/>
        </w:rPr>
        <w:t xml:space="preserve">The peak is observed 5 days post symptom onset. Then, depending on the hypothesis we made for the delay between day of infection and of symptom i.e. 2, 5 or 10 days; we </w:t>
      </w:r>
      <w:r w:rsidR="008F51FB">
        <w:rPr>
          <w:rFonts w:eastAsiaTheme="minorEastAsia"/>
          <w:iCs/>
          <w:sz w:val="22"/>
          <w:szCs w:val="18"/>
          <w:lang w:val="en-US"/>
        </w:rPr>
        <w:t xml:space="preserve">calculated via simulation </w:t>
      </w:r>
      <w:r w:rsidR="00242D12">
        <w:rPr>
          <w:rFonts w:eastAsiaTheme="minorEastAsia"/>
          <w:iCs/>
          <w:sz w:val="22"/>
          <w:szCs w:val="18"/>
          <w:lang w:val="en-US"/>
        </w:rPr>
        <w:t xml:space="preserve">the </w:t>
      </w:r>
      <m:oMath>
        <m:r>
          <w:rPr>
            <w:rFonts w:ascii="Cambria Math" w:hAnsi="Cambria Math"/>
            <w:sz w:val="22"/>
            <w:szCs w:val="18"/>
            <w:lang w:val="en-US"/>
          </w:rPr>
          <m:t>∆LVL</m:t>
        </m:r>
      </m:oMath>
      <w:r w:rsidR="00242D12">
        <w:rPr>
          <w:rFonts w:eastAsiaTheme="minorEastAsia"/>
          <w:iCs/>
          <w:sz w:val="22"/>
          <w:szCs w:val="18"/>
          <w:lang w:val="en-US"/>
        </w:rPr>
        <w:t xml:space="preserve"> at 7, 10 or 15 days after infection, respectively.</w:t>
      </w:r>
      <w:r w:rsidR="00B27331">
        <w:rPr>
          <w:rFonts w:eastAsiaTheme="minorEastAsia"/>
          <w:iCs/>
          <w:sz w:val="22"/>
          <w:szCs w:val="18"/>
          <w:lang w:val="en-US"/>
        </w:rPr>
        <w:t xml:space="preserve"> Similarly, we calculated </w:t>
      </w:r>
      <m:oMath>
        <m:r>
          <w:rPr>
            <w:rFonts w:ascii="Cambria Math" w:hAnsi="Cambria Math"/>
            <w:sz w:val="22"/>
            <w:szCs w:val="18"/>
            <w:lang w:val="en-US"/>
          </w:rPr>
          <m:t>∆LVL</m:t>
        </m:r>
      </m:oMath>
      <w:r w:rsidR="00B27331">
        <w:rPr>
          <w:rFonts w:eastAsiaTheme="minorEastAsia"/>
          <w:sz w:val="22"/>
          <w:szCs w:val="18"/>
          <w:lang w:val="en-US"/>
        </w:rPr>
        <w:t xml:space="preserve"> for a treatment limiting the infectivity rate </w:t>
      </w:r>
      <w:r w:rsidR="00B27331">
        <w:rPr>
          <w:rFonts w:ascii="Cambria Math" w:eastAsiaTheme="minorEastAsia" w:hAnsi="Cambria Math"/>
          <w:sz w:val="22"/>
          <w:szCs w:val="18"/>
          <w:lang w:val="en-US"/>
        </w:rPr>
        <w:t>β</w:t>
      </w:r>
      <w:r w:rsidR="00B27331">
        <w:rPr>
          <w:rFonts w:eastAsiaTheme="minorEastAsia"/>
          <w:sz w:val="22"/>
          <w:szCs w:val="18"/>
          <w:lang w:val="en-US"/>
        </w:rPr>
        <w:t xml:space="preserve"> by a factor (1-</w:t>
      </w:r>
      <w:r w:rsidR="00B27331">
        <w:rPr>
          <w:rFonts w:ascii="Cambria Math" w:eastAsiaTheme="minorEastAsia" w:hAnsi="Cambria Math"/>
          <w:sz w:val="22"/>
          <w:szCs w:val="18"/>
          <w:lang w:val="en-US"/>
        </w:rPr>
        <w:t>ε</w:t>
      </w:r>
      <w:r w:rsidR="00B27331">
        <w:rPr>
          <w:rFonts w:eastAsiaTheme="minorEastAsia"/>
          <w:sz w:val="22"/>
          <w:szCs w:val="18"/>
          <w:lang w:val="en-US"/>
        </w:rPr>
        <w:t>). Results are comparable to those obtained with a treatment acting on the viral production (not shown).</w:t>
      </w:r>
    </w:p>
    <w:p w:rsidR="00242D12" w:rsidRPr="00B41D55" w:rsidRDefault="00242D12" w:rsidP="00242D12">
      <w:pPr>
        <w:spacing w:line="240" w:lineRule="auto"/>
        <w:ind w:firstLine="0"/>
        <w:jc w:val="center"/>
        <w:rPr>
          <w:lang w:val="en-US"/>
        </w:rPr>
      </w:pPr>
      <w:r w:rsidRPr="000B426E">
        <w:rPr>
          <w:noProof/>
          <w:lang w:val="en-US"/>
        </w:rPr>
        <w:drawing>
          <wp:inline distT="0" distB="0" distL="0" distR="0" wp14:anchorId="1667FD27" wp14:editId="2E67759F">
            <wp:extent cx="5040000" cy="2833489"/>
            <wp:effectExtent l="0" t="0" r="8255" b="5080"/>
            <wp:docPr id="3" name="Image 3" descr="C:\Users\antonio\ownCloud\Covid\Simulations\JAMA3\Figures_JID\FigS3_2day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ownCloud\Covid\Simulations\JAMA3\Figures_JID\FigS3_2days.ti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0" cy="2833489"/>
                    </a:xfrm>
                    <a:prstGeom prst="rect">
                      <a:avLst/>
                    </a:prstGeom>
                    <a:noFill/>
                    <a:ln>
                      <a:noFill/>
                    </a:ln>
                  </pic:spPr>
                </pic:pic>
              </a:graphicData>
            </a:graphic>
          </wp:inline>
        </w:drawing>
      </w:r>
    </w:p>
    <w:p w:rsidR="00242D12" w:rsidRDefault="00242D12" w:rsidP="00242D12">
      <w:pPr>
        <w:pStyle w:val="Lgende"/>
        <w:ind w:firstLine="0"/>
        <w:rPr>
          <w:lang w:val="en-US"/>
        </w:rPr>
      </w:pPr>
      <w:r>
        <w:rPr>
          <w:lang w:val="en-US"/>
        </w:rPr>
        <w:t>Figure S1: Reduction in viral load at day 5 post symptom onset according to</w:t>
      </w:r>
      <w:r w:rsidRPr="00B41D55">
        <w:rPr>
          <w:lang w:val="en-US"/>
        </w:rPr>
        <w:t xml:space="preserve"> </w:t>
      </w:r>
      <w:r>
        <w:rPr>
          <w:lang w:val="en-US"/>
        </w:rPr>
        <w:t xml:space="preserve">the level of antiviral effectiveness and the timing of treatment initiation (A: at time of infection; B: at time of symptom onset; C: 3days after symptom onset). We supposed a delay of 2 </w:t>
      </w:r>
      <w:r w:rsidR="007918E8">
        <w:rPr>
          <w:lang w:val="en-US"/>
        </w:rPr>
        <w:t xml:space="preserve">days </w:t>
      </w:r>
      <w:r>
        <w:rPr>
          <w:lang w:val="en-US"/>
        </w:rPr>
        <w:t>between the day of infection and the day of symptom onset.</w:t>
      </w:r>
    </w:p>
    <w:p w:rsidR="00242D12" w:rsidRPr="00B41D55" w:rsidRDefault="00242D12" w:rsidP="00242D12">
      <w:pPr>
        <w:spacing w:line="240" w:lineRule="auto"/>
        <w:ind w:firstLine="0"/>
        <w:jc w:val="center"/>
        <w:rPr>
          <w:lang w:val="en-US"/>
        </w:rPr>
      </w:pPr>
      <w:r w:rsidRPr="000B426E">
        <w:rPr>
          <w:noProof/>
          <w:lang w:val="en-US"/>
        </w:rPr>
        <w:lastRenderedPageBreak/>
        <w:drawing>
          <wp:inline distT="0" distB="0" distL="0" distR="0" wp14:anchorId="52180DEE" wp14:editId="7FDB5400">
            <wp:extent cx="5040000" cy="2833489"/>
            <wp:effectExtent l="0" t="0" r="8255" b="5080"/>
            <wp:docPr id="4" name="Image 4" descr="C:\Users\antonio\ownCloud\Covid\Simulations\JAMA3\Figures_JID\FigS4_10day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nio\ownCloud\Covid\Simulations\JAMA3\Figures_JID\FigS4_10days.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0" cy="2833489"/>
                    </a:xfrm>
                    <a:prstGeom prst="rect">
                      <a:avLst/>
                    </a:prstGeom>
                    <a:noFill/>
                    <a:ln>
                      <a:noFill/>
                    </a:ln>
                  </pic:spPr>
                </pic:pic>
              </a:graphicData>
            </a:graphic>
          </wp:inline>
        </w:drawing>
      </w:r>
    </w:p>
    <w:p w:rsidR="00242D12" w:rsidRPr="000B44B6" w:rsidRDefault="00242D12" w:rsidP="00242D12">
      <w:pPr>
        <w:pStyle w:val="Lgende"/>
        <w:ind w:firstLine="0"/>
        <w:rPr>
          <w:lang w:val="en-US"/>
        </w:rPr>
      </w:pPr>
      <w:r>
        <w:rPr>
          <w:lang w:val="en-US"/>
        </w:rPr>
        <w:t>Figure S2: Reduction in viral load at day 5 post symptom onset according to</w:t>
      </w:r>
      <w:r w:rsidRPr="00B41D55">
        <w:rPr>
          <w:lang w:val="en-US"/>
        </w:rPr>
        <w:t xml:space="preserve"> </w:t>
      </w:r>
      <w:r>
        <w:rPr>
          <w:lang w:val="en-US"/>
        </w:rPr>
        <w:t xml:space="preserve">the level of antiviral effectiveness and the timing of treatment initiation (A: at time of infection; B: at time of symptom onset; C: 3days after symptom onset). We supposed a delay of 10 </w:t>
      </w:r>
      <w:r w:rsidR="007918E8">
        <w:rPr>
          <w:lang w:val="en-US"/>
        </w:rPr>
        <w:t xml:space="preserve">days </w:t>
      </w:r>
      <w:r>
        <w:rPr>
          <w:lang w:val="en-US"/>
        </w:rPr>
        <w:t>between the day of infection and the day of symptom onset.</w:t>
      </w:r>
    </w:p>
    <w:p w:rsidR="00242D12" w:rsidRDefault="00242D12" w:rsidP="000B44B6">
      <w:pPr>
        <w:ind w:firstLine="0"/>
        <w:rPr>
          <w:rFonts w:cs="Arial"/>
          <w:b/>
          <w:lang w:val="en-US"/>
        </w:rPr>
      </w:pPr>
    </w:p>
    <w:p w:rsidR="00FB3015" w:rsidRDefault="00FB3015" w:rsidP="00FB3015">
      <w:pPr>
        <w:keepNext/>
        <w:spacing w:line="259" w:lineRule="auto"/>
        <w:ind w:firstLine="0"/>
        <w:jc w:val="left"/>
      </w:pPr>
      <w:r>
        <w:rPr>
          <w:noProof/>
          <w:lang w:val="en-US"/>
        </w:rPr>
        <w:drawing>
          <wp:inline distT="0" distB="0" distL="0" distR="0" wp14:anchorId="6A872580" wp14:editId="5DB685DA">
            <wp:extent cx="5248275" cy="3935628"/>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Fits.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1728" cy="3938217"/>
                    </a:xfrm>
                    <a:prstGeom prst="rect">
                      <a:avLst/>
                    </a:prstGeom>
                  </pic:spPr>
                </pic:pic>
              </a:graphicData>
            </a:graphic>
          </wp:inline>
        </w:drawing>
      </w:r>
    </w:p>
    <w:p w:rsidR="005D082A" w:rsidRDefault="00FB3015" w:rsidP="008A447F">
      <w:pPr>
        <w:pStyle w:val="Lgende"/>
        <w:ind w:firstLine="0"/>
        <w:jc w:val="left"/>
        <w:rPr>
          <w:b/>
          <w:sz w:val="22"/>
          <w:lang w:val="en-US"/>
        </w:rPr>
      </w:pPr>
      <w:r>
        <w:rPr>
          <w:lang w:val="en-US"/>
        </w:rPr>
        <w:t>Figure S</w:t>
      </w:r>
      <w:r w:rsidR="00242D12">
        <w:rPr>
          <w:lang w:val="en-US"/>
        </w:rPr>
        <w:t>3</w:t>
      </w:r>
      <w:r>
        <w:rPr>
          <w:lang w:val="en-US"/>
        </w:rPr>
        <w:t xml:space="preserve"> : Individual fits to viral load data </w:t>
      </w:r>
      <w:r w:rsidR="00375503">
        <w:rPr>
          <w:lang w:val="en-US"/>
        </w:rPr>
        <w:t xml:space="preserve">in 13 patients from </w:t>
      </w:r>
      <w:r w:rsidR="00375503">
        <w:rPr>
          <w:i w:val="0"/>
          <w:iCs w:val="0"/>
          <w:lang w:val="en-US"/>
        </w:rPr>
        <w:fldChar w:fldCharType="begin"/>
      </w:r>
      <w:r w:rsidR="00375503">
        <w:rPr>
          <w:lang w:val="en-US"/>
        </w:rPr>
        <w:instrText xml:space="preserve"> ADDIN ZOTERO_ITEM CSL_CITATION {"citationID":"YH48e8UQ","properties":{"formattedCitation":"\\super 4\\nosupersub{}","plainCitation":"4","noteIndex":0},"citationItems":[{"id":808,"uris":["http://zotero.org/users/4832832/items/QTKDVRHY"],"uri":["http://zotero.org/users/4832832/items/QTKDVRHY"],"itemData":{"id":808,"type":"article-journal","container-title":"Jama","source":"Google Scholar","title":"Epidemiologic features and clinical course of patients infected with SARS-CoV-2 in Singapore","author":[{"family":"Young","given":"Barnaby Edward"},{"family":"Ong","given":"Sean Wei Xiang"},{"family":"Kalimuddin","given":"Shirin"},{"family":"Low","given":"Jenny G."},{"family":"Tan","given":"Seow Yen"},{"family":"Loh","given":"Jiashen"},{"family":"Ng","given":"Oon-Tek"},{"family":"Marimuthu","given":"Kalisvar"},{"family":"Ang","given":"Li Wei"},{"family":"Mak","given":"Tze Minn"}],"issued":{"date-parts":[["2020"]]}}}],"schema":"https://github.com/citation-style-language/schema/raw/master/csl-citation.json"} </w:instrText>
      </w:r>
      <w:r w:rsidR="00375503">
        <w:rPr>
          <w:i w:val="0"/>
          <w:iCs w:val="0"/>
          <w:lang w:val="en-US"/>
        </w:rPr>
        <w:fldChar w:fldCharType="separate"/>
      </w:r>
      <w:r w:rsidR="00375503" w:rsidRPr="004E6335">
        <w:rPr>
          <w:rFonts w:cs="Times New Roman"/>
          <w:szCs w:val="24"/>
          <w:vertAlign w:val="superscript"/>
          <w:lang w:val="en-US"/>
        </w:rPr>
        <w:t>4</w:t>
      </w:r>
      <w:r w:rsidR="00375503">
        <w:rPr>
          <w:i w:val="0"/>
          <w:iCs w:val="0"/>
          <w:lang w:val="en-US"/>
        </w:rPr>
        <w:fldChar w:fldCharType="end"/>
      </w:r>
      <w:r w:rsidR="00375503">
        <w:rPr>
          <w:lang w:val="en-US"/>
        </w:rPr>
        <w:t xml:space="preserve"> </w:t>
      </w:r>
      <w:r>
        <w:rPr>
          <w:lang w:val="en-US"/>
        </w:rPr>
        <w:t>obtained with the best model</w:t>
      </w:r>
      <w:r w:rsidR="00375503">
        <w:rPr>
          <w:lang w:val="en-US"/>
        </w:rPr>
        <w:t xml:space="preserve">, </w:t>
      </w:r>
      <w:r>
        <w:rPr>
          <w:lang w:val="en-US"/>
        </w:rPr>
        <w:t xml:space="preserve"> i.e. V</w:t>
      </w:r>
      <w:r>
        <w:rPr>
          <w:vertAlign w:val="subscript"/>
          <w:lang w:val="en-US"/>
        </w:rPr>
        <w:t>0</w:t>
      </w:r>
      <w:r>
        <w:rPr>
          <w:lang w:val="en-US"/>
        </w:rPr>
        <w:t>=10</w:t>
      </w:r>
      <w:r>
        <w:rPr>
          <w:vertAlign w:val="superscript"/>
          <w:lang w:val="en-US"/>
        </w:rPr>
        <w:t xml:space="preserve">-3 </w:t>
      </w:r>
      <w:r>
        <w:rPr>
          <w:lang w:val="en-US"/>
        </w:rPr>
        <w:t>copies.mL</w:t>
      </w:r>
      <w:r>
        <w:rPr>
          <w:vertAlign w:val="superscript"/>
          <w:lang w:val="en-US"/>
        </w:rPr>
        <w:t>-1</w:t>
      </w:r>
      <w:r>
        <w:rPr>
          <w:lang w:val="en-US"/>
        </w:rPr>
        <w:t xml:space="preserve"> and k=1 d</w:t>
      </w:r>
      <w:r>
        <w:rPr>
          <w:vertAlign w:val="superscript"/>
          <w:lang w:val="en-US"/>
        </w:rPr>
        <w:t>-1</w:t>
      </w:r>
      <w:r>
        <w:rPr>
          <w:lang w:val="en-US"/>
        </w:rPr>
        <w:t xml:space="preserve">. The cross denotes data below the limit of detection (corresponding to CT=38). </w:t>
      </w:r>
    </w:p>
    <w:p w:rsidR="005D082A" w:rsidRDefault="005D082A">
      <w:pPr>
        <w:spacing w:line="259" w:lineRule="auto"/>
        <w:ind w:firstLine="0"/>
        <w:jc w:val="left"/>
        <w:rPr>
          <w:b/>
          <w:iCs/>
          <w:sz w:val="22"/>
          <w:szCs w:val="18"/>
          <w:lang w:val="en-US"/>
        </w:rPr>
      </w:pPr>
      <w:r>
        <w:rPr>
          <w:b/>
          <w:iCs/>
          <w:sz w:val="22"/>
          <w:szCs w:val="18"/>
          <w:lang w:val="en-US"/>
        </w:rPr>
        <w:br w:type="page"/>
      </w:r>
    </w:p>
    <w:p w:rsidR="000B44B6" w:rsidRPr="00DF654E" w:rsidRDefault="000B44B6" w:rsidP="000B44B6">
      <w:pPr>
        <w:spacing w:line="240" w:lineRule="auto"/>
        <w:ind w:firstLine="0"/>
        <w:rPr>
          <w:b/>
          <w:sz w:val="22"/>
          <w:lang w:val="en-US"/>
        </w:rPr>
      </w:pPr>
      <w:r w:rsidRPr="00DF654E">
        <w:rPr>
          <w:b/>
          <w:sz w:val="22"/>
          <w:lang w:val="en-US"/>
        </w:rPr>
        <w:lastRenderedPageBreak/>
        <w:t>Sensitivity analysis on the fixed values of V</w:t>
      </w:r>
      <w:r w:rsidRPr="00DF654E">
        <w:rPr>
          <w:b/>
          <w:sz w:val="22"/>
          <w:vertAlign w:val="subscript"/>
          <w:lang w:val="en-US"/>
        </w:rPr>
        <w:t xml:space="preserve">0 </w:t>
      </w:r>
      <w:r w:rsidRPr="00DF654E">
        <w:rPr>
          <w:b/>
          <w:sz w:val="22"/>
          <w:lang w:val="en-US"/>
        </w:rPr>
        <w:t>and k supposing 5 days between time of infection and time of symptom onset</w:t>
      </w:r>
    </w:p>
    <w:p w:rsidR="000B44B6" w:rsidRDefault="000B44B6" w:rsidP="000B44B6">
      <w:pPr>
        <w:spacing w:line="240" w:lineRule="auto"/>
        <w:ind w:firstLine="0"/>
        <w:rPr>
          <w:b/>
          <w:sz w:val="28"/>
          <w:lang w:val="en-US"/>
        </w:rPr>
      </w:pPr>
    </w:p>
    <w:p w:rsidR="000B44B6" w:rsidRPr="00DF654E" w:rsidRDefault="000B44B6" w:rsidP="000B44B6">
      <w:pPr>
        <w:ind w:firstLine="0"/>
        <w:rPr>
          <w:color w:val="000000"/>
          <w:kern w:val="24"/>
          <w:sz w:val="22"/>
          <w:szCs w:val="16"/>
          <w:lang w:val="en-US"/>
        </w:rPr>
      </w:pPr>
      <w:r w:rsidRPr="00DF654E">
        <w:rPr>
          <w:sz w:val="22"/>
          <w:szCs w:val="24"/>
          <w:lang w:val="en-US"/>
        </w:rPr>
        <w:t xml:space="preserve">Since all parameter could not be estimated, we evaluated the sensitivity </w:t>
      </w:r>
      <w:r w:rsidR="00382073">
        <w:rPr>
          <w:sz w:val="22"/>
          <w:szCs w:val="24"/>
          <w:lang w:val="en-US"/>
        </w:rPr>
        <w:t xml:space="preserve">of </w:t>
      </w:r>
      <w:r w:rsidRPr="00DF654E">
        <w:rPr>
          <w:sz w:val="22"/>
          <w:szCs w:val="24"/>
          <w:lang w:val="en-US"/>
        </w:rPr>
        <w:t xml:space="preserve">our parameter estimates </w:t>
      </w:r>
      <w:r w:rsidR="00382073">
        <w:rPr>
          <w:sz w:val="22"/>
          <w:szCs w:val="24"/>
          <w:lang w:val="en-US"/>
        </w:rPr>
        <w:t xml:space="preserve">to the choices of fixed parameter values </w:t>
      </w:r>
      <w:r w:rsidRPr="00DF654E">
        <w:rPr>
          <w:sz w:val="22"/>
          <w:szCs w:val="24"/>
          <w:lang w:val="en-US"/>
        </w:rPr>
        <w:t xml:space="preserve">by using different values of </w:t>
      </w:r>
      <w:r w:rsidRPr="00382073">
        <w:rPr>
          <w:i/>
          <w:sz w:val="22"/>
          <w:szCs w:val="24"/>
          <w:lang w:val="en-US"/>
        </w:rPr>
        <w:t>k</w:t>
      </w:r>
      <w:r w:rsidRPr="00DF654E">
        <w:rPr>
          <w:sz w:val="22"/>
          <w:szCs w:val="24"/>
          <w:lang w:val="en-US"/>
        </w:rPr>
        <w:t>={1;3:5}d</w:t>
      </w:r>
      <w:r w:rsidRPr="00DF654E">
        <w:rPr>
          <w:sz w:val="22"/>
          <w:szCs w:val="24"/>
          <w:vertAlign w:val="superscript"/>
          <w:lang w:val="en-US"/>
        </w:rPr>
        <w:t>-1</w:t>
      </w:r>
      <w:r w:rsidRPr="00DF654E">
        <w:rPr>
          <w:sz w:val="22"/>
          <w:szCs w:val="24"/>
          <w:lang w:val="en-US"/>
        </w:rPr>
        <w:t xml:space="preserve"> and </w:t>
      </w:r>
      <w:r w:rsidRPr="00382073">
        <w:rPr>
          <w:i/>
          <w:sz w:val="22"/>
          <w:szCs w:val="24"/>
          <w:lang w:val="en-US"/>
        </w:rPr>
        <w:t>V</w:t>
      </w:r>
      <w:r w:rsidRPr="00DF654E">
        <w:rPr>
          <w:sz w:val="22"/>
          <w:szCs w:val="24"/>
          <w:vertAlign w:val="subscript"/>
          <w:lang w:val="en-US"/>
        </w:rPr>
        <w:t>0</w:t>
      </w:r>
      <w:r w:rsidRPr="00DF654E">
        <w:rPr>
          <w:sz w:val="22"/>
          <w:szCs w:val="24"/>
          <w:lang w:val="en-US"/>
        </w:rPr>
        <w:t>={10</w:t>
      </w:r>
      <w:r w:rsidRPr="00DF654E">
        <w:rPr>
          <w:sz w:val="22"/>
          <w:szCs w:val="24"/>
          <w:vertAlign w:val="superscript"/>
          <w:lang w:val="en-US"/>
        </w:rPr>
        <w:t>-3</w:t>
      </w:r>
      <w:r w:rsidRPr="00DF654E">
        <w:rPr>
          <w:sz w:val="22"/>
          <w:szCs w:val="24"/>
          <w:lang w:val="en-US"/>
        </w:rPr>
        <w:t>;10</w:t>
      </w:r>
      <w:r w:rsidRPr="00DF654E">
        <w:rPr>
          <w:sz w:val="22"/>
          <w:szCs w:val="24"/>
          <w:vertAlign w:val="superscript"/>
          <w:lang w:val="en-US"/>
        </w:rPr>
        <w:t>-2</w:t>
      </w:r>
      <w:r w:rsidRPr="00DF654E">
        <w:rPr>
          <w:sz w:val="22"/>
          <w:szCs w:val="24"/>
          <w:lang w:val="en-US"/>
        </w:rPr>
        <w:t>;10</w:t>
      </w:r>
      <w:r w:rsidRPr="00DF654E">
        <w:rPr>
          <w:sz w:val="22"/>
          <w:szCs w:val="24"/>
          <w:vertAlign w:val="superscript"/>
          <w:lang w:val="en-US"/>
        </w:rPr>
        <w:t>-1</w:t>
      </w:r>
      <w:r w:rsidRPr="00DF654E">
        <w:rPr>
          <w:sz w:val="22"/>
          <w:szCs w:val="24"/>
          <w:lang w:val="en-US"/>
        </w:rPr>
        <w:t>} cp/mL</w:t>
      </w:r>
      <w:r w:rsidRPr="00DF654E">
        <w:rPr>
          <w:sz w:val="22"/>
        </w:rPr>
        <w:fldChar w:fldCharType="begin"/>
      </w:r>
      <w:r>
        <w:rPr>
          <w:sz w:val="22"/>
          <w:lang w:val="en-US"/>
        </w:rPr>
        <w:instrText xml:space="preserve"> ADDIN ZOTERO_ITEM CSL_CITATION {"citationID":"l1g7aPdC","properties":{"formattedCitation":"\\super 9\\nosupersub{}","plainCitation":"9","noteIndex":0},"citationItems":[{"id":"4Eq39FNE/B82tcP1k","uris":["http://zotero.org/users/4832832/items/YF4AV2KT"],"uri":["http://zotero.org/users/4832832/items/YF4AV2KT"],"itemData":{"id":522,"type":"article-journal","abstract":"The recent outbreak of Zika virus (ZIKV) has been associated with fetal abnormalities and neurological complications, prompting global concern. Here we present a mathematical analysis of the within-host dynamics of plasma ZIKV burden in a nonhuman primate model, allowing for characterization of the growth and clearance of ZIKV within individual macaques. We estimate that the eclipse phase for ZIKV, the time between cell infection and viral production, is most likely short (similar to 4 h), the median within-host basic reproductive number R-0 is 10.7, the rate of viral production is rapid (&gt; 25,000 virions d-1), and the lifetime of an infected cell while producing virus is similar to 5 h. We also estimate that the minimum number of virions produced by an infected cell over its lifetime is similar to 5,500. We assess the potential effect of an antiviral treatment that blocks viral replication, showing that the median time to undetectable plasma viral load (VL) can be reduced from similar to 5 d to similar to 3 d with a drug concentration similar to 15 times the drug's EC50 when treatment is given prophylactically starting at the time of infection. In the case of favipiravir, a polymerase inhibitor with activity against ZIKV, we predict a dose of 150 mg/kg given twice a day initiated at the time of infection can reduce the peak median VL by similar to 3 logs and shorten the time to undetectable median VL by similar to 2 d, whereas treatment given 2 d postinfection is mostly ineffective in accelerating plasma VL loss in macaques.","container-title":"Proceedings of the National Academy of Sciences of the United States of America","DOI":"10.1073/pnas.1704011114","issue":"33","note":"WOS:000407610400073","page":"8847-8852","source":"Web of Science","title":"Zika plasma viral dynamics in nonhuman primates provides insights into early infection and antiviral strategies","volume":"114","author":[{"family":"Best","given":"Katharine"},{"family":"Guedj","given":"Jeremie"},{"family":"Madelain","given":"Vincent"},{"family":"Lamballerie","given":"Xavier","non-dropping-particle":"de"},{"family":"Lim","given":"So-Yon"},{"family":"Osuna","given":"Christa E."},{"family":"Whitney","given":"James B."},{"family":"Perelson","given":"Alan S."}],"issued":{"date-parts":[["2017",8,15]]}}}],"schema":"https://github.com/citation-style-language/schema/raw/master/csl-citation.json"} </w:instrText>
      </w:r>
      <w:r w:rsidRPr="00DF654E">
        <w:rPr>
          <w:sz w:val="22"/>
        </w:rPr>
        <w:fldChar w:fldCharType="separate"/>
      </w:r>
      <w:r w:rsidRPr="00DF654E">
        <w:rPr>
          <w:rFonts w:cs="Times New Roman"/>
          <w:sz w:val="22"/>
          <w:szCs w:val="24"/>
          <w:vertAlign w:val="superscript"/>
          <w:lang w:val="en-US"/>
        </w:rPr>
        <w:t>9</w:t>
      </w:r>
      <w:r w:rsidRPr="00DF654E">
        <w:rPr>
          <w:sz w:val="22"/>
        </w:rPr>
        <w:fldChar w:fldCharType="end"/>
      </w:r>
      <w:r w:rsidRPr="00DF654E">
        <w:rPr>
          <w:sz w:val="22"/>
          <w:szCs w:val="24"/>
          <w:lang w:val="en-US"/>
        </w:rPr>
        <w:t>.  In all cases, R</w:t>
      </w:r>
      <w:r w:rsidRPr="00DF654E">
        <w:rPr>
          <w:sz w:val="22"/>
          <w:szCs w:val="24"/>
          <w:vertAlign w:val="subscript"/>
          <w:lang w:val="en-US"/>
        </w:rPr>
        <w:t xml:space="preserve">0 </w:t>
      </w:r>
      <w:r w:rsidRPr="00DF654E">
        <w:rPr>
          <w:sz w:val="22"/>
          <w:szCs w:val="24"/>
          <w:lang w:val="en-US"/>
        </w:rPr>
        <w:t xml:space="preserve">was the most sensitive parameter: the lower </w:t>
      </w:r>
      <w:r w:rsidR="00382073">
        <w:rPr>
          <w:sz w:val="22"/>
          <w:szCs w:val="24"/>
          <w:lang w:val="en-US"/>
        </w:rPr>
        <w:t>the</w:t>
      </w:r>
      <w:r w:rsidR="00382073" w:rsidRPr="00DF654E">
        <w:rPr>
          <w:sz w:val="22"/>
          <w:szCs w:val="24"/>
          <w:lang w:val="en-US"/>
        </w:rPr>
        <w:t xml:space="preserve"> </w:t>
      </w:r>
      <w:r w:rsidRPr="00DF654E">
        <w:rPr>
          <w:sz w:val="22"/>
          <w:szCs w:val="24"/>
          <w:lang w:val="en-US"/>
        </w:rPr>
        <w:t xml:space="preserve">fixed </w:t>
      </w:r>
      <w:r w:rsidR="00382073">
        <w:rPr>
          <w:sz w:val="22"/>
          <w:szCs w:val="24"/>
          <w:lang w:val="en-US"/>
        </w:rPr>
        <w:t xml:space="preserve">values of </w:t>
      </w:r>
      <w:r w:rsidRPr="00382073">
        <w:rPr>
          <w:i/>
          <w:sz w:val="22"/>
          <w:szCs w:val="24"/>
          <w:lang w:val="en-US"/>
        </w:rPr>
        <w:t>V</w:t>
      </w:r>
      <w:r w:rsidRPr="00DF654E">
        <w:rPr>
          <w:sz w:val="22"/>
          <w:szCs w:val="24"/>
          <w:vertAlign w:val="subscript"/>
          <w:lang w:val="en-US"/>
        </w:rPr>
        <w:t xml:space="preserve">0 </w:t>
      </w:r>
      <w:r w:rsidRPr="00DF654E">
        <w:rPr>
          <w:sz w:val="22"/>
          <w:szCs w:val="24"/>
          <w:lang w:val="en-US"/>
        </w:rPr>
        <w:t xml:space="preserve">and </w:t>
      </w:r>
      <w:r w:rsidRPr="00382073">
        <w:rPr>
          <w:i/>
          <w:sz w:val="22"/>
          <w:szCs w:val="24"/>
          <w:lang w:val="en-US"/>
        </w:rPr>
        <w:t>k</w:t>
      </w:r>
      <w:r w:rsidRPr="00DF654E">
        <w:rPr>
          <w:sz w:val="22"/>
          <w:szCs w:val="24"/>
          <w:lang w:val="en-US"/>
        </w:rPr>
        <w:t>, the higher the estimated R</w:t>
      </w:r>
      <w:r w:rsidRPr="00DF654E">
        <w:rPr>
          <w:sz w:val="22"/>
          <w:szCs w:val="24"/>
          <w:vertAlign w:val="subscript"/>
          <w:lang w:val="en-US"/>
        </w:rPr>
        <w:t>0</w:t>
      </w:r>
      <w:r w:rsidR="00C629CA">
        <w:rPr>
          <w:sz w:val="22"/>
          <w:szCs w:val="24"/>
          <w:vertAlign w:val="subscript"/>
          <w:lang w:val="en-US"/>
        </w:rPr>
        <w:t xml:space="preserve"> </w:t>
      </w:r>
      <w:r w:rsidR="00C629CA">
        <w:rPr>
          <w:sz w:val="22"/>
          <w:szCs w:val="24"/>
          <w:lang w:val="en-US"/>
        </w:rPr>
        <w:t>(Fig. S4)</w:t>
      </w:r>
      <w:r w:rsidRPr="00DF654E">
        <w:rPr>
          <w:sz w:val="22"/>
          <w:szCs w:val="24"/>
          <w:lang w:val="en-US"/>
        </w:rPr>
        <w:t xml:space="preserve">. In all cases, the model weight following the Bayesian Information criterion were similar across values of </w:t>
      </w:r>
      <w:r w:rsidRPr="00382073">
        <w:rPr>
          <w:i/>
          <w:sz w:val="22"/>
          <w:szCs w:val="24"/>
          <w:lang w:val="en-US"/>
        </w:rPr>
        <w:t>V</w:t>
      </w:r>
      <w:r w:rsidRPr="00DF654E">
        <w:rPr>
          <w:sz w:val="22"/>
          <w:szCs w:val="24"/>
          <w:vertAlign w:val="subscript"/>
          <w:lang w:val="en-US"/>
        </w:rPr>
        <w:t xml:space="preserve">0 </w:t>
      </w:r>
      <w:r w:rsidRPr="00DF654E">
        <w:rPr>
          <w:sz w:val="22"/>
          <w:szCs w:val="24"/>
          <w:lang w:val="en-US"/>
        </w:rPr>
        <w:t xml:space="preserve">and </w:t>
      </w:r>
      <w:r w:rsidRPr="00382073">
        <w:rPr>
          <w:i/>
          <w:sz w:val="22"/>
          <w:szCs w:val="24"/>
          <w:lang w:val="en-US"/>
        </w:rPr>
        <w:t>k</w:t>
      </w:r>
      <w:r w:rsidRPr="00DF654E">
        <w:rPr>
          <w:sz w:val="22"/>
          <w:szCs w:val="24"/>
          <w:lang w:val="en-US"/>
        </w:rPr>
        <w:t xml:space="preserve">, suggesting that the data do not allow </w:t>
      </w:r>
      <w:r w:rsidR="00C629CA">
        <w:rPr>
          <w:sz w:val="22"/>
          <w:szCs w:val="24"/>
          <w:lang w:val="en-US"/>
        </w:rPr>
        <w:t xml:space="preserve">one </w:t>
      </w:r>
      <w:r w:rsidRPr="00DF654E">
        <w:rPr>
          <w:sz w:val="22"/>
          <w:szCs w:val="24"/>
          <w:lang w:val="en-US"/>
        </w:rPr>
        <w:t>to differentiate between models. However, a model averaged computation of the R</w:t>
      </w:r>
      <w:r w:rsidRPr="00DF654E">
        <w:rPr>
          <w:sz w:val="22"/>
          <w:szCs w:val="24"/>
          <w:vertAlign w:val="subscript"/>
          <w:lang w:val="en-US"/>
        </w:rPr>
        <w:t xml:space="preserve">0 </w:t>
      </w:r>
      <w:r w:rsidRPr="00DF654E">
        <w:rPr>
          <w:sz w:val="22"/>
          <w:szCs w:val="24"/>
          <w:lang w:val="en-US"/>
        </w:rPr>
        <w:t xml:space="preserve">following the weight of each model, was possible and gave </w:t>
      </w:r>
      <w:r w:rsidR="00474667">
        <w:rPr>
          <w:color w:val="000000"/>
          <w:kern w:val="24"/>
          <w:sz w:val="22"/>
          <w:szCs w:val="16"/>
          <w:lang w:val="en-US"/>
        </w:rPr>
        <w:t>12.9 (95%CI: [2.3; 46.7]).</w:t>
      </w:r>
      <w:r w:rsidR="00375503">
        <w:rPr>
          <w:color w:val="000000"/>
          <w:kern w:val="24"/>
          <w:sz w:val="22"/>
          <w:szCs w:val="16"/>
          <w:lang w:val="en-US"/>
        </w:rPr>
        <w:t xml:space="preserve"> </w:t>
      </w:r>
      <w:r w:rsidR="00375503">
        <w:rPr>
          <w:sz w:val="22"/>
          <w:szCs w:val="24"/>
          <w:lang w:val="en-US"/>
        </w:rPr>
        <w:t>We also examined the sensitivity of our results on the change in viral load at the time of its expected peak</w:t>
      </w:r>
      <w:r w:rsidR="00375503" w:rsidRPr="00DF654E">
        <w:rPr>
          <w:sz w:val="22"/>
          <w:szCs w:val="24"/>
          <w:lang w:val="en-US"/>
        </w:rPr>
        <w:t xml:space="preserve"> supposing that symptom onset occurred 2, 5 or 10 days after infection</w:t>
      </w:r>
      <w:r w:rsidR="00375503">
        <w:rPr>
          <w:sz w:val="22"/>
          <w:szCs w:val="24"/>
          <w:lang w:val="en-US"/>
        </w:rPr>
        <w:t xml:space="preserve"> (Fig. S5)</w:t>
      </w:r>
      <w:r w:rsidR="00375503" w:rsidRPr="00DF654E">
        <w:rPr>
          <w:sz w:val="22"/>
          <w:szCs w:val="24"/>
          <w:lang w:val="en-U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44B6" w:rsidRPr="00FD75BE" w:rsidTr="0067374D">
        <w:trPr>
          <w:trHeight w:val="1645"/>
        </w:trPr>
        <w:tc>
          <w:tcPr>
            <w:tcW w:w="4531" w:type="dxa"/>
          </w:tcPr>
          <w:p w:rsidR="000B44B6" w:rsidRDefault="000B44B6" w:rsidP="0067374D">
            <w:pPr>
              <w:spacing w:line="240" w:lineRule="auto"/>
              <w:ind w:firstLine="0"/>
              <w:rPr>
                <w:b/>
                <w:lang w:val="en-US"/>
              </w:rPr>
            </w:pPr>
            <w:r>
              <w:rPr>
                <w:b/>
                <w:lang w:val="en-US"/>
              </w:rPr>
              <w:t>A.</w:t>
            </w:r>
          </w:p>
          <w:tbl>
            <w:tblPr>
              <w:tblStyle w:val="TableauGrille6Couleur1"/>
              <w:tblW w:w="3929" w:type="dxa"/>
              <w:tblLook w:val="04A0" w:firstRow="1" w:lastRow="0" w:firstColumn="1" w:lastColumn="0" w:noHBand="0" w:noVBand="1"/>
            </w:tblPr>
            <w:tblGrid>
              <w:gridCol w:w="982"/>
              <w:gridCol w:w="982"/>
              <w:gridCol w:w="982"/>
              <w:gridCol w:w="983"/>
            </w:tblGrid>
            <w:tr w:rsidR="000B44B6" w:rsidRPr="00FD75BE" w:rsidTr="0067374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2" w:type="dxa"/>
                  <w:hideMark/>
                </w:tcPr>
                <w:p w:rsidR="000B44B6" w:rsidRPr="006C7B4C" w:rsidRDefault="000B44B6" w:rsidP="0067374D">
                  <w:pPr>
                    <w:spacing w:line="240" w:lineRule="auto"/>
                    <w:ind w:firstLine="0"/>
                    <w:jc w:val="center"/>
                    <w:rPr>
                      <w:b w:val="0"/>
                      <w:color w:val="auto"/>
                      <w:sz w:val="22"/>
                    </w:rPr>
                  </w:pPr>
                  <w:r w:rsidRPr="006C7B4C">
                    <w:rPr>
                      <w:color w:val="auto"/>
                      <w:sz w:val="22"/>
                    </w:rPr>
                    <w:t>R</w:t>
                  </w:r>
                  <w:r w:rsidRPr="006C7B4C">
                    <w:rPr>
                      <w:color w:val="auto"/>
                      <w:sz w:val="22"/>
                      <w:vertAlign w:val="subscript"/>
                    </w:rPr>
                    <w:t>0</w:t>
                  </w:r>
                </w:p>
              </w:tc>
              <w:tc>
                <w:tcPr>
                  <w:tcW w:w="982"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-1</w:t>
                  </w:r>
                </w:p>
              </w:tc>
              <w:tc>
                <w:tcPr>
                  <w:tcW w:w="982"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-2</w:t>
                  </w:r>
                </w:p>
              </w:tc>
              <w:tc>
                <w:tcPr>
                  <w:tcW w:w="983"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-3</w:t>
                  </w:r>
                </w:p>
              </w:tc>
            </w:tr>
            <w:tr w:rsidR="000B44B6" w:rsidRPr="00FD75BE" w:rsidTr="0067374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2"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1</w:t>
                  </w:r>
                </w:p>
              </w:tc>
              <w:tc>
                <w:tcPr>
                  <w:tcW w:w="982"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19.3</w:t>
                  </w:r>
                </w:p>
              </w:tc>
              <w:tc>
                <w:tcPr>
                  <w:tcW w:w="982"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27.1</w:t>
                  </w:r>
                </w:p>
              </w:tc>
              <w:tc>
                <w:tcPr>
                  <w:tcW w:w="983"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27.4</w:t>
                  </w:r>
                </w:p>
              </w:tc>
            </w:tr>
            <w:tr w:rsidR="000B44B6" w:rsidRPr="00FD75BE" w:rsidTr="0067374D">
              <w:trPr>
                <w:trHeight w:val="283"/>
              </w:trPr>
              <w:tc>
                <w:tcPr>
                  <w:cnfStyle w:val="001000000000" w:firstRow="0" w:lastRow="0" w:firstColumn="1" w:lastColumn="0" w:oddVBand="0" w:evenVBand="0" w:oddHBand="0" w:evenHBand="0" w:firstRowFirstColumn="0" w:firstRowLastColumn="0" w:lastRowFirstColumn="0" w:lastRowLastColumn="0"/>
                  <w:tcW w:w="982"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3</w:t>
                  </w:r>
                </w:p>
              </w:tc>
              <w:tc>
                <w:tcPr>
                  <w:tcW w:w="982"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9</w:t>
                  </w:r>
                  <w:r w:rsidR="000B44B6">
                    <w:rPr>
                      <w:sz w:val="22"/>
                    </w:rPr>
                    <w:t>.5</w:t>
                  </w:r>
                </w:p>
              </w:tc>
              <w:tc>
                <w:tcPr>
                  <w:tcW w:w="982"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12.8</w:t>
                  </w:r>
                </w:p>
              </w:tc>
              <w:tc>
                <w:tcPr>
                  <w:tcW w:w="983"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14.7</w:t>
                  </w:r>
                </w:p>
              </w:tc>
            </w:tr>
            <w:tr w:rsidR="000B44B6" w:rsidRPr="00FD75BE" w:rsidTr="0067374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2"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5</w:t>
                  </w:r>
                </w:p>
              </w:tc>
              <w:tc>
                <w:tcPr>
                  <w:tcW w:w="982" w:type="dxa"/>
                  <w:hideMark/>
                </w:tcPr>
                <w:p w:rsidR="000B44B6" w:rsidRPr="000A3B32" w:rsidRDefault="000B44B6"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8</w:t>
                  </w:r>
                  <w:r w:rsidR="003336D0">
                    <w:rPr>
                      <w:sz w:val="22"/>
                    </w:rPr>
                    <w:t>.6</w:t>
                  </w:r>
                </w:p>
              </w:tc>
              <w:tc>
                <w:tcPr>
                  <w:tcW w:w="982"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10.0</w:t>
                  </w:r>
                </w:p>
              </w:tc>
              <w:tc>
                <w:tcPr>
                  <w:tcW w:w="983"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12.3</w:t>
                  </w:r>
                </w:p>
              </w:tc>
            </w:tr>
          </w:tbl>
          <w:p w:rsidR="000B44B6" w:rsidRPr="00DF654E" w:rsidRDefault="000B44B6" w:rsidP="0067374D">
            <w:pPr>
              <w:spacing w:line="240" w:lineRule="auto"/>
              <w:ind w:firstLine="0"/>
              <w:rPr>
                <w:b/>
                <w:sz w:val="12"/>
                <w:lang w:val="en-US"/>
              </w:rPr>
            </w:pPr>
          </w:p>
        </w:tc>
        <w:tc>
          <w:tcPr>
            <w:tcW w:w="4531" w:type="dxa"/>
          </w:tcPr>
          <w:p w:rsidR="000B44B6" w:rsidRDefault="000B44B6" w:rsidP="0067374D">
            <w:pPr>
              <w:spacing w:line="240" w:lineRule="auto"/>
              <w:ind w:firstLine="0"/>
              <w:rPr>
                <w:b/>
                <w:sz w:val="22"/>
                <w:lang w:val="en-US"/>
              </w:rPr>
            </w:pPr>
            <w:r>
              <w:rPr>
                <w:b/>
                <w:sz w:val="22"/>
                <w:lang w:val="en-US"/>
              </w:rPr>
              <w:t>B.</w:t>
            </w:r>
          </w:p>
          <w:tbl>
            <w:tblPr>
              <w:tblStyle w:val="TableauGrille6Couleur1"/>
              <w:tblW w:w="3924" w:type="dxa"/>
              <w:tblLook w:val="04A0" w:firstRow="1" w:lastRow="0" w:firstColumn="1" w:lastColumn="0" w:noHBand="0" w:noVBand="1"/>
            </w:tblPr>
            <w:tblGrid>
              <w:gridCol w:w="981"/>
              <w:gridCol w:w="981"/>
              <w:gridCol w:w="981"/>
              <w:gridCol w:w="981"/>
            </w:tblGrid>
            <w:tr w:rsidR="000B44B6" w:rsidRPr="00FD75BE" w:rsidTr="0067374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lang w:val="el-GR"/>
                    </w:rPr>
                    <w:t>δ</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-1</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-2</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-3</w:t>
                  </w:r>
                </w:p>
              </w:tc>
            </w:tr>
            <w:tr w:rsidR="000B44B6" w:rsidRPr="00FD75BE" w:rsidTr="0067374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1</w:t>
                  </w:r>
                </w:p>
              </w:tc>
              <w:tc>
                <w:tcPr>
                  <w:tcW w:w="981" w:type="dxa"/>
                  <w:hideMark/>
                </w:tcPr>
                <w:p w:rsidR="000B44B6" w:rsidRPr="000A3B32" w:rsidRDefault="000B44B6"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0.59</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0.55</w:t>
                  </w:r>
                </w:p>
              </w:tc>
              <w:tc>
                <w:tcPr>
                  <w:tcW w:w="981" w:type="dxa"/>
                  <w:hideMark/>
                </w:tcPr>
                <w:p w:rsidR="000B44B6" w:rsidRPr="000A3B32" w:rsidRDefault="000B44B6"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0.58</w:t>
                  </w:r>
                </w:p>
              </w:tc>
            </w:tr>
            <w:tr w:rsidR="000B44B6" w:rsidRPr="00FD75BE" w:rsidTr="0067374D">
              <w:trPr>
                <w:trHeight w:val="283"/>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3</w:t>
                  </w:r>
                </w:p>
              </w:tc>
              <w:tc>
                <w:tcPr>
                  <w:tcW w:w="981" w:type="dxa"/>
                  <w:hideMark/>
                </w:tcPr>
                <w:p w:rsidR="000B44B6" w:rsidRPr="000A3B32" w:rsidRDefault="000B44B6"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0.53</w:t>
                  </w:r>
                </w:p>
              </w:tc>
              <w:tc>
                <w:tcPr>
                  <w:tcW w:w="981"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0.51</w:t>
                  </w:r>
                </w:p>
              </w:tc>
              <w:tc>
                <w:tcPr>
                  <w:tcW w:w="981"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0.52</w:t>
                  </w:r>
                </w:p>
              </w:tc>
            </w:tr>
            <w:tr w:rsidR="000B44B6" w:rsidRPr="00FD75BE" w:rsidTr="0067374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5</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0.52</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0.52</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0.51</w:t>
                  </w:r>
                </w:p>
              </w:tc>
            </w:tr>
          </w:tbl>
          <w:p w:rsidR="000B44B6" w:rsidRPr="00DF654E" w:rsidRDefault="000B44B6" w:rsidP="0067374D">
            <w:pPr>
              <w:spacing w:line="240" w:lineRule="auto"/>
              <w:ind w:firstLine="0"/>
              <w:rPr>
                <w:b/>
                <w:sz w:val="10"/>
                <w:lang w:val="en-US"/>
              </w:rPr>
            </w:pPr>
          </w:p>
        </w:tc>
      </w:tr>
      <w:tr w:rsidR="000B44B6" w:rsidRPr="00FD75BE" w:rsidTr="0067374D">
        <w:tc>
          <w:tcPr>
            <w:tcW w:w="4531" w:type="dxa"/>
          </w:tcPr>
          <w:p w:rsidR="000B44B6" w:rsidRDefault="000B44B6" w:rsidP="0067374D">
            <w:pPr>
              <w:spacing w:line="240" w:lineRule="auto"/>
              <w:ind w:firstLine="0"/>
              <w:rPr>
                <w:b/>
                <w:sz w:val="22"/>
                <w:lang w:val="en-US"/>
              </w:rPr>
            </w:pPr>
            <w:r>
              <w:rPr>
                <w:b/>
                <w:sz w:val="22"/>
                <w:lang w:val="en-US"/>
              </w:rPr>
              <w:t xml:space="preserve">C. </w:t>
            </w:r>
          </w:p>
          <w:tbl>
            <w:tblPr>
              <w:tblStyle w:val="TableauGrille6Couleur1"/>
              <w:tblW w:w="3924" w:type="dxa"/>
              <w:tblLook w:val="04A0" w:firstRow="1" w:lastRow="0" w:firstColumn="1" w:lastColumn="0" w:noHBand="0" w:noVBand="1"/>
            </w:tblPr>
            <w:tblGrid>
              <w:gridCol w:w="981"/>
              <w:gridCol w:w="981"/>
              <w:gridCol w:w="981"/>
              <w:gridCol w:w="981"/>
            </w:tblGrid>
            <w:tr w:rsidR="000B44B6" w:rsidRPr="006C7B4C" w:rsidTr="0067374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BIC</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-1</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-2</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-3</w:t>
                  </w:r>
                </w:p>
              </w:tc>
            </w:tr>
            <w:tr w:rsidR="000B44B6" w:rsidRPr="006C7B4C" w:rsidTr="006737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1</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530.7</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530.2</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529.6</w:t>
                  </w:r>
                </w:p>
              </w:tc>
            </w:tr>
            <w:tr w:rsidR="000B44B6" w:rsidRPr="006C7B4C" w:rsidTr="0067374D">
              <w:trPr>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3</w:t>
                  </w:r>
                </w:p>
              </w:tc>
              <w:tc>
                <w:tcPr>
                  <w:tcW w:w="981"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530.9</w:t>
                  </w:r>
                </w:p>
              </w:tc>
              <w:tc>
                <w:tcPr>
                  <w:tcW w:w="981" w:type="dxa"/>
                  <w:hideMark/>
                </w:tcPr>
                <w:p w:rsidR="000B44B6" w:rsidRPr="000A3B32" w:rsidRDefault="003336D0"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530.6</w:t>
                  </w:r>
                </w:p>
              </w:tc>
              <w:tc>
                <w:tcPr>
                  <w:tcW w:w="981" w:type="dxa"/>
                  <w:hideMark/>
                </w:tcPr>
                <w:p w:rsidR="000B44B6" w:rsidRPr="000A3B32" w:rsidRDefault="000B44B6" w:rsidP="0067374D">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530.0</w:t>
                  </w:r>
                </w:p>
              </w:tc>
            </w:tr>
            <w:tr w:rsidR="000B44B6" w:rsidRPr="006C7B4C" w:rsidTr="006737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rPr>
                    <w:t>k = 5</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530.9</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530.5</w:t>
                  </w:r>
                </w:p>
              </w:tc>
              <w:tc>
                <w:tcPr>
                  <w:tcW w:w="981" w:type="dxa"/>
                  <w:hideMark/>
                </w:tcPr>
                <w:p w:rsidR="000B44B6" w:rsidRPr="000A3B32" w:rsidRDefault="003336D0" w:rsidP="0067374D">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530.3</w:t>
                  </w:r>
                </w:p>
              </w:tc>
            </w:tr>
          </w:tbl>
          <w:p w:rsidR="000B44B6" w:rsidRPr="00FD75BE" w:rsidRDefault="000B44B6" w:rsidP="0067374D">
            <w:pPr>
              <w:spacing w:line="240" w:lineRule="auto"/>
              <w:ind w:firstLine="0"/>
              <w:rPr>
                <w:b/>
                <w:sz w:val="22"/>
                <w:lang w:val="en-US"/>
              </w:rPr>
            </w:pPr>
          </w:p>
        </w:tc>
        <w:tc>
          <w:tcPr>
            <w:tcW w:w="4531" w:type="dxa"/>
          </w:tcPr>
          <w:p w:rsidR="000B44B6" w:rsidRDefault="000B44B6" w:rsidP="0067374D">
            <w:pPr>
              <w:spacing w:line="240" w:lineRule="auto"/>
              <w:ind w:firstLine="0"/>
              <w:rPr>
                <w:b/>
                <w:sz w:val="22"/>
                <w:lang w:val="en-US"/>
              </w:rPr>
            </w:pPr>
            <w:r>
              <w:rPr>
                <w:b/>
                <w:sz w:val="22"/>
                <w:lang w:val="en-US"/>
              </w:rPr>
              <w:t>D.</w:t>
            </w:r>
          </w:p>
          <w:tbl>
            <w:tblPr>
              <w:tblStyle w:val="TableauGrille6Couleur1"/>
              <w:tblW w:w="3924" w:type="dxa"/>
              <w:tblLook w:val="04A0" w:firstRow="1" w:lastRow="0" w:firstColumn="1" w:lastColumn="0" w:noHBand="0" w:noVBand="1"/>
            </w:tblPr>
            <w:tblGrid>
              <w:gridCol w:w="981"/>
              <w:gridCol w:w="981"/>
              <w:gridCol w:w="981"/>
              <w:gridCol w:w="981"/>
            </w:tblGrid>
            <w:tr w:rsidR="000B44B6" w:rsidRPr="00867E36" w:rsidTr="0067374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0B44B6" w:rsidRPr="006C7B4C" w:rsidRDefault="000B44B6" w:rsidP="0067374D">
                  <w:pPr>
                    <w:spacing w:line="240" w:lineRule="auto"/>
                    <w:ind w:firstLine="0"/>
                    <w:jc w:val="center"/>
                    <w:rPr>
                      <w:b w:val="0"/>
                      <w:color w:val="auto"/>
                      <w:sz w:val="22"/>
                    </w:rPr>
                  </w:pPr>
                  <w:r w:rsidRPr="006C7B4C">
                    <w:rPr>
                      <w:color w:val="auto"/>
                      <w:sz w:val="22"/>
                      <w:lang w:val="el-GR"/>
                    </w:rPr>
                    <w:t>ω</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-1</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-2</w:t>
                  </w:r>
                </w:p>
              </w:tc>
              <w:tc>
                <w:tcPr>
                  <w:tcW w:w="981" w:type="dxa"/>
                  <w:hideMark/>
                </w:tcPr>
                <w:p w:rsidR="000B44B6" w:rsidRPr="006C7B4C" w:rsidRDefault="000B44B6" w:rsidP="0067374D">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val="0"/>
                      <w:color w:val="auto"/>
                      <w:sz w:val="22"/>
                    </w:rPr>
                  </w:pPr>
                  <w:r w:rsidRPr="006C7B4C">
                    <w:rPr>
                      <w:color w:val="auto"/>
                      <w:sz w:val="22"/>
                    </w:rPr>
                    <w:t>V</w:t>
                  </w:r>
                  <w:r w:rsidRPr="006C7B4C">
                    <w:rPr>
                      <w:color w:val="auto"/>
                      <w:sz w:val="22"/>
                      <w:vertAlign w:val="subscript"/>
                    </w:rPr>
                    <w:t>0</w:t>
                  </w:r>
                  <w:r w:rsidRPr="006C7B4C">
                    <w:rPr>
                      <w:color w:val="auto"/>
                      <w:sz w:val="22"/>
                    </w:rPr>
                    <w:t>=10</w:t>
                  </w:r>
                  <w:r w:rsidRPr="006C7B4C">
                    <w:rPr>
                      <w:color w:val="auto"/>
                      <w:sz w:val="22"/>
                      <w:vertAlign w:val="superscript"/>
                    </w:rPr>
                    <w:t>-3</w:t>
                  </w:r>
                </w:p>
              </w:tc>
            </w:tr>
            <w:tr w:rsidR="003336D0" w:rsidRPr="00867E36" w:rsidTr="003336D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3336D0" w:rsidRPr="006C7B4C" w:rsidRDefault="003336D0" w:rsidP="003336D0">
                  <w:pPr>
                    <w:spacing w:line="240" w:lineRule="auto"/>
                    <w:ind w:firstLine="0"/>
                    <w:jc w:val="center"/>
                    <w:rPr>
                      <w:b w:val="0"/>
                      <w:color w:val="auto"/>
                      <w:sz w:val="22"/>
                    </w:rPr>
                  </w:pPr>
                  <w:r w:rsidRPr="006C7B4C">
                    <w:rPr>
                      <w:color w:val="auto"/>
                      <w:sz w:val="22"/>
                    </w:rPr>
                    <w:t>k = 1</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0.09</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0.12</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0.16</w:t>
                  </w:r>
                </w:p>
              </w:tc>
            </w:tr>
            <w:tr w:rsidR="003336D0" w:rsidRPr="00867E36" w:rsidTr="003336D0">
              <w:trPr>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3336D0" w:rsidRPr="006C7B4C" w:rsidRDefault="003336D0" w:rsidP="003336D0">
                  <w:pPr>
                    <w:spacing w:line="240" w:lineRule="auto"/>
                    <w:ind w:firstLine="0"/>
                    <w:jc w:val="center"/>
                    <w:rPr>
                      <w:b w:val="0"/>
                      <w:color w:val="auto"/>
                      <w:sz w:val="22"/>
                    </w:rPr>
                  </w:pPr>
                  <w:r w:rsidRPr="006C7B4C">
                    <w:rPr>
                      <w:color w:val="auto"/>
                      <w:sz w:val="22"/>
                    </w:rPr>
                    <w:t>k = 3</w:t>
                  </w:r>
                </w:p>
              </w:tc>
              <w:tc>
                <w:tcPr>
                  <w:tcW w:w="981" w:type="dxa"/>
                </w:tcPr>
                <w:p w:rsidR="003336D0" w:rsidRPr="000A3B32" w:rsidRDefault="003336D0" w:rsidP="003336D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sidRPr="000A3B32">
                    <w:rPr>
                      <w:sz w:val="22"/>
                    </w:rPr>
                    <w:t>0.09</w:t>
                  </w:r>
                </w:p>
              </w:tc>
              <w:tc>
                <w:tcPr>
                  <w:tcW w:w="981" w:type="dxa"/>
                </w:tcPr>
                <w:p w:rsidR="003336D0" w:rsidRPr="000A3B32" w:rsidRDefault="003336D0" w:rsidP="003336D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sidRPr="000A3B32">
                    <w:rPr>
                      <w:sz w:val="22"/>
                    </w:rPr>
                    <w:t>0.10</w:t>
                  </w:r>
                </w:p>
              </w:tc>
              <w:tc>
                <w:tcPr>
                  <w:tcW w:w="981" w:type="dxa"/>
                </w:tcPr>
                <w:p w:rsidR="003336D0" w:rsidRPr="000A3B32" w:rsidRDefault="003336D0" w:rsidP="003336D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sz w:val="22"/>
                    </w:rPr>
                  </w:pPr>
                  <w:r>
                    <w:rPr>
                      <w:sz w:val="22"/>
                    </w:rPr>
                    <w:t>0.13</w:t>
                  </w:r>
                </w:p>
              </w:tc>
            </w:tr>
            <w:tr w:rsidR="003336D0" w:rsidRPr="00867E36" w:rsidTr="003336D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1" w:type="dxa"/>
                  <w:hideMark/>
                </w:tcPr>
                <w:p w:rsidR="003336D0" w:rsidRPr="006C7B4C" w:rsidRDefault="003336D0" w:rsidP="003336D0">
                  <w:pPr>
                    <w:spacing w:line="240" w:lineRule="auto"/>
                    <w:ind w:firstLine="0"/>
                    <w:jc w:val="center"/>
                    <w:rPr>
                      <w:b w:val="0"/>
                      <w:color w:val="auto"/>
                      <w:sz w:val="22"/>
                    </w:rPr>
                  </w:pPr>
                  <w:r w:rsidRPr="006C7B4C">
                    <w:rPr>
                      <w:color w:val="auto"/>
                      <w:sz w:val="22"/>
                    </w:rPr>
                    <w:t>k = 5</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0.09</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0.10</w:t>
                  </w:r>
                </w:p>
              </w:tc>
              <w:tc>
                <w:tcPr>
                  <w:tcW w:w="981" w:type="dxa"/>
                </w:tcPr>
                <w:p w:rsidR="003336D0" w:rsidRPr="000A3B32" w:rsidRDefault="003336D0" w:rsidP="003336D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2"/>
                    </w:rPr>
                  </w:pPr>
                  <w:r>
                    <w:rPr>
                      <w:sz w:val="22"/>
                    </w:rPr>
                    <w:t>0.12</w:t>
                  </w:r>
                </w:p>
              </w:tc>
            </w:tr>
          </w:tbl>
          <w:p w:rsidR="000B44B6" w:rsidRPr="00FD75BE" w:rsidRDefault="000B44B6" w:rsidP="0067374D">
            <w:pPr>
              <w:keepNext/>
              <w:spacing w:line="240" w:lineRule="auto"/>
              <w:ind w:firstLine="0"/>
              <w:rPr>
                <w:b/>
                <w:sz w:val="22"/>
                <w:lang w:val="en-US"/>
              </w:rPr>
            </w:pPr>
          </w:p>
        </w:tc>
      </w:tr>
    </w:tbl>
    <w:p w:rsidR="000B44B6" w:rsidRDefault="000B44B6" w:rsidP="000B44B6">
      <w:pPr>
        <w:pStyle w:val="Lgende"/>
      </w:pPr>
    </w:p>
    <w:p w:rsidR="000B44B6" w:rsidRDefault="000B44B6" w:rsidP="000B44B6">
      <w:pPr>
        <w:pStyle w:val="Lgende"/>
        <w:ind w:firstLine="0"/>
        <w:rPr>
          <w:lang w:val="en-US"/>
        </w:rPr>
      </w:pPr>
      <w:r w:rsidRPr="00867E36">
        <w:rPr>
          <w:lang w:val="en-US"/>
        </w:rPr>
        <w:t>Figure S</w:t>
      </w:r>
      <w:r w:rsidR="005D082A">
        <w:rPr>
          <w:lang w:val="en-US"/>
        </w:rPr>
        <w:t>4</w:t>
      </w:r>
      <w:r w:rsidRPr="00867E36">
        <w:rPr>
          <w:lang w:val="en-US"/>
        </w:rPr>
        <w:t xml:space="preserve"> : </w:t>
      </w:r>
      <w:r>
        <w:rPr>
          <w:lang w:val="en-US"/>
        </w:rPr>
        <w:t>Results of the sensitivity analysis across candidate model for parameters R</w:t>
      </w:r>
      <w:r>
        <w:rPr>
          <w:vertAlign w:val="subscript"/>
          <w:lang w:val="en-US"/>
        </w:rPr>
        <w:t xml:space="preserve">0 </w:t>
      </w:r>
      <w:r>
        <w:rPr>
          <w:lang w:val="en-US"/>
        </w:rPr>
        <w:t xml:space="preserve">(Panel A), </w:t>
      </w:r>
      <w:r>
        <w:rPr>
          <w:rFonts w:ascii="Cambria Math" w:hAnsi="Cambria Math"/>
          <w:lang w:val="en-US"/>
        </w:rPr>
        <w:t>δ</w:t>
      </w:r>
      <w:r>
        <w:rPr>
          <w:lang w:val="en-US"/>
        </w:rPr>
        <w:t xml:space="preserve"> (Panel B), Bayesian information criteria (BIC, Panel C) and weights following model averaging procedure</w:t>
      </w:r>
      <w:r>
        <w:rPr>
          <w:lang w:val="en-US"/>
        </w:rPr>
        <w:fldChar w:fldCharType="begin"/>
      </w:r>
      <w:r>
        <w:rPr>
          <w:lang w:val="en-US"/>
        </w:rPr>
        <w:instrText xml:space="preserve"> ADDIN ZOTERO_ITEM CSL_CITATION {"citationID":"U7eJ97Jh","properties":{"formattedCitation":"\\super 5\\nosupersub{}","plainCitation":"5","noteIndex":0},"citationItems":[{"id":"4Eq39FNE/5dgWuoja","uris":["http://zotero.org/users/4832832/items/7MMMXDFX"],"uri":["http://zotero.org/users/4832832/items/7MMMXDFX"],"itemData":{"id":"AQFGXENo/gcq7uhja","type":"article-journal","container-title":"The AAPS Journal","issue":"2","note":"publisher: Springer","page":"1–11","source":"Google Scholar","title":"Model Averaging in Viral Dynamic Models","volume":"22","author":[{"family":"Gonçalves","given":"Antonio"},{"family":"Mentré","given":"France"},{"family":"Lemenuel-Diot","given":"Annabelle"},{"family":"Guedj","given":"Jérémie"}],"issued":{"date-parts":[["2020"]]}}}],"schema":"https://github.com/citation-style-language/schema/raw/master/csl-citation.json"} </w:instrText>
      </w:r>
      <w:r>
        <w:rPr>
          <w:lang w:val="en-US"/>
        </w:rPr>
        <w:fldChar w:fldCharType="separate"/>
      </w:r>
      <w:r w:rsidRPr="0067374D">
        <w:rPr>
          <w:rFonts w:cs="Times New Roman"/>
          <w:szCs w:val="24"/>
          <w:vertAlign w:val="superscript"/>
          <w:lang w:val="en-US"/>
        </w:rPr>
        <w:t>5</w:t>
      </w:r>
      <w:r>
        <w:rPr>
          <w:lang w:val="en-US"/>
        </w:rPr>
        <w:fldChar w:fldCharType="end"/>
      </w:r>
      <w:r>
        <w:rPr>
          <w:lang w:val="en-US"/>
        </w:rPr>
        <w:t xml:space="preserve"> (Panel D).</w:t>
      </w:r>
    </w:p>
    <w:p w:rsidR="000B44B6" w:rsidRPr="00DF654E" w:rsidRDefault="000B44B6" w:rsidP="000B44B6">
      <w:pPr>
        <w:pStyle w:val="Lgende"/>
        <w:keepNext/>
        <w:ind w:firstLine="0"/>
        <w:rPr>
          <w:i w:val="0"/>
          <w:iCs w:val="0"/>
          <w:color w:val="auto"/>
          <w:sz w:val="2"/>
          <w:szCs w:val="22"/>
          <w:lang w:val="en-US"/>
        </w:rPr>
      </w:pPr>
    </w:p>
    <w:p w:rsidR="000B44B6" w:rsidRPr="00527D74" w:rsidRDefault="000B44B6" w:rsidP="000B44B6">
      <w:pPr>
        <w:pStyle w:val="Lgende"/>
        <w:keepNext/>
        <w:ind w:firstLine="0"/>
        <w:rPr>
          <w:lang w:val="en-US"/>
        </w:rPr>
      </w:pPr>
      <w:r w:rsidRPr="009C6364">
        <w:rPr>
          <w:lang w:val="en-US"/>
        </w:rPr>
        <w:t>Table S</w:t>
      </w:r>
      <w:r>
        <w:fldChar w:fldCharType="begin"/>
      </w:r>
      <w:r w:rsidRPr="009C6364">
        <w:rPr>
          <w:lang w:val="en-US"/>
        </w:rPr>
        <w:instrText xml:space="preserve"> SEQ Tableau \* ARABIC </w:instrText>
      </w:r>
      <w:r>
        <w:fldChar w:fldCharType="separate"/>
      </w:r>
      <w:r w:rsidR="00B27331">
        <w:rPr>
          <w:noProof/>
          <w:lang w:val="en-US"/>
        </w:rPr>
        <w:t>1</w:t>
      </w:r>
      <w:r>
        <w:fldChar w:fldCharType="end"/>
      </w:r>
      <w:r w:rsidRPr="009C6364">
        <w:rPr>
          <w:lang w:val="en-US"/>
        </w:rPr>
        <w:t>: Median and confidence intervals of R</w:t>
      </w:r>
      <w:r>
        <w:rPr>
          <w:vertAlign w:val="subscript"/>
          <w:lang w:val="en-US"/>
        </w:rPr>
        <w:t xml:space="preserve">0 </w:t>
      </w:r>
      <w:r>
        <w:rPr>
          <w:lang w:val="en-US"/>
        </w:rPr>
        <w:t xml:space="preserve">and </w:t>
      </w:r>
      <w:r>
        <w:rPr>
          <w:rFonts w:ascii="Cambria Math" w:hAnsi="Cambria Math"/>
          <w:lang w:val="en-US"/>
        </w:rPr>
        <w:t>δ</w:t>
      </w:r>
      <w:r>
        <w:rPr>
          <w:lang w:val="en-US"/>
        </w:rPr>
        <w:t xml:space="preserve"> across models and following model averaging procedure</w:t>
      </w:r>
    </w:p>
    <w:tbl>
      <w:tblPr>
        <w:tblStyle w:val="TableauGrille6Couleur1"/>
        <w:tblpPr w:leftFromText="180" w:rightFromText="180" w:vertAnchor="text" w:horzAnchor="margin" w:tblpY="164"/>
        <w:tblW w:w="8637" w:type="dxa"/>
        <w:tblLayout w:type="fixed"/>
        <w:tblLook w:val="0420" w:firstRow="1" w:lastRow="0" w:firstColumn="0" w:lastColumn="0" w:noHBand="0" w:noVBand="1"/>
      </w:tblPr>
      <w:tblGrid>
        <w:gridCol w:w="1170"/>
        <w:gridCol w:w="1939"/>
        <w:gridCol w:w="1559"/>
        <w:gridCol w:w="3969"/>
      </w:tblGrid>
      <w:tr w:rsidR="000B44B6" w:rsidRPr="00867E36" w:rsidTr="003336D0">
        <w:trPr>
          <w:cnfStyle w:val="100000000000" w:firstRow="1" w:lastRow="0" w:firstColumn="0" w:lastColumn="0" w:oddVBand="0" w:evenVBand="0" w:oddHBand="0" w:evenHBand="0" w:firstRowFirstColumn="0" w:firstRowLastColumn="0" w:lastRowFirstColumn="0" w:lastRowLastColumn="0"/>
          <w:trHeight w:val="227"/>
        </w:trPr>
        <w:tc>
          <w:tcPr>
            <w:tcW w:w="1170" w:type="dxa"/>
            <w:hideMark/>
          </w:tcPr>
          <w:p w:rsidR="000B44B6" w:rsidRPr="006C7B4C" w:rsidRDefault="000B44B6" w:rsidP="003336D0">
            <w:pPr>
              <w:spacing w:line="240" w:lineRule="auto"/>
              <w:ind w:firstLine="0"/>
              <w:jc w:val="center"/>
              <w:rPr>
                <w:b w:val="0"/>
                <w:color w:val="auto"/>
                <w:sz w:val="20"/>
              </w:rPr>
            </w:pPr>
            <w:r w:rsidRPr="006C7B4C">
              <w:rPr>
                <w:color w:val="auto"/>
                <w:sz w:val="20"/>
              </w:rPr>
              <w:t>k (d</w:t>
            </w:r>
            <w:r w:rsidRPr="006C7B4C">
              <w:rPr>
                <w:color w:val="auto"/>
                <w:sz w:val="20"/>
                <w:vertAlign w:val="superscript"/>
              </w:rPr>
              <w:t>-1</w:t>
            </w:r>
            <w:r w:rsidRPr="006C7B4C">
              <w:rPr>
                <w:color w:val="auto"/>
                <w:sz w:val="20"/>
              </w:rPr>
              <w:t>)</w:t>
            </w:r>
          </w:p>
        </w:tc>
        <w:tc>
          <w:tcPr>
            <w:tcW w:w="1939" w:type="dxa"/>
            <w:hideMark/>
          </w:tcPr>
          <w:p w:rsidR="000B44B6" w:rsidRPr="006C7B4C" w:rsidRDefault="000B44B6" w:rsidP="003336D0">
            <w:pPr>
              <w:spacing w:line="240" w:lineRule="auto"/>
              <w:ind w:firstLine="0"/>
              <w:jc w:val="center"/>
              <w:rPr>
                <w:b w:val="0"/>
                <w:color w:val="auto"/>
                <w:sz w:val="20"/>
              </w:rPr>
            </w:pPr>
            <w:r w:rsidRPr="006C7B4C">
              <w:rPr>
                <w:color w:val="auto"/>
                <w:sz w:val="20"/>
              </w:rPr>
              <w:t>V</w:t>
            </w:r>
            <w:r w:rsidRPr="006C7B4C">
              <w:rPr>
                <w:color w:val="auto"/>
                <w:sz w:val="20"/>
                <w:vertAlign w:val="subscript"/>
              </w:rPr>
              <w:t xml:space="preserve">0 </w:t>
            </w:r>
            <w:r w:rsidRPr="006C7B4C">
              <w:rPr>
                <w:color w:val="auto"/>
                <w:sz w:val="20"/>
              </w:rPr>
              <w:t>(log</w:t>
            </w:r>
            <w:r w:rsidRPr="006C7B4C">
              <w:rPr>
                <w:color w:val="auto"/>
                <w:sz w:val="20"/>
                <w:vertAlign w:val="subscript"/>
              </w:rPr>
              <w:t>10</w:t>
            </w:r>
            <w:r w:rsidRPr="006C7B4C">
              <w:rPr>
                <w:color w:val="auto"/>
                <w:sz w:val="20"/>
              </w:rPr>
              <w:t xml:space="preserve"> </w:t>
            </w:r>
            <w:r w:rsidRPr="006C7B4C">
              <w:rPr>
                <w:color w:val="auto"/>
                <w:sz w:val="20"/>
                <w:vertAlign w:val="subscript"/>
              </w:rPr>
              <w:t>cp/mL</w:t>
            </w:r>
            <w:r w:rsidRPr="006C7B4C">
              <w:rPr>
                <w:color w:val="auto"/>
                <w:sz w:val="20"/>
              </w:rPr>
              <w:t>)</w:t>
            </w:r>
          </w:p>
        </w:tc>
        <w:tc>
          <w:tcPr>
            <w:tcW w:w="1559" w:type="dxa"/>
            <w:hideMark/>
          </w:tcPr>
          <w:p w:rsidR="000B44B6" w:rsidRPr="006C7B4C" w:rsidRDefault="000B44B6" w:rsidP="003336D0">
            <w:pPr>
              <w:spacing w:line="240" w:lineRule="auto"/>
              <w:ind w:firstLine="0"/>
              <w:jc w:val="center"/>
              <w:rPr>
                <w:b w:val="0"/>
                <w:color w:val="auto"/>
                <w:sz w:val="20"/>
              </w:rPr>
            </w:pPr>
            <w:r w:rsidRPr="006C7B4C">
              <w:rPr>
                <w:color w:val="auto"/>
                <w:sz w:val="20"/>
              </w:rPr>
              <w:t>R</w:t>
            </w:r>
            <w:r w:rsidRPr="006C7B4C">
              <w:rPr>
                <w:color w:val="auto"/>
                <w:sz w:val="20"/>
                <w:vertAlign w:val="subscript"/>
              </w:rPr>
              <w:t>0</w:t>
            </w:r>
            <w:r w:rsidRPr="006C7B4C">
              <w:rPr>
                <w:color w:val="auto"/>
                <w:sz w:val="20"/>
              </w:rPr>
              <w:t xml:space="preserve"> [IC</w:t>
            </w:r>
            <w:r w:rsidRPr="006C7B4C">
              <w:rPr>
                <w:color w:val="auto"/>
                <w:sz w:val="20"/>
                <w:vertAlign w:val="subscript"/>
              </w:rPr>
              <w:t>95%</w:t>
            </w:r>
            <w:r w:rsidRPr="006C7B4C">
              <w:rPr>
                <w:color w:val="auto"/>
                <w:sz w:val="20"/>
              </w:rPr>
              <w:t>]</w:t>
            </w:r>
          </w:p>
        </w:tc>
        <w:tc>
          <w:tcPr>
            <w:tcW w:w="3969" w:type="dxa"/>
            <w:hideMark/>
          </w:tcPr>
          <w:p w:rsidR="000B44B6" w:rsidRPr="006C7B4C" w:rsidRDefault="000B44B6" w:rsidP="003336D0">
            <w:pPr>
              <w:spacing w:line="240" w:lineRule="auto"/>
              <w:ind w:firstLine="0"/>
              <w:jc w:val="center"/>
              <w:rPr>
                <w:b w:val="0"/>
                <w:color w:val="auto"/>
                <w:sz w:val="20"/>
              </w:rPr>
            </w:pPr>
            <w:r w:rsidRPr="006C7B4C">
              <w:rPr>
                <w:color w:val="auto"/>
                <w:sz w:val="20"/>
              </w:rPr>
              <w:t>δ [IC</w:t>
            </w:r>
            <w:r w:rsidRPr="006C7B4C">
              <w:rPr>
                <w:color w:val="auto"/>
                <w:sz w:val="20"/>
                <w:vertAlign w:val="subscript"/>
              </w:rPr>
              <w:t>95%</w:t>
            </w:r>
            <w:r w:rsidRPr="006C7B4C">
              <w:rPr>
                <w:color w:val="auto"/>
                <w:sz w:val="20"/>
              </w:rPr>
              <w:t>]</w:t>
            </w:r>
          </w:p>
        </w:tc>
      </w:tr>
      <w:tr w:rsidR="003336D0" w:rsidRPr="00ED4929" w:rsidTr="003336D0">
        <w:trPr>
          <w:cnfStyle w:val="000000100000" w:firstRow="0" w:lastRow="0" w:firstColumn="0" w:lastColumn="0" w:oddVBand="0" w:evenVBand="0" w:oddHBand="1" w:evenHBand="0" w:firstRowFirstColumn="0" w:firstRowLastColumn="0" w:lastRowFirstColumn="0" w:lastRowLastColumn="0"/>
          <w:trHeight w:val="227"/>
        </w:trPr>
        <w:tc>
          <w:tcPr>
            <w:tcW w:w="1170" w:type="dxa"/>
            <w:vMerge w:val="restart"/>
            <w:vAlign w:val="center"/>
            <w:hideMark/>
          </w:tcPr>
          <w:p w:rsidR="003336D0" w:rsidRPr="00ED4929" w:rsidRDefault="003336D0" w:rsidP="003336D0">
            <w:pPr>
              <w:spacing w:line="240" w:lineRule="auto"/>
              <w:ind w:firstLine="0"/>
              <w:jc w:val="center"/>
              <w:rPr>
                <w:rFonts w:cs="Times New Roman"/>
                <w:b/>
                <w:sz w:val="20"/>
                <w:szCs w:val="16"/>
              </w:rPr>
            </w:pPr>
            <w:r w:rsidRPr="00ED4929">
              <w:rPr>
                <w:b/>
                <w:sz w:val="20"/>
                <w:szCs w:val="16"/>
              </w:rPr>
              <w:t>1</w:t>
            </w: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-1</w:t>
            </w:r>
          </w:p>
        </w:tc>
        <w:tc>
          <w:tcPr>
            <w:tcW w:w="1559" w:type="dxa"/>
            <w:vAlign w:val="center"/>
          </w:tcPr>
          <w:p w:rsidR="003336D0" w:rsidRPr="003336D0" w:rsidRDefault="003336D0" w:rsidP="003336D0">
            <w:pPr>
              <w:spacing w:line="240" w:lineRule="auto"/>
              <w:ind w:firstLine="0"/>
              <w:jc w:val="center"/>
              <w:rPr>
                <w:rFonts w:cs="Times New Roman"/>
                <w:color w:val="000000"/>
                <w:sz w:val="20"/>
                <w:lang w:val="en-US"/>
              </w:rPr>
            </w:pPr>
            <w:r w:rsidRPr="003336D0">
              <w:rPr>
                <w:rFonts w:cs="Times New Roman"/>
                <w:color w:val="000000"/>
                <w:sz w:val="20"/>
              </w:rPr>
              <w:t>18.5 [-5.8-42.5]</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0.59 [0.37-0.79]</w:t>
            </w:r>
          </w:p>
        </w:tc>
      </w:tr>
      <w:tr w:rsidR="003336D0" w:rsidRPr="00ED4929" w:rsidTr="003336D0">
        <w:trPr>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-2</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Pr>
                <w:rFonts w:cs="Times New Roman"/>
                <w:color w:val="000000"/>
                <w:sz w:val="20"/>
              </w:rPr>
              <w:t>27 [16.7-3</w:t>
            </w:r>
            <w:r w:rsidRPr="003336D0">
              <w:rPr>
                <w:rFonts w:cs="Times New Roman"/>
                <w:color w:val="000000"/>
                <w:sz w:val="20"/>
              </w:rPr>
              <w:t>7.9]</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0.56 [0.25-0.86]</w:t>
            </w:r>
          </w:p>
        </w:tc>
      </w:tr>
      <w:tr w:rsidR="003336D0" w:rsidRPr="00ED4929" w:rsidTr="003336D0">
        <w:trPr>
          <w:cnfStyle w:val="000000100000" w:firstRow="0" w:lastRow="0" w:firstColumn="0" w:lastColumn="0" w:oddVBand="0" w:evenVBand="0" w:oddHBand="1" w:evenHBand="0" w:firstRowFirstColumn="0" w:firstRowLastColumn="0" w:lastRowFirstColumn="0" w:lastRowLastColumn="0"/>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-3</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26.6 [9.9-43]</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0.58 [0.37-0.79]</w:t>
            </w:r>
          </w:p>
        </w:tc>
      </w:tr>
      <w:tr w:rsidR="003336D0" w:rsidRPr="00ED4929" w:rsidTr="003336D0">
        <w:trPr>
          <w:trHeight w:val="227"/>
        </w:trPr>
        <w:tc>
          <w:tcPr>
            <w:tcW w:w="1170" w:type="dxa"/>
            <w:vMerge w:val="restart"/>
            <w:vAlign w:val="center"/>
            <w:hideMark/>
          </w:tcPr>
          <w:p w:rsidR="003336D0" w:rsidRPr="00ED4929" w:rsidRDefault="003336D0" w:rsidP="003336D0">
            <w:pPr>
              <w:spacing w:line="240" w:lineRule="auto"/>
              <w:ind w:firstLine="0"/>
              <w:jc w:val="center"/>
              <w:rPr>
                <w:b/>
                <w:sz w:val="20"/>
                <w:szCs w:val="16"/>
              </w:rPr>
            </w:pPr>
            <w:r w:rsidRPr="00ED4929">
              <w:rPr>
                <w:b/>
                <w:sz w:val="20"/>
                <w:szCs w:val="16"/>
              </w:rPr>
              <w:t>3</w:t>
            </w: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-1</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9.5 [5.9-13.6]</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0.52 [0.35-0.72]</w:t>
            </w:r>
          </w:p>
        </w:tc>
      </w:tr>
      <w:tr w:rsidR="003336D0" w:rsidRPr="00ED4929" w:rsidTr="003336D0">
        <w:trPr>
          <w:cnfStyle w:val="000000100000" w:firstRow="0" w:lastRow="0" w:firstColumn="0" w:lastColumn="0" w:oddVBand="0" w:evenVBand="0" w:oddHBand="1" w:evenHBand="0" w:firstRowFirstColumn="0" w:firstRowLastColumn="0" w:lastRowFirstColumn="0" w:lastRowLastColumn="0"/>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-2</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12.7 [8.6-17.4]</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 [0.35-0.68]</w:t>
            </w:r>
          </w:p>
        </w:tc>
      </w:tr>
      <w:tr w:rsidR="003336D0" w:rsidRPr="00ED4929" w:rsidTr="003336D0">
        <w:trPr>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-3</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14.9 [7.6-22.4]</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0.53 [0.37-0.68]</w:t>
            </w:r>
          </w:p>
        </w:tc>
      </w:tr>
      <w:tr w:rsidR="003336D0" w:rsidRPr="00ED4929" w:rsidTr="003336D0">
        <w:trPr>
          <w:cnfStyle w:val="000000100000" w:firstRow="0" w:lastRow="0" w:firstColumn="0" w:lastColumn="0" w:oddVBand="0" w:evenVBand="0" w:oddHBand="1" w:evenHBand="0" w:firstRowFirstColumn="0" w:firstRowLastColumn="0" w:lastRowFirstColumn="0" w:lastRowLastColumn="0"/>
          <w:trHeight w:val="227"/>
        </w:trPr>
        <w:tc>
          <w:tcPr>
            <w:tcW w:w="1170" w:type="dxa"/>
            <w:vMerge w:val="restart"/>
            <w:vAlign w:val="center"/>
            <w:hideMark/>
          </w:tcPr>
          <w:p w:rsidR="003336D0" w:rsidRPr="00ED4929" w:rsidRDefault="003336D0" w:rsidP="003336D0">
            <w:pPr>
              <w:spacing w:line="240" w:lineRule="auto"/>
              <w:ind w:firstLine="0"/>
              <w:jc w:val="center"/>
              <w:rPr>
                <w:b/>
                <w:sz w:val="20"/>
                <w:szCs w:val="16"/>
              </w:rPr>
            </w:pPr>
            <w:r w:rsidRPr="00ED4929">
              <w:rPr>
                <w:b/>
                <w:sz w:val="20"/>
                <w:szCs w:val="16"/>
              </w:rPr>
              <w:t>5</w:t>
            </w: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-1</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8.6 [2.1-15.4]</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0.53 [-0.46-1.46]</w:t>
            </w:r>
          </w:p>
        </w:tc>
      </w:tr>
      <w:tr w:rsidR="003336D0" w:rsidRPr="00ED4929" w:rsidTr="003336D0">
        <w:trPr>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-2</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9.9 [5.3-14.3]</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0.53 [0.33-0.72]</w:t>
            </w:r>
          </w:p>
        </w:tc>
      </w:tr>
      <w:tr w:rsidR="003336D0" w:rsidRPr="00ED4929" w:rsidTr="003336D0">
        <w:trPr>
          <w:cnfStyle w:val="000000100000" w:firstRow="0" w:lastRow="0" w:firstColumn="0" w:lastColumn="0" w:oddVBand="0" w:evenVBand="0" w:oddHBand="1" w:evenHBand="0" w:firstRowFirstColumn="0" w:firstRowLastColumn="0" w:lastRowFirstColumn="0" w:lastRowLastColumn="0"/>
          <w:trHeight w:val="227"/>
        </w:trPr>
        <w:tc>
          <w:tcPr>
            <w:tcW w:w="1170" w:type="dxa"/>
            <w:vMerge/>
            <w:vAlign w:val="center"/>
            <w:hideMark/>
          </w:tcPr>
          <w:p w:rsidR="003336D0" w:rsidRPr="00ED4929" w:rsidRDefault="003336D0" w:rsidP="003336D0">
            <w:pPr>
              <w:spacing w:line="240" w:lineRule="auto"/>
              <w:ind w:firstLine="0"/>
              <w:jc w:val="center"/>
              <w:rPr>
                <w:b/>
                <w:sz w:val="20"/>
                <w:szCs w:val="16"/>
              </w:rPr>
            </w:pPr>
          </w:p>
        </w:tc>
        <w:tc>
          <w:tcPr>
            <w:tcW w:w="1939" w:type="dxa"/>
            <w:vAlign w:val="center"/>
            <w:hideMark/>
          </w:tcPr>
          <w:p w:rsidR="003336D0" w:rsidRPr="00ED4929" w:rsidRDefault="003336D0" w:rsidP="003336D0">
            <w:pPr>
              <w:spacing w:line="240" w:lineRule="auto"/>
              <w:ind w:firstLine="0"/>
              <w:jc w:val="center"/>
              <w:rPr>
                <w:b/>
                <w:sz w:val="20"/>
                <w:szCs w:val="16"/>
              </w:rPr>
            </w:pPr>
            <w:r w:rsidRPr="00ED4929">
              <w:rPr>
                <w:b/>
                <w:sz w:val="20"/>
                <w:szCs w:val="16"/>
              </w:rPr>
              <w:t>10</w:t>
            </w:r>
            <w:r w:rsidRPr="00ED4929">
              <w:rPr>
                <w:b/>
                <w:sz w:val="20"/>
                <w:szCs w:val="16"/>
                <w:vertAlign w:val="superscript"/>
              </w:rPr>
              <w:t>-3</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12.3 [8.1-16.4]</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0.51 [0.35-0.67]</w:t>
            </w:r>
          </w:p>
        </w:tc>
      </w:tr>
      <w:tr w:rsidR="003336D0" w:rsidRPr="00ED4929" w:rsidTr="003336D0">
        <w:trPr>
          <w:trHeight w:val="227"/>
        </w:trPr>
        <w:tc>
          <w:tcPr>
            <w:tcW w:w="3109" w:type="dxa"/>
            <w:gridSpan w:val="2"/>
            <w:vAlign w:val="center"/>
          </w:tcPr>
          <w:p w:rsidR="003336D0" w:rsidRPr="00ED4929" w:rsidRDefault="003336D0" w:rsidP="003336D0">
            <w:pPr>
              <w:spacing w:line="240" w:lineRule="auto"/>
              <w:jc w:val="center"/>
              <w:rPr>
                <w:b/>
                <w:sz w:val="20"/>
                <w:szCs w:val="16"/>
              </w:rPr>
            </w:pPr>
            <w:r w:rsidRPr="00ED4929">
              <w:rPr>
                <w:b/>
                <w:sz w:val="20"/>
                <w:szCs w:val="16"/>
              </w:rPr>
              <w:t>Model averaging</w:t>
            </w:r>
          </w:p>
        </w:tc>
        <w:tc>
          <w:tcPr>
            <w:tcW w:w="1559" w:type="dxa"/>
            <w:vAlign w:val="center"/>
          </w:tcPr>
          <w:p w:rsidR="003336D0" w:rsidRPr="003336D0" w:rsidRDefault="003336D0" w:rsidP="003336D0">
            <w:pPr>
              <w:spacing w:line="240" w:lineRule="auto"/>
              <w:ind w:firstLine="0"/>
              <w:jc w:val="center"/>
              <w:rPr>
                <w:rFonts w:cs="Times New Roman"/>
                <w:color w:val="000000"/>
                <w:sz w:val="20"/>
              </w:rPr>
            </w:pPr>
            <w:r w:rsidRPr="003336D0">
              <w:rPr>
                <w:rFonts w:cs="Times New Roman"/>
                <w:color w:val="000000"/>
                <w:sz w:val="20"/>
              </w:rPr>
              <w:t>12.9 [2.3-46.7]</w:t>
            </w:r>
          </w:p>
        </w:tc>
        <w:tc>
          <w:tcPr>
            <w:tcW w:w="3969" w:type="dxa"/>
            <w:vAlign w:val="center"/>
          </w:tcPr>
          <w:p w:rsidR="003336D0" w:rsidRPr="003336D0" w:rsidRDefault="003336D0" w:rsidP="003336D0">
            <w:pPr>
              <w:spacing w:line="240" w:lineRule="auto"/>
              <w:ind w:firstLine="0"/>
              <w:jc w:val="center"/>
              <w:rPr>
                <w:rFonts w:cs="Times New Roman"/>
                <w:color w:val="000000"/>
                <w:sz w:val="20"/>
              </w:rPr>
            </w:pPr>
            <w:r>
              <w:rPr>
                <w:rFonts w:cs="Times New Roman"/>
                <w:color w:val="000000"/>
                <w:sz w:val="20"/>
              </w:rPr>
              <w:t>0.54 [0.21-0.87]</w:t>
            </w:r>
          </w:p>
        </w:tc>
      </w:tr>
    </w:tbl>
    <w:p w:rsidR="000B44B6" w:rsidRDefault="000B44B6" w:rsidP="000B44B6">
      <w:pPr>
        <w:spacing w:after="0" w:line="240" w:lineRule="auto"/>
        <w:ind w:firstLine="0"/>
        <w:jc w:val="left"/>
        <w:rPr>
          <w:color w:val="000000"/>
          <w:kern w:val="24"/>
          <w:szCs w:val="16"/>
          <w:lang w:val="en-US"/>
        </w:rPr>
      </w:pPr>
    </w:p>
    <w:p w:rsidR="000B44B6" w:rsidRDefault="00474667" w:rsidP="000B44B6">
      <w:pPr>
        <w:keepNext/>
        <w:spacing w:line="240" w:lineRule="auto"/>
        <w:ind w:firstLine="0"/>
        <w:jc w:val="center"/>
      </w:pPr>
      <w:r w:rsidRPr="00474667">
        <w:rPr>
          <w:noProof/>
          <w:lang w:val="en-US"/>
        </w:rPr>
        <w:lastRenderedPageBreak/>
        <w:drawing>
          <wp:inline distT="0" distB="0" distL="0" distR="0">
            <wp:extent cx="5113196" cy="8280000"/>
            <wp:effectExtent l="0" t="0" r="0" b="6985"/>
            <wp:docPr id="8" name="Image 8" descr="C:\Users\antonio\ownCloud\Covid\Simulations\JAMA3\eps\all_5days_LV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onio\ownCloud\Covid\Simulations\JAMA3\eps\all_5days_LVL.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3196" cy="8280000"/>
                    </a:xfrm>
                    <a:prstGeom prst="rect">
                      <a:avLst/>
                    </a:prstGeom>
                    <a:noFill/>
                    <a:ln>
                      <a:noFill/>
                    </a:ln>
                  </pic:spPr>
                </pic:pic>
              </a:graphicData>
            </a:graphic>
          </wp:inline>
        </w:drawing>
      </w:r>
    </w:p>
    <w:p w:rsidR="000B44B6" w:rsidRPr="00DF654E" w:rsidRDefault="00474667" w:rsidP="000B44B6">
      <w:pPr>
        <w:pStyle w:val="Lgende"/>
        <w:ind w:firstLine="0"/>
        <w:jc w:val="center"/>
        <w:rPr>
          <w:b/>
          <w:sz w:val="28"/>
          <w:lang w:val="en-US"/>
        </w:rPr>
      </w:pPr>
      <w:r>
        <w:rPr>
          <w:lang w:val="en-US"/>
        </w:rPr>
        <w:t>Figure S</w:t>
      </w:r>
      <w:r w:rsidR="005D082A">
        <w:rPr>
          <w:lang w:val="en-US"/>
        </w:rPr>
        <w:t>5</w:t>
      </w:r>
      <w:r w:rsidR="000B44B6" w:rsidRPr="002F659E">
        <w:rPr>
          <w:lang w:val="en-US"/>
        </w:rPr>
        <w:t xml:space="preserve">: Simulations of the expected </w:t>
      </w:r>
      <w:r w:rsidR="000B44B6" w:rsidRPr="002F659E">
        <w:rPr>
          <w:rFonts w:ascii="Cambria Math" w:hAnsi="Cambria Math"/>
          <w:lang w:val="en-US"/>
        </w:rPr>
        <w:t>∆</w:t>
      </w:r>
      <w:r w:rsidR="000B44B6">
        <w:rPr>
          <w:lang w:val="en-US"/>
        </w:rPr>
        <w:t>LVL at the observed viral peak across model and drug efficacies supposing that treatment is initiation at day of infection (A), day of symptom onset (B) and 3 days after symptom onset (C)</w:t>
      </w:r>
      <w:r w:rsidR="000B44B6" w:rsidRPr="002F659E">
        <w:rPr>
          <w:lang w:val="en-US"/>
        </w:rPr>
        <w:t xml:space="preserve"> </w:t>
      </w:r>
    </w:p>
    <w:sectPr w:rsidR="000B44B6" w:rsidRPr="00DF654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78" w:rsidRDefault="00486678" w:rsidP="00E3033B">
      <w:pPr>
        <w:spacing w:after="0" w:line="240" w:lineRule="auto"/>
      </w:pPr>
      <w:r>
        <w:separator/>
      </w:r>
    </w:p>
  </w:endnote>
  <w:endnote w:type="continuationSeparator" w:id="0">
    <w:p w:rsidR="00486678" w:rsidRDefault="00486678" w:rsidP="00E3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26013"/>
      <w:docPartObj>
        <w:docPartGallery w:val="Page Numbers (Bottom of Page)"/>
        <w:docPartUnique/>
      </w:docPartObj>
    </w:sdtPr>
    <w:sdtEndPr>
      <w:rPr>
        <w:noProof/>
      </w:rPr>
    </w:sdtEndPr>
    <w:sdtContent>
      <w:p w:rsidR="00E3033B" w:rsidRDefault="00E3033B">
        <w:pPr>
          <w:pStyle w:val="Pieddepage"/>
          <w:jc w:val="right"/>
        </w:pPr>
        <w:r>
          <w:fldChar w:fldCharType="begin"/>
        </w:r>
        <w:r>
          <w:instrText xml:space="preserve"> PAGE   \* MERGEFORMAT </w:instrText>
        </w:r>
        <w:r>
          <w:fldChar w:fldCharType="separate"/>
        </w:r>
        <w:r w:rsidR="00597109">
          <w:rPr>
            <w:noProof/>
          </w:rPr>
          <w:t>4</w:t>
        </w:r>
        <w:r>
          <w:rPr>
            <w:noProof/>
          </w:rPr>
          <w:fldChar w:fldCharType="end"/>
        </w:r>
      </w:p>
    </w:sdtContent>
  </w:sdt>
  <w:p w:rsidR="00E3033B" w:rsidRDefault="00E303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78" w:rsidRDefault="00486678" w:rsidP="00E3033B">
      <w:pPr>
        <w:spacing w:after="0" w:line="240" w:lineRule="auto"/>
      </w:pPr>
      <w:r>
        <w:separator/>
      </w:r>
    </w:p>
  </w:footnote>
  <w:footnote w:type="continuationSeparator" w:id="0">
    <w:p w:rsidR="00486678" w:rsidRDefault="00486678" w:rsidP="00E30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B6"/>
    <w:rsid w:val="000226BA"/>
    <w:rsid w:val="000B426E"/>
    <w:rsid w:val="000B44B6"/>
    <w:rsid w:val="000F3236"/>
    <w:rsid w:val="00217BD0"/>
    <w:rsid w:val="00242D12"/>
    <w:rsid w:val="00253011"/>
    <w:rsid w:val="003336D0"/>
    <w:rsid w:val="00375503"/>
    <w:rsid w:val="00382073"/>
    <w:rsid w:val="003937C7"/>
    <w:rsid w:val="00457C55"/>
    <w:rsid w:val="004602D0"/>
    <w:rsid w:val="00474667"/>
    <w:rsid w:val="00486678"/>
    <w:rsid w:val="004B602B"/>
    <w:rsid w:val="00597109"/>
    <w:rsid w:val="005B1C1F"/>
    <w:rsid w:val="005B1CE1"/>
    <w:rsid w:val="005D082A"/>
    <w:rsid w:val="00707BF1"/>
    <w:rsid w:val="00762A05"/>
    <w:rsid w:val="007918E8"/>
    <w:rsid w:val="00845959"/>
    <w:rsid w:val="008A447F"/>
    <w:rsid w:val="008F51FB"/>
    <w:rsid w:val="00982A3F"/>
    <w:rsid w:val="00A361E7"/>
    <w:rsid w:val="00B27331"/>
    <w:rsid w:val="00BE171C"/>
    <w:rsid w:val="00C37192"/>
    <w:rsid w:val="00C629CA"/>
    <w:rsid w:val="00D45AB7"/>
    <w:rsid w:val="00E3033B"/>
    <w:rsid w:val="00E846E0"/>
    <w:rsid w:val="00F81B69"/>
    <w:rsid w:val="00FA6C7C"/>
    <w:rsid w:val="00FB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D844B-A67D-4670-A689-FA55DF5E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B6"/>
    <w:pPr>
      <w:spacing w:line="480" w:lineRule="auto"/>
      <w:ind w:firstLine="454"/>
      <w:jc w:val="both"/>
    </w:pPr>
    <w:rPr>
      <w:rFonts w:ascii="Times New Roman" w:hAnsi="Times New Roman"/>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44B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B44B6"/>
    <w:pPr>
      <w:spacing w:before="100" w:beforeAutospacing="1" w:after="100" w:afterAutospacing="1" w:line="240" w:lineRule="auto"/>
      <w:ind w:firstLine="0"/>
      <w:jc w:val="left"/>
    </w:pPr>
    <w:rPr>
      <w:rFonts w:eastAsia="Times New Roman" w:cs="Times New Roman"/>
      <w:szCs w:val="24"/>
      <w:lang w:eastAsia="fr-FR"/>
    </w:rPr>
  </w:style>
  <w:style w:type="paragraph" w:styleId="Lgende">
    <w:name w:val="caption"/>
    <w:basedOn w:val="Normal"/>
    <w:next w:val="Normal"/>
    <w:uiPriority w:val="35"/>
    <w:unhideWhenUsed/>
    <w:qFormat/>
    <w:rsid w:val="000B44B6"/>
    <w:pPr>
      <w:spacing w:after="200" w:line="240" w:lineRule="auto"/>
    </w:pPr>
    <w:rPr>
      <w:i/>
      <w:iCs/>
      <w:color w:val="44546A" w:themeColor="text2"/>
      <w:sz w:val="18"/>
      <w:szCs w:val="18"/>
    </w:rPr>
  </w:style>
  <w:style w:type="table" w:customStyle="1" w:styleId="TableauGrille6Couleur1">
    <w:name w:val="Tableau Grille 6 Couleur1"/>
    <w:basedOn w:val="TableauNormal"/>
    <w:uiPriority w:val="51"/>
    <w:rsid w:val="000B44B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edebulles">
    <w:name w:val="Balloon Text"/>
    <w:basedOn w:val="Normal"/>
    <w:link w:val="TextedebullesCar"/>
    <w:uiPriority w:val="99"/>
    <w:semiHidden/>
    <w:unhideWhenUsed/>
    <w:rsid w:val="00E30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033B"/>
    <w:rPr>
      <w:rFonts w:ascii="Tahoma" w:hAnsi="Tahoma" w:cs="Tahoma"/>
      <w:sz w:val="16"/>
      <w:szCs w:val="16"/>
      <w:lang w:val="fr-FR"/>
    </w:rPr>
  </w:style>
  <w:style w:type="paragraph" w:styleId="En-tte">
    <w:name w:val="header"/>
    <w:basedOn w:val="Normal"/>
    <w:link w:val="En-tteCar"/>
    <w:uiPriority w:val="99"/>
    <w:unhideWhenUsed/>
    <w:rsid w:val="00E3033B"/>
    <w:pPr>
      <w:tabs>
        <w:tab w:val="center" w:pos="4680"/>
        <w:tab w:val="right" w:pos="9360"/>
      </w:tabs>
      <w:spacing w:after="0" w:line="240" w:lineRule="auto"/>
    </w:pPr>
  </w:style>
  <w:style w:type="character" w:customStyle="1" w:styleId="En-tteCar">
    <w:name w:val="En-tête Car"/>
    <w:basedOn w:val="Policepardfaut"/>
    <w:link w:val="En-tte"/>
    <w:uiPriority w:val="99"/>
    <w:rsid w:val="00E3033B"/>
    <w:rPr>
      <w:rFonts w:ascii="Times New Roman" w:hAnsi="Times New Roman"/>
      <w:sz w:val="24"/>
      <w:lang w:val="fr-FR"/>
    </w:rPr>
  </w:style>
  <w:style w:type="paragraph" w:styleId="Pieddepage">
    <w:name w:val="footer"/>
    <w:basedOn w:val="Normal"/>
    <w:link w:val="PieddepageCar"/>
    <w:uiPriority w:val="99"/>
    <w:unhideWhenUsed/>
    <w:rsid w:val="00E3033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3033B"/>
    <w:rPr>
      <w:rFonts w:ascii="Times New Roman" w:hAnsi="Times New Roman"/>
      <w:sz w:val="24"/>
      <w:lang w:val="fr-FR"/>
    </w:rPr>
  </w:style>
  <w:style w:type="character" w:styleId="Textedelespacerserv">
    <w:name w:val="Placeholder Text"/>
    <w:basedOn w:val="Policepardfaut"/>
    <w:uiPriority w:val="99"/>
    <w:semiHidden/>
    <w:rsid w:val="00BE17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5174">
      <w:bodyDiv w:val="1"/>
      <w:marLeft w:val="0"/>
      <w:marRight w:val="0"/>
      <w:marTop w:val="0"/>
      <w:marBottom w:val="0"/>
      <w:divBdr>
        <w:top w:val="none" w:sz="0" w:space="0" w:color="auto"/>
        <w:left w:val="none" w:sz="0" w:space="0" w:color="auto"/>
        <w:bottom w:val="none" w:sz="0" w:space="0" w:color="auto"/>
        <w:right w:val="none" w:sz="0" w:space="0" w:color="auto"/>
      </w:divBdr>
    </w:div>
    <w:div w:id="16874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7884</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cp:lastPrinted>2020-03-29T15:46:00Z</cp:lastPrinted>
  <dcterms:created xsi:type="dcterms:W3CDTF">2020-03-29T20:51:00Z</dcterms:created>
  <dcterms:modified xsi:type="dcterms:W3CDTF">2020-03-29T20:51:00Z</dcterms:modified>
</cp:coreProperties>
</file>