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21" w:rsidRPr="009F3B60" w:rsidRDefault="004B2121" w:rsidP="004B2121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7E044D">
        <w:rPr>
          <w:rFonts w:ascii="Arial" w:eastAsia="等线" w:hAnsi="Arial" w:cs="Arial"/>
          <w:b/>
          <w:sz w:val="24"/>
          <w:szCs w:val="24"/>
        </w:rPr>
        <w:t>eTable</w:t>
      </w:r>
      <w:proofErr w:type="spellEnd"/>
      <w:proofErr w:type="gramEnd"/>
      <w:r w:rsidRPr="007E044D">
        <w:rPr>
          <w:rFonts w:ascii="Arial" w:eastAsia="等线" w:hAnsi="Arial" w:cs="Arial"/>
          <w:b/>
          <w:sz w:val="24"/>
          <w:szCs w:val="24"/>
        </w:rPr>
        <w:t xml:space="preserve"> 2. Menstruation and</w:t>
      </w:r>
      <w:r w:rsidRPr="009F3B60">
        <w:rPr>
          <w:rFonts w:ascii="Arial" w:eastAsia="等线" w:hAnsi="Arial" w:cs="Arial"/>
          <w:b/>
          <w:sz w:val="24"/>
          <w:szCs w:val="24"/>
        </w:rPr>
        <w:t xml:space="preserve"> Disease Severity and Composite Endpoint of COVID-19</w:t>
      </w:r>
    </w:p>
    <w:tbl>
      <w:tblPr>
        <w:tblpPr w:leftFromText="180" w:rightFromText="180" w:vertAnchor="text" w:tblpX="-5" w:tblpY="1"/>
        <w:tblOverlap w:val="never"/>
        <w:tblW w:w="12619" w:type="dxa"/>
        <w:tblLayout w:type="fixed"/>
        <w:tblLook w:val="04A0" w:firstRow="1" w:lastRow="0" w:firstColumn="1" w:lastColumn="0" w:noHBand="0" w:noVBand="1"/>
      </w:tblPr>
      <w:tblGrid>
        <w:gridCol w:w="2264"/>
        <w:gridCol w:w="2411"/>
        <w:gridCol w:w="2129"/>
        <w:gridCol w:w="988"/>
        <w:gridCol w:w="854"/>
        <w:gridCol w:w="1986"/>
        <w:gridCol w:w="1129"/>
        <w:gridCol w:w="572"/>
        <w:gridCol w:w="286"/>
      </w:tblGrid>
      <w:tr w:rsidR="004B2121" w:rsidRPr="009F3B60" w:rsidTr="00167424">
        <w:tc>
          <w:tcPr>
            <w:tcW w:w="1261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 xml:space="preserve">Menstruation with disease severity and composite </w:t>
            </w:r>
            <w:proofErr w:type="spellStart"/>
            <w:r w:rsidRPr="009F3B60">
              <w:rPr>
                <w:rFonts w:ascii="Arial" w:hAnsi="Arial" w:cs="Arial"/>
                <w:b/>
                <w:sz w:val="20"/>
              </w:rPr>
              <w:t>endpoint</w:t>
            </w:r>
            <w:r w:rsidRPr="009F3B60">
              <w:rPr>
                <w:rFonts w:ascii="Arial" w:hAnsi="Arial" w:cs="Arial"/>
                <w:b/>
                <w:bCs/>
                <w:sz w:val="20"/>
                <w:vertAlign w:val="superscript"/>
              </w:rPr>
              <w:t>a</w:t>
            </w:r>
            <w:proofErr w:type="spellEnd"/>
          </w:p>
        </w:tc>
      </w:tr>
      <w:tr w:rsidR="004B2121" w:rsidRPr="009F3B60" w:rsidTr="00167424">
        <w:tc>
          <w:tcPr>
            <w:tcW w:w="2264" w:type="dxa"/>
            <w:vMerge w:val="restart"/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Disease severity No. (%)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F3B60">
              <w:rPr>
                <w:rFonts w:ascii="Arial" w:hAnsi="Arial" w:cs="Arial"/>
                <w:b/>
                <w:i/>
                <w:iCs/>
                <w:sz w:val="20"/>
              </w:rPr>
              <w:t>p value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Composite endpoint No. (%)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F3B60">
              <w:rPr>
                <w:rFonts w:ascii="Arial" w:hAnsi="Arial" w:cs="Arial"/>
                <w:b/>
                <w:i/>
                <w:iCs/>
                <w:sz w:val="20"/>
              </w:rPr>
              <w:t>p value</w:t>
            </w:r>
          </w:p>
        </w:tc>
      </w:tr>
      <w:tr w:rsidR="004B2121" w:rsidRPr="009F3B60" w:rsidTr="00167424">
        <w:trPr>
          <w:trHeight w:val="355"/>
        </w:trPr>
        <w:tc>
          <w:tcPr>
            <w:tcW w:w="2264" w:type="dxa"/>
            <w:vMerge/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No. (%)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Non-severe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 xml:space="preserve">Severe </w:t>
            </w: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858" w:type="dxa"/>
            <w:gridSpan w:val="2"/>
            <w:vMerge/>
            <w:shd w:val="clear" w:color="auto" w:fill="auto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</w:tr>
      <w:tr w:rsidR="004B2121" w:rsidRPr="007E044D" w:rsidTr="00167424">
        <w:trPr>
          <w:trHeight w:val="354"/>
        </w:trPr>
        <w:tc>
          <w:tcPr>
            <w:tcW w:w="2264" w:type="dxa"/>
            <w:vMerge/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N=435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N=335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N=100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N=421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N=14</w:t>
            </w: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Menstruation </w:t>
            </w:r>
            <w:r w:rsidRPr="007E044D">
              <w:rPr>
                <w:rFonts w:ascii="Arial" w:hAnsi="Arial" w:cs="Arial"/>
                <w:sz w:val="20"/>
              </w:rPr>
              <w:t>regularity in last 6 months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 xml:space="preserve">    Regular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285" w:firstLine="570"/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148 (34.0)</w:t>
            </w:r>
          </w:p>
        </w:tc>
        <w:tc>
          <w:tcPr>
            <w:tcW w:w="2129" w:type="dxa"/>
            <w:tcBorders>
              <w:left w:val="nil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121 (36.1)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27 (27.0)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219" w:firstLine="438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147(34.9)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16" w:firstLine="32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1(7.1)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 xml:space="preserve">    Irregular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285" w:firstLine="570"/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36 (8.3)</w:t>
            </w:r>
          </w:p>
        </w:tc>
        <w:tc>
          <w:tcPr>
            <w:tcW w:w="2129" w:type="dxa"/>
            <w:tcBorders>
              <w:left w:val="nil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33 (9.9)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3 (3.0)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219" w:firstLine="438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35(8.3)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16" w:firstLine="32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1(7.1)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 xml:space="preserve">    Menopause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285" w:firstLine="570"/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251 (57.7)</w:t>
            </w:r>
          </w:p>
        </w:tc>
        <w:tc>
          <w:tcPr>
            <w:tcW w:w="2129" w:type="dxa"/>
            <w:tcBorders>
              <w:left w:val="nil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181 (54.0)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70 (70.0)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7E044D">
              <w:rPr>
                <w:rFonts w:ascii="Arial" w:hAnsi="Arial" w:cs="Arial"/>
                <w:i/>
                <w:iCs/>
                <w:sz w:val="20"/>
              </w:rPr>
              <w:t>0.008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219" w:firstLine="438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239(56.8)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firstLineChars="16" w:firstLine="32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>12(85.7)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7E044D">
              <w:rPr>
                <w:rFonts w:ascii="Arial" w:hAnsi="Arial" w:cs="Arial"/>
                <w:i/>
                <w:iCs/>
                <w:sz w:val="20"/>
              </w:rPr>
              <w:t>0.065</w:t>
            </w:r>
          </w:p>
        </w:tc>
      </w:tr>
      <w:tr w:rsidR="004B2121" w:rsidRPr="007E044D" w:rsidTr="00167424">
        <w:tc>
          <w:tcPr>
            <w:tcW w:w="1261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 xml:space="preserve">Logistic regression of </w:t>
            </w:r>
            <w:proofErr w:type="spellStart"/>
            <w:r w:rsidRPr="009F3B60">
              <w:rPr>
                <w:rFonts w:ascii="Arial" w:hAnsi="Arial" w:cs="Arial"/>
                <w:b/>
                <w:sz w:val="20"/>
              </w:rPr>
              <w:t>Menstruation</w:t>
            </w:r>
            <w:r w:rsidRPr="009F3B60">
              <w:rPr>
                <w:rFonts w:ascii="Arial" w:hAnsi="Arial" w:cs="Arial"/>
                <w:b/>
                <w:bCs/>
                <w:sz w:val="20"/>
                <w:vertAlign w:val="superscript"/>
              </w:rPr>
              <w:t>b</w:t>
            </w:r>
            <w:proofErr w:type="spellEnd"/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No. (%)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hAnsi="Arial" w:cs="Arial"/>
                <w:b/>
                <w:sz w:val="20"/>
              </w:rPr>
              <w:t>AHR (95%CI)</w:t>
            </w:r>
            <w:r w:rsidRPr="009F3B60">
              <w:rPr>
                <w:rFonts w:ascii="Arial" w:hAnsi="Arial" w:cs="Arial"/>
                <w:b/>
                <w:bCs/>
                <w:sz w:val="20"/>
                <w:vertAlign w:val="superscript"/>
              </w:rPr>
              <w:t>c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F3B60">
              <w:rPr>
                <w:rFonts w:ascii="Arial" w:hAnsi="Arial" w:cs="Arial"/>
                <w:b/>
                <w:i/>
                <w:iCs/>
                <w:sz w:val="20"/>
              </w:rPr>
              <w:t>p value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Menstruation </w:t>
            </w:r>
            <w:r w:rsidRPr="007E044D">
              <w:rPr>
                <w:rFonts w:ascii="Arial" w:hAnsi="Arial" w:cs="Arial"/>
                <w:sz w:val="20"/>
              </w:rPr>
              <w:t>regularity in last 6 months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ind w:firstLineChars="337" w:firstLine="674"/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hAnsi="Arial" w:cs="Arial"/>
                <w:sz w:val="20"/>
              </w:rPr>
              <w:t xml:space="preserve">N=435 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:rsidR="004B2121" w:rsidRPr="007E044D" w:rsidRDefault="004B2121" w:rsidP="00167424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    Regular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rightChars="-50" w:right="-105" w:firstLineChars="273" w:firstLine="546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等线" w:hAnsi="Arial" w:cs="Arial"/>
                <w:sz w:val="20"/>
              </w:rPr>
              <w:t>148 (34.0)</w:t>
            </w:r>
          </w:p>
        </w:tc>
        <w:tc>
          <w:tcPr>
            <w:tcW w:w="2129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reference</w:t>
            </w:r>
          </w:p>
        </w:tc>
        <w:tc>
          <w:tcPr>
            <w:tcW w:w="988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    Irregular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rightChars="-50" w:right="-105" w:firstLineChars="273" w:firstLine="546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等线" w:hAnsi="Arial" w:cs="Arial"/>
                <w:sz w:val="20"/>
              </w:rPr>
              <w:t>36 (8.3)</w:t>
            </w:r>
          </w:p>
        </w:tc>
        <w:tc>
          <w:tcPr>
            <w:tcW w:w="2129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0.810(0.417-1.572)</w:t>
            </w:r>
          </w:p>
        </w:tc>
        <w:tc>
          <w:tcPr>
            <w:tcW w:w="988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0.533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    Menopause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B2121" w:rsidRPr="007E044D" w:rsidRDefault="004B2121" w:rsidP="00167424">
            <w:pPr>
              <w:ind w:rightChars="-50" w:right="-105" w:firstLineChars="273" w:firstLine="546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等线" w:hAnsi="Arial" w:cs="Arial"/>
                <w:sz w:val="20"/>
              </w:rPr>
              <w:t>251 (57.7)</w:t>
            </w:r>
          </w:p>
        </w:tc>
        <w:tc>
          <w:tcPr>
            <w:tcW w:w="2129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0.319(0.089-1.141)</w:t>
            </w:r>
          </w:p>
        </w:tc>
        <w:tc>
          <w:tcPr>
            <w:tcW w:w="988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0.079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Menstruation in last 6 months</w:t>
            </w:r>
          </w:p>
        </w:tc>
        <w:tc>
          <w:tcPr>
            <w:tcW w:w="2411" w:type="dxa"/>
            <w:shd w:val="clear" w:color="auto" w:fill="auto"/>
          </w:tcPr>
          <w:p w:rsidR="004B2121" w:rsidRPr="007E044D" w:rsidRDefault="004B2121" w:rsidP="00167424">
            <w:pPr>
              <w:ind w:rightChars="-50" w:right="-105" w:firstLineChars="273" w:firstLine="546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2129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988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    Menopause</w:t>
            </w:r>
          </w:p>
        </w:tc>
        <w:tc>
          <w:tcPr>
            <w:tcW w:w="2411" w:type="dxa"/>
            <w:shd w:val="clear" w:color="auto" w:fill="auto"/>
          </w:tcPr>
          <w:p w:rsidR="004B2121" w:rsidRPr="007E044D" w:rsidRDefault="004B2121" w:rsidP="00167424">
            <w:pPr>
              <w:ind w:rightChars="-50" w:right="-105" w:firstLineChars="273" w:firstLine="546"/>
              <w:jc w:val="left"/>
              <w:rPr>
                <w:rFonts w:ascii="Arial" w:eastAsia="等线" w:hAnsi="Arial" w:cs="Arial"/>
                <w:color w:val="000000"/>
                <w:sz w:val="20"/>
              </w:rPr>
            </w:pPr>
            <w:r w:rsidRPr="007E044D">
              <w:rPr>
                <w:rFonts w:ascii="Arial" w:eastAsia="等线" w:hAnsi="Arial" w:cs="Arial"/>
                <w:color w:val="000000"/>
                <w:sz w:val="20"/>
              </w:rPr>
              <w:t>251 (57.7)</w:t>
            </w:r>
          </w:p>
        </w:tc>
        <w:tc>
          <w:tcPr>
            <w:tcW w:w="2129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reference</w:t>
            </w:r>
          </w:p>
        </w:tc>
        <w:tc>
          <w:tcPr>
            <w:tcW w:w="988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    Non-menopause</w:t>
            </w:r>
          </w:p>
        </w:tc>
        <w:tc>
          <w:tcPr>
            <w:tcW w:w="2411" w:type="dxa"/>
            <w:shd w:val="clear" w:color="auto" w:fill="auto"/>
          </w:tcPr>
          <w:p w:rsidR="004B2121" w:rsidRPr="007E044D" w:rsidRDefault="004B2121" w:rsidP="00167424">
            <w:pPr>
              <w:ind w:rightChars="-50" w:right="-105" w:firstLineChars="273" w:firstLine="546"/>
              <w:jc w:val="left"/>
              <w:rPr>
                <w:rFonts w:ascii="Arial" w:eastAsia="等线" w:hAnsi="Arial" w:cs="Arial"/>
                <w:color w:val="000000"/>
                <w:sz w:val="20"/>
              </w:rPr>
            </w:pPr>
            <w:r w:rsidRPr="007E044D">
              <w:rPr>
                <w:rFonts w:ascii="Arial" w:eastAsia="等线" w:hAnsi="Arial" w:cs="Arial"/>
                <w:color w:val="000000"/>
                <w:sz w:val="20"/>
              </w:rPr>
              <w:t>184 (42.3)</w:t>
            </w:r>
          </w:p>
        </w:tc>
        <w:tc>
          <w:tcPr>
            <w:tcW w:w="2129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0.692(0.365-1.312)</w:t>
            </w:r>
          </w:p>
        </w:tc>
        <w:tc>
          <w:tcPr>
            <w:tcW w:w="988" w:type="dxa"/>
            <w:shd w:val="clear" w:color="auto" w:fill="auto"/>
          </w:tcPr>
          <w:p w:rsidR="004B2121" w:rsidRPr="007E044D" w:rsidRDefault="004B2121" w:rsidP="00167424">
            <w:pPr>
              <w:ind w:rightChars="-50" w:right="-105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0.260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2121" w:rsidRPr="007E044D" w:rsidRDefault="004B2121" w:rsidP="001674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1261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F3B60">
              <w:rPr>
                <w:rFonts w:ascii="Arial" w:eastAsia="Times New Roman" w:hAnsi="Arial" w:cs="Arial"/>
                <w:b/>
                <w:color w:val="000000"/>
                <w:sz w:val="20"/>
                <w:lang w:eastAsia="en-NZ"/>
              </w:rPr>
              <w:t xml:space="preserve">Cox regression of </w:t>
            </w:r>
            <w:proofErr w:type="spellStart"/>
            <w:r w:rsidRPr="009F3B60">
              <w:rPr>
                <w:rFonts w:ascii="Arial" w:eastAsia="Times New Roman" w:hAnsi="Arial" w:cs="Arial"/>
                <w:b/>
                <w:color w:val="000000"/>
                <w:sz w:val="20"/>
                <w:lang w:eastAsia="en-NZ"/>
              </w:rPr>
              <w:t>Menstruation</w:t>
            </w:r>
            <w:r w:rsidRPr="009F3B60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  <w:lang w:eastAsia="en-NZ"/>
              </w:rPr>
              <w:t>d</w:t>
            </w:r>
            <w:proofErr w:type="spellEnd"/>
          </w:p>
        </w:tc>
      </w:tr>
      <w:tr w:rsidR="004B2121" w:rsidRPr="007E044D" w:rsidTr="00167424">
        <w:tc>
          <w:tcPr>
            <w:tcW w:w="226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F3B60">
              <w:rPr>
                <w:rFonts w:ascii="Arial" w:eastAsia="Times New Roman" w:hAnsi="Arial" w:cs="Arial"/>
                <w:b/>
                <w:color w:val="000000"/>
                <w:sz w:val="20"/>
                <w:lang w:eastAsia="en-NZ"/>
              </w:rPr>
              <w:t>Univariate cox regression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F3B60">
              <w:rPr>
                <w:rFonts w:ascii="Arial" w:eastAsia="Times New Roman" w:hAnsi="Arial" w:cs="Arial"/>
                <w:b/>
                <w:color w:val="000000"/>
                <w:sz w:val="20"/>
                <w:lang w:eastAsia="en-NZ"/>
              </w:rPr>
              <w:t>Multivariate Cox regression analysis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121" w:rsidRPr="009F3B60" w:rsidRDefault="004B2121" w:rsidP="0016742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NZ"/>
              </w:rPr>
            </w:pPr>
            <w:r w:rsidRPr="009F3B60">
              <w:rPr>
                <w:rFonts w:ascii="Arial" w:eastAsia="Times New Roman" w:hAnsi="Arial" w:cs="Arial"/>
                <w:b/>
                <w:color w:val="000000"/>
                <w:sz w:val="20"/>
                <w:lang w:eastAsia="en-NZ"/>
              </w:rPr>
              <w:t>Variable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eastAsia="Times New Roman" w:hAnsi="Arial" w:cs="Arial"/>
                <w:b/>
                <w:color w:val="000000"/>
                <w:sz w:val="20"/>
                <w:lang w:eastAsia="en-NZ"/>
              </w:rPr>
              <w:t>HR (95% CI)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F3B60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lang w:eastAsia="en-NZ"/>
              </w:rPr>
              <w:t>P value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4B2121" w:rsidRPr="009F3B60" w:rsidRDefault="004B2121" w:rsidP="0016742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121" w:rsidRPr="009F3B60" w:rsidRDefault="004B2121" w:rsidP="00167424">
            <w:pPr>
              <w:rPr>
                <w:rFonts w:ascii="Arial" w:hAnsi="Arial" w:cs="Arial"/>
                <w:b/>
                <w:sz w:val="20"/>
              </w:rPr>
            </w:pPr>
            <w:r w:rsidRPr="009F3B60">
              <w:rPr>
                <w:rFonts w:ascii="Arial" w:eastAsia="Times New Roman" w:hAnsi="Arial" w:cs="Arial"/>
                <w:b/>
                <w:color w:val="000000"/>
                <w:sz w:val="20"/>
                <w:lang w:eastAsia="en-NZ"/>
              </w:rPr>
              <w:t>HR (95% CI)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2121" w:rsidRPr="009F3B60" w:rsidRDefault="004B2121" w:rsidP="00167424">
            <w:pPr>
              <w:jc w:val="left"/>
              <w:rPr>
                <w:rFonts w:ascii="Arial" w:hAnsi="Arial" w:cs="Arial"/>
                <w:b/>
                <w:i/>
                <w:iCs/>
                <w:sz w:val="20"/>
              </w:rPr>
            </w:pPr>
            <w:r w:rsidRPr="009F3B60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lang w:eastAsia="en-NZ"/>
              </w:rPr>
              <w:t>P value</w:t>
            </w: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Comorbidities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1.3 (0.74-2.1)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0.37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1.27 (0.76 - 2.15)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0.36</w:t>
            </w: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Menstruation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0.6</w:t>
            </w:r>
            <w:r w:rsidRPr="007E044D">
              <w:rPr>
                <w:rFonts w:ascii="Arial" w:eastAsia="等线" w:hAnsi="Arial" w:cs="Arial"/>
                <w:color w:val="000000"/>
                <w:sz w:val="20"/>
              </w:rPr>
              <w:t>7</w:t>
            </w: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 (0.4</w:t>
            </w:r>
            <w:r w:rsidRPr="007E044D">
              <w:rPr>
                <w:rFonts w:ascii="Arial" w:eastAsia="等线" w:hAnsi="Arial" w:cs="Arial"/>
                <w:color w:val="000000"/>
                <w:sz w:val="20"/>
              </w:rPr>
              <w:t>1</w:t>
            </w: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-1.1)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0.1</w:t>
            </w:r>
            <w:r w:rsidRPr="007E044D">
              <w:rPr>
                <w:rFonts w:ascii="Arial" w:eastAsia="等线" w:hAnsi="Arial" w:cs="Arial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1.91 (1.06 - 3.46)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0.03</w:t>
            </w: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Disease severity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0.38 (0.2-0.72)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&lt;0.002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0.41 (0.22 -0.79)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0.007</w:t>
            </w:r>
          </w:p>
        </w:tc>
        <w:tc>
          <w:tcPr>
            <w:tcW w:w="858" w:type="dxa"/>
            <w:gridSpan w:val="2"/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2121" w:rsidRPr="007E044D" w:rsidTr="00167424"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Age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</w:t>
            </w:r>
            <w:r w:rsidRPr="007E044D">
              <w:rPr>
                <w:rFonts w:ascii="Arial" w:eastAsia="等线" w:hAnsi="Arial" w:cs="Arial"/>
                <w:color w:val="000000"/>
                <w:sz w:val="20"/>
              </w:rPr>
              <w:t>36</w:t>
            </w: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 xml:space="preserve"> (0.</w:t>
            </w:r>
            <w:r w:rsidRPr="007E044D">
              <w:rPr>
                <w:rFonts w:ascii="Arial" w:eastAsia="等线" w:hAnsi="Arial" w:cs="Arial"/>
                <w:color w:val="000000"/>
                <w:sz w:val="20"/>
              </w:rPr>
              <w:t>23</w:t>
            </w: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-0.</w:t>
            </w:r>
            <w:r w:rsidRPr="007E044D">
              <w:rPr>
                <w:rFonts w:ascii="Arial" w:eastAsia="等线" w:hAnsi="Arial" w:cs="Arial"/>
                <w:color w:val="000000"/>
                <w:sz w:val="20"/>
              </w:rPr>
              <w:t>57</w:t>
            </w: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&lt;0.0</w:t>
            </w:r>
            <w:r w:rsidRPr="007E044D">
              <w:rPr>
                <w:rFonts w:ascii="Arial" w:eastAsia="等线" w:hAnsi="Arial" w:cs="Arial"/>
                <w:i/>
                <w:iCs/>
                <w:color w:val="000000"/>
                <w:sz w:val="20"/>
              </w:rPr>
              <w:t>0</w:t>
            </w: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sz w:val="20"/>
              </w:rPr>
            </w:pPr>
            <w:r w:rsidRPr="007E044D">
              <w:rPr>
                <w:rFonts w:ascii="Arial" w:eastAsia="Times New Roman" w:hAnsi="Arial" w:cs="Arial"/>
                <w:color w:val="000000"/>
                <w:sz w:val="20"/>
                <w:lang w:eastAsia="en-NZ"/>
              </w:rPr>
              <w:t>0.26 (0.15 - 0.45)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7E044D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NZ"/>
              </w:rPr>
              <w:t>&lt;0.001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2121" w:rsidRPr="007E044D" w:rsidRDefault="004B2121" w:rsidP="00167424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4B2121" w:rsidRPr="007E044D" w:rsidRDefault="004B2121" w:rsidP="004B2121">
      <w:pPr>
        <w:widowControl/>
        <w:jc w:val="left"/>
        <w:rPr>
          <w:rFonts w:ascii="Arial" w:eastAsia="等线" w:hAnsi="Arial" w:cs="Arial"/>
          <w:szCs w:val="22"/>
        </w:rPr>
      </w:pPr>
    </w:p>
    <w:p w:rsidR="004B2121" w:rsidRPr="007E044D" w:rsidRDefault="004B2121" w:rsidP="004B2121">
      <w:pPr>
        <w:widowControl/>
        <w:jc w:val="left"/>
        <w:rPr>
          <w:rFonts w:ascii="Arial" w:eastAsia="等线" w:hAnsi="Arial" w:cs="Arial"/>
          <w:szCs w:val="22"/>
        </w:rPr>
      </w:pPr>
    </w:p>
    <w:p w:rsidR="004B2121" w:rsidRPr="007E044D" w:rsidRDefault="004B2121" w:rsidP="004B2121">
      <w:pPr>
        <w:widowControl/>
        <w:jc w:val="left"/>
        <w:rPr>
          <w:rFonts w:ascii="Arial" w:eastAsia="等线" w:hAnsi="Arial" w:cs="Arial"/>
          <w:szCs w:val="22"/>
        </w:rPr>
      </w:pPr>
    </w:p>
    <w:p w:rsidR="004B2121" w:rsidRPr="007E044D" w:rsidRDefault="004B2121" w:rsidP="004B2121">
      <w:pPr>
        <w:widowControl/>
        <w:jc w:val="left"/>
        <w:rPr>
          <w:rFonts w:ascii="Arial" w:eastAsia="等线" w:hAnsi="Arial" w:cs="Arial"/>
          <w:szCs w:val="22"/>
        </w:rPr>
      </w:pPr>
    </w:p>
    <w:p w:rsidR="004B2121" w:rsidRPr="007E044D" w:rsidRDefault="004B2121" w:rsidP="004B2121">
      <w:pPr>
        <w:widowControl/>
        <w:jc w:val="left"/>
        <w:rPr>
          <w:rFonts w:ascii="Arial" w:eastAsia="等线" w:hAnsi="Arial" w:cs="Arial"/>
          <w:szCs w:val="22"/>
        </w:rPr>
      </w:pPr>
    </w:p>
    <w:p w:rsidR="004B2121" w:rsidRPr="009F3B60" w:rsidRDefault="004B2121" w:rsidP="004B2121">
      <w:pPr>
        <w:widowControl/>
        <w:jc w:val="left"/>
        <w:rPr>
          <w:rFonts w:ascii="Arial" w:hAnsi="Arial" w:cs="Arial"/>
          <w:sz w:val="16"/>
          <w:szCs w:val="16"/>
        </w:rPr>
      </w:pPr>
      <w:r w:rsidRPr="009F3B60">
        <w:rPr>
          <w:rFonts w:ascii="Arial" w:hAnsi="Arial" w:cs="Arial"/>
          <w:sz w:val="16"/>
          <w:szCs w:val="16"/>
        </w:rPr>
        <w:t xml:space="preserve">Abbreviations: </w:t>
      </w:r>
      <w:r w:rsidRPr="009F3B60">
        <w:rPr>
          <w:rFonts w:ascii="Arial" w:hAnsi="Arial" w:cs="Arial"/>
          <w:iCs/>
          <w:sz w:val="16"/>
          <w:szCs w:val="16"/>
        </w:rPr>
        <w:t>AHR</w:t>
      </w:r>
      <w:r w:rsidRPr="009F3B60">
        <w:rPr>
          <w:rFonts w:ascii="Arial" w:hAnsi="Arial" w:cs="Arial"/>
          <w:sz w:val="16"/>
          <w:szCs w:val="16"/>
        </w:rPr>
        <w:t xml:space="preserve">, adjusted hazard ratio; </w:t>
      </w:r>
      <w:r w:rsidRPr="009F3B60">
        <w:rPr>
          <w:rFonts w:ascii="Arial" w:hAnsi="Arial" w:cs="Arial"/>
          <w:iCs/>
          <w:sz w:val="16"/>
          <w:szCs w:val="16"/>
        </w:rPr>
        <w:t>CI</w:t>
      </w:r>
      <w:r w:rsidRPr="009F3B60">
        <w:rPr>
          <w:rFonts w:ascii="Arial" w:hAnsi="Arial" w:cs="Arial"/>
          <w:sz w:val="16"/>
          <w:szCs w:val="16"/>
        </w:rPr>
        <w:t>, confidence interval.</w:t>
      </w:r>
    </w:p>
    <w:p w:rsidR="004B2121" w:rsidRPr="009F3B60" w:rsidRDefault="004B2121" w:rsidP="004B2121">
      <w:pPr>
        <w:widowControl/>
        <w:jc w:val="left"/>
        <w:rPr>
          <w:rFonts w:ascii="Arial" w:eastAsia="等线" w:hAnsi="Arial" w:cs="Arial"/>
          <w:sz w:val="16"/>
          <w:szCs w:val="16"/>
        </w:rPr>
      </w:pPr>
    </w:p>
    <w:p w:rsidR="004B2121" w:rsidRPr="009F3B60" w:rsidRDefault="004B2121" w:rsidP="004B2121">
      <w:pPr>
        <w:widowControl/>
        <w:jc w:val="left"/>
        <w:rPr>
          <w:rFonts w:ascii="Arial" w:hAnsi="Arial" w:cs="Arial"/>
          <w:color w:val="000000"/>
          <w:sz w:val="16"/>
          <w:szCs w:val="16"/>
        </w:rPr>
      </w:pPr>
      <w:proofErr w:type="spellStart"/>
      <w:proofErr w:type="gramStart"/>
      <w:r w:rsidRPr="009F3B60">
        <w:rPr>
          <w:rFonts w:ascii="Arial" w:hAnsi="Arial" w:cs="Arial"/>
          <w:b/>
          <w:bCs/>
          <w:sz w:val="16"/>
          <w:szCs w:val="16"/>
          <w:vertAlign w:val="superscript"/>
        </w:rPr>
        <w:t>a</w:t>
      </w:r>
      <w:r w:rsidRPr="009F3B60">
        <w:rPr>
          <w:rFonts w:ascii="Arial" w:hAnsi="Arial" w:cs="Arial"/>
          <w:color w:val="000000"/>
          <w:sz w:val="16"/>
          <w:szCs w:val="16"/>
        </w:rPr>
        <w:t>Mann</w:t>
      </w:r>
      <w:proofErr w:type="spellEnd"/>
      <w:r w:rsidRPr="009F3B60">
        <w:rPr>
          <w:rFonts w:ascii="Arial" w:hAnsi="Arial" w:cs="Arial"/>
          <w:color w:val="000000"/>
          <w:sz w:val="16"/>
          <w:szCs w:val="16"/>
        </w:rPr>
        <w:t>-Whitney</w:t>
      </w:r>
      <w:proofErr w:type="gramEnd"/>
      <w:r w:rsidRPr="009F3B60">
        <w:rPr>
          <w:rFonts w:ascii="Arial" w:hAnsi="Arial" w:cs="Arial"/>
          <w:color w:val="000000"/>
          <w:sz w:val="16"/>
          <w:szCs w:val="16"/>
        </w:rPr>
        <w:t xml:space="preserve"> U test were applied to continuous variables, chi-square tests and Fisher’s exact tests were used </w:t>
      </w:r>
      <w:proofErr w:type="spellStart"/>
      <w:r w:rsidRPr="009F3B60">
        <w:rPr>
          <w:rFonts w:ascii="Arial" w:hAnsi="Arial" w:cs="Arial"/>
          <w:color w:val="000000"/>
          <w:sz w:val="16"/>
          <w:szCs w:val="16"/>
        </w:rPr>
        <w:t>forcategorical</w:t>
      </w:r>
      <w:proofErr w:type="spellEnd"/>
      <w:r w:rsidRPr="009F3B60">
        <w:rPr>
          <w:rFonts w:ascii="Arial" w:hAnsi="Arial" w:cs="Arial"/>
          <w:color w:val="000000"/>
          <w:sz w:val="16"/>
          <w:szCs w:val="16"/>
        </w:rPr>
        <w:t xml:space="preserve"> variables as appropriate.</w:t>
      </w:r>
    </w:p>
    <w:p w:rsidR="004B2121" w:rsidRPr="009F3B60" w:rsidRDefault="004B2121" w:rsidP="004B2121">
      <w:pPr>
        <w:widowControl/>
        <w:jc w:val="left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9F3B60">
        <w:rPr>
          <w:rFonts w:ascii="Arial" w:eastAsia="等线" w:hAnsi="Arial" w:cs="Arial"/>
          <w:b/>
          <w:bCs/>
          <w:sz w:val="16"/>
          <w:szCs w:val="16"/>
          <w:vertAlign w:val="superscript"/>
        </w:rPr>
        <w:t>b</w:t>
      </w:r>
      <w:r w:rsidRPr="009F3B60">
        <w:rPr>
          <w:rFonts w:ascii="Arial" w:eastAsia="等线" w:hAnsi="Arial" w:cs="Arial"/>
          <w:color w:val="000000"/>
          <w:sz w:val="16"/>
          <w:szCs w:val="16"/>
        </w:rPr>
        <w:t>Multiple</w:t>
      </w:r>
      <w:proofErr w:type="spellEnd"/>
      <w:proofErr w:type="gramEnd"/>
      <w:r w:rsidRPr="009F3B60">
        <w:rPr>
          <w:rFonts w:ascii="Arial" w:eastAsia="等线" w:hAnsi="Arial" w:cs="Arial"/>
          <w:color w:val="000000"/>
          <w:sz w:val="16"/>
          <w:szCs w:val="16"/>
        </w:rPr>
        <w:t xml:space="preserve"> Logistic Regression Model was used to assess the relationship </w:t>
      </w:r>
      <w:r w:rsidRPr="009F3B60">
        <w:rPr>
          <w:rFonts w:ascii="Arial" w:hAnsi="Arial" w:cs="Arial"/>
          <w:sz w:val="16"/>
          <w:szCs w:val="16"/>
        </w:rPr>
        <w:t>between menstruation regularity and disease severity</w:t>
      </w:r>
    </w:p>
    <w:p w:rsidR="004B2121" w:rsidRPr="009F3B60" w:rsidRDefault="004B2121" w:rsidP="004B2121">
      <w:pPr>
        <w:widowControl/>
        <w:jc w:val="left"/>
        <w:rPr>
          <w:rFonts w:ascii="Arial" w:eastAsia="等线" w:hAnsi="Arial" w:cs="Arial"/>
          <w:sz w:val="16"/>
          <w:szCs w:val="16"/>
        </w:rPr>
      </w:pPr>
      <w:proofErr w:type="spellStart"/>
      <w:proofErr w:type="gramStart"/>
      <w:r w:rsidRPr="009F3B60">
        <w:rPr>
          <w:rFonts w:ascii="Arial" w:eastAsia="等线" w:hAnsi="Arial" w:cs="Arial"/>
          <w:b/>
          <w:bCs/>
          <w:sz w:val="16"/>
          <w:szCs w:val="16"/>
          <w:vertAlign w:val="superscript"/>
        </w:rPr>
        <w:t>c</w:t>
      </w:r>
      <w:r w:rsidRPr="009F3B60">
        <w:rPr>
          <w:rFonts w:ascii="Arial" w:eastAsia="等线" w:hAnsi="Arial" w:cs="Arial"/>
          <w:sz w:val="16"/>
          <w:szCs w:val="16"/>
        </w:rPr>
        <w:t>Adjusted</w:t>
      </w:r>
      <w:proofErr w:type="spellEnd"/>
      <w:proofErr w:type="gramEnd"/>
      <w:r w:rsidRPr="009F3B60">
        <w:rPr>
          <w:rFonts w:ascii="Arial" w:eastAsia="等线" w:hAnsi="Arial" w:cs="Arial"/>
          <w:sz w:val="16"/>
          <w:szCs w:val="16"/>
        </w:rPr>
        <w:t xml:space="preserve"> for variable age.</w:t>
      </w:r>
    </w:p>
    <w:p w:rsidR="004B2121" w:rsidRPr="009F3B60" w:rsidRDefault="004B2121" w:rsidP="004B2121">
      <w:pPr>
        <w:widowControl/>
        <w:jc w:val="left"/>
        <w:rPr>
          <w:rFonts w:ascii="Arial" w:eastAsia="等线" w:hAnsi="Arial" w:cs="Arial"/>
          <w:sz w:val="16"/>
          <w:szCs w:val="16"/>
        </w:rPr>
      </w:pPr>
      <w:proofErr w:type="gramStart"/>
      <w:r w:rsidRPr="009F3B60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en-NZ"/>
        </w:rPr>
        <w:lastRenderedPageBreak/>
        <w:t>d</w:t>
      </w:r>
      <w:proofErr w:type="gramEnd"/>
      <w:r w:rsidRPr="009F3B60">
        <w:rPr>
          <w:rFonts w:ascii="Arial" w:eastAsia="等线" w:hAnsi="Arial" w:cs="Arial"/>
          <w:sz w:val="16"/>
          <w:szCs w:val="16"/>
        </w:rPr>
        <w:t xml:space="preserve"> </w:t>
      </w:r>
      <w:r w:rsidRPr="009F3B60">
        <w:rPr>
          <w:rFonts w:ascii="Arial" w:hAnsi="Arial" w:cs="Arial"/>
          <w:sz w:val="16"/>
          <w:szCs w:val="16"/>
        </w:rPr>
        <w:t>Multivariate Cox proportional hazards mod</w:t>
      </w:r>
      <w:r w:rsidRPr="009F3B60">
        <w:rPr>
          <w:rFonts w:ascii="Arial" w:eastAsia="等线" w:hAnsi="Arial" w:cs="Arial"/>
          <w:sz w:val="16"/>
          <w:szCs w:val="16"/>
        </w:rPr>
        <w:t>el was used to evaluate the independent effect of menstruation regularity on prolonging hospitalization time.</w:t>
      </w:r>
    </w:p>
    <w:p w:rsidR="004B2121" w:rsidRPr="007E044D" w:rsidRDefault="004B2121" w:rsidP="004B2121">
      <w:pPr>
        <w:widowControl/>
        <w:jc w:val="left"/>
        <w:rPr>
          <w:rFonts w:ascii="Arial" w:eastAsia="等线" w:hAnsi="Arial" w:cs="Arial"/>
          <w:sz w:val="24"/>
          <w:szCs w:val="24"/>
        </w:rPr>
      </w:pPr>
      <w:r w:rsidRPr="009F3B60">
        <w:rPr>
          <w:rFonts w:ascii="Arial" w:eastAsia="等线" w:hAnsi="Arial" w:cs="Arial"/>
          <w:sz w:val="16"/>
          <w:szCs w:val="16"/>
        </w:rPr>
        <w:t xml:space="preserve">In the survival analysis, follow-up time was defined as the period from admission date to discharge procedure. Individuals were censored because of </w:t>
      </w:r>
      <w:r w:rsidRPr="009F3B60">
        <w:rPr>
          <w:rFonts w:ascii="Arial" w:hAnsi="Arial" w:cs="Arial"/>
          <w:sz w:val="16"/>
          <w:szCs w:val="16"/>
        </w:rPr>
        <w:t>death (n = 6)</w:t>
      </w:r>
      <w:r w:rsidRPr="009F3B60">
        <w:rPr>
          <w:rFonts w:ascii="Arial" w:eastAsia="等线" w:hAnsi="Arial" w:cs="Arial"/>
          <w:sz w:val="16"/>
          <w:szCs w:val="16"/>
        </w:rPr>
        <w:t>. Menstruation status was divided into Non-menopause (Regular or Irregular) and Menopause.</w:t>
      </w:r>
      <w:r w:rsidRPr="007E044D">
        <w:rPr>
          <w:rFonts w:ascii="Arial" w:eastAsia="等线" w:hAnsi="Arial" w:cs="Arial"/>
          <w:sz w:val="24"/>
          <w:szCs w:val="24"/>
        </w:rPr>
        <w:t xml:space="preserve"> </w:t>
      </w:r>
    </w:p>
    <w:p w:rsidR="004B2121" w:rsidRPr="007E044D" w:rsidRDefault="004B2121" w:rsidP="004B2121">
      <w:pPr>
        <w:rPr>
          <w:rFonts w:ascii="Arial" w:hAnsi="Arial" w:cs="Arial"/>
        </w:rPr>
      </w:pPr>
    </w:p>
    <w:p w:rsidR="00462EF8" w:rsidRPr="004B2121" w:rsidRDefault="00462EF8">
      <w:bookmarkStart w:id="0" w:name="_GoBack"/>
      <w:bookmarkEnd w:id="0"/>
    </w:p>
    <w:sectPr w:rsidR="00462EF8" w:rsidRPr="004B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0F" w:rsidRDefault="00D95C0F" w:rsidP="004B2121">
      <w:r>
        <w:separator/>
      </w:r>
    </w:p>
  </w:endnote>
  <w:endnote w:type="continuationSeparator" w:id="0">
    <w:p w:rsidR="00D95C0F" w:rsidRDefault="00D95C0F" w:rsidP="004B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0F" w:rsidRDefault="00D95C0F" w:rsidP="004B2121">
      <w:r>
        <w:separator/>
      </w:r>
    </w:p>
  </w:footnote>
  <w:footnote w:type="continuationSeparator" w:id="0">
    <w:p w:rsidR="00D95C0F" w:rsidRDefault="00D95C0F" w:rsidP="004B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8"/>
    <w:rsid w:val="000D6B10"/>
    <w:rsid w:val="00437CF0"/>
    <w:rsid w:val="00462EF8"/>
    <w:rsid w:val="004B2121"/>
    <w:rsid w:val="008A4518"/>
    <w:rsid w:val="00D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MXY</dc:creator>
  <cp:keywords/>
  <dc:description/>
  <cp:lastModifiedBy>MXY</cp:lastModifiedBy>
  <cp:revision>2</cp:revision>
  <dcterms:created xsi:type="dcterms:W3CDTF">2020-03-26T07:09:00Z</dcterms:created>
  <dcterms:modified xsi:type="dcterms:W3CDTF">2020-03-26T07:09:00Z</dcterms:modified>
</cp:coreProperties>
</file>