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D78" w:rsidRDefault="00BF5784">
      <w:pPr>
        <w:pStyle w:val="Heading1"/>
      </w:pPr>
      <w:r>
        <w:t>S</w:t>
      </w:r>
      <w:r w:rsidR="00AC5150">
        <w:t>upplementary Information</w:t>
      </w:r>
      <w:bookmarkStart w:id="0" w:name="_GoBack"/>
      <w:bookmarkEnd w:id="0"/>
    </w:p>
    <w:tbl>
      <w:tblPr>
        <w:tblStyle w:val="a1"/>
        <w:tblW w:w="9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1500"/>
        <w:gridCol w:w="2145"/>
        <w:gridCol w:w="1350"/>
        <w:gridCol w:w="945"/>
        <w:gridCol w:w="1005"/>
      </w:tblGrid>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Coordinates</w:t>
            </w:r>
          </w:p>
          <w:p w:rsidR="00833D78" w:rsidRDefault="00AC5150">
            <w:pPr>
              <w:widowControl w:val="0"/>
              <w:spacing w:line="240" w:lineRule="auto"/>
              <w:jc w:val="center"/>
              <w:rPr>
                <w:b/>
              </w:rPr>
            </w:pPr>
            <w:r>
              <w:rPr>
                <w:b/>
              </w:rPr>
              <w:t>(x, y, z)</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Anatomical label</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Cluster size (voxels)</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t</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p</w:t>
            </w:r>
          </w:p>
        </w:tc>
      </w:tr>
      <w:tr w:rsidR="00833D78">
        <w:trPr>
          <w:trHeight w:val="420"/>
        </w:trPr>
        <w:tc>
          <w:tcPr>
            <w:tcW w:w="9660" w:type="dxa"/>
            <w:gridSpan w:val="6"/>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Salience network</w:t>
            </w:r>
          </w:p>
        </w:tc>
      </w:tr>
      <w:tr w:rsidR="00833D78">
        <w:tc>
          <w:tcPr>
            <w:tcW w:w="2715" w:type="dxa"/>
            <w:shd w:val="clear" w:color="auto" w:fill="auto"/>
            <w:tcMar>
              <w:top w:w="100" w:type="dxa"/>
              <w:left w:w="100" w:type="dxa"/>
              <w:bottom w:w="100" w:type="dxa"/>
              <w:right w:w="100" w:type="dxa"/>
            </w:tcMar>
          </w:tcPr>
          <w:p w:rsidR="00833D78" w:rsidRDefault="00AC5150">
            <w:pPr>
              <w:widowControl w:val="0"/>
              <w:spacing w:line="240" w:lineRule="auto"/>
              <w:jc w:val="center"/>
              <w:rPr>
                <w:b/>
                <w:vertAlign w:val="superscript"/>
              </w:rPr>
            </w:pPr>
            <w:r>
              <w:rPr>
                <w:b/>
              </w:rPr>
              <w:t>One-sample t-test baseline maps</w:t>
            </w: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-4, 30, 26</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Left Anterior Cingulate Cortex</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6465</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31.78</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36, 12, -6</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Insula</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957</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13.47</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26, 48, 30</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Middle Frontal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895</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12.77</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-40, 14, -6</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Left Insula</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624</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12.03</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-4, -18, 38</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Left Middle Cingulate Cortex</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654</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11.63</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rPr>
          <w:trHeight w:val="420"/>
        </w:trPr>
        <w:tc>
          <w:tcPr>
            <w:tcW w:w="9660" w:type="dxa"/>
            <w:gridSpan w:val="6"/>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Default mode network</w:t>
            </w:r>
          </w:p>
        </w:tc>
      </w:tr>
      <w:tr w:rsidR="00833D78">
        <w:tc>
          <w:tcPr>
            <w:tcW w:w="2715" w:type="dxa"/>
            <w:shd w:val="clear" w:color="auto" w:fill="auto"/>
            <w:tcMar>
              <w:top w:w="100" w:type="dxa"/>
              <w:left w:w="100" w:type="dxa"/>
              <w:bottom w:w="100" w:type="dxa"/>
              <w:right w:w="100" w:type="dxa"/>
            </w:tcMar>
          </w:tcPr>
          <w:p w:rsidR="00833D78" w:rsidRDefault="00AC5150">
            <w:pPr>
              <w:widowControl w:val="0"/>
              <w:spacing w:line="240" w:lineRule="auto"/>
              <w:jc w:val="center"/>
              <w:rPr>
                <w:b/>
                <w:vertAlign w:val="superscript"/>
              </w:rPr>
            </w:pPr>
            <w:r>
              <w:rPr>
                <w:b/>
              </w:rPr>
              <w:t>One-sample t-test baseline maps</w:t>
            </w: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-2, -40, 34</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Left </w:t>
            </w:r>
            <w:proofErr w:type="spellStart"/>
            <w:r>
              <w:t>Precuneus</w:t>
            </w:r>
            <w:proofErr w:type="spellEnd"/>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6187</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37.37</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-44, -64, 34</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Left Angular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1485</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15.56</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44, -62, 40</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Angular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1582</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14.86</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4, 46, 18</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Frontal Superior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3395</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14.83</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-18, 42, 42</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Left Frontal Superior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307</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12.13</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rPr>
          <w:trHeight w:val="420"/>
        </w:trPr>
        <w:tc>
          <w:tcPr>
            <w:tcW w:w="9660" w:type="dxa"/>
            <w:gridSpan w:val="6"/>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Visual network</w:t>
            </w:r>
          </w:p>
        </w:tc>
      </w:tr>
      <w:tr w:rsidR="00833D78">
        <w:tc>
          <w:tcPr>
            <w:tcW w:w="2715" w:type="dxa"/>
            <w:shd w:val="clear" w:color="auto" w:fill="auto"/>
            <w:tcMar>
              <w:top w:w="100" w:type="dxa"/>
              <w:left w:w="100" w:type="dxa"/>
              <w:bottom w:w="100" w:type="dxa"/>
              <w:right w:w="100" w:type="dxa"/>
            </w:tcMar>
          </w:tcPr>
          <w:p w:rsidR="00833D78" w:rsidRDefault="00AC5150">
            <w:pPr>
              <w:widowControl w:val="0"/>
              <w:spacing w:line="240" w:lineRule="auto"/>
              <w:jc w:val="center"/>
              <w:rPr>
                <w:b/>
                <w:vertAlign w:val="superscript"/>
              </w:rPr>
            </w:pPr>
            <w:r>
              <w:rPr>
                <w:b/>
              </w:rPr>
              <w:t>One-sample t-test baseline maps</w:t>
            </w: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-16, -100, 0</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Left Middle Occipital</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14559</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25.88</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16, -60, -2 </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Lingual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56</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8.00</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rPr>
          <w:trHeight w:val="420"/>
        </w:trPr>
        <w:tc>
          <w:tcPr>
            <w:tcW w:w="9660" w:type="dxa"/>
            <w:gridSpan w:val="6"/>
            <w:shd w:val="clear" w:color="auto" w:fill="auto"/>
            <w:tcMar>
              <w:top w:w="100" w:type="dxa"/>
              <w:left w:w="100" w:type="dxa"/>
              <w:bottom w:w="100" w:type="dxa"/>
              <w:right w:w="100" w:type="dxa"/>
            </w:tcMar>
          </w:tcPr>
          <w:p w:rsidR="00833D78" w:rsidRDefault="00833D78">
            <w:pPr>
              <w:widowControl w:val="0"/>
              <w:spacing w:line="240" w:lineRule="auto"/>
              <w:jc w:val="center"/>
              <w:rPr>
                <w:b/>
              </w:rPr>
            </w:pPr>
          </w:p>
          <w:p w:rsidR="00833D78" w:rsidRDefault="00AC5150">
            <w:pPr>
              <w:widowControl w:val="0"/>
              <w:spacing w:line="240" w:lineRule="auto"/>
              <w:jc w:val="center"/>
              <w:rPr>
                <w:b/>
              </w:rPr>
            </w:pPr>
            <w:r>
              <w:rPr>
                <w:b/>
              </w:rPr>
              <w:t>Sensorimotor network</w:t>
            </w:r>
          </w:p>
        </w:tc>
      </w:tr>
      <w:tr w:rsidR="00833D78">
        <w:tc>
          <w:tcPr>
            <w:tcW w:w="2715" w:type="dxa"/>
            <w:shd w:val="clear" w:color="auto" w:fill="auto"/>
            <w:tcMar>
              <w:top w:w="100" w:type="dxa"/>
              <w:left w:w="100" w:type="dxa"/>
              <w:bottom w:w="100" w:type="dxa"/>
              <w:right w:w="100" w:type="dxa"/>
            </w:tcMar>
          </w:tcPr>
          <w:p w:rsidR="00833D78" w:rsidRDefault="00AC5150">
            <w:pPr>
              <w:widowControl w:val="0"/>
              <w:spacing w:line="240" w:lineRule="auto"/>
              <w:jc w:val="center"/>
              <w:rPr>
                <w:b/>
                <w:vertAlign w:val="superscript"/>
              </w:rPr>
            </w:pPr>
            <w:r>
              <w:rPr>
                <w:b/>
              </w:rPr>
              <w:lastRenderedPageBreak/>
              <w:t>One-sample t-test baseline maps</w:t>
            </w: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20, -24, 72</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Precentral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9490</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26.71</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-56, -4, 20</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Left Postcentral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77</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8.20</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2715"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500" w:type="dxa"/>
            <w:shd w:val="clear" w:color="auto" w:fill="auto"/>
            <w:tcMar>
              <w:top w:w="100" w:type="dxa"/>
              <w:left w:w="100" w:type="dxa"/>
              <w:bottom w:w="100" w:type="dxa"/>
              <w:right w:w="100" w:type="dxa"/>
            </w:tcMar>
          </w:tcPr>
          <w:p w:rsidR="00833D78" w:rsidRDefault="00AC5150">
            <w:pPr>
              <w:widowControl w:val="0"/>
              <w:spacing w:line="240" w:lineRule="auto"/>
              <w:jc w:val="center"/>
            </w:pPr>
            <w:r>
              <w:t>40, -24, 18</w:t>
            </w:r>
          </w:p>
        </w:tc>
        <w:tc>
          <w:tcPr>
            <w:tcW w:w="2145"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Right </w:t>
            </w:r>
            <w:proofErr w:type="spellStart"/>
            <w:r>
              <w:t>Rolandic</w:t>
            </w:r>
            <w:proofErr w:type="spellEnd"/>
            <w:r>
              <w:t xml:space="preserve"> Operculum</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69</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7.82</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bl>
    <w:p w:rsidR="00833D78" w:rsidRDefault="00AC5150">
      <w:pPr>
        <w:jc w:val="both"/>
      </w:pPr>
      <w:r>
        <w:rPr>
          <w:b/>
        </w:rPr>
        <w:t>Supplementary Table S1. Related to brain network maps in Figures 1</w:t>
      </w:r>
      <w:proofErr w:type="gramStart"/>
      <w:r>
        <w:rPr>
          <w:b/>
        </w:rPr>
        <w:t>;</w:t>
      </w:r>
      <w:proofErr w:type="gramEnd"/>
      <w:r>
        <w:rPr>
          <w:b/>
        </w:rPr>
        <w:t xml:space="preserve"> one-sample t-tests using the seed-based connectivity maps.</w:t>
      </w:r>
      <w:r>
        <w:t xml:space="preserve"> </w:t>
      </w:r>
      <w:proofErr w:type="gramStart"/>
      <w:r>
        <w:t>Voxel-wise</w:t>
      </w:r>
      <w:proofErr w:type="gramEnd"/>
      <w:r>
        <w:t xml:space="preserve"> statistics. If not specified otherwise, extent probability threshold of p&lt;0.01 FWE corrected, </w:t>
      </w:r>
      <w:proofErr w:type="gramStart"/>
      <w:r>
        <w:t>voxel-wise</w:t>
      </w:r>
      <w:proofErr w:type="gramEnd"/>
      <w:r>
        <w:t xml:space="preserve"> threshold of p&lt;0.001 FWE corrected for multiple comparisons, only the first five major clusters are reported. Anatomical labels derived from the AAL atlas (</w:t>
      </w:r>
      <w:hyperlink r:id="rId6">
        <w:r>
          <w:rPr>
            <w:color w:val="1155CC"/>
            <w:u w:val="single"/>
          </w:rPr>
          <w:t>http://www.gin.cnrs.fr/en/tools/aal-aal2/</w:t>
        </w:r>
      </w:hyperlink>
      <w:r>
        <w:t xml:space="preserve">) </w:t>
      </w:r>
      <w:hyperlink r:id="rId7">
        <w:r>
          <w:rPr>
            <w:color w:val="000000"/>
          </w:rPr>
          <w:t>(</w:t>
        </w:r>
        <w:proofErr w:type="spellStart"/>
        <w:r>
          <w:rPr>
            <w:color w:val="000000"/>
          </w:rPr>
          <w:t>Tzourio-Mazoyer</w:t>
        </w:r>
        <w:proofErr w:type="spellEnd"/>
        <w:r>
          <w:rPr>
            <w:color w:val="000000"/>
          </w:rPr>
          <w:t xml:space="preserve"> et al., 2002)</w:t>
        </w:r>
      </w:hyperlink>
      <w:r>
        <w:t>.</w:t>
      </w:r>
    </w:p>
    <w:p w:rsidR="00833D78" w:rsidRDefault="00AC5150">
      <w:pPr>
        <w:rPr>
          <w:b/>
        </w:rPr>
      </w:pPr>
      <w:r>
        <w:br w:type="page"/>
      </w:r>
    </w:p>
    <w:tbl>
      <w:tblPr>
        <w:tblStyle w:val="a2"/>
        <w:tblW w:w="9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1710"/>
        <w:gridCol w:w="1650"/>
        <w:gridCol w:w="1350"/>
        <w:gridCol w:w="945"/>
        <w:gridCol w:w="1005"/>
      </w:tblGrid>
      <w:tr w:rsidR="00833D78">
        <w:tc>
          <w:tcPr>
            <w:tcW w:w="3000" w:type="dxa"/>
            <w:shd w:val="clear" w:color="auto" w:fill="auto"/>
            <w:tcMar>
              <w:top w:w="100" w:type="dxa"/>
              <w:left w:w="100" w:type="dxa"/>
              <w:bottom w:w="100" w:type="dxa"/>
              <w:right w:w="100" w:type="dxa"/>
            </w:tcMar>
          </w:tcPr>
          <w:p w:rsidR="00833D78" w:rsidRDefault="00833D78">
            <w:pPr>
              <w:widowControl w:val="0"/>
              <w:spacing w:line="240" w:lineRule="auto"/>
              <w:jc w:val="center"/>
            </w:pPr>
          </w:p>
        </w:tc>
        <w:tc>
          <w:tcPr>
            <w:tcW w:w="171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Coordinates</w:t>
            </w:r>
          </w:p>
          <w:p w:rsidR="00833D78" w:rsidRDefault="00AC5150">
            <w:pPr>
              <w:widowControl w:val="0"/>
              <w:spacing w:line="240" w:lineRule="auto"/>
              <w:jc w:val="center"/>
              <w:rPr>
                <w:b/>
              </w:rPr>
            </w:pPr>
            <w:r>
              <w:rPr>
                <w:b/>
              </w:rPr>
              <w:t>(x, y, z)</w:t>
            </w:r>
          </w:p>
        </w:tc>
        <w:tc>
          <w:tcPr>
            <w:tcW w:w="165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Anatomical label</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Cluster size (voxels)</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t</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p</w:t>
            </w:r>
          </w:p>
        </w:tc>
      </w:tr>
      <w:tr w:rsidR="00833D78">
        <w:trPr>
          <w:trHeight w:val="380"/>
        </w:trPr>
        <w:tc>
          <w:tcPr>
            <w:tcW w:w="30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6660" w:type="dxa"/>
            <w:gridSpan w:val="5"/>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Salience network</w:t>
            </w:r>
          </w:p>
        </w:tc>
      </w:tr>
      <w:tr w:rsidR="00833D78">
        <w:tc>
          <w:tcPr>
            <w:tcW w:w="300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 xml:space="preserve">Two-sample t-test </w:t>
            </w:r>
          </w:p>
          <w:p w:rsidR="00833D78" w:rsidRDefault="00AC5150">
            <w:pPr>
              <w:widowControl w:val="0"/>
              <w:spacing w:line="240" w:lineRule="auto"/>
              <w:jc w:val="center"/>
              <w:rPr>
                <w:b/>
              </w:rPr>
            </w:pPr>
            <w:r>
              <w:rPr>
                <w:b/>
              </w:rPr>
              <w:t>change maps ayahuasca &gt; placebo</w:t>
            </w:r>
          </w:p>
        </w:tc>
        <w:tc>
          <w:tcPr>
            <w:tcW w:w="1710" w:type="dxa"/>
            <w:shd w:val="clear" w:color="auto" w:fill="auto"/>
            <w:tcMar>
              <w:top w:w="100" w:type="dxa"/>
              <w:left w:w="100" w:type="dxa"/>
              <w:bottom w:w="100" w:type="dxa"/>
              <w:right w:w="100" w:type="dxa"/>
            </w:tcMar>
          </w:tcPr>
          <w:p w:rsidR="00833D78" w:rsidRDefault="00AC5150">
            <w:pPr>
              <w:widowControl w:val="0"/>
              <w:spacing w:line="240" w:lineRule="auto"/>
              <w:jc w:val="center"/>
            </w:pPr>
            <w:r>
              <w:t>0, 50,24</w:t>
            </w:r>
          </w:p>
        </w:tc>
        <w:tc>
          <w:tcPr>
            <w:tcW w:w="1650"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Left Frontal Superior Gyrus </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248</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4.14</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rPr>
          <w:trHeight w:val="380"/>
        </w:trPr>
        <w:tc>
          <w:tcPr>
            <w:tcW w:w="30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6660" w:type="dxa"/>
            <w:gridSpan w:val="5"/>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Default mode network</w:t>
            </w:r>
          </w:p>
        </w:tc>
      </w:tr>
      <w:tr w:rsidR="00833D78">
        <w:tc>
          <w:tcPr>
            <w:tcW w:w="300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 xml:space="preserve">Two-sample t-test </w:t>
            </w:r>
          </w:p>
          <w:p w:rsidR="00833D78" w:rsidRDefault="00AC5150">
            <w:pPr>
              <w:widowControl w:val="0"/>
              <w:spacing w:line="240" w:lineRule="auto"/>
              <w:jc w:val="center"/>
              <w:rPr>
                <w:b/>
              </w:rPr>
            </w:pPr>
            <w:r>
              <w:rPr>
                <w:b/>
              </w:rPr>
              <w:t>change maps ayahuasca &lt; placebo</w:t>
            </w:r>
          </w:p>
        </w:tc>
        <w:tc>
          <w:tcPr>
            <w:tcW w:w="1710" w:type="dxa"/>
            <w:shd w:val="clear" w:color="auto" w:fill="auto"/>
            <w:tcMar>
              <w:top w:w="100" w:type="dxa"/>
              <w:left w:w="100" w:type="dxa"/>
              <w:bottom w:w="100" w:type="dxa"/>
              <w:right w:w="100" w:type="dxa"/>
            </w:tcMar>
          </w:tcPr>
          <w:p w:rsidR="00833D78" w:rsidRDefault="00AC5150">
            <w:pPr>
              <w:widowControl w:val="0"/>
              <w:spacing w:line="240" w:lineRule="auto"/>
              <w:jc w:val="center"/>
            </w:pPr>
            <w:r>
              <w:t>0, -68, 20</w:t>
            </w:r>
          </w:p>
        </w:tc>
        <w:tc>
          <w:tcPr>
            <w:tcW w:w="1650"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Left </w:t>
            </w:r>
            <w:proofErr w:type="spellStart"/>
            <w:r>
              <w:t>Precuneus</w:t>
            </w:r>
            <w:proofErr w:type="spellEnd"/>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262</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3.73</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bl>
    <w:p w:rsidR="00833D78" w:rsidRDefault="00AC5150">
      <w:pPr>
        <w:jc w:val="both"/>
      </w:pPr>
      <w:r>
        <w:rPr>
          <w:b/>
        </w:rPr>
        <w:t>Supplementary Table S2. Related to brain network maps in Figures 2</w:t>
      </w:r>
      <w:proofErr w:type="gramStart"/>
      <w:r>
        <w:rPr>
          <w:b/>
        </w:rPr>
        <w:t>;</w:t>
      </w:r>
      <w:proofErr w:type="gramEnd"/>
      <w:r>
        <w:rPr>
          <w:b/>
        </w:rPr>
        <w:t xml:space="preserve"> two-sample t-tests using the seed-based connectivity change maps.</w:t>
      </w:r>
      <w:r>
        <w:t xml:space="preserve"> </w:t>
      </w:r>
      <w:proofErr w:type="gramStart"/>
      <w:r>
        <w:t>Voxel-wise</w:t>
      </w:r>
      <w:proofErr w:type="gramEnd"/>
      <w:r>
        <w:t xml:space="preserve"> statistics. Joint extent and cluster probability thresholds of p&lt;0.01 for the salience network and p &lt; 0.05 for the default mode network. Anatomical labels derived from the AAL atlas (</w:t>
      </w:r>
      <w:hyperlink r:id="rId8">
        <w:r>
          <w:rPr>
            <w:color w:val="1155CC"/>
            <w:u w:val="single"/>
          </w:rPr>
          <w:t>http://www.gin.cnrs.fr/en/tools/aal-aal2/</w:t>
        </w:r>
      </w:hyperlink>
      <w:r>
        <w:t xml:space="preserve">) </w:t>
      </w:r>
      <w:hyperlink r:id="rId9">
        <w:r>
          <w:rPr>
            <w:color w:val="000000"/>
          </w:rPr>
          <w:t>(</w:t>
        </w:r>
        <w:proofErr w:type="spellStart"/>
        <w:r>
          <w:rPr>
            <w:color w:val="000000"/>
          </w:rPr>
          <w:t>Tzourio-Mazoyer</w:t>
        </w:r>
        <w:proofErr w:type="spellEnd"/>
        <w:r>
          <w:rPr>
            <w:color w:val="000000"/>
          </w:rPr>
          <w:t xml:space="preserve"> et al., 2002)</w:t>
        </w:r>
      </w:hyperlink>
      <w:r>
        <w:t>.</w:t>
      </w:r>
    </w:p>
    <w:p w:rsidR="00833D78" w:rsidRDefault="00833D78">
      <w:pPr>
        <w:jc w:val="both"/>
      </w:pPr>
    </w:p>
    <w:p w:rsidR="00833D78" w:rsidRDefault="00833D78">
      <w:pPr>
        <w:rPr>
          <w:b/>
        </w:rPr>
      </w:pPr>
    </w:p>
    <w:tbl>
      <w:tblPr>
        <w:tblStyle w:val="a3"/>
        <w:tblW w:w="9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1770"/>
        <w:gridCol w:w="1290"/>
        <w:gridCol w:w="1350"/>
        <w:gridCol w:w="945"/>
        <w:gridCol w:w="1005"/>
      </w:tblGrid>
      <w:tr w:rsidR="00833D78">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pP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Coordinates</w:t>
            </w:r>
          </w:p>
          <w:p w:rsidR="00833D78" w:rsidRDefault="00AC5150">
            <w:pPr>
              <w:widowControl w:val="0"/>
              <w:spacing w:line="240" w:lineRule="auto"/>
              <w:jc w:val="center"/>
              <w:rPr>
                <w:b/>
              </w:rPr>
            </w:pPr>
            <w:r>
              <w:rPr>
                <w:b/>
              </w:rPr>
              <w:t>(x, y, z)</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Anatomical label</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Cluster size (voxels)</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t</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p</w:t>
            </w:r>
          </w:p>
        </w:tc>
      </w:tr>
      <w:tr w:rsidR="00833D78">
        <w:trPr>
          <w:trHeight w:val="380"/>
        </w:trPr>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6360" w:type="dxa"/>
            <w:gridSpan w:val="5"/>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Salience network</w:t>
            </w:r>
          </w:p>
        </w:tc>
      </w:tr>
      <w:tr w:rsidR="00833D78">
        <w:tc>
          <w:tcPr>
            <w:tcW w:w="330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Change maps ayahuasca &gt; placebo</w:t>
            </w: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0, 50,24</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Left Frontal Superior Gyrus  </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90</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4.21</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0.009</w:t>
            </w:r>
          </w:p>
        </w:tc>
      </w:tr>
      <w:tr w:rsidR="00833D78">
        <w:trPr>
          <w:trHeight w:val="380"/>
        </w:trPr>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6360" w:type="dxa"/>
            <w:gridSpan w:val="5"/>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Default mode network</w:t>
            </w:r>
          </w:p>
        </w:tc>
      </w:tr>
      <w:tr w:rsidR="00833D78">
        <w:tc>
          <w:tcPr>
            <w:tcW w:w="330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Change maps ayahuasca &lt; placebo</w:t>
            </w: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0, -68, 20</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Left </w:t>
            </w:r>
            <w:proofErr w:type="spellStart"/>
            <w:r>
              <w:t>Precuneus</w:t>
            </w:r>
            <w:proofErr w:type="spellEnd"/>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582</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3.78</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0.003</w:t>
            </w:r>
          </w:p>
        </w:tc>
      </w:tr>
    </w:tbl>
    <w:p w:rsidR="00833D78" w:rsidRDefault="00AC5150">
      <w:pPr>
        <w:jc w:val="both"/>
      </w:pPr>
      <w:r>
        <w:rPr>
          <w:b/>
        </w:rPr>
        <w:t>Supplementary Table S3. Related to brain network maps in Figures S1</w:t>
      </w:r>
      <w:proofErr w:type="gramStart"/>
      <w:r>
        <w:rPr>
          <w:b/>
        </w:rPr>
        <w:t>;</w:t>
      </w:r>
      <w:proofErr w:type="gramEnd"/>
      <w:r>
        <w:rPr>
          <w:b/>
        </w:rPr>
        <w:t xml:space="preserve"> nonparametric permutation-based statistical inference.</w:t>
      </w:r>
      <w:r>
        <w:t xml:space="preserve"> Voxel-wise statistics, p&lt;</w:t>
      </w:r>
      <w:proofErr w:type="gramStart"/>
      <w:r>
        <w:t>0.05  t</w:t>
      </w:r>
      <w:r>
        <w:rPr>
          <w:highlight w:val="white"/>
        </w:rPr>
        <w:t>hreshold</w:t>
      </w:r>
      <w:proofErr w:type="gramEnd"/>
      <w:r>
        <w:rPr>
          <w:highlight w:val="white"/>
        </w:rPr>
        <w:t>-free cluster enhancement</w:t>
      </w:r>
      <w:r>
        <w:t>. Anatomical labels derived from the AAL atlas (</w:t>
      </w:r>
      <w:hyperlink r:id="rId10">
        <w:r>
          <w:rPr>
            <w:color w:val="1155CC"/>
            <w:u w:val="single"/>
          </w:rPr>
          <w:t>http://www.gin.cnrs.fr/en/tools/aal-aal2/</w:t>
        </w:r>
      </w:hyperlink>
      <w:r>
        <w:t xml:space="preserve">) </w:t>
      </w:r>
      <w:hyperlink r:id="rId11">
        <w:r>
          <w:rPr>
            <w:color w:val="000000"/>
          </w:rPr>
          <w:t>(</w:t>
        </w:r>
        <w:proofErr w:type="spellStart"/>
        <w:r>
          <w:rPr>
            <w:color w:val="000000"/>
          </w:rPr>
          <w:t>Tzourio-Mazoyer</w:t>
        </w:r>
        <w:proofErr w:type="spellEnd"/>
        <w:r>
          <w:rPr>
            <w:color w:val="000000"/>
          </w:rPr>
          <w:t xml:space="preserve"> et al., 2002)</w:t>
        </w:r>
      </w:hyperlink>
      <w:r>
        <w:t>.</w:t>
      </w:r>
    </w:p>
    <w:p w:rsidR="00833D78" w:rsidRDefault="00AC5150">
      <w:r>
        <w:br w:type="page"/>
      </w:r>
    </w:p>
    <w:p w:rsidR="00833D78" w:rsidRDefault="00833D78"/>
    <w:tbl>
      <w:tblPr>
        <w:tblStyle w:val="a4"/>
        <w:tblW w:w="9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1770"/>
        <w:gridCol w:w="1290"/>
        <w:gridCol w:w="1350"/>
        <w:gridCol w:w="945"/>
        <w:gridCol w:w="1005"/>
      </w:tblGrid>
      <w:tr w:rsidR="00833D78">
        <w:trPr>
          <w:trHeight w:val="700"/>
        </w:trPr>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pP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Coordinates</w:t>
            </w:r>
          </w:p>
          <w:p w:rsidR="00833D78" w:rsidRDefault="00AC5150">
            <w:pPr>
              <w:widowControl w:val="0"/>
              <w:spacing w:line="240" w:lineRule="auto"/>
              <w:jc w:val="center"/>
              <w:rPr>
                <w:b/>
              </w:rPr>
            </w:pPr>
            <w:r>
              <w:rPr>
                <w:b/>
              </w:rPr>
              <w:t>(x, y, z)</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Anatomical label</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Cluster size (voxels)</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t</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p</w:t>
            </w:r>
          </w:p>
        </w:tc>
      </w:tr>
      <w:tr w:rsidR="00833D78">
        <w:trPr>
          <w:trHeight w:val="420"/>
        </w:trPr>
        <w:tc>
          <w:tcPr>
            <w:tcW w:w="9660" w:type="dxa"/>
            <w:gridSpan w:val="6"/>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Salience network</w:t>
            </w:r>
          </w:p>
        </w:tc>
      </w:tr>
      <w:tr w:rsidR="00833D78">
        <w:tc>
          <w:tcPr>
            <w:tcW w:w="3300" w:type="dxa"/>
            <w:shd w:val="clear" w:color="auto" w:fill="auto"/>
            <w:tcMar>
              <w:top w:w="100" w:type="dxa"/>
              <w:left w:w="100" w:type="dxa"/>
              <w:bottom w:w="100" w:type="dxa"/>
              <w:right w:w="100" w:type="dxa"/>
            </w:tcMar>
          </w:tcPr>
          <w:p w:rsidR="00833D78" w:rsidRDefault="00AC5150">
            <w:pPr>
              <w:widowControl w:val="0"/>
              <w:spacing w:line="240" w:lineRule="auto"/>
              <w:jc w:val="center"/>
              <w:rPr>
                <w:b/>
                <w:vertAlign w:val="superscript"/>
              </w:rPr>
            </w:pPr>
            <w:r>
              <w:rPr>
                <w:b/>
              </w:rPr>
              <w:t xml:space="preserve">One-sample t-test baseline </w:t>
            </w:r>
            <w:proofErr w:type="spellStart"/>
            <w:r>
              <w:rPr>
                <w:b/>
              </w:rPr>
              <w:t>maps</w:t>
            </w:r>
            <w:r>
              <w:rPr>
                <w:b/>
                <w:vertAlign w:val="superscript"/>
              </w:rPr>
              <w:t>A</w:t>
            </w:r>
            <w:proofErr w:type="spellEnd"/>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-36, 8,-2</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Left Insula</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1868</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16.47</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-30, 42, 22</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Left Middle Frontal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1796</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16.10</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-4,14,40</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Left Anterior Cingulate Cortex</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2994</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15.55</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32, 44, 18</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Middle Frontal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1428</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15.31</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56, 14, -4</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Insula</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1194</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13.25</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330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 xml:space="preserve">Two-sample t-test </w:t>
            </w:r>
          </w:p>
          <w:p w:rsidR="00833D78" w:rsidRDefault="00AC5150">
            <w:pPr>
              <w:widowControl w:val="0"/>
              <w:spacing w:line="240" w:lineRule="auto"/>
              <w:jc w:val="center"/>
              <w:rPr>
                <w:b/>
              </w:rPr>
            </w:pPr>
            <w:r>
              <w:rPr>
                <w:b/>
              </w:rPr>
              <w:t>change maps ayahuasca &gt; placebo</w:t>
            </w: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0, 50, 12</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Left Anterior Cingulate Cortex</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291</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3.40</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rPr>
          <w:trHeight w:val="420"/>
        </w:trPr>
        <w:tc>
          <w:tcPr>
            <w:tcW w:w="9660" w:type="dxa"/>
            <w:gridSpan w:val="6"/>
            <w:shd w:val="clear" w:color="auto" w:fill="auto"/>
            <w:tcMar>
              <w:top w:w="100" w:type="dxa"/>
              <w:left w:w="100" w:type="dxa"/>
              <w:bottom w:w="100" w:type="dxa"/>
              <w:right w:w="100" w:type="dxa"/>
            </w:tcMar>
          </w:tcPr>
          <w:p w:rsidR="00833D78" w:rsidRDefault="00833D78">
            <w:pPr>
              <w:widowControl w:val="0"/>
              <w:spacing w:line="240" w:lineRule="auto"/>
              <w:jc w:val="center"/>
              <w:rPr>
                <w:b/>
              </w:rPr>
            </w:pPr>
          </w:p>
          <w:p w:rsidR="00833D78" w:rsidRDefault="00AC5150">
            <w:pPr>
              <w:widowControl w:val="0"/>
              <w:spacing w:line="240" w:lineRule="auto"/>
              <w:jc w:val="center"/>
              <w:rPr>
                <w:b/>
              </w:rPr>
            </w:pPr>
            <w:r>
              <w:rPr>
                <w:b/>
              </w:rPr>
              <w:t>Default mode network</w:t>
            </w:r>
          </w:p>
        </w:tc>
      </w:tr>
      <w:tr w:rsidR="00833D78">
        <w:tc>
          <w:tcPr>
            <w:tcW w:w="3300" w:type="dxa"/>
            <w:shd w:val="clear" w:color="auto" w:fill="auto"/>
            <w:tcMar>
              <w:top w:w="100" w:type="dxa"/>
              <w:left w:w="100" w:type="dxa"/>
              <w:bottom w:w="100" w:type="dxa"/>
              <w:right w:w="100" w:type="dxa"/>
            </w:tcMar>
          </w:tcPr>
          <w:p w:rsidR="00833D78" w:rsidRDefault="00AC5150">
            <w:pPr>
              <w:widowControl w:val="0"/>
              <w:spacing w:line="240" w:lineRule="auto"/>
              <w:jc w:val="center"/>
              <w:rPr>
                <w:b/>
                <w:vertAlign w:val="superscript"/>
              </w:rPr>
            </w:pPr>
            <w:r>
              <w:rPr>
                <w:b/>
              </w:rPr>
              <w:t xml:space="preserve">One-sample t-test baseline </w:t>
            </w:r>
            <w:proofErr w:type="spellStart"/>
            <w:r>
              <w:rPr>
                <w:b/>
              </w:rPr>
              <w:t>maps</w:t>
            </w:r>
            <w:r>
              <w:rPr>
                <w:b/>
                <w:vertAlign w:val="superscript"/>
              </w:rPr>
              <w:t>A</w:t>
            </w:r>
            <w:proofErr w:type="spellEnd"/>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2, -42, 24</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Left </w:t>
            </w:r>
            <w:proofErr w:type="spellStart"/>
            <w:r>
              <w:t>Precuneus</w:t>
            </w:r>
            <w:proofErr w:type="spellEnd"/>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5714</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18.64</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46, -58, 40</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Right Angular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872</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15.62</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3300" w:type="dxa"/>
            <w:shd w:val="clear" w:color="auto" w:fill="auto"/>
            <w:tcMar>
              <w:top w:w="100" w:type="dxa"/>
              <w:left w:w="100" w:type="dxa"/>
              <w:bottom w:w="100" w:type="dxa"/>
              <w:right w:w="100" w:type="dxa"/>
            </w:tcMar>
          </w:tcPr>
          <w:p w:rsidR="00833D78" w:rsidRDefault="00833D78">
            <w:pPr>
              <w:widowControl w:val="0"/>
              <w:spacing w:line="240" w:lineRule="auto"/>
              <w:jc w:val="center"/>
              <w:rPr>
                <w:b/>
              </w:rPr>
            </w:pP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-44, -62, 44</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Left Angular Gyrus</w:t>
            </w:r>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995</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12.84</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&lt; 0.0001</w:t>
            </w:r>
          </w:p>
        </w:tc>
      </w:tr>
      <w:tr w:rsidR="00833D78">
        <w:tc>
          <w:tcPr>
            <w:tcW w:w="330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 xml:space="preserve">Two-sample t-test </w:t>
            </w:r>
          </w:p>
          <w:p w:rsidR="00833D78" w:rsidRDefault="00AC5150">
            <w:pPr>
              <w:widowControl w:val="0"/>
              <w:spacing w:line="240" w:lineRule="auto"/>
              <w:jc w:val="center"/>
              <w:rPr>
                <w:b/>
              </w:rPr>
            </w:pPr>
            <w:r>
              <w:rPr>
                <w:b/>
              </w:rPr>
              <w:t>change maps ayahuasca &lt;  placebo</w:t>
            </w:r>
          </w:p>
        </w:tc>
        <w:tc>
          <w:tcPr>
            <w:tcW w:w="1770" w:type="dxa"/>
            <w:shd w:val="clear" w:color="auto" w:fill="auto"/>
            <w:tcMar>
              <w:top w:w="100" w:type="dxa"/>
              <w:left w:w="100" w:type="dxa"/>
              <w:bottom w:w="100" w:type="dxa"/>
              <w:right w:w="100" w:type="dxa"/>
            </w:tcMar>
          </w:tcPr>
          <w:p w:rsidR="00833D78" w:rsidRDefault="00AC5150">
            <w:pPr>
              <w:widowControl w:val="0"/>
              <w:spacing w:line="240" w:lineRule="auto"/>
              <w:jc w:val="center"/>
            </w:pPr>
            <w:r>
              <w:t>-10, -52, 18</w:t>
            </w:r>
          </w:p>
        </w:tc>
        <w:tc>
          <w:tcPr>
            <w:tcW w:w="1290" w:type="dxa"/>
            <w:shd w:val="clear" w:color="auto" w:fill="auto"/>
            <w:tcMar>
              <w:top w:w="100" w:type="dxa"/>
              <w:left w:w="100" w:type="dxa"/>
              <w:bottom w:w="100" w:type="dxa"/>
              <w:right w:w="100" w:type="dxa"/>
            </w:tcMar>
          </w:tcPr>
          <w:p w:rsidR="00833D78" w:rsidRDefault="00AC5150">
            <w:pPr>
              <w:widowControl w:val="0"/>
              <w:spacing w:line="240" w:lineRule="auto"/>
              <w:jc w:val="center"/>
            </w:pPr>
            <w:r>
              <w:t xml:space="preserve">Left </w:t>
            </w:r>
            <w:proofErr w:type="spellStart"/>
            <w:r>
              <w:t>Precuneus</w:t>
            </w:r>
            <w:proofErr w:type="spellEnd"/>
          </w:p>
        </w:tc>
        <w:tc>
          <w:tcPr>
            <w:tcW w:w="1350" w:type="dxa"/>
            <w:shd w:val="clear" w:color="auto" w:fill="auto"/>
            <w:tcMar>
              <w:top w:w="100" w:type="dxa"/>
              <w:left w:w="100" w:type="dxa"/>
              <w:bottom w:w="100" w:type="dxa"/>
              <w:right w:w="100" w:type="dxa"/>
            </w:tcMar>
          </w:tcPr>
          <w:p w:rsidR="00833D78" w:rsidRDefault="00AC5150">
            <w:pPr>
              <w:widowControl w:val="0"/>
              <w:spacing w:line="240" w:lineRule="auto"/>
              <w:jc w:val="center"/>
            </w:pPr>
            <w:r>
              <w:t>234</w:t>
            </w:r>
          </w:p>
        </w:tc>
        <w:tc>
          <w:tcPr>
            <w:tcW w:w="945" w:type="dxa"/>
            <w:shd w:val="clear" w:color="auto" w:fill="auto"/>
            <w:tcMar>
              <w:top w:w="100" w:type="dxa"/>
              <w:left w:w="100" w:type="dxa"/>
              <w:bottom w:w="100" w:type="dxa"/>
              <w:right w:w="100" w:type="dxa"/>
            </w:tcMar>
          </w:tcPr>
          <w:p w:rsidR="00833D78" w:rsidRDefault="00AC5150">
            <w:pPr>
              <w:widowControl w:val="0"/>
              <w:spacing w:line="240" w:lineRule="auto"/>
              <w:jc w:val="center"/>
            </w:pPr>
            <w:r>
              <w:t>3.16</w:t>
            </w:r>
          </w:p>
        </w:tc>
        <w:tc>
          <w:tcPr>
            <w:tcW w:w="1005" w:type="dxa"/>
            <w:shd w:val="clear" w:color="auto" w:fill="auto"/>
            <w:tcMar>
              <w:top w:w="100" w:type="dxa"/>
              <w:left w:w="100" w:type="dxa"/>
              <w:bottom w:w="100" w:type="dxa"/>
              <w:right w:w="100" w:type="dxa"/>
            </w:tcMar>
          </w:tcPr>
          <w:p w:rsidR="00833D78" w:rsidRDefault="00AC5150">
            <w:pPr>
              <w:widowControl w:val="0"/>
              <w:spacing w:line="240" w:lineRule="auto"/>
              <w:jc w:val="center"/>
            </w:pPr>
            <w:r>
              <w:t>0.001</w:t>
            </w:r>
          </w:p>
        </w:tc>
      </w:tr>
    </w:tbl>
    <w:p w:rsidR="00833D78" w:rsidRDefault="00AC5150">
      <w:pPr>
        <w:jc w:val="both"/>
      </w:pPr>
      <w:r>
        <w:rPr>
          <w:b/>
        </w:rPr>
        <w:lastRenderedPageBreak/>
        <w:t>Supplementary Table S4. Related to Supplementary Figures S2</w:t>
      </w:r>
      <w:proofErr w:type="gramStart"/>
      <w:r>
        <w:rPr>
          <w:b/>
        </w:rPr>
        <w:t>;</w:t>
      </w:r>
      <w:proofErr w:type="gramEnd"/>
      <w:r>
        <w:rPr>
          <w:b/>
        </w:rPr>
        <w:t xml:space="preserve"> findings using independent component analysis (ICA).</w:t>
      </w:r>
      <w:r>
        <w:t xml:space="preserve"> </w:t>
      </w:r>
      <w:proofErr w:type="gramStart"/>
      <w:r>
        <w:t>Voxel-wise</w:t>
      </w:r>
      <w:proofErr w:type="gramEnd"/>
      <w:r>
        <w:t xml:space="preserve"> statistics. </w:t>
      </w:r>
      <w:proofErr w:type="spellStart"/>
      <w:r>
        <w:rPr>
          <w:b/>
          <w:vertAlign w:val="superscript"/>
        </w:rPr>
        <w:t>A</w:t>
      </w:r>
      <w:r>
        <w:t>Extent</w:t>
      </w:r>
      <w:proofErr w:type="spellEnd"/>
      <w:r>
        <w:t xml:space="preserve"> probability threshold of p&lt;0.01 FWE corrected, </w:t>
      </w:r>
      <w:proofErr w:type="gramStart"/>
      <w:r>
        <w:t>voxel-wise</w:t>
      </w:r>
      <w:proofErr w:type="gramEnd"/>
      <w:r>
        <w:t xml:space="preserve"> threshold of p&lt;0.001 FWE corrected for multiple comparisons, only the first five major clusters are reported. For two-sample t-tests, joint and cluster extent probability thresholds of p&lt;0.05 for the salience network and p&lt;0.1 for the default mode network are reported. Anatomical labels derived from the AAL atlas (</w:t>
      </w:r>
      <w:hyperlink r:id="rId12">
        <w:r>
          <w:rPr>
            <w:color w:val="1155CC"/>
            <w:u w:val="single"/>
          </w:rPr>
          <w:t>http://www.gin.cnrs.fr/en/tools/aal-aal2/</w:t>
        </w:r>
      </w:hyperlink>
      <w:r>
        <w:t xml:space="preserve">) </w:t>
      </w:r>
      <w:hyperlink r:id="rId13">
        <w:r>
          <w:rPr>
            <w:color w:val="000000"/>
          </w:rPr>
          <w:t>(</w:t>
        </w:r>
        <w:proofErr w:type="spellStart"/>
        <w:r>
          <w:rPr>
            <w:color w:val="000000"/>
          </w:rPr>
          <w:t>Tzourio-Mazoyer</w:t>
        </w:r>
        <w:proofErr w:type="spellEnd"/>
        <w:r>
          <w:rPr>
            <w:color w:val="000000"/>
          </w:rPr>
          <w:t xml:space="preserve"> et al., 2002)</w:t>
        </w:r>
      </w:hyperlink>
      <w:r>
        <w:t>.</w:t>
      </w:r>
    </w:p>
    <w:p w:rsidR="00833D78" w:rsidRDefault="00AC5150">
      <w:pPr>
        <w:spacing w:line="480" w:lineRule="auto"/>
        <w:jc w:val="both"/>
      </w:pPr>
      <w:r>
        <w:br w:type="page"/>
      </w:r>
    </w:p>
    <w:p w:rsidR="00833D78" w:rsidRDefault="00833D78"/>
    <w:tbl>
      <w:tblPr>
        <w:tblStyle w:val="a5"/>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1470"/>
        <w:gridCol w:w="1245"/>
        <w:gridCol w:w="1485"/>
        <w:gridCol w:w="1335"/>
      </w:tblGrid>
      <w:tr w:rsidR="00833D78">
        <w:trPr>
          <w:trHeight w:val="420"/>
        </w:trPr>
        <w:tc>
          <w:tcPr>
            <w:tcW w:w="2910" w:type="dxa"/>
            <w:shd w:val="clear" w:color="auto" w:fill="auto"/>
            <w:tcMar>
              <w:top w:w="100" w:type="dxa"/>
              <w:left w:w="100" w:type="dxa"/>
              <w:bottom w:w="100" w:type="dxa"/>
              <w:right w:w="100" w:type="dxa"/>
            </w:tcMar>
          </w:tcPr>
          <w:p w:rsidR="00833D78" w:rsidRDefault="00833D78">
            <w:pPr>
              <w:widowControl w:val="0"/>
              <w:spacing w:line="240" w:lineRule="auto"/>
              <w:jc w:val="center"/>
            </w:pPr>
          </w:p>
        </w:tc>
        <w:tc>
          <w:tcPr>
            <w:tcW w:w="2715" w:type="dxa"/>
            <w:gridSpan w:val="2"/>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Salience network</w:t>
            </w:r>
          </w:p>
        </w:tc>
        <w:tc>
          <w:tcPr>
            <w:tcW w:w="2820" w:type="dxa"/>
            <w:gridSpan w:val="2"/>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Default mode network</w:t>
            </w:r>
          </w:p>
        </w:tc>
      </w:tr>
      <w:tr w:rsidR="00833D78">
        <w:tc>
          <w:tcPr>
            <w:tcW w:w="291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HRS subscales</w:t>
            </w:r>
          </w:p>
        </w:tc>
        <w:tc>
          <w:tcPr>
            <w:tcW w:w="147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Ayahuasca</w:t>
            </w:r>
          </w:p>
        </w:tc>
        <w:tc>
          <w:tcPr>
            <w:tcW w:w="124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Placebo</w:t>
            </w:r>
          </w:p>
        </w:tc>
        <w:tc>
          <w:tcPr>
            <w:tcW w:w="148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Ayahuasca</w:t>
            </w:r>
          </w:p>
        </w:tc>
        <w:tc>
          <w:tcPr>
            <w:tcW w:w="133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Placebo</w:t>
            </w:r>
          </w:p>
        </w:tc>
      </w:tr>
      <w:tr w:rsidR="00833D78">
        <w:tc>
          <w:tcPr>
            <w:tcW w:w="291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Somesthesia</w:t>
            </w:r>
          </w:p>
        </w:tc>
        <w:tc>
          <w:tcPr>
            <w:tcW w:w="147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0.54*</w:t>
            </w:r>
          </w:p>
        </w:tc>
        <w:tc>
          <w:tcPr>
            <w:tcW w:w="1245" w:type="dxa"/>
            <w:shd w:val="clear" w:color="auto" w:fill="auto"/>
            <w:tcMar>
              <w:top w:w="100" w:type="dxa"/>
              <w:left w:w="100" w:type="dxa"/>
              <w:bottom w:w="100" w:type="dxa"/>
              <w:right w:w="100" w:type="dxa"/>
            </w:tcMar>
          </w:tcPr>
          <w:p w:rsidR="00833D78" w:rsidRDefault="00AC5150">
            <w:pPr>
              <w:widowControl w:val="0"/>
              <w:spacing w:line="240" w:lineRule="auto"/>
              <w:jc w:val="center"/>
            </w:pPr>
            <w:r>
              <w:t>0.01</w:t>
            </w:r>
          </w:p>
        </w:tc>
        <w:tc>
          <w:tcPr>
            <w:tcW w:w="1485" w:type="dxa"/>
            <w:shd w:val="clear" w:color="auto" w:fill="auto"/>
            <w:tcMar>
              <w:top w:w="100" w:type="dxa"/>
              <w:left w:w="100" w:type="dxa"/>
              <w:bottom w:w="100" w:type="dxa"/>
              <w:right w:w="100" w:type="dxa"/>
            </w:tcMar>
          </w:tcPr>
          <w:p w:rsidR="00833D78" w:rsidRDefault="00AC5150">
            <w:pPr>
              <w:widowControl w:val="0"/>
              <w:spacing w:line="240" w:lineRule="auto"/>
              <w:jc w:val="center"/>
            </w:pPr>
            <w:r>
              <w:t>-0.06</w:t>
            </w:r>
          </w:p>
        </w:tc>
        <w:tc>
          <w:tcPr>
            <w:tcW w:w="1335" w:type="dxa"/>
            <w:shd w:val="clear" w:color="auto" w:fill="auto"/>
            <w:tcMar>
              <w:top w:w="100" w:type="dxa"/>
              <w:left w:w="100" w:type="dxa"/>
              <w:bottom w:w="100" w:type="dxa"/>
              <w:right w:w="100" w:type="dxa"/>
            </w:tcMar>
          </w:tcPr>
          <w:p w:rsidR="00833D78" w:rsidRDefault="00AC5150">
            <w:pPr>
              <w:widowControl w:val="0"/>
              <w:spacing w:line="240" w:lineRule="auto"/>
              <w:jc w:val="center"/>
            </w:pPr>
            <w:r>
              <w:t>-0.01</w:t>
            </w:r>
          </w:p>
        </w:tc>
      </w:tr>
      <w:tr w:rsidR="00833D78">
        <w:tc>
          <w:tcPr>
            <w:tcW w:w="291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 xml:space="preserve">Affect </w:t>
            </w:r>
          </w:p>
        </w:tc>
        <w:tc>
          <w:tcPr>
            <w:tcW w:w="1470" w:type="dxa"/>
            <w:shd w:val="clear" w:color="auto" w:fill="auto"/>
            <w:tcMar>
              <w:top w:w="100" w:type="dxa"/>
              <w:left w:w="100" w:type="dxa"/>
              <w:bottom w:w="100" w:type="dxa"/>
              <w:right w:w="100" w:type="dxa"/>
            </w:tcMar>
          </w:tcPr>
          <w:p w:rsidR="00833D78" w:rsidRDefault="00AC5150">
            <w:pPr>
              <w:widowControl w:val="0"/>
              <w:spacing w:line="240" w:lineRule="auto"/>
              <w:jc w:val="center"/>
              <w:rPr>
                <w:vertAlign w:val="superscript"/>
              </w:rPr>
            </w:pPr>
            <w:r>
              <w:t>0.39</w:t>
            </w:r>
            <w:r>
              <w:rPr>
                <w:vertAlign w:val="superscript"/>
              </w:rPr>
              <w:t>+</w:t>
            </w:r>
          </w:p>
        </w:tc>
        <w:tc>
          <w:tcPr>
            <w:tcW w:w="1245" w:type="dxa"/>
            <w:shd w:val="clear" w:color="auto" w:fill="auto"/>
            <w:tcMar>
              <w:top w:w="100" w:type="dxa"/>
              <w:left w:w="100" w:type="dxa"/>
              <w:bottom w:w="100" w:type="dxa"/>
              <w:right w:w="100" w:type="dxa"/>
            </w:tcMar>
          </w:tcPr>
          <w:p w:rsidR="00833D78" w:rsidRDefault="00AC5150">
            <w:pPr>
              <w:widowControl w:val="0"/>
              <w:spacing w:line="240" w:lineRule="auto"/>
              <w:jc w:val="center"/>
            </w:pPr>
            <w:r>
              <w:t>0.27</w:t>
            </w:r>
          </w:p>
        </w:tc>
        <w:tc>
          <w:tcPr>
            <w:tcW w:w="1485" w:type="dxa"/>
            <w:shd w:val="clear" w:color="auto" w:fill="auto"/>
            <w:tcMar>
              <w:top w:w="100" w:type="dxa"/>
              <w:left w:w="100" w:type="dxa"/>
              <w:bottom w:w="100" w:type="dxa"/>
              <w:right w:w="100" w:type="dxa"/>
            </w:tcMar>
          </w:tcPr>
          <w:p w:rsidR="00833D78" w:rsidRDefault="00AC5150">
            <w:pPr>
              <w:widowControl w:val="0"/>
              <w:spacing w:line="240" w:lineRule="auto"/>
              <w:jc w:val="center"/>
            </w:pPr>
            <w:r>
              <w:t>-0.02</w:t>
            </w:r>
          </w:p>
        </w:tc>
        <w:tc>
          <w:tcPr>
            <w:tcW w:w="1335" w:type="dxa"/>
            <w:shd w:val="clear" w:color="auto" w:fill="auto"/>
            <w:tcMar>
              <w:top w:w="100" w:type="dxa"/>
              <w:left w:w="100" w:type="dxa"/>
              <w:bottom w:w="100" w:type="dxa"/>
              <w:right w:w="100" w:type="dxa"/>
            </w:tcMar>
          </w:tcPr>
          <w:p w:rsidR="00833D78" w:rsidRDefault="00AC5150">
            <w:pPr>
              <w:widowControl w:val="0"/>
              <w:spacing w:line="240" w:lineRule="auto"/>
              <w:jc w:val="center"/>
            </w:pPr>
            <w:r>
              <w:t>-0.18</w:t>
            </w:r>
          </w:p>
        </w:tc>
      </w:tr>
      <w:tr w:rsidR="00833D78">
        <w:tc>
          <w:tcPr>
            <w:tcW w:w="291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Perception</w:t>
            </w:r>
          </w:p>
        </w:tc>
        <w:tc>
          <w:tcPr>
            <w:tcW w:w="1470" w:type="dxa"/>
            <w:shd w:val="clear" w:color="auto" w:fill="auto"/>
            <w:tcMar>
              <w:top w:w="100" w:type="dxa"/>
              <w:left w:w="100" w:type="dxa"/>
              <w:bottom w:w="100" w:type="dxa"/>
              <w:right w:w="100" w:type="dxa"/>
            </w:tcMar>
          </w:tcPr>
          <w:p w:rsidR="00833D78" w:rsidRDefault="00AC5150">
            <w:pPr>
              <w:widowControl w:val="0"/>
              <w:spacing w:line="240" w:lineRule="auto"/>
              <w:jc w:val="center"/>
            </w:pPr>
            <w:r>
              <w:t>0.31</w:t>
            </w:r>
          </w:p>
        </w:tc>
        <w:tc>
          <w:tcPr>
            <w:tcW w:w="1245" w:type="dxa"/>
            <w:shd w:val="clear" w:color="auto" w:fill="auto"/>
            <w:tcMar>
              <w:top w:w="100" w:type="dxa"/>
              <w:left w:w="100" w:type="dxa"/>
              <w:bottom w:w="100" w:type="dxa"/>
              <w:right w:w="100" w:type="dxa"/>
            </w:tcMar>
          </w:tcPr>
          <w:p w:rsidR="00833D78" w:rsidRDefault="00AC5150">
            <w:pPr>
              <w:widowControl w:val="0"/>
              <w:spacing w:line="240" w:lineRule="auto"/>
              <w:jc w:val="center"/>
            </w:pPr>
            <w:r>
              <w:t>0.20</w:t>
            </w:r>
          </w:p>
        </w:tc>
        <w:tc>
          <w:tcPr>
            <w:tcW w:w="1485" w:type="dxa"/>
            <w:shd w:val="clear" w:color="auto" w:fill="auto"/>
            <w:tcMar>
              <w:top w:w="100" w:type="dxa"/>
              <w:left w:w="100" w:type="dxa"/>
              <w:bottom w:w="100" w:type="dxa"/>
              <w:right w:w="100" w:type="dxa"/>
            </w:tcMar>
          </w:tcPr>
          <w:p w:rsidR="00833D78" w:rsidRDefault="00AC5150">
            <w:pPr>
              <w:widowControl w:val="0"/>
              <w:spacing w:line="240" w:lineRule="auto"/>
              <w:jc w:val="center"/>
            </w:pPr>
            <w:r>
              <w:t>-0.01</w:t>
            </w:r>
          </w:p>
        </w:tc>
        <w:tc>
          <w:tcPr>
            <w:tcW w:w="1335" w:type="dxa"/>
            <w:shd w:val="clear" w:color="auto" w:fill="auto"/>
            <w:tcMar>
              <w:top w:w="100" w:type="dxa"/>
              <w:left w:w="100" w:type="dxa"/>
              <w:bottom w:w="100" w:type="dxa"/>
              <w:right w:w="100" w:type="dxa"/>
            </w:tcMar>
          </w:tcPr>
          <w:p w:rsidR="00833D78" w:rsidRDefault="00AC5150">
            <w:pPr>
              <w:widowControl w:val="0"/>
              <w:spacing w:line="240" w:lineRule="auto"/>
              <w:jc w:val="center"/>
            </w:pPr>
            <w:r>
              <w:t>-0.30</w:t>
            </w:r>
          </w:p>
        </w:tc>
      </w:tr>
      <w:tr w:rsidR="00833D78">
        <w:tc>
          <w:tcPr>
            <w:tcW w:w="291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Cognition</w:t>
            </w:r>
          </w:p>
        </w:tc>
        <w:tc>
          <w:tcPr>
            <w:tcW w:w="1470" w:type="dxa"/>
            <w:shd w:val="clear" w:color="auto" w:fill="auto"/>
            <w:tcMar>
              <w:top w:w="100" w:type="dxa"/>
              <w:left w:w="100" w:type="dxa"/>
              <w:bottom w:w="100" w:type="dxa"/>
              <w:right w:w="100" w:type="dxa"/>
            </w:tcMar>
          </w:tcPr>
          <w:p w:rsidR="00833D78" w:rsidRDefault="00AC5150">
            <w:pPr>
              <w:widowControl w:val="0"/>
              <w:spacing w:line="240" w:lineRule="auto"/>
              <w:jc w:val="center"/>
            </w:pPr>
            <w:r>
              <w:t>0.29</w:t>
            </w:r>
          </w:p>
        </w:tc>
        <w:tc>
          <w:tcPr>
            <w:tcW w:w="1245" w:type="dxa"/>
            <w:shd w:val="clear" w:color="auto" w:fill="auto"/>
            <w:tcMar>
              <w:top w:w="100" w:type="dxa"/>
              <w:left w:w="100" w:type="dxa"/>
              <w:bottom w:w="100" w:type="dxa"/>
              <w:right w:w="100" w:type="dxa"/>
            </w:tcMar>
          </w:tcPr>
          <w:p w:rsidR="00833D78" w:rsidRDefault="00AC5150">
            <w:pPr>
              <w:widowControl w:val="0"/>
              <w:spacing w:line="240" w:lineRule="auto"/>
              <w:jc w:val="center"/>
            </w:pPr>
            <w:r>
              <w:t>0.09</w:t>
            </w:r>
          </w:p>
        </w:tc>
        <w:tc>
          <w:tcPr>
            <w:tcW w:w="1485" w:type="dxa"/>
            <w:shd w:val="clear" w:color="auto" w:fill="auto"/>
            <w:tcMar>
              <w:top w:w="100" w:type="dxa"/>
              <w:left w:w="100" w:type="dxa"/>
              <w:bottom w:w="100" w:type="dxa"/>
              <w:right w:w="100" w:type="dxa"/>
            </w:tcMar>
          </w:tcPr>
          <w:p w:rsidR="00833D78" w:rsidRDefault="00AC5150">
            <w:pPr>
              <w:widowControl w:val="0"/>
              <w:spacing w:line="240" w:lineRule="auto"/>
              <w:jc w:val="center"/>
            </w:pPr>
            <w:r>
              <w:t>-0.20</w:t>
            </w:r>
          </w:p>
        </w:tc>
        <w:tc>
          <w:tcPr>
            <w:tcW w:w="1335" w:type="dxa"/>
            <w:shd w:val="clear" w:color="auto" w:fill="auto"/>
            <w:tcMar>
              <w:top w:w="100" w:type="dxa"/>
              <w:left w:w="100" w:type="dxa"/>
              <w:bottom w:w="100" w:type="dxa"/>
              <w:right w:w="100" w:type="dxa"/>
            </w:tcMar>
          </w:tcPr>
          <w:p w:rsidR="00833D78" w:rsidRDefault="00AC5150">
            <w:pPr>
              <w:widowControl w:val="0"/>
              <w:spacing w:line="240" w:lineRule="auto"/>
              <w:jc w:val="center"/>
            </w:pPr>
            <w:r>
              <w:t>-0.26</w:t>
            </w:r>
          </w:p>
        </w:tc>
      </w:tr>
      <w:tr w:rsidR="00833D78">
        <w:tc>
          <w:tcPr>
            <w:tcW w:w="291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Volition</w:t>
            </w:r>
          </w:p>
        </w:tc>
        <w:tc>
          <w:tcPr>
            <w:tcW w:w="1470" w:type="dxa"/>
            <w:shd w:val="clear" w:color="auto" w:fill="auto"/>
            <w:tcMar>
              <w:top w:w="100" w:type="dxa"/>
              <w:left w:w="100" w:type="dxa"/>
              <w:bottom w:w="100" w:type="dxa"/>
              <w:right w:w="100" w:type="dxa"/>
            </w:tcMar>
          </w:tcPr>
          <w:p w:rsidR="00833D78" w:rsidRDefault="00AC5150">
            <w:pPr>
              <w:widowControl w:val="0"/>
              <w:spacing w:line="240" w:lineRule="auto"/>
              <w:jc w:val="center"/>
            </w:pPr>
            <w:r>
              <w:t>0.33</w:t>
            </w:r>
          </w:p>
        </w:tc>
        <w:tc>
          <w:tcPr>
            <w:tcW w:w="1245" w:type="dxa"/>
            <w:shd w:val="clear" w:color="auto" w:fill="auto"/>
            <w:tcMar>
              <w:top w:w="100" w:type="dxa"/>
              <w:left w:w="100" w:type="dxa"/>
              <w:bottom w:w="100" w:type="dxa"/>
              <w:right w:w="100" w:type="dxa"/>
            </w:tcMar>
          </w:tcPr>
          <w:p w:rsidR="00833D78" w:rsidRDefault="00AC5150">
            <w:pPr>
              <w:widowControl w:val="0"/>
              <w:spacing w:line="240" w:lineRule="auto"/>
              <w:jc w:val="center"/>
            </w:pPr>
            <w:r>
              <w:t>0.41</w:t>
            </w:r>
            <w:r>
              <w:rPr>
                <w:vertAlign w:val="superscript"/>
              </w:rPr>
              <w:t>+</w:t>
            </w:r>
          </w:p>
        </w:tc>
        <w:tc>
          <w:tcPr>
            <w:tcW w:w="1485"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-0.59**</w:t>
            </w:r>
          </w:p>
        </w:tc>
        <w:tc>
          <w:tcPr>
            <w:tcW w:w="1335" w:type="dxa"/>
            <w:shd w:val="clear" w:color="auto" w:fill="auto"/>
            <w:tcMar>
              <w:top w:w="100" w:type="dxa"/>
              <w:left w:w="100" w:type="dxa"/>
              <w:bottom w:w="100" w:type="dxa"/>
              <w:right w:w="100" w:type="dxa"/>
            </w:tcMar>
          </w:tcPr>
          <w:p w:rsidR="00833D78" w:rsidRDefault="00AC5150">
            <w:pPr>
              <w:widowControl w:val="0"/>
              <w:spacing w:line="240" w:lineRule="auto"/>
              <w:jc w:val="center"/>
            </w:pPr>
            <w:r>
              <w:t>-0.43</w:t>
            </w:r>
            <w:r>
              <w:rPr>
                <w:vertAlign w:val="superscript"/>
              </w:rPr>
              <w:t>+</w:t>
            </w:r>
          </w:p>
        </w:tc>
      </w:tr>
      <w:tr w:rsidR="00833D78">
        <w:tc>
          <w:tcPr>
            <w:tcW w:w="2910" w:type="dxa"/>
            <w:shd w:val="clear" w:color="auto" w:fill="auto"/>
            <w:tcMar>
              <w:top w:w="100" w:type="dxa"/>
              <w:left w:w="100" w:type="dxa"/>
              <w:bottom w:w="100" w:type="dxa"/>
              <w:right w:w="100" w:type="dxa"/>
            </w:tcMar>
          </w:tcPr>
          <w:p w:rsidR="00833D78" w:rsidRDefault="00AC5150">
            <w:pPr>
              <w:widowControl w:val="0"/>
              <w:spacing w:line="240" w:lineRule="auto"/>
              <w:jc w:val="center"/>
              <w:rPr>
                <w:b/>
              </w:rPr>
            </w:pPr>
            <w:r>
              <w:rPr>
                <w:b/>
              </w:rPr>
              <w:t>Intensity</w:t>
            </w:r>
          </w:p>
        </w:tc>
        <w:tc>
          <w:tcPr>
            <w:tcW w:w="1470" w:type="dxa"/>
            <w:shd w:val="clear" w:color="auto" w:fill="auto"/>
            <w:tcMar>
              <w:top w:w="100" w:type="dxa"/>
              <w:left w:w="100" w:type="dxa"/>
              <w:bottom w:w="100" w:type="dxa"/>
              <w:right w:w="100" w:type="dxa"/>
            </w:tcMar>
          </w:tcPr>
          <w:p w:rsidR="00833D78" w:rsidRDefault="00AC5150">
            <w:pPr>
              <w:widowControl w:val="0"/>
              <w:spacing w:line="240" w:lineRule="auto"/>
              <w:jc w:val="center"/>
            </w:pPr>
            <w:r>
              <w:t>0.27</w:t>
            </w:r>
          </w:p>
        </w:tc>
        <w:tc>
          <w:tcPr>
            <w:tcW w:w="1245" w:type="dxa"/>
            <w:shd w:val="clear" w:color="auto" w:fill="auto"/>
            <w:tcMar>
              <w:top w:w="100" w:type="dxa"/>
              <w:left w:w="100" w:type="dxa"/>
              <w:bottom w:w="100" w:type="dxa"/>
              <w:right w:w="100" w:type="dxa"/>
            </w:tcMar>
          </w:tcPr>
          <w:p w:rsidR="00833D78" w:rsidRDefault="00AC5150">
            <w:pPr>
              <w:widowControl w:val="0"/>
              <w:spacing w:line="240" w:lineRule="auto"/>
              <w:jc w:val="center"/>
            </w:pPr>
            <w:r>
              <w:t>0.03</w:t>
            </w:r>
          </w:p>
        </w:tc>
        <w:tc>
          <w:tcPr>
            <w:tcW w:w="1485" w:type="dxa"/>
            <w:shd w:val="clear" w:color="auto" w:fill="auto"/>
            <w:tcMar>
              <w:top w:w="100" w:type="dxa"/>
              <w:left w:w="100" w:type="dxa"/>
              <w:bottom w:w="100" w:type="dxa"/>
              <w:right w:w="100" w:type="dxa"/>
            </w:tcMar>
          </w:tcPr>
          <w:p w:rsidR="00833D78" w:rsidRDefault="00AC5150">
            <w:pPr>
              <w:widowControl w:val="0"/>
              <w:spacing w:line="240" w:lineRule="auto"/>
              <w:jc w:val="center"/>
            </w:pPr>
            <w:r>
              <w:t>-0.29</w:t>
            </w:r>
          </w:p>
        </w:tc>
        <w:tc>
          <w:tcPr>
            <w:tcW w:w="1335" w:type="dxa"/>
            <w:shd w:val="clear" w:color="auto" w:fill="auto"/>
            <w:tcMar>
              <w:top w:w="100" w:type="dxa"/>
              <w:left w:w="100" w:type="dxa"/>
              <w:bottom w:w="100" w:type="dxa"/>
              <w:right w:w="100" w:type="dxa"/>
            </w:tcMar>
          </w:tcPr>
          <w:p w:rsidR="00833D78" w:rsidRDefault="00AC5150">
            <w:pPr>
              <w:widowControl w:val="0"/>
              <w:spacing w:line="240" w:lineRule="auto"/>
              <w:jc w:val="center"/>
            </w:pPr>
            <w:r>
              <w:t>-0.17</w:t>
            </w:r>
          </w:p>
        </w:tc>
      </w:tr>
    </w:tbl>
    <w:p w:rsidR="00833D78" w:rsidRDefault="00AC5150">
      <w:pPr>
        <w:jc w:val="both"/>
      </w:pPr>
      <w:r>
        <w:rPr>
          <w:b/>
        </w:rPr>
        <w:t xml:space="preserve">Supplementary Table S5. </w:t>
      </w:r>
      <w:r>
        <w:t xml:space="preserve">Partial correlation coefficients between subacute changes in salience network and default mode network connectivity and subscales of the HRS corrected for the difference in framewise head displacement between the second and first scan. Significant findings </w:t>
      </w:r>
      <w:proofErr w:type="gramStart"/>
      <w:r>
        <w:t>are highlighted</w:t>
      </w:r>
      <w:proofErr w:type="gramEnd"/>
      <w:r>
        <w:t xml:space="preserve"> in bold. **p&lt;0.005; *p&lt;0.01, </w:t>
      </w:r>
      <w:r>
        <w:rPr>
          <w:vertAlign w:val="superscript"/>
        </w:rPr>
        <w:t>+</w:t>
      </w:r>
      <w:r>
        <w:t>p&lt;0.1</w:t>
      </w:r>
    </w:p>
    <w:p w:rsidR="00833D78" w:rsidRDefault="00AC5150">
      <w:pPr>
        <w:jc w:val="both"/>
      </w:pPr>
      <w:r>
        <w:br w:type="page"/>
      </w:r>
    </w:p>
    <w:p w:rsidR="00833D78" w:rsidRDefault="00833D78">
      <w:pPr>
        <w:jc w:val="both"/>
        <w:rPr>
          <w:b/>
        </w:rPr>
      </w:pPr>
    </w:p>
    <w:p w:rsidR="00833D78" w:rsidRDefault="00833D78">
      <w:pPr>
        <w:jc w:val="both"/>
        <w:rPr>
          <w:b/>
        </w:rPr>
      </w:pPr>
    </w:p>
    <w:p w:rsidR="00833D78" w:rsidRDefault="00AC5150">
      <w:pPr>
        <w:jc w:val="center"/>
        <w:rPr>
          <w:b/>
        </w:rPr>
      </w:pPr>
      <w:r>
        <w:rPr>
          <w:b/>
          <w:noProof/>
          <w:lang w:val="en-US"/>
        </w:rPr>
        <w:drawing>
          <wp:inline distT="114300" distB="114300" distL="114300" distR="114300">
            <wp:extent cx="4572000" cy="7214616"/>
            <wp:effectExtent l="0" t="0" r="0" b="571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572000" cy="7214616"/>
                    </a:xfrm>
                    <a:prstGeom prst="rect">
                      <a:avLst/>
                    </a:prstGeom>
                    <a:ln/>
                  </pic:spPr>
                </pic:pic>
              </a:graphicData>
            </a:graphic>
          </wp:inline>
        </w:drawing>
      </w:r>
    </w:p>
    <w:p w:rsidR="008472DE" w:rsidRDefault="00AC5150">
      <w:pPr>
        <w:jc w:val="both"/>
        <w:rPr>
          <w:highlight w:val="white"/>
        </w:rPr>
      </w:pPr>
      <w:r>
        <w:rPr>
          <w:b/>
        </w:rPr>
        <w:t>Supplementary Figure S1.</w:t>
      </w:r>
      <w:r>
        <w:t xml:space="preserve"> </w:t>
      </w:r>
      <w:r>
        <w:rPr>
          <w:b/>
        </w:rPr>
        <w:t>Non-parametric permutation inference.</w:t>
      </w:r>
      <w:r>
        <w:t xml:space="preserve"> </w:t>
      </w:r>
      <w:r>
        <w:rPr>
          <w:b/>
        </w:rPr>
        <w:t>(A)</w:t>
      </w:r>
      <w:r>
        <w:t xml:space="preserve"> Significant salience network functional connectivity increases in the anterior cingulate cortex for the ayahuasca compared to the placebo group. </w:t>
      </w:r>
      <w:r>
        <w:rPr>
          <w:b/>
        </w:rPr>
        <w:t>(B)</w:t>
      </w:r>
      <w:r>
        <w:t xml:space="preserve"> Significant default mode network functional connectivity </w:t>
      </w:r>
      <w:r>
        <w:lastRenderedPageBreak/>
        <w:t xml:space="preserve">decreases in the posterior cingulate cortex for the ayahuasca compared to the placebo group. </w:t>
      </w:r>
      <w:r>
        <w:rPr>
          <w:highlight w:val="white"/>
        </w:rPr>
        <w:t xml:space="preserve">FWE = family wise error corrected for multiple comparisons, </w:t>
      </w:r>
      <w:r>
        <w:t>TFCE=</w:t>
      </w:r>
      <w:r>
        <w:rPr>
          <w:highlight w:val="white"/>
        </w:rPr>
        <w:t>threshold-free cluster enhancement.</w:t>
      </w:r>
    </w:p>
    <w:p w:rsidR="008472DE" w:rsidRDefault="008472DE" w:rsidP="008472DE">
      <w:pPr>
        <w:rPr>
          <w:highlight w:val="white"/>
        </w:rPr>
      </w:pPr>
      <w:r>
        <w:rPr>
          <w:highlight w:val="white"/>
        </w:rPr>
        <w:br w:type="page"/>
      </w:r>
    </w:p>
    <w:p w:rsidR="00833D78" w:rsidRDefault="00AC5150">
      <w:pPr>
        <w:jc w:val="center"/>
      </w:pPr>
      <w:r>
        <w:rPr>
          <w:noProof/>
          <w:lang w:val="en-US"/>
        </w:rPr>
        <w:lastRenderedPageBreak/>
        <w:drawing>
          <wp:inline distT="114300" distB="114300" distL="114300" distR="114300">
            <wp:extent cx="4572000" cy="6510528"/>
            <wp:effectExtent l="0" t="0" r="0" b="508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572000" cy="6510528"/>
                    </a:xfrm>
                    <a:prstGeom prst="rect">
                      <a:avLst/>
                    </a:prstGeom>
                    <a:ln/>
                  </pic:spPr>
                </pic:pic>
              </a:graphicData>
            </a:graphic>
          </wp:inline>
        </w:drawing>
      </w:r>
    </w:p>
    <w:p w:rsidR="00833D78" w:rsidRDefault="00AC5150">
      <w:pPr>
        <w:jc w:val="both"/>
      </w:pPr>
      <w:r>
        <w:rPr>
          <w:b/>
        </w:rPr>
        <w:t>Supplementary Figure S2. (A)</w:t>
      </w:r>
      <w:r>
        <w:t xml:space="preserve"> Overlap (purple) of salience network maps derived with the ICA-based (in blue) and seed-based (in red) approaches. One-sample t-test over all participants at baseline (t=6.5; extent probability threshold of p&lt;0.01 FWE corrected, </w:t>
      </w:r>
      <w:proofErr w:type="gramStart"/>
      <w:r>
        <w:t>voxel-wise</w:t>
      </w:r>
      <w:proofErr w:type="gramEnd"/>
      <w:r>
        <w:t xml:space="preserve"> threshold of p&lt;0.001 FWE corrected for multiple comparisons). </w:t>
      </w:r>
      <w:r>
        <w:rPr>
          <w:b/>
        </w:rPr>
        <w:t>(B)</w:t>
      </w:r>
      <w:r>
        <w:t xml:space="preserve"> Significant salience network functional connectivity increases in the ayahuasca compared to the placebo group, overlap (purple) of ICA-based (blue) and seed-based (red) approaches. t=1.3; joint cluster and extent probability thresholds of p&lt;0.05 for both seed-based and ICA-based two-sample t-test. </w:t>
      </w:r>
      <w:r>
        <w:rPr>
          <w:b/>
        </w:rPr>
        <w:t>(C)</w:t>
      </w:r>
      <w:r>
        <w:t xml:space="preserve"> Overlap (purple) of </w:t>
      </w:r>
      <w:proofErr w:type="gramStart"/>
      <w:r>
        <w:t>default mode network maps</w:t>
      </w:r>
      <w:proofErr w:type="gramEnd"/>
      <w:r>
        <w:t xml:space="preserve"> derived with the ICA-based (in blue) and seed-based approach (in red). One-sample t-test over all participants at baseline (t=6.5; extent probability threshold of </w:t>
      </w:r>
      <w:r>
        <w:lastRenderedPageBreak/>
        <w:t xml:space="preserve">p&lt;0.01 FWE corrected, </w:t>
      </w:r>
      <w:proofErr w:type="gramStart"/>
      <w:r>
        <w:t>voxel-wise</w:t>
      </w:r>
      <w:proofErr w:type="gramEnd"/>
      <w:r>
        <w:t xml:space="preserve"> threshold of p&lt;0.001 FWE corrected for multiple comparisons). </w:t>
      </w:r>
      <w:r>
        <w:rPr>
          <w:b/>
        </w:rPr>
        <w:t>(D)</w:t>
      </w:r>
      <w:r>
        <w:t xml:space="preserve"> Significant default mode network functional connectivity decreases in the ayahuasca compared to the placebo group, overlap (purple) of ICA-based (blue) and seed-based (red) approaches. t=1.3, joint cluster and extent probability thresholds of p&lt;0.05 for seed-based two-sample t-test; t=1.3, joint cluster and extent probability thresholds and p&lt;0.1 for ICA-based two-sample t-test. Left is on the left. ICA = independent component analysis.</w:t>
      </w:r>
    </w:p>
    <w:sectPr w:rsidR="00833D78">
      <w:headerReference w:type="default" r:id="rId16"/>
      <w:foot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E28" w:rsidRDefault="00E52E28">
      <w:pPr>
        <w:spacing w:line="240" w:lineRule="auto"/>
      </w:pPr>
      <w:r>
        <w:separator/>
      </w:r>
    </w:p>
  </w:endnote>
  <w:endnote w:type="continuationSeparator" w:id="0">
    <w:p w:rsidR="00E52E28" w:rsidRDefault="00E52E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D78" w:rsidRDefault="00833D7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E28" w:rsidRDefault="00E52E28">
      <w:pPr>
        <w:spacing w:line="240" w:lineRule="auto"/>
      </w:pPr>
      <w:r>
        <w:separator/>
      </w:r>
    </w:p>
  </w:footnote>
  <w:footnote w:type="continuationSeparator" w:id="0">
    <w:p w:rsidR="00E52E28" w:rsidRDefault="00E52E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D78" w:rsidRDefault="00833D78">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D78"/>
    <w:rsid w:val="003051A3"/>
    <w:rsid w:val="00456B30"/>
    <w:rsid w:val="00544BA1"/>
    <w:rsid w:val="00833D78"/>
    <w:rsid w:val="008472DE"/>
    <w:rsid w:val="00AC5150"/>
    <w:rsid w:val="00BF3AF4"/>
    <w:rsid w:val="00BF5784"/>
    <w:rsid w:val="00E37DC3"/>
    <w:rsid w:val="00E52E28"/>
    <w:rsid w:val="00F51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B57D7"/>
  <w15:docId w15:val="{8448BB2F-EF51-4E0B-96A1-C07E936F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line="480" w:lineRule="auto"/>
      <w:jc w:val="both"/>
      <w:outlineLvl w:val="0"/>
    </w:pPr>
    <w:rPr>
      <w:b/>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051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A3"/>
    <w:rPr>
      <w:rFonts w:ascii="Segoe UI" w:hAnsi="Segoe UI" w:cs="Segoe UI"/>
      <w:sz w:val="18"/>
      <w:szCs w:val="18"/>
    </w:rPr>
  </w:style>
  <w:style w:type="paragraph" w:styleId="Header">
    <w:name w:val="header"/>
    <w:basedOn w:val="Normal"/>
    <w:link w:val="HeaderChar"/>
    <w:uiPriority w:val="99"/>
    <w:unhideWhenUsed/>
    <w:rsid w:val="00BF5784"/>
    <w:pPr>
      <w:tabs>
        <w:tab w:val="center" w:pos="4680"/>
        <w:tab w:val="right" w:pos="9360"/>
      </w:tabs>
      <w:spacing w:line="240" w:lineRule="auto"/>
    </w:pPr>
  </w:style>
  <w:style w:type="character" w:customStyle="1" w:styleId="HeaderChar">
    <w:name w:val="Header Char"/>
    <w:basedOn w:val="DefaultParagraphFont"/>
    <w:link w:val="Header"/>
    <w:uiPriority w:val="99"/>
    <w:rsid w:val="00BF5784"/>
  </w:style>
  <w:style w:type="paragraph" w:styleId="Footer">
    <w:name w:val="footer"/>
    <w:basedOn w:val="Normal"/>
    <w:link w:val="FooterChar"/>
    <w:uiPriority w:val="99"/>
    <w:unhideWhenUsed/>
    <w:rsid w:val="00BF5784"/>
    <w:pPr>
      <w:tabs>
        <w:tab w:val="center" w:pos="4680"/>
        <w:tab w:val="right" w:pos="9360"/>
      </w:tabs>
      <w:spacing w:line="240" w:lineRule="auto"/>
    </w:pPr>
  </w:style>
  <w:style w:type="character" w:customStyle="1" w:styleId="FooterChar">
    <w:name w:val="Footer Char"/>
    <w:basedOn w:val="DefaultParagraphFont"/>
    <w:link w:val="Footer"/>
    <w:uiPriority w:val="99"/>
    <w:rsid w:val="00BF5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gin.cnrs.fr/en/tools/aal-aal2/" TargetMode="External"/><Relationship Id="rId13" Type="http://schemas.openxmlformats.org/officeDocument/2006/relationships/hyperlink" Target="https://paperpile.com/c/BxQUFh/XBc5"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aperpile.com/c/BxQUFh/XBc5" TargetMode="External"/><Relationship Id="rId12" Type="http://schemas.openxmlformats.org/officeDocument/2006/relationships/hyperlink" Target="http://www.gin.cnrs.fr/en/tools/aal-aal2/"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gin.cnrs.fr/en/tools/aal-aal2/" TargetMode="External"/><Relationship Id="rId11" Type="http://schemas.openxmlformats.org/officeDocument/2006/relationships/hyperlink" Target="https://paperpile.com/c/BxQUFh/XBc5"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www.gin.cnrs.fr/en/tools/aal-aal2/"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paperpile.com/c/BxQUFh/XBc5"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1084</Words>
  <Characters>6180</Characters>
  <Application>Microsoft Office Word</Application>
  <DocSecurity>0</DocSecurity>
  <Lines>51</Lines>
  <Paragraphs>14</Paragraphs>
  <ScaleCrop>false</ScaleCrop>
  <Company>UCSF</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Pasquini, Lorenzo</cp:lastModifiedBy>
  <cp:revision>6</cp:revision>
  <dcterms:created xsi:type="dcterms:W3CDTF">2019-09-13T22:59:00Z</dcterms:created>
  <dcterms:modified xsi:type="dcterms:W3CDTF">2019-09-16T18:53:00Z</dcterms:modified>
</cp:coreProperties>
</file>