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84A65" w14:textId="7B213318" w:rsidR="009D6806" w:rsidRDefault="00705F31">
      <w:pPr>
        <w:rPr>
          <w:b/>
          <w:bCs/>
        </w:rPr>
      </w:pPr>
      <w:r>
        <w:rPr>
          <w:b/>
          <w:bCs/>
        </w:rPr>
        <w:t>Table S</w:t>
      </w:r>
      <w:r>
        <w:rPr>
          <w:b/>
          <w:bCs/>
        </w:rPr>
        <w:t xml:space="preserve">1: Description of the Community REACH intervention using the </w:t>
      </w:r>
      <w:proofErr w:type="spellStart"/>
      <w:r>
        <w:rPr>
          <w:b/>
          <w:bCs/>
        </w:rPr>
        <w:t>TIDieR</w:t>
      </w:r>
      <w:proofErr w:type="spellEnd"/>
      <w:r>
        <w:rPr>
          <w:b/>
          <w:bCs/>
        </w:rPr>
        <w:t xml:space="preserve"> reporting template</w:t>
      </w:r>
    </w:p>
    <w:tbl>
      <w:tblPr>
        <w:tblW w:w="13948" w:type="dxa"/>
        <w:tblCellMar>
          <w:left w:w="10" w:type="dxa"/>
          <w:right w:w="10" w:type="dxa"/>
        </w:tblCellMar>
        <w:tblLook w:val="0000" w:firstRow="0" w:lastRow="0" w:firstColumn="0" w:lastColumn="0" w:noHBand="0" w:noVBand="0"/>
      </w:tblPr>
      <w:tblGrid>
        <w:gridCol w:w="1590"/>
        <w:gridCol w:w="12358"/>
      </w:tblGrid>
      <w:tr w:rsidR="009D6806" w14:paraId="47C84A68" w14:textId="77777777">
        <w:tblPrEx>
          <w:tblCellMar>
            <w:top w:w="0" w:type="dxa"/>
            <w:bottom w:w="0" w:type="dxa"/>
          </w:tblCellMar>
        </w:tblPrEx>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66" w14:textId="77777777" w:rsidR="009D6806" w:rsidRDefault="00705F31">
            <w:pPr>
              <w:spacing w:after="0" w:line="240" w:lineRule="auto"/>
              <w:rPr>
                <w:rFonts w:eastAsia="Times New Roman" w:cs="Aptos"/>
                <w:b/>
                <w:bCs/>
                <w:color w:val="000000"/>
              </w:rPr>
            </w:pPr>
            <w:r>
              <w:rPr>
                <w:rFonts w:eastAsia="Times New Roman" w:cs="Aptos"/>
                <w:b/>
                <w:bCs/>
                <w:color w:val="000000"/>
              </w:rPr>
              <w:t>1. Brief Name</w:t>
            </w:r>
          </w:p>
        </w:tc>
        <w:tc>
          <w:tcPr>
            <w:tcW w:w="1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67" w14:textId="77777777" w:rsidR="009D6806" w:rsidRDefault="00705F31">
            <w:pPr>
              <w:spacing w:after="0" w:line="240" w:lineRule="auto"/>
              <w:rPr>
                <w:rFonts w:eastAsia="Times New Roman" w:cs="Aptos"/>
                <w:b/>
                <w:bCs/>
                <w:color w:val="000000"/>
              </w:rPr>
            </w:pPr>
            <w:r>
              <w:rPr>
                <w:rFonts w:eastAsia="Times New Roman" w:cs="Aptos"/>
                <w:b/>
                <w:bCs/>
                <w:color w:val="000000"/>
              </w:rPr>
              <w:t>Community REACH</w:t>
            </w:r>
          </w:p>
        </w:tc>
      </w:tr>
      <w:tr w:rsidR="009D6806" w14:paraId="47C84A6B" w14:textId="77777777">
        <w:tblPrEx>
          <w:tblCellMar>
            <w:top w:w="0" w:type="dxa"/>
            <w:bottom w:w="0" w:type="dxa"/>
          </w:tblCellMar>
        </w:tblPrEx>
        <w:trPr>
          <w:trHeight w:val="1125"/>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69" w14:textId="77777777" w:rsidR="009D6806" w:rsidRDefault="00705F31">
            <w:pPr>
              <w:spacing w:after="0" w:line="240" w:lineRule="auto"/>
              <w:rPr>
                <w:rFonts w:eastAsia="Times New Roman" w:cs="Aptos"/>
                <w:b/>
                <w:bCs/>
                <w:color w:val="000000"/>
              </w:rPr>
            </w:pPr>
            <w:r>
              <w:rPr>
                <w:rFonts w:eastAsia="Times New Roman" w:cs="Aptos"/>
                <w:b/>
                <w:bCs/>
                <w:color w:val="000000"/>
              </w:rPr>
              <w:t>2. Why</w:t>
            </w:r>
          </w:p>
        </w:tc>
        <w:tc>
          <w:tcPr>
            <w:tcW w:w="1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6A" w14:textId="77777777" w:rsidR="009D6806" w:rsidRDefault="00705F31">
            <w:pPr>
              <w:spacing w:after="0" w:line="240" w:lineRule="auto"/>
              <w:rPr>
                <w:rFonts w:eastAsia="Times New Roman" w:cs="Aptos"/>
                <w:color w:val="000000"/>
                <w:sz w:val="20"/>
                <w:szCs w:val="20"/>
                <w:lang w:val="en-US"/>
              </w:rPr>
            </w:pPr>
            <w:r>
              <w:rPr>
                <w:rFonts w:eastAsia="Times New Roman" w:cs="Aptos"/>
                <w:color w:val="000000"/>
                <w:sz w:val="20"/>
                <w:szCs w:val="20"/>
                <w:lang w:val="en-US"/>
              </w:rPr>
              <w:t xml:space="preserve">Rates of initiation of antenatal care by 12+6 weeks of pregnancy below national targets </w:t>
            </w:r>
            <w:r>
              <w:rPr>
                <w:rFonts w:eastAsia="Times New Roman" w:cs="Aptos"/>
                <w:color w:val="000000"/>
                <w:sz w:val="20"/>
                <w:szCs w:val="20"/>
                <w:lang w:val="en-US"/>
              </w:rPr>
              <w:t xml:space="preserve">especially amongst under-served groups. Community REACH aims to a) raise awareness in local communities of the value of antenatal care and its early uptake and b) </w:t>
            </w:r>
            <w:proofErr w:type="spellStart"/>
            <w:r>
              <w:rPr>
                <w:rFonts w:eastAsia="Times New Roman" w:cs="Aptos"/>
                <w:color w:val="000000"/>
                <w:sz w:val="20"/>
                <w:szCs w:val="20"/>
                <w:lang w:val="en-US"/>
              </w:rPr>
              <w:t>mobilise</w:t>
            </w:r>
            <w:proofErr w:type="spellEnd"/>
            <w:r>
              <w:rPr>
                <w:rFonts w:eastAsia="Times New Roman" w:cs="Aptos"/>
                <w:color w:val="000000"/>
                <w:sz w:val="20"/>
                <w:szCs w:val="20"/>
                <w:lang w:val="en-US"/>
              </w:rPr>
              <w:t xml:space="preserve"> community and system support for women in how and when to access care and to change local social norms to sustain that support. It focuses on communities within local urban areas which report the highest rates of late initiation of care. </w:t>
            </w:r>
          </w:p>
        </w:tc>
      </w:tr>
      <w:tr w:rsidR="009D6806" w14:paraId="47C84A74" w14:textId="77777777">
        <w:tblPrEx>
          <w:tblCellMar>
            <w:top w:w="0" w:type="dxa"/>
            <w:bottom w:w="0" w:type="dxa"/>
          </w:tblCellMar>
        </w:tblPrEx>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6C" w14:textId="77777777" w:rsidR="009D6806" w:rsidRDefault="00705F31">
            <w:pPr>
              <w:spacing w:after="0" w:line="240" w:lineRule="auto"/>
              <w:rPr>
                <w:rFonts w:eastAsia="Times New Roman" w:cs="Aptos"/>
                <w:b/>
                <w:bCs/>
                <w:color w:val="000000"/>
              </w:rPr>
            </w:pPr>
            <w:r>
              <w:rPr>
                <w:rFonts w:eastAsia="Times New Roman" w:cs="Aptos"/>
                <w:b/>
                <w:bCs/>
                <w:color w:val="000000"/>
              </w:rPr>
              <w:t>3. What (procedures)</w:t>
            </w:r>
          </w:p>
        </w:tc>
        <w:tc>
          <w:tcPr>
            <w:tcW w:w="1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6D" w14:textId="77777777" w:rsidR="009D6806" w:rsidRDefault="00705F31">
            <w:pPr>
              <w:spacing w:after="0" w:line="240" w:lineRule="auto"/>
              <w:rPr>
                <w:rFonts w:eastAsia="Times New Roman" w:cs="Calibri"/>
                <w:color w:val="000000"/>
                <w:sz w:val="20"/>
                <w:szCs w:val="20"/>
                <w:lang w:val="en-US"/>
              </w:rPr>
            </w:pPr>
            <w:r>
              <w:rPr>
                <w:rFonts w:eastAsia="Times New Roman" w:cs="Calibri"/>
                <w:color w:val="000000"/>
                <w:sz w:val="20"/>
                <w:szCs w:val="20"/>
                <w:lang w:val="en-US"/>
              </w:rPr>
              <w:t xml:space="preserve">The key steps followed in the co-design, set up and delivery of the </w:t>
            </w:r>
            <w:r>
              <w:rPr>
                <w:rFonts w:eastAsia="Times New Roman" w:cs="Calibri"/>
                <w:color w:val="000000"/>
                <w:sz w:val="20"/>
                <w:szCs w:val="20"/>
                <w:lang w:val="en-US"/>
              </w:rPr>
              <w:t>intervention in each intervention site were:</w:t>
            </w:r>
          </w:p>
          <w:p w14:paraId="47C84A6E" w14:textId="77777777" w:rsidR="009D6806" w:rsidRDefault="00705F31">
            <w:pPr>
              <w:pStyle w:val="ListParagraph"/>
              <w:numPr>
                <w:ilvl w:val="0"/>
                <w:numId w:val="1"/>
              </w:numPr>
            </w:pPr>
            <w:r>
              <w:rPr>
                <w:rFonts w:eastAsia="Times New Roman" w:cs="Calibri"/>
                <w:b/>
                <w:i/>
                <w:color w:val="000000"/>
                <w:sz w:val="20"/>
                <w:szCs w:val="20"/>
                <w:lang w:val="en-US"/>
              </w:rPr>
              <w:t>Development of community profiles and asset mapping</w:t>
            </w:r>
            <w:r>
              <w:rPr>
                <w:rFonts w:eastAsia="Times New Roman" w:cs="Calibri"/>
                <w:color w:val="000000"/>
                <w:sz w:val="20"/>
                <w:szCs w:val="20"/>
                <w:lang w:val="en-US"/>
              </w:rPr>
              <w:t xml:space="preserve"> including stakeholder engagement and resident conversations through street engagement</w:t>
            </w:r>
          </w:p>
          <w:p w14:paraId="47C84A6F" w14:textId="77777777" w:rsidR="009D6806" w:rsidRDefault="00705F31">
            <w:pPr>
              <w:pStyle w:val="ListParagraph"/>
              <w:numPr>
                <w:ilvl w:val="0"/>
                <w:numId w:val="1"/>
              </w:numPr>
            </w:pPr>
            <w:r>
              <w:rPr>
                <w:rFonts w:eastAsia="Times New Roman" w:cs="Calibri"/>
                <w:b/>
                <w:i/>
                <w:color w:val="000000"/>
                <w:sz w:val="20"/>
                <w:szCs w:val="20"/>
                <w:lang w:val="en-US"/>
              </w:rPr>
              <w:t>Co-design workshops</w:t>
            </w:r>
            <w:r>
              <w:rPr>
                <w:rFonts w:eastAsia="Times New Roman" w:cs="Calibri"/>
                <w:color w:val="000000"/>
                <w:sz w:val="20"/>
                <w:szCs w:val="20"/>
                <w:lang w:val="en-US"/>
              </w:rPr>
              <w:t xml:space="preserve"> to inform intervention, communication strategy and materials  </w:t>
            </w:r>
          </w:p>
          <w:p w14:paraId="47C84A70" w14:textId="77777777" w:rsidR="009D6806" w:rsidRDefault="00705F31">
            <w:pPr>
              <w:pStyle w:val="ListParagraph"/>
              <w:numPr>
                <w:ilvl w:val="0"/>
                <w:numId w:val="1"/>
              </w:numPr>
            </w:pPr>
            <w:r>
              <w:rPr>
                <w:rFonts w:eastAsia="Times New Roman" w:cs="Calibri"/>
                <w:b/>
                <w:i/>
                <w:color w:val="000000"/>
                <w:sz w:val="20"/>
                <w:szCs w:val="20"/>
                <w:lang w:val="en-US"/>
              </w:rPr>
              <w:t xml:space="preserve">Recruitment of community </w:t>
            </w:r>
            <w:proofErr w:type="spellStart"/>
            <w:r>
              <w:rPr>
                <w:rFonts w:eastAsia="Times New Roman" w:cs="Calibri"/>
                <w:b/>
                <w:i/>
                <w:color w:val="000000"/>
                <w:sz w:val="20"/>
                <w:szCs w:val="20"/>
                <w:lang w:val="en-US"/>
              </w:rPr>
              <w:t>organisation</w:t>
            </w:r>
            <w:proofErr w:type="spellEnd"/>
            <w:r>
              <w:rPr>
                <w:rFonts w:eastAsia="Times New Roman" w:cs="Calibri"/>
                <w:b/>
                <w:i/>
                <w:color w:val="000000"/>
                <w:sz w:val="20"/>
                <w:szCs w:val="20"/>
                <w:lang w:val="en-US"/>
              </w:rPr>
              <w:t xml:space="preserve"> cohost</w:t>
            </w:r>
            <w:r>
              <w:rPr>
                <w:rFonts w:eastAsia="Times New Roman" w:cs="Calibri"/>
                <w:color w:val="000000"/>
                <w:sz w:val="20"/>
                <w:szCs w:val="20"/>
                <w:lang w:val="en-US"/>
              </w:rPr>
              <w:t xml:space="preserve"> including project </w:t>
            </w:r>
            <w:proofErr w:type="spellStart"/>
            <w:r>
              <w:rPr>
                <w:rFonts w:eastAsia="Times New Roman" w:cs="Calibri"/>
                <w:color w:val="000000"/>
                <w:sz w:val="20"/>
                <w:szCs w:val="20"/>
                <w:lang w:val="en-US"/>
              </w:rPr>
              <w:t>co-ordinator</w:t>
            </w:r>
            <w:proofErr w:type="spellEnd"/>
          </w:p>
          <w:p w14:paraId="47C84A71" w14:textId="77777777" w:rsidR="009D6806" w:rsidRDefault="00705F31">
            <w:pPr>
              <w:pStyle w:val="ListParagraph"/>
              <w:numPr>
                <w:ilvl w:val="0"/>
                <w:numId w:val="1"/>
              </w:numPr>
            </w:pPr>
            <w:r>
              <w:rPr>
                <w:rFonts w:eastAsia="Times New Roman" w:cs="Calibri"/>
                <w:b/>
                <w:i/>
                <w:color w:val="000000"/>
                <w:sz w:val="20"/>
                <w:szCs w:val="20"/>
                <w:lang w:val="en-US"/>
              </w:rPr>
              <w:t>Intervention set-up</w:t>
            </w:r>
            <w:r>
              <w:rPr>
                <w:rFonts w:eastAsia="Times New Roman" w:cs="Calibri"/>
                <w:color w:val="000000"/>
                <w:sz w:val="20"/>
                <w:szCs w:val="20"/>
                <w:lang w:val="en-US"/>
              </w:rPr>
              <w:t>: a) recruitment and training of local community REACH volunteers and b) community cohost and REACH volunteers in each site (the community team) create local project plan including outreach plan, further development of local profiles and asset mapping, setting up local advisory group, holding launch event</w:t>
            </w:r>
          </w:p>
          <w:p w14:paraId="47C84A72" w14:textId="77777777" w:rsidR="009D6806" w:rsidRDefault="00705F31">
            <w:pPr>
              <w:pStyle w:val="ListParagraph"/>
              <w:numPr>
                <w:ilvl w:val="0"/>
                <w:numId w:val="1"/>
              </w:numPr>
            </w:pPr>
            <w:r>
              <w:rPr>
                <w:rFonts w:eastAsia="Times New Roman" w:cs="Calibri"/>
                <w:b/>
                <w:i/>
                <w:color w:val="000000"/>
                <w:sz w:val="20"/>
                <w:szCs w:val="20"/>
                <w:lang w:val="en-US"/>
              </w:rPr>
              <w:t>Intervention delivery</w:t>
            </w:r>
            <w:r>
              <w:rPr>
                <w:rFonts w:eastAsia="Times New Roman" w:cs="Calibri"/>
                <w:color w:val="000000"/>
                <w:sz w:val="20"/>
                <w:szCs w:val="20"/>
                <w:lang w:val="en-US"/>
              </w:rPr>
              <w:t>: Community team carry out intervention delivery, including completion of conversation forms and monthly reports</w:t>
            </w:r>
          </w:p>
          <w:p w14:paraId="47C84A73" w14:textId="77777777" w:rsidR="009D6806" w:rsidRDefault="00705F31">
            <w:pPr>
              <w:pStyle w:val="ListParagraph"/>
              <w:numPr>
                <w:ilvl w:val="0"/>
                <w:numId w:val="1"/>
              </w:numPr>
            </w:pPr>
            <w:r>
              <w:rPr>
                <w:rFonts w:eastAsia="Times New Roman" w:cs="Calibri"/>
                <w:b/>
                <w:i/>
                <w:color w:val="000000"/>
                <w:sz w:val="20"/>
                <w:szCs w:val="20"/>
                <w:lang w:val="en-US"/>
              </w:rPr>
              <w:t>Initial training and ongoing support</w:t>
            </w:r>
            <w:r>
              <w:rPr>
                <w:rFonts w:eastAsia="Times New Roman" w:cs="Calibri"/>
                <w:color w:val="000000"/>
                <w:sz w:val="20"/>
                <w:szCs w:val="20"/>
                <w:lang w:val="en-US"/>
              </w:rPr>
              <w:t xml:space="preserve"> for community teams including reflective working together workshops</w:t>
            </w:r>
          </w:p>
        </w:tc>
      </w:tr>
      <w:tr w:rsidR="009D6806" w14:paraId="47C84A7C" w14:textId="77777777">
        <w:tblPrEx>
          <w:tblCellMar>
            <w:top w:w="0" w:type="dxa"/>
            <w:bottom w:w="0" w:type="dxa"/>
          </w:tblCellMar>
        </w:tblPrEx>
        <w:trPr>
          <w:trHeight w:val="1889"/>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75" w14:textId="77777777" w:rsidR="009D6806" w:rsidRDefault="00705F31">
            <w:pPr>
              <w:spacing w:after="0" w:line="240" w:lineRule="auto"/>
              <w:rPr>
                <w:rFonts w:eastAsia="Times New Roman" w:cs="Aptos"/>
                <w:b/>
                <w:bCs/>
                <w:color w:val="000000"/>
              </w:rPr>
            </w:pPr>
            <w:r>
              <w:rPr>
                <w:rFonts w:eastAsia="Times New Roman" w:cs="Aptos"/>
                <w:b/>
                <w:bCs/>
                <w:color w:val="000000"/>
              </w:rPr>
              <w:t>4. What (materials)</w:t>
            </w:r>
          </w:p>
        </w:tc>
        <w:tc>
          <w:tcPr>
            <w:tcW w:w="1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76" w14:textId="77777777" w:rsidR="009D6806" w:rsidRDefault="00705F31">
            <w:pPr>
              <w:pStyle w:val="ListParagraph"/>
              <w:numPr>
                <w:ilvl w:val="0"/>
                <w:numId w:val="2"/>
              </w:numPr>
            </w:pPr>
            <w:r>
              <w:rPr>
                <w:rFonts w:eastAsia="Times New Roman" w:cs="Calibri"/>
                <w:b/>
                <w:i/>
                <w:color w:val="000000"/>
                <w:sz w:val="20"/>
                <w:szCs w:val="20"/>
                <w:lang w:val="en-US"/>
              </w:rPr>
              <w:t xml:space="preserve">Development of community profiles and asset mapping: </w:t>
            </w:r>
            <w:r>
              <w:rPr>
                <w:rFonts w:eastAsia="Times New Roman" w:cs="Calibri"/>
                <w:bCs/>
                <w:iCs/>
                <w:color w:val="000000"/>
                <w:sz w:val="20"/>
                <w:szCs w:val="20"/>
                <w:lang w:val="en-US"/>
              </w:rPr>
              <w:t xml:space="preserve">phone and computer access for desk top </w:t>
            </w:r>
            <w:r>
              <w:rPr>
                <w:rFonts w:eastAsia="Times New Roman" w:cs="Calibri"/>
                <w:bCs/>
                <w:iCs/>
                <w:color w:val="000000"/>
                <w:sz w:val="20"/>
                <w:szCs w:val="20"/>
                <w:lang w:val="en-US"/>
              </w:rPr>
              <w:t>research and stakeholder engagement; maps and conversation record forms for street engagement</w:t>
            </w:r>
          </w:p>
          <w:p w14:paraId="47C84A77" w14:textId="77777777" w:rsidR="009D6806" w:rsidRDefault="00705F31">
            <w:pPr>
              <w:pStyle w:val="ListParagraph"/>
              <w:numPr>
                <w:ilvl w:val="0"/>
                <w:numId w:val="2"/>
              </w:numPr>
            </w:pPr>
            <w:r>
              <w:rPr>
                <w:rFonts w:eastAsia="Times New Roman" w:cs="Calibri"/>
                <w:b/>
                <w:i/>
                <w:color w:val="000000"/>
                <w:sz w:val="20"/>
                <w:szCs w:val="20"/>
                <w:lang w:val="en-US"/>
              </w:rPr>
              <w:t>Co-design workshops:</w:t>
            </w:r>
            <w:r>
              <w:rPr>
                <w:rFonts w:eastAsia="Times New Roman" w:cs="Calibri"/>
                <w:color w:val="000000"/>
                <w:sz w:val="20"/>
                <w:szCs w:val="20"/>
                <w:lang w:val="en-US"/>
              </w:rPr>
              <w:t xml:space="preserve"> </w:t>
            </w:r>
            <w:r>
              <w:rPr>
                <w:rFonts w:eastAsia="Times New Roman" w:cs="Aptos"/>
                <w:color w:val="000000"/>
                <w:sz w:val="20"/>
                <w:szCs w:val="20"/>
                <w:lang w:val="en-US"/>
              </w:rPr>
              <w:t>ideas boards, proto-personas</w:t>
            </w:r>
          </w:p>
          <w:p w14:paraId="47C84A78" w14:textId="77777777" w:rsidR="009D6806" w:rsidRDefault="00705F31">
            <w:pPr>
              <w:pStyle w:val="ListParagraph"/>
              <w:numPr>
                <w:ilvl w:val="0"/>
                <w:numId w:val="2"/>
              </w:numPr>
            </w:pPr>
            <w:r>
              <w:rPr>
                <w:rFonts w:eastAsia="Times New Roman" w:cs="Calibri"/>
                <w:b/>
                <w:i/>
                <w:color w:val="000000"/>
                <w:sz w:val="20"/>
                <w:szCs w:val="20"/>
                <w:lang w:val="en-US"/>
              </w:rPr>
              <w:t xml:space="preserve">Recruitment of community </w:t>
            </w:r>
            <w:proofErr w:type="spellStart"/>
            <w:r>
              <w:rPr>
                <w:rFonts w:eastAsia="Times New Roman" w:cs="Calibri"/>
                <w:b/>
                <w:i/>
                <w:color w:val="000000"/>
                <w:sz w:val="20"/>
                <w:szCs w:val="20"/>
                <w:lang w:val="en-US"/>
              </w:rPr>
              <w:t>organisation</w:t>
            </w:r>
            <w:proofErr w:type="spellEnd"/>
            <w:r>
              <w:rPr>
                <w:rFonts w:eastAsia="Times New Roman" w:cs="Calibri"/>
                <w:b/>
                <w:i/>
                <w:color w:val="000000"/>
                <w:sz w:val="20"/>
                <w:szCs w:val="20"/>
                <w:lang w:val="en-US"/>
              </w:rPr>
              <w:t xml:space="preserve"> cohost: </w:t>
            </w:r>
            <w:r>
              <w:rPr>
                <w:rFonts w:eastAsia="Times New Roman" w:cs="Calibri"/>
                <w:color w:val="000000"/>
                <w:sz w:val="20"/>
                <w:szCs w:val="20"/>
                <w:lang w:val="en-US"/>
              </w:rPr>
              <w:t xml:space="preserve"> application form and criteria </w:t>
            </w:r>
          </w:p>
          <w:p w14:paraId="47C84A79" w14:textId="77777777" w:rsidR="009D6806" w:rsidRDefault="00705F31">
            <w:pPr>
              <w:pStyle w:val="ListParagraph"/>
              <w:numPr>
                <w:ilvl w:val="0"/>
                <w:numId w:val="2"/>
              </w:numPr>
            </w:pPr>
            <w:r>
              <w:rPr>
                <w:rFonts w:eastAsia="Times New Roman" w:cs="Calibri"/>
                <w:b/>
                <w:i/>
                <w:color w:val="000000"/>
                <w:sz w:val="20"/>
                <w:szCs w:val="20"/>
                <w:lang w:val="en-US"/>
              </w:rPr>
              <w:t>Intervention set-up</w:t>
            </w:r>
            <w:r>
              <w:rPr>
                <w:rFonts w:eastAsia="Times New Roman" w:cs="Calibri"/>
                <w:color w:val="000000"/>
                <w:sz w:val="20"/>
                <w:szCs w:val="20"/>
                <w:lang w:val="en-US"/>
              </w:rPr>
              <w:t>: co-host and volunteer intervention toolkit and information pack; launch event venue and materials</w:t>
            </w:r>
          </w:p>
          <w:p w14:paraId="47C84A7A" w14:textId="77777777" w:rsidR="009D6806" w:rsidRDefault="00705F31">
            <w:pPr>
              <w:pStyle w:val="ListParagraph"/>
              <w:numPr>
                <w:ilvl w:val="0"/>
                <w:numId w:val="2"/>
              </w:numPr>
            </w:pPr>
            <w:r>
              <w:rPr>
                <w:rFonts w:eastAsia="Times New Roman" w:cs="Calibri"/>
                <w:b/>
                <w:i/>
                <w:color w:val="000000"/>
                <w:sz w:val="20"/>
                <w:szCs w:val="20"/>
                <w:lang w:val="en-US"/>
              </w:rPr>
              <w:t>Intervention delivery</w:t>
            </w:r>
            <w:r>
              <w:rPr>
                <w:rFonts w:eastAsia="Times New Roman" w:cs="Calibri"/>
                <w:color w:val="000000"/>
                <w:sz w:val="20"/>
                <w:szCs w:val="20"/>
                <w:lang w:val="en-US"/>
              </w:rPr>
              <w:t>: co-designed information leaflets and conversation cards, promotional materials (T-shirts, badges, pens, tote bags)</w:t>
            </w:r>
          </w:p>
          <w:p w14:paraId="47C84A7B" w14:textId="77777777" w:rsidR="009D6806" w:rsidRDefault="00705F31">
            <w:pPr>
              <w:pStyle w:val="ListParagraph"/>
              <w:numPr>
                <w:ilvl w:val="0"/>
                <w:numId w:val="2"/>
              </w:numPr>
            </w:pPr>
            <w:r>
              <w:rPr>
                <w:rFonts w:eastAsia="Times New Roman" w:cs="Calibri"/>
                <w:b/>
                <w:i/>
                <w:color w:val="000000"/>
                <w:sz w:val="20"/>
                <w:szCs w:val="20"/>
                <w:lang w:val="en-US"/>
              </w:rPr>
              <w:t xml:space="preserve">Initial training and ongoing support: </w:t>
            </w:r>
            <w:r>
              <w:rPr>
                <w:rFonts w:eastAsia="Times New Roman" w:cs="Calibri"/>
                <w:color w:val="000000"/>
                <w:sz w:val="20"/>
                <w:szCs w:val="20"/>
                <w:lang w:val="en-US"/>
              </w:rPr>
              <w:t>facilitation activities, presentations, feedback reports, certificates for REACH volunteers</w:t>
            </w:r>
          </w:p>
        </w:tc>
      </w:tr>
      <w:tr w:rsidR="009D6806" w14:paraId="47C84A84" w14:textId="77777777">
        <w:tblPrEx>
          <w:tblCellMar>
            <w:top w:w="0" w:type="dxa"/>
            <w:bottom w:w="0" w:type="dxa"/>
          </w:tblCellMar>
        </w:tblPrEx>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7D" w14:textId="77777777" w:rsidR="009D6806" w:rsidRDefault="00705F31">
            <w:pPr>
              <w:spacing w:after="0" w:line="240" w:lineRule="auto"/>
            </w:pPr>
            <w:r>
              <w:rPr>
                <w:rFonts w:eastAsia="Times New Roman" w:cs="Aptos"/>
                <w:b/>
                <w:bCs/>
                <w:color w:val="000000"/>
              </w:rPr>
              <w:t>5. Who</w:t>
            </w:r>
          </w:p>
        </w:tc>
        <w:tc>
          <w:tcPr>
            <w:tcW w:w="1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7E" w14:textId="77777777" w:rsidR="009D6806" w:rsidRDefault="00705F31">
            <w:pPr>
              <w:pStyle w:val="ListParagraph"/>
              <w:numPr>
                <w:ilvl w:val="0"/>
                <w:numId w:val="3"/>
              </w:numPr>
              <w:spacing w:after="0" w:line="240" w:lineRule="auto"/>
            </w:pPr>
            <w:r>
              <w:rPr>
                <w:rFonts w:eastAsia="Times New Roman" w:cs="Calibri"/>
                <w:b/>
                <w:i/>
                <w:color w:val="000000"/>
                <w:sz w:val="20"/>
                <w:szCs w:val="20"/>
                <w:lang w:val="en-US"/>
              </w:rPr>
              <w:t xml:space="preserve">Development of community profiles and asset mapping: </w:t>
            </w:r>
            <w:r>
              <w:rPr>
                <w:rFonts w:eastAsia="Times New Roman" w:cs="Calibri"/>
                <w:color w:val="000000"/>
                <w:sz w:val="20"/>
                <w:szCs w:val="20"/>
                <w:lang w:val="en-US"/>
              </w:rPr>
              <w:t xml:space="preserve"> Research team; community engagement team</w:t>
            </w:r>
          </w:p>
          <w:p w14:paraId="47C84A7F" w14:textId="77777777" w:rsidR="009D6806" w:rsidRDefault="00705F31">
            <w:pPr>
              <w:pStyle w:val="ListParagraph"/>
              <w:numPr>
                <w:ilvl w:val="0"/>
                <w:numId w:val="3"/>
              </w:numPr>
              <w:spacing w:after="0" w:line="240" w:lineRule="auto"/>
            </w:pPr>
            <w:r>
              <w:rPr>
                <w:rFonts w:eastAsia="Times New Roman" w:cs="Calibri"/>
                <w:b/>
                <w:i/>
                <w:color w:val="000000"/>
                <w:sz w:val="20"/>
                <w:szCs w:val="20"/>
                <w:lang w:val="en-US"/>
              </w:rPr>
              <w:t>Co-design workshops:</w:t>
            </w:r>
            <w:r>
              <w:rPr>
                <w:rFonts w:eastAsia="Times New Roman" w:cs="Calibri"/>
                <w:color w:val="000000"/>
                <w:sz w:val="20"/>
                <w:szCs w:val="20"/>
                <w:lang w:val="en-US"/>
              </w:rPr>
              <w:t xml:space="preserve"> Community engagement team</w:t>
            </w:r>
          </w:p>
          <w:p w14:paraId="47C84A80" w14:textId="77777777" w:rsidR="009D6806" w:rsidRDefault="00705F31">
            <w:pPr>
              <w:pStyle w:val="ListParagraph"/>
              <w:numPr>
                <w:ilvl w:val="0"/>
                <w:numId w:val="3"/>
              </w:numPr>
              <w:spacing w:after="0" w:line="240" w:lineRule="auto"/>
            </w:pPr>
            <w:r>
              <w:rPr>
                <w:rFonts w:eastAsia="Times New Roman" w:cs="Calibri"/>
                <w:b/>
                <w:i/>
                <w:color w:val="000000"/>
                <w:sz w:val="20"/>
                <w:szCs w:val="20"/>
                <w:lang w:val="en-US"/>
              </w:rPr>
              <w:t xml:space="preserve">Recruitment of community </w:t>
            </w:r>
            <w:proofErr w:type="spellStart"/>
            <w:r>
              <w:rPr>
                <w:rFonts w:eastAsia="Times New Roman" w:cs="Calibri"/>
                <w:b/>
                <w:i/>
                <w:color w:val="000000"/>
                <w:sz w:val="20"/>
                <w:szCs w:val="20"/>
                <w:lang w:val="en-US"/>
              </w:rPr>
              <w:t>organisation</w:t>
            </w:r>
            <w:proofErr w:type="spellEnd"/>
            <w:r>
              <w:rPr>
                <w:rFonts w:eastAsia="Times New Roman" w:cs="Calibri"/>
                <w:b/>
                <w:i/>
                <w:color w:val="000000"/>
                <w:sz w:val="20"/>
                <w:szCs w:val="20"/>
                <w:lang w:val="en-US"/>
              </w:rPr>
              <w:t xml:space="preserve"> cohost: </w:t>
            </w:r>
            <w:r>
              <w:rPr>
                <w:rFonts w:eastAsia="Times New Roman" w:cs="Calibri"/>
                <w:color w:val="000000"/>
                <w:sz w:val="20"/>
                <w:szCs w:val="20"/>
                <w:lang w:val="en-US"/>
              </w:rPr>
              <w:t>Community engagement lead and project manager</w:t>
            </w:r>
          </w:p>
          <w:p w14:paraId="47C84A81" w14:textId="77777777" w:rsidR="009D6806" w:rsidRDefault="00705F31">
            <w:pPr>
              <w:pStyle w:val="ListParagraph"/>
              <w:numPr>
                <w:ilvl w:val="0"/>
                <w:numId w:val="3"/>
              </w:numPr>
              <w:spacing w:after="0" w:line="240" w:lineRule="auto"/>
            </w:pPr>
            <w:r>
              <w:rPr>
                <w:rFonts w:eastAsia="Times New Roman" w:cs="Calibri"/>
                <w:b/>
                <w:i/>
                <w:color w:val="000000"/>
                <w:sz w:val="20"/>
                <w:szCs w:val="20"/>
                <w:lang w:val="en-US"/>
              </w:rPr>
              <w:t>Intervention set-up</w:t>
            </w:r>
            <w:r>
              <w:rPr>
                <w:rFonts w:eastAsia="Times New Roman" w:cs="Calibri"/>
                <w:color w:val="000000"/>
                <w:sz w:val="20"/>
                <w:szCs w:val="20"/>
                <w:lang w:val="en-US"/>
              </w:rPr>
              <w:t xml:space="preserve">: Co-host project manager and project </w:t>
            </w:r>
            <w:proofErr w:type="spellStart"/>
            <w:r>
              <w:rPr>
                <w:rFonts w:eastAsia="Times New Roman" w:cs="Calibri"/>
                <w:color w:val="000000"/>
                <w:sz w:val="20"/>
                <w:szCs w:val="20"/>
                <w:lang w:val="en-US"/>
              </w:rPr>
              <w:t>co-ordinator</w:t>
            </w:r>
            <w:proofErr w:type="spellEnd"/>
            <w:r>
              <w:rPr>
                <w:rFonts w:eastAsia="Times New Roman" w:cs="Calibri"/>
                <w:color w:val="000000"/>
                <w:sz w:val="20"/>
                <w:szCs w:val="20"/>
                <w:lang w:val="en-US"/>
              </w:rPr>
              <w:t>; volunteers</w:t>
            </w:r>
          </w:p>
          <w:p w14:paraId="47C84A82" w14:textId="77777777" w:rsidR="009D6806" w:rsidRDefault="00705F31">
            <w:pPr>
              <w:pStyle w:val="ListParagraph"/>
              <w:numPr>
                <w:ilvl w:val="0"/>
                <w:numId w:val="3"/>
              </w:numPr>
              <w:spacing w:after="0" w:line="240" w:lineRule="auto"/>
            </w:pPr>
            <w:r>
              <w:rPr>
                <w:rFonts w:eastAsia="Times New Roman" w:cs="Calibri"/>
                <w:b/>
                <w:i/>
                <w:color w:val="000000"/>
                <w:sz w:val="20"/>
                <w:szCs w:val="20"/>
                <w:lang w:val="en-US"/>
              </w:rPr>
              <w:t>Intervention delivery</w:t>
            </w:r>
            <w:r>
              <w:rPr>
                <w:rFonts w:eastAsia="Times New Roman" w:cs="Calibri"/>
                <w:color w:val="000000"/>
                <w:sz w:val="20"/>
                <w:szCs w:val="20"/>
                <w:lang w:val="en-US"/>
              </w:rPr>
              <w:t xml:space="preserve">: Co-host project manager and project </w:t>
            </w:r>
            <w:proofErr w:type="spellStart"/>
            <w:r>
              <w:rPr>
                <w:rFonts w:eastAsia="Times New Roman" w:cs="Calibri"/>
                <w:color w:val="000000"/>
                <w:sz w:val="20"/>
                <w:szCs w:val="20"/>
                <w:lang w:val="en-US"/>
              </w:rPr>
              <w:t>co-ordinator</w:t>
            </w:r>
            <w:proofErr w:type="spellEnd"/>
            <w:r>
              <w:rPr>
                <w:rFonts w:eastAsia="Times New Roman" w:cs="Calibri"/>
                <w:color w:val="000000"/>
                <w:sz w:val="20"/>
                <w:szCs w:val="20"/>
                <w:lang w:val="en-US"/>
              </w:rPr>
              <w:t>; volunteers</w:t>
            </w:r>
          </w:p>
          <w:p w14:paraId="47C84A83" w14:textId="77777777" w:rsidR="009D6806" w:rsidRDefault="00705F31">
            <w:pPr>
              <w:pStyle w:val="ListParagraph"/>
              <w:numPr>
                <w:ilvl w:val="0"/>
                <w:numId w:val="3"/>
              </w:numPr>
              <w:spacing w:after="0" w:line="240" w:lineRule="auto"/>
            </w:pPr>
            <w:r>
              <w:rPr>
                <w:rFonts w:eastAsia="Times New Roman" w:cs="Calibri"/>
                <w:b/>
                <w:i/>
                <w:color w:val="000000"/>
                <w:sz w:val="20"/>
                <w:szCs w:val="20"/>
                <w:lang w:val="en-US"/>
              </w:rPr>
              <w:t xml:space="preserve">Initial training and ongoing support: </w:t>
            </w:r>
            <w:r>
              <w:rPr>
                <w:rFonts w:eastAsia="Times New Roman" w:cs="Calibri"/>
                <w:color w:val="000000"/>
                <w:sz w:val="20"/>
                <w:szCs w:val="20"/>
                <w:lang w:val="en-US"/>
              </w:rPr>
              <w:t>Community engagement team</w:t>
            </w:r>
          </w:p>
        </w:tc>
      </w:tr>
      <w:tr w:rsidR="009D6806" w14:paraId="47C84A87" w14:textId="77777777">
        <w:tblPrEx>
          <w:tblCellMar>
            <w:top w:w="0" w:type="dxa"/>
            <w:bottom w:w="0" w:type="dxa"/>
          </w:tblCellMar>
        </w:tblPrEx>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85" w14:textId="77777777" w:rsidR="009D6806" w:rsidRDefault="00705F31">
            <w:pPr>
              <w:spacing w:after="0" w:line="240" w:lineRule="auto"/>
              <w:rPr>
                <w:rFonts w:eastAsia="Times New Roman" w:cs="Aptos"/>
                <w:b/>
                <w:bCs/>
                <w:color w:val="000000"/>
              </w:rPr>
            </w:pPr>
            <w:r>
              <w:rPr>
                <w:rFonts w:eastAsia="Times New Roman" w:cs="Aptos"/>
                <w:b/>
                <w:bCs/>
                <w:color w:val="000000"/>
              </w:rPr>
              <w:lastRenderedPageBreak/>
              <w:t>6. How</w:t>
            </w:r>
          </w:p>
        </w:tc>
        <w:tc>
          <w:tcPr>
            <w:tcW w:w="1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86" w14:textId="77777777" w:rsidR="009D6806" w:rsidRDefault="00705F31">
            <w:pPr>
              <w:spacing w:after="0" w:line="240" w:lineRule="auto"/>
            </w:pPr>
            <w:r>
              <w:rPr>
                <w:rFonts w:eastAsia="Times New Roman" w:cs="Aptos"/>
                <w:color w:val="000000"/>
                <w:sz w:val="20"/>
                <w:szCs w:val="20"/>
                <w:lang w:val="en-US"/>
              </w:rPr>
              <w:t xml:space="preserve">Community REACH </w:t>
            </w:r>
            <w:proofErr w:type="spellStart"/>
            <w:r>
              <w:rPr>
                <w:rFonts w:eastAsia="Times New Roman" w:cs="Aptos"/>
                <w:color w:val="000000"/>
                <w:sz w:val="20"/>
                <w:szCs w:val="20"/>
                <w:lang w:val="en-US"/>
              </w:rPr>
              <w:t>co-ordinator</w:t>
            </w:r>
            <w:proofErr w:type="spellEnd"/>
            <w:r>
              <w:rPr>
                <w:rFonts w:eastAsia="Times New Roman" w:cs="Aptos"/>
                <w:color w:val="000000"/>
                <w:sz w:val="20"/>
                <w:szCs w:val="20"/>
                <w:lang w:val="en-US"/>
              </w:rPr>
              <w:t xml:space="preserve"> and volunteer team engaged in person with their local communities about antenatal care, through outreach activities, group presentations and one to </w:t>
            </w:r>
            <w:r>
              <w:rPr>
                <w:rFonts w:eastAsia="Times New Roman" w:cs="Aptos"/>
                <w:color w:val="000000"/>
                <w:sz w:val="20"/>
                <w:szCs w:val="20"/>
                <w:lang w:val="en-US"/>
              </w:rPr>
              <w:t>one sessions</w:t>
            </w:r>
          </w:p>
        </w:tc>
      </w:tr>
      <w:tr w:rsidR="009D6806" w14:paraId="47C84A8B" w14:textId="77777777">
        <w:tblPrEx>
          <w:tblCellMar>
            <w:top w:w="0" w:type="dxa"/>
            <w:bottom w:w="0" w:type="dxa"/>
          </w:tblCellMar>
        </w:tblPrEx>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88" w14:textId="77777777" w:rsidR="009D6806" w:rsidRDefault="00705F31">
            <w:pPr>
              <w:spacing w:after="0" w:line="240" w:lineRule="auto"/>
              <w:rPr>
                <w:rFonts w:eastAsia="Times New Roman" w:cs="Aptos"/>
                <w:b/>
                <w:bCs/>
                <w:color w:val="000000"/>
              </w:rPr>
            </w:pPr>
            <w:r>
              <w:rPr>
                <w:rFonts w:eastAsia="Times New Roman" w:cs="Aptos"/>
                <w:b/>
                <w:bCs/>
                <w:color w:val="000000"/>
              </w:rPr>
              <w:t>7. Where</w:t>
            </w:r>
          </w:p>
        </w:tc>
        <w:tc>
          <w:tcPr>
            <w:tcW w:w="1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89" w14:textId="77777777" w:rsidR="009D6806" w:rsidRDefault="00705F31">
            <w:pPr>
              <w:spacing w:after="0" w:line="240" w:lineRule="auto"/>
            </w:pPr>
            <w:r>
              <w:rPr>
                <w:rFonts w:eastAsia="Times New Roman" w:cs="Aptos"/>
                <w:color w:val="000000"/>
                <w:sz w:val="20"/>
                <w:szCs w:val="20"/>
                <w:lang w:val="en-US"/>
              </w:rPr>
              <w:t xml:space="preserve">The intervention was conducted in 20 ethnically and linguistically diverse inner-city electoral wards. </w:t>
            </w:r>
          </w:p>
          <w:p w14:paraId="47C84A8A" w14:textId="77777777" w:rsidR="009D6806" w:rsidRDefault="00705F31">
            <w:pPr>
              <w:spacing w:after="0" w:line="240" w:lineRule="auto"/>
            </w:pPr>
            <w:r>
              <w:rPr>
                <w:rFonts w:eastAsia="Times New Roman" w:cs="Aptos"/>
                <w:color w:val="000000"/>
                <w:sz w:val="20"/>
                <w:szCs w:val="20"/>
                <w:lang w:val="en-US"/>
              </w:rPr>
              <w:t xml:space="preserve">Intervention activities took place within ward boundaries in local community settings, at community </w:t>
            </w:r>
            <w:r>
              <w:rPr>
                <w:rFonts w:eastAsia="Times New Roman" w:cs="Aptos"/>
                <w:color w:val="000000"/>
                <w:sz w:val="20"/>
                <w:szCs w:val="20"/>
                <w:lang w:val="en-US"/>
              </w:rPr>
              <w:t xml:space="preserve">events/activities, evening classes, faith groups; in places of high footfall e.g. GP surgeries, pharmacies, shopping </w:t>
            </w:r>
            <w:proofErr w:type="spellStart"/>
            <w:r>
              <w:rPr>
                <w:rFonts w:eastAsia="Times New Roman" w:cs="Aptos"/>
                <w:color w:val="000000"/>
                <w:sz w:val="20"/>
                <w:szCs w:val="20"/>
                <w:lang w:val="en-US"/>
              </w:rPr>
              <w:t>centres</w:t>
            </w:r>
            <w:proofErr w:type="spellEnd"/>
            <w:r>
              <w:rPr>
                <w:rFonts w:eastAsia="Times New Roman" w:cs="Aptos"/>
                <w:color w:val="000000"/>
                <w:sz w:val="20"/>
                <w:szCs w:val="20"/>
                <w:lang w:val="en-US"/>
              </w:rPr>
              <w:t xml:space="preserve">; and informal, opportunistic outreach on the street </w:t>
            </w:r>
          </w:p>
        </w:tc>
      </w:tr>
      <w:tr w:rsidR="009D6806" w14:paraId="47C84A8E" w14:textId="77777777">
        <w:tblPrEx>
          <w:tblCellMar>
            <w:top w:w="0" w:type="dxa"/>
            <w:bottom w:w="0" w:type="dxa"/>
          </w:tblCellMar>
        </w:tblPrEx>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8C" w14:textId="77777777" w:rsidR="009D6806" w:rsidRDefault="00705F31">
            <w:pPr>
              <w:spacing w:after="0" w:line="240" w:lineRule="auto"/>
              <w:rPr>
                <w:rFonts w:eastAsia="Times New Roman" w:cs="Aptos"/>
                <w:b/>
                <w:bCs/>
                <w:color w:val="000000"/>
              </w:rPr>
            </w:pPr>
            <w:r>
              <w:rPr>
                <w:rFonts w:eastAsia="Times New Roman" w:cs="Aptos"/>
                <w:b/>
                <w:bCs/>
                <w:color w:val="000000"/>
              </w:rPr>
              <w:t>8. When and how much</w:t>
            </w:r>
          </w:p>
        </w:tc>
        <w:tc>
          <w:tcPr>
            <w:tcW w:w="1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8D" w14:textId="77777777" w:rsidR="009D6806" w:rsidRDefault="00705F31">
            <w:pPr>
              <w:spacing w:after="0" w:line="240" w:lineRule="auto"/>
            </w:pPr>
            <w:r>
              <w:rPr>
                <w:rFonts w:eastAsia="Times New Roman" w:cs="Aptos"/>
                <w:color w:val="000000"/>
                <w:sz w:val="20"/>
                <w:szCs w:val="20"/>
                <w:lang w:val="en-US"/>
              </w:rPr>
              <w:t xml:space="preserve">The intervention was delivered over a six-month period with each Community REACH volunteer typically spending at least 1-2 hours per week doing outreach work. Each co-host aimed to recruit at least 10 volunteers. Community REACH project </w:t>
            </w:r>
            <w:proofErr w:type="spellStart"/>
            <w:r>
              <w:rPr>
                <w:rFonts w:eastAsia="Times New Roman" w:cs="Aptos"/>
                <w:color w:val="000000"/>
                <w:sz w:val="20"/>
                <w:szCs w:val="20"/>
                <w:lang w:val="en-US"/>
              </w:rPr>
              <w:t>co-ordinators</w:t>
            </w:r>
            <w:proofErr w:type="spellEnd"/>
            <w:r>
              <w:rPr>
                <w:rFonts w:eastAsia="Times New Roman" w:cs="Aptos"/>
                <w:color w:val="000000"/>
                <w:sz w:val="20"/>
                <w:szCs w:val="20"/>
                <w:lang w:val="en-US"/>
              </w:rPr>
              <w:t xml:space="preserve"> were contracted to undertake intervention activities 2 days per week.</w:t>
            </w:r>
          </w:p>
        </w:tc>
      </w:tr>
      <w:tr w:rsidR="009D6806" w14:paraId="47C84A91" w14:textId="77777777">
        <w:tblPrEx>
          <w:tblCellMar>
            <w:top w:w="0" w:type="dxa"/>
            <w:bottom w:w="0" w:type="dxa"/>
          </w:tblCellMar>
        </w:tblPrEx>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8F" w14:textId="77777777" w:rsidR="009D6806" w:rsidRDefault="00705F31">
            <w:pPr>
              <w:spacing w:after="0" w:line="240" w:lineRule="auto"/>
              <w:rPr>
                <w:rFonts w:eastAsia="Times New Roman" w:cs="Aptos"/>
                <w:b/>
                <w:bCs/>
                <w:color w:val="000000"/>
              </w:rPr>
            </w:pPr>
            <w:r>
              <w:rPr>
                <w:rFonts w:eastAsia="Times New Roman" w:cs="Aptos"/>
                <w:b/>
                <w:bCs/>
                <w:color w:val="000000"/>
              </w:rPr>
              <w:t xml:space="preserve">9. Tailoring </w:t>
            </w:r>
          </w:p>
        </w:tc>
        <w:tc>
          <w:tcPr>
            <w:tcW w:w="1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90" w14:textId="77777777" w:rsidR="009D6806" w:rsidRDefault="00705F31">
            <w:pPr>
              <w:spacing w:after="0" w:line="240" w:lineRule="auto"/>
            </w:pPr>
            <w:r>
              <w:rPr>
                <w:rFonts w:eastAsia="Times New Roman" w:cs="Aptos"/>
                <w:color w:val="000000"/>
                <w:sz w:val="20"/>
                <w:szCs w:val="20"/>
                <w:lang w:val="en-US"/>
              </w:rPr>
              <w:t>Through the co-production process the components of the intervention were tailored to the local community to address cultural beliefs and motivational barriers and strengthen the appropriateness of the intervention for each intervention site e.g. volunteer team, outreach activities</w:t>
            </w:r>
          </w:p>
        </w:tc>
      </w:tr>
      <w:tr w:rsidR="009D6806" w14:paraId="47C84A99" w14:textId="77777777">
        <w:tblPrEx>
          <w:tblCellMar>
            <w:top w:w="0" w:type="dxa"/>
            <w:bottom w:w="0" w:type="dxa"/>
          </w:tblCellMar>
        </w:tblPrEx>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92" w14:textId="77777777" w:rsidR="009D6806" w:rsidRDefault="00705F31">
            <w:pPr>
              <w:spacing w:after="0" w:line="240" w:lineRule="auto"/>
              <w:rPr>
                <w:rFonts w:eastAsia="Times New Roman" w:cs="Aptos"/>
                <w:b/>
                <w:bCs/>
                <w:color w:val="000000"/>
              </w:rPr>
            </w:pPr>
            <w:r>
              <w:rPr>
                <w:rFonts w:eastAsia="Times New Roman" w:cs="Aptos"/>
                <w:b/>
                <w:bCs/>
                <w:color w:val="000000"/>
              </w:rPr>
              <w:t>10. Modifications</w:t>
            </w:r>
          </w:p>
        </w:tc>
        <w:tc>
          <w:tcPr>
            <w:tcW w:w="1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93" w14:textId="77777777" w:rsidR="009D6806" w:rsidRDefault="00705F31">
            <w:pPr>
              <w:spacing w:after="0" w:line="240" w:lineRule="auto"/>
            </w:pPr>
            <w:r>
              <w:rPr>
                <w:rFonts w:eastAsia="Times New Roman" w:cs="Aptos"/>
                <w:color w:val="000000"/>
                <w:sz w:val="20"/>
                <w:szCs w:val="20"/>
                <w:lang w:val="en-US"/>
              </w:rPr>
              <w:t>Delivering intervention messages in languages other than English.</w:t>
            </w:r>
          </w:p>
          <w:p w14:paraId="47C84A94" w14:textId="77777777" w:rsidR="009D6806" w:rsidRDefault="00705F31">
            <w:pPr>
              <w:spacing w:after="0" w:line="240" w:lineRule="auto"/>
            </w:pPr>
            <w:r>
              <w:rPr>
                <w:rFonts w:eastAsia="Times New Roman" w:cs="Aptos"/>
                <w:color w:val="000000"/>
                <w:sz w:val="20"/>
                <w:szCs w:val="20"/>
                <w:lang w:val="en-US"/>
              </w:rPr>
              <w:t>Less focus on conversation targets.</w:t>
            </w:r>
          </w:p>
          <w:p w14:paraId="47C84A95" w14:textId="77777777" w:rsidR="009D6806" w:rsidRDefault="00705F31">
            <w:pPr>
              <w:spacing w:after="0" w:line="240" w:lineRule="auto"/>
            </w:pPr>
            <w:r>
              <w:rPr>
                <w:rFonts w:eastAsia="Times New Roman" w:cs="Aptos"/>
                <w:color w:val="000000"/>
                <w:sz w:val="20"/>
                <w:szCs w:val="20"/>
                <w:lang w:val="en-US"/>
              </w:rPr>
              <w:t>Pairing up volunteers.</w:t>
            </w:r>
          </w:p>
          <w:p w14:paraId="47C84A96" w14:textId="77777777" w:rsidR="009D6806" w:rsidRDefault="00705F31">
            <w:pPr>
              <w:spacing w:after="0" w:line="240" w:lineRule="auto"/>
            </w:pPr>
            <w:r>
              <w:rPr>
                <w:rFonts w:eastAsia="Times New Roman" w:cs="Aptos"/>
                <w:color w:val="000000"/>
                <w:sz w:val="20"/>
                <w:szCs w:val="20"/>
                <w:lang w:val="en-US"/>
              </w:rPr>
              <w:t>Letter to key stakeholders to raise awareness of intervention.</w:t>
            </w:r>
          </w:p>
          <w:p w14:paraId="47C84A97" w14:textId="77777777" w:rsidR="009D6806" w:rsidRDefault="00705F31">
            <w:pPr>
              <w:spacing w:after="0" w:line="240" w:lineRule="auto"/>
            </w:pPr>
            <w:r>
              <w:rPr>
                <w:rFonts w:eastAsia="Times New Roman" w:cs="Aptos"/>
                <w:color w:val="000000"/>
                <w:sz w:val="20"/>
                <w:szCs w:val="20"/>
                <w:lang w:val="en-US"/>
              </w:rPr>
              <w:t xml:space="preserve">Flexibility for local advisory group format and timing of ‘launch event’ for intervention in each area. </w:t>
            </w:r>
          </w:p>
          <w:p w14:paraId="47C84A98" w14:textId="77777777" w:rsidR="009D6806" w:rsidRDefault="00705F31">
            <w:pPr>
              <w:spacing w:after="0" w:line="240" w:lineRule="auto"/>
            </w:pPr>
            <w:r>
              <w:rPr>
                <w:rFonts w:eastAsia="Times New Roman" w:cs="Aptos"/>
                <w:color w:val="000000"/>
                <w:sz w:val="20"/>
                <w:szCs w:val="20"/>
                <w:lang w:val="en-US"/>
              </w:rPr>
              <w:t>End of project thank you event and volunteer certificate.</w:t>
            </w:r>
          </w:p>
        </w:tc>
      </w:tr>
      <w:tr w:rsidR="009D6806" w14:paraId="47C84A9C" w14:textId="77777777">
        <w:tblPrEx>
          <w:tblCellMar>
            <w:top w:w="0" w:type="dxa"/>
            <w:bottom w:w="0" w:type="dxa"/>
          </w:tblCellMar>
        </w:tblPrEx>
        <w:trPr>
          <w:trHeight w:val="1784"/>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9A" w14:textId="77777777" w:rsidR="009D6806" w:rsidRDefault="00705F31">
            <w:pPr>
              <w:spacing w:after="0" w:line="240" w:lineRule="auto"/>
              <w:rPr>
                <w:rFonts w:eastAsia="Times New Roman" w:cs="Aptos"/>
                <w:b/>
                <w:bCs/>
                <w:color w:val="000000"/>
              </w:rPr>
            </w:pPr>
            <w:r>
              <w:rPr>
                <w:rFonts w:eastAsia="Times New Roman" w:cs="Aptos"/>
                <w:b/>
                <w:bCs/>
                <w:color w:val="000000"/>
              </w:rPr>
              <w:t>11. How well: planned</w:t>
            </w:r>
          </w:p>
        </w:tc>
        <w:tc>
          <w:tcPr>
            <w:tcW w:w="1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9B" w14:textId="77777777" w:rsidR="009D6806" w:rsidRDefault="00705F31">
            <w:pPr>
              <w:spacing w:after="0" w:line="240" w:lineRule="auto"/>
            </w:pPr>
            <w:r>
              <w:rPr>
                <w:rFonts w:eastAsia="Times New Roman" w:cs="Aptos"/>
                <w:color w:val="000000"/>
                <w:sz w:val="20"/>
                <w:szCs w:val="20"/>
                <w:lang w:val="en-US"/>
              </w:rPr>
              <w:t xml:space="preserve">The Community REACH trial theory of change model was used to </w:t>
            </w:r>
            <w:r>
              <w:rPr>
                <w:rFonts w:eastAsia="Times New Roman" w:cs="Aptos"/>
                <w:color w:val="000000"/>
                <w:sz w:val="20"/>
                <w:szCs w:val="20"/>
                <w:lang w:val="en-US"/>
              </w:rPr>
              <w:t>guide assessment of intervention fidelity and a set of 14 ‘operational deliverables’ were drawn up covering intervention set up (e.g. draw up a local outreach plan, recruit at least 10 volunteers); intervention delivery (e.g. convene and hold three local advisory group meetings; support each volunteer to carry out at least 50 conversations per month) and co-production (e.g. Work collaboratively with volunteers to deliver the intervention and to develop new skills and competences to advance their personal go</w:t>
            </w:r>
            <w:r>
              <w:rPr>
                <w:rFonts w:eastAsia="Times New Roman" w:cs="Aptos"/>
                <w:color w:val="000000"/>
                <w:sz w:val="20"/>
                <w:szCs w:val="20"/>
                <w:lang w:val="en-US"/>
              </w:rPr>
              <w:t>als; w</w:t>
            </w:r>
            <w:proofErr w:type="spellStart"/>
            <w:r>
              <w:rPr>
                <w:rFonts w:eastAsia="Times New Roman" w:cs="Aptos"/>
                <w:color w:val="000000"/>
                <w:sz w:val="20"/>
                <w:szCs w:val="20"/>
              </w:rPr>
              <w:t>ork</w:t>
            </w:r>
            <w:proofErr w:type="spellEnd"/>
            <w:r>
              <w:rPr>
                <w:rFonts w:eastAsia="Times New Roman" w:cs="Aptos"/>
                <w:color w:val="000000"/>
                <w:sz w:val="20"/>
                <w:szCs w:val="20"/>
              </w:rPr>
              <w:t xml:space="preserve"> with local stakeholders to ensure intervention messages are embedded at all levels within the local community</w:t>
            </w:r>
            <w:r>
              <w:rPr>
                <w:rFonts w:eastAsia="Times New Roman" w:cs="Aptos"/>
                <w:color w:val="000000"/>
                <w:sz w:val="20"/>
                <w:szCs w:val="20"/>
                <w:lang w:val="en-US"/>
              </w:rPr>
              <w:t xml:space="preserve">) . Fidelity data was collected through monthly meetings, monthly monitoring reports, observations and qualitative interviews. An assessment was also made of the extent to which the intervention in each site focused on wider community development work as well as conversation with residents. </w:t>
            </w:r>
          </w:p>
        </w:tc>
      </w:tr>
      <w:tr w:rsidR="009D6806" w14:paraId="47C84AA0" w14:textId="77777777">
        <w:tblPrEx>
          <w:tblCellMar>
            <w:top w:w="0" w:type="dxa"/>
            <w:bottom w:w="0" w:type="dxa"/>
          </w:tblCellMar>
        </w:tblPrEx>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9D" w14:textId="77777777" w:rsidR="009D6806" w:rsidRDefault="00705F31">
            <w:pPr>
              <w:spacing w:after="0" w:line="240" w:lineRule="auto"/>
              <w:rPr>
                <w:rFonts w:eastAsia="Times New Roman" w:cs="Aptos"/>
                <w:b/>
                <w:bCs/>
                <w:color w:val="000000"/>
              </w:rPr>
            </w:pPr>
            <w:r>
              <w:rPr>
                <w:rFonts w:eastAsia="Times New Roman" w:cs="Aptos"/>
                <w:b/>
                <w:bCs/>
                <w:color w:val="000000"/>
              </w:rPr>
              <w:t>12. How well: actual</w:t>
            </w:r>
          </w:p>
        </w:tc>
        <w:tc>
          <w:tcPr>
            <w:tcW w:w="1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A9E" w14:textId="77777777" w:rsidR="009D6806" w:rsidRDefault="00705F31">
            <w:pPr>
              <w:spacing w:after="0" w:line="240" w:lineRule="auto"/>
            </w:pPr>
            <w:r>
              <w:rPr>
                <w:rFonts w:eastAsia="Times New Roman" w:cs="Aptos"/>
                <w:color w:val="000000"/>
                <w:sz w:val="20"/>
                <w:szCs w:val="20"/>
                <w:lang w:val="en-US"/>
              </w:rPr>
              <w:t>Six out of the ten intervention sites showed medium to high fidelity to the operational deliverables whilst fours sites showed low fidelity.</w:t>
            </w:r>
          </w:p>
          <w:p w14:paraId="47C84A9F" w14:textId="77777777" w:rsidR="009D6806" w:rsidRDefault="009D6806">
            <w:pPr>
              <w:spacing w:after="0" w:line="240" w:lineRule="auto"/>
              <w:rPr>
                <w:rFonts w:eastAsia="Times New Roman" w:cs="Aptos"/>
                <w:color w:val="000000"/>
                <w:sz w:val="20"/>
                <w:szCs w:val="20"/>
              </w:rPr>
            </w:pPr>
          </w:p>
        </w:tc>
      </w:tr>
    </w:tbl>
    <w:p w14:paraId="47C84AA1" w14:textId="77777777" w:rsidR="009D6806" w:rsidRDefault="009D6806">
      <w:pPr>
        <w:rPr>
          <w:rFonts w:ascii="Times New Roman" w:eastAsia="Times New Roman" w:hAnsi="Times New Roman"/>
          <w:color w:val="000000"/>
        </w:rPr>
      </w:pPr>
    </w:p>
    <w:p w14:paraId="47C84AA2" w14:textId="77777777" w:rsidR="009D6806" w:rsidRDefault="009D6806"/>
    <w:sectPr w:rsidR="009D6806">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84A69" w14:textId="77777777" w:rsidR="00705F31" w:rsidRDefault="00705F31">
      <w:pPr>
        <w:spacing w:after="0" w:line="240" w:lineRule="auto"/>
      </w:pPr>
      <w:r>
        <w:separator/>
      </w:r>
    </w:p>
  </w:endnote>
  <w:endnote w:type="continuationSeparator" w:id="0">
    <w:p w14:paraId="47C84A6B" w14:textId="77777777" w:rsidR="00705F31" w:rsidRDefault="0070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84A65" w14:textId="77777777" w:rsidR="00705F31" w:rsidRDefault="00705F31">
      <w:pPr>
        <w:spacing w:after="0" w:line="240" w:lineRule="auto"/>
      </w:pPr>
      <w:r>
        <w:rPr>
          <w:color w:val="000000"/>
        </w:rPr>
        <w:separator/>
      </w:r>
    </w:p>
  </w:footnote>
  <w:footnote w:type="continuationSeparator" w:id="0">
    <w:p w14:paraId="47C84A67" w14:textId="77777777" w:rsidR="00705F31" w:rsidRDefault="00705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65E08"/>
    <w:multiLevelType w:val="multilevel"/>
    <w:tmpl w:val="37F04896"/>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 w15:restartNumberingAfterBreak="0">
    <w:nsid w:val="557C407F"/>
    <w:multiLevelType w:val="multilevel"/>
    <w:tmpl w:val="317E0964"/>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 w15:restartNumberingAfterBreak="0">
    <w:nsid w:val="60AF5B7E"/>
    <w:multiLevelType w:val="multilevel"/>
    <w:tmpl w:val="694C1E6E"/>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num w:numId="1" w16cid:durableId="2068649011">
    <w:abstractNumId w:val="0"/>
  </w:num>
  <w:num w:numId="2" w16cid:durableId="1513181818">
    <w:abstractNumId w:val="1"/>
  </w:num>
  <w:num w:numId="3" w16cid:durableId="1489590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D6806"/>
    <w:rsid w:val="00705F31"/>
    <w:rsid w:val="009D6806"/>
    <w:rsid w:val="00CE0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4A65"/>
  <w15:docId w15:val="{4073DB28-6D59-4C43-8292-0D26A9AB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4775</Characters>
  <Application>Microsoft Office Word</Application>
  <DocSecurity>0</DocSecurity>
  <Lines>149</Lines>
  <Paragraphs>96</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Harden, Angela</dc:creator>
  <dc:description/>
  <cp:lastModifiedBy>Harden, Angela</cp:lastModifiedBy>
  <cp:revision>2</cp:revision>
  <dcterms:created xsi:type="dcterms:W3CDTF">2024-11-15T17:10:00Z</dcterms:created>
  <dcterms:modified xsi:type="dcterms:W3CDTF">2024-11-15T17:10:00Z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2024-10-11T14:21:30Z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1be19e3c-8e86-408f-8992-32fbdd42af21</vt:lpwstr>
  </property>
  <property fmtid="{D5CDD505-2E9C-101B-9397-08002B2CF9AE}" pid="8" name="MSIP_Label_06c24981-b6df-48f8-949b-0896357b9b03_ContentBits">
    <vt:lpwstr>0</vt:lpwstr>
  </property>
</Properties>
</file>