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4"/>
        </w:rPr>
        <w:id w:val="-1140033771"/>
        <w:docPartObj>
          <w:docPartGallery w:val="Cover Pages"/>
          <w:docPartUnique/>
        </w:docPartObj>
      </w:sdtPr>
      <w:sdtEndPr/>
      <w:sdtContent>
        <w:p w14:paraId="4615A249" w14:textId="27275FF6" w:rsidR="00636418" w:rsidRPr="00B36F61" w:rsidRDefault="00B36F61" w:rsidP="00A05E6C">
          <w:pPr>
            <w:spacing w:line="360" w:lineRule="auto"/>
            <w:jc w:val="both"/>
            <w:rPr>
              <w:rFonts w:ascii="Arial" w:hAnsi="Arial" w:cs="Arial"/>
              <w:b/>
              <w:bCs/>
              <w:sz w:val="24"/>
            </w:rPr>
          </w:pPr>
          <w:r w:rsidRPr="00B36F61">
            <w:rPr>
              <w:rFonts w:ascii="Arial" w:hAnsi="Arial" w:cs="Arial"/>
              <w:b/>
              <w:bCs/>
              <w:sz w:val="24"/>
            </w:rPr>
            <w:t>Supplementary Online Content</w:t>
          </w:r>
        </w:p>
        <w:p w14:paraId="6F3A282C" w14:textId="77777777" w:rsidR="00B36F61" w:rsidRPr="00B36F61" w:rsidRDefault="00B36F61" w:rsidP="00A05E6C">
          <w:pPr>
            <w:spacing w:line="360" w:lineRule="auto"/>
            <w:jc w:val="both"/>
            <w:rPr>
              <w:rFonts w:ascii="Arial" w:hAnsi="Arial" w:cs="Arial"/>
              <w:b/>
              <w:bCs/>
              <w:sz w:val="24"/>
            </w:rPr>
          </w:pPr>
        </w:p>
        <w:sdt>
          <w:sdtPr>
            <w:rPr>
              <w:rFonts w:ascii="Arial" w:eastAsiaTheme="minorEastAsia" w:hAnsi="Arial" w:cs="Arial"/>
              <w:color w:val="auto"/>
              <w:kern w:val="2"/>
              <w:sz w:val="24"/>
              <w:szCs w:val="24"/>
              <w:lang w:val="en-GB"/>
              <w14:ligatures w14:val="standardContextual"/>
            </w:rPr>
            <w:id w:val="25379952"/>
            <w:docPartObj>
              <w:docPartGallery w:val="Table of Contents"/>
              <w:docPartUnique/>
            </w:docPartObj>
          </w:sdtPr>
          <w:sdtEndPr>
            <w:rPr>
              <w:b/>
              <w:bCs/>
            </w:rPr>
          </w:sdtEndPr>
          <w:sdtContent>
            <w:p w14:paraId="5CC1FDCF" w14:textId="7B582CF5" w:rsidR="00B36F61" w:rsidRPr="00B36F61" w:rsidRDefault="00B36F61">
              <w:pPr>
                <w:pStyle w:val="TOCHeading"/>
                <w:rPr>
                  <w:rFonts w:ascii="Arial" w:hAnsi="Arial" w:cs="Arial"/>
                  <w:color w:val="auto"/>
                  <w:sz w:val="24"/>
                  <w:szCs w:val="24"/>
                </w:rPr>
              </w:pPr>
              <w:r w:rsidRPr="00B36F61">
                <w:rPr>
                  <w:rFonts w:ascii="Arial" w:hAnsi="Arial" w:cs="Arial"/>
                  <w:color w:val="auto"/>
                  <w:sz w:val="24"/>
                  <w:szCs w:val="24"/>
                  <w:lang w:val="en-GB"/>
                </w:rPr>
                <w:t>Contents</w:t>
              </w:r>
            </w:p>
            <w:p w14:paraId="2A978696" w14:textId="04FDB368" w:rsidR="00B36F61" w:rsidRPr="00B36F61" w:rsidRDefault="00B36F61">
              <w:pPr>
                <w:pStyle w:val="TOC2"/>
                <w:tabs>
                  <w:tab w:val="right" w:leader="dot" w:pos="8296"/>
                </w:tabs>
                <w:ind w:left="440"/>
                <w:rPr>
                  <w:rFonts w:ascii="Arial" w:hAnsi="Arial" w:cs="Arial"/>
                  <w:noProof/>
                  <w:sz w:val="24"/>
                </w:rPr>
              </w:pPr>
              <w:r w:rsidRPr="00B36F61">
                <w:rPr>
                  <w:rFonts w:ascii="Arial" w:hAnsi="Arial" w:cs="Arial"/>
                  <w:sz w:val="24"/>
                </w:rPr>
                <w:fldChar w:fldCharType="begin"/>
              </w:r>
              <w:r w:rsidRPr="00B36F61">
                <w:rPr>
                  <w:rFonts w:ascii="Arial" w:hAnsi="Arial" w:cs="Arial"/>
                  <w:sz w:val="24"/>
                </w:rPr>
                <w:instrText xml:space="preserve"> TOC \o "1-3" \h \z \u </w:instrText>
              </w:r>
              <w:r w:rsidRPr="00B36F61">
                <w:rPr>
                  <w:rFonts w:ascii="Arial" w:hAnsi="Arial" w:cs="Arial"/>
                  <w:sz w:val="24"/>
                </w:rPr>
                <w:fldChar w:fldCharType="separate"/>
              </w:r>
              <w:hyperlink w:anchor="_Toc180440714" w:history="1">
                <w:r w:rsidRPr="00B36F61">
                  <w:rPr>
                    <w:rStyle w:val="Hyperlink"/>
                    <w:rFonts w:ascii="Arial" w:hAnsi="Arial" w:cs="Arial"/>
                    <w:b/>
                    <w:bCs/>
                    <w:noProof/>
                    <w:sz w:val="24"/>
                  </w:rPr>
                  <w:t>eMethods</w:t>
                </w:r>
                <w:r w:rsidRPr="00B36F61">
                  <w:rPr>
                    <w:rFonts w:ascii="Arial" w:hAnsi="Arial" w:cs="Arial"/>
                    <w:noProof/>
                    <w:webHidden/>
                    <w:sz w:val="24"/>
                  </w:rPr>
                  <w:tab/>
                </w:r>
                <w:r w:rsidRPr="00B36F61">
                  <w:rPr>
                    <w:rFonts w:ascii="Arial" w:hAnsi="Arial" w:cs="Arial"/>
                    <w:noProof/>
                    <w:webHidden/>
                    <w:sz w:val="24"/>
                  </w:rPr>
                  <w:fldChar w:fldCharType="begin"/>
                </w:r>
                <w:r w:rsidRPr="00B36F61">
                  <w:rPr>
                    <w:rFonts w:ascii="Arial" w:hAnsi="Arial" w:cs="Arial"/>
                    <w:noProof/>
                    <w:webHidden/>
                    <w:sz w:val="24"/>
                  </w:rPr>
                  <w:instrText xml:space="preserve"> PAGEREF _Toc180440714 \h </w:instrText>
                </w:r>
                <w:r w:rsidRPr="00B36F61">
                  <w:rPr>
                    <w:rFonts w:ascii="Arial" w:hAnsi="Arial" w:cs="Arial"/>
                    <w:noProof/>
                    <w:webHidden/>
                    <w:sz w:val="24"/>
                  </w:rPr>
                </w:r>
                <w:r w:rsidRPr="00B36F61">
                  <w:rPr>
                    <w:rFonts w:ascii="Arial" w:hAnsi="Arial" w:cs="Arial"/>
                    <w:noProof/>
                    <w:webHidden/>
                    <w:sz w:val="24"/>
                  </w:rPr>
                  <w:fldChar w:fldCharType="separate"/>
                </w:r>
                <w:r w:rsidRPr="00B36F61">
                  <w:rPr>
                    <w:rFonts w:ascii="Arial" w:hAnsi="Arial" w:cs="Arial"/>
                    <w:noProof/>
                    <w:webHidden/>
                    <w:sz w:val="24"/>
                  </w:rPr>
                  <w:t>1</w:t>
                </w:r>
                <w:r w:rsidRPr="00B36F61">
                  <w:rPr>
                    <w:rFonts w:ascii="Arial" w:hAnsi="Arial" w:cs="Arial"/>
                    <w:noProof/>
                    <w:webHidden/>
                    <w:sz w:val="24"/>
                  </w:rPr>
                  <w:fldChar w:fldCharType="end"/>
                </w:r>
              </w:hyperlink>
            </w:p>
            <w:p w14:paraId="1212F419" w14:textId="492A4AB2" w:rsidR="00B36F61" w:rsidRPr="00B36F61" w:rsidRDefault="00B36F61">
              <w:pPr>
                <w:pStyle w:val="TOC3"/>
                <w:tabs>
                  <w:tab w:val="right" w:leader="dot" w:pos="8296"/>
                </w:tabs>
                <w:ind w:left="880"/>
                <w:rPr>
                  <w:rFonts w:ascii="Arial" w:hAnsi="Arial" w:cs="Arial"/>
                  <w:noProof/>
                  <w:sz w:val="24"/>
                </w:rPr>
              </w:pPr>
              <w:hyperlink w:anchor="_Toc180440715" w:history="1">
                <w:r w:rsidRPr="00B36F61">
                  <w:rPr>
                    <w:rStyle w:val="Hyperlink"/>
                    <w:rFonts w:ascii="Arial" w:hAnsi="Arial" w:cs="Arial"/>
                    <w:noProof/>
                    <w:sz w:val="24"/>
                    <w:lang w:val="en-GB"/>
                  </w:rPr>
                  <w:t>Experimental procedure</w:t>
                </w:r>
                <w:r w:rsidRPr="00B36F61">
                  <w:rPr>
                    <w:rFonts w:ascii="Arial" w:hAnsi="Arial" w:cs="Arial"/>
                    <w:noProof/>
                    <w:webHidden/>
                    <w:sz w:val="24"/>
                  </w:rPr>
                  <w:tab/>
                </w:r>
                <w:r w:rsidRPr="00B36F61">
                  <w:rPr>
                    <w:rFonts w:ascii="Arial" w:hAnsi="Arial" w:cs="Arial"/>
                    <w:noProof/>
                    <w:webHidden/>
                    <w:sz w:val="24"/>
                  </w:rPr>
                  <w:fldChar w:fldCharType="begin"/>
                </w:r>
                <w:r w:rsidRPr="00B36F61">
                  <w:rPr>
                    <w:rFonts w:ascii="Arial" w:hAnsi="Arial" w:cs="Arial"/>
                    <w:noProof/>
                    <w:webHidden/>
                    <w:sz w:val="24"/>
                  </w:rPr>
                  <w:instrText xml:space="preserve"> PAGEREF _Toc180440715 \h </w:instrText>
                </w:r>
                <w:r w:rsidRPr="00B36F61">
                  <w:rPr>
                    <w:rFonts w:ascii="Arial" w:hAnsi="Arial" w:cs="Arial"/>
                    <w:noProof/>
                    <w:webHidden/>
                    <w:sz w:val="24"/>
                  </w:rPr>
                </w:r>
                <w:r w:rsidRPr="00B36F61">
                  <w:rPr>
                    <w:rFonts w:ascii="Arial" w:hAnsi="Arial" w:cs="Arial"/>
                    <w:noProof/>
                    <w:webHidden/>
                    <w:sz w:val="24"/>
                  </w:rPr>
                  <w:fldChar w:fldCharType="separate"/>
                </w:r>
                <w:r w:rsidRPr="00B36F61">
                  <w:rPr>
                    <w:rFonts w:ascii="Arial" w:hAnsi="Arial" w:cs="Arial"/>
                    <w:noProof/>
                    <w:webHidden/>
                    <w:sz w:val="24"/>
                  </w:rPr>
                  <w:t>1</w:t>
                </w:r>
                <w:r w:rsidRPr="00B36F61">
                  <w:rPr>
                    <w:rFonts w:ascii="Arial" w:hAnsi="Arial" w:cs="Arial"/>
                    <w:noProof/>
                    <w:webHidden/>
                    <w:sz w:val="24"/>
                  </w:rPr>
                  <w:fldChar w:fldCharType="end"/>
                </w:r>
              </w:hyperlink>
            </w:p>
            <w:p w14:paraId="7C2B211F" w14:textId="54B123FF" w:rsidR="00B36F61" w:rsidRPr="00B36F61" w:rsidRDefault="00B36F61">
              <w:pPr>
                <w:pStyle w:val="TOC3"/>
                <w:tabs>
                  <w:tab w:val="right" w:leader="dot" w:pos="8296"/>
                </w:tabs>
                <w:ind w:left="880"/>
                <w:rPr>
                  <w:rFonts w:ascii="Arial" w:hAnsi="Arial" w:cs="Arial"/>
                  <w:noProof/>
                  <w:sz w:val="24"/>
                </w:rPr>
              </w:pPr>
              <w:hyperlink w:anchor="_Toc180440716" w:history="1">
                <w:r w:rsidRPr="00B36F61">
                  <w:rPr>
                    <w:rStyle w:val="Hyperlink"/>
                    <w:rFonts w:ascii="Arial" w:hAnsi="Arial" w:cs="Arial"/>
                    <w:noProof/>
                    <w:sz w:val="24"/>
                  </w:rPr>
                  <w:t>fMRI processing and subject-level analysis details</w:t>
                </w:r>
                <w:r w:rsidRPr="00B36F61">
                  <w:rPr>
                    <w:rFonts w:ascii="Arial" w:hAnsi="Arial" w:cs="Arial"/>
                    <w:noProof/>
                    <w:webHidden/>
                    <w:sz w:val="24"/>
                  </w:rPr>
                  <w:tab/>
                </w:r>
                <w:r w:rsidRPr="00B36F61">
                  <w:rPr>
                    <w:rFonts w:ascii="Arial" w:hAnsi="Arial" w:cs="Arial"/>
                    <w:noProof/>
                    <w:webHidden/>
                    <w:sz w:val="24"/>
                  </w:rPr>
                  <w:fldChar w:fldCharType="begin"/>
                </w:r>
                <w:r w:rsidRPr="00B36F61">
                  <w:rPr>
                    <w:rFonts w:ascii="Arial" w:hAnsi="Arial" w:cs="Arial"/>
                    <w:noProof/>
                    <w:webHidden/>
                    <w:sz w:val="24"/>
                  </w:rPr>
                  <w:instrText xml:space="preserve"> PAGEREF _Toc180440716 \h </w:instrText>
                </w:r>
                <w:r w:rsidRPr="00B36F61">
                  <w:rPr>
                    <w:rFonts w:ascii="Arial" w:hAnsi="Arial" w:cs="Arial"/>
                    <w:noProof/>
                    <w:webHidden/>
                    <w:sz w:val="24"/>
                  </w:rPr>
                </w:r>
                <w:r w:rsidRPr="00B36F61">
                  <w:rPr>
                    <w:rFonts w:ascii="Arial" w:hAnsi="Arial" w:cs="Arial"/>
                    <w:noProof/>
                    <w:webHidden/>
                    <w:sz w:val="24"/>
                  </w:rPr>
                  <w:fldChar w:fldCharType="separate"/>
                </w:r>
                <w:r w:rsidRPr="00B36F61">
                  <w:rPr>
                    <w:rFonts w:ascii="Arial" w:hAnsi="Arial" w:cs="Arial"/>
                    <w:noProof/>
                    <w:webHidden/>
                    <w:sz w:val="24"/>
                  </w:rPr>
                  <w:t>2</w:t>
                </w:r>
                <w:r w:rsidRPr="00B36F61">
                  <w:rPr>
                    <w:rFonts w:ascii="Arial" w:hAnsi="Arial" w:cs="Arial"/>
                    <w:noProof/>
                    <w:webHidden/>
                    <w:sz w:val="24"/>
                  </w:rPr>
                  <w:fldChar w:fldCharType="end"/>
                </w:r>
              </w:hyperlink>
            </w:p>
            <w:p w14:paraId="1DA28B63" w14:textId="1A2530D7" w:rsidR="00B36F61" w:rsidRPr="00B36F61" w:rsidRDefault="00B36F61">
              <w:pPr>
                <w:pStyle w:val="TOC2"/>
                <w:tabs>
                  <w:tab w:val="right" w:leader="dot" w:pos="8296"/>
                </w:tabs>
                <w:ind w:left="440"/>
                <w:rPr>
                  <w:rFonts w:ascii="Arial" w:hAnsi="Arial" w:cs="Arial"/>
                  <w:noProof/>
                  <w:sz w:val="24"/>
                </w:rPr>
              </w:pPr>
              <w:hyperlink w:anchor="_Toc180440717" w:history="1">
                <w:r w:rsidRPr="00B36F61">
                  <w:rPr>
                    <w:rStyle w:val="Hyperlink"/>
                    <w:rFonts w:ascii="Arial" w:hAnsi="Arial" w:cs="Arial"/>
                    <w:b/>
                    <w:bCs/>
                    <w:noProof/>
                    <w:sz w:val="24"/>
                  </w:rPr>
                  <w:t>eFigures</w:t>
                </w:r>
                <w:r w:rsidRPr="00B36F61">
                  <w:rPr>
                    <w:rFonts w:ascii="Arial" w:hAnsi="Arial" w:cs="Arial"/>
                    <w:noProof/>
                    <w:webHidden/>
                    <w:sz w:val="24"/>
                  </w:rPr>
                  <w:tab/>
                </w:r>
                <w:r w:rsidRPr="00B36F61">
                  <w:rPr>
                    <w:rFonts w:ascii="Arial" w:hAnsi="Arial" w:cs="Arial"/>
                    <w:noProof/>
                    <w:webHidden/>
                    <w:sz w:val="24"/>
                  </w:rPr>
                  <w:fldChar w:fldCharType="begin"/>
                </w:r>
                <w:r w:rsidRPr="00B36F61">
                  <w:rPr>
                    <w:rFonts w:ascii="Arial" w:hAnsi="Arial" w:cs="Arial"/>
                    <w:noProof/>
                    <w:webHidden/>
                    <w:sz w:val="24"/>
                  </w:rPr>
                  <w:instrText xml:space="preserve"> PAGEREF _Toc180440717 \h </w:instrText>
                </w:r>
                <w:r w:rsidRPr="00B36F61">
                  <w:rPr>
                    <w:rFonts w:ascii="Arial" w:hAnsi="Arial" w:cs="Arial"/>
                    <w:noProof/>
                    <w:webHidden/>
                    <w:sz w:val="24"/>
                  </w:rPr>
                </w:r>
                <w:r w:rsidRPr="00B36F61">
                  <w:rPr>
                    <w:rFonts w:ascii="Arial" w:hAnsi="Arial" w:cs="Arial"/>
                    <w:noProof/>
                    <w:webHidden/>
                    <w:sz w:val="24"/>
                  </w:rPr>
                  <w:fldChar w:fldCharType="separate"/>
                </w:r>
                <w:r w:rsidRPr="00B36F61">
                  <w:rPr>
                    <w:rFonts w:ascii="Arial" w:hAnsi="Arial" w:cs="Arial"/>
                    <w:noProof/>
                    <w:webHidden/>
                    <w:sz w:val="24"/>
                  </w:rPr>
                  <w:t>4</w:t>
                </w:r>
                <w:r w:rsidRPr="00B36F61">
                  <w:rPr>
                    <w:rFonts w:ascii="Arial" w:hAnsi="Arial" w:cs="Arial"/>
                    <w:noProof/>
                    <w:webHidden/>
                    <w:sz w:val="24"/>
                  </w:rPr>
                  <w:fldChar w:fldCharType="end"/>
                </w:r>
              </w:hyperlink>
            </w:p>
            <w:p w14:paraId="7FCA28CE" w14:textId="18F018B1" w:rsidR="00B36F61" w:rsidRPr="00B36F61" w:rsidRDefault="00B36F61">
              <w:pPr>
                <w:pStyle w:val="TOC3"/>
                <w:tabs>
                  <w:tab w:val="right" w:leader="dot" w:pos="8296"/>
                </w:tabs>
                <w:ind w:left="880"/>
                <w:rPr>
                  <w:rFonts w:ascii="Arial" w:hAnsi="Arial" w:cs="Arial"/>
                  <w:noProof/>
                  <w:sz w:val="24"/>
                </w:rPr>
              </w:pPr>
              <w:hyperlink w:anchor="_Toc180440718" w:history="1">
                <w:r w:rsidRPr="00B36F61">
                  <w:rPr>
                    <w:rStyle w:val="Hyperlink"/>
                    <w:rFonts w:ascii="Arial" w:hAnsi="Arial" w:cs="Arial"/>
                    <w:noProof/>
                    <w:sz w:val="24"/>
                  </w:rPr>
                  <w:t>eFigure 1. Example 1H-MRS voxel positioning and spectra in left hippocampus.</w:t>
                </w:r>
                <w:r w:rsidRPr="00B36F61">
                  <w:rPr>
                    <w:rFonts w:ascii="Arial" w:hAnsi="Arial" w:cs="Arial"/>
                    <w:noProof/>
                    <w:webHidden/>
                    <w:sz w:val="24"/>
                  </w:rPr>
                  <w:tab/>
                </w:r>
                <w:r w:rsidRPr="00B36F61">
                  <w:rPr>
                    <w:rFonts w:ascii="Arial" w:hAnsi="Arial" w:cs="Arial"/>
                    <w:noProof/>
                    <w:webHidden/>
                    <w:sz w:val="24"/>
                  </w:rPr>
                  <w:fldChar w:fldCharType="begin"/>
                </w:r>
                <w:r w:rsidRPr="00B36F61">
                  <w:rPr>
                    <w:rFonts w:ascii="Arial" w:hAnsi="Arial" w:cs="Arial"/>
                    <w:noProof/>
                    <w:webHidden/>
                    <w:sz w:val="24"/>
                  </w:rPr>
                  <w:instrText xml:space="preserve"> PAGEREF _Toc180440718 \h </w:instrText>
                </w:r>
                <w:r w:rsidRPr="00B36F61">
                  <w:rPr>
                    <w:rFonts w:ascii="Arial" w:hAnsi="Arial" w:cs="Arial"/>
                    <w:noProof/>
                    <w:webHidden/>
                    <w:sz w:val="24"/>
                  </w:rPr>
                </w:r>
                <w:r w:rsidRPr="00B36F61">
                  <w:rPr>
                    <w:rFonts w:ascii="Arial" w:hAnsi="Arial" w:cs="Arial"/>
                    <w:noProof/>
                    <w:webHidden/>
                    <w:sz w:val="24"/>
                  </w:rPr>
                  <w:fldChar w:fldCharType="separate"/>
                </w:r>
                <w:r w:rsidRPr="00B36F61">
                  <w:rPr>
                    <w:rFonts w:ascii="Arial" w:hAnsi="Arial" w:cs="Arial"/>
                    <w:noProof/>
                    <w:webHidden/>
                    <w:sz w:val="24"/>
                  </w:rPr>
                  <w:t>4</w:t>
                </w:r>
                <w:r w:rsidRPr="00B36F61">
                  <w:rPr>
                    <w:rFonts w:ascii="Arial" w:hAnsi="Arial" w:cs="Arial"/>
                    <w:noProof/>
                    <w:webHidden/>
                    <w:sz w:val="24"/>
                  </w:rPr>
                  <w:fldChar w:fldCharType="end"/>
                </w:r>
              </w:hyperlink>
            </w:p>
            <w:p w14:paraId="098C70DC" w14:textId="41F27007" w:rsidR="00B36F61" w:rsidRPr="00B36F61" w:rsidRDefault="00B36F61">
              <w:pPr>
                <w:pStyle w:val="TOC3"/>
                <w:tabs>
                  <w:tab w:val="right" w:leader="dot" w:pos="8296"/>
                </w:tabs>
                <w:ind w:left="880"/>
                <w:rPr>
                  <w:rFonts w:ascii="Arial" w:hAnsi="Arial" w:cs="Arial"/>
                  <w:noProof/>
                  <w:sz w:val="24"/>
                </w:rPr>
              </w:pPr>
              <w:hyperlink w:anchor="_Toc180440719" w:history="1">
                <w:r w:rsidRPr="00B36F61">
                  <w:rPr>
                    <w:rStyle w:val="Hyperlink"/>
                    <w:rFonts w:ascii="Arial" w:hAnsi="Arial" w:cs="Arial"/>
                    <w:noProof/>
                    <w:sz w:val="24"/>
                  </w:rPr>
                  <w:t>eFigure 2: pre-defined anatomical mask</w:t>
                </w:r>
                <w:r w:rsidRPr="00B36F61">
                  <w:rPr>
                    <w:rFonts w:ascii="Arial" w:hAnsi="Arial" w:cs="Arial"/>
                    <w:noProof/>
                    <w:webHidden/>
                    <w:sz w:val="24"/>
                  </w:rPr>
                  <w:tab/>
                </w:r>
                <w:r w:rsidRPr="00B36F61">
                  <w:rPr>
                    <w:rFonts w:ascii="Arial" w:hAnsi="Arial" w:cs="Arial"/>
                    <w:noProof/>
                    <w:webHidden/>
                    <w:sz w:val="24"/>
                  </w:rPr>
                  <w:fldChar w:fldCharType="begin"/>
                </w:r>
                <w:r w:rsidRPr="00B36F61">
                  <w:rPr>
                    <w:rFonts w:ascii="Arial" w:hAnsi="Arial" w:cs="Arial"/>
                    <w:noProof/>
                    <w:webHidden/>
                    <w:sz w:val="24"/>
                  </w:rPr>
                  <w:instrText xml:space="preserve"> PAGEREF _Toc180440719 \h </w:instrText>
                </w:r>
                <w:r w:rsidRPr="00B36F61">
                  <w:rPr>
                    <w:rFonts w:ascii="Arial" w:hAnsi="Arial" w:cs="Arial"/>
                    <w:noProof/>
                    <w:webHidden/>
                    <w:sz w:val="24"/>
                  </w:rPr>
                </w:r>
                <w:r w:rsidRPr="00B36F61">
                  <w:rPr>
                    <w:rFonts w:ascii="Arial" w:hAnsi="Arial" w:cs="Arial"/>
                    <w:noProof/>
                    <w:webHidden/>
                    <w:sz w:val="24"/>
                  </w:rPr>
                  <w:fldChar w:fldCharType="separate"/>
                </w:r>
                <w:r w:rsidRPr="00B36F61">
                  <w:rPr>
                    <w:rFonts w:ascii="Arial" w:hAnsi="Arial" w:cs="Arial"/>
                    <w:noProof/>
                    <w:webHidden/>
                    <w:sz w:val="24"/>
                  </w:rPr>
                  <w:t>5</w:t>
                </w:r>
                <w:r w:rsidRPr="00B36F61">
                  <w:rPr>
                    <w:rFonts w:ascii="Arial" w:hAnsi="Arial" w:cs="Arial"/>
                    <w:noProof/>
                    <w:webHidden/>
                    <w:sz w:val="24"/>
                  </w:rPr>
                  <w:fldChar w:fldCharType="end"/>
                </w:r>
              </w:hyperlink>
            </w:p>
            <w:p w14:paraId="6BD24B83" w14:textId="6A4D8B4C" w:rsidR="00B36F61" w:rsidRPr="00B36F61" w:rsidRDefault="00B36F61">
              <w:pPr>
                <w:pStyle w:val="TOC3"/>
                <w:tabs>
                  <w:tab w:val="right" w:leader="dot" w:pos="8296"/>
                </w:tabs>
                <w:ind w:left="880"/>
                <w:rPr>
                  <w:rFonts w:ascii="Arial" w:hAnsi="Arial" w:cs="Arial"/>
                  <w:noProof/>
                  <w:sz w:val="24"/>
                </w:rPr>
              </w:pPr>
              <w:hyperlink w:anchor="_Toc180440720" w:history="1">
                <w:r w:rsidRPr="00B36F61">
                  <w:rPr>
                    <w:rStyle w:val="Hyperlink"/>
                    <w:rFonts w:ascii="Arial" w:hAnsi="Arial" w:cs="Arial"/>
                    <w:noProof/>
                    <w:sz w:val="24"/>
                  </w:rPr>
                  <w:t>eFigure 3. Association between hippocampal glutamate levels and brain activation in healthy controls</w:t>
                </w:r>
                <w:r w:rsidRPr="00B36F61">
                  <w:rPr>
                    <w:rFonts w:ascii="Arial" w:hAnsi="Arial" w:cs="Arial"/>
                    <w:noProof/>
                    <w:webHidden/>
                    <w:sz w:val="24"/>
                  </w:rPr>
                  <w:tab/>
                </w:r>
                <w:r w:rsidRPr="00B36F61">
                  <w:rPr>
                    <w:rFonts w:ascii="Arial" w:hAnsi="Arial" w:cs="Arial"/>
                    <w:noProof/>
                    <w:webHidden/>
                    <w:sz w:val="24"/>
                  </w:rPr>
                  <w:fldChar w:fldCharType="begin"/>
                </w:r>
                <w:r w:rsidRPr="00B36F61">
                  <w:rPr>
                    <w:rFonts w:ascii="Arial" w:hAnsi="Arial" w:cs="Arial"/>
                    <w:noProof/>
                    <w:webHidden/>
                    <w:sz w:val="24"/>
                  </w:rPr>
                  <w:instrText xml:space="preserve"> PAGEREF _Toc180440720 \h </w:instrText>
                </w:r>
                <w:r w:rsidRPr="00B36F61">
                  <w:rPr>
                    <w:rFonts w:ascii="Arial" w:hAnsi="Arial" w:cs="Arial"/>
                    <w:noProof/>
                    <w:webHidden/>
                    <w:sz w:val="24"/>
                  </w:rPr>
                </w:r>
                <w:r w:rsidRPr="00B36F61">
                  <w:rPr>
                    <w:rFonts w:ascii="Arial" w:hAnsi="Arial" w:cs="Arial"/>
                    <w:noProof/>
                    <w:webHidden/>
                    <w:sz w:val="24"/>
                  </w:rPr>
                  <w:fldChar w:fldCharType="separate"/>
                </w:r>
                <w:r w:rsidRPr="00B36F61">
                  <w:rPr>
                    <w:rFonts w:ascii="Arial" w:hAnsi="Arial" w:cs="Arial"/>
                    <w:noProof/>
                    <w:webHidden/>
                    <w:sz w:val="24"/>
                  </w:rPr>
                  <w:t>6</w:t>
                </w:r>
                <w:r w:rsidRPr="00B36F61">
                  <w:rPr>
                    <w:rFonts w:ascii="Arial" w:hAnsi="Arial" w:cs="Arial"/>
                    <w:noProof/>
                    <w:webHidden/>
                    <w:sz w:val="24"/>
                  </w:rPr>
                  <w:fldChar w:fldCharType="end"/>
                </w:r>
              </w:hyperlink>
            </w:p>
            <w:p w14:paraId="1932C5CB" w14:textId="3BE5D639" w:rsidR="00B36F61" w:rsidRPr="00B36F61" w:rsidRDefault="00B36F61">
              <w:pPr>
                <w:rPr>
                  <w:rFonts w:ascii="Arial" w:hAnsi="Arial" w:cs="Arial"/>
                  <w:sz w:val="24"/>
                </w:rPr>
              </w:pPr>
              <w:r w:rsidRPr="00B36F61">
                <w:rPr>
                  <w:rFonts w:ascii="Arial" w:hAnsi="Arial" w:cs="Arial"/>
                  <w:b/>
                  <w:bCs/>
                  <w:sz w:val="24"/>
                  <w:lang w:val="en-GB"/>
                </w:rPr>
                <w:fldChar w:fldCharType="end"/>
              </w:r>
            </w:p>
          </w:sdtContent>
        </w:sdt>
        <w:p w14:paraId="274414C2" w14:textId="77777777" w:rsidR="00B36F61" w:rsidRPr="00B36F61" w:rsidRDefault="00B36F61" w:rsidP="00A05E6C">
          <w:pPr>
            <w:spacing w:line="360" w:lineRule="auto"/>
            <w:jc w:val="both"/>
            <w:rPr>
              <w:rFonts w:ascii="Arial" w:hAnsi="Arial" w:cs="Arial"/>
              <w:b/>
              <w:bCs/>
              <w:sz w:val="24"/>
            </w:rPr>
          </w:pPr>
        </w:p>
        <w:p w14:paraId="0195F56D" w14:textId="77777777" w:rsidR="000D083B" w:rsidRPr="00335458" w:rsidRDefault="000D083B" w:rsidP="00A05E6C">
          <w:pPr>
            <w:widowControl/>
            <w:spacing w:line="360" w:lineRule="auto"/>
            <w:jc w:val="both"/>
            <w:rPr>
              <w:rFonts w:ascii="Arial" w:hAnsi="Arial" w:cs="Arial"/>
              <w:sz w:val="24"/>
              <w:lang w:val="en-GB"/>
            </w:rPr>
          </w:pPr>
          <w:r w:rsidRPr="00B36F61">
            <w:rPr>
              <w:rFonts w:ascii="Arial" w:hAnsi="Arial" w:cs="Arial"/>
              <w:sz w:val="24"/>
            </w:rPr>
            <w:br w:type="page"/>
          </w:r>
        </w:p>
        <w:p w14:paraId="465F037D" w14:textId="4A5A3451" w:rsidR="00636418" w:rsidRPr="00B36F61" w:rsidRDefault="00497F52" w:rsidP="00A05E6C">
          <w:pPr>
            <w:widowControl/>
            <w:spacing w:line="360" w:lineRule="auto"/>
            <w:jc w:val="both"/>
            <w:rPr>
              <w:rFonts w:ascii="Arial" w:eastAsiaTheme="majorEastAsia" w:hAnsi="Arial" w:cs="Arial"/>
              <w:sz w:val="24"/>
            </w:rPr>
          </w:pPr>
        </w:p>
      </w:sdtContent>
    </w:sdt>
    <w:p w14:paraId="1A908696" w14:textId="048D9378" w:rsidR="007F7F9A" w:rsidRPr="00B36F61" w:rsidRDefault="00322249" w:rsidP="00A05E6C">
      <w:pPr>
        <w:pStyle w:val="Heading2"/>
        <w:spacing w:line="360" w:lineRule="auto"/>
        <w:jc w:val="both"/>
        <w:rPr>
          <w:rFonts w:ascii="Arial" w:hAnsi="Arial" w:cs="Arial"/>
          <w:b/>
          <w:bCs/>
          <w:color w:val="auto"/>
          <w:sz w:val="24"/>
          <w:szCs w:val="24"/>
        </w:rPr>
      </w:pPr>
      <w:bookmarkStart w:id="0" w:name="_Toc180440445"/>
      <w:bookmarkStart w:id="1" w:name="_Toc180440714"/>
      <w:r w:rsidRPr="00B36F61">
        <w:rPr>
          <w:rFonts w:ascii="Arial" w:hAnsi="Arial" w:cs="Arial"/>
          <w:b/>
          <w:bCs/>
          <w:color w:val="auto"/>
          <w:sz w:val="24"/>
          <w:szCs w:val="24"/>
        </w:rPr>
        <w:t>e</w:t>
      </w:r>
      <w:r w:rsidR="007F7F9A" w:rsidRPr="00B36F61">
        <w:rPr>
          <w:rFonts w:ascii="Arial" w:hAnsi="Arial" w:cs="Arial"/>
          <w:b/>
          <w:bCs/>
          <w:color w:val="auto"/>
          <w:sz w:val="24"/>
          <w:szCs w:val="24"/>
        </w:rPr>
        <w:t>Methods</w:t>
      </w:r>
      <w:bookmarkEnd w:id="0"/>
      <w:bookmarkEnd w:id="1"/>
    </w:p>
    <w:p w14:paraId="1D54F295" w14:textId="64E4F1B9" w:rsidR="00BB6BA8" w:rsidRPr="006121CD" w:rsidRDefault="00BB6BA8" w:rsidP="00A05E6C">
      <w:pPr>
        <w:pStyle w:val="Heading3"/>
        <w:spacing w:line="360" w:lineRule="auto"/>
        <w:jc w:val="both"/>
        <w:rPr>
          <w:rStyle w:val="Strong"/>
          <w:rFonts w:ascii="Arial" w:hAnsi="Arial" w:cs="Arial"/>
          <w:i/>
          <w:iCs/>
          <w:color w:val="auto"/>
          <w:sz w:val="24"/>
          <w:szCs w:val="24"/>
          <w:lang w:val="en-GB"/>
        </w:rPr>
      </w:pPr>
      <w:bookmarkStart w:id="2" w:name="_Toc180440446"/>
      <w:bookmarkStart w:id="3" w:name="_Toc180440715"/>
      <w:r w:rsidRPr="006121CD">
        <w:rPr>
          <w:rStyle w:val="Strong"/>
          <w:rFonts w:ascii="Arial" w:hAnsi="Arial" w:cs="Arial"/>
          <w:i/>
          <w:iCs/>
          <w:color w:val="auto"/>
          <w:sz w:val="24"/>
          <w:szCs w:val="24"/>
          <w:lang w:val="en-GB"/>
        </w:rPr>
        <w:t>Experimental procedure</w:t>
      </w:r>
      <w:bookmarkEnd w:id="2"/>
      <w:bookmarkEnd w:id="3"/>
    </w:p>
    <w:p w14:paraId="0F936CC3" w14:textId="0FF72F24" w:rsidR="002038B2" w:rsidRPr="00B36F61" w:rsidRDefault="002038B2" w:rsidP="00A05E6C">
      <w:pPr>
        <w:spacing w:line="360" w:lineRule="auto"/>
        <w:jc w:val="both"/>
        <w:rPr>
          <w:rFonts w:ascii="Arial" w:hAnsi="Arial" w:cs="Arial"/>
          <w:sz w:val="24"/>
          <w:lang w:val="en-GB"/>
        </w:rPr>
      </w:pPr>
      <w:r w:rsidRPr="00B36F61">
        <w:rPr>
          <w:rFonts w:ascii="Arial" w:hAnsi="Arial" w:cs="Arial"/>
          <w:sz w:val="24"/>
        </w:rPr>
        <w:t>The procedure has been published in previous studies</w:t>
      </w:r>
      <w:r w:rsidR="00BE6380" w:rsidRPr="00B36F61">
        <w:rPr>
          <w:rFonts w:ascii="Arial" w:hAnsi="Arial" w:cs="Arial"/>
          <w:sz w:val="24"/>
          <w:lang w:val="en-GB"/>
        </w:rPr>
        <w:t xml:space="preserve"> </w:t>
      </w:r>
      <w:r w:rsidR="00BE6380" w:rsidRPr="00B36F61">
        <w:rPr>
          <w:rFonts w:ascii="Arial" w:hAnsi="Arial" w:cs="Arial"/>
          <w:sz w:val="24"/>
        </w:rPr>
        <w:fldChar w:fldCharType="begin"/>
      </w:r>
      <w:r w:rsidR="009756CA" w:rsidRPr="00B36F61">
        <w:rPr>
          <w:rFonts w:ascii="Arial" w:hAnsi="Arial" w:cs="Arial"/>
          <w:sz w:val="24"/>
        </w:rPr>
        <w:instrText xml:space="preserve"> ADDIN ZOTERO_ITEM CSL_CITATION {"citationID":"TrNlzCvH","properties":{"formattedCitation":"(Bhattacharyya et al., 2018; Davies et al., 2023a; Wilson et al., 2019)","plainCitation":"(Bhattacharyya et al., 2018; Davies et al., 2023a; Wilson et al., 2019)","noteIndex":0},"citationItems":[{"id":2401,"uris":["http://zotero.org/users/6414854/items/WTJRFZ79"],"itemData":{"id":2401,"type":"article-journal","abstract":"Importance: Cannabidiol (CBD) has antipsychotic effects in humans, but how these are mediated in the brain remains unclear.\nObjective: To investigate the neurocognitive mechanisms that underlie the therapeutic effects of CBD in psychosis.\nDesign, Setting, and Participants: In this parallel-group, double-blind, placebo-controlled randomized clinical trial conducted at the South London and Maudsley NHS Foundation Trust in London, United Kingdom, 33 antipsychotic medication-naive participants at clinical high risk (CHR) of psychosis and 19 healthy control participants were studied. Data were collected from July 2013 to October 2016 and analyzed from November 2016 to October 2017.\nInterventions: A total of 16 participants at CHR of psychosis received a single oral dose of 600 mg of CBD, and 17 participants at CHR received a placebo. Control participants were not given any drug. All participants were then studied using functional magnetic resonance imaging (fMRI) while performing a verbal learning task.\nMain Outcomes and Measures: Brain activation during verbal encoding and recall, indexed using the blood oxygen level-dependent hemodynamic response fMRI signal.\nResults: Of the 16 participants in the CBD group, 6 (38%) were female, and the mean (SD) age was 22.43 (4.95) years; of 17 in the placebo group, 10 (59%) were female, and the mean (SD) age was 25.35 (5.24) years; and of 19 in the control group, 8 (42%) were female, and the mean (SD) age was 23.89 (4.14) years. Brain activation (indexed using the median sum of squares ratio of the blood oxygen level-dependent hemodynamic response effects model component to the residual sum of squares) was analyzed in 15 participants in the CBD group, 16 in the placebo group, and 19 in the control group. Participants receiving placebo had reduced activation relative to controls in the right caudate during encoding (placebo: median, -0.027; interquartile range [IQR], -0.041 to -0.016; control: median, 0.020; IQR, -0.022 to 0.056; P &lt; .001) and in the parahippocampal gyrus and midbrain during recall (placebo: median, 0.002; IQR, -0.016 to 0.010; control: median, 0.035; IQR, 0.015 to 0.039; P &lt; .001). Within these 3 regions, activation in the CBD group was greater than in the placebo group but lower than in the control group (parahippocampal gyrus/midbrain: CBD: median, -0.013; IQR, -0.027 to 0.002; placebo: median, -0.007; IQR, -0.019 to 0.008; control: median, 0.034; IQR, 0.005 to 0.059); the level of activation in the CBD group was thus intermediate to that in the other 2 groups. There were no significant group differences in task performance.\nConclusions and Relevance: Cannabidiol may partially normalize alterations in parahippocampal, striatal, and midbrain function associated with the CHR state. As these regions are critical to the pathophysiology of psychosis, the influence of CBD at these sites could underlie its therapeutic effects on psychotic symptoms.\nTrial Registration: isrctn.org Identifier: ISRCTN46322781.","container-title":"JAMA psychiatry","DOI":"10.1001/jamapsychiatry.2018.2309","ISSN":"2168-6238","issue":"11","journalAbbreviation":"JAMA Psychiatry","language":"en-GB","note":"PMID: 30167644\nPMCID: PMC6248101\nTLDR: CBD may partially normalize alterations in parahippocampal, striatal, and midbrain function associated with the CHR state and influence of CBD at these sites could underlie its therapeutic effects on psychotic symptoms.","page":"1107-1117","source":"PubMed","title":"Effect of Cannabidiol on Medial Temporal, Midbrain, and Striatal Dysfunction in People at Clinical High Risk of Psychosis: A Randomized Clinical Trial","title-short":"Effect of Cannabidiol on Medial Temporal, Midbrain, and Striatal Dysfunction in People at Clinical High Risk of Psychosis","volume":"75","author":[{"family":"Bhattacharyya","given":"Sagnik"},{"family":"Wilson","given":"Robin"},{"family":"Appiah-Kusi","given":"Elizabeth"},{"family":"O'Neill","given":"Aisling"},{"family":"Brammer","given":"Michael"},{"family":"Perez","given":"Jesus"},{"family":"Murray","given":"Robin"},{"family":"Allen","given":"Paul"},{"family":"Bossong","given":"Matthijs G."},{"family":"McGuire","given":"Philip"}],"issued":{"date-parts":[["2018",11,1]]},"citation-key":"bhattacharyyaEffectCannabidiolMedial2018"},"label":"page"},{"id":8569,"uris":["http://zotero.org/users/6414854/items/JCF4Q2PH"],"itemData":{"id":8569,"type":"article-journal","abstract":"Abstract\n            \n              Background\n              Preclinical and human data suggest that psychosis onset involves hippocampal glutamatergic dysfunction, driving hyperactivity and hyperperfusion in a hippocampal-midbrain-striatal circuit. Whether glutamatergic dysfunction is related to cerebral perfusion in patients at clinical high risk (CHR) for psychosis, and whether cannabidiol (CBD) has ameliorative effects on glutamate or its relationship with perfusion remains unknown.\n            \n            \n              Methods\n              Using a double-blind, parallel-group design, 33 CHR patients were randomized to a single 600 mg dose of CBD or placebo; 19 healthy controls did not receive any drug. Proton magnetic resonance spectroscopy was used to measure glutamate concentrations in left hippocampus. We examined differences relating to CHR status (controls vs placebo), effects of CBD (placebo vs CBD), and linear between-group effects, such that placebo&amp;gt;CBD&amp;gt;controls or controls&amp;gt;CBD&amp;gt;placebo. We also examined group × glutamate × cerebral perfusion (measured using Arterial Spin Labeling) interactions.\n            \n            \n              Results\n              Compared to controls, CHR-placebo patients had significantly lower hippocampal glutamate (P =.015) and a significant linear relationship was observed across groups, such that glutamate was highest in controls, lowest in CHR-placebo, and intermediate in CHR-CBD (P =.031). Moreover, there was a significant interaction between group (controls vs CHR-placebo), hippocampal glutamate, and perfusion in the putamen and insula (PFWE =.012), with a strong positive correlation in CHR-placebo vs a negative correlation in controls.\n            \n            \n              Conclusions\n              Our findings suggest that hippocampal glutamate is lower in CHR patients and may be partially normalized by a single dose of CBD. Furthermore, we provide the first in vivo evidence of an abnormal relationship between hippocampal glutamate and perfusion in the striatum and insula in CHR.","container-title":"Schizophrenia Bulletin Open","DOI":"10.1093/schizbullopen/sgad022","ISSN":"2632-7899","issue":"1","language":"en","page":"sgad022","source":"DOI.org (Crossref)","title":"Hippocampal Glutamate, Resting Perfusion and the Effects of Cannabidiol in Psychosis Risk","volume":"4","author":[{"family":"Davies","given":"Cathy"},{"family":"Bossong","given":"Matthijs G"},{"family":"Martins","given":"Daniel"},{"family":"Wilson","given":"Robin"},{"family":"Appiah-Kusi","given":"Elizabeth"},{"family":"Blest-Hopley","given":"Grace"},{"family":"Allen","given":"Paul"},{"family":"Zelaya","given":"Fernando"},{"family":"Lythgoe","given":"David J"},{"family":"Brammer","given":"Michael"},{"family":"Perez","given":"Jesus"},{"family":"McGuire","given":"Philip"},{"family":"Bhattacharyya","given":"Sagnik"}],"issued":{"literal":"2023a"},"citation-key":"daviesHippocampalGlutamateResting2023a"},"label":"page"},{"id":1045,"uris":["http://zotero.org/users/6414854/items/TTEWH789"],"itemData":{"id":1045,"type":"article-journal","abstract":"Accumulating evidence points towards the antipsychotic potential of cannabidiol. However, the neurocognitive mechanisms underlying the antipsychotic effect of cannabidiol remain unclear. We investigated this in a double-blind, placebo-controlled, parallel-arm study. We investigated 33 antipsychotic-naïve subjects at clinical high risk for psychosis (CHR) randomised to 600 mg oral cannabidiol or placebo and compared them with 19 healthy controls. We used the monetary incentive delay task while participants underwent fMRI to study reward processing, known to be abnormal in psychosis. Reward and loss anticipation phases were combined to examine a motivational salience condition and compared with neutral condition. We observed abnormal activation in the left insula/parietal operculum in CHR participants given placebo compared to healthy controls associated with premature action initiation. Insular activation correlated with both positive psychotic symptoms and salience perception, as indexed by difference in reaction time between salient and neutral stimuli conditions. CBD attenuated the increased activation in the left insula/parietal operculum and was associated with overall slowing of reaction time, suggesting a possible mechanism for its putative antipsychotic effect by normalising motivational salience and moderating motor response.","container-title":"Translational Psychiatry","DOI":"10.1038/s41398-019-0534-2","ISSN":"2158-3188","journalAbbreviation":"Transl Psychiatry","language":"en-GB","note":"PMID: 31439831\nPMCID: PMC6706374\nTLDR: Cannabidiol attenuated the increased activation in the left insula/parietal operculum and was associated with overall slowing of reaction time, suggesting a possible mechanism for its putative antipsychotic effect by normalising motivational salience and moderating motor response.","page":"203","source":"PubMed Central","title":"Cannabidiol attenuates insular dysfunction during motivational salience processing in subjects at clinical high risk for psychosis","volume":"9","author":[{"family":"Wilson","given":"Robin"},{"family":"Bossong","given":"Matthijs G."},{"family":"Appiah-Kusi","given":"Elizabeth"},{"family":"Petros","given":"Natalia"},{"family":"Brammer","given":"Michael"},{"family":"Perez","given":"Jesus"},{"family":"Allen","given":"Paul"},{"family":"McGuire","given":"Philip"},{"family":"Bhattacharyya","given":"Sagnik"}],"issued":{"date-parts":[["2019",8,22]]},"citation-key":"wilsonCannabidiolAttenuatesInsular2019"},"label":"page"}],"schema":"https://github.com/citation-style-language/schema/raw/master/csl-citation.json"} </w:instrText>
      </w:r>
      <w:r w:rsidR="00BE6380" w:rsidRPr="00B36F61">
        <w:rPr>
          <w:rFonts w:ascii="Arial" w:hAnsi="Arial" w:cs="Arial"/>
          <w:sz w:val="24"/>
        </w:rPr>
        <w:fldChar w:fldCharType="separate"/>
      </w:r>
      <w:r w:rsidR="009756CA" w:rsidRPr="00B36F61">
        <w:rPr>
          <w:rFonts w:ascii="Arial" w:hAnsi="Arial" w:cs="Arial"/>
          <w:sz w:val="24"/>
        </w:rPr>
        <w:t>(Bhattacharyya et al., 2018; Davies et al., 2023a; Wilson et al., 2019)</w:t>
      </w:r>
      <w:r w:rsidR="00BE6380" w:rsidRPr="00B36F61">
        <w:rPr>
          <w:rFonts w:ascii="Arial" w:hAnsi="Arial" w:cs="Arial"/>
          <w:sz w:val="24"/>
        </w:rPr>
        <w:fldChar w:fldCharType="end"/>
      </w:r>
      <w:r w:rsidR="00BE6380" w:rsidRPr="00B36F61">
        <w:rPr>
          <w:rFonts w:ascii="Arial" w:hAnsi="Arial" w:cs="Arial"/>
          <w:sz w:val="24"/>
        </w:rPr>
        <w:t>.</w:t>
      </w:r>
    </w:p>
    <w:p w14:paraId="1A99F5D4" w14:textId="77777777" w:rsidR="00417EF5" w:rsidRPr="00B36F61" w:rsidRDefault="00417EF5" w:rsidP="00A05E6C">
      <w:pPr>
        <w:spacing w:line="360" w:lineRule="auto"/>
        <w:jc w:val="both"/>
        <w:rPr>
          <w:rFonts w:ascii="Arial" w:hAnsi="Arial" w:cs="Arial"/>
          <w:sz w:val="24"/>
        </w:rPr>
      </w:pPr>
      <w:r w:rsidRPr="00B36F61">
        <w:rPr>
          <w:rFonts w:ascii="Arial" w:hAnsi="Arial" w:cs="Arial"/>
          <w:sz w:val="24"/>
        </w:rPr>
        <w:t>In a parallel-group, double-blind, randomized, and placebo-controlled study, CHR participants were assigned to either a placebo group (CHR-PLB) or a CBD treatment group (CHR-CBD). Both participants and researchers collecting data were blinded to the treatment assignments. The randomization sequence, which ensured balanced allocation between the two groups using a blocking factor, was generated by STI Pharmaceuticals. A clinical trial pharmacist, who was not involved in other aspects of the study and remained unblinded, assigned participants to one of the two groups according to the randomization list. Once assigned, participants remained in their respective treatment arms. Allocation details were securely stored at the Maudsley hospital pharmacy.</w:t>
      </w:r>
    </w:p>
    <w:p w14:paraId="1F7881F6" w14:textId="77777777" w:rsidR="00417EF5" w:rsidRPr="00B36F61" w:rsidRDefault="00417EF5" w:rsidP="00A05E6C">
      <w:pPr>
        <w:spacing w:line="360" w:lineRule="auto"/>
        <w:jc w:val="both"/>
        <w:rPr>
          <w:rFonts w:ascii="Arial" w:hAnsi="Arial" w:cs="Arial"/>
          <w:sz w:val="24"/>
        </w:rPr>
      </w:pPr>
    </w:p>
    <w:p w14:paraId="6D1E79D4" w14:textId="72A9D62A" w:rsidR="00417EF5" w:rsidRPr="00B36F61" w:rsidRDefault="00417EF5" w:rsidP="00A05E6C">
      <w:pPr>
        <w:spacing w:line="360" w:lineRule="auto"/>
        <w:jc w:val="both"/>
        <w:rPr>
          <w:rFonts w:ascii="Arial" w:hAnsi="Arial" w:cs="Arial"/>
          <w:sz w:val="24"/>
        </w:rPr>
      </w:pPr>
      <w:r w:rsidRPr="00B36F61">
        <w:rPr>
          <w:rFonts w:ascii="Arial" w:hAnsi="Arial" w:cs="Arial"/>
          <w:sz w:val="24"/>
        </w:rPr>
        <w:t>Participants in the CHR-CBD group received a single 600 mg oral dose of CBD, while those in the CHR-PLB group were given a placebo capsule. The 600 mg/day dose was chosen based on previous evidence indicating that this dose range (600-800 mg/day) was as effective as antipsychotic medications (such as amisulpride) in reducing symptoms in patients with first-episode psychosis</w:t>
      </w:r>
      <w:r w:rsidR="00AE6B6A" w:rsidRPr="00B36F61">
        <w:rPr>
          <w:rFonts w:ascii="Arial" w:hAnsi="Arial" w:cs="Arial"/>
          <w:sz w:val="24"/>
        </w:rPr>
        <w:t xml:space="preserve"> </w:t>
      </w:r>
      <w:r w:rsidR="00D435DB" w:rsidRPr="00B36F61">
        <w:rPr>
          <w:rFonts w:ascii="Arial" w:hAnsi="Arial" w:cs="Arial"/>
          <w:sz w:val="24"/>
        </w:rPr>
        <w:fldChar w:fldCharType="begin"/>
      </w:r>
      <w:r w:rsidR="00D435DB" w:rsidRPr="00B36F61">
        <w:rPr>
          <w:rFonts w:ascii="Arial" w:hAnsi="Arial" w:cs="Arial"/>
          <w:sz w:val="24"/>
        </w:rPr>
        <w:instrText xml:space="preserve"> ADDIN ZOTERO_ITEM CSL_CITATION {"citationID":"JSJQedcv","properties":{"formattedCitation":"(Leweke et al., 2012)","plainCitation":"(Leweke et al., 2012)","noteIndex":0},"citationItems":[{"id":2511,"uris":["http://zotero.org/users/6414854/items/3VS32WTM"],"itemData":{"id":2511,"type":"article-journal","container-title":"Translational Psychiatry","DOI":"10.1038/tp.2012.15","ISSN":"2158-3188","issue":"3","journalAbbreviation":"Transl Psychiatry","language":"en","note":"TLDR: It is suggested that inhibition of anandamide deactivation may contribute to the antipsychotic effects of cannabidiol potentially representing a completely new mechanism in the treatment of schizophrenia.","page":"e94-e94","source":"DOI.org (Crossref)","title":"Cannabidiol enhances anandamide signaling and alleviates psychotic symptoms of schizophrenia","volume":"2","author":[{"family":"Leweke","given":"F M"},{"family":"Piomelli","given":"D"},{"family":"Pahlisch","given":"F"},{"family":"Muhl","given":"D"},{"family":"Gerth","given":"C W"},{"family":"Hoyer","given":"C"},{"family":"Klosterkötter","given":"J"},{"family":"Hellmich","given":"M"},{"family":"Koethe","given":"D"}],"issued":{"date-parts":[["2012"]]},"citation-key":"lewekeCannabidiolEnhancesAnandamide2012"}}],"schema":"https://github.com/citation-style-language/schema/raw/master/csl-citation.json"} </w:instrText>
      </w:r>
      <w:r w:rsidR="00D435DB" w:rsidRPr="00B36F61">
        <w:rPr>
          <w:rFonts w:ascii="Arial" w:hAnsi="Arial" w:cs="Arial"/>
          <w:sz w:val="24"/>
        </w:rPr>
        <w:fldChar w:fldCharType="separate"/>
      </w:r>
      <w:r w:rsidR="00D435DB" w:rsidRPr="00B36F61">
        <w:rPr>
          <w:rFonts w:ascii="Arial" w:hAnsi="Arial" w:cs="Arial"/>
          <w:sz w:val="24"/>
        </w:rPr>
        <w:t>(Leweke et al., 2012)</w:t>
      </w:r>
      <w:r w:rsidR="00D435DB" w:rsidRPr="00B36F61">
        <w:rPr>
          <w:rFonts w:ascii="Arial" w:hAnsi="Arial" w:cs="Arial"/>
          <w:sz w:val="24"/>
        </w:rPr>
        <w:fldChar w:fldCharType="end"/>
      </w:r>
      <w:r w:rsidRPr="00B36F61">
        <w:rPr>
          <w:rFonts w:ascii="Arial" w:hAnsi="Arial" w:cs="Arial"/>
          <w:sz w:val="24"/>
        </w:rPr>
        <w:t>. After receiving their respective treatments, participants underwent functional magnetic resonance imaging (fMRI) while performing a verbal paired-associate learning task that lasted approximately 1</w:t>
      </w:r>
      <w:r w:rsidR="004C64B3">
        <w:rPr>
          <w:rFonts w:ascii="Arial" w:hAnsi="Arial" w:cs="Arial"/>
          <w:sz w:val="24"/>
        </w:rPr>
        <w:t>3</w:t>
      </w:r>
      <w:r w:rsidRPr="00B36F61">
        <w:rPr>
          <w:rFonts w:ascii="Arial" w:hAnsi="Arial" w:cs="Arial"/>
          <w:sz w:val="24"/>
        </w:rPr>
        <w:t xml:space="preserve"> minutes. MRI scans commenced three hours after administration of the study drug (CBD or placebo), based on prior research indicating peak CBD levels occur around that time following oral intake</w:t>
      </w:r>
      <w:r w:rsidR="007C6D15" w:rsidRPr="00B36F61">
        <w:rPr>
          <w:rFonts w:ascii="Arial" w:hAnsi="Arial" w:cs="Arial"/>
          <w:sz w:val="24"/>
        </w:rPr>
        <w:t xml:space="preserve"> </w:t>
      </w:r>
      <w:r w:rsidR="007C6D15" w:rsidRPr="00B36F61">
        <w:rPr>
          <w:rFonts w:ascii="Arial" w:hAnsi="Arial" w:cs="Arial"/>
          <w:sz w:val="24"/>
        </w:rPr>
        <w:fldChar w:fldCharType="begin"/>
      </w:r>
      <w:r w:rsidR="00EB1F44" w:rsidRPr="00B36F61">
        <w:rPr>
          <w:rFonts w:ascii="Arial" w:hAnsi="Arial" w:cs="Arial"/>
          <w:sz w:val="24"/>
        </w:rPr>
        <w:instrText xml:space="preserve"> ADDIN ZOTERO_ITEM CSL_CITATION {"citationID":"crTACTXl","properties":{"formattedCitation":"(Martin-Santos et al., 2012)","plainCitation":"(Martin-Santos et al., 2012)","noteIndex":0},"citationItems":[{"id":10837,"uris":["http://zotero.org/users/6414854/items/PGYYRV9X"],"itemData":{"id":10837,"type":"article-journal","abstract":"RATIONALE: Animal and humans studies suggest that the two main constituents of cannabis sativa, delta-9-tetrahydrocannabinol (THC) and cannabidiol (CBD) have quite different acute effects. However, to date the two compounds have largely been studied separately.\nOBJECTIVE: To evaluate and compare the acute pharmacological effects of both THC and CBD in the same human volunteers.\nMETHODS: A randomised, double-blind, cross-over, placebo controlled trial was conducted in 16 healthy male subjects. Oral THC 10 mg or CBD 600 mg or placebo was administered in three consecutive sessions, at one-month interval. Physiological measures and symptom ratings were assessed before, and at 1, 2 and 3 hours post drug administration. The area under the curve (AUC) between baseline and 3 hours, and the maximum absolute change from baseline at 2 hours were analysed by one-way repeated measures analysis of variance, with drug condition (THC or CBD or placebo) as the factor.\nRESULTS: Relative to both placebo and CBD, administration of THC was associated with anxiety, dysphoria, positive psychotic symptoms, physical and mental sedation, subjective intoxication (AUC and effect at 2 hours: p &lt; 0.01), an increase in heart rate (p &lt; 0.05). There were no differences between CBD and placebo on any symptomatic, physiological variable.\nCONCLUSIONS: In healthy volunteers, THC has marked acute behavioural and physiological effects, whereas CBD has proven to be safe and well tolerated.","container-title":"Current Pharmaceutical Design","DOI":"10.2174/138161212802884780","ISSN":"1873-4286","issue":"32","journalAbbreviation":"Curr Pharm Des","language":"eng","note":"PMID: 22716148\nTLDR: In healthy volunteers, THC has marked acute behavioural and physiological effects, whereas CBD has proven to be safe and well tolerated.","page":"4966-4979","source":"PubMed","title":"Acute effects of a single, oral dose of d9-tetrahydrocannabinol (THC) and cannabidiol (CBD) administration in healthy volunteers","volume":"18","author":[{"family":"Martin-Santos","given":"R."},{"family":"Crippa","given":"J. A."},{"family":"Batalla","given":"A."},{"family":"Bhattacharyya","given":"S."},{"family":"Atakan","given":"Z."},{"family":"Borgwardt","given":"S."},{"family":"Allen","given":"P."},{"family":"Seal","given":"M."},{"family":"Langohr","given":"K."},{"family":"Farré","given":"M."},{"family":"Zuardi","given":"A. W."},{"family":"McGuire","given":"P. K."}],"issued":{"date-parts":[["2012"]]},"citation-key":"martin-santosAcuteEffectsSingle2012"}}],"schema":"https://github.com/citation-style-language/schema/raw/master/csl-citation.json"} </w:instrText>
      </w:r>
      <w:r w:rsidR="007C6D15" w:rsidRPr="00B36F61">
        <w:rPr>
          <w:rFonts w:ascii="Arial" w:hAnsi="Arial" w:cs="Arial"/>
          <w:sz w:val="24"/>
        </w:rPr>
        <w:fldChar w:fldCharType="separate"/>
      </w:r>
      <w:r w:rsidR="00EB1F44" w:rsidRPr="00B36F61">
        <w:rPr>
          <w:rFonts w:ascii="Arial" w:hAnsi="Arial" w:cs="Arial"/>
          <w:sz w:val="24"/>
        </w:rPr>
        <w:t>(Martin-Santos et al., 2012)</w:t>
      </w:r>
      <w:r w:rsidR="007C6D15" w:rsidRPr="00B36F61">
        <w:rPr>
          <w:rFonts w:ascii="Arial" w:hAnsi="Arial" w:cs="Arial"/>
          <w:sz w:val="24"/>
        </w:rPr>
        <w:fldChar w:fldCharType="end"/>
      </w:r>
      <w:r w:rsidRPr="00B36F61">
        <w:rPr>
          <w:rFonts w:ascii="Arial" w:hAnsi="Arial" w:cs="Arial"/>
          <w:sz w:val="24"/>
        </w:rPr>
        <w:t>.</w:t>
      </w:r>
    </w:p>
    <w:p w14:paraId="4534B473" w14:textId="77777777" w:rsidR="00417EF5" w:rsidRPr="00B36F61" w:rsidRDefault="00417EF5" w:rsidP="00A05E6C">
      <w:pPr>
        <w:spacing w:line="360" w:lineRule="auto"/>
        <w:jc w:val="both"/>
        <w:rPr>
          <w:rFonts w:ascii="Arial" w:hAnsi="Arial" w:cs="Arial"/>
          <w:sz w:val="24"/>
        </w:rPr>
      </w:pPr>
    </w:p>
    <w:p w14:paraId="72E29A23" w14:textId="65E2EDBA" w:rsidR="00906B79" w:rsidRPr="00B36F61" w:rsidRDefault="00417EF5" w:rsidP="00A05E6C">
      <w:pPr>
        <w:spacing w:line="360" w:lineRule="auto"/>
        <w:jc w:val="both"/>
        <w:rPr>
          <w:rFonts w:ascii="Arial" w:hAnsi="Arial" w:cs="Arial"/>
          <w:sz w:val="24"/>
          <w:lang w:val="en-GB"/>
        </w:rPr>
      </w:pPr>
      <w:r w:rsidRPr="00B36F61">
        <w:rPr>
          <w:rFonts w:ascii="Arial" w:hAnsi="Arial" w:cs="Arial"/>
          <w:sz w:val="24"/>
        </w:rPr>
        <w:t>Healthy control (HC) participants were evaluated under identical conditions but did not receive any study drug. On the study day, all participants consumed a standardized light breakfast in front of the researchers and were instructed to abstain from cannabis for 96 hours, alcohol for at least 24 hours, and nicotine for 6 hours before scanning. Additionally, they were required to avoid any recreational drug use for two weeks prior to the study. Before scanning, a urine test was conducted to screen for illicit drug use. Three hours before the scan, participants in the CHR-CBD group took one cannabidiol capsule (600 mg, approximately 99.9% pure, sourced from THC-Pharm, Frankfurt, Germany), while participants in the CHR-PLB group took a visually identical placebo capsule filled with flour.</w:t>
      </w:r>
    </w:p>
    <w:p w14:paraId="34A43C96" w14:textId="74D0C5AD" w:rsidR="00192C87" w:rsidRPr="00374B9E" w:rsidRDefault="00192C87" w:rsidP="00374B9E">
      <w:pPr>
        <w:pStyle w:val="Heading3"/>
        <w:spacing w:line="360" w:lineRule="auto"/>
        <w:jc w:val="both"/>
        <w:rPr>
          <w:rStyle w:val="Strong"/>
          <w:rFonts w:ascii="Arial" w:hAnsi="Arial" w:cs="Arial"/>
          <w:i/>
          <w:iCs/>
          <w:color w:val="auto"/>
          <w:sz w:val="24"/>
          <w:szCs w:val="24"/>
          <w:lang w:val="en-GB"/>
        </w:rPr>
      </w:pPr>
      <w:r w:rsidRPr="00374B9E">
        <w:rPr>
          <w:rStyle w:val="Strong"/>
          <w:rFonts w:ascii="Arial" w:hAnsi="Arial" w:cs="Arial"/>
          <w:i/>
          <w:iCs/>
          <w:color w:val="auto"/>
          <w:sz w:val="24"/>
          <w:szCs w:val="24"/>
          <w:lang w:val="en-GB"/>
        </w:rPr>
        <w:t>1H-MRS acquisition and quantification</w:t>
      </w:r>
    </w:p>
    <w:p w14:paraId="1BB514B8" w14:textId="216589A8" w:rsidR="00192C87" w:rsidRPr="005709EB" w:rsidRDefault="00192C87" w:rsidP="00192C87">
      <w:pPr>
        <w:spacing w:line="360" w:lineRule="auto"/>
        <w:rPr>
          <w:rFonts w:ascii="Arial" w:hAnsi="Arial" w:cs="Arial"/>
          <w:sz w:val="24"/>
        </w:rPr>
      </w:pPr>
      <w:r w:rsidRPr="005709EB">
        <w:rPr>
          <w:rFonts w:ascii="Arial" w:hAnsi="Arial" w:cs="Arial"/>
          <w:sz w:val="24"/>
        </w:rPr>
        <w:t xml:space="preserve">All MRI data was collected using a Signa HDx 3T MRI scanner (General Electric). A high-resolution inversion recovery image was also acquired. Full details of </w:t>
      </w:r>
      <w:r w:rsidRPr="005709EB">
        <w:rPr>
          <w:rFonts w:ascii="Arial" w:hAnsi="Arial" w:cs="Arial"/>
          <w:sz w:val="24"/>
          <w:vertAlign w:val="superscript"/>
        </w:rPr>
        <w:t>1</w:t>
      </w:r>
      <w:r w:rsidRPr="005709EB">
        <w:rPr>
          <w:rFonts w:ascii="Arial" w:hAnsi="Arial" w:cs="Arial"/>
          <w:sz w:val="24"/>
        </w:rPr>
        <w:t xml:space="preserve">H-MRS acquisition parameters, preprocessing and analysis methods have been reported elsewhere </w:t>
      </w:r>
      <w:r w:rsidRPr="005709EB">
        <w:rPr>
          <w:rFonts w:ascii="Arial" w:hAnsi="Arial" w:cs="Arial"/>
          <w:sz w:val="24"/>
        </w:rPr>
        <w:fldChar w:fldCharType="begin"/>
      </w:r>
      <w:r w:rsidRPr="005709EB">
        <w:rPr>
          <w:rFonts w:ascii="Arial" w:hAnsi="Arial" w:cs="Arial"/>
          <w:sz w:val="24"/>
        </w:rPr>
        <w:instrText xml:space="preserve"> ADDIN ZOTERO_ITEM CSL_CITATION {"citationID":"N9zfULPc","properties":{"formattedCitation":"(Davies et al., 2023a)","plainCitation":"(Davies et al., 2023a)","noteIndex":0},"citationItems":[{"id":8569,"uris":["http://zotero.org/users/6414854/items/JCF4Q2PH"],"itemData":{"id":8569,"type":"article-journal","abstract":"Abstract\n            \n              Background\n              Preclinical and human data suggest that psychosis onset involves hippocampal glutamatergic dysfunction, driving hyperactivity and hyperperfusion in a hippocampal-midbrain-striatal circuit. Whether glutamatergic dysfunction is related to cerebral perfusion in patients at clinical high risk (CHR) for psychosis, and whether cannabidiol (CBD) has ameliorative effects on glutamate or its relationship with perfusion remains unknown.\n            \n            \n              Methods\n              Using a double-blind, parallel-group design, 33 CHR patients were randomized to a single 600 mg dose of CBD or placebo; 19 healthy controls did not receive any drug. Proton magnetic resonance spectroscopy was used to measure glutamate concentrations in left hippocampus. We examined differences relating to CHR status (controls vs placebo), effects of CBD (placebo vs CBD), and linear between-group effects, such that placebo&amp;gt;CBD&amp;gt;controls or controls&amp;gt;CBD&amp;gt;placebo. We also examined group × glutamate × cerebral perfusion (measured using Arterial Spin Labeling) interactions.\n            \n            \n              Results\n              Compared to controls, CHR-placebo patients had significantly lower hippocampal glutamate (P =.015) and a significant linear relationship was observed across groups, such that glutamate was highest in controls, lowest in CHR-placebo, and intermediate in CHR-CBD (P =.031). Moreover, there was a significant interaction between group (controls vs CHR-placebo), hippocampal glutamate, and perfusion in the putamen and insula (PFWE =.012), with a strong positive correlation in CHR-placebo vs a negative correlation in controls.\n            \n            \n              Conclusions\n              Our findings suggest that hippocampal glutamate is lower in CHR patients and may be partially normalized by a single dose of CBD. Furthermore, we provide the first in vivo evidence of an abnormal relationship between hippocampal glutamate and perfusion in the striatum and insula in CHR.","container-title":"Schizophrenia Bulletin Open","DOI":"10.1093/schizbullopen/sgad022","ISSN":"2632-7899","issue":"1","language":"en","page":"sgad022","source":"DOI.org (Crossref)","title":"Hippocampal Glutamate, Resting Perfusion and the Effects of Cannabidiol in Psychosis Risk","volume":"4","author":[{"family":"Davies","given":"Cathy"},{"family":"Bossong","given":"Matthijs G"},{"family":"Martins","given":"Daniel"},{"family":"Wilson","given":"Robin"},{"family":"Appiah-Kusi","given":"Elizabeth"},{"family":"Blest-Hopley","given":"Grace"},{"family":"Allen","given":"Paul"},{"family":"Zelaya","given":"Fernando"},{"family":"Lythgoe","given":"David J"},{"family":"Brammer","given":"Michael"},{"family":"Perez","given":"Jesus"},{"family":"McGuire","given":"Philip"},{"family":"Bhattacharyya","given":"Sagnik"}],"issued":{"literal":"2023a"},"citation-key":"daviesHippocampalGlutamateResting2023a"}}],"schema":"https://github.com/citation-style-language/schema/raw/master/csl-citation.json"} </w:instrText>
      </w:r>
      <w:r w:rsidRPr="005709EB">
        <w:rPr>
          <w:rFonts w:ascii="Arial" w:hAnsi="Arial" w:cs="Arial"/>
          <w:sz w:val="24"/>
        </w:rPr>
        <w:fldChar w:fldCharType="separate"/>
      </w:r>
      <w:r w:rsidRPr="005709EB">
        <w:rPr>
          <w:rFonts w:ascii="Arial" w:hAnsi="Arial" w:cs="Arial"/>
          <w:sz w:val="24"/>
        </w:rPr>
        <w:t>(Davies et al., 2023a)</w:t>
      </w:r>
      <w:r w:rsidRPr="005709EB">
        <w:rPr>
          <w:rFonts w:ascii="Arial" w:hAnsi="Arial" w:cs="Arial"/>
          <w:sz w:val="24"/>
        </w:rPr>
        <w:fldChar w:fldCharType="end"/>
      </w:r>
      <w:r w:rsidRPr="005709EB">
        <w:rPr>
          <w:rFonts w:ascii="Arial" w:hAnsi="Arial" w:cs="Arial"/>
          <w:sz w:val="24"/>
        </w:rPr>
        <w:t xml:space="preserve">. In brief, we acquired </w:t>
      </w:r>
      <w:r w:rsidRPr="005709EB">
        <w:rPr>
          <w:rFonts w:ascii="Arial" w:hAnsi="Arial" w:cs="Arial"/>
          <w:sz w:val="24"/>
          <w:vertAlign w:val="superscript"/>
        </w:rPr>
        <w:t>1</w:t>
      </w:r>
      <w:r w:rsidRPr="005709EB">
        <w:rPr>
          <w:rFonts w:ascii="Arial" w:hAnsi="Arial" w:cs="Arial"/>
          <w:sz w:val="24"/>
        </w:rPr>
        <w:t xml:space="preserve">H-MRS spectra using PRESS (Point RESolved Spectroscopy; TE = 30ms; TR = 3000ms; 96 averages) in the left hippocampus, following previously established methods </w:t>
      </w:r>
      <w:r w:rsidRPr="005709EB">
        <w:rPr>
          <w:rFonts w:ascii="Arial" w:hAnsi="Arial" w:cs="Arial"/>
          <w:sz w:val="24"/>
        </w:rPr>
        <w:fldChar w:fldCharType="begin"/>
      </w:r>
      <w:r w:rsidRPr="005709EB">
        <w:rPr>
          <w:rFonts w:ascii="Arial" w:hAnsi="Arial" w:cs="Arial"/>
          <w:sz w:val="24"/>
        </w:rPr>
        <w:instrText xml:space="preserve"> ADDIN ZOTERO_ITEM CSL_CITATION {"citationID":"Xmve9EWM","properties":{"formattedCitation":"(Egerton et al., 2014)","plainCitation":"(Egerton et al., 2014)","noteIndex":0},"citationItems":[{"id":1356,"uris":["http://zotero.org/users/6414854/items/IYRYE2QG"],"itemData":{"id":1356,"type":"article-journal","abstract":"Alterations in brain glutamate levels may be associated with psychosis risk, but the relationship to clinical outcome in at-risk individuals is unknown. Glutamate concentration was measured in the left thalamus and anterior cingulate cortex (ACC) using 3-Tesla proton magnetic resonance spectroscopy in 75 participants at ultra high risk (UHR) of psychosis and 56 healthy controls. The severity of attenuated positive symptoms and overall functioning were assessed. Measures were repeated in 51 UHR and 33 Control subjects after a mean of 18 months. UHR subjects were allocated to either remission (no longer meeting UHR criteria) or non-remission (meeting UHR or psychosis criteria) status on follow-up assessment. Thalamic glutamate levels at presentation were lower in the UHR non-remission (N=29) compared with the remission group (N=22) (t(49)=3.03; P=0.004), and were associated with an increase in the severity of total positive symptoms over time (r=−0.33; df=47; P=0.02), most notably abnormal thought content (r=−0.442; df=47; P=0.003). In the UHR group, ACC glutamate levels were lower at follow-up compared with baseline (F(80)=4.28; P=0.04). These findings suggest that measures of brain glutamate function may be useful as predictors of clinical outcome in individuals at high risk of psychosis.","container-title":"Neuropsychopharmacology","DOI":"10.1038/npp.2014.143","ISSN":"1740-634X","issue":"12","journalAbbreviation":"Neuropsychopharmacol","language":"en","license":"2014 American College of Neuropsychopharmacology","note":"number: 12\npublisher: Nature Publishing Group","page":"2891-2899","source":"www.nature.com","title":"Relationship Between Brain Glutamate Levels and Clinical Outcome in Individuals at Ultra High Risk of Psychosis","volume":"39","author":[{"family":"Egerton","given":"Alice"},{"family":"Stone","given":"James M."},{"family":"Chaddock","given":"Christopher A."},{"family":"Barker","given":"Gareth J."},{"family":"Bonoldi","given":"Ilaria"},{"family":"Howard","given":"Rachel M."},{"family":"Merritt","given":"Kate"},{"family":"Allen","given":"Paul"},{"family":"Howes","given":"Oliver D."},{"family":"Murray","given":"Robin M."},{"family":"McLean","given":"Mary A."},{"family":"Lythgoe","given":"David J."},{"family":"O'Gorman","given":"Ruth L."},{"family":"McGuire","given":"Philip K."}],"issued":{"date-parts":[["2014",11]]},"citation-key":"egertonRelationshipBrainGlutamate2014"}}],"schema":"https://github.com/citation-style-language/schema/raw/master/csl-citation.json"} </w:instrText>
      </w:r>
      <w:r w:rsidRPr="005709EB">
        <w:rPr>
          <w:rFonts w:ascii="Arial" w:hAnsi="Arial" w:cs="Arial"/>
          <w:sz w:val="24"/>
        </w:rPr>
        <w:fldChar w:fldCharType="separate"/>
      </w:r>
      <w:r w:rsidRPr="005709EB">
        <w:rPr>
          <w:rFonts w:ascii="Arial" w:hAnsi="Arial" w:cs="Arial"/>
          <w:sz w:val="24"/>
        </w:rPr>
        <w:t>(Egerton et al., 2014)</w:t>
      </w:r>
      <w:r w:rsidRPr="005709EB">
        <w:rPr>
          <w:rFonts w:ascii="Arial" w:hAnsi="Arial" w:cs="Arial"/>
          <w:sz w:val="24"/>
        </w:rPr>
        <w:fldChar w:fldCharType="end"/>
      </w:r>
      <w:r w:rsidRPr="005709EB">
        <w:rPr>
          <w:rFonts w:ascii="Arial" w:hAnsi="Arial" w:cs="Arial"/>
          <w:sz w:val="24"/>
        </w:rPr>
        <w:t xml:space="preserve"> using the standard GE PROBE (proton brain examination) sequence, which uses a standardised chemically selective suppression (CHESS) water suppression routine. For each metabolite spectrum, we also acquired unsuppressed water reference spectra (16 averages) as part of the standard acquisition for subsequent eddy current correction and water scaling. Auto-prescan was performed twice before each scan to optimise shimming and water suppression. The left hippocampal </w:t>
      </w:r>
      <w:r w:rsidRPr="005709EB">
        <w:rPr>
          <w:rFonts w:ascii="Arial" w:hAnsi="Arial" w:cs="Arial"/>
          <w:sz w:val="24"/>
          <w:vertAlign w:val="superscript"/>
        </w:rPr>
        <w:t>1</w:t>
      </w:r>
      <w:r w:rsidRPr="005709EB">
        <w:rPr>
          <w:rFonts w:ascii="Arial" w:hAnsi="Arial" w:cs="Arial"/>
          <w:sz w:val="24"/>
        </w:rPr>
        <w:t>H-MRS voxel (20x20x15 mm; right-left, anterior-posterior, superior-inferior; positioned over the centre of the left hippocampus</w:t>
      </w:r>
      <w:r w:rsidRPr="005709EB">
        <w:rPr>
          <w:rFonts w:ascii="Arial" w:hAnsi="Arial" w:cs="Arial"/>
          <w:i/>
          <w:iCs/>
          <w:sz w:val="24"/>
        </w:rPr>
        <w:t xml:space="preserve"> </w:t>
      </w:r>
      <w:r w:rsidR="00497F52">
        <w:rPr>
          <w:rFonts w:ascii="Arial" w:hAnsi="Arial" w:cs="Arial"/>
          <w:i/>
          <w:iCs/>
          <w:sz w:val="24"/>
        </w:rPr>
        <w:t>(</w:t>
      </w:r>
      <w:r w:rsidRPr="005709EB">
        <w:rPr>
          <w:rFonts w:ascii="Arial" w:hAnsi="Arial" w:cs="Arial"/>
          <w:i/>
          <w:iCs/>
          <w:sz w:val="24"/>
        </w:rPr>
        <w:t>e</w:t>
      </w:r>
      <w:r w:rsidRPr="005709EB">
        <w:rPr>
          <w:rStyle w:val="Strong"/>
          <w:rFonts w:ascii="Arial" w:hAnsi="Arial" w:cs="Arial"/>
          <w:i/>
          <w:iCs/>
          <w:sz w:val="24"/>
        </w:rPr>
        <w:t xml:space="preserve">Figure </w:t>
      </w:r>
      <w:r w:rsidRPr="005709EB">
        <w:rPr>
          <w:rStyle w:val="Strong"/>
          <w:rFonts w:ascii="Arial" w:hAnsi="Arial" w:cs="Arial"/>
          <w:b w:val="0"/>
          <w:bCs w:val="0"/>
          <w:i/>
          <w:iCs/>
          <w:sz w:val="24"/>
        </w:rPr>
        <w:fldChar w:fldCharType="begin"/>
      </w:r>
      <w:r w:rsidRPr="005709EB">
        <w:rPr>
          <w:rStyle w:val="Strong"/>
          <w:rFonts w:ascii="Arial" w:hAnsi="Arial" w:cs="Arial"/>
          <w:i/>
          <w:iCs/>
          <w:sz w:val="24"/>
        </w:rPr>
        <w:instrText xml:space="preserve"> SEQ Figure \* ARABIC </w:instrText>
      </w:r>
      <w:r w:rsidRPr="005709EB">
        <w:rPr>
          <w:rStyle w:val="Strong"/>
          <w:rFonts w:ascii="Arial" w:hAnsi="Arial" w:cs="Arial"/>
          <w:b w:val="0"/>
          <w:bCs w:val="0"/>
          <w:i/>
          <w:iCs/>
          <w:sz w:val="24"/>
        </w:rPr>
        <w:fldChar w:fldCharType="separate"/>
      </w:r>
      <w:r w:rsidRPr="005709EB">
        <w:rPr>
          <w:rStyle w:val="Strong"/>
          <w:rFonts w:ascii="Arial" w:hAnsi="Arial" w:cs="Arial"/>
          <w:i/>
          <w:iCs/>
          <w:noProof/>
          <w:sz w:val="24"/>
        </w:rPr>
        <w:t>1</w:t>
      </w:r>
      <w:r w:rsidRPr="005709EB">
        <w:rPr>
          <w:rStyle w:val="Strong"/>
          <w:rFonts w:ascii="Arial" w:hAnsi="Arial" w:cs="Arial"/>
          <w:b w:val="0"/>
          <w:bCs w:val="0"/>
          <w:i/>
          <w:iCs/>
          <w:sz w:val="24"/>
        </w:rPr>
        <w:fldChar w:fldCharType="end"/>
      </w:r>
      <w:r w:rsidRPr="005709EB">
        <w:rPr>
          <w:rFonts w:ascii="Arial" w:hAnsi="Arial" w:cs="Arial"/>
          <w:sz w:val="24"/>
        </w:rPr>
        <w:t>) for spectra acquisition was prescribed from a whole-brain 3D sagittal T1-</w:t>
      </w:r>
      <w:r w:rsidRPr="005709EB">
        <w:rPr>
          <w:rFonts w:ascii="Arial" w:hAnsi="Arial" w:cs="Arial"/>
          <w:sz w:val="24"/>
        </w:rPr>
        <w:lastRenderedPageBreak/>
        <w:t xml:space="preserve">weighted scan (TE=2.85ms; TR=6.98ms; TI=400ms; flip angle=11°, voxel size=1.0x1.0x1.2mm) using standardised protocols. </w:t>
      </w:r>
    </w:p>
    <w:p w14:paraId="0CE8A29A" w14:textId="77777777" w:rsidR="00192C87" w:rsidRPr="005709EB" w:rsidRDefault="00192C87" w:rsidP="00192C87">
      <w:pPr>
        <w:spacing w:line="360" w:lineRule="auto"/>
        <w:rPr>
          <w:rFonts w:ascii="Arial" w:hAnsi="Arial" w:cs="Arial"/>
          <w:sz w:val="24"/>
        </w:rPr>
      </w:pPr>
    </w:p>
    <w:p w14:paraId="0C98AE00" w14:textId="109F69C9" w:rsidR="00906B79" w:rsidRPr="00374B9E" w:rsidRDefault="00192C87" w:rsidP="00374B9E">
      <w:pPr>
        <w:spacing w:line="360" w:lineRule="auto"/>
        <w:rPr>
          <w:rFonts w:ascii="Arial" w:hAnsi="Arial" w:cs="Arial"/>
          <w:i/>
          <w:sz w:val="24"/>
        </w:rPr>
      </w:pPr>
      <w:r w:rsidRPr="005709EB">
        <w:rPr>
          <w:rFonts w:ascii="Arial" w:hAnsi="Arial" w:cs="Arial"/>
          <w:sz w:val="24"/>
        </w:rPr>
        <w:t xml:space="preserve">LCModel version 6.3-0A </w:t>
      </w:r>
      <w:r w:rsidRPr="005709EB">
        <w:rPr>
          <w:rFonts w:ascii="Arial" w:hAnsi="Arial" w:cs="Arial"/>
          <w:sz w:val="24"/>
        </w:rPr>
        <w:fldChar w:fldCharType="begin"/>
      </w:r>
      <w:r w:rsidRPr="005709EB">
        <w:rPr>
          <w:rFonts w:ascii="Arial" w:hAnsi="Arial" w:cs="Arial"/>
          <w:sz w:val="24"/>
        </w:rPr>
        <w:instrText xml:space="preserve"> ADDIN ZOTERO_ITEM CSL_CITATION {"citationID":"ONburmU1","properties":{"formattedCitation":"(Provencher, 1993)","plainCitation":"(Provencher, 1993)","noteIndex":0},"citationItems":[{"id":10700,"uris":["http://zotero.org/users/6414854/items/QCBI5WJG"],"itemData":{"id":10700,"type":"article-journal","abstract":"The LCModel method analyzes an in vivo spectrum as a Linear Combination of Model spectra of metabolite solutions in vitro. By using complete model spectra, rather than just individual resonances, maximum information and uniqueness are incorporated into the analysis. A constrained regularization method accounts for differences in phase, baseline, and lineshapes between the in vitro and in vivo spectra, and estimates the metabolite concentrations and their uncertainties. LCModel is fully automatic in that the only input is the time-domain in vivo data. The lack of subjective interaction should help the exchange and comparison of results. More than 3000 human brain STEAM spectra from patients and healthy volunteers have been analyzed with LCModel. N-acetylaspartate, cholines, creatines, myo-inositol, and glutamate can be reliably determined, and abnormal levels of these or elevated levels of lactate, alanine, scyllo-inositol, glutamine, or glucose clearly indicate numerous pathologies. A computer program will be available.","container-title":"Magnetic Resonance in Medicine","DOI":"10.1002/mrm.1910300604","ISSN":"1522-2594","issue":"6","language":"en","license":"Copyright © 1993 Wiley-Liss, Inc., A Wiley Company","note":"_eprint: https://onlinelibrary.wiley.com/doi/pdf/10.1002/mrm.1910300604","page":"672-679","source":"Wiley Online Library","title":"Estimation of metabolite concentrations from localized in vivo proton NMR spectra","volume":"30","author":[{"family":"Provencher","given":"Stephen W."}],"issued":{"date-parts":[["1993"]]},"citation-key":"provencherEstimationMetaboliteConcentrations1993a"}}],"schema":"https://github.com/citation-style-language/schema/raw/master/csl-citation.json"} </w:instrText>
      </w:r>
      <w:r w:rsidRPr="005709EB">
        <w:rPr>
          <w:rFonts w:ascii="Arial" w:hAnsi="Arial" w:cs="Arial"/>
          <w:sz w:val="24"/>
        </w:rPr>
        <w:fldChar w:fldCharType="separate"/>
      </w:r>
      <w:r w:rsidRPr="005709EB">
        <w:rPr>
          <w:rFonts w:ascii="Arial" w:hAnsi="Arial" w:cs="Arial"/>
          <w:sz w:val="24"/>
        </w:rPr>
        <w:t>(Provencher, 1993)</w:t>
      </w:r>
      <w:r w:rsidRPr="005709EB">
        <w:rPr>
          <w:rFonts w:ascii="Arial" w:hAnsi="Arial" w:cs="Arial"/>
          <w:sz w:val="24"/>
        </w:rPr>
        <w:fldChar w:fldCharType="end"/>
      </w:r>
      <w:r w:rsidRPr="005709EB">
        <w:rPr>
          <w:rFonts w:ascii="Arial" w:hAnsi="Arial" w:cs="Arial"/>
          <w:sz w:val="24"/>
        </w:rPr>
        <w:t xml:space="preserve"> was used to analyse the acquired spectra, with a standard basis set of 16 metabolites (L-alanine, aspartate, creatine, phosphocreatine, GABA, glucose, glutamine, glutamate, glycerophosphocholine, glycine, myo-inositol, L-lactate, N-acetylaspartate, N-acetylaspartylglutamate, phosphocholine, and taurine) as detailed in the LCModel manual (</w:t>
      </w:r>
      <w:hyperlink r:id="rId11" w:history="1">
        <w:r w:rsidRPr="005709EB">
          <w:rPr>
            <w:rStyle w:val="Hyperlink"/>
            <w:rFonts w:ascii="Arial" w:hAnsi="Arial" w:cs="Arial"/>
            <w:color w:val="auto"/>
            <w:sz w:val="24"/>
          </w:rPr>
          <w:t>http://s-provencher.com/pub/LCModel/manual/manual.pdf</w:t>
        </w:r>
      </w:hyperlink>
      <w:r w:rsidRPr="005709EB">
        <w:rPr>
          <w:rFonts w:ascii="Arial" w:hAnsi="Arial" w:cs="Arial"/>
          <w:sz w:val="24"/>
        </w:rPr>
        <w:t xml:space="preserve">). Metabolite analyses were restricted to those meeting the quality control criteria of Cramér–Rao lower bounds ≤ 20% and signal to noise ratio ≥ 5. We corrected values of the water-scaled measure of glutamate for voxel tissue and cerebral spinal fluid (CSF) content using the formula Mcorr = M * (WM + 1.21GM + 1.55CSF) / (WM + GM), where M is the uncorrected metabolite value, and WM, GM and CSF are the white matter, grey matter and CSF fractions in the voxel, respectively, following previous work </w:t>
      </w:r>
      <w:r w:rsidRPr="005709EB">
        <w:rPr>
          <w:rFonts w:ascii="Arial" w:hAnsi="Arial" w:cs="Arial"/>
          <w:sz w:val="24"/>
        </w:rPr>
        <w:fldChar w:fldCharType="begin"/>
      </w:r>
      <w:r w:rsidRPr="005709EB">
        <w:rPr>
          <w:rFonts w:ascii="Arial" w:hAnsi="Arial" w:cs="Arial"/>
          <w:sz w:val="24"/>
        </w:rPr>
        <w:instrText xml:space="preserve"> ADDIN ZOTERO_ITEM CSL_CITATION {"citationID":"4701oqv5","properties":{"formattedCitation":"(Egerton et al., 2014)","plainCitation":"(Egerton et al., 2014)","noteIndex":0},"citationItems":[{"id":1356,"uris":["http://zotero.org/users/6414854/items/IYRYE2QG"],"itemData":{"id":1356,"type":"article-journal","abstract":"Alterations in brain glutamate levels may be associated with psychosis risk, but the relationship to clinical outcome in at-risk individuals is unknown. Glutamate concentration was measured in the left thalamus and anterior cingulate cortex (ACC) using 3-Tesla proton magnetic resonance spectroscopy in 75 participants at ultra high risk (UHR) of psychosis and 56 healthy controls. The severity of attenuated positive symptoms and overall functioning were assessed. Measures were repeated in 51 UHR and 33 Control subjects after a mean of 18 months. UHR subjects were allocated to either remission (no longer meeting UHR criteria) or non-remission (meeting UHR or psychosis criteria) status on follow-up assessment. Thalamic glutamate levels at presentation were lower in the UHR non-remission (N=29) compared with the remission group (N=22) (t(49)=3.03; P=0.004), and were associated with an increase in the severity of total positive symptoms over time (r=−0.33; df=47; P=0.02), most notably abnormal thought content (r=−0.442; df=47; P=0.003). In the UHR group, ACC glutamate levels were lower at follow-up compared with baseline (F(80)=4.28; P=0.04). These findings suggest that measures of brain glutamate function may be useful as predictors of clinical outcome in individuals at high risk of psychosis.","container-title":"Neuropsychopharmacology","DOI":"10.1038/npp.2014.143","ISSN":"1740-634X","issue":"12","journalAbbreviation":"Neuropsychopharmacol","language":"en","license":"2014 American College of Neuropsychopharmacology","note":"number: 12\npublisher: Nature Publishing Group","page":"2891-2899","source":"www.nature.com","title":"Relationship Between Brain Glutamate Levels and Clinical Outcome in Individuals at Ultra High Risk of Psychosis","volume":"39","author":[{"family":"Egerton","given":"Alice"},{"family":"Stone","given":"James M."},{"family":"Chaddock","given":"Christopher A."},{"family":"Barker","given":"Gareth J."},{"family":"Bonoldi","given":"Ilaria"},{"family":"Howard","given":"Rachel M."},{"family":"Merritt","given":"Kate"},{"family":"Allen","given":"Paul"},{"family":"Howes","given":"Oliver D."},{"family":"Murray","given":"Robin M."},{"family":"McLean","given":"Mary A."},{"family":"Lythgoe","given":"David J."},{"family":"O'Gorman","given":"Ruth L."},{"family":"McGuire","given":"Philip K."}],"issued":{"date-parts":[["2014",11]]},"citation-key":"egertonRelationshipBrainGlutamate2014"}}],"schema":"https://github.com/citation-style-language/schema/raw/master/csl-citation.json"} </w:instrText>
      </w:r>
      <w:r w:rsidRPr="005709EB">
        <w:rPr>
          <w:rFonts w:ascii="Arial" w:hAnsi="Arial" w:cs="Arial"/>
          <w:sz w:val="24"/>
        </w:rPr>
        <w:fldChar w:fldCharType="separate"/>
      </w:r>
      <w:r w:rsidRPr="005709EB">
        <w:rPr>
          <w:rFonts w:ascii="Arial" w:hAnsi="Arial" w:cs="Arial"/>
          <w:sz w:val="24"/>
        </w:rPr>
        <w:t>(Egerton et al., 2014)</w:t>
      </w:r>
      <w:r w:rsidRPr="005709EB">
        <w:rPr>
          <w:rFonts w:ascii="Arial" w:hAnsi="Arial" w:cs="Arial"/>
          <w:sz w:val="24"/>
        </w:rPr>
        <w:fldChar w:fldCharType="end"/>
      </w:r>
      <w:r w:rsidRPr="005709EB">
        <w:rPr>
          <w:rFonts w:ascii="Arial" w:hAnsi="Arial" w:cs="Arial"/>
          <w:sz w:val="24"/>
        </w:rPr>
        <w:t xml:space="preserve"> (assuming a CSF water concentration of 55,556 mol/m</w:t>
      </w:r>
      <w:r w:rsidRPr="005709EB">
        <w:rPr>
          <w:rFonts w:ascii="Arial" w:hAnsi="Arial" w:cs="Arial"/>
          <w:sz w:val="24"/>
          <w:vertAlign w:val="superscript"/>
        </w:rPr>
        <w:t>3</w:t>
      </w:r>
      <w:r w:rsidRPr="005709EB">
        <w:rPr>
          <w:rFonts w:ascii="Arial" w:hAnsi="Arial" w:cs="Arial"/>
          <w:sz w:val="24"/>
        </w:rPr>
        <w:t xml:space="preserve"> and the LCModel default brain water concentration of 35,880 mol/m</w:t>
      </w:r>
      <w:r w:rsidRPr="005709EB">
        <w:rPr>
          <w:rFonts w:ascii="Arial" w:hAnsi="Arial" w:cs="Arial"/>
          <w:sz w:val="24"/>
          <w:vertAlign w:val="superscript"/>
        </w:rPr>
        <w:t>3</w:t>
      </w:r>
      <w:r w:rsidRPr="005709EB">
        <w:rPr>
          <w:rFonts w:ascii="Arial" w:hAnsi="Arial" w:cs="Arial"/>
          <w:sz w:val="24"/>
        </w:rPr>
        <w:t xml:space="preserve"> </w:t>
      </w:r>
      <w:r w:rsidRPr="005709EB">
        <w:rPr>
          <w:rFonts w:ascii="Arial" w:hAnsi="Arial" w:cs="Arial"/>
          <w:sz w:val="24"/>
        </w:rPr>
        <w:fldChar w:fldCharType="begin"/>
      </w:r>
      <w:r w:rsidRPr="005709EB">
        <w:rPr>
          <w:rFonts w:ascii="Arial" w:hAnsi="Arial" w:cs="Arial"/>
          <w:sz w:val="24"/>
        </w:rPr>
        <w:instrText xml:space="preserve"> ADDIN ZOTERO_ITEM CSL_CITATION {"citationID":"r2QciJf4","properties":{"formattedCitation":"(Gasparovic et al., 2006; Kreis et al., 1993)","plainCitation":"(Gasparovic et al., 2006; Kreis et al., 1993)","noteIndex":0},"citationItems":[{"id":10702,"uris":["http://zotero.org/users/6414854/items/RNLYJ4FA"],"itemData":{"id":10702,"type":"article-journal","abstract":"A strategy for using tissue water as a concentration standard in 1H magnetic resonance spectroscopic imaging studies on the brain is presented, and the potential errors that may arise when the method is used are examined. The sensitivity of the method to errors in estimates of the different water compartment relaxation times is shown to be small at short echo times (TEs). Using data from healthy human subjects, it is shown that different image segmentation approaches that are commonly used to account for partial volume effects (SPM2, FSL's FAST, and K-means) lead to different estimates of metabolite levels, particularly in gray matter (GM), owing primarily to variability in the estimates of the cerebrospinal fluid (CSF) fraction. While consistency does not necessarily validate a method, a multispectral segmentation approach using FAST yielded the lowest intersubject variability in the estimates of GM metabolites. The mean GM and white matter (WM) levels of N-acetyl groups (NAc, primarily N-acetylaspartate), choline (Ch), and creatine (Cr) obtained in these subjects using the described method with FAST multispectral segmentation are reported: GM [NAc] = 17.16 ± 1.19 mM; WM [NAc] = 14.26 ± 1.38 mM; GM [Ch] = 3.27 ± 0.47 mM; WM [Ch] = 2.65 ± 0.25 mM; GM [Cr] = 13.98 ± 1.20 mM; and WM [Cr] = 7.10 ± 0.67 mM. Magn Reson Med, 2006. © 2006 Wiley-Liss, Inc.","container-title":"Magnetic Resonance in Medicine","DOI":"10.1002/mrm.20901","ISSN":"1522-2594","issue":"6","language":"en","license":"Copyright © 2006 Wiley-Liss, Inc.","note":"_eprint: https://onlinelibrary.wiley.com/doi/pdf/10.1002/mrm.20901","page":"1219-1226","source":"Wiley Online Library","title":"Use of tissue water as a concentration reference for proton spectroscopic imaging","volume":"55","author":[{"family":"Gasparovic","given":"Charles"},{"family":"Song","given":"Tao"},{"family":"Devier","given":"Deidre"},{"family":"Bockholt","given":"H. Jeremy"},{"family":"Caprihan","given":"Arvind"},{"family":"Mullins","given":"Paul G."},{"family":"Posse","given":"Stefan"},{"family":"Jung","given":"Rex E."},{"family":"Morrison","given":"Leslie A."}],"issued":{"date-parts":[["2006"]]},"citation-key":"gasparovicUseTissueWater2006"}},{"id":10704,"uris":["http://zotero.org/users/6414854/items/WWBVT9Z9"],"itemData":{"id":10704,"type":"article-journal","abstract":"A method for determining absolute metabolite concentrations with in vivo1H magnetic resonance spectroscopy is presented. Using the compartmentation model introduced in the preceding paper of this series (J. Magn. Reson. B102, 1, 1993), it is possible to express NMR results in terms of most commonly used concentration units. The proposed scheme, involving the measurement of an external standard as well as of the localized water signal, is verified on cerebral spectra obtained from 22 subjects. Besides concentrations, longitudinal and transverse relaxation times are determined for parietal white and occipital gray matter. The determination of these quantities crucially depends on the analysis of the T2 signal decay as a function of echo time. The in vivo concentrations of the four metabolites N-acetyl aspartate, creatine plus phosphocreatine, choline, and myo-inositol are in good agreement with biochemical determinations performed in vitro. Two clinical examples emphasize the relevance of absolute quantitation in the investigation of human neuropathology and normal development.","container-title":"Journal of Magnetic Resonance, Series B","DOI":"10.1006/jmrb.1993.1056","ISSN":"1064-1866","issue":"1","journalAbbreviation":"Journal of Magnetic Resonance, Series B","page":"9-19","source":"ScienceDirect","title":"Absolute Quantitation of Water and Metabolites in the Human Brain. II. Metabolite Concentrations","volume":"102","author":[{"family":"Kreis","given":"R."},{"family":"Ernst","given":"T."},{"family":"Ross","given":"B. D."}],"issued":{"date-parts":[["1993",8,1]]},"citation-key":"kreisAbsoluteQuantitationWater1993"}}],"schema":"https://github.com/citation-style-language/schema/raw/master/csl-citation.json"} </w:instrText>
      </w:r>
      <w:r w:rsidRPr="005709EB">
        <w:rPr>
          <w:rFonts w:ascii="Arial" w:hAnsi="Arial" w:cs="Arial"/>
          <w:sz w:val="24"/>
        </w:rPr>
        <w:fldChar w:fldCharType="separate"/>
      </w:r>
      <w:r w:rsidRPr="005709EB">
        <w:rPr>
          <w:rFonts w:ascii="Arial" w:hAnsi="Arial" w:cs="Arial"/>
          <w:sz w:val="24"/>
        </w:rPr>
        <w:t>(Gasparovic et al., 2006; Kreis et al., 1993)</w:t>
      </w:r>
      <w:r w:rsidRPr="005709EB">
        <w:rPr>
          <w:rFonts w:ascii="Arial" w:hAnsi="Arial" w:cs="Arial"/>
          <w:sz w:val="24"/>
        </w:rPr>
        <w:fldChar w:fldCharType="end"/>
      </w:r>
      <w:r w:rsidRPr="005709EB">
        <w:rPr>
          <w:rFonts w:ascii="Arial" w:hAnsi="Arial" w:cs="Arial"/>
          <w:sz w:val="24"/>
        </w:rPr>
        <w:t xml:space="preserve">). For each participant, we determined these fractions from their structural T1 images using Statistical Parametric Mapping 8 software (SPM8), which was used to localise the spectroscopy voxel and subsequently segment into grey matter, white matter, and CSF. </w:t>
      </w:r>
    </w:p>
    <w:p w14:paraId="756AE753" w14:textId="0D513B83" w:rsidR="00C71BE4" w:rsidRPr="006121CD" w:rsidRDefault="00230F69" w:rsidP="00A05E6C">
      <w:pPr>
        <w:pStyle w:val="Heading3"/>
        <w:spacing w:line="360" w:lineRule="auto"/>
        <w:jc w:val="both"/>
        <w:rPr>
          <w:rStyle w:val="Strong"/>
          <w:rFonts w:ascii="Arial" w:hAnsi="Arial" w:cs="Arial"/>
          <w:i/>
          <w:iCs/>
          <w:color w:val="auto"/>
          <w:sz w:val="24"/>
          <w:szCs w:val="24"/>
        </w:rPr>
      </w:pPr>
      <w:bookmarkStart w:id="4" w:name="_Toc180440447"/>
      <w:bookmarkStart w:id="5" w:name="_Toc180440716"/>
      <w:r w:rsidRPr="006121CD">
        <w:rPr>
          <w:rStyle w:val="Strong"/>
          <w:rFonts w:ascii="Arial" w:hAnsi="Arial" w:cs="Arial"/>
          <w:i/>
          <w:iCs/>
          <w:color w:val="auto"/>
          <w:sz w:val="24"/>
          <w:szCs w:val="24"/>
        </w:rPr>
        <w:t xml:space="preserve">fMRI processing and </w:t>
      </w:r>
      <w:r w:rsidR="00011CCE" w:rsidRPr="006121CD">
        <w:rPr>
          <w:rStyle w:val="Strong"/>
          <w:rFonts w:ascii="Arial" w:hAnsi="Arial" w:cs="Arial"/>
          <w:i/>
          <w:iCs/>
          <w:color w:val="auto"/>
          <w:sz w:val="24"/>
          <w:szCs w:val="24"/>
        </w:rPr>
        <w:t xml:space="preserve">subject-level </w:t>
      </w:r>
      <w:r w:rsidRPr="006121CD">
        <w:rPr>
          <w:rStyle w:val="Strong"/>
          <w:rFonts w:ascii="Arial" w:hAnsi="Arial" w:cs="Arial"/>
          <w:i/>
          <w:iCs/>
          <w:color w:val="auto"/>
          <w:sz w:val="24"/>
          <w:szCs w:val="24"/>
        </w:rPr>
        <w:t>analysis details</w:t>
      </w:r>
      <w:bookmarkEnd w:id="4"/>
      <w:bookmarkEnd w:id="5"/>
    </w:p>
    <w:p w14:paraId="60B1BDEC" w14:textId="7C764F48" w:rsidR="00D73EE7" w:rsidRPr="00B36F61" w:rsidRDefault="00535516" w:rsidP="00A05E6C">
      <w:pPr>
        <w:widowControl/>
        <w:spacing w:line="360" w:lineRule="auto"/>
        <w:jc w:val="both"/>
        <w:rPr>
          <w:rFonts w:ascii="Arial" w:eastAsia="宋体" w:hAnsi="Arial" w:cs="Arial"/>
          <w:kern w:val="0"/>
          <w:sz w:val="24"/>
        </w:rPr>
      </w:pPr>
      <w:r w:rsidRPr="00B36F61">
        <w:rPr>
          <w:rFonts w:ascii="Arial" w:hAnsi="Arial" w:cs="Arial"/>
          <w:sz w:val="24"/>
        </w:rPr>
        <w:t xml:space="preserve">Instead of assuming a Gaussian population distribution of fMRI signals in the brain (an assumption that is difficult to test and found to be violated when tested </w:t>
      </w:r>
      <w:r w:rsidRPr="00B36F61">
        <w:rPr>
          <w:rFonts w:ascii="Arial" w:hAnsi="Arial" w:cs="Arial"/>
          <w:sz w:val="24"/>
        </w:rPr>
        <w:fldChar w:fldCharType="begin"/>
      </w:r>
      <w:r w:rsidR="00BB6F03" w:rsidRPr="00B36F61">
        <w:rPr>
          <w:rFonts w:ascii="Arial" w:hAnsi="Arial" w:cs="Arial"/>
          <w:sz w:val="24"/>
        </w:rPr>
        <w:instrText xml:space="preserve"> ADDIN ZOTERO_ITEM CSL_CITATION {"citationID":"B59yEFWZ","properties":{"formattedCitation":"(Brammer et al., 1997; Thirion et al., 2007a)","plainCitation":"(Brammer et al., 1997; Thirion et al., 2007a)","noteIndex":0},"citationItems":[{"id":2531,"uris":["http://zotero.org/users/6414854/items/JFJD26A4"],"itemData":{"id":2531,"type":"article-journal","container-title":"Magnetic Resonance Imaging","DOI":"10.1016/S0730-725X(97)00135-5","ISSN":"0730725X","issue":"7","journalAbbreviation":"Magnetic Resonance Imaging","language":"en","page":"763-770","source":"DOI.org (Crossref)","title":"Generic brain activation mapping in functional magnetic resonance imaging: A nonparametric approach","title-short":"Generic brain activation mapping in functional magnetic resonance imaging","volume":"15","author":[{"family":"Brammer","given":"M.J."},{"family":"Bullmore","given":"E.T."},{"family":"Simmons","given":"A."},{"family":"Williams","given":"S.C.R."},{"family":"Grasby","given":"P.M."},{"family":"Howard","given":"R.J."},{"family":"Woodruff","given":"P.W.R."},{"family":"Rabe-Hesketh","given":"S."}],"issued":{"date-parts":[["1997",1]]},"citation-key":"brammerGenericBrainActivation1997"}},{"id":10708,"uris":["http://zotero.org/users/6414854/items/ZS8MP4FJ"],"itemData":{"id":10708,"type":"article-journal","abstract":"The aim of group fMRI studies is to relate contrasts of tasks or stimuli to regional brain activity increases. These studies typically involve 10 to 16 subjects. The average regional activity statistical significance is assessed using the subject to subject variability of the effect (random effects analyses). Because of the relatively small number of subjects included, the sensitivity and reliability of these analyses is questionable and hard to investigate. In this work, we use a very large number of subject (more than 80) to investigate this issue. We take advantage of this large cohort to study the statistical properties of the inter-subject activity and focus on the notion of reproducibility by bootstrapping. We asked simple but important methodological questions: Is there, from the point of view of reliability, an optimal statistical threshold for activity maps? How many subjects should be included in group studies? What method should be preferred for inference? Our results suggest that i) optimal thresholds can indeed be found, and are rather lower than usual corrected for multiple comparison thresholds, ii) 20 subjects or more should be included in functional neuroimaging studies in order to have sufficient reliability, iii) non-parametric significance assessment should be preferred to parametric methods, iv) cluster-level thresholding is more reliable than voxel-based thresholding, and v) mixed effects tests are much more reliable than random effects tests. Moreover, our study shows that inter-subject variability plays a prominent role in the relatively low sensitivity and reliability of group studies.","container-title":"NeuroImage","DOI":"10.1016/j.neuroimage.2006.11.054","ISSN":"1053-8119","issue":"1","journalAbbreviation":"NeuroImage","page":"105-120","source":"ScienceDirect","title":"Analysis of a large fMRI cohort: Statistical and methodological issues for group analyses","title-short":"Analysis of a large fMRI cohort","volume":"35","author":[{"family":"Thirion","given":"Bertrand"},{"family":"Pinel","given":"Philippe"},{"family":"Mériaux","given":"Sébastien"},{"family":"Roche","given":"Alexis"},{"family":"Dehaene","given":"Stanislas"},{"family":"Poline","given":"Jean-Baptiste"}],"issued":{"date-parts":[["2007",3,1]]},"citation-key":"thirionAnalysisLargeFMRI2007a"}}],"schema":"https://github.com/citation-style-language/schema/raw/master/csl-citation.json"} </w:instrText>
      </w:r>
      <w:r w:rsidRPr="00B36F61">
        <w:rPr>
          <w:rFonts w:ascii="Arial" w:hAnsi="Arial" w:cs="Arial"/>
          <w:sz w:val="24"/>
        </w:rPr>
        <w:fldChar w:fldCharType="separate"/>
      </w:r>
      <w:r w:rsidR="00BB6F03" w:rsidRPr="00B36F61">
        <w:rPr>
          <w:rFonts w:ascii="Arial" w:hAnsi="Arial" w:cs="Arial"/>
          <w:sz w:val="24"/>
        </w:rPr>
        <w:t>(Brammer et al., 1997; Thirion et al., 2007a)</w:t>
      </w:r>
      <w:r w:rsidRPr="00B36F61">
        <w:rPr>
          <w:rFonts w:ascii="Arial" w:hAnsi="Arial" w:cs="Arial"/>
          <w:sz w:val="24"/>
        </w:rPr>
        <w:fldChar w:fldCharType="end"/>
      </w:r>
      <w:r w:rsidRPr="00B36F61">
        <w:rPr>
          <w:rFonts w:ascii="Arial" w:hAnsi="Arial" w:cs="Arial"/>
          <w:sz w:val="24"/>
        </w:rPr>
        <w:t xml:space="preserve">), XBAM uses median instead of mean as a test statistic and permutation-based rather than normal theory-based approaches for statistical inference. As a result, it is less likely to suffer from </w:t>
      </w:r>
      <w:r w:rsidRPr="00B36F61">
        <w:rPr>
          <w:rFonts w:ascii="Arial" w:hAnsi="Arial" w:cs="Arial"/>
          <w:sz w:val="24"/>
        </w:rPr>
        <w:lastRenderedPageBreak/>
        <w:t xml:space="preserve">bias caused by outliers </w:t>
      </w:r>
      <w:r w:rsidRPr="00B36F61">
        <w:rPr>
          <w:rFonts w:ascii="Arial" w:hAnsi="Arial" w:cs="Arial"/>
          <w:sz w:val="24"/>
        </w:rPr>
        <w:fldChar w:fldCharType="begin"/>
      </w:r>
      <w:r w:rsidRPr="00B36F61">
        <w:rPr>
          <w:rFonts w:ascii="Arial" w:hAnsi="Arial" w:cs="Arial"/>
          <w:sz w:val="24"/>
        </w:rPr>
        <w:instrText xml:space="preserve"> ADDIN ZOTERO_ITEM CSL_CITATION {"citationID":"YqK1ixaO","properties":{"formattedCitation":"(Hayasaka &amp; Nichols, 2003)","plainCitation":"(Hayasaka &amp; Nichols, 2003)","noteIndex":0},"citationItems":[{"id":10709,"uris":["http://zotero.org/users/6414854/items/YC955VH6"],"itemData":{"id":10709,"type":"article-journal","abstract":"Cluster size tests used in analyses of brain images can have more sensitivity compared to intensity based tests. The random field (RF) theory has been widely used in implementation of such tests, however the behavior of such tests is not well understood, especially when the RF assumptions are in doubt. In this paper, we carried out a simulation study of cluster size tests under varying smoothness, thresholds, and degrees of freedom, comparing RF performance to that of the permutation test, which is known to be exact. For Gaussian images, we find that the RF methods are generally conservative, especially for low smoothness and low threshold. For t images, the RF tests are found to be conservative at lower thresholds and do not perform well unless the threshold is high and images are sufficiently smooth. The permutation test performs well for any settings though the discreteness in cluster size must be accounted for. We make specific recommendations on when permutation tests are to be preferred to RF tests.","container-title":"NeuroImage","DOI":"10.1016/j.neuroimage.2003.08.003","ISSN":"1053-8119","issue":"4","journalAbbreviation":"NeuroImage","page":"2343-2356","source":"ScienceDirect","title":"Validating cluster size inference: random field and permutation methods","title-short":"Validating cluster size inference","volume":"20","author":[{"family":"Hayasaka","given":"Satoru"},{"family":"Nichols","given":"Thomas E."}],"issued":{"date-parts":[["2003",12,1]]},"citation-key":"hayasakaValidatingClusterSize2003"}}],"schema":"https://github.com/citation-style-language/schema/raw/master/csl-citation.json"} </w:instrText>
      </w:r>
      <w:r w:rsidRPr="00B36F61">
        <w:rPr>
          <w:rFonts w:ascii="Arial" w:hAnsi="Arial" w:cs="Arial"/>
          <w:sz w:val="24"/>
        </w:rPr>
        <w:fldChar w:fldCharType="separate"/>
      </w:r>
      <w:r w:rsidRPr="00B36F61">
        <w:rPr>
          <w:rFonts w:ascii="Arial" w:hAnsi="Arial" w:cs="Arial"/>
          <w:sz w:val="24"/>
        </w:rPr>
        <w:t>(Hayasaka &amp; Nichols, 2003)</w:t>
      </w:r>
      <w:r w:rsidRPr="00B36F61">
        <w:rPr>
          <w:rFonts w:ascii="Arial" w:hAnsi="Arial" w:cs="Arial"/>
          <w:sz w:val="24"/>
        </w:rPr>
        <w:fldChar w:fldCharType="end"/>
      </w:r>
      <w:r w:rsidRPr="00B36F61">
        <w:rPr>
          <w:rFonts w:ascii="Arial" w:hAnsi="Arial" w:cs="Arial"/>
          <w:sz w:val="24"/>
        </w:rPr>
        <w:t>. In this method, computation of the test statistic involves standardizing for individual differences in residual noise before embarking on second-level, multi-subject testing, using robust permutation-based methods, employing a mixed-effects approach to deal with the issue of non-normality. The use of a mixed effects approach helps address the inequality of individual residual variances by effectively “down weighting” responses with large residual variances. The significance of the resulting reweighted responses at the group level is then tested by data permutation to avoid assumptions of normality.</w:t>
      </w:r>
      <w:r w:rsidR="007913DF" w:rsidRPr="00B36F61">
        <w:rPr>
          <w:rFonts w:ascii="Arial" w:hAnsi="Arial" w:cs="Arial"/>
          <w:sz w:val="24"/>
        </w:rPr>
        <w:t xml:space="preserve"> </w:t>
      </w:r>
      <w:r w:rsidR="007913DF" w:rsidRPr="00B36F61">
        <w:rPr>
          <w:rStyle w:val="CommentReference"/>
          <w:rFonts w:ascii="Arial" w:hAnsi="Arial" w:cs="Arial"/>
          <w:sz w:val="24"/>
          <w:szCs w:val="24"/>
        </w:rPr>
        <w:t>B</w:t>
      </w:r>
      <w:r w:rsidR="007913DF" w:rsidRPr="00B36F61">
        <w:rPr>
          <w:rFonts w:ascii="Arial" w:hAnsi="Arial" w:cs="Arial"/>
          <w:sz w:val="24"/>
        </w:rPr>
        <w:t xml:space="preserve">efore analysis, the images were corrected for head motion </w:t>
      </w:r>
      <w:r w:rsidR="007447CF" w:rsidRPr="00B36F61">
        <w:rPr>
          <w:rFonts w:ascii="Arial" w:hAnsi="Arial" w:cs="Arial"/>
          <w:sz w:val="24"/>
        </w:rPr>
        <w:fldChar w:fldCharType="begin"/>
      </w:r>
      <w:r w:rsidR="00BB6F03" w:rsidRPr="00B36F61">
        <w:rPr>
          <w:rFonts w:ascii="Arial" w:hAnsi="Arial" w:cs="Arial"/>
          <w:sz w:val="24"/>
        </w:rPr>
        <w:instrText xml:space="preserve"> ADDIN ZOTERO_ITEM CSL_CITATION {"citationID":"hhT2W7q1","properties":{"formattedCitation":"(Brammer et al., 1997; Bullmore et al., 1999)","plainCitation":"(Brammer et al., 1997; Bullmore et al., 1999)","noteIndex":0},"citationItems":[{"id":2531,"uris":["http://zotero.org/users/6414854/items/JFJD26A4"],"itemData":{"id":2531,"type":"article-journal","container-title":"Magnetic Resonance Imaging","DOI":"10.1016/S0730-725X(97)00135-5","ISSN":"0730725X","issue":"7","journalAbbreviation":"Magnetic Resonance Imaging","language":"en","page":"763-770","source":"DOI.org (Crossref)","title":"Generic brain activation mapping in functional magnetic resonance imaging: A nonparametric approach","title-short":"Generic brain activation mapping in functional magnetic resonance imaging","volume":"15","author":[{"family":"Brammer","given":"M.J."},{"family":"Bullmore","given":"E.T."},{"family":"Simmons","given":"A."},{"family":"Williams","given":"S.C.R."},{"family":"Grasby","given":"P.M."},{"family":"Howard","given":"R.J."},{"family":"Woodruff","given":"P.W.R."},{"family":"Rabe-Hesketh","given":"S."}],"issued":{"date-parts":[["1997",1]]},"citation-key":"brammerGenericBrainActivation1997"},"label":"page"},{"id":12158,"uris":["http://zotero.org/users/6414854/items/4N3VQK2G"],"itemData":{"id":12158,"type":"article-journal","abstract":"The authors describe almost entirely automated procedures for estimation of global, voxel, and cluster-level statistics to test the null hypothesis of zero neuroanatomical difference between two groups of structural magnetic resonance imaging (MRI) data. Theoretical distributions under the null hypothesis are available for (1) global tissue class volumes; (2) standardized linear model [analysis of variance (ANOVA and ANCOVA)] coefficients estimated at each voxel; and (3) an area of spatially connected clusters generated by applying an arbitrary threshold to a two-dimensional (2-D) map of normal statistics at voxel level. The authors describe novel methods for economically ascertaining probability distributions under the null hypothesis, with fewer assumptions, by permutation of the observed data. Nominal Type I error control by permutation testing is generally excellent; whereas theoretical distributions may be over conservative. Permutation has the additional advantage that it can be used to test any statistic of interest, such as the sum of suprathreshold voxel statistics in a cluster (or cluster mass), regardless of its theoretical tractability under the null hypothesis. These issues are illustrated by application to MRI data acquired from 18 adolescents with hyperkinetic disorder and 16 control subjects matched for age and gender.","container-title":"IEEE Transactions on Medical Imaging","DOI":"10.1109/42.750253","ISSN":"1558-254X","issue":"1","note":"event-title: IEEE Transactions on Medical Imaging\nTLDR: Almost entirely automated procedures for estimation of global, voxel, and cluster-level statistics to test the null hypothesis of zero neuroanatomical difference between two groups of structural magnetic resonance imaging (MRI) data are described.","page":"32-42","source":"IEEE Xplore","title":"Global, voxel, and cluster tests, by theory and permutation, for a difference between two groups of structural MR images of the brain","volume":"18","author":[{"family":"Bullmore","given":"E.T."},{"family":"Suckling","given":"J."},{"family":"Overmeyer","given":"S."},{"family":"Rabe-Hesketh","given":"S."},{"family":"Taylor","given":"E."},{"family":"Brammer","given":"M.J."}],"issued":{"date-parts":[["1999",1]]},"citation-key":"bullmoreGlobalVoxelCluster1999"},"label":"page"}],"schema":"https://github.com/citation-style-language/schema/raw/master/csl-citation.json"} </w:instrText>
      </w:r>
      <w:r w:rsidR="007447CF" w:rsidRPr="00B36F61">
        <w:rPr>
          <w:rFonts w:ascii="Arial" w:hAnsi="Arial" w:cs="Arial"/>
          <w:sz w:val="24"/>
        </w:rPr>
        <w:fldChar w:fldCharType="separate"/>
      </w:r>
      <w:r w:rsidR="00BB6F03" w:rsidRPr="00B36F61">
        <w:rPr>
          <w:rFonts w:ascii="Arial" w:hAnsi="Arial" w:cs="Arial"/>
          <w:sz w:val="24"/>
        </w:rPr>
        <w:t>(Brammer et al., 1997; Bullmore et al., 1999)</w:t>
      </w:r>
      <w:r w:rsidR="007447CF" w:rsidRPr="00B36F61">
        <w:rPr>
          <w:rFonts w:ascii="Arial" w:hAnsi="Arial" w:cs="Arial"/>
          <w:sz w:val="24"/>
        </w:rPr>
        <w:fldChar w:fldCharType="end"/>
      </w:r>
      <w:r w:rsidR="007913DF" w:rsidRPr="00B36F61">
        <w:rPr>
          <w:rFonts w:ascii="Arial" w:hAnsi="Arial" w:cs="Arial"/>
          <w:sz w:val="24"/>
        </w:rPr>
        <w:t xml:space="preserve"> and spatially smoothed with an 8.8mm full-width-at-half-maximum Gaussian filter</w:t>
      </w:r>
      <w:r w:rsidR="00BB6F03" w:rsidRPr="00B36F61">
        <w:rPr>
          <w:rFonts w:ascii="Arial" w:hAnsi="Arial" w:cs="Arial"/>
          <w:sz w:val="24"/>
        </w:rPr>
        <w:t xml:space="preserve"> </w:t>
      </w:r>
      <w:r w:rsidR="00BB6F03" w:rsidRPr="00B36F61">
        <w:rPr>
          <w:rFonts w:ascii="Arial" w:hAnsi="Arial" w:cs="Arial"/>
          <w:sz w:val="24"/>
        </w:rPr>
        <w:fldChar w:fldCharType="begin"/>
      </w:r>
      <w:r w:rsidR="00BB6F03" w:rsidRPr="00B36F61">
        <w:rPr>
          <w:rFonts w:ascii="Arial" w:hAnsi="Arial" w:cs="Arial"/>
          <w:sz w:val="24"/>
        </w:rPr>
        <w:instrText xml:space="preserve"> ADDIN ZOTERO_ITEM CSL_CITATION {"citationID":"zi1WKLMu","properties":{"formattedCitation":"(Thirion et al., 2007b)","plainCitation":"(Thirion et al., 2007b)","noteIndex":0},"citationItems":[{"id":2530,"uris":["http://zotero.org/users/6414854/items/UG2BL5DF"],"itemData":{"id":2530,"type":"article-journal","container-title":"NeuroImage","DOI":"10.1016/j.neuroimage.2006.11.054","ISSN":"10538119","issue":"1","journalAbbreviation":"NeuroImage","language":"en","page":"105-120","source":"DOI.org (Crossref)","title":"Analysis of a large fMRI cohort: Statistical and methodological issues for group analyses","title-short":"Analysis of a large fMRI cohort","volume":"35","author":[{"family":"Thirion","given":"Bertrand"},{"family":"Pinel","given":"Philippe"},{"family":"Mériaux","given":"Sébastien"},{"family":"Roche","given":"Alexis"},{"family":"Dehaene","given":"Stanislas"},{"family":"Poline","given":"Jean-Baptiste"}],"issued":{"date-parts":[["2007",3]]},"citation-key":"thirionAnalysisLargeFMRI2007"}}],"schema":"https://github.com/citation-style-language/schema/raw/master/csl-citation.json"} </w:instrText>
      </w:r>
      <w:r w:rsidR="00BB6F03" w:rsidRPr="00B36F61">
        <w:rPr>
          <w:rFonts w:ascii="Arial" w:hAnsi="Arial" w:cs="Arial"/>
          <w:sz w:val="24"/>
        </w:rPr>
        <w:fldChar w:fldCharType="separate"/>
      </w:r>
      <w:r w:rsidR="00BB6F03" w:rsidRPr="00B36F61">
        <w:rPr>
          <w:rFonts w:ascii="Arial" w:hAnsi="Arial" w:cs="Arial"/>
          <w:sz w:val="24"/>
        </w:rPr>
        <w:t>(Thirion et al., 2007b)</w:t>
      </w:r>
      <w:r w:rsidR="00BB6F03" w:rsidRPr="00B36F61">
        <w:rPr>
          <w:rFonts w:ascii="Arial" w:hAnsi="Arial" w:cs="Arial"/>
          <w:sz w:val="24"/>
        </w:rPr>
        <w:fldChar w:fldCharType="end"/>
      </w:r>
      <w:r w:rsidR="007913DF" w:rsidRPr="00B36F61">
        <w:rPr>
          <w:rFonts w:ascii="Arial" w:hAnsi="Arial" w:cs="Arial"/>
          <w:sz w:val="24"/>
        </w:rPr>
        <w:t xml:space="preserve">. Slice timing correction was then </w:t>
      </w:r>
      <w:r w:rsidR="00BB6F03" w:rsidRPr="00B36F61">
        <w:rPr>
          <w:rFonts w:ascii="Arial" w:hAnsi="Arial" w:cs="Arial"/>
          <w:sz w:val="24"/>
        </w:rPr>
        <w:t>applied,</w:t>
      </w:r>
      <w:r w:rsidR="007913DF" w:rsidRPr="00B36F61">
        <w:rPr>
          <w:rFonts w:ascii="Arial" w:hAnsi="Arial" w:cs="Arial"/>
          <w:sz w:val="24"/>
        </w:rPr>
        <w:t xml:space="preserve"> and the residual motion effects were regressed out from the time series using the estimated motion parameters before fitting a general linear model. The experimental design (encoding and recall condition) was convolved with 2 γ-variate functions, peaking at 4 and 8 seconds to allow for variability in </w:t>
      </w:r>
      <w:r w:rsidR="0073070A" w:rsidRPr="00B36F61">
        <w:rPr>
          <w:rFonts w:ascii="Arial" w:hAnsi="Arial" w:cs="Arial"/>
          <w:sz w:val="24"/>
        </w:rPr>
        <w:t>hemodynamic</w:t>
      </w:r>
      <w:r w:rsidR="007913DF" w:rsidRPr="00B36F61">
        <w:rPr>
          <w:rFonts w:ascii="Arial" w:hAnsi="Arial" w:cs="Arial"/>
          <w:sz w:val="24"/>
        </w:rPr>
        <w:t xml:space="preserve"> delay to model the BOLD response. To estimate the BOLD response, a constrained BOLD effects model was used, and the best fit was computed between the weighted sum of convolutions and the change over time at each voxel, which helped to reduce the possibility that increased mathematically plausible but decreased physiologically implausible results caused by the model fitting procedure.</w:t>
      </w:r>
      <w:r w:rsidR="007913DF" w:rsidRPr="00B36F61">
        <w:rPr>
          <w:rStyle w:val="Heading1Char"/>
          <w:rFonts w:ascii="Arial" w:hAnsi="Arial" w:cs="Arial"/>
          <w:color w:val="auto"/>
          <w:sz w:val="24"/>
          <w:szCs w:val="24"/>
        </w:rPr>
        <w:t xml:space="preserve"> </w:t>
      </w:r>
      <w:r w:rsidR="007913DF" w:rsidRPr="00B36F61">
        <w:rPr>
          <w:rFonts w:ascii="Arial" w:hAnsi="Arial" w:cs="Arial"/>
          <w:sz w:val="24"/>
        </w:rPr>
        <w:t xml:space="preserve">This model was then </w:t>
      </w:r>
      <w:r w:rsidR="0073070A" w:rsidRPr="00B36F61">
        <w:rPr>
          <w:rFonts w:ascii="Arial" w:hAnsi="Arial" w:cs="Arial"/>
          <w:sz w:val="24"/>
        </w:rPr>
        <w:t>fitted</w:t>
      </w:r>
      <w:r w:rsidR="007913DF" w:rsidRPr="00B36F61">
        <w:rPr>
          <w:rFonts w:ascii="Arial" w:hAnsi="Arial" w:cs="Arial"/>
          <w:sz w:val="24"/>
        </w:rPr>
        <w:t xml:space="preserve"> to the time series at each voxel using least-squares fitting. Following this, the sum of squares (SSQ) ratio statistic, which represents the ratio of the model component to the residual sum of squares,</w:t>
      </w:r>
      <w:r w:rsidR="00D73EE7" w:rsidRPr="00B36F61">
        <w:rPr>
          <w:rFonts w:ascii="Arial" w:hAnsi="Arial" w:cs="Arial"/>
          <w:kern w:val="0"/>
          <w:sz w:val="24"/>
        </w:rPr>
        <w:t xml:space="preserve"> was estimated for the encoding and correct recall conditions relative to the baseline during which a blank screen is shown to participants (encoding vs baseline; recall vs baseline)</w:t>
      </w:r>
      <w:r w:rsidR="00D73EE7" w:rsidRPr="00B36F61">
        <w:rPr>
          <w:rFonts w:ascii="Arial" w:eastAsia="宋体" w:hAnsi="Arial" w:cs="Arial"/>
          <w:kern w:val="0"/>
          <w:sz w:val="24"/>
        </w:rPr>
        <w:t xml:space="preserve"> </w:t>
      </w:r>
    </w:p>
    <w:p w14:paraId="2EB66C8D" w14:textId="1B37FCB2" w:rsidR="007913DF" w:rsidRPr="00B36F61" w:rsidRDefault="007913DF" w:rsidP="00A05E6C">
      <w:pPr>
        <w:pStyle w:val="ListParagraph"/>
        <w:spacing w:line="360" w:lineRule="auto"/>
        <w:ind w:left="0"/>
        <w:jc w:val="both"/>
        <w:rPr>
          <w:rFonts w:ascii="Arial" w:hAnsi="Arial" w:cs="Arial"/>
          <w:sz w:val="24"/>
        </w:rPr>
      </w:pPr>
      <w:r w:rsidRPr="00B36F61">
        <w:rPr>
          <w:rFonts w:ascii="Arial" w:hAnsi="Arial" w:cs="Arial"/>
          <w:sz w:val="24"/>
        </w:rPr>
        <w:t xml:space="preserve">The SSQ ratio maps of each condition for each individual were then transformed into standard stereotactic space (Talairach space).  </w:t>
      </w:r>
    </w:p>
    <w:p w14:paraId="276F2ED2" w14:textId="77777777" w:rsidR="007913DF" w:rsidRPr="00B36F61" w:rsidRDefault="007913DF" w:rsidP="00A05E6C">
      <w:pPr>
        <w:pStyle w:val="ListParagraph"/>
        <w:spacing w:line="360" w:lineRule="auto"/>
        <w:ind w:left="360"/>
        <w:jc w:val="both"/>
        <w:rPr>
          <w:rFonts w:ascii="Arial" w:hAnsi="Arial" w:cs="Arial"/>
          <w:sz w:val="24"/>
        </w:rPr>
      </w:pPr>
    </w:p>
    <w:p w14:paraId="6C3BB5CF" w14:textId="09CEDB99" w:rsidR="00855105" w:rsidRPr="00B36F61" w:rsidRDefault="006B3890" w:rsidP="00A05E6C">
      <w:pPr>
        <w:pStyle w:val="ListParagraph"/>
        <w:spacing w:line="360" w:lineRule="auto"/>
        <w:ind w:left="360"/>
        <w:jc w:val="both"/>
        <w:rPr>
          <w:rFonts w:ascii="Arial" w:hAnsi="Arial" w:cs="Arial"/>
          <w:sz w:val="24"/>
        </w:rPr>
      </w:pPr>
      <w:r w:rsidRPr="00B36F61">
        <w:rPr>
          <w:rFonts w:ascii="Arial" w:hAnsi="Arial" w:cs="Arial"/>
          <w:sz w:val="24"/>
        </w:rPr>
        <w:br w:type="page"/>
      </w:r>
    </w:p>
    <w:p w14:paraId="57132E6A" w14:textId="77777777" w:rsidR="00623192" w:rsidRPr="00B36F61" w:rsidRDefault="00623192" w:rsidP="00A05E6C">
      <w:pPr>
        <w:spacing w:line="360" w:lineRule="auto"/>
        <w:jc w:val="both"/>
        <w:rPr>
          <w:rFonts w:ascii="Arial" w:hAnsi="Arial" w:cs="Arial"/>
          <w:sz w:val="24"/>
        </w:rPr>
      </w:pPr>
    </w:p>
    <w:p w14:paraId="0B3900FE" w14:textId="17B97683" w:rsidR="00623192" w:rsidRPr="00B36F61" w:rsidRDefault="006B3890" w:rsidP="00A05E6C">
      <w:pPr>
        <w:pStyle w:val="Heading2"/>
        <w:spacing w:line="360" w:lineRule="auto"/>
        <w:jc w:val="both"/>
        <w:rPr>
          <w:rFonts w:ascii="Arial" w:hAnsi="Arial" w:cs="Arial"/>
          <w:b/>
          <w:bCs/>
          <w:color w:val="auto"/>
          <w:sz w:val="24"/>
          <w:szCs w:val="24"/>
        </w:rPr>
      </w:pPr>
      <w:bookmarkStart w:id="6" w:name="_Toc180440448"/>
      <w:bookmarkStart w:id="7" w:name="_Toc180440717"/>
      <w:r w:rsidRPr="00B36F61">
        <w:rPr>
          <w:rFonts w:ascii="Arial" w:hAnsi="Arial" w:cs="Arial"/>
          <w:b/>
          <w:bCs/>
          <w:color w:val="auto"/>
          <w:sz w:val="24"/>
          <w:szCs w:val="24"/>
        </w:rPr>
        <w:t>eFigures</w:t>
      </w:r>
      <w:bookmarkEnd w:id="6"/>
      <w:bookmarkEnd w:id="7"/>
    </w:p>
    <w:p w14:paraId="43DB616C" w14:textId="6C5A4540" w:rsidR="0016117E" w:rsidRPr="00B36F61" w:rsidRDefault="00DB4D3C" w:rsidP="00A05E6C">
      <w:pPr>
        <w:pStyle w:val="Heading3"/>
        <w:spacing w:line="360" w:lineRule="auto"/>
        <w:jc w:val="both"/>
        <w:rPr>
          <w:rFonts w:ascii="Arial" w:hAnsi="Arial" w:cs="Arial"/>
          <w:color w:val="auto"/>
          <w:sz w:val="24"/>
          <w:szCs w:val="24"/>
        </w:rPr>
      </w:pPr>
      <w:bookmarkStart w:id="8" w:name="_Toc180440449"/>
      <w:bookmarkStart w:id="9" w:name="_Toc180440718"/>
      <w:r w:rsidRPr="00B36F61">
        <w:rPr>
          <w:rFonts w:ascii="Arial" w:hAnsi="Arial" w:cs="Arial"/>
          <w:noProof/>
          <w:color w:val="auto"/>
          <w:sz w:val="24"/>
          <w:szCs w:val="24"/>
        </w:rPr>
        <w:drawing>
          <wp:anchor distT="0" distB="0" distL="114300" distR="114300" simplePos="0" relativeHeight="251664384" behindDoc="0" locked="0" layoutInCell="1" allowOverlap="1" wp14:anchorId="1EE5010D" wp14:editId="755E12C9">
            <wp:simplePos x="0" y="0"/>
            <wp:positionH relativeFrom="column">
              <wp:posOffset>3175</wp:posOffset>
            </wp:positionH>
            <wp:positionV relativeFrom="paragraph">
              <wp:posOffset>394546</wp:posOffset>
            </wp:positionV>
            <wp:extent cx="5274310" cy="2889885"/>
            <wp:effectExtent l="0" t="0" r="2540" b="5715"/>
            <wp:wrapTopAndBottom/>
            <wp:docPr id="1475937627" name="Picture 1" descr="A close-up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37627" name="Picture 1" descr="A close-up of a brai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74310" cy="2889885"/>
                    </a:xfrm>
                    <a:prstGeom prst="rect">
                      <a:avLst/>
                    </a:prstGeom>
                  </pic:spPr>
                </pic:pic>
              </a:graphicData>
            </a:graphic>
          </wp:anchor>
        </w:drawing>
      </w:r>
      <w:r w:rsidR="004B343E" w:rsidRPr="00B36F61">
        <w:rPr>
          <w:rFonts w:ascii="Arial" w:hAnsi="Arial" w:cs="Arial"/>
          <w:color w:val="auto"/>
          <w:sz w:val="24"/>
          <w:szCs w:val="24"/>
        </w:rPr>
        <w:t>eFigure 1. Example 1H-MRS voxel positioning and spectra in left</w:t>
      </w:r>
      <w:r w:rsidRPr="00B36F61">
        <w:rPr>
          <w:rFonts w:ascii="Arial" w:hAnsi="Arial" w:cs="Arial"/>
          <w:color w:val="auto"/>
          <w:sz w:val="24"/>
          <w:szCs w:val="24"/>
        </w:rPr>
        <w:t xml:space="preserve"> </w:t>
      </w:r>
      <w:r w:rsidR="006B3890" w:rsidRPr="00B36F61">
        <w:rPr>
          <w:rFonts w:ascii="Arial" w:eastAsiaTheme="minorEastAsia" w:hAnsi="Arial" w:cs="Arial"/>
          <w:color w:val="auto"/>
          <w:sz w:val="24"/>
          <w:szCs w:val="24"/>
        </w:rPr>
        <w:t>hippocampus.</w:t>
      </w:r>
      <w:bookmarkEnd w:id="8"/>
      <w:bookmarkEnd w:id="9"/>
      <w:r w:rsidR="006B3890" w:rsidRPr="00B36F61">
        <w:rPr>
          <w:rFonts w:ascii="Arial" w:eastAsiaTheme="minorEastAsia" w:hAnsi="Arial" w:cs="Arial"/>
          <w:color w:val="auto"/>
          <w:sz w:val="24"/>
          <w:szCs w:val="24"/>
        </w:rPr>
        <w:t xml:space="preserve"> </w:t>
      </w:r>
    </w:p>
    <w:p w14:paraId="7BAE4512" w14:textId="6AE4F364" w:rsidR="006B3890" w:rsidRPr="00B36F61" w:rsidRDefault="0016117E" w:rsidP="00A05E6C">
      <w:pPr>
        <w:pStyle w:val="Caption"/>
        <w:spacing w:line="360" w:lineRule="auto"/>
        <w:rPr>
          <w:rFonts w:ascii="Arial" w:hAnsi="Arial" w:cs="Arial"/>
          <w:sz w:val="24"/>
          <w:szCs w:val="24"/>
        </w:rPr>
      </w:pPr>
      <w:r w:rsidRPr="00B36F61">
        <w:rPr>
          <w:rStyle w:val="Strong"/>
          <w:rFonts w:ascii="Arial" w:eastAsiaTheme="minorEastAsia" w:hAnsi="Arial" w:cs="Arial"/>
          <w:b w:val="0"/>
          <w:bCs w:val="0"/>
          <w:sz w:val="24"/>
          <w:szCs w:val="24"/>
        </w:rPr>
        <w:t>e</w:t>
      </w:r>
      <w:r w:rsidR="006B3890" w:rsidRPr="00B36F61">
        <w:rPr>
          <w:rStyle w:val="Strong"/>
          <w:rFonts w:ascii="Arial" w:eastAsiaTheme="minorEastAsia" w:hAnsi="Arial" w:cs="Arial"/>
          <w:b w:val="0"/>
          <w:bCs w:val="0"/>
          <w:sz w:val="24"/>
          <w:szCs w:val="24"/>
        </w:rPr>
        <w:t xml:space="preserve">Figure </w:t>
      </w:r>
      <w:r w:rsidR="006B3890" w:rsidRPr="00B36F61">
        <w:rPr>
          <w:rStyle w:val="Strong"/>
          <w:rFonts w:ascii="Arial" w:eastAsiaTheme="minorEastAsia" w:hAnsi="Arial" w:cs="Arial"/>
          <w:b w:val="0"/>
          <w:bCs w:val="0"/>
          <w:sz w:val="24"/>
          <w:szCs w:val="24"/>
        </w:rPr>
        <w:fldChar w:fldCharType="begin"/>
      </w:r>
      <w:r w:rsidR="006B3890" w:rsidRPr="00B36F61">
        <w:rPr>
          <w:rStyle w:val="Strong"/>
          <w:rFonts w:ascii="Arial" w:eastAsiaTheme="minorEastAsia" w:hAnsi="Arial" w:cs="Arial"/>
          <w:b w:val="0"/>
          <w:bCs w:val="0"/>
          <w:sz w:val="24"/>
          <w:szCs w:val="24"/>
        </w:rPr>
        <w:instrText xml:space="preserve"> SEQ Figure \* ARABIC </w:instrText>
      </w:r>
      <w:r w:rsidR="006B3890" w:rsidRPr="00B36F61">
        <w:rPr>
          <w:rStyle w:val="Strong"/>
          <w:rFonts w:ascii="Arial" w:eastAsiaTheme="minorEastAsia" w:hAnsi="Arial" w:cs="Arial"/>
          <w:b w:val="0"/>
          <w:bCs w:val="0"/>
          <w:sz w:val="24"/>
          <w:szCs w:val="24"/>
        </w:rPr>
        <w:fldChar w:fldCharType="separate"/>
      </w:r>
      <w:r w:rsidR="006B3890" w:rsidRPr="00B36F61">
        <w:rPr>
          <w:rStyle w:val="Strong"/>
          <w:rFonts w:ascii="Arial" w:eastAsiaTheme="minorEastAsia" w:hAnsi="Arial" w:cs="Arial"/>
          <w:b w:val="0"/>
          <w:bCs w:val="0"/>
          <w:noProof/>
          <w:sz w:val="24"/>
          <w:szCs w:val="24"/>
        </w:rPr>
        <w:t>1</w:t>
      </w:r>
      <w:r w:rsidR="006B3890" w:rsidRPr="00B36F61">
        <w:rPr>
          <w:rStyle w:val="Strong"/>
          <w:rFonts w:ascii="Arial" w:eastAsiaTheme="minorEastAsia" w:hAnsi="Arial" w:cs="Arial"/>
          <w:b w:val="0"/>
          <w:bCs w:val="0"/>
          <w:sz w:val="24"/>
          <w:szCs w:val="24"/>
        </w:rPr>
        <w:fldChar w:fldCharType="end"/>
      </w:r>
      <w:r w:rsidR="006B3890" w:rsidRPr="00B36F61">
        <w:rPr>
          <w:rStyle w:val="Strong"/>
          <w:rFonts w:ascii="Arial" w:eastAsiaTheme="minorEastAsia" w:hAnsi="Arial" w:cs="Arial"/>
          <w:b w:val="0"/>
          <w:bCs w:val="0"/>
          <w:sz w:val="24"/>
          <w:szCs w:val="24"/>
        </w:rPr>
        <w:t xml:space="preserve">. </w:t>
      </w:r>
      <w:r w:rsidR="006B3890" w:rsidRPr="00B36F61">
        <w:rPr>
          <w:rFonts w:ascii="Arial" w:hAnsi="Arial" w:cs="Arial"/>
          <w:sz w:val="24"/>
          <w:szCs w:val="24"/>
        </w:rPr>
        <w:t xml:space="preserve">In panel A, an illustrative example of voxel placement in the left hippocampus is indicated by the box. In panel B, 1H-MRS spectrum obtained (black line) from the voxel in A and the overlay of the spectral fit (red line). All spectra were analysed with LCModel version 6.3-0A (S.W. Provencher). Glu indicates glutamate and ppm, parts per million </w:t>
      </w:r>
      <w:r w:rsidR="006B3890" w:rsidRPr="00B36F61">
        <w:rPr>
          <w:rFonts w:ascii="Arial" w:hAnsi="Arial" w:cs="Arial"/>
          <w:sz w:val="24"/>
          <w:szCs w:val="24"/>
        </w:rPr>
        <w:fldChar w:fldCharType="begin"/>
      </w:r>
      <w:r w:rsidR="006B3890" w:rsidRPr="00B36F61">
        <w:rPr>
          <w:rFonts w:ascii="Arial" w:hAnsi="Arial" w:cs="Arial"/>
          <w:sz w:val="24"/>
          <w:szCs w:val="24"/>
        </w:rPr>
        <w:instrText xml:space="preserve"> ADDIN ZOTERO_ITEM CSL_CITATION {"citationID":"l8Mtt7Tb","properties":{"formattedCitation":"(Davies et al., 2023a)","plainCitation":"(Davies et al., 2023a)","noteIndex":0},"citationItems":[{"id":8569,"uris":["http://zotero.org/users/6414854/items/JCF4Q2PH"],"itemData":{"id":8569,"type":"article-journal","abstract":"Abstract\n            \n              Background\n              Preclinical and human data suggest that psychosis onset involves hippocampal glutamatergic dysfunction, driving hyperactivity and hyperperfusion in a hippocampal-midbrain-striatal circuit. Whether glutamatergic dysfunction is related to cerebral perfusion in patients at clinical high risk (CHR) for psychosis, and whether cannabidiol (CBD) has ameliorative effects on glutamate or its relationship with perfusion remains unknown.\n            \n            \n              Methods\n              Using a double-blind, parallel-group design, 33 CHR patients were randomized to a single 600 mg dose of CBD or placebo; 19 healthy controls did not receive any drug. Proton magnetic resonance spectroscopy was used to measure glutamate concentrations in left hippocampus. We examined differences relating to CHR status (controls vs placebo), effects of CBD (placebo vs CBD), and linear between-group effects, such that placebo&amp;gt;CBD&amp;gt;controls or controls&amp;gt;CBD&amp;gt;placebo. We also examined group × glutamate × cerebral perfusion (measured using Arterial Spin Labeling) interactions.\n            \n            \n              Results\n              Compared to controls, CHR-placebo patients had significantly lower hippocampal glutamate (P =.015) and a significant linear relationship was observed across groups, such that glutamate was highest in controls, lowest in CHR-placebo, and intermediate in CHR-CBD (P =.031). Moreover, there was a significant interaction between group (controls vs CHR-placebo), hippocampal glutamate, and perfusion in the putamen and insula (PFWE =.012), with a strong positive correlation in CHR-placebo vs a negative correlation in controls.\n            \n            \n              Conclusions\n              Our findings suggest that hippocampal glutamate is lower in CHR patients and may be partially normalized by a single dose of CBD. Furthermore, we provide the first in vivo evidence of an abnormal relationship between hippocampal glutamate and perfusion in the striatum and insula in CHR.","container-title":"Schizophrenia Bulletin Open","DOI":"10.1093/schizbullopen/sgad022","ISSN":"2632-7899","issue":"1","language":"en","page":"sgad022","source":"DOI.org (Crossref)","title":"Hippocampal Glutamate, Resting Perfusion and the Effects of Cannabidiol in Psychosis Risk","volume":"4","author":[{"family":"Davies","given":"Cathy"},{"family":"Bossong","given":"Matthijs G"},{"family":"Martins","given":"Daniel"},{"family":"Wilson","given":"Robin"},{"family":"Appiah-Kusi","given":"Elizabeth"},{"family":"Blest-Hopley","given":"Grace"},{"family":"Allen","given":"Paul"},{"family":"Zelaya","given":"Fernando"},{"family":"Lythgoe","given":"David J"},{"family":"Brammer","given":"Michael"},{"family":"Perez","given":"Jesus"},{"family":"McGuire","given":"Philip"},{"family":"Bhattacharyya","given":"Sagnik"}],"issued":{"literal":"2023a"},"citation-key":"daviesHippocampalGlutamateResting2023a"}}],"schema":"https://github.com/citation-style-language/schema/raw/master/csl-citation.json"} </w:instrText>
      </w:r>
      <w:r w:rsidR="006B3890" w:rsidRPr="00B36F61">
        <w:rPr>
          <w:rFonts w:ascii="Arial" w:hAnsi="Arial" w:cs="Arial"/>
          <w:sz w:val="24"/>
          <w:szCs w:val="24"/>
        </w:rPr>
        <w:fldChar w:fldCharType="separate"/>
      </w:r>
      <w:r w:rsidR="006B3890" w:rsidRPr="00B36F61">
        <w:rPr>
          <w:rFonts w:ascii="Arial" w:hAnsi="Arial" w:cs="Arial"/>
          <w:sz w:val="24"/>
          <w:szCs w:val="24"/>
        </w:rPr>
        <w:t>(Davies et al., 2023a)</w:t>
      </w:r>
      <w:r w:rsidR="006B3890" w:rsidRPr="00B36F61">
        <w:rPr>
          <w:rFonts w:ascii="Arial" w:hAnsi="Arial" w:cs="Arial"/>
          <w:sz w:val="24"/>
          <w:szCs w:val="24"/>
        </w:rPr>
        <w:fldChar w:fldCharType="end"/>
      </w:r>
      <w:r w:rsidR="006B3890" w:rsidRPr="00B36F61">
        <w:rPr>
          <w:rFonts w:ascii="Arial" w:hAnsi="Arial" w:cs="Arial"/>
          <w:sz w:val="24"/>
          <w:szCs w:val="24"/>
        </w:rPr>
        <w:t>.</w:t>
      </w:r>
    </w:p>
    <w:p w14:paraId="03534A41" w14:textId="77777777" w:rsidR="006B3890" w:rsidRPr="00B36F61" w:rsidRDefault="006B3890" w:rsidP="00A05E6C">
      <w:pPr>
        <w:pStyle w:val="Caption"/>
        <w:spacing w:line="360" w:lineRule="auto"/>
        <w:rPr>
          <w:rFonts w:ascii="Arial" w:hAnsi="Arial" w:cs="Arial"/>
          <w:sz w:val="24"/>
          <w:szCs w:val="24"/>
        </w:rPr>
      </w:pPr>
    </w:p>
    <w:p w14:paraId="66F64F8F" w14:textId="77777777" w:rsidR="0016117E" w:rsidRPr="00B36F61" w:rsidRDefault="0016117E" w:rsidP="00A05E6C">
      <w:pPr>
        <w:spacing w:line="360" w:lineRule="auto"/>
        <w:jc w:val="both"/>
        <w:rPr>
          <w:rFonts w:ascii="Arial" w:hAnsi="Arial" w:cs="Arial"/>
          <w:i/>
          <w:iCs/>
          <w:sz w:val="24"/>
        </w:rPr>
      </w:pPr>
      <w:r w:rsidRPr="00B36F61">
        <w:rPr>
          <w:rFonts w:ascii="Arial" w:hAnsi="Arial" w:cs="Arial"/>
          <w:i/>
          <w:iCs/>
          <w:sz w:val="24"/>
        </w:rPr>
        <w:br w:type="page"/>
      </w:r>
    </w:p>
    <w:p w14:paraId="2D545FE7" w14:textId="1A08EA36" w:rsidR="006B3890" w:rsidRPr="00B36F61" w:rsidRDefault="0016117E" w:rsidP="00A05E6C">
      <w:pPr>
        <w:pStyle w:val="Heading3"/>
        <w:spacing w:line="360" w:lineRule="auto"/>
        <w:jc w:val="both"/>
        <w:rPr>
          <w:rFonts w:ascii="Arial" w:hAnsi="Arial" w:cs="Arial"/>
          <w:color w:val="auto"/>
          <w:sz w:val="24"/>
          <w:szCs w:val="24"/>
        </w:rPr>
      </w:pPr>
      <w:bookmarkStart w:id="10" w:name="_Toc180440450"/>
      <w:bookmarkStart w:id="11" w:name="_Toc180440719"/>
      <w:r w:rsidRPr="00B36F61">
        <w:rPr>
          <w:rFonts w:ascii="Arial" w:hAnsi="Arial" w:cs="Arial"/>
          <w:color w:val="auto"/>
          <w:sz w:val="24"/>
          <w:szCs w:val="24"/>
        </w:rPr>
        <w:lastRenderedPageBreak/>
        <w:t>e</w:t>
      </w:r>
      <w:r w:rsidR="006B3890" w:rsidRPr="00B36F61">
        <w:rPr>
          <w:rFonts w:ascii="Arial" w:hAnsi="Arial" w:cs="Arial"/>
          <w:color w:val="auto"/>
          <w:sz w:val="24"/>
          <w:szCs w:val="24"/>
        </w:rPr>
        <w:t>Figure 2</w:t>
      </w:r>
      <w:r w:rsidR="00322467" w:rsidRPr="00B36F61">
        <w:rPr>
          <w:rFonts w:ascii="Arial" w:hAnsi="Arial" w:cs="Arial"/>
          <w:color w:val="auto"/>
          <w:sz w:val="24"/>
          <w:szCs w:val="24"/>
        </w:rPr>
        <w:t>: pre-defined anatomical mask</w:t>
      </w:r>
      <w:bookmarkEnd w:id="10"/>
      <w:bookmarkEnd w:id="11"/>
    </w:p>
    <w:p w14:paraId="18EFF4EB" w14:textId="3880C9E9" w:rsidR="006B3890" w:rsidRPr="00B36F61" w:rsidRDefault="00322467" w:rsidP="00A05E6C">
      <w:pPr>
        <w:spacing w:line="360" w:lineRule="auto"/>
        <w:jc w:val="both"/>
        <w:rPr>
          <w:rFonts w:ascii="Arial" w:hAnsi="Arial" w:cs="Arial"/>
          <w:i/>
          <w:iCs/>
          <w:sz w:val="24"/>
        </w:rPr>
      </w:pPr>
      <w:r w:rsidRPr="00B36F61">
        <w:rPr>
          <w:rFonts w:ascii="Arial" w:hAnsi="Arial" w:cs="Arial"/>
          <w:i/>
          <w:iCs/>
          <w:sz w:val="24"/>
        </w:rPr>
        <w:t>:</w:t>
      </w:r>
      <w:r w:rsidR="006B3890" w:rsidRPr="00B36F61">
        <w:rPr>
          <w:rStyle w:val="SubtitleChar"/>
          <w:rFonts w:ascii="Arial" w:hAnsi="Arial" w:cs="Arial"/>
          <w:noProof/>
          <w:color w:val="auto"/>
          <w:sz w:val="24"/>
          <w:szCs w:val="24"/>
        </w:rPr>
        <w:drawing>
          <wp:inline distT="0" distB="0" distL="0" distR="0" wp14:anchorId="611DDE05" wp14:editId="51DB3E02">
            <wp:extent cx="4839966" cy="3343524"/>
            <wp:effectExtent l="0" t="0" r="0" b="0"/>
            <wp:docPr id="1576418595" name="Picture 1" descr="A group of images of the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18595" name="Picture 1" descr="A group of images of the brai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9876" cy="3433268"/>
                    </a:xfrm>
                    <a:prstGeom prst="rect">
                      <a:avLst/>
                    </a:prstGeom>
                    <a:noFill/>
                  </pic:spPr>
                </pic:pic>
              </a:graphicData>
            </a:graphic>
          </wp:inline>
        </w:drawing>
      </w:r>
    </w:p>
    <w:p w14:paraId="06E4CFAD" w14:textId="3F61618B" w:rsidR="006B3890" w:rsidRPr="00B36F61" w:rsidRDefault="0016117E" w:rsidP="00A05E6C">
      <w:pPr>
        <w:pStyle w:val="ListParagraph"/>
        <w:spacing w:line="360" w:lineRule="auto"/>
        <w:ind w:left="0"/>
        <w:jc w:val="both"/>
        <w:rPr>
          <w:rFonts w:ascii="Arial" w:hAnsi="Arial" w:cs="Arial"/>
          <w:sz w:val="24"/>
        </w:rPr>
      </w:pPr>
      <w:r w:rsidRPr="00B36F61">
        <w:rPr>
          <w:rFonts w:ascii="Arial" w:hAnsi="Arial" w:cs="Arial"/>
          <w:sz w:val="24"/>
        </w:rPr>
        <w:t>e</w:t>
      </w:r>
      <w:r w:rsidR="006B3890" w:rsidRPr="00B36F61">
        <w:rPr>
          <w:rFonts w:ascii="Arial" w:hAnsi="Arial" w:cs="Arial"/>
          <w:sz w:val="24"/>
        </w:rPr>
        <w:t>Figure 2. The pre-defined anatomical mask used for region of interest (ROI) analysis included the bilateral hippocampus, parahippocampal gyrus, striatum, and inferior and middle frontal gyrus, shown here overlaid on the Talairach template.</w:t>
      </w:r>
    </w:p>
    <w:p w14:paraId="4E4FC85F" w14:textId="77777777" w:rsidR="00322467" w:rsidRPr="00B36F61" w:rsidRDefault="00322467" w:rsidP="00A05E6C">
      <w:pPr>
        <w:pStyle w:val="ListParagraph"/>
        <w:spacing w:line="360" w:lineRule="auto"/>
        <w:ind w:left="360"/>
        <w:jc w:val="both"/>
        <w:rPr>
          <w:rFonts w:ascii="Arial" w:hAnsi="Arial" w:cs="Arial"/>
          <w:sz w:val="24"/>
        </w:rPr>
      </w:pPr>
    </w:p>
    <w:p w14:paraId="665A29C1" w14:textId="77777777" w:rsidR="00322467" w:rsidRPr="00B36F61" w:rsidRDefault="00322467" w:rsidP="00A05E6C">
      <w:pPr>
        <w:pStyle w:val="ListParagraph"/>
        <w:spacing w:line="360" w:lineRule="auto"/>
        <w:ind w:left="360"/>
        <w:jc w:val="both"/>
        <w:rPr>
          <w:rFonts w:ascii="Arial" w:hAnsi="Arial" w:cs="Arial"/>
          <w:sz w:val="24"/>
        </w:rPr>
      </w:pPr>
      <w:r w:rsidRPr="00B36F61">
        <w:rPr>
          <w:rFonts w:ascii="Arial" w:hAnsi="Arial" w:cs="Arial"/>
          <w:sz w:val="24"/>
        </w:rPr>
        <w:br w:type="page"/>
      </w:r>
    </w:p>
    <w:p w14:paraId="15F143D1" w14:textId="2A93C486" w:rsidR="00322467" w:rsidRPr="00B36F61" w:rsidRDefault="0027000A" w:rsidP="00A05E6C">
      <w:pPr>
        <w:pStyle w:val="Heading3"/>
        <w:spacing w:line="360" w:lineRule="auto"/>
        <w:jc w:val="both"/>
        <w:rPr>
          <w:rFonts w:ascii="Arial" w:hAnsi="Arial" w:cs="Arial"/>
          <w:color w:val="auto"/>
          <w:sz w:val="24"/>
          <w:szCs w:val="24"/>
        </w:rPr>
      </w:pPr>
      <w:bookmarkStart w:id="12" w:name="_Toc180440451"/>
      <w:bookmarkStart w:id="13" w:name="_Toc180440720"/>
      <w:r w:rsidRPr="00B36F61">
        <w:rPr>
          <w:rFonts w:ascii="Arial" w:hAnsi="Arial" w:cs="Arial"/>
          <w:noProof/>
          <w:sz w:val="24"/>
        </w:rPr>
        <w:lastRenderedPageBreak/>
        <mc:AlternateContent>
          <mc:Choice Requires="wps">
            <w:drawing>
              <wp:anchor distT="0" distB="0" distL="114300" distR="114300" simplePos="0" relativeHeight="251663360" behindDoc="0" locked="0" layoutInCell="1" allowOverlap="1" wp14:anchorId="74ACDB9F" wp14:editId="550052E5">
                <wp:simplePos x="0" y="0"/>
                <wp:positionH relativeFrom="column">
                  <wp:posOffset>-554355</wp:posOffset>
                </wp:positionH>
                <wp:positionV relativeFrom="paragraph">
                  <wp:posOffset>4447540</wp:posOffset>
                </wp:positionV>
                <wp:extent cx="6858000" cy="3400425"/>
                <wp:effectExtent l="0" t="0" r="0" b="9525"/>
                <wp:wrapTopAndBottom/>
                <wp:docPr id="1680759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00425"/>
                        </a:xfrm>
                        <a:prstGeom prst="rect">
                          <a:avLst/>
                        </a:prstGeom>
                        <a:solidFill>
                          <a:srgbClr val="FFFFFF"/>
                        </a:solidFill>
                        <a:ln w="9525">
                          <a:noFill/>
                          <a:miter lim="800000"/>
                          <a:headEnd/>
                          <a:tailEnd/>
                        </a:ln>
                      </wps:spPr>
                      <wps:txbx>
                        <w:txbxContent>
                          <w:p w14:paraId="7E906BB4" w14:textId="1D330B82" w:rsidR="005A10BB" w:rsidRPr="003854C0" w:rsidRDefault="00153263" w:rsidP="003854C0">
                            <w:pPr>
                              <w:spacing w:line="360" w:lineRule="auto"/>
                              <w:jc w:val="distribute"/>
                              <w:rPr>
                                <w:rFonts w:ascii="Arial" w:hAnsi="Arial" w:cs="Arial"/>
                                <w:sz w:val="24"/>
                              </w:rPr>
                            </w:pPr>
                            <w:r w:rsidRPr="003854C0">
                              <w:rPr>
                                <w:rFonts w:ascii="Arial" w:hAnsi="Arial" w:cs="Arial"/>
                                <w:sz w:val="24"/>
                              </w:rPr>
                              <w:t xml:space="preserve">Figure 3: Clusters of brain activation (as indexed by the sum of squares ratio, SSQ) showing significant correlations with left hippocampal glutamate levels in healthy controls. The brain images display significant clusters identified in the glutamate x BOLD x group interaction analysis, and the scatterplots show the relationship between left hippocampal glutamate levels and the SSQ value extracted from the corresponding cluster. A. Encoding: The </w:t>
                            </w:r>
                            <w:r w:rsidR="008C0C1B" w:rsidRPr="003854C0">
                              <w:rPr>
                                <w:rFonts w:ascii="Arial" w:hAnsi="Arial" w:cs="Arial" w:hint="eastAsia"/>
                                <w:sz w:val="24"/>
                              </w:rPr>
                              <w:t>left line plot</w:t>
                            </w:r>
                            <w:r w:rsidRPr="003854C0">
                              <w:rPr>
                                <w:rFonts w:ascii="Arial" w:hAnsi="Arial" w:cs="Arial"/>
                                <w:sz w:val="24"/>
                              </w:rPr>
                              <w:t xml:space="preserve"> shows a cluster in the left middle frontal cortex (peak Talairach coordinates: X = -29, Y = 22, Z = 46; Cluster size = 24 voxels; p = 0.0001) where a negative correlation was found between regional activation and left hippocampal glutamate levels during the encoding condition. The right </w:t>
                            </w:r>
                            <w:r w:rsidR="004E072C" w:rsidRPr="003854C0">
                              <w:rPr>
                                <w:rFonts w:ascii="Arial" w:hAnsi="Arial" w:cs="Arial" w:hint="eastAsia"/>
                                <w:sz w:val="24"/>
                              </w:rPr>
                              <w:t>line plots</w:t>
                            </w:r>
                            <w:r w:rsidRPr="003854C0">
                              <w:rPr>
                                <w:rFonts w:ascii="Arial" w:hAnsi="Arial" w:cs="Arial"/>
                                <w:sz w:val="24"/>
                              </w:rPr>
                              <w:t xml:space="preserve"> shows a cluster in the right putamen (peak Talairach coordinates: X = 22, Y = 7, Z = -10; Cluster size = 10 voxels; p = 0.0029) where there was also a negative correlation between regional activation and left hippocampal glutamate levels during encoding. B. Recall: The </w:t>
                            </w:r>
                            <w:r w:rsidR="008A40C4" w:rsidRPr="003854C0">
                              <w:rPr>
                                <w:rFonts w:ascii="Arial" w:hAnsi="Arial" w:cs="Arial" w:hint="eastAsia"/>
                                <w:sz w:val="24"/>
                              </w:rPr>
                              <w:t>line plot</w:t>
                            </w:r>
                            <w:r w:rsidRPr="003854C0">
                              <w:rPr>
                                <w:rFonts w:ascii="Arial" w:hAnsi="Arial" w:cs="Arial"/>
                                <w:sz w:val="24"/>
                              </w:rPr>
                              <w:t xml:space="preserve"> shows a cluster in the left middle frontal cortex (peak Talairach coordinates: X = -43, Y = 22, Z = 30; Cluster size = 24 voxels; p = 0.0001) where a negative correlation was found between regional activation and left hippocampal glutamate levels during the recall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CDB9F" id="_x0000_t202" coordsize="21600,21600" o:spt="202" path="m,l,21600r21600,l21600,xe">
                <v:stroke joinstyle="miter"/>
                <v:path gradientshapeok="t" o:connecttype="rect"/>
              </v:shapetype>
              <v:shape id="Text Box 2" o:spid="_x0000_s1026" type="#_x0000_t202" style="position:absolute;left:0;text-align:left;margin-left:-43.65pt;margin-top:350.2pt;width:540pt;height:26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" stroked="f">
                <v:textbox>
                  <w:txbxContent>
                    <w:p w14:paraId="7E906BB4" w14:textId="1D330B82" w:rsidR="005A10BB" w:rsidRPr="003854C0" w:rsidRDefault="00153263" w:rsidP="003854C0">
                      <w:pPr>
                        <w:spacing w:line="360" w:lineRule="auto"/>
                        <w:jc w:val="distribute"/>
                        <w:rPr>
                          <w:rFonts w:ascii="Arial" w:hAnsi="Arial" w:cs="Arial"/>
                          <w:sz w:val="24"/>
                        </w:rPr>
                      </w:pPr>
                      <w:r w:rsidRPr="003854C0">
                        <w:rPr>
                          <w:rFonts w:ascii="Arial" w:hAnsi="Arial" w:cs="Arial"/>
                          <w:sz w:val="24"/>
                        </w:rPr>
                        <w:t xml:space="preserve">Figure 3: Clusters of brain activation (as indexed by the sum of squares ratio, SSQ) showing significant correlations with left hippocampal glutamate levels in healthy controls. The brain images display significant clusters identified in the glutamate x BOLD x group interaction analysis, and the scatterplots show the relationship between left hippocampal glutamate levels and the SSQ value extracted from the corresponding cluster. A. Encoding: The </w:t>
                      </w:r>
                      <w:r w:rsidR="008C0C1B" w:rsidRPr="003854C0">
                        <w:rPr>
                          <w:rFonts w:ascii="Arial" w:hAnsi="Arial" w:cs="Arial" w:hint="eastAsia"/>
                          <w:sz w:val="24"/>
                        </w:rPr>
                        <w:t>left line plot</w:t>
                      </w:r>
                      <w:r w:rsidRPr="003854C0">
                        <w:rPr>
                          <w:rFonts w:ascii="Arial" w:hAnsi="Arial" w:cs="Arial"/>
                          <w:sz w:val="24"/>
                        </w:rPr>
                        <w:t xml:space="preserve"> shows a cluster in the left middle frontal cortex (peak Talairach coordinates: X = -29, Y = 22, Z = 46; Cluster size = 24 voxels; p = 0.0001) where a negative correlation was found between regional activation and left hippocampal glutamate levels during the encoding condition. The right </w:t>
                      </w:r>
                      <w:r w:rsidR="004E072C" w:rsidRPr="003854C0">
                        <w:rPr>
                          <w:rFonts w:ascii="Arial" w:hAnsi="Arial" w:cs="Arial" w:hint="eastAsia"/>
                          <w:sz w:val="24"/>
                        </w:rPr>
                        <w:t>line plots</w:t>
                      </w:r>
                      <w:r w:rsidRPr="003854C0">
                        <w:rPr>
                          <w:rFonts w:ascii="Arial" w:hAnsi="Arial" w:cs="Arial"/>
                          <w:sz w:val="24"/>
                        </w:rPr>
                        <w:t xml:space="preserve"> shows a cluster in the right putamen (peak Talairach coordinates: X = 22, Y = 7, Z = -10; Cluster size = 10 voxels; p = 0.0029) where there was also a negative correlation between regional activation and left hippocampal glutamate levels during encoding. B. Recall: The </w:t>
                      </w:r>
                      <w:r w:rsidR="008A40C4" w:rsidRPr="003854C0">
                        <w:rPr>
                          <w:rFonts w:ascii="Arial" w:hAnsi="Arial" w:cs="Arial" w:hint="eastAsia"/>
                          <w:sz w:val="24"/>
                        </w:rPr>
                        <w:t>line plot</w:t>
                      </w:r>
                      <w:r w:rsidRPr="003854C0">
                        <w:rPr>
                          <w:rFonts w:ascii="Arial" w:hAnsi="Arial" w:cs="Arial"/>
                          <w:sz w:val="24"/>
                        </w:rPr>
                        <w:t xml:space="preserve"> shows a cluster in the left middle frontal cortex (peak Talairach coordinates: X = -43, Y = 22, Z = 30; Cluster size = 24 voxels; p = 0.0001) where a negative correlation was found between regional activation and left hippocampal glutamate levels during the recall sessions.</w:t>
                      </w:r>
                    </w:p>
                  </w:txbxContent>
                </v:textbox>
                <w10:wrap type="topAndBottom"/>
              </v:shape>
            </w:pict>
          </mc:Fallback>
        </mc:AlternateContent>
      </w:r>
      <w:r w:rsidR="00527421" w:rsidRPr="00B36F61">
        <w:rPr>
          <w:rFonts w:ascii="Arial" w:hAnsi="Arial" w:cs="Arial"/>
          <w:noProof/>
          <w:sz w:val="24"/>
        </w:rPr>
        <w:drawing>
          <wp:anchor distT="0" distB="0" distL="114300" distR="114300" simplePos="0" relativeHeight="251661312" behindDoc="0" locked="0" layoutInCell="1" allowOverlap="1" wp14:anchorId="070F6E19" wp14:editId="1C6F5DAF">
            <wp:simplePos x="0" y="0"/>
            <wp:positionH relativeFrom="column">
              <wp:posOffset>-365760</wp:posOffset>
            </wp:positionH>
            <wp:positionV relativeFrom="paragraph">
              <wp:posOffset>662940</wp:posOffset>
            </wp:positionV>
            <wp:extent cx="6733540" cy="3787140"/>
            <wp:effectExtent l="0" t="0" r="0" b="3810"/>
            <wp:wrapTopAndBottom/>
            <wp:docPr id="3959141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1413" name="Picture 3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33540" cy="3787140"/>
                    </a:xfrm>
                    <a:prstGeom prst="rect">
                      <a:avLst/>
                    </a:prstGeom>
                  </pic:spPr>
                </pic:pic>
              </a:graphicData>
            </a:graphic>
            <wp14:sizeRelH relativeFrom="margin">
              <wp14:pctWidth>0</wp14:pctWidth>
            </wp14:sizeRelH>
            <wp14:sizeRelV relativeFrom="margin">
              <wp14:pctHeight>0</wp14:pctHeight>
            </wp14:sizeRelV>
          </wp:anchor>
        </w:drawing>
      </w:r>
      <w:r w:rsidR="00322467" w:rsidRPr="00B36F61">
        <w:rPr>
          <w:rFonts w:ascii="Arial" w:hAnsi="Arial" w:cs="Arial"/>
          <w:color w:val="auto"/>
          <w:sz w:val="24"/>
          <w:szCs w:val="24"/>
        </w:rPr>
        <w:t xml:space="preserve">eFigure 3. </w:t>
      </w:r>
      <w:r w:rsidR="00F06858" w:rsidRPr="00B36F61">
        <w:rPr>
          <w:rFonts w:ascii="Arial" w:hAnsi="Arial" w:cs="Arial"/>
          <w:color w:val="auto"/>
          <w:sz w:val="24"/>
          <w:szCs w:val="24"/>
        </w:rPr>
        <w:t>Association between hippocampal glutamate levels and brain activation in healthy controls</w:t>
      </w:r>
      <w:bookmarkEnd w:id="12"/>
      <w:bookmarkEnd w:id="13"/>
    </w:p>
    <w:p w14:paraId="2470FA06" w14:textId="7D1D020A" w:rsidR="00F06858" w:rsidRPr="00B36F61" w:rsidRDefault="00F06858" w:rsidP="00A05E6C">
      <w:pPr>
        <w:spacing w:line="360" w:lineRule="auto"/>
        <w:jc w:val="both"/>
        <w:rPr>
          <w:rFonts w:ascii="Arial" w:hAnsi="Arial" w:cs="Arial"/>
          <w:sz w:val="24"/>
        </w:rPr>
      </w:pPr>
    </w:p>
    <w:p w14:paraId="2A580A6A" w14:textId="77777777" w:rsidR="00335458" w:rsidRPr="00B36F61" w:rsidRDefault="00335458" w:rsidP="0027000A">
      <w:pPr>
        <w:pStyle w:val="Bibliography"/>
        <w:spacing w:line="360" w:lineRule="auto"/>
        <w:jc w:val="both"/>
        <w:rPr>
          <w:rFonts w:ascii="Arial" w:hAnsi="Arial" w:cs="Arial"/>
          <w:sz w:val="24"/>
        </w:rPr>
      </w:pPr>
    </w:p>
    <w:p w14:paraId="7A268F19" w14:textId="7789F7ED" w:rsidR="002C45B8" w:rsidRDefault="002C45B8" w:rsidP="0027000A">
      <w:pPr>
        <w:pStyle w:val="Bibliography"/>
        <w:spacing w:line="360" w:lineRule="auto"/>
        <w:jc w:val="both"/>
        <w:rPr>
          <w:rFonts w:ascii="Arial" w:hAnsi="Arial" w:cs="Arial"/>
          <w:sz w:val="24"/>
        </w:rPr>
      </w:pPr>
      <w:r>
        <w:rPr>
          <w:rFonts w:ascii="Arial" w:hAnsi="Arial" w:cs="Arial"/>
          <w:sz w:val="24"/>
        </w:rPr>
        <w:br w:type="page"/>
      </w:r>
    </w:p>
    <w:p w14:paraId="159C0FEA" w14:textId="77777777" w:rsidR="002C45B8" w:rsidRPr="002C45B8" w:rsidRDefault="002C45B8" w:rsidP="002C45B8">
      <w:pPr>
        <w:pStyle w:val="Bibliography"/>
        <w:rPr>
          <w:rFonts w:ascii="Arial" w:hAnsi="Arial" w:cs="Arial"/>
          <w:sz w:val="24"/>
        </w:rPr>
      </w:pPr>
      <w:r>
        <w:rPr>
          <w:rFonts w:ascii="Arial" w:hAnsi="Arial" w:cs="Arial"/>
        </w:rPr>
        <w:lastRenderedPageBreak/>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2C45B8">
        <w:rPr>
          <w:rFonts w:ascii="Arial" w:hAnsi="Arial" w:cs="Arial"/>
          <w:sz w:val="24"/>
        </w:rPr>
        <w:t xml:space="preserve">Bhattacharyya, S., Wilson, R., Appiah-Kusi, E., O’Neill, A., Brammer, M., Perez, J., Murray, R., Allen, P., Bossong, M. G., &amp; McGuire, P. (2018). Effect of Cannabidiol on Medial Temporal, Midbrain, and Striatal Dysfunction in People at Clinical High Risk of Psychosis: A Randomized Clinical Trial. </w:t>
      </w:r>
      <w:r w:rsidRPr="002C45B8">
        <w:rPr>
          <w:rFonts w:ascii="Arial" w:hAnsi="Arial" w:cs="Arial"/>
          <w:i/>
          <w:iCs/>
          <w:sz w:val="24"/>
        </w:rPr>
        <w:t>JAMA Psychiatry</w:t>
      </w:r>
      <w:r w:rsidRPr="002C45B8">
        <w:rPr>
          <w:rFonts w:ascii="Arial" w:hAnsi="Arial" w:cs="Arial"/>
          <w:sz w:val="24"/>
        </w:rPr>
        <w:t xml:space="preserve">, </w:t>
      </w:r>
      <w:r w:rsidRPr="002C45B8">
        <w:rPr>
          <w:rFonts w:ascii="Arial" w:hAnsi="Arial" w:cs="Arial"/>
          <w:i/>
          <w:iCs/>
          <w:sz w:val="24"/>
        </w:rPr>
        <w:t>75</w:t>
      </w:r>
      <w:r w:rsidRPr="002C45B8">
        <w:rPr>
          <w:rFonts w:ascii="Arial" w:hAnsi="Arial" w:cs="Arial"/>
          <w:sz w:val="24"/>
        </w:rPr>
        <w:t>(11), 1107–1117. https://doi.org/10.1001/jamapsychiatry.2018.2309</w:t>
      </w:r>
    </w:p>
    <w:p w14:paraId="1F1B4D97"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Brammer, M. J., Bullmore, E. T., Simmons, A., Williams, S. C. R., Grasby, P. M., Howard, R. J., Woodruff, P. W. R., &amp; Rabe-Hesketh, S. (1997). Generic brain activation mapping in functional magnetic resonance imaging: A nonparametric approach. </w:t>
      </w:r>
      <w:r w:rsidRPr="002C45B8">
        <w:rPr>
          <w:rFonts w:ascii="Arial" w:hAnsi="Arial" w:cs="Arial"/>
          <w:i/>
          <w:iCs/>
          <w:sz w:val="24"/>
        </w:rPr>
        <w:t>Magnetic Resonance Imaging</w:t>
      </w:r>
      <w:r w:rsidRPr="002C45B8">
        <w:rPr>
          <w:rFonts w:ascii="Arial" w:hAnsi="Arial" w:cs="Arial"/>
          <w:sz w:val="24"/>
        </w:rPr>
        <w:t xml:space="preserve">, </w:t>
      </w:r>
      <w:r w:rsidRPr="002C45B8">
        <w:rPr>
          <w:rFonts w:ascii="Arial" w:hAnsi="Arial" w:cs="Arial"/>
          <w:i/>
          <w:iCs/>
          <w:sz w:val="24"/>
        </w:rPr>
        <w:t>15</w:t>
      </w:r>
      <w:r w:rsidRPr="002C45B8">
        <w:rPr>
          <w:rFonts w:ascii="Arial" w:hAnsi="Arial" w:cs="Arial"/>
          <w:sz w:val="24"/>
        </w:rPr>
        <w:t>(7), 763–770. https://doi.org/10.1016/S0730-725X(97)00135-5</w:t>
      </w:r>
    </w:p>
    <w:p w14:paraId="757C5B91"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Bullmore, E. T., Suckling, J., Overmeyer, S., Rabe-Hesketh, S., Taylor, E., &amp; Brammer, M. J. (1999). Global, voxel, and cluster tests, by theory and permutation, for a difference between two groups of structural MR images of the brain. </w:t>
      </w:r>
      <w:r w:rsidRPr="002C45B8">
        <w:rPr>
          <w:rFonts w:ascii="Arial" w:hAnsi="Arial" w:cs="Arial"/>
          <w:i/>
          <w:iCs/>
          <w:sz w:val="24"/>
        </w:rPr>
        <w:t>IEEE Transactions on Medical Imaging</w:t>
      </w:r>
      <w:r w:rsidRPr="002C45B8">
        <w:rPr>
          <w:rFonts w:ascii="Arial" w:hAnsi="Arial" w:cs="Arial"/>
          <w:sz w:val="24"/>
        </w:rPr>
        <w:t xml:space="preserve">, </w:t>
      </w:r>
      <w:r w:rsidRPr="002C45B8">
        <w:rPr>
          <w:rFonts w:ascii="Arial" w:hAnsi="Arial" w:cs="Arial"/>
          <w:i/>
          <w:iCs/>
          <w:sz w:val="24"/>
        </w:rPr>
        <w:t>18</w:t>
      </w:r>
      <w:r w:rsidRPr="002C45B8">
        <w:rPr>
          <w:rFonts w:ascii="Arial" w:hAnsi="Arial" w:cs="Arial"/>
          <w:sz w:val="24"/>
        </w:rPr>
        <w:t>(1), 32–42. IEEE Transactions on Medical Imaging. https://doi.org/10.1109/42.750253</w:t>
      </w:r>
    </w:p>
    <w:p w14:paraId="3ED1AEFB"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Davies, C., Bossong, M. G., Martins, D., Wilson, R., Appiah-Kusi, E., Blest-Hopley, G., Allen, P., Zelaya, F., Lythgoe, D. J., Brammer, M., Perez, J., McGuire, P., &amp; Bhattacharyya, S. (2023a). Hippocampal Glutamate, Resting Perfusion and the Effects of Cannabidiol in Psychosis Risk. </w:t>
      </w:r>
      <w:r w:rsidRPr="002C45B8">
        <w:rPr>
          <w:rFonts w:ascii="Arial" w:hAnsi="Arial" w:cs="Arial"/>
          <w:i/>
          <w:iCs/>
          <w:sz w:val="24"/>
        </w:rPr>
        <w:t>Schizophrenia Bulletin Open</w:t>
      </w:r>
      <w:r w:rsidRPr="002C45B8">
        <w:rPr>
          <w:rFonts w:ascii="Arial" w:hAnsi="Arial" w:cs="Arial"/>
          <w:sz w:val="24"/>
        </w:rPr>
        <w:t xml:space="preserve">, </w:t>
      </w:r>
      <w:r w:rsidRPr="002C45B8">
        <w:rPr>
          <w:rFonts w:ascii="Arial" w:hAnsi="Arial" w:cs="Arial"/>
          <w:i/>
          <w:iCs/>
          <w:sz w:val="24"/>
        </w:rPr>
        <w:t>4</w:t>
      </w:r>
      <w:r w:rsidRPr="002C45B8">
        <w:rPr>
          <w:rFonts w:ascii="Arial" w:hAnsi="Arial" w:cs="Arial"/>
          <w:sz w:val="24"/>
        </w:rPr>
        <w:t xml:space="preserve">(1), sgad022. </w:t>
      </w:r>
      <w:r w:rsidRPr="002C45B8">
        <w:rPr>
          <w:rFonts w:ascii="Arial" w:hAnsi="Arial" w:cs="Arial"/>
          <w:sz w:val="24"/>
        </w:rPr>
        <w:lastRenderedPageBreak/>
        <w:t>https://doi.org/10.1093/schizbullopen/sgad022</w:t>
      </w:r>
    </w:p>
    <w:p w14:paraId="0D329CD7"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Egerton, A., Stone, J. M., Chaddock, C. A., Barker, G. J., Bonoldi, I., Howard, R. M., Merritt, K., Allen, P., Howes, O. D., Murray, R. M., McLean, M. A., Lythgoe, D. J., O’Gorman, R. L., &amp; McGuire, P. K. (2014). Relationship Between Brain Glutamate Levels and Clinical Outcome in Individuals at Ultra High Risk of Psychosis. </w:t>
      </w:r>
      <w:r w:rsidRPr="002C45B8">
        <w:rPr>
          <w:rFonts w:ascii="Arial" w:hAnsi="Arial" w:cs="Arial"/>
          <w:i/>
          <w:iCs/>
          <w:sz w:val="24"/>
        </w:rPr>
        <w:t>Neuropsychopharmacology</w:t>
      </w:r>
      <w:r w:rsidRPr="002C45B8">
        <w:rPr>
          <w:rFonts w:ascii="Arial" w:hAnsi="Arial" w:cs="Arial"/>
          <w:sz w:val="24"/>
        </w:rPr>
        <w:t xml:space="preserve">, </w:t>
      </w:r>
      <w:r w:rsidRPr="002C45B8">
        <w:rPr>
          <w:rFonts w:ascii="Arial" w:hAnsi="Arial" w:cs="Arial"/>
          <w:i/>
          <w:iCs/>
          <w:sz w:val="24"/>
        </w:rPr>
        <w:t>39</w:t>
      </w:r>
      <w:r w:rsidRPr="002C45B8">
        <w:rPr>
          <w:rFonts w:ascii="Arial" w:hAnsi="Arial" w:cs="Arial"/>
          <w:sz w:val="24"/>
        </w:rPr>
        <w:t>(12), Article 12. https://doi.org/10.1038/npp.2014.143</w:t>
      </w:r>
    </w:p>
    <w:p w14:paraId="69B7ACC9"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Gasparovic, C., Song, T., Devier, D., Bockholt, H. J., Caprihan, A., Mullins, P. G., Posse, S., Jung, R. E., &amp; Morrison, L. A. (2006). Use of tissue water as a concentration reference for proton spectroscopic imaging. </w:t>
      </w:r>
      <w:r w:rsidRPr="002C45B8">
        <w:rPr>
          <w:rFonts w:ascii="Arial" w:hAnsi="Arial" w:cs="Arial"/>
          <w:i/>
          <w:iCs/>
          <w:sz w:val="24"/>
        </w:rPr>
        <w:t>Magnetic Resonance in Medicine</w:t>
      </w:r>
      <w:r w:rsidRPr="002C45B8">
        <w:rPr>
          <w:rFonts w:ascii="Arial" w:hAnsi="Arial" w:cs="Arial"/>
          <w:sz w:val="24"/>
        </w:rPr>
        <w:t xml:space="preserve">, </w:t>
      </w:r>
      <w:r w:rsidRPr="002C45B8">
        <w:rPr>
          <w:rFonts w:ascii="Arial" w:hAnsi="Arial" w:cs="Arial"/>
          <w:i/>
          <w:iCs/>
          <w:sz w:val="24"/>
        </w:rPr>
        <w:t>55</w:t>
      </w:r>
      <w:r w:rsidRPr="002C45B8">
        <w:rPr>
          <w:rFonts w:ascii="Arial" w:hAnsi="Arial" w:cs="Arial"/>
          <w:sz w:val="24"/>
        </w:rPr>
        <w:t>(6), 1219–1226. https://doi.org/10.1002/mrm.20901</w:t>
      </w:r>
    </w:p>
    <w:p w14:paraId="466C7C34"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Hayasaka, S., &amp; Nichols, T. E. (2003). Validating cluster size inference: Random field and permutation methods. </w:t>
      </w:r>
      <w:r w:rsidRPr="002C45B8">
        <w:rPr>
          <w:rFonts w:ascii="Arial" w:hAnsi="Arial" w:cs="Arial"/>
          <w:i/>
          <w:iCs/>
          <w:sz w:val="24"/>
        </w:rPr>
        <w:t>NeuroImage</w:t>
      </w:r>
      <w:r w:rsidRPr="002C45B8">
        <w:rPr>
          <w:rFonts w:ascii="Arial" w:hAnsi="Arial" w:cs="Arial"/>
          <w:sz w:val="24"/>
        </w:rPr>
        <w:t xml:space="preserve">, </w:t>
      </w:r>
      <w:r w:rsidRPr="002C45B8">
        <w:rPr>
          <w:rFonts w:ascii="Arial" w:hAnsi="Arial" w:cs="Arial"/>
          <w:i/>
          <w:iCs/>
          <w:sz w:val="24"/>
        </w:rPr>
        <w:t>20</w:t>
      </w:r>
      <w:r w:rsidRPr="002C45B8">
        <w:rPr>
          <w:rFonts w:ascii="Arial" w:hAnsi="Arial" w:cs="Arial"/>
          <w:sz w:val="24"/>
        </w:rPr>
        <w:t>(4), 2343–2356. https://doi.org/10.1016/j.neuroimage.2003.08.003</w:t>
      </w:r>
    </w:p>
    <w:p w14:paraId="4AE5A0EB"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Kreis, R., Ernst, T., &amp; Ross, B. D. (1993). Absolute Quantitation of Water and Metabolites in the Human Brain. II. Metabolite Concentrations. </w:t>
      </w:r>
      <w:r w:rsidRPr="002C45B8">
        <w:rPr>
          <w:rFonts w:ascii="Arial" w:hAnsi="Arial" w:cs="Arial"/>
          <w:i/>
          <w:iCs/>
          <w:sz w:val="24"/>
        </w:rPr>
        <w:t>Journal of Magnetic Resonance, Series B</w:t>
      </w:r>
      <w:r w:rsidRPr="002C45B8">
        <w:rPr>
          <w:rFonts w:ascii="Arial" w:hAnsi="Arial" w:cs="Arial"/>
          <w:sz w:val="24"/>
        </w:rPr>
        <w:t xml:space="preserve">, </w:t>
      </w:r>
      <w:r w:rsidRPr="002C45B8">
        <w:rPr>
          <w:rFonts w:ascii="Arial" w:hAnsi="Arial" w:cs="Arial"/>
          <w:i/>
          <w:iCs/>
          <w:sz w:val="24"/>
        </w:rPr>
        <w:t>102</w:t>
      </w:r>
      <w:r w:rsidRPr="002C45B8">
        <w:rPr>
          <w:rFonts w:ascii="Arial" w:hAnsi="Arial" w:cs="Arial"/>
          <w:sz w:val="24"/>
        </w:rPr>
        <w:t>(1), 9–19. https://doi.org/10.1006/jmrb.1993.1056</w:t>
      </w:r>
    </w:p>
    <w:p w14:paraId="665B42E4"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Leweke, F. M., Piomelli, D., Pahlisch, F., Muhl, D., Gerth, C. W., Hoyer, C., Klosterkötter, J., Hellmich, M., &amp; Koethe, D. (2012). Cannabidiol </w:t>
      </w:r>
      <w:r w:rsidRPr="002C45B8">
        <w:rPr>
          <w:rFonts w:ascii="Arial" w:hAnsi="Arial" w:cs="Arial"/>
          <w:sz w:val="24"/>
        </w:rPr>
        <w:lastRenderedPageBreak/>
        <w:t xml:space="preserve">enhances anandamide signaling and alleviates psychotic symptoms of schizophrenia. </w:t>
      </w:r>
      <w:r w:rsidRPr="002C45B8">
        <w:rPr>
          <w:rFonts w:ascii="Arial" w:hAnsi="Arial" w:cs="Arial"/>
          <w:i/>
          <w:iCs/>
          <w:sz w:val="24"/>
        </w:rPr>
        <w:t>Translational Psychiatry</w:t>
      </w:r>
      <w:r w:rsidRPr="002C45B8">
        <w:rPr>
          <w:rFonts w:ascii="Arial" w:hAnsi="Arial" w:cs="Arial"/>
          <w:sz w:val="24"/>
        </w:rPr>
        <w:t xml:space="preserve">, </w:t>
      </w:r>
      <w:r w:rsidRPr="002C45B8">
        <w:rPr>
          <w:rFonts w:ascii="Arial" w:hAnsi="Arial" w:cs="Arial"/>
          <w:i/>
          <w:iCs/>
          <w:sz w:val="24"/>
        </w:rPr>
        <w:t>2</w:t>
      </w:r>
      <w:r w:rsidRPr="002C45B8">
        <w:rPr>
          <w:rFonts w:ascii="Arial" w:hAnsi="Arial" w:cs="Arial"/>
          <w:sz w:val="24"/>
        </w:rPr>
        <w:t>(3), e94–e94. https://doi.org/10.1038/tp.2012.15</w:t>
      </w:r>
    </w:p>
    <w:p w14:paraId="562217C4"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Martin-Santos, R., Crippa, J. A., Batalla, A., Bhattacharyya, S., Atakan, Z., Borgwardt, S., Allen, P., Seal, M., Langohr, K., Farré, M., Zuardi, A. W., &amp; McGuire, P. K. (2012). Acute effects of a single, oral dose of d9-tetrahydrocannabinol (THC) and cannabidiol (CBD) administration in healthy volunteers. </w:t>
      </w:r>
      <w:r w:rsidRPr="002C45B8">
        <w:rPr>
          <w:rFonts w:ascii="Arial" w:hAnsi="Arial" w:cs="Arial"/>
          <w:i/>
          <w:iCs/>
          <w:sz w:val="24"/>
        </w:rPr>
        <w:t>Current Pharmaceutical Design</w:t>
      </w:r>
      <w:r w:rsidRPr="002C45B8">
        <w:rPr>
          <w:rFonts w:ascii="Arial" w:hAnsi="Arial" w:cs="Arial"/>
          <w:sz w:val="24"/>
        </w:rPr>
        <w:t xml:space="preserve">, </w:t>
      </w:r>
      <w:r w:rsidRPr="002C45B8">
        <w:rPr>
          <w:rFonts w:ascii="Arial" w:hAnsi="Arial" w:cs="Arial"/>
          <w:i/>
          <w:iCs/>
          <w:sz w:val="24"/>
        </w:rPr>
        <w:t>18</w:t>
      </w:r>
      <w:r w:rsidRPr="002C45B8">
        <w:rPr>
          <w:rFonts w:ascii="Arial" w:hAnsi="Arial" w:cs="Arial"/>
          <w:sz w:val="24"/>
        </w:rPr>
        <w:t>(32), 4966–4979. https://doi.org/10.2174/138161212802884780</w:t>
      </w:r>
    </w:p>
    <w:p w14:paraId="74F6AC77"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Provencher, S. W. (1993). Estimation of metabolite concentrations from localized in vivo proton NMR spectra. </w:t>
      </w:r>
      <w:r w:rsidRPr="002C45B8">
        <w:rPr>
          <w:rFonts w:ascii="Arial" w:hAnsi="Arial" w:cs="Arial"/>
          <w:i/>
          <w:iCs/>
          <w:sz w:val="24"/>
        </w:rPr>
        <w:t>Magnetic Resonance in Medicine</w:t>
      </w:r>
      <w:r w:rsidRPr="002C45B8">
        <w:rPr>
          <w:rFonts w:ascii="Arial" w:hAnsi="Arial" w:cs="Arial"/>
          <w:sz w:val="24"/>
        </w:rPr>
        <w:t xml:space="preserve">, </w:t>
      </w:r>
      <w:r w:rsidRPr="002C45B8">
        <w:rPr>
          <w:rFonts w:ascii="Arial" w:hAnsi="Arial" w:cs="Arial"/>
          <w:i/>
          <w:iCs/>
          <w:sz w:val="24"/>
        </w:rPr>
        <w:t>30</w:t>
      </w:r>
      <w:r w:rsidRPr="002C45B8">
        <w:rPr>
          <w:rFonts w:ascii="Arial" w:hAnsi="Arial" w:cs="Arial"/>
          <w:sz w:val="24"/>
        </w:rPr>
        <w:t>(6), 672–679. https://doi.org/10.1002/mrm.1910300604</w:t>
      </w:r>
    </w:p>
    <w:p w14:paraId="36435182"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Thirion, B., Pinel, P., Mériaux, S., Roche, A., Dehaene, S., &amp; Poline, J.-B. (2007a). Analysis of a large fMRI cohort: Statistical and methodological issues for group analyses. </w:t>
      </w:r>
      <w:r w:rsidRPr="002C45B8">
        <w:rPr>
          <w:rFonts w:ascii="Arial" w:hAnsi="Arial" w:cs="Arial"/>
          <w:i/>
          <w:iCs/>
          <w:sz w:val="24"/>
        </w:rPr>
        <w:t>NeuroImage</w:t>
      </w:r>
      <w:r w:rsidRPr="002C45B8">
        <w:rPr>
          <w:rFonts w:ascii="Arial" w:hAnsi="Arial" w:cs="Arial"/>
          <w:sz w:val="24"/>
        </w:rPr>
        <w:t xml:space="preserve">, </w:t>
      </w:r>
      <w:r w:rsidRPr="002C45B8">
        <w:rPr>
          <w:rFonts w:ascii="Arial" w:hAnsi="Arial" w:cs="Arial"/>
          <w:i/>
          <w:iCs/>
          <w:sz w:val="24"/>
        </w:rPr>
        <w:t>35</w:t>
      </w:r>
      <w:r w:rsidRPr="002C45B8">
        <w:rPr>
          <w:rFonts w:ascii="Arial" w:hAnsi="Arial" w:cs="Arial"/>
          <w:sz w:val="24"/>
        </w:rPr>
        <w:t>(1), 105–120. https://doi.org/10.1016/j.neuroimage.2006.11.054</w:t>
      </w:r>
    </w:p>
    <w:p w14:paraId="4F9AC0DE"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Thirion, B., Pinel, P., Mériaux, S., Roche, A., Dehaene, S., &amp; Poline, J.-B. (2007b). Analysis of a large fMRI cohort: Statistical and methodological issues for group analyses. </w:t>
      </w:r>
      <w:r w:rsidRPr="002C45B8">
        <w:rPr>
          <w:rFonts w:ascii="Arial" w:hAnsi="Arial" w:cs="Arial"/>
          <w:i/>
          <w:iCs/>
          <w:sz w:val="24"/>
        </w:rPr>
        <w:t>NeuroImage</w:t>
      </w:r>
      <w:r w:rsidRPr="002C45B8">
        <w:rPr>
          <w:rFonts w:ascii="Arial" w:hAnsi="Arial" w:cs="Arial"/>
          <w:sz w:val="24"/>
        </w:rPr>
        <w:t xml:space="preserve">, </w:t>
      </w:r>
      <w:r w:rsidRPr="002C45B8">
        <w:rPr>
          <w:rFonts w:ascii="Arial" w:hAnsi="Arial" w:cs="Arial"/>
          <w:i/>
          <w:iCs/>
          <w:sz w:val="24"/>
        </w:rPr>
        <w:t>35</w:t>
      </w:r>
      <w:r w:rsidRPr="002C45B8">
        <w:rPr>
          <w:rFonts w:ascii="Arial" w:hAnsi="Arial" w:cs="Arial"/>
          <w:sz w:val="24"/>
        </w:rPr>
        <w:t>(1), 105–120. https://doi.org/10.1016/j.neuroimage.2006.11.054</w:t>
      </w:r>
    </w:p>
    <w:p w14:paraId="7EE5D9EA" w14:textId="77777777" w:rsidR="002C45B8" w:rsidRPr="002C45B8" w:rsidRDefault="002C45B8" w:rsidP="002C45B8">
      <w:pPr>
        <w:pStyle w:val="Bibliography"/>
        <w:rPr>
          <w:rFonts w:ascii="Arial" w:hAnsi="Arial" w:cs="Arial"/>
          <w:sz w:val="24"/>
        </w:rPr>
      </w:pPr>
      <w:r w:rsidRPr="002C45B8">
        <w:rPr>
          <w:rFonts w:ascii="Arial" w:hAnsi="Arial" w:cs="Arial"/>
          <w:sz w:val="24"/>
        </w:rPr>
        <w:t xml:space="preserve">Wilson, R., Bossong, M. G., Appiah-Kusi, E., Petros, N., Brammer, M., Perez, J., Allen, P., McGuire, P., &amp; Bhattacharyya, S. (2019). Cannabidiol attenuates insular dysfunction during motivational salience processing in subjects at clinical high risk for psychosis. </w:t>
      </w:r>
      <w:r w:rsidRPr="002C45B8">
        <w:rPr>
          <w:rFonts w:ascii="Arial" w:hAnsi="Arial" w:cs="Arial"/>
          <w:i/>
          <w:iCs/>
          <w:sz w:val="24"/>
        </w:rPr>
        <w:t>Translational Psychiatry</w:t>
      </w:r>
      <w:r w:rsidRPr="002C45B8">
        <w:rPr>
          <w:rFonts w:ascii="Arial" w:hAnsi="Arial" w:cs="Arial"/>
          <w:sz w:val="24"/>
        </w:rPr>
        <w:t xml:space="preserve">, </w:t>
      </w:r>
      <w:r w:rsidRPr="002C45B8">
        <w:rPr>
          <w:rFonts w:ascii="Arial" w:hAnsi="Arial" w:cs="Arial"/>
          <w:i/>
          <w:iCs/>
          <w:sz w:val="24"/>
        </w:rPr>
        <w:t>9</w:t>
      </w:r>
      <w:r w:rsidRPr="002C45B8">
        <w:rPr>
          <w:rFonts w:ascii="Arial" w:hAnsi="Arial" w:cs="Arial"/>
          <w:sz w:val="24"/>
        </w:rPr>
        <w:t>, 203. https://doi.org/10.1038/s41398-019-0534-2</w:t>
      </w:r>
    </w:p>
    <w:p w14:paraId="02F94154" w14:textId="5A56FF8B" w:rsidR="00D73EE7" w:rsidRPr="00B36F61" w:rsidRDefault="002C45B8" w:rsidP="0027000A">
      <w:pPr>
        <w:pStyle w:val="Bibliography"/>
        <w:spacing w:line="360" w:lineRule="auto"/>
        <w:jc w:val="both"/>
        <w:rPr>
          <w:rFonts w:ascii="Arial" w:hAnsi="Arial" w:cs="Arial"/>
          <w:sz w:val="24"/>
        </w:rPr>
      </w:pPr>
      <w:r>
        <w:rPr>
          <w:rFonts w:ascii="Arial" w:hAnsi="Arial" w:cs="Arial"/>
          <w:sz w:val="24"/>
        </w:rPr>
        <w:fldChar w:fldCharType="end"/>
      </w:r>
    </w:p>
    <w:sectPr w:rsidR="00D73EE7" w:rsidRPr="00B36F61" w:rsidSect="0063641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D162" w14:textId="77777777" w:rsidR="001779F2" w:rsidRDefault="001779F2" w:rsidP="006B3890">
      <w:pPr>
        <w:spacing w:after="0" w:line="240" w:lineRule="auto"/>
      </w:pPr>
      <w:r>
        <w:separator/>
      </w:r>
    </w:p>
  </w:endnote>
  <w:endnote w:type="continuationSeparator" w:id="0">
    <w:p w14:paraId="339EE445" w14:textId="77777777" w:rsidR="001779F2" w:rsidRDefault="001779F2" w:rsidP="006B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0303" w14:textId="77777777" w:rsidR="001779F2" w:rsidRDefault="001779F2" w:rsidP="006B3890">
      <w:pPr>
        <w:spacing w:after="0" w:line="240" w:lineRule="auto"/>
      </w:pPr>
      <w:r>
        <w:separator/>
      </w:r>
    </w:p>
  </w:footnote>
  <w:footnote w:type="continuationSeparator" w:id="0">
    <w:p w14:paraId="1C9AA4CC" w14:textId="77777777" w:rsidR="001779F2" w:rsidRDefault="001779F2" w:rsidP="006B3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D62E4"/>
    <w:multiLevelType w:val="hybridMultilevel"/>
    <w:tmpl w:val="96D883A6"/>
    <w:lvl w:ilvl="0" w:tplc="AC5240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8110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E5"/>
    <w:rsid w:val="00011CCE"/>
    <w:rsid w:val="000156C8"/>
    <w:rsid w:val="00027EBD"/>
    <w:rsid w:val="00037500"/>
    <w:rsid w:val="00054A08"/>
    <w:rsid w:val="000B6C8D"/>
    <w:rsid w:val="000D083B"/>
    <w:rsid w:val="000D64A8"/>
    <w:rsid w:val="000F0DA6"/>
    <w:rsid w:val="00153263"/>
    <w:rsid w:val="001565DE"/>
    <w:rsid w:val="0016117E"/>
    <w:rsid w:val="00167B22"/>
    <w:rsid w:val="001779F2"/>
    <w:rsid w:val="00192C87"/>
    <w:rsid w:val="001F3BF9"/>
    <w:rsid w:val="002038B2"/>
    <w:rsid w:val="00230F69"/>
    <w:rsid w:val="002373F6"/>
    <w:rsid w:val="00237789"/>
    <w:rsid w:val="0025438C"/>
    <w:rsid w:val="0027000A"/>
    <w:rsid w:val="00274190"/>
    <w:rsid w:val="002A09A7"/>
    <w:rsid w:val="002A275A"/>
    <w:rsid w:val="002A6F15"/>
    <w:rsid w:val="002C45B8"/>
    <w:rsid w:val="002F4D30"/>
    <w:rsid w:val="00307DE5"/>
    <w:rsid w:val="00310DC5"/>
    <w:rsid w:val="00322249"/>
    <w:rsid w:val="00322467"/>
    <w:rsid w:val="00334D4B"/>
    <w:rsid w:val="00335458"/>
    <w:rsid w:val="003748D0"/>
    <w:rsid w:val="00374B9E"/>
    <w:rsid w:val="003854C0"/>
    <w:rsid w:val="003D671F"/>
    <w:rsid w:val="00410A7E"/>
    <w:rsid w:val="00417EF5"/>
    <w:rsid w:val="00497F52"/>
    <w:rsid w:val="004B343E"/>
    <w:rsid w:val="004C24F9"/>
    <w:rsid w:val="004C64B3"/>
    <w:rsid w:val="004E072C"/>
    <w:rsid w:val="0051552D"/>
    <w:rsid w:val="00527421"/>
    <w:rsid w:val="00535516"/>
    <w:rsid w:val="005474B9"/>
    <w:rsid w:val="005A10BB"/>
    <w:rsid w:val="005B7505"/>
    <w:rsid w:val="006121CD"/>
    <w:rsid w:val="00623192"/>
    <w:rsid w:val="00636418"/>
    <w:rsid w:val="00674AA7"/>
    <w:rsid w:val="006A7873"/>
    <w:rsid w:val="006B3890"/>
    <w:rsid w:val="006B53E8"/>
    <w:rsid w:val="006D1DAF"/>
    <w:rsid w:val="006D3569"/>
    <w:rsid w:val="00703D36"/>
    <w:rsid w:val="00704995"/>
    <w:rsid w:val="00715A7C"/>
    <w:rsid w:val="0073070A"/>
    <w:rsid w:val="00741E1E"/>
    <w:rsid w:val="007447CF"/>
    <w:rsid w:val="00751008"/>
    <w:rsid w:val="007913DF"/>
    <w:rsid w:val="007C6D15"/>
    <w:rsid w:val="007F7F9A"/>
    <w:rsid w:val="0080377E"/>
    <w:rsid w:val="00812718"/>
    <w:rsid w:val="008162E0"/>
    <w:rsid w:val="00816E39"/>
    <w:rsid w:val="008363AD"/>
    <w:rsid w:val="00855105"/>
    <w:rsid w:val="0089605F"/>
    <w:rsid w:val="008A40C4"/>
    <w:rsid w:val="008C0C1B"/>
    <w:rsid w:val="008C7D57"/>
    <w:rsid w:val="00906B79"/>
    <w:rsid w:val="009468C7"/>
    <w:rsid w:val="00963A02"/>
    <w:rsid w:val="009756CA"/>
    <w:rsid w:val="0098679A"/>
    <w:rsid w:val="009C716A"/>
    <w:rsid w:val="009F2138"/>
    <w:rsid w:val="00A00F62"/>
    <w:rsid w:val="00A05E6C"/>
    <w:rsid w:val="00A43B13"/>
    <w:rsid w:val="00AB2EC3"/>
    <w:rsid w:val="00AC6B24"/>
    <w:rsid w:val="00AD7954"/>
    <w:rsid w:val="00AE34F3"/>
    <w:rsid w:val="00AE6B6A"/>
    <w:rsid w:val="00B36F61"/>
    <w:rsid w:val="00B82A3A"/>
    <w:rsid w:val="00BB6BA8"/>
    <w:rsid w:val="00BB6F03"/>
    <w:rsid w:val="00BE6380"/>
    <w:rsid w:val="00C04D06"/>
    <w:rsid w:val="00C71BE4"/>
    <w:rsid w:val="00C77264"/>
    <w:rsid w:val="00D32696"/>
    <w:rsid w:val="00D435DB"/>
    <w:rsid w:val="00D73EE7"/>
    <w:rsid w:val="00DB1D3B"/>
    <w:rsid w:val="00DB4D3C"/>
    <w:rsid w:val="00DC714F"/>
    <w:rsid w:val="00DD6D90"/>
    <w:rsid w:val="00DF4827"/>
    <w:rsid w:val="00E27F25"/>
    <w:rsid w:val="00E55DBE"/>
    <w:rsid w:val="00EB1F44"/>
    <w:rsid w:val="00EC2B99"/>
    <w:rsid w:val="00ED22F6"/>
    <w:rsid w:val="00ED6311"/>
    <w:rsid w:val="00EE4DC1"/>
    <w:rsid w:val="00F02836"/>
    <w:rsid w:val="00F06858"/>
    <w:rsid w:val="00F32BC0"/>
    <w:rsid w:val="00FB096A"/>
    <w:rsid w:val="00FC3FDB"/>
    <w:rsid w:val="00FD5A98"/>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38B0D"/>
  <w15:chartTrackingRefBased/>
  <w15:docId w15:val="{06B53016-F733-4874-9969-00BDCA81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307D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307D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307D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unhideWhenUsed/>
    <w:qFormat/>
    <w:rsid w:val="00307DE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307DE5"/>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307DE5"/>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307DE5"/>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307DE5"/>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307DE5"/>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DE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307DE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307DE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rsid w:val="00307DE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307DE5"/>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307DE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307DE5"/>
    <w:rPr>
      <w:rFonts w:cstheme="majorBidi"/>
      <w:b/>
      <w:bCs/>
      <w:color w:val="595959" w:themeColor="text1" w:themeTint="A6"/>
    </w:rPr>
  </w:style>
  <w:style w:type="character" w:customStyle="1" w:styleId="Heading8Char">
    <w:name w:val="Heading 8 Char"/>
    <w:basedOn w:val="DefaultParagraphFont"/>
    <w:link w:val="Heading8"/>
    <w:uiPriority w:val="9"/>
    <w:semiHidden/>
    <w:rsid w:val="00307DE5"/>
    <w:rPr>
      <w:rFonts w:cstheme="majorBidi"/>
      <w:color w:val="595959" w:themeColor="text1" w:themeTint="A6"/>
    </w:rPr>
  </w:style>
  <w:style w:type="character" w:customStyle="1" w:styleId="Heading9Char">
    <w:name w:val="Heading 9 Char"/>
    <w:basedOn w:val="DefaultParagraphFont"/>
    <w:link w:val="Heading9"/>
    <w:uiPriority w:val="9"/>
    <w:semiHidden/>
    <w:rsid w:val="00307DE5"/>
    <w:rPr>
      <w:rFonts w:eastAsiaTheme="majorEastAsia" w:cstheme="majorBidi"/>
      <w:color w:val="595959" w:themeColor="text1" w:themeTint="A6"/>
    </w:rPr>
  </w:style>
  <w:style w:type="paragraph" w:styleId="Title">
    <w:name w:val="Title"/>
    <w:basedOn w:val="Normal"/>
    <w:next w:val="Normal"/>
    <w:link w:val="TitleChar"/>
    <w:uiPriority w:val="10"/>
    <w:qFormat/>
    <w:rsid w:val="00307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DE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07DE5"/>
    <w:pPr>
      <w:spacing w:before="160"/>
      <w:jc w:val="center"/>
    </w:pPr>
    <w:rPr>
      <w:i/>
      <w:iCs/>
      <w:color w:val="404040" w:themeColor="text1" w:themeTint="BF"/>
    </w:rPr>
  </w:style>
  <w:style w:type="character" w:customStyle="1" w:styleId="QuoteChar">
    <w:name w:val="Quote Char"/>
    <w:basedOn w:val="DefaultParagraphFont"/>
    <w:link w:val="Quote"/>
    <w:uiPriority w:val="29"/>
    <w:rsid w:val="00307DE5"/>
    <w:rPr>
      <w:i/>
      <w:iCs/>
      <w:color w:val="404040" w:themeColor="text1" w:themeTint="BF"/>
    </w:rPr>
  </w:style>
  <w:style w:type="paragraph" w:styleId="ListParagraph">
    <w:name w:val="List Paragraph"/>
    <w:basedOn w:val="Normal"/>
    <w:uiPriority w:val="34"/>
    <w:qFormat/>
    <w:rsid w:val="00307DE5"/>
    <w:pPr>
      <w:ind w:left="720"/>
      <w:contextualSpacing/>
    </w:pPr>
  </w:style>
  <w:style w:type="character" w:styleId="IntenseEmphasis">
    <w:name w:val="Intense Emphasis"/>
    <w:basedOn w:val="DefaultParagraphFont"/>
    <w:uiPriority w:val="21"/>
    <w:qFormat/>
    <w:rsid w:val="00307DE5"/>
    <w:rPr>
      <w:i/>
      <w:iCs/>
      <w:color w:val="0F4761" w:themeColor="accent1" w:themeShade="BF"/>
    </w:rPr>
  </w:style>
  <w:style w:type="paragraph" w:styleId="IntenseQuote">
    <w:name w:val="Intense Quote"/>
    <w:basedOn w:val="Normal"/>
    <w:next w:val="Normal"/>
    <w:link w:val="IntenseQuoteChar"/>
    <w:uiPriority w:val="30"/>
    <w:qFormat/>
    <w:rsid w:val="00307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DE5"/>
    <w:rPr>
      <w:i/>
      <w:iCs/>
      <w:color w:val="0F4761" w:themeColor="accent1" w:themeShade="BF"/>
    </w:rPr>
  </w:style>
  <w:style w:type="character" w:styleId="IntenseReference">
    <w:name w:val="Intense Reference"/>
    <w:basedOn w:val="DefaultParagraphFont"/>
    <w:uiPriority w:val="32"/>
    <w:qFormat/>
    <w:rsid w:val="00307DE5"/>
    <w:rPr>
      <w:b/>
      <w:bCs/>
      <w:smallCaps/>
      <w:color w:val="0F4761" w:themeColor="accent1" w:themeShade="BF"/>
      <w:spacing w:val="5"/>
    </w:rPr>
  </w:style>
  <w:style w:type="character" w:styleId="SubtleEmphasis">
    <w:name w:val="Subtle Emphasis"/>
    <w:basedOn w:val="DefaultParagraphFont"/>
    <w:uiPriority w:val="19"/>
    <w:qFormat/>
    <w:rsid w:val="00230F69"/>
    <w:rPr>
      <w:i/>
      <w:iCs/>
      <w:color w:val="404040" w:themeColor="text1" w:themeTint="BF"/>
    </w:rPr>
  </w:style>
  <w:style w:type="character" w:styleId="CommentReference">
    <w:name w:val="annotation reference"/>
    <w:basedOn w:val="DefaultParagraphFont"/>
    <w:uiPriority w:val="99"/>
    <w:semiHidden/>
    <w:unhideWhenUsed/>
    <w:rsid w:val="00535516"/>
    <w:rPr>
      <w:sz w:val="21"/>
      <w:szCs w:val="21"/>
    </w:rPr>
  </w:style>
  <w:style w:type="paragraph" w:styleId="CommentText">
    <w:name w:val="annotation text"/>
    <w:basedOn w:val="Normal"/>
    <w:link w:val="CommentTextChar"/>
    <w:uiPriority w:val="99"/>
    <w:unhideWhenUsed/>
    <w:rsid w:val="00535516"/>
    <w:pPr>
      <w:spacing w:after="0" w:line="240" w:lineRule="auto"/>
    </w:pPr>
    <w:rPr>
      <w:rFonts w:ascii="Arial" w:hAnsi="Arial"/>
      <w:sz w:val="21"/>
      <w:szCs w:val="22"/>
      <w:lang w:val="en-GB"/>
      <w14:ligatures w14:val="none"/>
    </w:rPr>
  </w:style>
  <w:style w:type="character" w:customStyle="1" w:styleId="CommentTextChar">
    <w:name w:val="Comment Text Char"/>
    <w:basedOn w:val="DefaultParagraphFont"/>
    <w:link w:val="CommentText"/>
    <w:uiPriority w:val="99"/>
    <w:rsid w:val="00535516"/>
    <w:rPr>
      <w:rFonts w:ascii="Arial" w:hAnsi="Arial"/>
      <w:sz w:val="21"/>
      <w:szCs w:val="22"/>
      <w:lang w:val="en-GB"/>
      <w14:ligatures w14:val="none"/>
    </w:rPr>
  </w:style>
  <w:style w:type="paragraph" w:styleId="CommentSubject">
    <w:name w:val="annotation subject"/>
    <w:basedOn w:val="CommentText"/>
    <w:next w:val="CommentText"/>
    <w:link w:val="CommentSubjectChar"/>
    <w:uiPriority w:val="99"/>
    <w:semiHidden/>
    <w:unhideWhenUsed/>
    <w:rsid w:val="007913DF"/>
    <w:pPr>
      <w:spacing w:after="160" w:line="278" w:lineRule="auto"/>
    </w:pPr>
    <w:rPr>
      <w:rFonts w:asciiTheme="minorHAnsi" w:hAnsiTheme="minorHAnsi"/>
      <w:b/>
      <w:bCs/>
      <w:sz w:val="22"/>
      <w:szCs w:val="24"/>
      <w:lang w:val="en-US"/>
      <w14:ligatures w14:val="standardContextual"/>
    </w:rPr>
  </w:style>
  <w:style w:type="character" w:customStyle="1" w:styleId="CommentSubjectChar">
    <w:name w:val="Comment Subject Char"/>
    <w:basedOn w:val="CommentTextChar"/>
    <w:link w:val="CommentSubject"/>
    <w:uiPriority w:val="99"/>
    <w:semiHidden/>
    <w:rsid w:val="007913DF"/>
    <w:rPr>
      <w:rFonts w:ascii="Arial" w:hAnsi="Arial"/>
      <w:b/>
      <w:bCs/>
      <w:sz w:val="21"/>
      <w:szCs w:val="22"/>
      <w:lang w:val="en-GB"/>
      <w14:ligatures w14:val="none"/>
    </w:rPr>
  </w:style>
  <w:style w:type="character" w:styleId="Strong">
    <w:name w:val="Strong"/>
    <w:basedOn w:val="DefaultParagraphFont"/>
    <w:uiPriority w:val="22"/>
    <w:qFormat/>
    <w:rsid w:val="003748D0"/>
    <w:rPr>
      <w:b/>
      <w:bCs/>
    </w:rPr>
  </w:style>
  <w:style w:type="paragraph" w:styleId="Header">
    <w:name w:val="header"/>
    <w:basedOn w:val="Normal"/>
    <w:link w:val="HeaderChar"/>
    <w:uiPriority w:val="99"/>
    <w:unhideWhenUsed/>
    <w:rsid w:val="006B3890"/>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B3890"/>
    <w:rPr>
      <w:sz w:val="18"/>
      <w:szCs w:val="18"/>
    </w:rPr>
  </w:style>
  <w:style w:type="paragraph" w:styleId="Footer">
    <w:name w:val="footer"/>
    <w:basedOn w:val="Normal"/>
    <w:link w:val="FooterChar"/>
    <w:uiPriority w:val="99"/>
    <w:unhideWhenUsed/>
    <w:rsid w:val="006B389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B3890"/>
    <w:rPr>
      <w:sz w:val="18"/>
      <w:szCs w:val="18"/>
    </w:rPr>
  </w:style>
  <w:style w:type="paragraph" w:styleId="Caption">
    <w:name w:val="caption"/>
    <w:basedOn w:val="Normal"/>
    <w:next w:val="Normal"/>
    <w:uiPriority w:val="35"/>
    <w:unhideWhenUsed/>
    <w:qFormat/>
    <w:rsid w:val="006B3890"/>
    <w:pPr>
      <w:spacing w:after="0" w:line="240" w:lineRule="auto"/>
      <w:jc w:val="both"/>
    </w:pPr>
    <w:rPr>
      <w:rFonts w:asciiTheme="majorHAnsi" w:eastAsia="黑体" w:hAnsiTheme="majorHAnsi" w:cstheme="majorBidi"/>
      <w:sz w:val="20"/>
      <w:szCs w:val="20"/>
      <w:lang w:val="en-GB"/>
      <w14:ligatures w14:val="none"/>
    </w:rPr>
  </w:style>
  <w:style w:type="paragraph" w:styleId="Bibliography">
    <w:name w:val="Bibliography"/>
    <w:basedOn w:val="Normal"/>
    <w:next w:val="Normal"/>
    <w:uiPriority w:val="37"/>
    <w:unhideWhenUsed/>
    <w:rsid w:val="009756CA"/>
    <w:pPr>
      <w:spacing w:after="0" w:line="480" w:lineRule="auto"/>
      <w:ind w:left="720" w:hanging="720"/>
    </w:pPr>
  </w:style>
  <w:style w:type="paragraph" w:styleId="NoSpacing">
    <w:name w:val="No Spacing"/>
    <w:link w:val="NoSpacingChar"/>
    <w:uiPriority w:val="1"/>
    <w:qFormat/>
    <w:rsid w:val="00636418"/>
    <w:pPr>
      <w:spacing w:after="0" w:line="240" w:lineRule="auto"/>
    </w:pPr>
    <w:rPr>
      <w:kern w:val="0"/>
      <w:szCs w:val="22"/>
      <w14:ligatures w14:val="none"/>
    </w:rPr>
  </w:style>
  <w:style w:type="character" w:customStyle="1" w:styleId="NoSpacingChar">
    <w:name w:val="No Spacing Char"/>
    <w:basedOn w:val="DefaultParagraphFont"/>
    <w:link w:val="NoSpacing"/>
    <w:uiPriority w:val="1"/>
    <w:rsid w:val="00636418"/>
    <w:rPr>
      <w:kern w:val="0"/>
      <w:szCs w:val="22"/>
      <w14:ligatures w14:val="none"/>
    </w:rPr>
  </w:style>
  <w:style w:type="paragraph" w:styleId="TOCHeading">
    <w:name w:val="TOC Heading"/>
    <w:basedOn w:val="Heading1"/>
    <w:next w:val="Normal"/>
    <w:uiPriority w:val="39"/>
    <w:unhideWhenUsed/>
    <w:qFormat/>
    <w:rsid w:val="00DB1D3B"/>
    <w:pPr>
      <w:widowControl/>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DB1D3B"/>
    <w:pPr>
      <w:ind w:leftChars="200" w:left="420"/>
    </w:pPr>
  </w:style>
  <w:style w:type="paragraph" w:styleId="TOC3">
    <w:name w:val="toc 3"/>
    <w:basedOn w:val="Normal"/>
    <w:next w:val="Normal"/>
    <w:autoRedefine/>
    <w:uiPriority w:val="39"/>
    <w:unhideWhenUsed/>
    <w:rsid w:val="00DB1D3B"/>
    <w:pPr>
      <w:ind w:leftChars="400" w:left="840"/>
    </w:pPr>
  </w:style>
  <w:style w:type="character" w:styleId="Hyperlink">
    <w:name w:val="Hyperlink"/>
    <w:basedOn w:val="DefaultParagraphFont"/>
    <w:uiPriority w:val="99"/>
    <w:unhideWhenUsed/>
    <w:rsid w:val="00DB1D3B"/>
    <w:rPr>
      <w:color w:val="467886" w:themeColor="hyperlink"/>
      <w:u w:val="single"/>
    </w:rPr>
  </w:style>
  <w:style w:type="paragraph" w:styleId="Revision">
    <w:name w:val="Revision"/>
    <w:hidden/>
    <w:uiPriority w:val="99"/>
    <w:semiHidden/>
    <w:rsid w:val="00816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772701">
      <w:bodyDiv w:val="1"/>
      <w:marLeft w:val="0"/>
      <w:marRight w:val="0"/>
      <w:marTop w:val="0"/>
      <w:marBottom w:val="0"/>
      <w:divBdr>
        <w:top w:val="none" w:sz="0" w:space="0" w:color="auto"/>
        <w:left w:val="none" w:sz="0" w:space="0" w:color="auto"/>
        <w:bottom w:val="none" w:sz="0" w:space="0" w:color="auto"/>
        <w:right w:val="none" w:sz="0" w:space="0" w:color="auto"/>
      </w:divBdr>
    </w:div>
    <w:div w:id="1246648712">
      <w:bodyDiv w:val="1"/>
      <w:marLeft w:val="0"/>
      <w:marRight w:val="0"/>
      <w:marTop w:val="0"/>
      <w:marBottom w:val="0"/>
      <w:divBdr>
        <w:top w:val="none" w:sz="0" w:space="0" w:color="auto"/>
        <w:left w:val="none" w:sz="0" w:space="0" w:color="auto"/>
        <w:bottom w:val="none" w:sz="0" w:space="0" w:color="auto"/>
        <w:right w:val="none" w:sz="0" w:space="0" w:color="auto"/>
      </w:divBdr>
    </w:div>
    <w:div w:id="12994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encher.com/pub/LCModel/manual/manu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A765A7FF15149A2C8E39055131EC2" ma:contentTypeVersion="18" ma:contentTypeDescription="Create a new document." ma:contentTypeScope="" ma:versionID="9c61672a51ef7a9987c745e064ec79e8">
  <xsd:schema xmlns:xsd="http://www.w3.org/2001/XMLSchema" xmlns:xs="http://www.w3.org/2001/XMLSchema" xmlns:p="http://schemas.microsoft.com/office/2006/metadata/properties" xmlns:ns3="0d579782-9535-48a8-9c1a-1975794db386" xmlns:ns4="c8ba2bf5-a33d-44be-90be-b0794b22794c" targetNamespace="http://schemas.microsoft.com/office/2006/metadata/properties" ma:root="true" ma:fieldsID="11e3ba8bab18972ce0aaa69c0535b2c6" ns3:_="" ns4:_="">
    <xsd:import namespace="0d579782-9535-48a8-9c1a-1975794db386"/>
    <xsd:import namespace="c8ba2bf5-a33d-44be-90be-b0794b227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79782-9535-48a8-9c1a-1975794d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a2bf5-a33d-44be-90be-b0794b227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d579782-9535-48a8-9c1a-1975794db386" xsi:nil="true"/>
  </documentManagement>
</p:properties>
</file>

<file path=customXml/itemProps1.xml><?xml version="1.0" encoding="utf-8"?>
<ds:datastoreItem xmlns:ds="http://schemas.openxmlformats.org/officeDocument/2006/customXml" ds:itemID="{AB18F0B9-AC8B-499F-B96F-7083799B7F96}">
  <ds:schemaRefs>
    <ds:schemaRef ds:uri="http://schemas.microsoft.com/sharepoint/v3/contenttype/forms"/>
  </ds:schemaRefs>
</ds:datastoreItem>
</file>

<file path=customXml/itemProps2.xml><?xml version="1.0" encoding="utf-8"?>
<ds:datastoreItem xmlns:ds="http://schemas.openxmlformats.org/officeDocument/2006/customXml" ds:itemID="{ACAAC509-E55B-4682-AF0E-14C364FAB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79782-9535-48a8-9c1a-1975794db386"/>
    <ds:schemaRef ds:uri="c8ba2bf5-a33d-44be-90be-b0794b227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15666-BFC8-4A91-9F29-BB81F45A2C44}">
  <ds:schemaRefs>
    <ds:schemaRef ds:uri="http://schemas.openxmlformats.org/officeDocument/2006/bibliography"/>
  </ds:schemaRefs>
</ds:datastoreItem>
</file>

<file path=customXml/itemProps4.xml><?xml version="1.0" encoding="utf-8"?>
<ds:datastoreItem xmlns:ds="http://schemas.openxmlformats.org/officeDocument/2006/customXml" ds:itemID="{7398675C-924D-48A5-ACE5-37937077E2BC}">
  <ds:schemaRefs>
    <ds:schemaRef ds:uri="http://schemas.microsoft.com/office/2006/metadata/properties"/>
    <ds:schemaRef ds:uri="http://schemas.microsoft.com/office/infopath/2007/PartnerControls"/>
    <ds:schemaRef ds:uri="0d579782-9535-48a8-9c1a-1975794db386"/>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1889</Words>
  <Characters>56616</Characters>
  <Application>Microsoft Office Word</Application>
  <DocSecurity>0</DocSecurity>
  <Lines>471</Lines>
  <Paragraphs>116</Paragraphs>
  <ScaleCrop>false</ScaleCrop>
  <Company/>
  <LinksUpToDate>false</LinksUpToDate>
  <CharactersWithSpaces>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Online Content</dc:title>
  <dc:subject/>
  <dc:creator>Yilin</dc:creator>
  <cp:keywords/>
  <dc:description/>
  <cp:lastModifiedBy>Yiling</cp:lastModifiedBy>
  <cp:revision>29</cp:revision>
  <dcterms:created xsi:type="dcterms:W3CDTF">2024-10-30T13:29:00Z</dcterms:created>
  <dcterms:modified xsi:type="dcterms:W3CDTF">2024-10-30T17:23:00Z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0x0101006DAA765A7FF15149A2C8E39055131EC2</vt:lpwstr>
  </property>
  <property fmtid="{D5CDD505-2E9C-101B-9397-08002B2CF9AE}" pid="3" name="ZOTERO_PREF_1">
    <vt:lpwstr>&lt;data data-version="3" zotero-version="7.0.8"&gt;&lt;session id="nlA2KtZy"/&gt;&lt;style id="http://www.zotero.org/styles/apa" locale="en-GB" hasBibliography="1" bibliographyStyleHasBeenSet="1"/&gt;&lt;prefs&gt;&lt;pref name="fieldType" value="Field"/&gt;&lt;/prefs&gt;&lt;/data&gt;</vt:lpwstr>
  </property>
</Properties>
</file>