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6E5C" w14:textId="4D2E9464" w:rsidR="003656FC" w:rsidRPr="008E6E0D" w:rsidRDefault="003656FC">
      <w:pPr>
        <w:rPr>
          <w:rFonts w:asciiTheme="majorHAnsi" w:hAnsiTheme="majorHAnsi"/>
          <w:b/>
          <w:bCs/>
          <w:sz w:val="22"/>
          <w:szCs w:val="22"/>
          <w:lang w:val="en-US"/>
        </w:rPr>
      </w:pPr>
      <w:r w:rsidRPr="008E6E0D">
        <w:rPr>
          <w:rFonts w:asciiTheme="majorHAnsi" w:hAnsiTheme="majorHAnsi"/>
          <w:b/>
          <w:bCs/>
          <w:sz w:val="22"/>
          <w:szCs w:val="22"/>
          <w:lang w:val="en-US"/>
        </w:rPr>
        <w:t>S1- Clinical Centers</w:t>
      </w:r>
    </w:p>
    <w:p w14:paraId="57FE6A06" w14:textId="1C51AB28" w:rsidR="003656FC" w:rsidRPr="00D87AC9" w:rsidRDefault="003656FC" w:rsidP="003656FC">
      <w:pPr>
        <w:spacing w:line="480" w:lineRule="auto"/>
        <w:jc w:val="both"/>
        <w:rPr>
          <w:rFonts w:asciiTheme="majorHAnsi" w:hAnsiTheme="majorHAnsi"/>
          <w:sz w:val="22"/>
          <w:szCs w:val="22"/>
          <w:lang w:val="en-US"/>
        </w:rPr>
      </w:pPr>
      <w:r w:rsidRPr="00D87AC9">
        <w:rPr>
          <w:rFonts w:asciiTheme="majorHAnsi" w:hAnsiTheme="majorHAnsi"/>
          <w:sz w:val="22"/>
          <w:szCs w:val="22"/>
          <w:lang w:val="en-US"/>
        </w:rPr>
        <w:t>The study will take place in all five clinical centers participating in the TEERMISO protocol trial. Each clinical centre will be responsible for promptly obtaining IRB approval of the protocol and informed consent (including amendments), enrolling patients, accurately collecting data and entering it into the electronic data capture system (</w:t>
      </w:r>
      <w:r w:rsidR="00D87AC9" w:rsidRPr="00D87AC9">
        <w:rPr>
          <w:rFonts w:asciiTheme="majorHAnsi" w:hAnsiTheme="majorHAnsi"/>
          <w:sz w:val="22"/>
          <w:szCs w:val="22"/>
          <w:lang w:val="en-US"/>
        </w:rPr>
        <w:t>Microsoft Access datasheet;</w:t>
      </w:r>
      <w:r w:rsidR="00D87AC9" w:rsidRPr="00D87AC9">
        <w:rPr>
          <w:sz w:val="22"/>
          <w:szCs w:val="22"/>
          <w:lang w:val="en-US"/>
        </w:rPr>
        <w:t xml:space="preserve"> </w:t>
      </w:r>
      <w:r w:rsidR="00D87AC9" w:rsidRPr="00D87AC9">
        <w:rPr>
          <w:rFonts w:asciiTheme="majorHAnsi" w:hAnsiTheme="majorHAnsi"/>
          <w:sz w:val="22"/>
          <w:szCs w:val="22"/>
          <w:lang w:val="en-US"/>
        </w:rPr>
        <w:t>Redmond, Washington,</w:t>
      </w:r>
      <w:r w:rsidR="00D87AC9" w:rsidRPr="00D87AC9">
        <w:rPr>
          <w:sz w:val="22"/>
          <w:szCs w:val="22"/>
          <w:lang w:val="en-US"/>
        </w:rPr>
        <w:t xml:space="preserve"> </w:t>
      </w:r>
      <w:r w:rsidR="00D87AC9" w:rsidRPr="00D87AC9">
        <w:rPr>
          <w:rFonts w:asciiTheme="majorHAnsi" w:hAnsiTheme="majorHAnsi"/>
          <w:sz w:val="22"/>
          <w:szCs w:val="22"/>
          <w:lang w:val="en-US"/>
        </w:rPr>
        <w:t xml:space="preserve">USA </w:t>
      </w:r>
      <w:r w:rsidRPr="00D87AC9">
        <w:rPr>
          <w:rFonts w:asciiTheme="majorHAnsi" w:hAnsiTheme="majorHAnsi"/>
          <w:sz w:val="22"/>
          <w:szCs w:val="22"/>
          <w:lang w:val="en-US"/>
        </w:rPr>
        <w:t xml:space="preserve">). The coordinating centre will be located in France at the Centre </w:t>
      </w:r>
      <w:proofErr w:type="spellStart"/>
      <w:r w:rsidRPr="00D87AC9">
        <w:rPr>
          <w:rFonts w:asciiTheme="majorHAnsi" w:hAnsiTheme="majorHAnsi"/>
          <w:sz w:val="22"/>
          <w:szCs w:val="22"/>
          <w:lang w:val="en-US"/>
        </w:rPr>
        <w:t>Cardiologique</w:t>
      </w:r>
      <w:proofErr w:type="spellEnd"/>
      <w:r w:rsidRPr="00D87AC9">
        <w:rPr>
          <w:rFonts w:asciiTheme="majorHAnsi" w:hAnsiTheme="majorHAnsi"/>
          <w:sz w:val="22"/>
          <w:szCs w:val="22"/>
          <w:lang w:val="en-US"/>
        </w:rPr>
        <w:t xml:space="preserve"> du Nord, which will be the NCT from Clinical Trial Gov.</w:t>
      </w:r>
      <w:r w:rsidR="002803DE">
        <w:rPr>
          <w:rFonts w:asciiTheme="majorHAnsi" w:hAnsiTheme="majorHAnsi"/>
          <w:sz w:val="22"/>
          <w:szCs w:val="22"/>
          <w:lang w:val="en-US"/>
        </w:rPr>
        <w:t xml:space="preserve"> </w:t>
      </w:r>
      <w:r w:rsidRPr="00D87AC9">
        <w:rPr>
          <w:rFonts w:asciiTheme="majorHAnsi" w:hAnsiTheme="majorHAnsi"/>
          <w:sz w:val="22"/>
          <w:szCs w:val="22"/>
          <w:lang w:val="en-US"/>
        </w:rPr>
        <w:t>Com</w:t>
      </w:r>
      <w:r w:rsidR="002803DE">
        <w:rPr>
          <w:rFonts w:asciiTheme="majorHAnsi" w:hAnsiTheme="majorHAnsi"/>
          <w:sz w:val="22"/>
          <w:szCs w:val="22"/>
          <w:lang w:val="en-US"/>
        </w:rPr>
        <w:t xml:space="preserve"> (</w:t>
      </w:r>
      <w:r w:rsidR="002803DE" w:rsidRPr="00E4416B">
        <w:rPr>
          <w:rFonts w:asciiTheme="majorHAnsi" w:hAnsiTheme="majorHAnsi" w:cs="Arial"/>
          <w:b/>
          <w:bCs/>
          <w:sz w:val="22"/>
          <w:szCs w:val="22"/>
          <w:lang w:val="en-US"/>
        </w:rPr>
        <w:t>ID: NCT05090540</w:t>
      </w:r>
      <w:r w:rsidR="002803DE">
        <w:rPr>
          <w:rFonts w:asciiTheme="majorHAnsi" w:hAnsiTheme="majorHAnsi" w:cs="Arial"/>
          <w:b/>
          <w:bCs/>
          <w:sz w:val="22"/>
          <w:szCs w:val="22"/>
          <w:lang w:val="en-US"/>
        </w:rPr>
        <w:t xml:space="preserve">) </w:t>
      </w:r>
      <w:r w:rsidRPr="00D87AC9">
        <w:rPr>
          <w:rFonts w:asciiTheme="majorHAnsi" w:hAnsiTheme="majorHAnsi"/>
          <w:sz w:val="22"/>
          <w:szCs w:val="22"/>
          <w:lang w:val="en-US"/>
        </w:rPr>
        <w:t xml:space="preserve"> and the IRB</w:t>
      </w:r>
      <w:r w:rsidR="002803DE">
        <w:rPr>
          <w:rFonts w:asciiTheme="majorHAnsi" w:hAnsiTheme="majorHAnsi"/>
          <w:sz w:val="22"/>
          <w:szCs w:val="22"/>
          <w:lang w:val="en-US"/>
        </w:rPr>
        <w:t xml:space="preserve"> (</w:t>
      </w:r>
      <w:r w:rsidR="002803DE" w:rsidRPr="00E4416B">
        <w:rPr>
          <w:rFonts w:asciiTheme="majorHAnsi" w:hAnsiTheme="majorHAnsi"/>
          <w:b/>
          <w:bCs/>
          <w:sz w:val="22"/>
          <w:szCs w:val="22"/>
          <w:lang w:val="en-US"/>
        </w:rPr>
        <w:t>ID : 202201143</w:t>
      </w:r>
      <w:r w:rsidR="002803DE">
        <w:rPr>
          <w:rFonts w:asciiTheme="majorHAnsi" w:hAnsiTheme="majorHAnsi"/>
          <w:b/>
          <w:bCs/>
          <w:sz w:val="22"/>
          <w:szCs w:val="22"/>
          <w:lang w:val="en-US"/>
        </w:rPr>
        <w:t>)</w:t>
      </w:r>
      <w:r w:rsidRPr="00D87AC9">
        <w:rPr>
          <w:rFonts w:asciiTheme="majorHAnsi" w:hAnsiTheme="majorHAnsi"/>
          <w:sz w:val="22"/>
          <w:szCs w:val="22"/>
          <w:lang w:val="en-US"/>
        </w:rPr>
        <w:t xml:space="preserve"> as the primary trial centre.</w:t>
      </w:r>
    </w:p>
    <w:p w14:paraId="184D813F" w14:textId="5057B52A" w:rsidR="00E83F32" w:rsidRPr="00D87AC9" w:rsidRDefault="00E83F32" w:rsidP="00E83F32">
      <w:pPr>
        <w:pStyle w:val="Paragrafoelenco"/>
        <w:numPr>
          <w:ilvl w:val="0"/>
          <w:numId w:val="1"/>
        </w:numPr>
        <w:spacing w:line="480" w:lineRule="auto"/>
        <w:jc w:val="both"/>
        <w:rPr>
          <w:rFonts w:asciiTheme="majorHAnsi" w:hAnsiTheme="majorHAnsi"/>
          <w:b/>
          <w:bCs/>
          <w:sz w:val="22"/>
          <w:szCs w:val="22"/>
          <w:lang w:val="en-US"/>
        </w:rPr>
      </w:pPr>
      <w:r w:rsidRPr="00D87AC9">
        <w:rPr>
          <w:rFonts w:asciiTheme="majorHAnsi" w:hAnsiTheme="majorHAnsi"/>
          <w:b/>
          <w:bCs/>
          <w:sz w:val="22"/>
          <w:szCs w:val="22"/>
          <w:lang w:val="en-US"/>
        </w:rPr>
        <w:t>Profile of the investigator</w:t>
      </w:r>
      <w:r w:rsidR="0056021A" w:rsidRPr="00D87AC9">
        <w:rPr>
          <w:rFonts w:asciiTheme="majorHAnsi" w:hAnsiTheme="majorHAnsi"/>
          <w:b/>
          <w:bCs/>
          <w:sz w:val="22"/>
          <w:szCs w:val="22"/>
          <w:lang w:val="en-US"/>
        </w:rPr>
        <w:t>, skills and expertise</w:t>
      </w:r>
    </w:p>
    <w:p w14:paraId="63B73EA4" w14:textId="4E6497BE" w:rsidR="00E83F32" w:rsidRPr="00D87AC9" w:rsidRDefault="00E83F32" w:rsidP="00E83F32">
      <w:pPr>
        <w:spacing w:line="480" w:lineRule="auto"/>
        <w:jc w:val="both"/>
        <w:rPr>
          <w:rFonts w:asciiTheme="majorHAnsi" w:hAnsiTheme="majorHAnsi"/>
          <w:sz w:val="22"/>
          <w:szCs w:val="22"/>
          <w:lang w:val="en-US"/>
        </w:rPr>
      </w:pPr>
      <w:r w:rsidRPr="00D87AC9">
        <w:rPr>
          <w:rFonts w:asciiTheme="majorHAnsi" w:hAnsiTheme="majorHAnsi"/>
          <w:sz w:val="22"/>
          <w:szCs w:val="22"/>
          <w:lang w:val="en-US"/>
        </w:rPr>
        <w:t>All surgeons, cardiologists, coordinators, and other investigators involved in the study are required to complete the Investigator Profile form. The form should include their hospital affiliation, address, telephone number, fax number, and email address. The surgeon, cardiologist, and coordinator are required to email their Conflict of Interest Statement and Financial Disclosure Certification. A staff qualified in administrative health procedures will be authorised to assist the specialists in carrying out the study.</w:t>
      </w:r>
    </w:p>
    <w:p w14:paraId="67789A97" w14:textId="043BBAF7" w:rsidR="0056021A" w:rsidRPr="00D87AC9" w:rsidRDefault="0056021A" w:rsidP="00E83F32">
      <w:pPr>
        <w:spacing w:line="480" w:lineRule="auto"/>
        <w:jc w:val="both"/>
        <w:rPr>
          <w:rFonts w:asciiTheme="majorHAnsi" w:hAnsiTheme="majorHAnsi"/>
          <w:sz w:val="22"/>
          <w:szCs w:val="22"/>
          <w:lang w:val="en-US"/>
        </w:rPr>
      </w:pPr>
      <w:r w:rsidRPr="00D87AC9">
        <w:rPr>
          <w:rFonts w:asciiTheme="majorHAnsi" w:hAnsiTheme="majorHAnsi"/>
          <w:sz w:val="22"/>
          <w:szCs w:val="22"/>
          <w:lang w:val="en-US"/>
        </w:rPr>
        <w:t>The clinical investigators for this trial are cardiothoracic surgeons and interventional cardiologists who specialise in surgical repair of the mitral valve and transcatheter valve procedures, and who are experienced in the care of patients with ischaemic and valvular heart disease. Specifically, to be eligible as a participating surgeon, they must have performed at least 15 mitral valve procedures per year, averaged over a 2-year period. Interventional cardiologists must have undergone specific training in the use of transcatheter therapies on new platforms for the treatment of structural heart valve disease.</w:t>
      </w:r>
    </w:p>
    <w:p w14:paraId="2B8221EA" w14:textId="0CBCD366" w:rsidR="0056021A" w:rsidRPr="00D87AC9" w:rsidRDefault="0056021A" w:rsidP="0056021A">
      <w:pPr>
        <w:pStyle w:val="Paragrafoelenco"/>
        <w:numPr>
          <w:ilvl w:val="0"/>
          <w:numId w:val="2"/>
        </w:numPr>
        <w:spacing w:line="480" w:lineRule="auto"/>
        <w:jc w:val="both"/>
        <w:rPr>
          <w:rFonts w:asciiTheme="majorHAnsi" w:hAnsiTheme="majorHAnsi"/>
          <w:b/>
          <w:bCs/>
          <w:sz w:val="22"/>
          <w:szCs w:val="22"/>
          <w:lang w:val="en-US"/>
        </w:rPr>
      </w:pPr>
      <w:r w:rsidRPr="00D87AC9">
        <w:rPr>
          <w:rFonts w:asciiTheme="majorHAnsi" w:hAnsiTheme="majorHAnsi"/>
          <w:b/>
          <w:bCs/>
          <w:sz w:val="22"/>
          <w:szCs w:val="22"/>
          <w:lang w:val="en-US"/>
        </w:rPr>
        <w:t>Conflict of Interest and Financial Disclosure Statement</w:t>
      </w:r>
    </w:p>
    <w:p w14:paraId="76A909F0" w14:textId="7665A2CA" w:rsidR="0056021A" w:rsidRPr="00D87AC9" w:rsidRDefault="0056021A" w:rsidP="0056021A">
      <w:pPr>
        <w:spacing w:line="480" w:lineRule="auto"/>
        <w:jc w:val="both"/>
        <w:rPr>
          <w:rFonts w:asciiTheme="majorHAnsi" w:hAnsiTheme="majorHAnsi"/>
          <w:sz w:val="22"/>
          <w:szCs w:val="22"/>
          <w:lang w:val="en-US"/>
        </w:rPr>
      </w:pPr>
      <w:r w:rsidRPr="00D87AC9">
        <w:rPr>
          <w:rFonts w:asciiTheme="majorHAnsi" w:hAnsiTheme="majorHAnsi"/>
          <w:sz w:val="22"/>
          <w:szCs w:val="22"/>
          <w:lang w:val="en-US"/>
        </w:rPr>
        <w:t>This statement confirms that all investigators involved in this study have no conflicts of interest with any institution that may affect their participation.   Each investigator must complete this statement and submit a financial disclosure agreement.</w:t>
      </w:r>
    </w:p>
    <w:p w14:paraId="25A8893A" w14:textId="77777777" w:rsidR="00D87AC9" w:rsidRPr="00D87AC9" w:rsidRDefault="00D87AC9" w:rsidP="00D87AC9">
      <w:pPr>
        <w:pStyle w:val="Paragrafoelenco"/>
        <w:spacing w:line="480" w:lineRule="auto"/>
        <w:jc w:val="both"/>
        <w:rPr>
          <w:rFonts w:asciiTheme="majorHAnsi" w:hAnsiTheme="majorHAnsi"/>
          <w:b/>
          <w:bCs/>
          <w:sz w:val="22"/>
          <w:szCs w:val="22"/>
          <w:lang w:val="en-US"/>
        </w:rPr>
      </w:pPr>
    </w:p>
    <w:p w14:paraId="560C0F98" w14:textId="77777777" w:rsidR="002803DE" w:rsidRDefault="002803DE" w:rsidP="002803DE">
      <w:pPr>
        <w:pStyle w:val="Paragrafoelenco"/>
        <w:spacing w:line="480" w:lineRule="auto"/>
        <w:jc w:val="both"/>
        <w:rPr>
          <w:rFonts w:asciiTheme="majorHAnsi" w:hAnsiTheme="majorHAnsi"/>
          <w:b/>
          <w:bCs/>
          <w:sz w:val="22"/>
          <w:szCs w:val="22"/>
          <w:lang w:val="en-US"/>
        </w:rPr>
      </w:pPr>
    </w:p>
    <w:p w14:paraId="4F064C99" w14:textId="041FE11F" w:rsidR="0056021A" w:rsidRPr="00D87AC9" w:rsidRDefault="0056021A" w:rsidP="0056021A">
      <w:pPr>
        <w:pStyle w:val="Paragrafoelenco"/>
        <w:numPr>
          <w:ilvl w:val="0"/>
          <w:numId w:val="3"/>
        </w:numPr>
        <w:spacing w:line="480" w:lineRule="auto"/>
        <w:jc w:val="both"/>
        <w:rPr>
          <w:rFonts w:asciiTheme="majorHAnsi" w:hAnsiTheme="majorHAnsi"/>
          <w:b/>
          <w:bCs/>
          <w:sz w:val="22"/>
          <w:szCs w:val="22"/>
          <w:lang w:val="en-US"/>
        </w:rPr>
      </w:pPr>
      <w:r w:rsidRPr="00D87AC9">
        <w:rPr>
          <w:rFonts w:asciiTheme="majorHAnsi" w:hAnsiTheme="majorHAnsi"/>
          <w:b/>
          <w:bCs/>
          <w:sz w:val="22"/>
          <w:szCs w:val="22"/>
          <w:lang w:val="en-US"/>
        </w:rPr>
        <w:lastRenderedPageBreak/>
        <w:t xml:space="preserve">Patient </w:t>
      </w:r>
      <w:r w:rsidR="00464A97" w:rsidRPr="00D87AC9">
        <w:rPr>
          <w:rFonts w:asciiTheme="majorHAnsi" w:hAnsiTheme="majorHAnsi"/>
          <w:b/>
          <w:bCs/>
          <w:sz w:val="22"/>
          <w:szCs w:val="22"/>
          <w:lang w:val="en-US"/>
        </w:rPr>
        <w:t xml:space="preserve"> privacy</w:t>
      </w:r>
    </w:p>
    <w:p w14:paraId="37FD0F94" w14:textId="78FF74D7" w:rsidR="00464A97" w:rsidRPr="00D87AC9" w:rsidRDefault="00464A97" w:rsidP="00464A97">
      <w:pPr>
        <w:spacing w:line="480" w:lineRule="auto"/>
        <w:jc w:val="both"/>
        <w:rPr>
          <w:rFonts w:asciiTheme="majorHAnsi" w:hAnsiTheme="majorHAnsi"/>
          <w:sz w:val="22"/>
          <w:szCs w:val="22"/>
          <w:lang w:val="en-US"/>
        </w:rPr>
      </w:pPr>
      <w:r w:rsidRPr="00D87AC9">
        <w:rPr>
          <w:rFonts w:asciiTheme="majorHAnsi" w:hAnsiTheme="majorHAnsi"/>
          <w:sz w:val="22"/>
          <w:szCs w:val="22"/>
          <w:lang w:val="en-US"/>
        </w:rPr>
        <w:t>Patient records will be kept confidential in accordance with HIPAA guidelines.</w:t>
      </w:r>
      <w:r w:rsidR="002803DE">
        <w:rPr>
          <w:rFonts w:asciiTheme="majorHAnsi" w:hAnsiTheme="majorHAnsi"/>
          <w:sz w:val="22"/>
          <w:szCs w:val="22"/>
          <w:lang w:val="en-US"/>
        </w:rPr>
        <w:t xml:space="preserve"> (</w:t>
      </w:r>
      <w:hyperlink r:id="rId5" w:history="1">
        <w:r w:rsidR="002803DE" w:rsidRPr="0055074F">
          <w:rPr>
            <w:rStyle w:val="Collegamentoipertestuale"/>
            <w:rFonts w:asciiTheme="majorHAnsi" w:hAnsiTheme="majorHAnsi"/>
            <w:sz w:val="22"/>
            <w:szCs w:val="22"/>
            <w:lang w:val="en-US"/>
          </w:rPr>
          <w:t>https://www.hhs.gov/hipaa/index.html</w:t>
        </w:r>
      </w:hyperlink>
      <w:r w:rsidR="002803DE">
        <w:rPr>
          <w:rFonts w:asciiTheme="majorHAnsi" w:hAnsiTheme="majorHAnsi"/>
          <w:sz w:val="22"/>
          <w:szCs w:val="22"/>
          <w:lang w:val="en-US"/>
        </w:rPr>
        <w:t xml:space="preserve">). </w:t>
      </w:r>
      <w:r w:rsidRPr="00D87AC9">
        <w:rPr>
          <w:rFonts w:asciiTheme="majorHAnsi" w:hAnsiTheme="majorHAnsi"/>
          <w:sz w:val="22"/>
          <w:szCs w:val="22"/>
          <w:lang w:val="en-US"/>
        </w:rPr>
        <w:t xml:space="preserve"> Source documentation may be reviewed by Study Investigators, site Institutional Review Boards (IRBs), or single centre authorization by local ethics committee</w:t>
      </w:r>
      <w:r w:rsidR="002803DE">
        <w:rPr>
          <w:rFonts w:asciiTheme="majorHAnsi" w:hAnsiTheme="majorHAnsi"/>
          <w:sz w:val="22"/>
          <w:szCs w:val="22"/>
          <w:lang w:val="en-US"/>
        </w:rPr>
        <w:t xml:space="preserve">. </w:t>
      </w:r>
      <w:r w:rsidRPr="00D87AC9">
        <w:rPr>
          <w:rFonts w:asciiTheme="majorHAnsi" w:hAnsiTheme="majorHAnsi"/>
          <w:sz w:val="22"/>
          <w:szCs w:val="22"/>
          <w:lang w:val="en-US"/>
        </w:rPr>
        <w:t xml:space="preserve"> However, all unique patient and hospital identifiers will be removed. Aggregate data from this study may be published in accordance with the publication policy documented in the trial agreements. However, no data with patient identifiers will be published. After the data has been included, the statistician in charge of the analysis will </w:t>
      </w:r>
      <w:proofErr w:type="spellStart"/>
      <w:r w:rsidRPr="00D87AC9">
        <w:rPr>
          <w:rFonts w:asciiTheme="majorHAnsi" w:hAnsiTheme="majorHAnsi"/>
          <w:sz w:val="22"/>
          <w:szCs w:val="22"/>
          <w:lang w:val="en-US"/>
        </w:rPr>
        <w:t>analyse</w:t>
      </w:r>
      <w:proofErr w:type="spellEnd"/>
      <w:r w:rsidRPr="00D87AC9">
        <w:rPr>
          <w:rFonts w:asciiTheme="majorHAnsi" w:hAnsiTheme="majorHAnsi"/>
          <w:sz w:val="22"/>
          <w:szCs w:val="22"/>
          <w:lang w:val="en-US"/>
        </w:rPr>
        <w:t xml:space="preserve"> both the original ACCESS datasheet and the extracted Excel</w:t>
      </w:r>
      <w:r w:rsidR="002803DE">
        <w:rPr>
          <w:rFonts w:asciiTheme="majorHAnsi" w:hAnsiTheme="majorHAnsi"/>
          <w:sz w:val="22"/>
          <w:szCs w:val="22"/>
          <w:lang w:val="en-US"/>
        </w:rPr>
        <w:t xml:space="preserve"> (</w:t>
      </w:r>
      <w:r w:rsidR="002803DE" w:rsidRPr="00D87AC9">
        <w:rPr>
          <w:rFonts w:asciiTheme="majorHAnsi" w:hAnsiTheme="majorHAnsi"/>
          <w:sz w:val="22"/>
          <w:szCs w:val="22"/>
          <w:lang w:val="en-US"/>
        </w:rPr>
        <w:t>Redmond, Washington,</w:t>
      </w:r>
      <w:r w:rsidR="002803DE" w:rsidRPr="00D87AC9">
        <w:rPr>
          <w:sz w:val="22"/>
          <w:szCs w:val="22"/>
          <w:lang w:val="en-US"/>
        </w:rPr>
        <w:t xml:space="preserve"> </w:t>
      </w:r>
      <w:r w:rsidR="002803DE" w:rsidRPr="00D87AC9">
        <w:rPr>
          <w:rFonts w:asciiTheme="majorHAnsi" w:hAnsiTheme="majorHAnsi"/>
          <w:sz w:val="22"/>
          <w:szCs w:val="22"/>
          <w:lang w:val="en-US"/>
        </w:rPr>
        <w:t>USA )</w:t>
      </w:r>
      <w:r w:rsidRPr="00D87AC9">
        <w:rPr>
          <w:rFonts w:asciiTheme="majorHAnsi" w:hAnsiTheme="majorHAnsi"/>
          <w:sz w:val="22"/>
          <w:szCs w:val="22"/>
          <w:lang w:val="en-US"/>
        </w:rPr>
        <w:t>. He or she will then contact the principal investigator of each centre involved in the study to ensure that privacy is respected, and a single database will be used for the final analysis.</w:t>
      </w:r>
    </w:p>
    <w:p w14:paraId="6077C205" w14:textId="77777777" w:rsidR="00D87AC9" w:rsidRDefault="00D87AC9" w:rsidP="00D87AC9">
      <w:pPr>
        <w:pStyle w:val="Paragrafoelenco"/>
        <w:spacing w:line="480" w:lineRule="auto"/>
        <w:jc w:val="both"/>
        <w:rPr>
          <w:rFonts w:asciiTheme="majorHAnsi" w:hAnsiTheme="majorHAnsi"/>
          <w:b/>
          <w:bCs/>
          <w:sz w:val="22"/>
          <w:szCs w:val="22"/>
          <w:lang w:val="en-US"/>
        </w:rPr>
      </w:pPr>
    </w:p>
    <w:p w14:paraId="7031EAF5" w14:textId="68041F5B" w:rsidR="00D87AC9" w:rsidRDefault="00D87AC9" w:rsidP="00D87AC9">
      <w:pPr>
        <w:pStyle w:val="Paragrafoelenco"/>
        <w:numPr>
          <w:ilvl w:val="0"/>
          <w:numId w:val="3"/>
        </w:numPr>
        <w:spacing w:line="480" w:lineRule="auto"/>
        <w:jc w:val="both"/>
        <w:rPr>
          <w:rFonts w:asciiTheme="majorHAnsi" w:hAnsiTheme="majorHAnsi"/>
          <w:b/>
          <w:bCs/>
          <w:sz w:val="22"/>
          <w:szCs w:val="22"/>
          <w:lang w:val="en-US"/>
        </w:rPr>
      </w:pPr>
      <w:r w:rsidRPr="00D87AC9">
        <w:rPr>
          <w:rFonts w:asciiTheme="majorHAnsi" w:hAnsiTheme="majorHAnsi"/>
          <w:b/>
          <w:bCs/>
          <w:sz w:val="22"/>
          <w:szCs w:val="22"/>
          <w:lang w:val="en-US"/>
        </w:rPr>
        <w:t>S2-</w:t>
      </w:r>
      <w:r w:rsidR="00730883" w:rsidRPr="00730883">
        <w:rPr>
          <w:lang w:val="en-US"/>
        </w:rPr>
        <w:t xml:space="preserve"> </w:t>
      </w:r>
      <w:r w:rsidR="00730883" w:rsidRPr="00730883">
        <w:rPr>
          <w:rFonts w:asciiTheme="majorHAnsi" w:hAnsiTheme="majorHAnsi"/>
          <w:b/>
          <w:bCs/>
          <w:sz w:val="22"/>
          <w:szCs w:val="22"/>
          <w:lang w:val="en-US"/>
        </w:rPr>
        <w:t>Mechanical intervention performed in group patient</w:t>
      </w:r>
    </w:p>
    <w:p w14:paraId="5AE85BDF" w14:textId="558FB1F1" w:rsidR="00D87AC9" w:rsidRPr="009C4477" w:rsidRDefault="00D87AC9" w:rsidP="009C4477">
      <w:pPr>
        <w:spacing w:line="480" w:lineRule="auto"/>
        <w:jc w:val="both"/>
        <w:rPr>
          <w:rFonts w:asciiTheme="majorHAnsi" w:hAnsiTheme="majorHAnsi"/>
          <w:b/>
          <w:bCs/>
          <w:i/>
          <w:iCs/>
          <w:sz w:val="22"/>
          <w:szCs w:val="22"/>
          <w:lang w:val="en-US"/>
        </w:rPr>
      </w:pPr>
      <w:r w:rsidRPr="009C4477">
        <w:rPr>
          <w:rFonts w:asciiTheme="majorHAnsi" w:hAnsiTheme="majorHAnsi"/>
          <w:sz w:val="22"/>
          <w:szCs w:val="22"/>
          <w:lang w:val="en-US"/>
        </w:rPr>
        <w:t xml:space="preserve">Patients will be enrolled in either (a) </w:t>
      </w:r>
      <w:r w:rsidR="009C4477" w:rsidRPr="009C4477">
        <w:rPr>
          <w:rFonts w:asciiTheme="majorHAnsi" w:hAnsiTheme="majorHAnsi"/>
          <w:sz w:val="22"/>
          <w:szCs w:val="22"/>
          <w:lang w:val="en-US"/>
        </w:rPr>
        <w:t>Standard Mitral Valve Procedure (</w:t>
      </w:r>
      <w:r w:rsidRPr="009C4477">
        <w:rPr>
          <w:rFonts w:asciiTheme="majorHAnsi" w:hAnsiTheme="majorHAnsi"/>
          <w:sz w:val="22"/>
          <w:szCs w:val="22"/>
          <w:lang w:val="en-US"/>
        </w:rPr>
        <w:t>S-</w:t>
      </w:r>
      <w:proofErr w:type="spellStart"/>
      <w:r w:rsidRPr="009C4477">
        <w:rPr>
          <w:rFonts w:asciiTheme="majorHAnsi" w:hAnsiTheme="majorHAnsi"/>
          <w:sz w:val="22"/>
          <w:szCs w:val="22"/>
          <w:lang w:val="en-US"/>
        </w:rPr>
        <w:t>SMVp</w:t>
      </w:r>
      <w:proofErr w:type="spellEnd"/>
      <w:r w:rsidR="009C4477" w:rsidRPr="009C4477">
        <w:rPr>
          <w:rFonts w:asciiTheme="majorHAnsi" w:hAnsiTheme="majorHAnsi"/>
          <w:sz w:val="22"/>
          <w:szCs w:val="22"/>
          <w:lang w:val="en-US"/>
        </w:rPr>
        <w:t>),</w:t>
      </w:r>
      <w:r w:rsidRPr="009C4477">
        <w:rPr>
          <w:rFonts w:asciiTheme="majorHAnsi" w:hAnsiTheme="majorHAnsi"/>
          <w:sz w:val="22"/>
          <w:szCs w:val="22"/>
          <w:lang w:val="en-US"/>
        </w:rPr>
        <w:t xml:space="preserve"> which involves mitral valve repair (RMA or RMA plus SVR) or MVR, or (b) </w:t>
      </w:r>
      <w:proofErr w:type="spellStart"/>
      <w:r w:rsidR="009C4477" w:rsidRPr="009C4477">
        <w:rPr>
          <w:rFonts w:asciiTheme="majorHAnsi" w:hAnsiTheme="majorHAnsi"/>
          <w:sz w:val="22"/>
          <w:szCs w:val="22"/>
          <w:lang w:val="en-US"/>
        </w:rPr>
        <w:t>Trancatheter</w:t>
      </w:r>
      <w:proofErr w:type="spellEnd"/>
      <w:r w:rsidR="009C4477" w:rsidRPr="009C4477">
        <w:rPr>
          <w:rFonts w:asciiTheme="majorHAnsi" w:hAnsiTheme="majorHAnsi"/>
          <w:sz w:val="22"/>
          <w:szCs w:val="22"/>
          <w:lang w:val="en-US"/>
        </w:rPr>
        <w:t xml:space="preserve"> Mitral Valve Procedure (</w:t>
      </w:r>
      <w:r w:rsidRPr="009C4477">
        <w:rPr>
          <w:rFonts w:asciiTheme="majorHAnsi" w:hAnsiTheme="majorHAnsi"/>
          <w:sz w:val="22"/>
          <w:szCs w:val="22"/>
          <w:lang w:val="en-US"/>
        </w:rPr>
        <w:t>TMVp</w:t>
      </w:r>
      <w:r w:rsidR="009C4477" w:rsidRPr="009C4477">
        <w:rPr>
          <w:rFonts w:asciiTheme="majorHAnsi" w:hAnsiTheme="majorHAnsi"/>
          <w:sz w:val="22"/>
          <w:szCs w:val="22"/>
          <w:lang w:val="en-US"/>
        </w:rPr>
        <w:t>)</w:t>
      </w:r>
      <w:r w:rsidRPr="009C4477">
        <w:rPr>
          <w:rFonts w:asciiTheme="majorHAnsi" w:hAnsiTheme="majorHAnsi"/>
          <w:sz w:val="22"/>
          <w:szCs w:val="22"/>
          <w:lang w:val="en-US"/>
        </w:rPr>
        <w:t>, which involves TEER.</w:t>
      </w:r>
    </w:p>
    <w:p w14:paraId="13C8044C" w14:textId="27ABD93C" w:rsidR="00D87AC9" w:rsidRPr="00730883" w:rsidRDefault="00D87AC9" w:rsidP="00730883">
      <w:pPr>
        <w:pStyle w:val="Paragrafoelenco"/>
        <w:numPr>
          <w:ilvl w:val="0"/>
          <w:numId w:val="16"/>
        </w:numPr>
        <w:spacing w:line="480" w:lineRule="auto"/>
        <w:jc w:val="both"/>
        <w:rPr>
          <w:rFonts w:asciiTheme="majorHAnsi" w:hAnsiTheme="majorHAnsi"/>
          <w:b/>
          <w:bCs/>
          <w:i/>
          <w:iCs/>
          <w:sz w:val="22"/>
          <w:szCs w:val="22"/>
          <w:lang w:val="en-US"/>
        </w:rPr>
      </w:pPr>
      <w:r w:rsidRPr="00730883">
        <w:rPr>
          <w:rFonts w:asciiTheme="majorHAnsi" w:hAnsiTheme="majorHAnsi"/>
          <w:b/>
          <w:bCs/>
          <w:i/>
          <w:iCs/>
          <w:sz w:val="22"/>
          <w:szCs w:val="22"/>
          <w:lang w:val="en-US"/>
        </w:rPr>
        <w:t>S</w:t>
      </w:r>
      <w:r w:rsidR="00730883" w:rsidRPr="00730883">
        <w:rPr>
          <w:rFonts w:asciiTheme="majorHAnsi" w:hAnsiTheme="majorHAnsi"/>
          <w:b/>
          <w:bCs/>
          <w:i/>
          <w:iCs/>
          <w:sz w:val="22"/>
          <w:szCs w:val="22"/>
          <w:lang w:val="en-US"/>
        </w:rPr>
        <w:t>tandard Mitral Valve Procedure</w:t>
      </w:r>
    </w:p>
    <w:p w14:paraId="5149DB82" w14:textId="36F1B68E" w:rsidR="00D87AC9" w:rsidRDefault="00D87AC9" w:rsidP="00D87AC9">
      <w:pPr>
        <w:spacing w:line="480" w:lineRule="auto"/>
        <w:jc w:val="both"/>
        <w:rPr>
          <w:rFonts w:asciiTheme="majorHAnsi" w:hAnsiTheme="majorHAnsi"/>
          <w:sz w:val="22"/>
          <w:szCs w:val="22"/>
          <w:lang w:val="en-US"/>
        </w:rPr>
      </w:pPr>
      <w:r w:rsidRPr="00D87AC9">
        <w:rPr>
          <w:rFonts w:asciiTheme="majorHAnsi" w:hAnsiTheme="majorHAnsi"/>
          <w:sz w:val="22"/>
          <w:szCs w:val="22"/>
          <w:lang w:val="en-US"/>
        </w:rPr>
        <w:t xml:space="preserve">After induction of </w:t>
      </w:r>
      <w:proofErr w:type="spellStart"/>
      <w:r w:rsidRPr="00D87AC9">
        <w:rPr>
          <w:rFonts w:asciiTheme="majorHAnsi" w:hAnsiTheme="majorHAnsi"/>
          <w:sz w:val="22"/>
          <w:szCs w:val="22"/>
          <w:lang w:val="en-US"/>
        </w:rPr>
        <w:t>anaesthesia</w:t>
      </w:r>
      <w:proofErr w:type="spellEnd"/>
      <w:r w:rsidRPr="00D87AC9">
        <w:rPr>
          <w:rFonts w:asciiTheme="majorHAnsi" w:hAnsiTheme="majorHAnsi"/>
          <w:sz w:val="22"/>
          <w:szCs w:val="22"/>
          <w:lang w:val="en-US"/>
        </w:rPr>
        <w:t xml:space="preserve">, all patients will undergo transesophageal echocardiography (TEE) and pulmonary artery </w:t>
      </w:r>
      <w:proofErr w:type="spellStart"/>
      <w:r w:rsidRPr="00D87AC9">
        <w:rPr>
          <w:rFonts w:asciiTheme="majorHAnsi" w:hAnsiTheme="majorHAnsi"/>
          <w:sz w:val="22"/>
          <w:szCs w:val="22"/>
          <w:lang w:val="en-US"/>
        </w:rPr>
        <w:t>catheterisation</w:t>
      </w:r>
      <w:proofErr w:type="spellEnd"/>
      <w:r w:rsidRPr="00D87AC9">
        <w:rPr>
          <w:rFonts w:asciiTheme="majorHAnsi" w:hAnsiTheme="majorHAnsi"/>
          <w:sz w:val="22"/>
          <w:szCs w:val="22"/>
          <w:lang w:val="en-US"/>
        </w:rPr>
        <w:t xml:space="preserve"> according to centre preference and cardiothoracic </w:t>
      </w:r>
      <w:proofErr w:type="spellStart"/>
      <w:r w:rsidRPr="00D87AC9">
        <w:rPr>
          <w:rFonts w:asciiTheme="majorHAnsi" w:hAnsiTheme="majorHAnsi"/>
          <w:sz w:val="22"/>
          <w:szCs w:val="22"/>
          <w:lang w:val="en-US"/>
        </w:rPr>
        <w:t>anaesthesia</w:t>
      </w:r>
      <w:proofErr w:type="spellEnd"/>
      <w:r w:rsidRPr="00D87AC9">
        <w:rPr>
          <w:rFonts w:asciiTheme="majorHAnsi" w:hAnsiTheme="majorHAnsi"/>
          <w:sz w:val="22"/>
          <w:szCs w:val="22"/>
          <w:lang w:val="en-US"/>
        </w:rPr>
        <w:t xml:space="preserve"> protocol. Central hemodynamics will be recorded, and TEE will be performed under loading conditions as close as possible to the patient's baseline. Intra-operative TEEs will be performed according to standardized procedures (refer to echo protocol appendix ), which will also be provided to the site and affixed to the operating room echo machine.</w:t>
      </w:r>
    </w:p>
    <w:p w14:paraId="6DC5C9E2" w14:textId="23E1A1D9" w:rsidR="00A27F03" w:rsidRDefault="00A27F03" w:rsidP="00D87AC9">
      <w:pPr>
        <w:spacing w:line="480" w:lineRule="auto"/>
        <w:jc w:val="both"/>
        <w:rPr>
          <w:rFonts w:asciiTheme="majorHAnsi" w:hAnsiTheme="majorHAnsi"/>
          <w:sz w:val="22"/>
          <w:szCs w:val="22"/>
          <w:lang w:val="en-US"/>
        </w:rPr>
      </w:pPr>
      <w:r w:rsidRPr="00A27F03">
        <w:rPr>
          <w:rFonts w:asciiTheme="majorHAnsi" w:hAnsiTheme="majorHAnsi"/>
          <w:sz w:val="22"/>
          <w:szCs w:val="22"/>
          <w:lang w:val="en-US"/>
        </w:rPr>
        <w:t xml:space="preserve">To prevent </w:t>
      </w:r>
      <w:proofErr w:type="spellStart"/>
      <w:r w:rsidRPr="00A27F03">
        <w:rPr>
          <w:rFonts w:asciiTheme="majorHAnsi" w:hAnsiTheme="majorHAnsi"/>
          <w:sz w:val="22"/>
          <w:szCs w:val="22"/>
          <w:lang w:val="en-US"/>
        </w:rPr>
        <w:t>anaesthetic</w:t>
      </w:r>
      <w:proofErr w:type="spellEnd"/>
      <w:r w:rsidRPr="00A27F03">
        <w:rPr>
          <w:rFonts w:asciiTheme="majorHAnsi" w:hAnsiTheme="majorHAnsi"/>
          <w:sz w:val="22"/>
          <w:szCs w:val="22"/>
          <w:lang w:val="en-US"/>
        </w:rPr>
        <w:t xml:space="preserve"> effects, maintain blood pressure and pulmonary artery pressures using phenylephrine or 2,6-diisopropylphenol</w:t>
      </w:r>
      <w:r>
        <w:rPr>
          <w:rFonts w:asciiTheme="majorHAnsi" w:hAnsiTheme="majorHAnsi"/>
          <w:sz w:val="22"/>
          <w:szCs w:val="22"/>
          <w:lang w:val="en-US"/>
        </w:rPr>
        <w:t xml:space="preserve"> </w:t>
      </w:r>
      <w:r w:rsidRPr="00A27F03">
        <w:rPr>
          <w:rFonts w:asciiTheme="majorHAnsi" w:hAnsiTheme="majorHAnsi"/>
          <w:sz w:val="22"/>
          <w:szCs w:val="22"/>
          <w:lang w:val="en-US"/>
        </w:rPr>
        <w:t>and volume during TEE evaluations. Confirmation of tethering of the anterior and posterior leaflets by the posterior papillary muscle and adjacent left ventricle was observed in patients who underwent MV isolated RMA or combined RMA plus SVR annuloplasty.</w:t>
      </w:r>
    </w:p>
    <w:p w14:paraId="63069D48" w14:textId="77777777" w:rsidR="00A27F03" w:rsidRPr="00A27F03" w:rsidRDefault="00A27F03" w:rsidP="00A27F03">
      <w:pPr>
        <w:spacing w:line="480" w:lineRule="auto"/>
        <w:jc w:val="both"/>
        <w:rPr>
          <w:rFonts w:asciiTheme="majorHAnsi" w:hAnsiTheme="majorHAnsi"/>
          <w:sz w:val="22"/>
          <w:szCs w:val="22"/>
          <w:lang w:val="en-US"/>
        </w:rPr>
      </w:pPr>
      <w:r w:rsidRPr="00A27F03">
        <w:rPr>
          <w:rFonts w:asciiTheme="majorHAnsi" w:hAnsiTheme="majorHAnsi"/>
          <w:sz w:val="22"/>
          <w:szCs w:val="22"/>
          <w:lang w:val="en-US"/>
        </w:rPr>
        <w:lastRenderedPageBreak/>
        <w:t>Depending on institutional routines, procedures are performed with either full or partial sternotomy and cardiopulmonary bypass. Double venous cannulation may be performed either by percutaneous or by direct venous access. Depending on the surgeon's preference, antegrade and/or retrograde cardioplegia will be used and coronary artery bypass grafting will be performed. The surgeon will evaluate the adequacy of the revascularization.</w:t>
      </w:r>
    </w:p>
    <w:p w14:paraId="14C290DC" w14:textId="0FCCB8D6" w:rsidR="00A27F03" w:rsidRDefault="00A27F03" w:rsidP="00A27F03">
      <w:pPr>
        <w:spacing w:line="480" w:lineRule="auto"/>
        <w:jc w:val="both"/>
        <w:rPr>
          <w:rFonts w:asciiTheme="majorHAnsi" w:hAnsiTheme="majorHAnsi"/>
          <w:sz w:val="22"/>
          <w:szCs w:val="22"/>
          <w:lang w:val="en-US"/>
        </w:rPr>
      </w:pPr>
      <w:r w:rsidRPr="00A27F03">
        <w:rPr>
          <w:rFonts w:asciiTheme="majorHAnsi" w:hAnsiTheme="majorHAnsi"/>
          <w:sz w:val="22"/>
          <w:szCs w:val="22"/>
          <w:lang w:val="en-US"/>
        </w:rPr>
        <w:t xml:space="preserve">To approach the mitral valve, one can use either the left atrium via Waterston's groove or a </w:t>
      </w:r>
      <w:proofErr w:type="spellStart"/>
      <w:r w:rsidRPr="00A27F03">
        <w:rPr>
          <w:rFonts w:asciiTheme="majorHAnsi" w:hAnsiTheme="majorHAnsi"/>
          <w:sz w:val="22"/>
          <w:szCs w:val="22"/>
          <w:lang w:val="en-US"/>
        </w:rPr>
        <w:t>biatrial</w:t>
      </w:r>
      <w:proofErr w:type="spellEnd"/>
      <w:r w:rsidRPr="00A27F03">
        <w:rPr>
          <w:rFonts w:asciiTheme="majorHAnsi" w:hAnsiTheme="majorHAnsi"/>
          <w:sz w:val="22"/>
          <w:szCs w:val="22"/>
          <w:lang w:val="en-US"/>
        </w:rPr>
        <w:t xml:space="preserve"> approach. It is important to inspect the mitral valve to confirm the absence of any organic pathology, such as myxomatous, rheumatic, or endocarditic changes.</w:t>
      </w:r>
    </w:p>
    <w:p w14:paraId="75F6FECF" w14:textId="506AEB3A" w:rsidR="00A27F03" w:rsidRDefault="00A27F03" w:rsidP="00A27F03">
      <w:pPr>
        <w:pStyle w:val="Paragrafoelenco"/>
        <w:numPr>
          <w:ilvl w:val="0"/>
          <w:numId w:val="4"/>
        </w:numPr>
        <w:spacing w:line="480" w:lineRule="auto"/>
        <w:jc w:val="both"/>
        <w:rPr>
          <w:rFonts w:asciiTheme="majorHAnsi" w:hAnsiTheme="majorHAnsi"/>
          <w:b/>
          <w:bCs/>
          <w:sz w:val="21"/>
          <w:szCs w:val="21"/>
          <w:lang w:val="en-US"/>
        </w:rPr>
      </w:pPr>
      <w:r w:rsidRPr="00A27F03">
        <w:rPr>
          <w:rFonts w:asciiTheme="majorHAnsi" w:hAnsiTheme="majorHAnsi"/>
          <w:b/>
          <w:bCs/>
          <w:sz w:val="21"/>
          <w:szCs w:val="21"/>
          <w:lang w:val="en-US"/>
        </w:rPr>
        <w:t>Coronary Artery Bypass Grafting (CABG)</w:t>
      </w:r>
    </w:p>
    <w:p w14:paraId="3F134CDF" w14:textId="06886C1D" w:rsidR="00A27F03" w:rsidRDefault="00A27F03" w:rsidP="00A27F03">
      <w:pPr>
        <w:spacing w:line="480" w:lineRule="auto"/>
        <w:jc w:val="both"/>
        <w:rPr>
          <w:rFonts w:asciiTheme="majorHAnsi" w:hAnsiTheme="majorHAnsi"/>
          <w:sz w:val="21"/>
          <w:szCs w:val="21"/>
          <w:lang w:val="en-US"/>
        </w:rPr>
      </w:pPr>
      <w:r w:rsidRPr="00A27F03">
        <w:rPr>
          <w:rFonts w:asciiTheme="majorHAnsi" w:hAnsiTheme="majorHAnsi"/>
          <w:sz w:val="21"/>
          <w:szCs w:val="21"/>
          <w:lang w:val="en-US"/>
        </w:rPr>
        <w:t>Standard techniques will be used to perform coronary artery bypass grafting with two-stage venous cannulation. The LIMA is recommended for LAD grafts, but conduit selection and harvesting methods will not be prescribed. Technical details of bypass grafting will not be specified. The surgical investigator will perform complete revascularization based on their judgment.</w:t>
      </w:r>
    </w:p>
    <w:p w14:paraId="06A341D5" w14:textId="4754B22F" w:rsidR="00A27F03" w:rsidRDefault="00A27F03" w:rsidP="00A27F03">
      <w:pPr>
        <w:pStyle w:val="Paragrafoelenco"/>
        <w:numPr>
          <w:ilvl w:val="0"/>
          <w:numId w:val="5"/>
        </w:numPr>
        <w:spacing w:line="480" w:lineRule="auto"/>
        <w:jc w:val="both"/>
        <w:rPr>
          <w:rFonts w:asciiTheme="majorHAnsi" w:hAnsiTheme="majorHAnsi"/>
          <w:b/>
          <w:bCs/>
          <w:sz w:val="21"/>
          <w:szCs w:val="21"/>
          <w:lang w:val="en-US"/>
        </w:rPr>
      </w:pPr>
      <w:r w:rsidRPr="00A27F03">
        <w:rPr>
          <w:rFonts w:asciiTheme="majorHAnsi" w:hAnsiTheme="majorHAnsi"/>
          <w:b/>
          <w:bCs/>
          <w:sz w:val="21"/>
          <w:szCs w:val="21"/>
          <w:lang w:val="en-US"/>
        </w:rPr>
        <w:t xml:space="preserve">Mitral valve repair using </w:t>
      </w:r>
      <w:r w:rsidR="00333E9C">
        <w:rPr>
          <w:rFonts w:asciiTheme="majorHAnsi" w:hAnsiTheme="majorHAnsi"/>
          <w:b/>
          <w:bCs/>
          <w:sz w:val="21"/>
          <w:szCs w:val="21"/>
          <w:lang w:val="en-US"/>
        </w:rPr>
        <w:t>isolated RMA or combined RMA plus SVR</w:t>
      </w:r>
    </w:p>
    <w:p w14:paraId="6702D411" w14:textId="7DFC1C0E" w:rsidR="00B95C31" w:rsidRDefault="00B95C31" w:rsidP="00B95C31">
      <w:pPr>
        <w:spacing w:line="480" w:lineRule="auto"/>
        <w:jc w:val="both"/>
        <w:rPr>
          <w:rFonts w:asciiTheme="majorHAnsi" w:hAnsiTheme="majorHAnsi"/>
          <w:sz w:val="21"/>
          <w:szCs w:val="21"/>
          <w:lang w:val="en-US"/>
        </w:rPr>
      </w:pPr>
      <w:r w:rsidRPr="00B95C31">
        <w:rPr>
          <w:rFonts w:asciiTheme="majorHAnsi" w:hAnsiTheme="majorHAnsi"/>
          <w:sz w:val="21"/>
          <w:szCs w:val="21"/>
          <w:lang w:val="en-US"/>
        </w:rPr>
        <w:t xml:space="preserve">Mitral valve exposure has been via a </w:t>
      </w:r>
      <w:proofErr w:type="spellStart"/>
      <w:r w:rsidRPr="00B95C31">
        <w:rPr>
          <w:rFonts w:asciiTheme="majorHAnsi" w:hAnsiTheme="majorHAnsi"/>
          <w:sz w:val="21"/>
          <w:szCs w:val="21"/>
          <w:lang w:val="en-US"/>
        </w:rPr>
        <w:t>Sondergaard</w:t>
      </w:r>
      <w:proofErr w:type="spellEnd"/>
      <w:r w:rsidRPr="00B95C31">
        <w:rPr>
          <w:rFonts w:asciiTheme="majorHAnsi" w:hAnsiTheme="majorHAnsi"/>
          <w:sz w:val="21"/>
          <w:szCs w:val="21"/>
          <w:lang w:val="en-US"/>
        </w:rPr>
        <w:t xml:space="preserve"> or Waterston groove or via a transseptal (</w:t>
      </w:r>
      <w:proofErr w:type="spellStart"/>
      <w:r w:rsidRPr="00B95C31">
        <w:rPr>
          <w:rFonts w:asciiTheme="majorHAnsi" w:hAnsiTheme="majorHAnsi"/>
          <w:sz w:val="21"/>
          <w:szCs w:val="21"/>
          <w:lang w:val="en-US"/>
        </w:rPr>
        <w:t>biatrial</w:t>
      </w:r>
      <w:proofErr w:type="spellEnd"/>
      <w:r w:rsidRPr="00B95C31">
        <w:rPr>
          <w:rFonts w:asciiTheme="majorHAnsi" w:hAnsiTheme="majorHAnsi"/>
          <w:sz w:val="21"/>
          <w:szCs w:val="21"/>
          <w:lang w:val="en-US"/>
        </w:rPr>
        <w:t>) approach. A complete and rigid or semi-rigid mitral annuloplasty ring from any manufacturer was placed circumferentially in the mitral valve annulus using non-</w:t>
      </w:r>
      <w:proofErr w:type="spellStart"/>
      <w:r w:rsidRPr="00B95C31">
        <w:rPr>
          <w:rFonts w:asciiTheme="majorHAnsi" w:hAnsiTheme="majorHAnsi"/>
          <w:sz w:val="21"/>
          <w:szCs w:val="21"/>
          <w:lang w:val="en-US"/>
        </w:rPr>
        <w:t>pledgeted</w:t>
      </w:r>
      <w:proofErr w:type="spellEnd"/>
      <w:r w:rsidRPr="00B95C31">
        <w:rPr>
          <w:rFonts w:asciiTheme="majorHAnsi" w:hAnsiTheme="majorHAnsi"/>
          <w:sz w:val="21"/>
          <w:szCs w:val="21"/>
          <w:lang w:val="en-US"/>
        </w:rPr>
        <w:t xml:space="preserve"> 2-0 braided sutures. Usually, four to six sutures are placed in the anterior annulus and six to eight sutures in the posterior annulus. The annuloplasty ring size is determined based on the surface area of the anterior mitral leaflet, which is measured by determining the </w:t>
      </w:r>
      <w:proofErr w:type="spellStart"/>
      <w:r w:rsidRPr="00B95C31">
        <w:rPr>
          <w:rFonts w:asciiTheme="majorHAnsi" w:hAnsiTheme="majorHAnsi"/>
          <w:sz w:val="21"/>
          <w:szCs w:val="21"/>
          <w:lang w:val="en-US"/>
        </w:rPr>
        <w:t>intertrigonal</w:t>
      </w:r>
      <w:proofErr w:type="spellEnd"/>
      <w:r w:rsidRPr="00B95C31">
        <w:rPr>
          <w:rFonts w:asciiTheme="majorHAnsi" w:hAnsiTheme="majorHAnsi"/>
          <w:sz w:val="21"/>
          <w:szCs w:val="21"/>
          <w:lang w:val="en-US"/>
        </w:rPr>
        <w:t xml:space="preserve"> distance and anterior leaflet height. Typically, annuloplasty ring sizes ranging from 24 to 28 mm are used, which are 2 ring sizes smaller than the measurement. For males, this will be an average of 28mm, and for females, it will be an average of 26mm. The ring is sutured with appropriate spacing and then lowered into position before the sutures are tied. Finally, to check for any residual regurgitation, the ventricle is </w:t>
      </w:r>
      <w:proofErr w:type="spellStart"/>
      <w:r w:rsidRPr="00B95C31">
        <w:rPr>
          <w:rFonts w:asciiTheme="majorHAnsi" w:hAnsiTheme="majorHAnsi"/>
          <w:sz w:val="21"/>
          <w:szCs w:val="21"/>
          <w:lang w:val="en-US"/>
        </w:rPr>
        <w:t>pressurised</w:t>
      </w:r>
      <w:proofErr w:type="spellEnd"/>
      <w:r w:rsidRPr="00B95C31">
        <w:rPr>
          <w:rFonts w:asciiTheme="majorHAnsi" w:hAnsiTheme="majorHAnsi"/>
          <w:sz w:val="21"/>
          <w:szCs w:val="21"/>
          <w:lang w:val="en-US"/>
        </w:rPr>
        <w:t xml:space="preserve"> with saline.</w:t>
      </w:r>
    </w:p>
    <w:p w14:paraId="2BCED3D5" w14:textId="107CA7A9" w:rsidR="00B84B2F" w:rsidRPr="00B84B2F" w:rsidRDefault="00B95C31" w:rsidP="00B84B2F">
      <w:pPr>
        <w:spacing w:line="480" w:lineRule="auto"/>
        <w:jc w:val="both"/>
        <w:rPr>
          <w:rFonts w:asciiTheme="majorHAnsi" w:hAnsiTheme="majorHAnsi"/>
          <w:sz w:val="21"/>
          <w:szCs w:val="21"/>
          <w:lang w:val="en-US"/>
        </w:rPr>
      </w:pPr>
      <w:r w:rsidRPr="00B95C31">
        <w:rPr>
          <w:rFonts w:asciiTheme="majorHAnsi" w:hAnsiTheme="majorHAnsi"/>
          <w:sz w:val="21"/>
          <w:szCs w:val="21"/>
          <w:lang w:val="en-US"/>
        </w:rPr>
        <w:t>If the surgeon deems it necessary due to severe tethering, an additional subvalvular procedure may be added based on their judgement and experience.</w:t>
      </w:r>
      <w:r w:rsidR="00B84B2F">
        <w:rPr>
          <w:rFonts w:asciiTheme="majorHAnsi" w:hAnsiTheme="majorHAnsi"/>
          <w:sz w:val="21"/>
          <w:szCs w:val="21"/>
          <w:lang w:val="en-US"/>
        </w:rPr>
        <w:t xml:space="preserve"> </w:t>
      </w:r>
      <w:r w:rsidR="00B84B2F" w:rsidRPr="00B84B2F">
        <w:rPr>
          <w:rFonts w:asciiTheme="majorHAnsi" w:hAnsiTheme="majorHAnsi"/>
          <w:sz w:val="21"/>
          <w:szCs w:val="21"/>
          <w:lang w:val="en-US"/>
        </w:rPr>
        <w:t>In patients requiring SVR, mitral geometric abnormalities were identified by changes in three metrics: anteroposterior annular dilatation, tenting area and interpapillary muscle distance</w:t>
      </w:r>
      <w:r w:rsidR="00B84B2F">
        <w:rPr>
          <w:rFonts w:asciiTheme="majorHAnsi" w:hAnsiTheme="majorHAnsi"/>
          <w:sz w:val="21"/>
          <w:szCs w:val="21"/>
          <w:lang w:val="en-US"/>
        </w:rPr>
        <w:t xml:space="preserve">. </w:t>
      </w:r>
      <w:r w:rsidR="00B84B2F" w:rsidRPr="00B84B2F">
        <w:rPr>
          <w:rFonts w:asciiTheme="majorHAnsi" w:hAnsiTheme="majorHAnsi"/>
          <w:sz w:val="21"/>
          <w:szCs w:val="21"/>
          <w:lang w:val="en-US"/>
        </w:rPr>
        <w:t xml:space="preserve">Leaflet </w:t>
      </w:r>
      <w:r w:rsidR="00B84B2F" w:rsidRPr="00B84B2F">
        <w:rPr>
          <w:rFonts w:asciiTheme="majorHAnsi" w:hAnsiTheme="majorHAnsi"/>
          <w:sz w:val="21"/>
          <w:szCs w:val="21"/>
          <w:lang w:val="en-US"/>
        </w:rPr>
        <w:lastRenderedPageBreak/>
        <w:t>tethering caused by excessive traction resulting in lack of coaptation was found in all patients.</w:t>
      </w:r>
      <w:r w:rsidR="00B84B2F">
        <w:rPr>
          <w:rFonts w:asciiTheme="majorHAnsi" w:hAnsiTheme="majorHAnsi"/>
          <w:sz w:val="21"/>
          <w:szCs w:val="21"/>
          <w:lang w:val="en-US"/>
        </w:rPr>
        <w:t xml:space="preserve"> </w:t>
      </w:r>
      <w:r w:rsidR="00B84B2F" w:rsidRPr="00B84B2F">
        <w:rPr>
          <w:rFonts w:asciiTheme="majorHAnsi" w:hAnsiTheme="majorHAnsi"/>
          <w:sz w:val="21"/>
          <w:szCs w:val="21"/>
          <w:lang w:val="en-US"/>
        </w:rPr>
        <w:t xml:space="preserve">To confirm the echocardiographic findings, the surgeon measured the inter-papillary muscle distance (IPMD) according to center experience and habit.  It is important to note that papillary muscles identified anatomically as type I and II were approximated using a CV-4 Gore-Tex suture (W. L. Gore &amp; Associates, Flagstaff, </w:t>
      </w:r>
      <w:proofErr w:type="spellStart"/>
      <w:r w:rsidR="00B84B2F" w:rsidRPr="00B84B2F">
        <w:rPr>
          <w:rFonts w:asciiTheme="majorHAnsi" w:hAnsiTheme="majorHAnsi"/>
          <w:sz w:val="21"/>
          <w:szCs w:val="21"/>
          <w:lang w:val="en-US"/>
        </w:rPr>
        <w:t>Ariz</w:t>
      </w:r>
      <w:proofErr w:type="spellEnd"/>
      <w:r w:rsidR="00B84B2F" w:rsidRPr="00B84B2F">
        <w:rPr>
          <w:rFonts w:asciiTheme="majorHAnsi" w:hAnsiTheme="majorHAnsi"/>
          <w:sz w:val="21"/>
          <w:szCs w:val="21"/>
          <w:lang w:val="en-US"/>
        </w:rPr>
        <w:t xml:space="preserve">). The stitch was positioned on the head of each PM </w:t>
      </w:r>
      <w:r w:rsidR="00B84B2F" w:rsidRPr="00F83CFC">
        <w:rPr>
          <w:rFonts w:asciiTheme="majorHAnsi" w:hAnsiTheme="majorHAnsi"/>
          <w:b/>
          <w:bCs/>
          <w:sz w:val="21"/>
          <w:szCs w:val="21"/>
          <w:lang w:val="en-US"/>
        </w:rPr>
        <w:t>(</w:t>
      </w:r>
      <w:r w:rsidR="00196128">
        <w:rPr>
          <w:rFonts w:asciiTheme="majorHAnsi" w:hAnsiTheme="majorHAnsi"/>
          <w:b/>
          <w:bCs/>
          <w:sz w:val="21"/>
          <w:szCs w:val="21"/>
          <w:lang w:val="en-US"/>
        </w:rPr>
        <w:t xml:space="preserve">supplementary </w:t>
      </w:r>
      <w:r w:rsidR="00F83CFC" w:rsidRPr="00F83CFC">
        <w:rPr>
          <w:rFonts w:asciiTheme="majorHAnsi" w:hAnsiTheme="majorHAnsi"/>
          <w:b/>
          <w:bCs/>
          <w:sz w:val="21"/>
          <w:szCs w:val="21"/>
          <w:lang w:val="en-US"/>
        </w:rPr>
        <w:t>F</w:t>
      </w:r>
      <w:r w:rsidR="00B84B2F" w:rsidRPr="00F83CFC">
        <w:rPr>
          <w:rFonts w:asciiTheme="majorHAnsi" w:hAnsiTheme="majorHAnsi"/>
          <w:b/>
          <w:bCs/>
          <w:sz w:val="21"/>
          <w:szCs w:val="21"/>
          <w:lang w:val="en-US"/>
        </w:rPr>
        <w:t xml:space="preserve">igure </w:t>
      </w:r>
      <w:r w:rsidR="00196128">
        <w:rPr>
          <w:rFonts w:asciiTheme="majorHAnsi" w:hAnsiTheme="majorHAnsi"/>
          <w:b/>
          <w:bCs/>
          <w:sz w:val="21"/>
          <w:szCs w:val="21"/>
          <w:lang w:val="en-US"/>
        </w:rPr>
        <w:t>2</w:t>
      </w:r>
      <w:r w:rsidR="00B84B2F" w:rsidRPr="00F83CFC">
        <w:rPr>
          <w:rFonts w:asciiTheme="majorHAnsi" w:hAnsiTheme="majorHAnsi"/>
          <w:b/>
          <w:bCs/>
          <w:sz w:val="21"/>
          <w:szCs w:val="21"/>
          <w:lang w:val="en-US"/>
        </w:rPr>
        <w:t>).</w:t>
      </w:r>
      <w:r w:rsidR="00B84B2F" w:rsidRPr="00B84B2F">
        <w:rPr>
          <w:rFonts w:asciiTheme="majorHAnsi" w:hAnsiTheme="majorHAnsi"/>
          <w:sz w:val="21"/>
          <w:szCs w:val="21"/>
          <w:lang w:val="en-US"/>
        </w:rPr>
        <w:t xml:space="preserve"> For type III, IV, or V PMs, a 4-mm Gore-Tex tube was used to encircle the bodies of the posteromedial and anterolateral papillary muscles. The two separate heads were then reinforced together, as shown in Figure 1</w:t>
      </w:r>
      <w:r w:rsidR="00F83CFC">
        <w:rPr>
          <w:rFonts w:asciiTheme="majorHAnsi" w:hAnsiTheme="majorHAnsi"/>
          <w:sz w:val="21"/>
          <w:szCs w:val="21"/>
          <w:lang w:val="en-US"/>
        </w:rPr>
        <w:t>S</w:t>
      </w:r>
      <w:r w:rsidR="00B84B2F" w:rsidRPr="00B84B2F">
        <w:rPr>
          <w:rFonts w:asciiTheme="majorHAnsi" w:hAnsiTheme="majorHAnsi"/>
          <w:sz w:val="21"/>
          <w:szCs w:val="21"/>
          <w:lang w:val="en-US"/>
        </w:rPr>
        <w:t>. This approach allowed for the simultaneous approximation of both posteromedial papillary muscles, which reduced mitral valve tenting.</w:t>
      </w:r>
      <w:r w:rsidR="00F83CFC">
        <w:rPr>
          <w:rFonts w:asciiTheme="majorHAnsi" w:hAnsiTheme="majorHAnsi"/>
          <w:sz w:val="21"/>
          <w:szCs w:val="21"/>
          <w:lang w:val="en-US"/>
        </w:rPr>
        <w:t xml:space="preserve"> </w:t>
      </w:r>
      <w:r w:rsidR="00F83CFC">
        <w:rPr>
          <w:rFonts w:ascii="Aptos Display" w:hAnsi="Aptos Display"/>
          <w:sz w:val="21"/>
          <w:szCs w:val="21"/>
          <w:lang w:val="en-US"/>
        </w:rPr>
        <w:t>[1-7]</w:t>
      </w:r>
    </w:p>
    <w:p w14:paraId="1D3B55CF" w14:textId="430F9871" w:rsidR="00B95C31" w:rsidRDefault="00B84B2F" w:rsidP="00B84B2F">
      <w:pPr>
        <w:spacing w:line="480" w:lineRule="auto"/>
        <w:jc w:val="both"/>
        <w:rPr>
          <w:rFonts w:asciiTheme="majorHAnsi" w:hAnsiTheme="majorHAnsi"/>
          <w:sz w:val="21"/>
          <w:szCs w:val="21"/>
          <w:lang w:val="en-US"/>
        </w:rPr>
      </w:pPr>
      <w:r w:rsidRPr="00B84B2F">
        <w:rPr>
          <w:rFonts w:asciiTheme="majorHAnsi" w:hAnsiTheme="majorHAnsi"/>
          <w:sz w:val="21"/>
          <w:szCs w:val="21"/>
          <w:lang w:val="en-US"/>
        </w:rPr>
        <w:t xml:space="preserve">The evaluation of the precise anatomical location of chordae tendinea was crucial in improving regurgitation correction. Special attention was given to this arrangement. The chordae tendineae from the </w:t>
      </w:r>
      <w:r w:rsidR="008E6E0D">
        <w:rPr>
          <w:rFonts w:asciiTheme="majorHAnsi" w:hAnsiTheme="majorHAnsi"/>
          <w:sz w:val="21"/>
          <w:szCs w:val="21"/>
          <w:lang w:val="en-US"/>
        </w:rPr>
        <w:t>posterior papillary muscle (</w:t>
      </w:r>
      <w:r w:rsidRPr="00B84B2F">
        <w:rPr>
          <w:rFonts w:asciiTheme="majorHAnsi" w:hAnsiTheme="majorHAnsi"/>
          <w:sz w:val="21"/>
          <w:szCs w:val="21"/>
          <w:lang w:val="en-US"/>
        </w:rPr>
        <w:t>PPM</w:t>
      </w:r>
      <w:r w:rsidR="008E6E0D">
        <w:rPr>
          <w:rFonts w:asciiTheme="majorHAnsi" w:hAnsiTheme="majorHAnsi"/>
          <w:sz w:val="21"/>
          <w:szCs w:val="21"/>
          <w:lang w:val="en-US"/>
        </w:rPr>
        <w:t>)</w:t>
      </w:r>
      <w:r w:rsidRPr="00B84B2F">
        <w:rPr>
          <w:rFonts w:asciiTheme="majorHAnsi" w:hAnsiTheme="majorHAnsi"/>
          <w:sz w:val="21"/>
          <w:szCs w:val="21"/>
          <w:lang w:val="en-US"/>
        </w:rPr>
        <w:t xml:space="preserve"> are typically inserted on the P2 and P3 cusps of the posterior leaflet, whereas those from the APM are destined for the anterior leaflet, contributing primarily to the development of the 'seagull sign' and the associated tenting.</w:t>
      </w:r>
      <w:r w:rsidR="00F83CFC" w:rsidRPr="00F83CFC">
        <w:rPr>
          <w:rFonts w:ascii="Aptos Display" w:hAnsi="Aptos Display"/>
          <w:sz w:val="21"/>
          <w:szCs w:val="21"/>
          <w:lang w:val="en-US"/>
        </w:rPr>
        <w:t xml:space="preserve"> </w:t>
      </w:r>
      <w:r w:rsidR="00F83CFC">
        <w:rPr>
          <w:rFonts w:ascii="Aptos Display" w:hAnsi="Aptos Display"/>
          <w:sz w:val="21"/>
          <w:szCs w:val="21"/>
          <w:lang w:val="en-US"/>
        </w:rPr>
        <w:t xml:space="preserve">[1-7] </w:t>
      </w:r>
      <w:r w:rsidR="00196128" w:rsidRPr="00196128">
        <w:rPr>
          <w:rFonts w:ascii="Aptos Display" w:hAnsi="Aptos Display"/>
          <w:b/>
          <w:bCs/>
          <w:sz w:val="21"/>
          <w:szCs w:val="21"/>
          <w:lang w:val="en-US"/>
        </w:rPr>
        <w:t xml:space="preserve">Supplementary </w:t>
      </w:r>
      <w:r w:rsidR="00F83CFC" w:rsidRPr="00196128">
        <w:rPr>
          <w:rFonts w:ascii="Aptos Display" w:hAnsi="Aptos Display"/>
          <w:b/>
          <w:bCs/>
          <w:sz w:val="21"/>
          <w:szCs w:val="21"/>
          <w:lang w:val="en-US"/>
        </w:rPr>
        <w:t xml:space="preserve">Figure </w:t>
      </w:r>
      <w:r w:rsidR="00196128" w:rsidRPr="00196128">
        <w:rPr>
          <w:rFonts w:ascii="Aptos Display" w:hAnsi="Aptos Display"/>
          <w:b/>
          <w:bCs/>
          <w:sz w:val="21"/>
          <w:szCs w:val="21"/>
          <w:lang w:val="en-US"/>
        </w:rPr>
        <w:t>2</w:t>
      </w:r>
    </w:p>
    <w:p w14:paraId="2AC13D3F" w14:textId="3803D772" w:rsidR="00333E9C" w:rsidRDefault="00333E9C" w:rsidP="00B84B2F">
      <w:pPr>
        <w:spacing w:line="480" w:lineRule="auto"/>
        <w:jc w:val="both"/>
        <w:rPr>
          <w:rFonts w:asciiTheme="majorHAnsi" w:hAnsiTheme="majorHAnsi"/>
          <w:sz w:val="21"/>
          <w:szCs w:val="21"/>
          <w:lang w:val="en-US"/>
        </w:rPr>
      </w:pPr>
      <w:r w:rsidRPr="00333E9C">
        <w:rPr>
          <w:rFonts w:asciiTheme="majorHAnsi" w:hAnsiTheme="majorHAnsi"/>
          <w:sz w:val="21"/>
          <w:szCs w:val="21"/>
          <w:lang w:val="en-US"/>
        </w:rPr>
        <w:t>There are two circumstances in which a mitral valve repair may be crossed over to a mitral valve replacement: (1) if the valve is deemed unrepairable on direct assessment during the operation, or (2) if the TEE shows more than mild residual MR. The degree of residual MR is measured on the immediate post-cardiopulmonary bypass (CPB) TEE.</w:t>
      </w:r>
      <w:r w:rsidR="00F83CFC" w:rsidRPr="00F83CFC">
        <w:rPr>
          <w:rFonts w:ascii="Aptos Display" w:hAnsi="Aptos Display"/>
          <w:sz w:val="21"/>
          <w:szCs w:val="21"/>
          <w:lang w:val="en-US"/>
        </w:rPr>
        <w:t xml:space="preserve"> </w:t>
      </w:r>
      <w:r w:rsidR="00F83CFC">
        <w:rPr>
          <w:rFonts w:ascii="Aptos Display" w:hAnsi="Aptos Display"/>
          <w:sz w:val="21"/>
          <w:szCs w:val="21"/>
          <w:lang w:val="en-US"/>
        </w:rPr>
        <w:t>[8]</w:t>
      </w:r>
    </w:p>
    <w:p w14:paraId="62D32BA5" w14:textId="625CC263" w:rsidR="00333E9C" w:rsidRDefault="00333E9C" w:rsidP="00333E9C">
      <w:pPr>
        <w:spacing w:line="480" w:lineRule="auto"/>
        <w:jc w:val="both"/>
        <w:rPr>
          <w:rFonts w:asciiTheme="majorHAnsi" w:hAnsiTheme="majorHAnsi"/>
          <w:sz w:val="21"/>
          <w:szCs w:val="21"/>
          <w:lang w:val="en-US"/>
        </w:rPr>
      </w:pPr>
      <w:r w:rsidRPr="00333E9C">
        <w:rPr>
          <w:rFonts w:asciiTheme="majorHAnsi" w:hAnsiTheme="majorHAnsi"/>
          <w:sz w:val="21"/>
          <w:szCs w:val="21"/>
          <w:lang w:val="en-US"/>
        </w:rPr>
        <w:t>The closure will involve the placement of standard epicardial atrial and ventricular pacing wires based on the surgeon's preferences. Mediastinal and pleural drains will also be inserted and removed according to institutional routines.</w:t>
      </w:r>
      <w:r>
        <w:rPr>
          <w:rFonts w:asciiTheme="majorHAnsi" w:hAnsiTheme="majorHAnsi"/>
          <w:sz w:val="21"/>
          <w:szCs w:val="21"/>
          <w:lang w:val="en-US"/>
        </w:rPr>
        <w:t xml:space="preserve"> </w:t>
      </w:r>
      <w:r w:rsidRPr="00333E9C">
        <w:rPr>
          <w:rFonts w:asciiTheme="majorHAnsi" w:hAnsiTheme="majorHAnsi"/>
          <w:sz w:val="21"/>
          <w:szCs w:val="21"/>
          <w:lang w:val="en-US"/>
        </w:rPr>
        <w:t>Perioperative hemodynamic support may be required and will be determined by the surgeon.</w:t>
      </w:r>
    </w:p>
    <w:p w14:paraId="3AE6A74B" w14:textId="3097CF90" w:rsidR="00333E9C" w:rsidRDefault="00333E9C" w:rsidP="00333E9C">
      <w:pPr>
        <w:pStyle w:val="Paragrafoelenco"/>
        <w:numPr>
          <w:ilvl w:val="0"/>
          <w:numId w:val="6"/>
        </w:numPr>
        <w:spacing w:line="480" w:lineRule="auto"/>
        <w:jc w:val="both"/>
        <w:rPr>
          <w:rFonts w:asciiTheme="majorHAnsi" w:hAnsiTheme="majorHAnsi"/>
          <w:b/>
          <w:bCs/>
          <w:sz w:val="21"/>
          <w:szCs w:val="21"/>
          <w:lang w:val="en-US"/>
        </w:rPr>
      </w:pPr>
      <w:r w:rsidRPr="00333E9C">
        <w:rPr>
          <w:rFonts w:asciiTheme="majorHAnsi" w:hAnsiTheme="majorHAnsi"/>
          <w:b/>
          <w:bCs/>
          <w:sz w:val="21"/>
          <w:szCs w:val="21"/>
          <w:lang w:val="en-US"/>
        </w:rPr>
        <w:t>Mitral valve Replacement</w:t>
      </w:r>
    </w:p>
    <w:p w14:paraId="33F3D7F1" w14:textId="6A1193F9" w:rsidR="00333E9C" w:rsidRDefault="00333E9C" w:rsidP="00333E9C">
      <w:pPr>
        <w:spacing w:line="480" w:lineRule="auto"/>
        <w:jc w:val="both"/>
        <w:rPr>
          <w:rFonts w:asciiTheme="majorHAnsi" w:hAnsiTheme="majorHAnsi"/>
          <w:sz w:val="21"/>
          <w:szCs w:val="21"/>
          <w:lang w:val="en-US"/>
        </w:rPr>
      </w:pPr>
      <w:r w:rsidRPr="00333E9C">
        <w:rPr>
          <w:rFonts w:asciiTheme="majorHAnsi" w:hAnsiTheme="majorHAnsi"/>
          <w:sz w:val="21"/>
          <w:szCs w:val="21"/>
          <w:lang w:val="en-US"/>
        </w:rPr>
        <w:t xml:space="preserve">The </w:t>
      </w:r>
      <w:proofErr w:type="spellStart"/>
      <w:r w:rsidRPr="00333E9C">
        <w:rPr>
          <w:rFonts w:asciiTheme="majorHAnsi" w:hAnsiTheme="majorHAnsi"/>
          <w:sz w:val="21"/>
          <w:szCs w:val="21"/>
          <w:lang w:val="en-US"/>
        </w:rPr>
        <w:t>K</w:t>
      </w:r>
      <w:r w:rsidR="002803DE">
        <w:rPr>
          <w:rFonts w:asciiTheme="majorHAnsi" w:hAnsiTheme="majorHAnsi"/>
          <w:sz w:val="21"/>
          <w:szCs w:val="21"/>
          <w:lang w:val="en-US"/>
        </w:rPr>
        <w:t>h</w:t>
      </w:r>
      <w:r w:rsidRPr="00333E9C">
        <w:rPr>
          <w:rFonts w:asciiTheme="majorHAnsi" w:hAnsiTheme="majorHAnsi"/>
          <w:sz w:val="21"/>
          <w:szCs w:val="21"/>
          <w:lang w:val="en-US"/>
        </w:rPr>
        <w:t>onsary</w:t>
      </w:r>
      <w:proofErr w:type="spellEnd"/>
      <w:r w:rsidRPr="00333E9C">
        <w:rPr>
          <w:rFonts w:asciiTheme="majorHAnsi" w:hAnsiTheme="majorHAnsi"/>
          <w:sz w:val="21"/>
          <w:szCs w:val="21"/>
          <w:lang w:val="en-US"/>
        </w:rPr>
        <w:t xml:space="preserve"> procedure</w:t>
      </w:r>
      <w:r w:rsidR="002803DE">
        <w:rPr>
          <w:rFonts w:asciiTheme="majorHAnsi" w:hAnsiTheme="majorHAnsi"/>
          <w:sz w:val="21"/>
          <w:szCs w:val="21"/>
          <w:lang w:val="en-US"/>
        </w:rPr>
        <w:t xml:space="preserve"> </w:t>
      </w:r>
      <w:r w:rsidR="002803DE">
        <w:rPr>
          <w:rFonts w:ascii="Aptos Display" w:hAnsi="Aptos Display"/>
          <w:sz w:val="21"/>
          <w:szCs w:val="21"/>
          <w:lang w:val="en-US"/>
        </w:rPr>
        <w:t>[</w:t>
      </w:r>
      <w:r w:rsidR="00F83CFC">
        <w:rPr>
          <w:rFonts w:ascii="Aptos Display" w:hAnsi="Aptos Display"/>
          <w:sz w:val="21"/>
          <w:szCs w:val="21"/>
          <w:lang w:val="en-US"/>
        </w:rPr>
        <w:t>9</w:t>
      </w:r>
      <w:r w:rsidR="002803DE">
        <w:rPr>
          <w:rFonts w:ascii="Aptos Display" w:hAnsi="Aptos Display"/>
          <w:sz w:val="21"/>
          <w:szCs w:val="21"/>
          <w:lang w:val="en-US"/>
        </w:rPr>
        <w:t>-</w:t>
      </w:r>
      <w:r w:rsidR="00F83CFC">
        <w:rPr>
          <w:rFonts w:ascii="Aptos Display" w:hAnsi="Aptos Display"/>
          <w:sz w:val="21"/>
          <w:szCs w:val="21"/>
          <w:lang w:val="en-US"/>
        </w:rPr>
        <w:t>11</w:t>
      </w:r>
      <w:r w:rsidR="002803DE">
        <w:rPr>
          <w:rFonts w:ascii="Aptos Display" w:hAnsi="Aptos Display"/>
          <w:sz w:val="21"/>
          <w:szCs w:val="21"/>
          <w:lang w:val="en-US"/>
        </w:rPr>
        <w:t>]</w:t>
      </w:r>
      <w:r w:rsidRPr="00333E9C">
        <w:rPr>
          <w:rFonts w:asciiTheme="majorHAnsi" w:hAnsiTheme="majorHAnsi"/>
          <w:sz w:val="21"/>
          <w:szCs w:val="21"/>
          <w:lang w:val="en-US"/>
        </w:rPr>
        <w:t xml:space="preserve"> is the most commonly used approach for complete chordal-sparing mitral valve replacement.</w:t>
      </w:r>
      <w:r w:rsidR="008E6E0D" w:rsidRPr="008E6E0D">
        <w:rPr>
          <w:lang w:val="en-US"/>
        </w:rPr>
        <w:t xml:space="preserve"> </w:t>
      </w:r>
      <w:r w:rsidR="008E6E0D" w:rsidRPr="008E6E0D">
        <w:rPr>
          <w:rFonts w:asciiTheme="majorHAnsi" w:hAnsiTheme="majorHAnsi"/>
          <w:sz w:val="21"/>
          <w:szCs w:val="21"/>
          <w:lang w:val="en-US"/>
        </w:rPr>
        <w:t xml:space="preserve">To expose the mitral valve, the </w:t>
      </w:r>
      <w:proofErr w:type="spellStart"/>
      <w:r w:rsidR="008E6E0D" w:rsidRPr="008E6E0D">
        <w:rPr>
          <w:rFonts w:asciiTheme="majorHAnsi" w:hAnsiTheme="majorHAnsi"/>
          <w:sz w:val="21"/>
          <w:szCs w:val="21"/>
          <w:lang w:val="en-US"/>
        </w:rPr>
        <w:t>Sondergaard</w:t>
      </w:r>
      <w:proofErr w:type="spellEnd"/>
      <w:r w:rsidR="008E6E0D" w:rsidRPr="008E6E0D">
        <w:rPr>
          <w:rFonts w:asciiTheme="majorHAnsi" w:hAnsiTheme="majorHAnsi"/>
          <w:sz w:val="21"/>
          <w:szCs w:val="21"/>
          <w:lang w:val="en-US"/>
        </w:rPr>
        <w:t xml:space="preserve"> or Waterston groove or a transseptal approach involving the </w:t>
      </w:r>
      <w:proofErr w:type="spellStart"/>
      <w:r w:rsidR="008E6E0D" w:rsidRPr="008E6E0D">
        <w:rPr>
          <w:rFonts w:asciiTheme="majorHAnsi" w:hAnsiTheme="majorHAnsi"/>
          <w:sz w:val="21"/>
          <w:szCs w:val="21"/>
          <w:lang w:val="en-US"/>
        </w:rPr>
        <w:t>biatrial</w:t>
      </w:r>
      <w:proofErr w:type="spellEnd"/>
      <w:r w:rsidR="008E6E0D" w:rsidRPr="008E6E0D">
        <w:rPr>
          <w:rFonts w:asciiTheme="majorHAnsi" w:hAnsiTheme="majorHAnsi"/>
          <w:sz w:val="21"/>
          <w:szCs w:val="21"/>
          <w:lang w:val="en-US"/>
        </w:rPr>
        <w:t xml:space="preserve"> way can be used with partitioning of the anterior mitral leaflet</w:t>
      </w:r>
      <w:r w:rsidRPr="00333E9C">
        <w:rPr>
          <w:rFonts w:asciiTheme="majorHAnsi" w:hAnsiTheme="majorHAnsi"/>
          <w:sz w:val="21"/>
          <w:szCs w:val="21"/>
          <w:lang w:val="en-US"/>
        </w:rPr>
        <w:t xml:space="preserve">. </w:t>
      </w:r>
      <w:proofErr w:type="spellStart"/>
      <w:r w:rsidRPr="00333E9C">
        <w:rPr>
          <w:rFonts w:asciiTheme="majorHAnsi" w:hAnsiTheme="majorHAnsi"/>
          <w:sz w:val="21"/>
          <w:szCs w:val="21"/>
          <w:lang w:val="en-US"/>
        </w:rPr>
        <w:t>Pledgetted</w:t>
      </w:r>
      <w:proofErr w:type="spellEnd"/>
      <w:r w:rsidRPr="00333E9C">
        <w:rPr>
          <w:rFonts w:asciiTheme="majorHAnsi" w:hAnsiTheme="majorHAnsi"/>
          <w:sz w:val="21"/>
          <w:szCs w:val="21"/>
          <w:lang w:val="en-US"/>
        </w:rPr>
        <w:t xml:space="preserve"> 2-0 braided sutures were placed to include the mitral annulus and the partitioned sections of the anterior leaflet, resulting in plication of the chords to the annulus. For the posterior annulus, incorporate both the annulus and the posterior leaflet with sutures, imbricating any redundant tissue. The sizing process involves using the manufacturer's sizers.</w:t>
      </w:r>
      <w:r w:rsidRPr="00333E9C">
        <w:rPr>
          <w:lang w:val="en-US"/>
        </w:rPr>
        <w:t xml:space="preserve"> </w:t>
      </w:r>
      <w:r w:rsidRPr="00333E9C">
        <w:rPr>
          <w:rFonts w:asciiTheme="majorHAnsi" w:hAnsiTheme="majorHAnsi"/>
          <w:sz w:val="21"/>
          <w:szCs w:val="21"/>
          <w:lang w:val="en-US"/>
        </w:rPr>
        <w:t xml:space="preserve">If redundant anterior </w:t>
      </w:r>
      <w:r w:rsidRPr="00333E9C">
        <w:rPr>
          <w:rFonts w:asciiTheme="majorHAnsi" w:hAnsiTheme="majorHAnsi"/>
          <w:sz w:val="21"/>
          <w:szCs w:val="21"/>
          <w:lang w:val="en-US"/>
        </w:rPr>
        <w:lastRenderedPageBreak/>
        <w:t>leaflet tissue is present, to avoid LV outflow tract obstruction or interference with the mechanical valve mechanism, excise a central elliptical portion of the anterior leaflet, leaving 5-10 mm of leaflet free edge attached to the primary chordae tendineae.   The mitral annulus size is measured using standard valve sizers.</w:t>
      </w:r>
      <w:r>
        <w:rPr>
          <w:rFonts w:asciiTheme="majorHAnsi" w:hAnsiTheme="majorHAnsi"/>
          <w:sz w:val="21"/>
          <w:szCs w:val="21"/>
          <w:lang w:val="en-US"/>
        </w:rPr>
        <w:t xml:space="preserve"> </w:t>
      </w:r>
      <w:r w:rsidR="00DD5E46" w:rsidRPr="00DD5E46">
        <w:rPr>
          <w:rFonts w:asciiTheme="majorHAnsi" w:hAnsiTheme="majorHAnsi"/>
          <w:sz w:val="21"/>
          <w:szCs w:val="21"/>
          <w:lang w:val="en-US"/>
        </w:rPr>
        <w:t>The prosthesis is then repositioned and sutured. The final step is confirmation of free movement of the prosthesis leaflets. If a mechanical prosthesis is used, perform valve rotation as needed. The choice between a mechanical or bioprosthesis is left to the surgeon's discretion, but a mitral bioprosthesis is usually sufficient for most patients.</w:t>
      </w:r>
    </w:p>
    <w:p w14:paraId="5A7BD62B" w14:textId="4F7C4E0D" w:rsidR="008E6E0D" w:rsidRDefault="008E6E0D" w:rsidP="008E6E0D">
      <w:pPr>
        <w:pStyle w:val="Paragrafoelenco"/>
        <w:numPr>
          <w:ilvl w:val="0"/>
          <w:numId w:val="7"/>
        </w:numPr>
        <w:spacing w:line="480" w:lineRule="auto"/>
        <w:jc w:val="both"/>
        <w:rPr>
          <w:rFonts w:asciiTheme="majorHAnsi" w:hAnsiTheme="majorHAnsi"/>
          <w:b/>
          <w:bCs/>
          <w:sz w:val="21"/>
          <w:szCs w:val="21"/>
          <w:lang w:val="en-US"/>
        </w:rPr>
      </w:pPr>
      <w:r w:rsidRPr="008E6E0D">
        <w:rPr>
          <w:rFonts w:asciiTheme="majorHAnsi" w:hAnsiTheme="majorHAnsi"/>
          <w:b/>
          <w:bCs/>
          <w:sz w:val="21"/>
          <w:szCs w:val="21"/>
          <w:lang w:val="en-US"/>
        </w:rPr>
        <w:t>Indications for surgical tricuspid valve annuloplasty</w:t>
      </w:r>
    </w:p>
    <w:p w14:paraId="1EC85627" w14:textId="77777777" w:rsidR="008E6E0D" w:rsidRPr="008E6E0D" w:rsidRDefault="008E6E0D" w:rsidP="008E6E0D">
      <w:pPr>
        <w:spacing w:line="480" w:lineRule="auto"/>
        <w:jc w:val="both"/>
        <w:rPr>
          <w:rFonts w:asciiTheme="majorHAnsi" w:hAnsiTheme="majorHAnsi"/>
          <w:sz w:val="21"/>
          <w:szCs w:val="21"/>
          <w:lang w:val="en-US"/>
        </w:rPr>
      </w:pPr>
      <w:r w:rsidRPr="008E6E0D">
        <w:rPr>
          <w:rFonts w:asciiTheme="majorHAnsi" w:hAnsiTheme="majorHAnsi"/>
          <w:sz w:val="21"/>
          <w:szCs w:val="21"/>
          <w:lang w:val="en-US"/>
        </w:rPr>
        <w:t>In cases of severe tricuspid insufficiency, defined as follows, tricuspid repair will be performed concomitantly with the mitral procedure.</w:t>
      </w:r>
    </w:p>
    <w:p w14:paraId="1C4B6563" w14:textId="04416928" w:rsidR="007A78A9" w:rsidRPr="009C4477" w:rsidRDefault="008E6E0D" w:rsidP="009C4477">
      <w:pPr>
        <w:spacing w:line="480" w:lineRule="auto"/>
        <w:jc w:val="both"/>
        <w:rPr>
          <w:rFonts w:asciiTheme="majorHAnsi" w:hAnsiTheme="majorHAnsi"/>
          <w:sz w:val="21"/>
          <w:szCs w:val="21"/>
          <w:lang w:val="en-US"/>
        </w:rPr>
      </w:pPr>
      <w:r w:rsidRPr="009C4477">
        <w:rPr>
          <w:rFonts w:asciiTheme="majorHAnsi" w:hAnsiTheme="majorHAnsi"/>
          <w:sz w:val="21"/>
          <w:szCs w:val="21"/>
          <w:lang w:val="en-US"/>
        </w:rPr>
        <w:t xml:space="preserve">The preoperative awake transthoracic echocardiogram (TTE) shows severe tricuspid regurgitation caused by tricuspid annular dilatation. The leaflets and subvalvular apparatus are structurally uninvolved. Filling pressures are normal for age (systolic systemic blood pressure &gt; 90 mmHg, pulmonary diastolic pressure &gt; 10 mmHg). Severe TR is defined by a maximum jet area &gt; 10 cm or &gt; 66% of the RA area. In the presence of pulmonary hypertension with mean pulmonary artery pressure &gt;50 mmHg, tricuspid repair is a class </w:t>
      </w:r>
      <w:proofErr w:type="spellStart"/>
      <w:r w:rsidRPr="009C4477">
        <w:rPr>
          <w:rFonts w:asciiTheme="majorHAnsi" w:hAnsiTheme="majorHAnsi"/>
          <w:sz w:val="21"/>
          <w:szCs w:val="21"/>
          <w:lang w:val="en-US"/>
        </w:rPr>
        <w:t>IIa</w:t>
      </w:r>
      <w:proofErr w:type="spellEnd"/>
      <w:r w:rsidRPr="009C4477">
        <w:rPr>
          <w:rFonts w:asciiTheme="majorHAnsi" w:hAnsiTheme="majorHAnsi"/>
          <w:sz w:val="21"/>
          <w:szCs w:val="21"/>
          <w:lang w:val="en-US"/>
        </w:rPr>
        <w:t xml:space="preserve"> recommendation for moderately functional TR (maximum jet area 6-10 cm or 33-66% of RA area) secondary to a left heart lesion at the time of mitral valve surgery.</w:t>
      </w:r>
    </w:p>
    <w:p w14:paraId="689A2604" w14:textId="4E150A0C" w:rsidR="007A78A9" w:rsidRPr="009C4477" w:rsidRDefault="007A78A9" w:rsidP="009C4477">
      <w:pPr>
        <w:spacing w:line="480" w:lineRule="auto"/>
        <w:jc w:val="both"/>
        <w:rPr>
          <w:rFonts w:asciiTheme="majorHAnsi" w:hAnsiTheme="majorHAnsi"/>
          <w:sz w:val="21"/>
          <w:szCs w:val="21"/>
          <w:lang w:val="en-US"/>
        </w:rPr>
      </w:pPr>
      <w:r w:rsidRPr="009C4477">
        <w:rPr>
          <w:rFonts w:asciiTheme="majorHAnsi" w:hAnsiTheme="majorHAnsi"/>
          <w:sz w:val="21"/>
          <w:szCs w:val="21"/>
          <w:lang w:val="en-US"/>
        </w:rPr>
        <w:t xml:space="preserve">Repair of the tricuspid valve for moderate functional insufficiency (maximum jet area of 6 to 10 cm or 33 to 66% of the right atrial area) secondary to left-sided pathology during mitral valve surgery is a grade </w:t>
      </w:r>
      <w:proofErr w:type="spellStart"/>
      <w:r w:rsidRPr="009C4477">
        <w:rPr>
          <w:rFonts w:asciiTheme="majorHAnsi" w:hAnsiTheme="majorHAnsi"/>
          <w:sz w:val="21"/>
          <w:szCs w:val="21"/>
          <w:lang w:val="en-US"/>
        </w:rPr>
        <w:t>IIa</w:t>
      </w:r>
      <w:proofErr w:type="spellEnd"/>
      <w:r w:rsidRPr="009C4477">
        <w:rPr>
          <w:rFonts w:asciiTheme="majorHAnsi" w:hAnsiTheme="majorHAnsi"/>
          <w:sz w:val="21"/>
          <w:szCs w:val="21"/>
          <w:lang w:val="en-US"/>
        </w:rPr>
        <w:t xml:space="preserve"> recommendation. The decision to perform a tricuspid procedure in these patients is left to the surgeon's personal judgement and may be addressed as part of a sub-study or separate protocol after further consideration by the heart team at each centre for shared decision making.</w:t>
      </w:r>
      <w:r w:rsidR="004D5AFE" w:rsidRPr="009C4477">
        <w:rPr>
          <w:rFonts w:ascii="Aptos Display" w:hAnsi="Aptos Display"/>
          <w:sz w:val="21"/>
          <w:szCs w:val="21"/>
          <w:lang w:val="en-US"/>
        </w:rPr>
        <w:t xml:space="preserve"> [12]</w:t>
      </w:r>
    </w:p>
    <w:p w14:paraId="393F139B" w14:textId="77777777" w:rsidR="007A78A9" w:rsidRDefault="007A78A9" w:rsidP="007A78A9">
      <w:pPr>
        <w:pStyle w:val="Paragrafoelenco"/>
        <w:spacing w:line="480" w:lineRule="auto"/>
        <w:jc w:val="both"/>
        <w:rPr>
          <w:rFonts w:asciiTheme="majorHAnsi" w:hAnsiTheme="majorHAnsi"/>
          <w:sz w:val="21"/>
          <w:szCs w:val="21"/>
          <w:lang w:val="en-US"/>
        </w:rPr>
      </w:pPr>
    </w:p>
    <w:p w14:paraId="3D817331" w14:textId="7CB14F60" w:rsidR="007A78A9" w:rsidRPr="007A78A9" w:rsidRDefault="007A78A9" w:rsidP="007A78A9">
      <w:pPr>
        <w:pStyle w:val="Paragrafoelenco"/>
        <w:numPr>
          <w:ilvl w:val="0"/>
          <w:numId w:val="7"/>
        </w:numPr>
        <w:spacing w:line="480" w:lineRule="auto"/>
        <w:jc w:val="both"/>
        <w:rPr>
          <w:rFonts w:asciiTheme="majorHAnsi" w:hAnsiTheme="majorHAnsi"/>
          <w:sz w:val="21"/>
          <w:szCs w:val="21"/>
          <w:lang w:val="en-US"/>
        </w:rPr>
      </w:pPr>
      <w:r w:rsidRPr="007A78A9">
        <w:rPr>
          <w:rFonts w:asciiTheme="majorHAnsi" w:hAnsiTheme="majorHAnsi"/>
          <w:b/>
          <w:bCs/>
          <w:sz w:val="21"/>
          <w:szCs w:val="21"/>
          <w:lang w:val="en-US"/>
        </w:rPr>
        <w:t>Tricuspid annuloplasty surgical procedure</w:t>
      </w:r>
    </w:p>
    <w:p w14:paraId="3884E47C" w14:textId="55C62552" w:rsidR="007A78A9" w:rsidRDefault="007A78A9" w:rsidP="007A78A9">
      <w:pPr>
        <w:spacing w:line="480" w:lineRule="auto"/>
        <w:jc w:val="both"/>
        <w:rPr>
          <w:rFonts w:asciiTheme="majorHAnsi" w:hAnsiTheme="majorHAnsi"/>
          <w:sz w:val="21"/>
          <w:szCs w:val="21"/>
          <w:lang w:val="en-US"/>
        </w:rPr>
      </w:pPr>
      <w:r w:rsidRPr="007A78A9">
        <w:rPr>
          <w:rFonts w:asciiTheme="majorHAnsi" w:hAnsiTheme="majorHAnsi"/>
          <w:sz w:val="21"/>
          <w:szCs w:val="21"/>
          <w:lang w:val="en-US"/>
        </w:rPr>
        <w:t xml:space="preserve">A tricuspid </w:t>
      </w:r>
      <w:proofErr w:type="spellStart"/>
      <w:r w:rsidRPr="007A78A9">
        <w:rPr>
          <w:rFonts w:asciiTheme="majorHAnsi" w:hAnsiTheme="majorHAnsi"/>
          <w:sz w:val="21"/>
          <w:szCs w:val="21"/>
          <w:lang w:val="en-US"/>
        </w:rPr>
        <w:t>anuloplasty</w:t>
      </w:r>
      <w:proofErr w:type="spellEnd"/>
      <w:r w:rsidRPr="007A78A9">
        <w:rPr>
          <w:rFonts w:asciiTheme="majorHAnsi" w:hAnsiTheme="majorHAnsi"/>
          <w:sz w:val="21"/>
          <w:szCs w:val="21"/>
          <w:lang w:val="en-US"/>
        </w:rPr>
        <w:t xml:space="preserve"> system, such as the </w:t>
      </w:r>
      <w:proofErr w:type="spellStart"/>
      <w:r w:rsidRPr="007A78A9">
        <w:rPr>
          <w:rFonts w:asciiTheme="majorHAnsi" w:hAnsiTheme="majorHAnsi"/>
          <w:sz w:val="21"/>
          <w:szCs w:val="21"/>
          <w:lang w:val="en-US"/>
        </w:rPr>
        <w:t>Carpentier</w:t>
      </w:r>
      <w:proofErr w:type="spellEnd"/>
      <w:r w:rsidRPr="007A78A9">
        <w:rPr>
          <w:rFonts w:asciiTheme="majorHAnsi" w:hAnsiTheme="majorHAnsi"/>
          <w:sz w:val="21"/>
          <w:szCs w:val="21"/>
          <w:lang w:val="en-US"/>
        </w:rPr>
        <w:t xml:space="preserve">-Edwards annuloplasty ring or the Edwards MC3, should be used. Using commercially available gauges, the size of the prosthetic ring should be determined based on the distance between the antero-septal and </w:t>
      </w:r>
      <w:proofErr w:type="spellStart"/>
      <w:r w:rsidRPr="007A78A9">
        <w:rPr>
          <w:rFonts w:asciiTheme="majorHAnsi" w:hAnsiTheme="majorHAnsi"/>
          <w:sz w:val="21"/>
          <w:szCs w:val="21"/>
          <w:lang w:val="en-US"/>
        </w:rPr>
        <w:t>postero</w:t>
      </w:r>
      <w:proofErr w:type="spellEnd"/>
      <w:r w:rsidRPr="007A78A9">
        <w:rPr>
          <w:rFonts w:asciiTheme="majorHAnsi" w:hAnsiTheme="majorHAnsi"/>
          <w:sz w:val="21"/>
          <w:szCs w:val="21"/>
          <w:lang w:val="en-US"/>
        </w:rPr>
        <w:t xml:space="preserve">-septal commissures and the anterior leaflet surface area. Typically, </w:t>
      </w:r>
      <w:r w:rsidRPr="007A78A9">
        <w:rPr>
          <w:rFonts w:asciiTheme="majorHAnsi" w:hAnsiTheme="majorHAnsi"/>
          <w:sz w:val="21"/>
          <w:szCs w:val="21"/>
          <w:lang w:val="en-US"/>
        </w:rPr>
        <w:lastRenderedPageBreak/>
        <w:t>a 30-32 ring is preferred for men and a 28-30 ring is preferred for women.</w:t>
      </w:r>
      <w:r w:rsidR="00AA46CE">
        <w:rPr>
          <w:rFonts w:asciiTheme="majorHAnsi" w:hAnsiTheme="majorHAnsi"/>
          <w:sz w:val="21"/>
          <w:szCs w:val="21"/>
          <w:lang w:val="en-US"/>
        </w:rPr>
        <w:t xml:space="preserve"> </w:t>
      </w:r>
      <w:r w:rsidR="00AA46CE" w:rsidRPr="00AA46CE">
        <w:rPr>
          <w:rFonts w:asciiTheme="majorHAnsi" w:hAnsiTheme="majorHAnsi"/>
          <w:sz w:val="21"/>
          <w:szCs w:val="21"/>
          <w:lang w:val="en-US"/>
        </w:rPr>
        <w:t>The fibrous tricuspid annulus is sutured with eight to ten U stitches, each 1 cm wide, placed 2 mm from the leaflet hinge, except in the area of the bundle of His located in front of the first half of the septal leaflet. Plication of the annulus is achieved with smaller distances applied to the ring in front of the anterior and posterior leaflets. After dropping the ring and tying the sutures, the appropriateness of the repair is verified by the saline infusion check. If the repair is deemed unsatisfactory or the valve is deemed unrepairable by the surgeon, replacement of the valve may be necessary.</w:t>
      </w:r>
    </w:p>
    <w:p w14:paraId="306CF48E" w14:textId="566B4EEC" w:rsidR="00D63F73" w:rsidRPr="00730883" w:rsidRDefault="00D63F73" w:rsidP="00730883">
      <w:pPr>
        <w:pStyle w:val="Paragrafoelenco"/>
        <w:numPr>
          <w:ilvl w:val="0"/>
          <w:numId w:val="16"/>
        </w:numPr>
        <w:spacing w:line="480" w:lineRule="auto"/>
        <w:jc w:val="both"/>
        <w:rPr>
          <w:rFonts w:asciiTheme="majorHAnsi" w:hAnsiTheme="majorHAnsi"/>
          <w:b/>
          <w:bCs/>
          <w:i/>
          <w:iCs/>
          <w:sz w:val="22"/>
          <w:szCs w:val="22"/>
          <w:lang w:val="en-US"/>
        </w:rPr>
      </w:pPr>
      <w:proofErr w:type="spellStart"/>
      <w:r w:rsidRPr="00730883">
        <w:rPr>
          <w:rFonts w:asciiTheme="majorHAnsi" w:hAnsiTheme="majorHAnsi"/>
          <w:b/>
          <w:bCs/>
          <w:i/>
          <w:iCs/>
          <w:sz w:val="22"/>
          <w:szCs w:val="22"/>
          <w:lang w:val="en-US"/>
        </w:rPr>
        <w:t>T</w:t>
      </w:r>
      <w:r w:rsidR="00730883" w:rsidRPr="00730883">
        <w:rPr>
          <w:rFonts w:asciiTheme="majorHAnsi" w:hAnsiTheme="majorHAnsi"/>
          <w:b/>
          <w:bCs/>
          <w:i/>
          <w:iCs/>
          <w:sz w:val="22"/>
          <w:szCs w:val="22"/>
          <w:lang w:val="en-US"/>
        </w:rPr>
        <w:t>rancatheter</w:t>
      </w:r>
      <w:proofErr w:type="spellEnd"/>
      <w:r w:rsidR="00730883" w:rsidRPr="00730883">
        <w:rPr>
          <w:rFonts w:asciiTheme="majorHAnsi" w:hAnsiTheme="majorHAnsi"/>
          <w:b/>
          <w:bCs/>
          <w:i/>
          <w:iCs/>
          <w:sz w:val="22"/>
          <w:szCs w:val="22"/>
          <w:lang w:val="en-US"/>
        </w:rPr>
        <w:t xml:space="preserve"> Mitral Valve Procedure</w:t>
      </w:r>
    </w:p>
    <w:p w14:paraId="2FA42A92" w14:textId="31A6DB2B" w:rsidR="00184E3A" w:rsidRDefault="002248F8" w:rsidP="00184E3A">
      <w:pPr>
        <w:spacing w:line="480" w:lineRule="auto"/>
        <w:jc w:val="both"/>
        <w:rPr>
          <w:rFonts w:asciiTheme="majorHAnsi" w:hAnsiTheme="majorHAnsi"/>
          <w:sz w:val="22"/>
          <w:szCs w:val="22"/>
          <w:lang w:val="en-US"/>
        </w:rPr>
      </w:pPr>
      <w:r w:rsidRPr="002248F8">
        <w:rPr>
          <w:rFonts w:asciiTheme="majorHAnsi" w:hAnsiTheme="majorHAnsi"/>
          <w:sz w:val="22"/>
          <w:szCs w:val="22"/>
          <w:lang w:val="en-US"/>
        </w:rPr>
        <w:t>Transcatheter mitral valve repair (</w:t>
      </w:r>
      <w:proofErr w:type="spellStart"/>
      <w:r w:rsidRPr="002248F8">
        <w:rPr>
          <w:rFonts w:asciiTheme="majorHAnsi" w:hAnsiTheme="majorHAnsi"/>
          <w:sz w:val="22"/>
          <w:szCs w:val="22"/>
          <w:lang w:val="en-US"/>
        </w:rPr>
        <w:t>TMVr</w:t>
      </w:r>
      <w:proofErr w:type="spellEnd"/>
      <w:r w:rsidRPr="002248F8">
        <w:rPr>
          <w:rFonts w:asciiTheme="majorHAnsi" w:hAnsiTheme="majorHAnsi"/>
          <w:sz w:val="22"/>
          <w:szCs w:val="22"/>
          <w:lang w:val="en-US"/>
        </w:rPr>
        <w:t xml:space="preserve">) is achieved using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Procedure. </w:t>
      </w:r>
      <w:r w:rsidR="00184E3A" w:rsidRPr="00184E3A">
        <w:rPr>
          <w:rFonts w:asciiTheme="majorHAnsi" w:hAnsiTheme="majorHAnsi"/>
          <w:sz w:val="22"/>
          <w:szCs w:val="22"/>
          <w:lang w:val="en-US"/>
        </w:rPr>
        <w:t xml:space="preserve">Warfarin should be discontinued for at least three </w:t>
      </w:r>
      <w:r w:rsidR="00184E3A">
        <w:rPr>
          <w:rFonts w:ascii="Aptos Display" w:hAnsi="Aptos Display"/>
          <w:sz w:val="22"/>
          <w:szCs w:val="22"/>
          <w:lang w:val="en-US"/>
        </w:rPr>
        <w:t>[1</w:t>
      </w:r>
      <w:r w:rsidR="004D5AFE">
        <w:rPr>
          <w:rFonts w:ascii="Aptos Display" w:hAnsi="Aptos Display"/>
          <w:sz w:val="22"/>
          <w:szCs w:val="22"/>
          <w:lang w:val="en-US"/>
        </w:rPr>
        <w:t>3</w:t>
      </w:r>
      <w:r w:rsidR="00184E3A">
        <w:rPr>
          <w:rFonts w:ascii="Aptos Display" w:hAnsi="Aptos Display"/>
          <w:sz w:val="22"/>
          <w:szCs w:val="22"/>
          <w:lang w:val="en-US"/>
        </w:rPr>
        <w:t xml:space="preserve">,14] </w:t>
      </w:r>
      <w:r w:rsidR="00184E3A" w:rsidRPr="00184E3A">
        <w:rPr>
          <w:rFonts w:asciiTheme="majorHAnsi" w:hAnsiTheme="majorHAnsi"/>
          <w:sz w:val="22"/>
          <w:szCs w:val="22"/>
          <w:lang w:val="en-US"/>
        </w:rPr>
        <w:t xml:space="preserve"> days prior to the scheduled </w:t>
      </w:r>
      <w:proofErr w:type="spellStart"/>
      <w:r w:rsidR="00184E3A" w:rsidRPr="00184E3A">
        <w:rPr>
          <w:rFonts w:asciiTheme="majorHAnsi" w:hAnsiTheme="majorHAnsi"/>
          <w:sz w:val="22"/>
          <w:szCs w:val="22"/>
          <w:lang w:val="en-US"/>
        </w:rPr>
        <w:t>MitraClip</w:t>
      </w:r>
      <w:proofErr w:type="spellEnd"/>
      <w:r w:rsidR="00184E3A" w:rsidRPr="00184E3A">
        <w:rPr>
          <w:rFonts w:asciiTheme="majorHAnsi" w:hAnsiTheme="majorHAnsi"/>
          <w:sz w:val="22"/>
          <w:szCs w:val="22"/>
          <w:lang w:val="en-US"/>
        </w:rPr>
        <w:t xml:space="preserve"> procedure to achieve an International </w:t>
      </w:r>
      <w:proofErr w:type="spellStart"/>
      <w:r w:rsidR="00184E3A" w:rsidRPr="00184E3A">
        <w:rPr>
          <w:rFonts w:asciiTheme="majorHAnsi" w:hAnsiTheme="majorHAnsi"/>
          <w:sz w:val="22"/>
          <w:szCs w:val="22"/>
          <w:lang w:val="en-US"/>
        </w:rPr>
        <w:t>Normalised</w:t>
      </w:r>
      <w:proofErr w:type="spellEnd"/>
      <w:r w:rsidR="00184E3A" w:rsidRPr="00184E3A">
        <w:rPr>
          <w:rFonts w:asciiTheme="majorHAnsi" w:hAnsiTheme="majorHAnsi"/>
          <w:sz w:val="22"/>
          <w:szCs w:val="22"/>
          <w:lang w:val="en-US"/>
        </w:rPr>
        <w:t xml:space="preserve"> Ratio (INR) ≤ 1.7. Similarly, dabigatran or Factor </w:t>
      </w:r>
      <w:proofErr w:type="spellStart"/>
      <w:r w:rsidR="00184E3A" w:rsidRPr="00184E3A">
        <w:rPr>
          <w:rFonts w:asciiTheme="majorHAnsi" w:hAnsiTheme="majorHAnsi"/>
          <w:sz w:val="22"/>
          <w:szCs w:val="22"/>
          <w:lang w:val="en-US"/>
        </w:rPr>
        <w:t>Xa</w:t>
      </w:r>
      <w:proofErr w:type="spellEnd"/>
      <w:r w:rsidR="00184E3A" w:rsidRPr="00184E3A">
        <w:rPr>
          <w:rFonts w:asciiTheme="majorHAnsi" w:hAnsiTheme="majorHAnsi"/>
          <w:sz w:val="22"/>
          <w:szCs w:val="22"/>
          <w:lang w:val="en-US"/>
        </w:rPr>
        <w:t xml:space="preserve"> inhibitors should be discontinued for a sufficient period to ensure restoration of normal coagulation. Heparin may be used during this period at the treating</w:t>
      </w:r>
      <w:r w:rsidR="00184E3A">
        <w:rPr>
          <w:rFonts w:asciiTheme="majorHAnsi" w:hAnsiTheme="majorHAnsi"/>
          <w:sz w:val="22"/>
          <w:szCs w:val="22"/>
          <w:lang w:val="en-US"/>
        </w:rPr>
        <w:t xml:space="preserve"> </w:t>
      </w:r>
      <w:r w:rsidR="00184E3A" w:rsidRPr="00184E3A">
        <w:rPr>
          <w:rFonts w:asciiTheme="majorHAnsi" w:hAnsiTheme="majorHAnsi"/>
          <w:sz w:val="22"/>
          <w:szCs w:val="22"/>
          <w:lang w:val="en-US"/>
        </w:rPr>
        <w:t xml:space="preserve">physician's discretion. If heparin is used, subcutaneous low molecular heparin (LMWH) should be stopped 12 hours before </w:t>
      </w:r>
      <w:proofErr w:type="spellStart"/>
      <w:r w:rsidR="00184E3A" w:rsidRPr="00184E3A">
        <w:rPr>
          <w:rFonts w:asciiTheme="majorHAnsi" w:hAnsiTheme="majorHAnsi"/>
          <w:sz w:val="22"/>
          <w:szCs w:val="22"/>
          <w:lang w:val="en-US"/>
        </w:rPr>
        <w:t>MitraClip</w:t>
      </w:r>
      <w:proofErr w:type="spellEnd"/>
      <w:r w:rsidR="00184E3A" w:rsidRPr="00184E3A">
        <w:rPr>
          <w:rFonts w:asciiTheme="majorHAnsi" w:hAnsiTheme="majorHAnsi"/>
          <w:sz w:val="22"/>
          <w:szCs w:val="22"/>
          <w:lang w:val="en-US"/>
        </w:rPr>
        <w:t xml:space="preserve"> and intravenous unfractionated heparin (UFH) should be stopped 4 hours before </w:t>
      </w:r>
      <w:proofErr w:type="spellStart"/>
      <w:r w:rsidR="00184E3A" w:rsidRPr="00184E3A">
        <w:rPr>
          <w:rFonts w:asciiTheme="majorHAnsi" w:hAnsiTheme="majorHAnsi"/>
          <w:sz w:val="22"/>
          <w:szCs w:val="22"/>
          <w:lang w:val="en-US"/>
        </w:rPr>
        <w:t>MitraClip</w:t>
      </w:r>
      <w:proofErr w:type="spellEnd"/>
      <w:r w:rsidR="00184E3A" w:rsidRPr="00184E3A">
        <w:rPr>
          <w:rFonts w:asciiTheme="majorHAnsi" w:hAnsiTheme="majorHAnsi"/>
          <w:sz w:val="22"/>
          <w:szCs w:val="22"/>
          <w:lang w:val="en-US"/>
        </w:rPr>
        <w:t>. A loading dose of clopidogrel at a dose determined by the investigator should be started either immediately before or after the procedure.</w:t>
      </w:r>
      <w:r w:rsidR="004D5AFE" w:rsidRPr="004D5AFE">
        <w:rPr>
          <w:rFonts w:ascii="Aptos Display" w:hAnsi="Aptos Display"/>
          <w:sz w:val="22"/>
          <w:szCs w:val="22"/>
          <w:lang w:val="en-US"/>
        </w:rPr>
        <w:t xml:space="preserve"> </w:t>
      </w:r>
      <w:r w:rsidR="004D5AFE">
        <w:rPr>
          <w:rFonts w:ascii="Aptos Display" w:hAnsi="Aptos Display"/>
          <w:sz w:val="22"/>
          <w:szCs w:val="22"/>
          <w:lang w:val="en-US"/>
        </w:rPr>
        <w:t xml:space="preserve">[13,14] </w:t>
      </w:r>
      <w:r w:rsidR="004D5AFE" w:rsidRPr="00184E3A">
        <w:rPr>
          <w:rFonts w:asciiTheme="majorHAnsi" w:hAnsiTheme="majorHAnsi"/>
          <w:sz w:val="22"/>
          <w:szCs w:val="22"/>
          <w:lang w:val="en-US"/>
        </w:rPr>
        <w:t xml:space="preserve"> </w:t>
      </w:r>
    </w:p>
    <w:p w14:paraId="2CD6E2F5" w14:textId="5EEDF2CC" w:rsidR="002248F8" w:rsidRDefault="002248F8" w:rsidP="007A78A9">
      <w:pPr>
        <w:spacing w:line="480" w:lineRule="auto"/>
        <w:jc w:val="both"/>
        <w:rPr>
          <w:rFonts w:asciiTheme="majorHAnsi" w:hAnsiTheme="majorHAnsi"/>
          <w:sz w:val="22"/>
          <w:szCs w:val="22"/>
          <w:lang w:val="en-US"/>
        </w:rPr>
      </w:pPr>
      <w:r w:rsidRPr="002248F8">
        <w:rPr>
          <w:rFonts w:asciiTheme="majorHAnsi" w:hAnsiTheme="majorHAnsi"/>
          <w:sz w:val="22"/>
          <w:szCs w:val="22"/>
          <w:lang w:val="en-US"/>
        </w:rPr>
        <w:t xml:space="preserve">The COAPT and MITRA FR protocols require an additional transesophageal echocardiogram (TEE) within 3 days prior to the procedure to rule out the presence of intra-cardiac masses, thrombi, or vegetations. The echocardiogram can be performed just before starting the TEER procedure. If an intra-cardiac mass, thrombus, vegetation, or any other change in echocardiographic eligibility is detected on the TEE performed immediately prior to the mechanical intervention, the subject will not receive the device implantation. In case a blood clot is found, the patient may receive treatment to dissolve it. If successful, the patient should be reevaluated promptly to determine if they are a candidate for the TEER procedure. If a patient has a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implanted and undergoes a subsequent procedure involving the device, the follow-up schedule will be based on the time of the initial implantation.</w:t>
      </w:r>
      <w:r>
        <w:rPr>
          <w:rFonts w:asciiTheme="majorHAnsi" w:hAnsiTheme="majorHAnsi"/>
          <w:sz w:val="22"/>
          <w:szCs w:val="22"/>
          <w:lang w:val="en-US"/>
        </w:rPr>
        <w:t xml:space="preserve"> </w:t>
      </w:r>
      <w:r w:rsidRPr="002248F8">
        <w:rPr>
          <w:rFonts w:asciiTheme="majorHAnsi" w:hAnsiTheme="majorHAnsi"/>
          <w:sz w:val="22"/>
          <w:szCs w:val="22"/>
          <w:lang w:val="en-US"/>
        </w:rPr>
        <w:t>After crossing the transseptal, administer intravenous heparin or alternative anticoagulation therapy according to standard hospital practice. Maintain an activated clotting time of over 250 seconds throughout the procedure.</w:t>
      </w:r>
      <w:r w:rsidR="004D5AFE" w:rsidRPr="004D5AFE">
        <w:rPr>
          <w:rFonts w:ascii="Aptos Display" w:hAnsi="Aptos Display"/>
          <w:sz w:val="22"/>
          <w:szCs w:val="22"/>
          <w:lang w:val="en-US"/>
        </w:rPr>
        <w:t xml:space="preserve"> </w:t>
      </w:r>
      <w:r w:rsidR="004D5AFE">
        <w:rPr>
          <w:rFonts w:ascii="Aptos Display" w:hAnsi="Aptos Display"/>
          <w:sz w:val="22"/>
          <w:szCs w:val="22"/>
          <w:lang w:val="en-US"/>
        </w:rPr>
        <w:t xml:space="preserve">[13,14] </w:t>
      </w:r>
      <w:r w:rsidR="004D5AFE" w:rsidRPr="00184E3A">
        <w:rPr>
          <w:rFonts w:asciiTheme="majorHAnsi" w:hAnsiTheme="majorHAnsi"/>
          <w:sz w:val="22"/>
          <w:szCs w:val="22"/>
          <w:lang w:val="en-US"/>
        </w:rPr>
        <w:t xml:space="preserve"> </w:t>
      </w:r>
    </w:p>
    <w:p w14:paraId="7EA85456" w14:textId="5F1590DB" w:rsidR="002248F8" w:rsidRDefault="002248F8" w:rsidP="007A78A9">
      <w:pPr>
        <w:spacing w:line="480" w:lineRule="auto"/>
        <w:jc w:val="both"/>
        <w:rPr>
          <w:rFonts w:asciiTheme="majorHAnsi" w:hAnsiTheme="majorHAnsi"/>
          <w:sz w:val="22"/>
          <w:szCs w:val="22"/>
          <w:lang w:val="en-US"/>
        </w:rPr>
      </w:pPr>
      <w:r w:rsidRPr="002248F8">
        <w:rPr>
          <w:rFonts w:asciiTheme="majorHAnsi" w:hAnsiTheme="majorHAnsi"/>
          <w:sz w:val="22"/>
          <w:szCs w:val="22"/>
          <w:lang w:val="en-US"/>
        </w:rPr>
        <w:lastRenderedPageBreak/>
        <w:t xml:space="preserve">The steerable guidewire catheter (Guide) is introduced into the femoral vein and advanced across the transseptal puncture site. Fluoroscopic and echocardiographic guidance will be used during the procedure for </w:t>
      </w:r>
      <w:proofErr w:type="spellStart"/>
      <w:r w:rsidRPr="002248F8">
        <w:rPr>
          <w:rFonts w:asciiTheme="majorHAnsi" w:hAnsiTheme="majorHAnsi"/>
          <w:sz w:val="22"/>
          <w:szCs w:val="22"/>
          <w:lang w:val="en-US"/>
        </w:rPr>
        <w:t>visualisation</w:t>
      </w:r>
      <w:proofErr w:type="spellEnd"/>
      <w:r w:rsidRPr="002248F8">
        <w:rPr>
          <w:rFonts w:asciiTheme="majorHAnsi" w:hAnsiTheme="majorHAnsi"/>
          <w:sz w:val="22"/>
          <w:szCs w:val="22"/>
          <w:lang w:val="en-US"/>
        </w:rPr>
        <w:t xml:space="preserve"> of the devices, vasculature and cardiac anatomy.</w:t>
      </w:r>
      <w:r>
        <w:rPr>
          <w:rFonts w:asciiTheme="majorHAnsi" w:hAnsiTheme="majorHAnsi"/>
          <w:sz w:val="22"/>
          <w:szCs w:val="22"/>
          <w:lang w:val="en-US"/>
        </w:rPr>
        <w:t xml:space="preserve"> </w:t>
      </w:r>
      <w:r w:rsidRPr="002248F8">
        <w:rPr>
          <w:rFonts w:asciiTheme="majorHAnsi" w:hAnsiTheme="majorHAnsi"/>
          <w:sz w:val="22"/>
          <w:szCs w:val="22"/>
          <w:lang w:val="en-US"/>
        </w:rPr>
        <w:t xml:space="preserve">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Delivery System is placed into the guide and positioned properly over the </w:t>
      </w:r>
      <w:r>
        <w:rPr>
          <w:rFonts w:asciiTheme="majorHAnsi" w:hAnsiTheme="majorHAnsi"/>
          <w:sz w:val="22"/>
          <w:szCs w:val="22"/>
          <w:lang w:val="en-US"/>
        </w:rPr>
        <w:t xml:space="preserve">MV </w:t>
      </w:r>
      <w:r w:rsidRPr="002248F8">
        <w:rPr>
          <w:rFonts w:asciiTheme="majorHAnsi" w:hAnsiTheme="majorHAnsi"/>
          <w:sz w:val="22"/>
          <w:szCs w:val="22"/>
          <w:lang w:val="en-US"/>
        </w:rPr>
        <w:t xml:space="preserve">.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Delivery Catheter forwards until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protrudes from the tip of the guide into the left atrium. The catheter tip should be manipulated using the control knobs on the handles until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is properly positioned perpendicular to the coaptation line of the </w:t>
      </w:r>
      <w:r>
        <w:rPr>
          <w:rFonts w:asciiTheme="majorHAnsi" w:hAnsiTheme="majorHAnsi"/>
          <w:sz w:val="22"/>
          <w:szCs w:val="22"/>
          <w:lang w:val="en-US"/>
        </w:rPr>
        <w:t>MV</w:t>
      </w:r>
      <w:r w:rsidRPr="002248F8">
        <w:rPr>
          <w:rFonts w:asciiTheme="majorHAnsi" w:hAnsiTheme="majorHAnsi"/>
          <w:sz w:val="22"/>
          <w:szCs w:val="22"/>
          <w:lang w:val="en-US"/>
        </w:rPr>
        <w:t xml:space="preserve">.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is advanced across the </w:t>
      </w:r>
      <w:r>
        <w:rPr>
          <w:rFonts w:asciiTheme="majorHAnsi" w:hAnsiTheme="majorHAnsi"/>
          <w:sz w:val="22"/>
          <w:szCs w:val="22"/>
          <w:lang w:val="en-US"/>
        </w:rPr>
        <w:t>MV</w:t>
      </w:r>
      <w:r w:rsidRPr="002248F8">
        <w:rPr>
          <w:rFonts w:asciiTheme="majorHAnsi" w:hAnsiTheme="majorHAnsi"/>
          <w:sz w:val="22"/>
          <w:szCs w:val="22"/>
          <w:lang w:val="en-US"/>
        </w:rPr>
        <w:t xml:space="preserve"> into the ventricle </w:t>
      </w:r>
      <w:r>
        <w:rPr>
          <w:rFonts w:asciiTheme="majorHAnsi" w:hAnsiTheme="majorHAnsi"/>
          <w:sz w:val="22"/>
          <w:szCs w:val="22"/>
          <w:lang w:val="en-US"/>
        </w:rPr>
        <w:t xml:space="preserve">LV </w:t>
      </w:r>
      <w:r w:rsidRPr="002248F8">
        <w:rPr>
          <w:rFonts w:asciiTheme="majorHAnsi" w:hAnsiTheme="majorHAnsi"/>
          <w:sz w:val="22"/>
          <w:szCs w:val="22"/>
          <w:lang w:val="en-US"/>
        </w:rPr>
        <w:t xml:space="preserve">and then retracted to grasp the leaflets. Two-dimensional and 3-dimensional echocardiography, along with color flow Doppler, are </w:t>
      </w:r>
      <w:proofErr w:type="spellStart"/>
      <w:r w:rsidRPr="002248F8">
        <w:rPr>
          <w:rFonts w:asciiTheme="majorHAnsi" w:hAnsiTheme="majorHAnsi"/>
          <w:sz w:val="22"/>
          <w:szCs w:val="22"/>
          <w:lang w:val="en-US"/>
        </w:rPr>
        <w:t>utilised</w:t>
      </w:r>
      <w:proofErr w:type="spellEnd"/>
      <w:r w:rsidRPr="002248F8">
        <w:rPr>
          <w:rFonts w:asciiTheme="majorHAnsi" w:hAnsiTheme="majorHAnsi"/>
          <w:sz w:val="22"/>
          <w:szCs w:val="22"/>
          <w:lang w:val="en-US"/>
        </w:rPr>
        <w:t xml:space="preserve"> to assess the presence of a double orifice, leaflet insertion,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positioning, and residual MR. If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is not positioned correctly or if MR has not been sufficiently reduced, additional grasping attempts may be made.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may also be inverted in the left atrium if necessary. Once placement is </w:t>
      </w:r>
      <w:r w:rsidR="00EA23DF" w:rsidRPr="00EA23DF">
        <w:rPr>
          <w:rFonts w:asciiTheme="majorHAnsi" w:hAnsiTheme="majorHAnsi"/>
          <w:sz w:val="22"/>
          <w:szCs w:val="22"/>
          <w:lang w:val="en-US"/>
        </w:rPr>
        <w:t>successfully achieved</w:t>
      </w:r>
      <w:r w:rsidRPr="002248F8">
        <w:rPr>
          <w:rFonts w:asciiTheme="majorHAnsi" w:hAnsiTheme="majorHAnsi"/>
          <w:sz w:val="22"/>
          <w:szCs w:val="22"/>
          <w:lang w:val="en-US"/>
        </w:rPr>
        <w:t xml:space="preserve">, the </w:t>
      </w:r>
      <w:proofErr w:type="spellStart"/>
      <w:r w:rsidRPr="002248F8">
        <w:rPr>
          <w:rFonts w:asciiTheme="majorHAnsi" w:hAnsiTheme="majorHAnsi"/>
          <w:sz w:val="22"/>
          <w:szCs w:val="22"/>
          <w:lang w:val="en-US"/>
        </w:rPr>
        <w:t>MitraClip</w:t>
      </w:r>
      <w:proofErr w:type="spellEnd"/>
      <w:r w:rsidRPr="002248F8">
        <w:rPr>
          <w:rFonts w:asciiTheme="majorHAnsi" w:hAnsiTheme="majorHAnsi"/>
          <w:sz w:val="22"/>
          <w:szCs w:val="22"/>
          <w:lang w:val="en-US"/>
        </w:rPr>
        <w:t xml:space="preserve"> device is closed and deployed from the Delivery Catheter. </w:t>
      </w:r>
      <w:r w:rsidR="00EA23DF" w:rsidRPr="00EA23DF">
        <w:rPr>
          <w:rFonts w:asciiTheme="majorHAnsi" w:hAnsiTheme="majorHAnsi"/>
          <w:sz w:val="22"/>
          <w:szCs w:val="22"/>
          <w:lang w:val="en-US"/>
        </w:rPr>
        <w:t>The catheters are then retrieved from the patient.</w:t>
      </w:r>
      <w:r w:rsidR="00EA23DF">
        <w:rPr>
          <w:rFonts w:asciiTheme="majorHAnsi" w:hAnsiTheme="majorHAnsi"/>
          <w:sz w:val="22"/>
          <w:szCs w:val="22"/>
          <w:lang w:val="en-US"/>
        </w:rPr>
        <w:t xml:space="preserve"> </w:t>
      </w:r>
      <w:r w:rsidR="00EA23DF" w:rsidRPr="00EA23DF">
        <w:rPr>
          <w:rFonts w:asciiTheme="majorHAnsi" w:hAnsiTheme="majorHAnsi"/>
          <w:sz w:val="22"/>
          <w:szCs w:val="22"/>
          <w:lang w:val="en-US"/>
        </w:rPr>
        <w:t xml:space="preserve">If the placement of one </w:t>
      </w:r>
      <w:proofErr w:type="spellStart"/>
      <w:r w:rsidR="00EA23DF" w:rsidRPr="00EA23DF">
        <w:rPr>
          <w:rFonts w:asciiTheme="majorHAnsi" w:hAnsiTheme="majorHAnsi"/>
          <w:sz w:val="22"/>
          <w:szCs w:val="22"/>
          <w:lang w:val="en-US"/>
        </w:rPr>
        <w:t>MitraClip</w:t>
      </w:r>
      <w:proofErr w:type="spellEnd"/>
      <w:r w:rsidR="00EA23DF" w:rsidRPr="00EA23DF">
        <w:rPr>
          <w:rFonts w:asciiTheme="majorHAnsi" w:hAnsiTheme="majorHAnsi"/>
          <w:sz w:val="22"/>
          <w:szCs w:val="22"/>
          <w:lang w:val="en-US"/>
        </w:rPr>
        <w:t xml:space="preserve"> device does not sufficiently reduce MR to an acceptable level, a second device may be used to further reduce it. The investigator must ensure that there is enough space in the mitral valve orifice to accommodate the second device without causing stenosis. This trial permits the implantation of a maximum of three </w:t>
      </w:r>
      <w:proofErr w:type="spellStart"/>
      <w:r w:rsidR="00EA23DF" w:rsidRPr="00EA23DF">
        <w:rPr>
          <w:rFonts w:asciiTheme="majorHAnsi" w:hAnsiTheme="majorHAnsi"/>
          <w:sz w:val="22"/>
          <w:szCs w:val="22"/>
          <w:lang w:val="en-US"/>
        </w:rPr>
        <w:t>MitraClip</w:t>
      </w:r>
      <w:proofErr w:type="spellEnd"/>
      <w:r w:rsidR="00EA23DF" w:rsidRPr="00EA23DF">
        <w:rPr>
          <w:rFonts w:asciiTheme="majorHAnsi" w:hAnsiTheme="majorHAnsi"/>
          <w:sz w:val="22"/>
          <w:szCs w:val="22"/>
          <w:lang w:val="en-US"/>
        </w:rPr>
        <w:t xml:space="preserve"> devices per subject.</w:t>
      </w:r>
      <w:r w:rsidR="00730883" w:rsidRPr="00730883">
        <w:rPr>
          <w:rFonts w:ascii="Aptos Display" w:hAnsi="Aptos Display"/>
          <w:sz w:val="22"/>
          <w:szCs w:val="22"/>
          <w:lang w:val="en-US"/>
        </w:rPr>
        <w:t xml:space="preserve"> </w:t>
      </w:r>
      <w:r w:rsidR="00730883">
        <w:rPr>
          <w:rFonts w:ascii="Aptos Display" w:hAnsi="Aptos Display"/>
          <w:sz w:val="22"/>
          <w:szCs w:val="22"/>
          <w:lang w:val="en-US"/>
        </w:rPr>
        <w:t>[13,14]</w:t>
      </w:r>
    </w:p>
    <w:p w14:paraId="4F7AB944" w14:textId="77777777" w:rsidR="00954B5B" w:rsidRDefault="00730883" w:rsidP="00B6651A">
      <w:pPr>
        <w:spacing w:line="480" w:lineRule="auto"/>
        <w:jc w:val="both"/>
        <w:rPr>
          <w:rFonts w:asciiTheme="majorHAnsi" w:hAnsiTheme="majorHAnsi"/>
          <w:sz w:val="22"/>
          <w:szCs w:val="22"/>
          <w:lang w:val="en-US"/>
        </w:rPr>
      </w:pPr>
      <w:r w:rsidRPr="00730883">
        <w:rPr>
          <w:rFonts w:asciiTheme="majorHAnsi" w:hAnsiTheme="majorHAnsi"/>
          <w:sz w:val="22"/>
          <w:szCs w:val="22"/>
          <w:lang w:val="en-US"/>
        </w:rPr>
        <w:t xml:space="preserve">Following the </w:t>
      </w:r>
      <w:proofErr w:type="spellStart"/>
      <w:r w:rsidRPr="00730883">
        <w:rPr>
          <w:rFonts w:asciiTheme="majorHAnsi" w:hAnsiTheme="majorHAnsi"/>
          <w:sz w:val="22"/>
          <w:szCs w:val="22"/>
          <w:lang w:val="en-US"/>
        </w:rPr>
        <w:t>MitraClip</w:t>
      </w:r>
      <w:proofErr w:type="spellEnd"/>
      <w:r w:rsidRPr="00730883">
        <w:rPr>
          <w:rFonts w:asciiTheme="majorHAnsi" w:hAnsiTheme="majorHAnsi"/>
          <w:sz w:val="22"/>
          <w:szCs w:val="22"/>
          <w:lang w:val="en-US"/>
        </w:rPr>
        <w:t xml:space="preserve"> procedure, anticoagulant treatment, e.g. heparin, is discontinued and ACT is monitored according to hospital protocols and international guidelines</w:t>
      </w:r>
      <w:r w:rsidR="00EA23DF" w:rsidRPr="00EA23DF">
        <w:rPr>
          <w:rFonts w:asciiTheme="majorHAnsi" w:hAnsiTheme="majorHAnsi"/>
          <w:sz w:val="22"/>
          <w:szCs w:val="22"/>
          <w:lang w:val="en-US"/>
        </w:rPr>
        <w:t>.</w:t>
      </w:r>
      <w:r w:rsidRPr="00730883">
        <w:rPr>
          <w:rFonts w:ascii="Aptos Display" w:hAnsi="Aptos Display"/>
          <w:sz w:val="22"/>
          <w:szCs w:val="22"/>
          <w:lang w:val="en-US"/>
        </w:rPr>
        <w:t xml:space="preserve"> </w:t>
      </w:r>
      <w:r>
        <w:rPr>
          <w:rFonts w:ascii="Aptos Display" w:hAnsi="Aptos Display"/>
          <w:sz w:val="22"/>
          <w:szCs w:val="22"/>
          <w:lang w:val="en-US"/>
        </w:rPr>
        <w:t xml:space="preserve">[15,16] </w:t>
      </w:r>
      <w:r w:rsidR="00EA23DF" w:rsidRPr="00EA23DF">
        <w:rPr>
          <w:rFonts w:asciiTheme="majorHAnsi" w:hAnsiTheme="majorHAnsi"/>
          <w:sz w:val="22"/>
          <w:szCs w:val="22"/>
          <w:lang w:val="en-US"/>
        </w:rPr>
        <w:t xml:space="preserve"> According to usual hospital practice, vascular sheaths will be removed. Subjects will receive standard care following cardiac catheterization, as deemed appropriate by the investigator. For the first month after the </w:t>
      </w:r>
      <w:proofErr w:type="spellStart"/>
      <w:r w:rsidR="00EA23DF" w:rsidRPr="00EA23DF">
        <w:rPr>
          <w:rFonts w:asciiTheme="majorHAnsi" w:hAnsiTheme="majorHAnsi"/>
          <w:sz w:val="22"/>
          <w:szCs w:val="22"/>
          <w:lang w:val="en-US"/>
        </w:rPr>
        <w:t>MitraClip</w:t>
      </w:r>
      <w:proofErr w:type="spellEnd"/>
      <w:r w:rsidR="00EA23DF" w:rsidRPr="00EA23DF">
        <w:rPr>
          <w:rFonts w:asciiTheme="majorHAnsi" w:hAnsiTheme="majorHAnsi"/>
          <w:sz w:val="22"/>
          <w:szCs w:val="22"/>
          <w:lang w:val="en-US"/>
        </w:rPr>
        <w:t xml:space="preserve"> procedure or longer, as deemed appropriate by the investigator, subjects should be instructed to limit vigorous physical exercise.</w:t>
      </w:r>
      <w:r w:rsidR="00B6651A">
        <w:rPr>
          <w:rFonts w:asciiTheme="majorHAnsi" w:hAnsiTheme="majorHAnsi"/>
          <w:sz w:val="22"/>
          <w:szCs w:val="22"/>
          <w:lang w:val="en-US"/>
        </w:rPr>
        <w:t xml:space="preserve"> </w:t>
      </w:r>
    </w:p>
    <w:p w14:paraId="3F6D15D9" w14:textId="5B39B90C" w:rsidR="00EA23DF" w:rsidRPr="002248F8" w:rsidRDefault="00B6651A" w:rsidP="00B6651A">
      <w:pPr>
        <w:spacing w:line="480" w:lineRule="auto"/>
        <w:jc w:val="both"/>
        <w:rPr>
          <w:rFonts w:asciiTheme="majorHAnsi" w:hAnsiTheme="majorHAnsi"/>
          <w:sz w:val="22"/>
          <w:szCs w:val="22"/>
          <w:lang w:val="en-US"/>
        </w:rPr>
      </w:pPr>
      <w:r w:rsidRPr="00B6651A">
        <w:rPr>
          <w:rFonts w:asciiTheme="majorHAnsi" w:hAnsiTheme="majorHAnsi"/>
          <w:sz w:val="22"/>
          <w:szCs w:val="22"/>
          <w:lang w:val="en-US"/>
        </w:rPr>
        <w:t xml:space="preserve">Provide additional intravenous doses of antibiotics at approximately 6 and 12 hours (or according to institutional guidelines) after the procedure is considered to be finished. It is important to inform all patients receiving the </w:t>
      </w:r>
      <w:proofErr w:type="spellStart"/>
      <w:r w:rsidRPr="00B6651A">
        <w:rPr>
          <w:rFonts w:asciiTheme="majorHAnsi" w:hAnsiTheme="majorHAnsi"/>
          <w:sz w:val="22"/>
          <w:szCs w:val="22"/>
          <w:lang w:val="en-US"/>
        </w:rPr>
        <w:t>MitraClip</w:t>
      </w:r>
      <w:proofErr w:type="spellEnd"/>
      <w:r w:rsidRPr="00B6651A">
        <w:rPr>
          <w:rFonts w:asciiTheme="majorHAnsi" w:hAnsiTheme="majorHAnsi"/>
          <w:sz w:val="22"/>
          <w:szCs w:val="22"/>
          <w:lang w:val="en-US"/>
        </w:rPr>
        <w:t xml:space="preserve"> device about the need for endocarditis prophylaxis in accordance with the ACC/AHA 20</w:t>
      </w:r>
      <w:r w:rsidR="004D5AFE">
        <w:rPr>
          <w:rFonts w:asciiTheme="majorHAnsi" w:hAnsiTheme="majorHAnsi"/>
          <w:sz w:val="22"/>
          <w:szCs w:val="22"/>
          <w:lang w:val="en-US"/>
        </w:rPr>
        <w:t>20</w:t>
      </w:r>
      <w:r w:rsidRPr="00B6651A">
        <w:rPr>
          <w:rFonts w:asciiTheme="majorHAnsi" w:hAnsiTheme="majorHAnsi"/>
          <w:sz w:val="22"/>
          <w:szCs w:val="22"/>
          <w:lang w:val="en-US"/>
        </w:rPr>
        <w:t xml:space="preserve"> update guidelines</w:t>
      </w:r>
      <w:r w:rsidR="00954B5B">
        <w:rPr>
          <w:rFonts w:asciiTheme="majorHAnsi" w:hAnsiTheme="majorHAnsi"/>
          <w:sz w:val="22"/>
          <w:szCs w:val="22"/>
          <w:lang w:val="en-US"/>
        </w:rPr>
        <w:t xml:space="preserve"> and</w:t>
      </w:r>
      <w:r w:rsidR="00954B5B" w:rsidRPr="002D1109">
        <w:rPr>
          <w:rFonts w:ascii="Aptos Display" w:hAnsi="Aptos Display"/>
          <w:color w:val="000000" w:themeColor="text1"/>
          <w:sz w:val="20"/>
          <w:szCs w:val="20"/>
          <w:lang w:val="en-US"/>
        </w:rPr>
        <w:t xml:space="preserve"> </w:t>
      </w:r>
      <w:hyperlink r:id="rId6" w:history="1">
        <w:r w:rsidR="00954B5B" w:rsidRPr="002D1109">
          <w:rPr>
            <w:rStyle w:val="Collegamentoipertestuale"/>
            <w:rFonts w:ascii="Aptos Display" w:hAnsi="Aptos Display"/>
            <w:color w:val="000000" w:themeColor="text1"/>
            <w:sz w:val="20"/>
            <w:szCs w:val="20"/>
            <w:u w:val="none"/>
            <w:lang w:val="en-US"/>
          </w:rPr>
          <w:t>2023 ESC Guidelines for the management of endocarditis.</w:t>
        </w:r>
      </w:hyperlink>
      <w:r w:rsidR="00954B5B">
        <w:rPr>
          <w:rFonts w:asciiTheme="majorHAnsi" w:hAnsiTheme="majorHAnsi"/>
          <w:sz w:val="22"/>
          <w:szCs w:val="22"/>
          <w:lang w:val="en-US"/>
        </w:rPr>
        <w:t xml:space="preserve"> </w:t>
      </w:r>
      <w:r w:rsidR="004D5AFE">
        <w:rPr>
          <w:rFonts w:ascii="Aptos Display" w:hAnsi="Aptos Display"/>
          <w:sz w:val="22"/>
          <w:szCs w:val="22"/>
          <w:lang w:val="en-US"/>
        </w:rPr>
        <w:t>[15</w:t>
      </w:r>
      <w:r w:rsidR="00954B5B">
        <w:rPr>
          <w:rFonts w:ascii="Aptos Display" w:hAnsi="Aptos Display"/>
          <w:sz w:val="22"/>
          <w:szCs w:val="22"/>
          <w:lang w:val="en-US"/>
        </w:rPr>
        <w:t>,17</w:t>
      </w:r>
      <w:r w:rsidR="004D5AFE">
        <w:rPr>
          <w:rFonts w:ascii="Aptos Display" w:hAnsi="Aptos Display"/>
          <w:sz w:val="22"/>
          <w:szCs w:val="22"/>
          <w:lang w:val="en-US"/>
        </w:rPr>
        <w:t xml:space="preserve">] </w:t>
      </w:r>
      <w:r w:rsidRPr="00B6651A">
        <w:rPr>
          <w:rFonts w:asciiTheme="majorHAnsi" w:hAnsiTheme="majorHAnsi"/>
          <w:sz w:val="22"/>
          <w:szCs w:val="22"/>
          <w:lang w:val="en-US"/>
        </w:rPr>
        <w:t xml:space="preserve"> The subject may receive a prescription for endocarditis prophylaxis upon discharge.</w:t>
      </w:r>
      <w:r>
        <w:rPr>
          <w:rFonts w:asciiTheme="majorHAnsi" w:hAnsiTheme="majorHAnsi"/>
          <w:sz w:val="22"/>
          <w:szCs w:val="22"/>
          <w:lang w:val="en-US"/>
        </w:rPr>
        <w:t xml:space="preserve"> </w:t>
      </w:r>
      <w:r w:rsidRPr="00B6651A">
        <w:rPr>
          <w:rFonts w:asciiTheme="majorHAnsi" w:hAnsiTheme="majorHAnsi"/>
          <w:sz w:val="22"/>
          <w:szCs w:val="22"/>
          <w:lang w:val="en-US"/>
        </w:rPr>
        <w:t xml:space="preserve">After the TEER  is performed, </w:t>
      </w:r>
      <w:r w:rsidRPr="00B6651A">
        <w:rPr>
          <w:rFonts w:asciiTheme="majorHAnsi" w:hAnsiTheme="majorHAnsi"/>
          <w:sz w:val="22"/>
          <w:szCs w:val="22"/>
          <w:lang w:val="en-US"/>
        </w:rPr>
        <w:lastRenderedPageBreak/>
        <w:t xml:space="preserve">anticoagulation therapy is prescribed. If a loading dose of clopidogrel was not administered prior to the </w:t>
      </w:r>
      <w:proofErr w:type="spellStart"/>
      <w:r w:rsidRPr="00B6651A">
        <w:rPr>
          <w:rFonts w:asciiTheme="majorHAnsi" w:hAnsiTheme="majorHAnsi"/>
          <w:sz w:val="22"/>
          <w:szCs w:val="22"/>
          <w:lang w:val="en-US"/>
        </w:rPr>
        <w:t>MitraClip</w:t>
      </w:r>
      <w:proofErr w:type="spellEnd"/>
      <w:r w:rsidRPr="00B6651A">
        <w:rPr>
          <w:rFonts w:asciiTheme="majorHAnsi" w:hAnsiTheme="majorHAnsi"/>
          <w:sz w:val="22"/>
          <w:szCs w:val="22"/>
          <w:lang w:val="en-US"/>
        </w:rPr>
        <w:t xml:space="preserve"> procedure, it should be given as soon as possible after the procedure. Anticoagulation after TEER procedure is as follows:</w:t>
      </w:r>
      <w:r>
        <w:rPr>
          <w:rFonts w:asciiTheme="majorHAnsi" w:hAnsiTheme="majorHAnsi"/>
          <w:sz w:val="22"/>
          <w:szCs w:val="22"/>
          <w:lang w:val="en-US"/>
        </w:rPr>
        <w:t xml:space="preserve"> 1) </w:t>
      </w:r>
      <w:r w:rsidRPr="00B6651A">
        <w:rPr>
          <w:rFonts w:asciiTheme="majorHAnsi" w:hAnsiTheme="majorHAnsi"/>
          <w:sz w:val="22"/>
          <w:szCs w:val="22"/>
          <w:lang w:val="en-US"/>
        </w:rPr>
        <w:t xml:space="preserve">Recommence warfarin, dabigatran or factor </w:t>
      </w:r>
      <w:proofErr w:type="spellStart"/>
      <w:r w:rsidRPr="00B6651A">
        <w:rPr>
          <w:rFonts w:asciiTheme="majorHAnsi" w:hAnsiTheme="majorHAnsi"/>
          <w:sz w:val="22"/>
          <w:szCs w:val="22"/>
          <w:lang w:val="en-US"/>
        </w:rPr>
        <w:t>Xa</w:t>
      </w:r>
      <w:proofErr w:type="spellEnd"/>
      <w:r w:rsidRPr="00B6651A">
        <w:rPr>
          <w:rFonts w:asciiTheme="majorHAnsi" w:hAnsiTheme="majorHAnsi"/>
          <w:sz w:val="22"/>
          <w:szCs w:val="22"/>
          <w:lang w:val="en-US"/>
        </w:rPr>
        <w:t xml:space="preserve"> inhibitor at the same dosage as before the </w:t>
      </w:r>
      <w:proofErr w:type="spellStart"/>
      <w:r w:rsidRPr="00B6651A">
        <w:rPr>
          <w:rFonts w:asciiTheme="majorHAnsi" w:hAnsiTheme="majorHAnsi"/>
          <w:sz w:val="22"/>
          <w:szCs w:val="22"/>
          <w:lang w:val="en-US"/>
        </w:rPr>
        <w:t>MitraClip</w:t>
      </w:r>
      <w:proofErr w:type="spellEnd"/>
      <w:r w:rsidRPr="00B6651A">
        <w:rPr>
          <w:rFonts w:asciiTheme="majorHAnsi" w:hAnsiTheme="majorHAnsi"/>
          <w:sz w:val="22"/>
          <w:szCs w:val="22"/>
          <w:lang w:val="en-US"/>
        </w:rPr>
        <w:t xml:space="preserve"> procedure, or as directed</w:t>
      </w:r>
      <w:r w:rsidR="00184E3A">
        <w:rPr>
          <w:rFonts w:asciiTheme="majorHAnsi" w:hAnsiTheme="majorHAnsi"/>
          <w:sz w:val="22"/>
          <w:szCs w:val="22"/>
          <w:lang w:val="en-US"/>
        </w:rPr>
        <w:t xml:space="preserve"> or</w:t>
      </w:r>
      <w:r>
        <w:rPr>
          <w:rFonts w:asciiTheme="majorHAnsi" w:hAnsiTheme="majorHAnsi"/>
          <w:sz w:val="22"/>
          <w:szCs w:val="22"/>
          <w:lang w:val="en-US"/>
        </w:rPr>
        <w:t xml:space="preserve"> </w:t>
      </w:r>
      <w:r w:rsidRPr="00B6651A">
        <w:rPr>
          <w:rFonts w:asciiTheme="majorHAnsi" w:hAnsiTheme="majorHAnsi"/>
          <w:sz w:val="22"/>
          <w:szCs w:val="22"/>
          <w:lang w:val="en-US"/>
        </w:rPr>
        <w:t>2</w:t>
      </w:r>
      <w:r w:rsidR="00184E3A">
        <w:rPr>
          <w:rFonts w:asciiTheme="majorHAnsi" w:hAnsiTheme="majorHAnsi"/>
          <w:sz w:val="22"/>
          <w:szCs w:val="22"/>
          <w:lang w:val="en-US"/>
        </w:rPr>
        <w:t xml:space="preserve">) </w:t>
      </w:r>
      <w:r w:rsidRPr="00B6651A">
        <w:rPr>
          <w:rFonts w:asciiTheme="majorHAnsi" w:hAnsiTheme="majorHAnsi"/>
          <w:sz w:val="22"/>
          <w:szCs w:val="22"/>
          <w:lang w:val="en-US"/>
        </w:rPr>
        <w:t>Initiate a daily dose of 81-325 mg of acetylsalicylic acid (ASA) for a period of 6 months or longer, as determined by the Investigator and if deemed necessary.</w:t>
      </w:r>
      <w:r w:rsidR="00730883">
        <w:rPr>
          <w:rFonts w:asciiTheme="majorHAnsi" w:hAnsiTheme="majorHAnsi"/>
          <w:sz w:val="22"/>
          <w:szCs w:val="22"/>
          <w:lang w:val="en-US"/>
        </w:rPr>
        <w:t xml:space="preserve"> </w:t>
      </w:r>
      <w:r w:rsidR="00730883">
        <w:rPr>
          <w:rFonts w:ascii="Aptos Display" w:hAnsi="Aptos Display"/>
          <w:sz w:val="22"/>
          <w:szCs w:val="22"/>
          <w:lang w:val="en-US"/>
        </w:rPr>
        <w:t xml:space="preserve">[15,16] </w:t>
      </w:r>
      <w:r w:rsidR="00730883" w:rsidRPr="00EA23DF">
        <w:rPr>
          <w:rFonts w:asciiTheme="majorHAnsi" w:hAnsiTheme="majorHAnsi"/>
          <w:sz w:val="22"/>
          <w:szCs w:val="22"/>
          <w:lang w:val="en-US"/>
        </w:rPr>
        <w:t xml:space="preserve"> </w:t>
      </w:r>
    </w:p>
    <w:p w14:paraId="6012DF23" w14:textId="77777777" w:rsidR="009C4477" w:rsidRDefault="009C4477" w:rsidP="00AA46CE">
      <w:pPr>
        <w:spacing w:line="480" w:lineRule="auto"/>
        <w:jc w:val="both"/>
        <w:rPr>
          <w:rFonts w:asciiTheme="majorHAnsi" w:hAnsiTheme="majorHAnsi"/>
          <w:sz w:val="22"/>
          <w:szCs w:val="22"/>
          <w:lang w:val="en-US"/>
        </w:rPr>
      </w:pPr>
    </w:p>
    <w:p w14:paraId="6F67879A" w14:textId="0A3CF86B" w:rsidR="00AA46CE" w:rsidRPr="00AA46CE" w:rsidRDefault="00AA46CE" w:rsidP="00AA46CE">
      <w:pPr>
        <w:spacing w:line="480" w:lineRule="auto"/>
        <w:jc w:val="both"/>
        <w:rPr>
          <w:rFonts w:asciiTheme="majorHAnsi" w:hAnsiTheme="majorHAnsi"/>
          <w:b/>
          <w:bCs/>
          <w:i/>
          <w:iCs/>
          <w:sz w:val="22"/>
          <w:szCs w:val="22"/>
          <w:lang w:val="en-US"/>
        </w:rPr>
      </w:pPr>
      <w:r w:rsidRPr="00AA46CE">
        <w:rPr>
          <w:rFonts w:asciiTheme="majorHAnsi" w:hAnsiTheme="majorHAnsi"/>
          <w:b/>
          <w:bCs/>
          <w:i/>
          <w:iCs/>
          <w:sz w:val="22"/>
          <w:szCs w:val="22"/>
          <w:lang w:val="en-US"/>
        </w:rPr>
        <w:t>Other therapeutics</w:t>
      </w:r>
    </w:p>
    <w:p w14:paraId="7F93FFFC" w14:textId="77777777" w:rsidR="00AA46CE" w:rsidRPr="00AA46CE" w:rsidRDefault="00AA46CE" w:rsidP="00AA46CE">
      <w:pPr>
        <w:pStyle w:val="Paragrafoelenco"/>
        <w:numPr>
          <w:ilvl w:val="0"/>
          <w:numId w:val="7"/>
        </w:numPr>
        <w:spacing w:line="480" w:lineRule="auto"/>
        <w:jc w:val="both"/>
        <w:rPr>
          <w:rFonts w:asciiTheme="majorHAnsi" w:hAnsiTheme="majorHAnsi"/>
          <w:b/>
          <w:bCs/>
          <w:sz w:val="22"/>
          <w:szCs w:val="22"/>
          <w:lang w:val="en-US"/>
        </w:rPr>
      </w:pPr>
      <w:r w:rsidRPr="00AA46CE">
        <w:rPr>
          <w:rFonts w:asciiTheme="majorHAnsi" w:hAnsiTheme="majorHAnsi"/>
          <w:b/>
          <w:bCs/>
          <w:sz w:val="22"/>
          <w:szCs w:val="22"/>
          <w:lang w:val="en-US"/>
        </w:rPr>
        <w:t>GDMT</w:t>
      </w:r>
    </w:p>
    <w:p w14:paraId="21F17F17" w14:textId="69C0D1C3" w:rsidR="00AA46CE" w:rsidRDefault="00AA46CE" w:rsidP="00AA46CE">
      <w:pPr>
        <w:spacing w:line="480" w:lineRule="auto"/>
        <w:jc w:val="both"/>
        <w:rPr>
          <w:rFonts w:asciiTheme="majorHAnsi" w:hAnsiTheme="majorHAnsi"/>
          <w:sz w:val="22"/>
          <w:szCs w:val="22"/>
          <w:lang w:val="en-US"/>
        </w:rPr>
      </w:pPr>
      <w:r w:rsidRPr="00AA46CE">
        <w:rPr>
          <w:rFonts w:asciiTheme="majorHAnsi" w:hAnsiTheme="majorHAnsi"/>
          <w:sz w:val="22"/>
          <w:szCs w:val="22"/>
          <w:lang w:val="en-US"/>
        </w:rPr>
        <w:t xml:space="preserve">Patients should receive standard medical treatment for their coronary artery disease, mitral valve regurgitation, and any other coexisting conditions as per current medical guidelines. This may include beta-blocker therapy, angiotensin converting enzyme (ACE) inhibitors or ARBs, platelet aggregation inhibitors, statin therapy, aldosterone antagonists, implantable cardiac defibrillators and cardiac </w:t>
      </w:r>
      <w:proofErr w:type="spellStart"/>
      <w:r w:rsidRPr="00AA46CE">
        <w:rPr>
          <w:rFonts w:asciiTheme="majorHAnsi" w:hAnsiTheme="majorHAnsi"/>
          <w:sz w:val="22"/>
          <w:szCs w:val="22"/>
          <w:lang w:val="en-US"/>
        </w:rPr>
        <w:t>resynchronisation</w:t>
      </w:r>
      <w:proofErr w:type="spellEnd"/>
      <w:r w:rsidRPr="00AA46CE">
        <w:rPr>
          <w:rFonts w:asciiTheme="majorHAnsi" w:hAnsiTheme="majorHAnsi"/>
          <w:sz w:val="22"/>
          <w:szCs w:val="22"/>
          <w:lang w:val="en-US"/>
        </w:rPr>
        <w:t xml:space="preserve"> therapy if clinically appropriate and well-tolerated. The guidelines for medical management will be updated by a clinical management committee by each heart team</w:t>
      </w:r>
      <w:r w:rsidR="004D5AFE">
        <w:rPr>
          <w:rFonts w:asciiTheme="majorHAnsi" w:hAnsiTheme="majorHAnsi"/>
          <w:sz w:val="22"/>
          <w:szCs w:val="22"/>
          <w:lang w:val="en-US"/>
        </w:rPr>
        <w:t xml:space="preserve"> </w:t>
      </w:r>
      <w:r w:rsidR="00730883">
        <w:rPr>
          <w:rFonts w:ascii="Aptos Display" w:hAnsi="Aptos Display"/>
          <w:sz w:val="22"/>
          <w:szCs w:val="22"/>
          <w:lang w:val="en-US"/>
        </w:rPr>
        <w:t xml:space="preserve">[15,16] </w:t>
      </w:r>
      <w:r w:rsidR="00730883" w:rsidRPr="00EA23DF">
        <w:rPr>
          <w:rFonts w:asciiTheme="majorHAnsi" w:hAnsiTheme="majorHAnsi"/>
          <w:sz w:val="22"/>
          <w:szCs w:val="22"/>
          <w:lang w:val="en-US"/>
        </w:rPr>
        <w:t xml:space="preserve"> </w:t>
      </w:r>
    </w:p>
    <w:p w14:paraId="667CE831" w14:textId="3F451718" w:rsidR="00D63F73" w:rsidRDefault="00D63F73" w:rsidP="00D63F73">
      <w:pPr>
        <w:pStyle w:val="Paragrafoelenco"/>
        <w:numPr>
          <w:ilvl w:val="0"/>
          <w:numId w:val="15"/>
        </w:numPr>
        <w:spacing w:line="480" w:lineRule="auto"/>
        <w:jc w:val="both"/>
        <w:rPr>
          <w:rFonts w:asciiTheme="majorHAnsi" w:hAnsiTheme="majorHAnsi"/>
          <w:b/>
          <w:bCs/>
          <w:sz w:val="22"/>
          <w:szCs w:val="22"/>
          <w:lang w:val="en-US"/>
        </w:rPr>
      </w:pPr>
      <w:r w:rsidRPr="00D63F73">
        <w:rPr>
          <w:rFonts w:asciiTheme="majorHAnsi" w:hAnsiTheme="majorHAnsi"/>
          <w:b/>
          <w:bCs/>
          <w:sz w:val="22"/>
          <w:szCs w:val="22"/>
          <w:lang w:val="en-US"/>
        </w:rPr>
        <w:t>Managing Postoperative Atrial Fibrillation</w:t>
      </w:r>
      <w:r>
        <w:rPr>
          <w:rFonts w:asciiTheme="majorHAnsi" w:hAnsiTheme="majorHAnsi"/>
          <w:b/>
          <w:bCs/>
          <w:sz w:val="22"/>
          <w:szCs w:val="22"/>
          <w:lang w:val="en-US"/>
        </w:rPr>
        <w:t xml:space="preserve"> (AF)</w:t>
      </w:r>
    </w:p>
    <w:p w14:paraId="31F609EF" w14:textId="5B2DEBB2" w:rsidR="00D63F73" w:rsidRPr="00D63F73" w:rsidRDefault="00D63F73" w:rsidP="0055640C">
      <w:pPr>
        <w:spacing w:line="480" w:lineRule="auto"/>
        <w:jc w:val="both"/>
        <w:rPr>
          <w:rFonts w:asciiTheme="majorHAnsi" w:hAnsiTheme="majorHAnsi"/>
          <w:sz w:val="22"/>
          <w:szCs w:val="22"/>
          <w:lang w:val="en-US"/>
        </w:rPr>
      </w:pPr>
      <w:r w:rsidRPr="00D63F73">
        <w:rPr>
          <w:rFonts w:asciiTheme="majorHAnsi" w:hAnsiTheme="majorHAnsi"/>
          <w:sz w:val="22"/>
          <w:szCs w:val="22"/>
          <w:lang w:val="en-US"/>
        </w:rPr>
        <w:t>Post-operative</w:t>
      </w:r>
      <w:r>
        <w:rPr>
          <w:rFonts w:asciiTheme="majorHAnsi" w:hAnsiTheme="majorHAnsi"/>
          <w:sz w:val="22"/>
          <w:szCs w:val="22"/>
          <w:lang w:val="en-US"/>
        </w:rPr>
        <w:t xml:space="preserve"> AF </w:t>
      </w:r>
      <w:r w:rsidRPr="00D63F73">
        <w:rPr>
          <w:rFonts w:asciiTheme="majorHAnsi" w:hAnsiTheme="majorHAnsi"/>
          <w:sz w:val="22"/>
          <w:szCs w:val="22"/>
          <w:lang w:val="en-US"/>
        </w:rPr>
        <w:t>will be assessed by the following criteria</w:t>
      </w:r>
      <w:r>
        <w:rPr>
          <w:rFonts w:asciiTheme="majorHAnsi" w:hAnsiTheme="majorHAnsi"/>
          <w:sz w:val="22"/>
          <w:szCs w:val="22"/>
          <w:lang w:val="en-US"/>
        </w:rPr>
        <w:t xml:space="preserve">. </w:t>
      </w:r>
      <w:r w:rsidRPr="00D63F73">
        <w:rPr>
          <w:rFonts w:asciiTheme="majorHAnsi" w:hAnsiTheme="majorHAnsi"/>
          <w:sz w:val="22"/>
          <w:szCs w:val="22"/>
          <w:lang w:val="en-US"/>
        </w:rPr>
        <w:t>To control the ventricular response rate in</w:t>
      </w:r>
      <w:r>
        <w:rPr>
          <w:rFonts w:asciiTheme="majorHAnsi" w:hAnsiTheme="majorHAnsi"/>
          <w:sz w:val="22"/>
          <w:szCs w:val="22"/>
          <w:lang w:val="en-US"/>
        </w:rPr>
        <w:t xml:space="preserve"> </w:t>
      </w:r>
      <w:r w:rsidRPr="00D63F73">
        <w:rPr>
          <w:rFonts w:asciiTheme="majorHAnsi" w:hAnsiTheme="majorHAnsi"/>
          <w:sz w:val="22"/>
          <w:szCs w:val="22"/>
          <w:lang w:val="en-US"/>
        </w:rPr>
        <w:t xml:space="preserve">postoperative </w:t>
      </w:r>
      <w:r>
        <w:rPr>
          <w:rFonts w:asciiTheme="majorHAnsi" w:hAnsiTheme="majorHAnsi"/>
          <w:sz w:val="22"/>
          <w:szCs w:val="22"/>
          <w:lang w:val="en-US"/>
        </w:rPr>
        <w:t xml:space="preserve">AF </w:t>
      </w:r>
      <w:r w:rsidRPr="00D63F73">
        <w:rPr>
          <w:rFonts w:asciiTheme="majorHAnsi" w:hAnsiTheme="majorHAnsi"/>
          <w:sz w:val="22"/>
          <w:szCs w:val="22"/>
          <w:lang w:val="en-US"/>
        </w:rPr>
        <w:t xml:space="preserve">, beta-blockers are recommended as the first-line therapy for rate control. If beta-blockers are contraindicated, </w:t>
      </w:r>
      <w:proofErr w:type="spellStart"/>
      <w:r w:rsidRPr="00D63F73">
        <w:rPr>
          <w:rFonts w:asciiTheme="majorHAnsi" w:hAnsiTheme="majorHAnsi"/>
          <w:sz w:val="22"/>
          <w:szCs w:val="22"/>
          <w:lang w:val="en-US"/>
        </w:rPr>
        <w:t>nondihydropyridine</w:t>
      </w:r>
      <w:proofErr w:type="spellEnd"/>
      <w:r w:rsidRPr="00D63F73">
        <w:rPr>
          <w:rFonts w:asciiTheme="majorHAnsi" w:hAnsiTheme="majorHAnsi"/>
          <w:sz w:val="22"/>
          <w:szCs w:val="22"/>
          <w:lang w:val="en-US"/>
        </w:rPr>
        <w:t xml:space="preserve"> calcium channel blockers should be used as second-line agents.</w:t>
      </w:r>
      <w:r>
        <w:rPr>
          <w:rFonts w:asciiTheme="majorHAnsi" w:hAnsiTheme="majorHAnsi"/>
          <w:sz w:val="22"/>
          <w:szCs w:val="22"/>
          <w:lang w:val="en-US"/>
        </w:rPr>
        <w:t xml:space="preserve"> </w:t>
      </w:r>
      <w:r w:rsidRPr="00D63F73">
        <w:rPr>
          <w:rFonts w:asciiTheme="majorHAnsi" w:hAnsiTheme="majorHAnsi"/>
          <w:sz w:val="22"/>
          <w:szCs w:val="22"/>
          <w:lang w:val="en-US"/>
        </w:rPr>
        <w:t>In patients with coronary artery disease who</w:t>
      </w:r>
      <w:r>
        <w:rPr>
          <w:rFonts w:asciiTheme="majorHAnsi" w:hAnsiTheme="majorHAnsi"/>
          <w:sz w:val="22"/>
          <w:szCs w:val="22"/>
          <w:lang w:val="en-US"/>
        </w:rPr>
        <w:t xml:space="preserve"> </w:t>
      </w:r>
      <w:r w:rsidRPr="00D63F73">
        <w:rPr>
          <w:rFonts w:asciiTheme="majorHAnsi" w:hAnsiTheme="majorHAnsi"/>
          <w:sz w:val="22"/>
          <w:szCs w:val="22"/>
          <w:lang w:val="en-US"/>
        </w:rPr>
        <w:t>do not have congestive heart failure, converting to normal sinus rhythm can be achieved with Sotalol or class 1A antiarrhythmic drugs. For patients with depressed left ventricular function, amiodarone therapy is recommended.</w:t>
      </w:r>
      <w:r>
        <w:rPr>
          <w:rFonts w:asciiTheme="majorHAnsi" w:hAnsiTheme="majorHAnsi"/>
          <w:sz w:val="22"/>
          <w:szCs w:val="22"/>
          <w:lang w:val="en-US"/>
        </w:rPr>
        <w:t xml:space="preserve"> </w:t>
      </w:r>
      <w:r w:rsidR="0055640C" w:rsidRPr="0055640C">
        <w:rPr>
          <w:rFonts w:asciiTheme="majorHAnsi" w:hAnsiTheme="majorHAnsi"/>
          <w:sz w:val="22"/>
          <w:szCs w:val="22"/>
          <w:lang w:val="en-US"/>
        </w:rPr>
        <w:t xml:space="preserve">If postoperative </w:t>
      </w:r>
      <w:r w:rsidR="0055640C">
        <w:rPr>
          <w:rFonts w:asciiTheme="majorHAnsi" w:hAnsiTheme="majorHAnsi"/>
          <w:sz w:val="22"/>
          <w:szCs w:val="22"/>
          <w:lang w:val="en-US"/>
        </w:rPr>
        <w:t xml:space="preserve">AF </w:t>
      </w:r>
      <w:r w:rsidR="0055640C" w:rsidRPr="0055640C">
        <w:rPr>
          <w:rFonts w:asciiTheme="majorHAnsi" w:hAnsiTheme="majorHAnsi"/>
          <w:sz w:val="22"/>
          <w:szCs w:val="22"/>
          <w:lang w:val="en-US"/>
        </w:rPr>
        <w:t xml:space="preserve">atrial  </w:t>
      </w:r>
      <w:r w:rsidR="0055640C">
        <w:rPr>
          <w:rFonts w:asciiTheme="majorHAnsi" w:hAnsiTheme="majorHAnsi"/>
          <w:sz w:val="22"/>
          <w:szCs w:val="22"/>
          <w:lang w:val="en-US"/>
        </w:rPr>
        <w:t>remains</w:t>
      </w:r>
      <w:r w:rsidR="0055640C" w:rsidRPr="0055640C">
        <w:rPr>
          <w:rFonts w:asciiTheme="majorHAnsi" w:hAnsiTheme="majorHAnsi"/>
          <w:sz w:val="22"/>
          <w:szCs w:val="22"/>
          <w:lang w:val="en-US"/>
        </w:rPr>
        <w:t xml:space="preserve"> or is recurrent for more than 24 hours, anticoagulation with warfarin is advised for 4 to 8 weeks or at least 30 days after return of sinus rhythm.</w:t>
      </w:r>
      <w:r w:rsidR="0055640C">
        <w:rPr>
          <w:rFonts w:asciiTheme="majorHAnsi" w:hAnsiTheme="majorHAnsi"/>
          <w:sz w:val="22"/>
          <w:szCs w:val="22"/>
          <w:lang w:val="en-US"/>
        </w:rPr>
        <w:t xml:space="preserve"> </w:t>
      </w:r>
      <w:r w:rsidR="0055640C" w:rsidRPr="0055640C">
        <w:rPr>
          <w:rFonts w:asciiTheme="majorHAnsi" w:hAnsiTheme="majorHAnsi"/>
          <w:sz w:val="22"/>
          <w:szCs w:val="22"/>
          <w:lang w:val="en-US"/>
        </w:rPr>
        <w:t>To reduce the incidence of</w:t>
      </w:r>
      <w:r w:rsidR="0055640C">
        <w:rPr>
          <w:rFonts w:asciiTheme="majorHAnsi" w:hAnsiTheme="majorHAnsi"/>
          <w:sz w:val="22"/>
          <w:szCs w:val="22"/>
          <w:lang w:val="en-US"/>
        </w:rPr>
        <w:t xml:space="preserve"> AF</w:t>
      </w:r>
      <w:r w:rsidR="0055640C" w:rsidRPr="0055640C">
        <w:rPr>
          <w:rFonts w:asciiTheme="majorHAnsi" w:hAnsiTheme="majorHAnsi"/>
          <w:sz w:val="22"/>
          <w:szCs w:val="22"/>
          <w:lang w:val="en-US"/>
        </w:rPr>
        <w:t xml:space="preserve"> , beta-blockers should be administered preoperatively or early postoperatively in patients without contraindications. In patients who cannot take beta-blockers, preoperative administration of amiodarone may reduce the incidence of postoperative atrial fibrillation.</w:t>
      </w:r>
      <w:r w:rsidR="000234C7" w:rsidRPr="000234C7">
        <w:rPr>
          <w:rFonts w:ascii="Aptos Display" w:hAnsi="Aptos Display"/>
          <w:sz w:val="22"/>
          <w:szCs w:val="22"/>
          <w:lang w:val="en-US"/>
        </w:rPr>
        <w:t xml:space="preserve"> </w:t>
      </w:r>
      <w:r w:rsidR="000234C7">
        <w:rPr>
          <w:rFonts w:ascii="Aptos Display" w:hAnsi="Aptos Display"/>
          <w:sz w:val="22"/>
          <w:szCs w:val="22"/>
          <w:lang w:val="en-US"/>
        </w:rPr>
        <w:t xml:space="preserve">[13,14,18,19] </w:t>
      </w:r>
      <w:r w:rsidR="000234C7" w:rsidRPr="00EA23DF">
        <w:rPr>
          <w:rFonts w:asciiTheme="majorHAnsi" w:hAnsiTheme="majorHAnsi"/>
          <w:sz w:val="22"/>
          <w:szCs w:val="22"/>
          <w:lang w:val="en-US"/>
        </w:rPr>
        <w:t xml:space="preserve"> </w:t>
      </w:r>
    </w:p>
    <w:p w14:paraId="5FCA9CF8" w14:textId="61B21EFA" w:rsidR="009C4477" w:rsidRPr="000234C7" w:rsidRDefault="009C4477" w:rsidP="00954B5B">
      <w:pPr>
        <w:rPr>
          <w:rFonts w:asciiTheme="majorHAnsi" w:hAnsiTheme="majorHAnsi"/>
          <w:b/>
          <w:bCs/>
          <w:sz w:val="22"/>
          <w:szCs w:val="22"/>
          <w:lang w:val="en-US"/>
        </w:rPr>
      </w:pPr>
      <w:r w:rsidRPr="000234C7">
        <w:rPr>
          <w:rFonts w:asciiTheme="majorHAnsi" w:hAnsiTheme="majorHAnsi"/>
          <w:b/>
          <w:bCs/>
          <w:sz w:val="22"/>
          <w:szCs w:val="22"/>
          <w:lang w:val="en-US"/>
        </w:rPr>
        <w:lastRenderedPageBreak/>
        <w:t>Legend</w:t>
      </w:r>
    </w:p>
    <w:p w14:paraId="63927B00" w14:textId="77777777" w:rsidR="00196128" w:rsidRDefault="00196128" w:rsidP="00196128">
      <w:pPr>
        <w:spacing w:line="360" w:lineRule="auto"/>
        <w:jc w:val="both"/>
        <w:rPr>
          <w:rFonts w:asciiTheme="majorHAnsi" w:hAnsiTheme="majorHAnsi"/>
          <w:b/>
          <w:bCs/>
          <w:sz w:val="22"/>
          <w:szCs w:val="22"/>
          <w:lang w:val="en-US"/>
        </w:rPr>
      </w:pPr>
    </w:p>
    <w:p w14:paraId="22DF264B" w14:textId="43D8A61F" w:rsidR="00196128" w:rsidRPr="004A22F0" w:rsidRDefault="00196128" w:rsidP="00196128">
      <w:pPr>
        <w:spacing w:line="360" w:lineRule="auto"/>
        <w:jc w:val="both"/>
        <w:rPr>
          <w:rFonts w:asciiTheme="majorHAnsi" w:hAnsiTheme="majorHAnsi"/>
          <w:sz w:val="22"/>
          <w:szCs w:val="22"/>
          <w:lang w:val="en-US"/>
        </w:rPr>
      </w:pPr>
      <w:r>
        <w:rPr>
          <w:rFonts w:asciiTheme="majorHAnsi" w:hAnsiTheme="majorHAnsi"/>
          <w:b/>
          <w:bCs/>
          <w:sz w:val="22"/>
          <w:szCs w:val="22"/>
          <w:lang w:val="en-US"/>
        </w:rPr>
        <w:t xml:space="preserve">Supplementary </w:t>
      </w:r>
      <w:r w:rsidRPr="004A22F0">
        <w:rPr>
          <w:rFonts w:asciiTheme="majorHAnsi" w:hAnsiTheme="majorHAnsi"/>
          <w:b/>
          <w:bCs/>
          <w:sz w:val="22"/>
          <w:szCs w:val="22"/>
          <w:lang w:val="en-US"/>
        </w:rPr>
        <w:t xml:space="preserve">Figure 1 </w:t>
      </w:r>
      <w:r w:rsidRPr="004A22F0">
        <w:rPr>
          <w:rFonts w:asciiTheme="majorHAnsi" w:hAnsiTheme="majorHAnsi"/>
          <w:sz w:val="22"/>
          <w:szCs w:val="22"/>
          <w:lang w:val="en-US"/>
        </w:rPr>
        <w:t>Study Design Schematic</w:t>
      </w:r>
    </w:p>
    <w:p w14:paraId="0EF13831" w14:textId="556722EB" w:rsidR="009C4477" w:rsidRDefault="00196128" w:rsidP="009C4477">
      <w:pPr>
        <w:spacing w:line="480" w:lineRule="auto"/>
        <w:jc w:val="both"/>
        <w:rPr>
          <w:rFonts w:asciiTheme="majorHAnsi" w:hAnsiTheme="majorHAnsi"/>
          <w:sz w:val="22"/>
          <w:szCs w:val="22"/>
          <w:lang w:val="en-US"/>
        </w:rPr>
      </w:pPr>
      <w:r>
        <w:rPr>
          <w:rFonts w:asciiTheme="majorHAnsi" w:hAnsiTheme="majorHAnsi"/>
          <w:b/>
          <w:bCs/>
          <w:sz w:val="22"/>
          <w:szCs w:val="22"/>
          <w:lang w:val="en-US"/>
        </w:rPr>
        <w:t>Supplementary Figure 2</w:t>
      </w:r>
      <w:r w:rsidR="009C4477" w:rsidRPr="009C4477">
        <w:rPr>
          <w:rFonts w:asciiTheme="majorHAnsi" w:hAnsiTheme="majorHAnsi"/>
          <w:sz w:val="22"/>
          <w:szCs w:val="22"/>
          <w:lang w:val="en-US"/>
        </w:rPr>
        <w:t xml:space="preserve">. The figure shows a variety of surgical techniques for the management of the subvalvular apparatus (A to C). It includes the anatomy of the papillary muscles and corresponding surgical techniques. Type I is a single homogeneous entity, whereas type II has a groove with two peaks (blue arrow).  Type III has fenestrations with muscular bridges. Type IV has complete separation in two adjacent heads, and type V has complete separation with two distant heads (purple arrow). PMA is treated with a 4-0 Gore-Tex suture for type 1 and 2 (A), and a 4-0 Gore-Tex prosthesis for type 3-5, which results in PM slinging (B and D). A 4-0 Gore-Tex suture is used to achieve PM repositioning. Attached to the trigone are the ALPM (green arrow) and the PMPM (red arrow).   Two sutures were used to attach both tips of the PMPM to the posterior trigone to avoid the </w:t>
      </w:r>
      <w:proofErr w:type="spellStart"/>
      <w:r w:rsidR="009C4477" w:rsidRPr="009C4477">
        <w:rPr>
          <w:rFonts w:asciiTheme="majorHAnsi" w:hAnsiTheme="majorHAnsi"/>
          <w:sz w:val="22"/>
          <w:szCs w:val="22"/>
          <w:lang w:val="en-US"/>
        </w:rPr>
        <w:t>Segul</w:t>
      </w:r>
      <w:proofErr w:type="spellEnd"/>
      <w:r w:rsidR="009C4477" w:rsidRPr="009C4477">
        <w:rPr>
          <w:rFonts w:asciiTheme="majorHAnsi" w:hAnsiTheme="majorHAnsi"/>
          <w:sz w:val="22"/>
          <w:szCs w:val="22"/>
          <w:lang w:val="en-US"/>
        </w:rPr>
        <w:t xml:space="preserve"> sign in PMs type 2-5.</w:t>
      </w:r>
    </w:p>
    <w:p w14:paraId="56FE2B8D" w14:textId="60DB6D90" w:rsidR="0038332A" w:rsidRPr="0038332A" w:rsidRDefault="0038332A" w:rsidP="0038332A">
      <w:pPr>
        <w:pStyle w:val="NormaleWeb"/>
        <w:spacing w:line="360" w:lineRule="auto"/>
        <w:rPr>
          <w:rFonts w:ascii="Aptos Display" w:hAnsi="Aptos Display"/>
          <w:sz w:val="22"/>
          <w:szCs w:val="22"/>
          <w:lang w:val="en-US"/>
        </w:rPr>
      </w:pPr>
      <w:r>
        <w:rPr>
          <w:rFonts w:asciiTheme="majorHAnsi" w:hAnsiTheme="majorHAnsi"/>
          <w:b/>
          <w:bCs/>
          <w:sz w:val="21"/>
          <w:szCs w:val="21"/>
          <w:lang w:val="en-US"/>
        </w:rPr>
        <w:t xml:space="preserve">Supplementary Table 1. </w:t>
      </w:r>
      <w:r w:rsidRPr="0038332A">
        <w:rPr>
          <w:rFonts w:asciiTheme="majorHAnsi" w:hAnsiTheme="majorHAnsi"/>
          <w:sz w:val="21"/>
          <w:szCs w:val="21"/>
          <w:lang w:val="en-US"/>
        </w:rPr>
        <w:t>Inclusion</w:t>
      </w:r>
      <w:r w:rsidRPr="0038332A">
        <w:rPr>
          <w:rFonts w:asciiTheme="majorHAnsi" w:hAnsiTheme="majorHAnsi"/>
          <w:sz w:val="21"/>
          <w:szCs w:val="21"/>
          <w:lang w:val="en-US"/>
        </w:rPr>
        <w:t xml:space="preserve"> and </w:t>
      </w:r>
      <w:r w:rsidRPr="0038332A">
        <w:rPr>
          <w:rFonts w:asciiTheme="majorHAnsi" w:hAnsiTheme="majorHAnsi"/>
          <w:sz w:val="21"/>
          <w:szCs w:val="21"/>
          <w:lang w:val="en-US"/>
        </w:rPr>
        <w:t xml:space="preserve">exclusion criteria for </w:t>
      </w:r>
      <w:r w:rsidRPr="0038332A">
        <w:rPr>
          <w:rFonts w:asciiTheme="majorHAnsi" w:hAnsiTheme="majorHAnsi"/>
          <w:sz w:val="21"/>
          <w:szCs w:val="21"/>
          <w:lang w:val="en-US"/>
        </w:rPr>
        <w:t xml:space="preserve">patients with </w:t>
      </w:r>
      <w:r w:rsidRPr="0038332A">
        <w:rPr>
          <w:rFonts w:asciiTheme="majorHAnsi" w:hAnsiTheme="majorHAnsi"/>
          <w:sz w:val="21"/>
          <w:szCs w:val="21"/>
          <w:lang w:val="en-US"/>
        </w:rPr>
        <w:t>SMR requiring mechanical intervention</w:t>
      </w:r>
    </w:p>
    <w:p w14:paraId="47CE90D3" w14:textId="0415E4FB" w:rsidR="0038332A" w:rsidRPr="004A22F0" w:rsidRDefault="0038332A" w:rsidP="0038332A">
      <w:pPr>
        <w:pStyle w:val="NormaleWeb"/>
        <w:rPr>
          <w:rFonts w:ascii="Aptos Display" w:hAnsi="Aptos Display"/>
          <w:sz w:val="22"/>
          <w:szCs w:val="22"/>
          <w:lang w:val="en-US"/>
        </w:rPr>
      </w:pPr>
      <w:r>
        <w:rPr>
          <w:rFonts w:ascii="Aptos Display" w:hAnsi="Aptos Display"/>
          <w:b/>
          <w:bCs/>
          <w:sz w:val="22"/>
          <w:szCs w:val="22"/>
          <w:lang w:val="en-US"/>
        </w:rPr>
        <w:t xml:space="preserve">Supplementary </w:t>
      </w:r>
      <w:r w:rsidRPr="004A22F0">
        <w:rPr>
          <w:rFonts w:ascii="Aptos Display" w:hAnsi="Aptos Display"/>
          <w:b/>
          <w:bCs/>
          <w:sz w:val="22"/>
          <w:szCs w:val="22"/>
          <w:lang w:val="en-US"/>
        </w:rPr>
        <w:t xml:space="preserve">Table </w:t>
      </w:r>
      <w:r>
        <w:rPr>
          <w:rFonts w:ascii="Aptos Display" w:hAnsi="Aptos Display"/>
          <w:b/>
          <w:bCs/>
          <w:sz w:val="22"/>
          <w:szCs w:val="22"/>
          <w:lang w:val="en-US"/>
        </w:rPr>
        <w:t>2</w:t>
      </w:r>
      <w:r w:rsidRPr="004A22F0">
        <w:rPr>
          <w:rFonts w:ascii="Aptos Display" w:hAnsi="Aptos Display"/>
          <w:sz w:val="22"/>
          <w:szCs w:val="22"/>
          <w:lang w:val="en-US"/>
        </w:rPr>
        <w:t xml:space="preserve"> Criteria for defining postoperative acute kidney injury†</w:t>
      </w:r>
    </w:p>
    <w:p w14:paraId="5A96CE30" w14:textId="77777777" w:rsidR="0038332A" w:rsidRPr="004A22F0" w:rsidRDefault="0038332A" w:rsidP="0038332A">
      <w:pPr>
        <w:spacing w:line="240" w:lineRule="auto"/>
        <w:rPr>
          <w:rFonts w:asciiTheme="majorHAnsi" w:hAnsiTheme="majorHAnsi"/>
          <w:sz w:val="22"/>
          <w:szCs w:val="22"/>
          <w:lang w:val="en-US"/>
        </w:rPr>
      </w:pPr>
      <w:r w:rsidRPr="004A22F0">
        <w:rPr>
          <w:rFonts w:asciiTheme="majorHAnsi" w:hAnsiTheme="majorHAnsi"/>
          <w:sz w:val="22"/>
          <w:szCs w:val="22"/>
          <w:lang w:val="en-US"/>
        </w:rPr>
        <w:t>† Serum creatinine level changes during hospitalization</w:t>
      </w:r>
    </w:p>
    <w:p w14:paraId="0126C7E0" w14:textId="77777777" w:rsidR="0038332A" w:rsidRPr="009C4477" w:rsidRDefault="0038332A" w:rsidP="009C4477">
      <w:pPr>
        <w:spacing w:line="480" w:lineRule="auto"/>
        <w:jc w:val="both"/>
        <w:rPr>
          <w:rFonts w:asciiTheme="majorHAnsi" w:hAnsiTheme="majorHAnsi"/>
          <w:sz w:val="22"/>
          <w:szCs w:val="22"/>
          <w:lang w:val="en-US"/>
        </w:rPr>
      </w:pPr>
    </w:p>
    <w:p w14:paraId="0F3DB5AD" w14:textId="77777777" w:rsidR="009C4477" w:rsidRPr="009C4477" w:rsidRDefault="009C4477" w:rsidP="00954B5B">
      <w:pPr>
        <w:rPr>
          <w:rFonts w:asciiTheme="majorHAnsi" w:hAnsiTheme="majorHAnsi"/>
          <w:b/>
          <w:bCs/>
          <w:sz w:val="22"/>
          <w:szCs w:val="22"/>
          <w:lang w:val="en-US"/>
        </w:rPr>
      </w:pPr>
    </w:p>
    <w:p w14:paraId="4BFC189E" w14:textId="7AE5DFE0" w:rsidR="00954B5B" w:rsidRDefault="00954B5B" w:rsidP="00954B5B">
      <w:pPr>
        <w:rPr>
          <w:rFonts w:asciiTheme="majorHAnsi" w:hAnsiTheme="majorHAnsi"/>
          <w:b/>
          <w:bCs/>
          <w:sz w:val="22"/>
          <w:szCs w:val="22"/>
          <w:lang w:val="fr-FR"/>
        </w:rPr>
      </w:pPr>
      <w:r w:rsidRPr="00315505">
        <w:rPr>
          <w:rFonts w:asciiTheme="majorHAnsi" w:hAnsiTheme="majorHAnsi"/>
          <w:b/>
          <w:bCs/>
          <w:sz w:val="22"/>
          <w:szCs w:val="22"/>
          <w:lang w:val="fr-FR"/>
        </w:rPr>
        <w:t>Reference</w:t>
      </w:r>
    </w:p>
    <w:p w14:paraId="21495172"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rPr>
      </w:pPr>
      <w:r w:rsidRPr="002D107B">
        <w:rPr>
          <w:rFonts w:asciiTheme="majorHAnsi" w:hAnsiTheme="majorHAnsi"/>
          <w:sz w:val="21"/>
          <w:szCs w:val="21"/>
          <w:lang w:val="fr-FR"/>
        </w:rPr>
        <w:t xml:space="preserve">Sonne C, </w:t>
      </w:r>
      <w:proofErr w:type="spellStart"/>
      <w:r w:rsidRPr="002D107B">
        <w:rPr>
          <w:rFonts w:asciiTheme="majorHAnsi" w:hAnsiTheme="majorHAnsi"/>
          <w:sz w:val="21"/>
          <w:szCs w:val="21"/>
          <w:lang w:val="fr-FR"/>
        </w:rPr>
        <w:t>Sugeng</w:t>
      </w:r>
      <w:proofErr w:type="spellEnd"/>
      <w:r w:rsidRPr="002D107B">
        <w:rPr>
          <w:rFonts w:asciiTheme="majorHAnsi" w:hAnsiTheme="majorHAnsi"/>
          <w:sz w:val="21"/>
          <w:szCs w:val="21"/>
          <w:lang w:val="fr-FR"/>
        </w:rPr>
        <w:t xml:space="preserve"> L, Watanabe N, </w:t>
      </w:r>
      <w:proofErr w:type="spellStart"/>
      <w:r w:rsidRPr="002D107B">
        <w:rPr>
          <w:rFonts w:asciiTheme="majorHAnsi" w:hAnsiTheme="majorHAnsi"/>
          <w:sz w:val="21"/>
          <w:szCs w:val="21"/>
          <w:lang w:val="fr-FR"/>
        </w:rPr>
        <w:t>Weinert</w:t>
      </w:r>
      <w:proofErr w:type="spellEnd"/>
      <w:r w:rsidRPr="002D107B">
        <w:rPr>
          <w:rFonts w:asciiTheme="majorHAnsi" w:hAnsiTheme="majorHAnsi"/>
          <w:sz w:val="21"/>
          <w:szCs w:val="21"/>
          <w:lang w:val="fr-FR"/>
        </w:rPr>
        <w:t xml:space="preserve"> L, Saito K, </w:t>
      </w:r>
      <w:proofErr w:type="spellStart"/>
      <w:r w:rsidRPr="002D107B">
        <w:rPr>
          <w:rFonts w:asciiTheme="majorHAnsi" w:hAnsiTheme="majorHAnsi"/>
          <w:sz w:val="21"/>
          <w:szCs w:val="21"/>
          <w:lang w:val="fr-FR"/>
        </w:rPr>
        <w:t>Tsukiji</w:t>
      </w:r>
      <w:proofErr w:type="spellEnd"/>
      <w:r w:rsidRPr="002D107B">
        <w:rPr>
          <w:rFonts w:asciiTheme="majorHAnsi" w:hAnsiTheme="majorHAnsi"/>
          <w:sz w:val="21"/>
          <w:szCs w:val="21"/>
          <w:lang w:val="fr-FR"/>
        </w:rPr>
        <w:t xml:space="preserve"> M, Yoshida K, </w:t>
      </w:r>
      <w:proofErr w:type="spellStart"/>
      <w:r w:rsidRPr="002D107B">
        <w:rPr>
          <w:rFonts w:asciiTheme="majorHAnsi" w:hAnsiTheme="majorHAnsi"/>
          <w:sz w:val="21"/>
          <w:szCs w:val="21"/>
          <w:lang w:val="fr-FR"/>
        </w:rPr>
        <w:t>Takeuchi</w:t>
      </w:r>
      <w:proofErr w:type="spellEnd"/>
      <w:r w:rsidRPr="002D107B">
        <w:rPr>
          <w:rFonts w:asciiTheme="majorHAnsi" w:hAnsiTheme="majorHAnsi"/>
          <w:sz w:val="21"/>
          <w:szCs w:val="21"/>
          <w:lang w:val="fr-FR"/>
        </w:rPr>
        <w:t xml:space="preserve"> M, Mor-</w:t>
      </w:r>
      <w:proofErr w:type="spellStart"/>
      <w:r w:rsidRPr="002D107B">
        <w:rPr>
          <w:rFonts w:asciiTheme="majorHAnsi" w:hAnsiTheme="majorHAnsi"/>
          <w:sz w:val="21"/>
          <w:szCs w:val="21"/>
          <w:lang w:val="fr-FR"/>
        </w:rPr>
        <w:t>Avi</w:t>
      </w:r>
      <w:proofErr w:type="spellEnd"/>
      <w:r w:rsidRPr="002D107B">
        <w:rPr>
          <w:rFonts w:asciiTheme="majorHAnsi" w:hAnsiTheme="majorHAnsi"/>
          <w:sz w:val="21"/>
          <w:szCs w:val="21"/>
          <w:lang w:val="fr-FR"/>
        </w:rPr>
        <w:t xml:space="preserve"> V, Lang RM. </w:t>
      </w:r>
      <w:r w:rsidRPr="002D107B">
        <w:rPr>
          <w:rFonts w:asciiTheme="majorHAnsi" w:hAnsiTheme="majorHAnsi"/>
          <w:sz w:val="21"/>
          <w:szCs w:val="21"/>
          <w:lang w:val="en-US"/>
        </w:rPr>
        <w:t xml:space="preserve">Age and body surface area dependency of mitral valve and papillary apparatus parameters: assessment by real-time three-dimensional echocardiography. </w:t>
      </w:r>
      <w:r w:rsidRPr="002D107B">
        <w:rPr>
          <w:rFonts w:asciiTheme="majorHAnsi" w:hAnsiTheme="majorHAnsi"/>
          <w:sz w:val="21"/>
          <w:szCs w:val="21"/>
        </w:rPr>
        <w:t xml:space="preserve">Eur J </w:t>
      </w:r>
      <w:proofErr w:type="spellStart"/>
      <w:r w:rsidRPr="002D107B">
        <w:rPr>
          <w:rFonts w:asciiTheme="majorHAnsi" w:hAnsiTheme="majorHAnsi"/>
          <w:sz w:val="21"/>
          <w:szCs w:val="21"/>
        </w:rPr>
        <w:t>Echocardiogr</w:t>
      </w:r>
      <w:proofErr w:type="spellEnd"/>
      <w:r w:rsidRPr="002D107B">
        <w:rPr>
          <w:rFonts w:asciiTheme="majorHAnsi" w:hAnsiTheme="majorHAnsi"/>
          <w:sz w:val="21"/>
          <w:szCs w:val="21"/>
        </w:rPr>
        <w:t xml:space="preserve">. 2009 Mar;10(2):287-94. </w:t>
      </w:r>
    </w:p>
    <w:p w14:paraId="14C65969"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lang w:val="en-US"/>
        </w:rPr>
      </w:pPr>
      <w:r w:rsidRPr="002D107B">
        <w:rPr>
          <w:rFonts w:asciiTheme="majorHAnsi" w:hAnsiTheme="majorHAnsi"/>
          <w:sz w:val="21"/>
          <w:szCs w:val="21"/>
          <w:lang w:val="en-US"/>
        </w:rPr>
        <w:t xml:space="preserve">Nappi F, </w:t>
      </w:r>
      <w:proofErr w:type="spellStart"/>
      <w:r w:rsidRPr="002D107B">
        <w:rPr>
          <w:rFonts w:asciiTheme="majorHAnsi" w:hAnsiTheme="majorHAnsi"/>
          <w:sz w:val="21"/>
          <w:szCs w:val="21"/>
          <w:lang w:val="en-US"/>
        </w:rPr>
        <w:t>Nenna</w:t>
      </w:r>
      <w:proofErr w:type="spellEnd"/>
      <w:r w:rsidRPr="002D107B">
        <w:rPr>
          <w:rFonts w:asciiTheme="majorHAnsi" w:hAnsiTheme="majorHAnsi"/>
          <w:sz w:val="21"/>
          <w:szCs w:val="21"/>
          <w:lang w:val="en-US"/>
        </w:rPr>
        <w:t xml:space="preserve"> A, </w:t>
      </w:r>
      <w:proofErr w:type="spellStart"/>
      <w:r w:rsidRPr="002D107B">
        <w:rPr>
          <w:rFonts w:asciiTheme="majorHAnsi" w:hAnsiTheme="majorHAnsi"/>
          <w:sz w:val="21"/>
          <w:szCs w:val="21"/>
          <w:lang w:val="en-US"/>
        </w:rPr>
        <w:t>Spadaccio</w:t>
      </w:r>
      <w:proofErr w:type="spellEnd"/>
      <w:r w:rsidRPr="002D107B">
        <w:rPr>
          <w:rFonts w:asciiTheme="majorHAnsi" w:hAnsiTheme="majorHAnsi"/>
          <w:sz w:val="21"/>
          <w:szCs w:val="21"/>
          <w:lang w:val="en-US"/>
        </w:rPr>
        <w:t xml:space="preserve"> C, </w:t>
      </w:r>
      <w:proofErr w:type="spellStart"/>
      <w:r w:rsidRPr="002D107B">
        <w:rPr>
          <w:rFonts w:asciiTheme="majorHAnsi" w:hAnsiTheme="majorHAnsi"/>
          <w:sz w:val="21"/>
          <w:szCs w:val="21"/>
          <w:lang w:val="en-US"/>
        </w:rPr>
        <w:t>Lusini</w:t>
      </w:r>
      <w:proofErr w:type="spellEnd"/>
      <w:r w:rsidRPr="002D107B">
        <w:rPr>
          <w:rFonts w:asciiTheme="majorHAnsi" w:hAnsiTheme="majorHAnsi"/>
          <w:sz w:val="21"/>
          <w:szCs w:val="21"/>
          <w:lang w:val="en-US"/>
        </w:rPr>
        <w:t xml:space="preserve"> M, </w:t>
      </w:r>
      <w:proofErr w:type="spellStart"/>
      <w:r w:rsidRPr="002D107B">
        <w:rPr>
          <w:rFonts w:asciiTheme="majorHAnsi" w:hAnsiTheme="majorHAnsi"/>
          <w:sz w:val="21"/>
          <w:szCs w:val="21"/>
          <w:lang w:val="en-US"/>
        </w:rPr>
        <w:t>Chello</w:t>
      </w:r>
      <w:proofErr w:type="spellEnd"/>
      <w:r w:rsidRPr="002D107B">
        <w:rPr>
          <w:rFonts w:asciiTheme="majorHAnsi" w:hAnsiTheme="majorHAnsi"/>
          <w:sz w:val="21"/>
          <w:szCs w:val="21"/>
          <w:lang w:val="en-US"/>
        </w:rPr>
        <w:t xml:space="preserve"> M, </w:t>
      </w:r>
      <w:proofErr w:type="spellStart"/>
      <w:r w:rsidRPr="002D107B">
        <w:rPr>
          <w:rFonts w:asciiTheme="majorHAnsi" w:hAnsiTheme="majorHAnsi"/>
          <w:sz w:val="21"/>
          <w:szCs w:val="21"/>
          <w:lang w:val="en-US"/>
        </w:rPr>
        <w:t>Fraldi</w:t>
      </w:r>
      <w:proofErr w:type="spellEnd"/>
      <w:r w:rsidRPr="002D107B">
        <w:rPr>
          <w:rFonts w:asciiTheme="majorHAnsi" w:hAnsiTheme="majorHAnsi"/>
          <w:sz w:val="21"/>
          <w:szCs w:val="21"/>
          <w:lang w:val="en-US"/>
        </w:rPr>
        <w:t xml:space="preserve"> M, </w:t>
      </w:r>
      <w:proofErr w:type="spellStart"/>
      <w:r w:rsidRPr="002D107B">
        <w:rPr>
          <w:rFonts w:asciiTheme="majorHAnsi" w:hAnsiTheme="majorHAnsi"/>
          <w:sz w:val="21"/>
          <w:szCs w:val="21"/>
          <w:lang w:val="en-US"/>
        </w:rPr>
        <w:t>Acar</w:t>
      </w:r>
      <w:proofErr w:type="spellEnd"/>
      <w:r w:rsidRPr="002D107B">
        <w:rPr>
          <w:rFonts w:asciiTheme="majorHAnsi" w:hAnsiTheme="majorHAnsi"/>
          <w:sz w:val="21"/>
          <w:szCs w:val="21"/>
          <w:lang w:val="en-US"/>
        </w:rPr>
        <w:t xml:space="preserve"> </w:t>
      </w:r>
      <w:proofErr w:type="spellStart"/>
      <w:r w:rsidRPr="002D107B">
        <w:rPr>
          <w:rFonts w:asciiTheme="majorHAnsi" w:hAnsiTheme="majorHAnsi"/>
          <w:sz w:val="21"/>
          <w:szCs w:val="21"/>
          <w:lang w:val="en-US"/>
        </w:rPr>
        <w:t>C.Predictive</w:t>
      </w:r>
      <w:proofErr w:type="spellEnd"/>
      <w:r w:rsidRPr="002D107B">
        <w:rPr>
          <w:rFonts w:asciiTheme="majorHAnsi" w:hAnsiTheme="majorHAnsi"/>
          <w:sz w:val="21"/>
          <w:szCs w:val="21"/>
          <w:lang w:val="en-US"/>
        </w:rPr>
        <w:t xml:space="preserve"> factors of long-term results following valve repair in ischemic mitral valve prolapse. Int J </w:t>
      </w:r>
      <w:proofErr w:type="spellStart"/>
      <w:r w:rsidRPr="002D107B">
        <w:rPr>
          <w:rFonts w:asciiTheme="majorHAnsi" w:hAnsiTheme="majorHAnsi"/>
          <w:sz w:val="21"/>
          <w:szCs w:val="21"/>
          <w:lang w:val="en-US"/>
        </w:rPr>
        <w:t>Cardiol</w:t>
      </w:r>
      <w:proofErr w:type="spellEnd"/>
      <w:r w:rsidRPr="002D107B">
        <w:rPr>
          <w:rFonts w:asciiTheme="majorHAnsi" w:hAnsiTheme="majorHAnsi"/>
          <w:sz w:val="21"/>
          <w:szCs w:val="21"/>
          <w:lang w:val="en-US"/>
        </w:rPr>
        <w:t xml:space="preserve">. 2016 Feb 1 ;204 :218-28. </w:t>
      </w:r>
    </w:p>
    <w:p w14:paraId="1860C034"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rPr>
      </w:pPr>
      <w:r w:rsidRPr="002D107B">
        <w:rPr>
          <w:rFonts w:asciiTheme="majorHAnsi" w:hAnsiTheme="majorHAnsi"/>
          <w:sz w:val="21"/>
          <w:szCs w:val="21"/>
        </w:rPr>
        <w:t xml:space="preserve">Nappi F, Cristiano S, Nenna A, </w:t>
      </w:r>
      <w:proofErr w:type="spellStart"/>
      <w:r w:rsidRPr="002D107B">
        <w:rPr>
          <w:rFonts w:asciiTheme="majorHAnsi" w:hAnsiTheme="majorHAnsi"/>
          <w:sz w:val="21"/>
          <w:szCs w:val="21"/>
        </w:rPr>
        <w:t>Chello</w:t>
      </w:r>
      <w:proofErr w:type="spellEnd"/>
      <w:r w:rsidRPr="002D107B">
        <w:rPr>
          <w:rFonts w:asciiTheme="majorHAnsi" w:hAnsiTheme="majorHAnsi"/>
          <w:sz w:val="21"/>
          <w:szCs w:val="21"/>
        </w:rPr>
        <w:t xml:space="preserve"> M. </w:t>
      </w:r>
      <w:proofErr w:type="spellStart"/>
      <w:r w:rsidRPr="002D107B">
        <w:rPr>
          <w:rFonts w:asciiTheme="majorHAnsi" w:hAnsiTheme="majorHAnsi"/>
          <w:sz w:val="21"/>
          <w:szCs w:val="21"/>
        </w:rPr>
        <w:t>Ischemic</w:t>
      </w:r>
      <w:proofErr w:type="spellEnd"/>
      <w:r w:rsidRPr="002D107B">
        <w:rPr>
          <w:rFonts w:asciiTheme="majorHAnsi" w:hAnsiTheme="majorHAnsi"/>
          <w:sz w:val="21"/>
          <w:szCs w:val="21"/>
        </w:rPr>
        <w:t xml:space="preserve"> </w:t>
      </w:r>
      <w:proofErr w:type="spellStart"/>
      <w:r w:rsidRPr="002D107B">
        <w:rPr>
          <w:rFonts w:asciiTheme="majorHAnsi" w:hAnsiTheme="majorHAnsi"/>
          <w:sz w:val="21"/>
          <w:szCs w:val="21"/>
        </w:rPr>
        <w:t>mitral</w:t>
      </w:r>
      <w:proofErr w:type="spellEnd"/>
      <w:r w:rsidRPr="002D107B">
        <w:rPr>
          <w:rFonts w:asciiTheme="majorHAnsi" w:hAnsiTheme="majorHAnsi"/>
          <w:sz w:val="21"/>
          <w:szCs w:val="21"/>
        </w:rPr>
        <w:t xml:space="preserve"> valve </w:t>
      </w:r>
      <w:proofErr w:type="spellStart"/>
      <w:r w:rsidRPr="002D107B">
        <w:rPr>
          <w:rFonts w:asciiTheme="majorHAnsi" w:hAnsiTheme="majorHAnsi"/>
          <w:sz w:val="21"/>
          <w:szCs w:val="21"/>
        </w:rPr>
        <w:t>prolapse</w:t>
      </w:r>
      <w:proofErr w:type="spellEnd"/>
      <w:r w:rsidRPr="002D107B">
        <w:rPr>
          <w:rFonts w:asciiTheme="majorHAnsi" w:hAnsiTheme="majorHAnsi"/>
          <w:sz w:val="21"/>
          <w:szCs w:val="21"/>
        </w:rPr>
        <w:t xml:space="preserve">. J </w:t>
      </w:r>
      <w:proofErr w:type="spellStart"/>
      <w:r w:rsidRPr="002D107B">
        <w:rPr>
          <w:rFonts w:asciiTheme="majorHAnsi" w:hAnsiTheme="majorHAnsi"/>
          <w:sz w:val="21"/>
          <w:szCs w:val="21"/>
        </w:rPr>
        <w:t>Thorac</w:t>
      </w:r>
      <w:proofErr w:type="spellEnd"/>
      <w:r w:rsidRPr="002D107B">
        <w:rPr>
          <w:rFonts w:asciiTheme="majorHAnsi" w:hAnsiTheme="majorHAnsi"/>
          <w:sz w:val="21"/>
          <w:szCs w:val="21"/>
        </w:rPr>
        <w:t xml:space="preserve"> </w:t>
      </w:r>
      <w:proofErr w:type="spellStart"/>
      <w:r w:rsidRPr="002D107B">
        <w:rPr>
          <w:rFonts w:asciiTheme="majorHAnsi" w:hAnsiTheme="majorHAnsi"/>
          <w:sz w:val="21"/>
          <w:szCs w:val="21"/>
        </w:rPr>
        <w:t>Dis</w:t>
      </w:r>
      <w:proofErr w:type="spellEnd"/>
      <w:r w:rsidRPr="002D107B">
        <w:rPr>
          <w:rFonts w:asciiTheme="majorHAnsi" w:hAnsiTheme="majorHAnsi"/>
          <w:sz w:val="21"/>
          <w:szCs w:val="21"/>
        </w:rPr>
        <w:t xml:space="preserve">. 2016 Dec;8(12):3752-3761. </w:t>
      </w:r>
    </w:p>
    <w:p w14:paraId="52BA4110"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rPr>
      </w:pPr>
      <w:r w:rsidRPr="002D107B">
        <w:rPr>
          <w:rFonts w:asciiTheme="majorHAnsi" w:hAnsiTheme="majorHAnsi"/>
          <w:sz w:val="21"/>
          <w:szCs w:val="21"/>
          <w:lang w:val="en-US"/>
        </w:rPr>
        <w:t xml:space="preserve">Nappi F, </w:t>
      </w:r>
      <w:proofErr w:type="spellStart"/>
      <w:r w:rsidRPr="002D107B">
        <w:rPr>
          <w:rFonts w:asciiTheme="majorHAnsi" w:hAnsiTheme="majorHAnsi"/>
          <w:sz w:val="21"/>
          <w:szCs w:val="21"/>
          <w:lang w:val="en-US"/>
        </w:rPr>
        <w:t>Spadaccio</w:t>
      </w:r>
      <w:proofErr w:type="spellEnd"/>
      <w:r w:rsidRPr="002D107B">
        <w:rPr>
          <w:rFonts w:asciiTheme="majorHAnsi" w:hAnsiTheme="majorHAnsi"/>
          <w:sz w:val="21"/>
          <w:szCs w:val="21"/>
          <w:lang w:val="en-US"/>
        </w:rPr>
        <w:t xml:space="preserve"> C. Obstructive Cardiomyopathy and Tethering in Ischemic Mitral Regurgitation: Two Sides of the Coin. </w:t>
      </w:r>
      <w:r w:rsidRPr="002D107B">
        <w:rPr>
          <w:rFonts w:asciiTheme="majorHAnsi" w:hAnsiTheme="majorHAnsi"/>
          <w:sz w:val="21"/>
          <w:szCs w:val="21"/>
        </w:rPr>
        <w:t xml:space="preserve">Ann </w:t>
      </w:r>
      <w:proofErr w:type="spellStart"/>
      <w:r w:rsidRPr="002D107B">
        <w:rPr>
          <w:rFonts w:asciiTheme="majorHAnsi" w:hAnsiTheme="majorHAnsi"/>
          <w:sz w:val="21"/>
          <w:szCs w:val="21"/>
        </w:rPr>
        <w:t>Thorac</w:t>
      </w:r>
      <w:proofErr w:type="spellEnd"/>
      <w:r w:rsidRPr="002D107B">
        <w:rPr>
          <w:rFonts w:asciiTheme="majorHAnsi" w:hAnsiTheme="majorHAnsi"/>
          <w:sz w:val="21"/>
          <w:szCs w:val="21"/>
        </w:rPr>
        <w:t xml:space="preserve"> </w:t>
      </w:r>
      <w:proofErr w:type="spellStart"/>
      <w:r w:rsidRPr="002D107B">
        <w:rPr>
          <w:rFonts w:asciiTheme="majorHAnsi" w:hAnsiTheme="majorHAnsi"/>
          <w:sz w:val="21"/>
          <w:szCs w:val="21"/>
        </w:rPr>
        <w:t>Surg</w:t>
      </w:r>
      <w:proofErr w:type="spellEnd"/>
      <w:r w:rsidRPr="002D107B">
        <w:rPr>
          <w:rFonts w:asciiTheme="majorHAnsi" w:hAnsiTheme="majorHAnsi"/>
          <w:sz w:val="21"/>
          <w:szCs w:val="21"/>
        </w:rPr>
        <w:t xml:space="preserve">. 2019 </w:t>
      </w:r>
      <w:proofErr w:type="spellStart"/>
      <w:r w:rsidRPr="002D107B">
        <w:rPr>
          <w:rFonts w:asciiTheme="majorHAnsi" w:hAnsiTheme="majorHAnsi"/>
          <w:sz w:val="21"/>
          <w:szCs w:val="21"/>
        </w:rPr>
        <w:t>Jun</w:t>
      </w:r>
      <w:proofErr w:type="spellEnd"/>
      <w:r w:rsidRPr="002D107B">
        <w:rPr>
          <w:rFonts w:asciiTheme="majorHAnsi" w:hAnsiTheme="majorHAnsi"/>
          <w:sz w:val="21"/>
          <w:szCs w:val="21"/>
        </w:rPr>
        <w:t xml:space="preserve"> ;107(6) :1911-1912 </w:t>
      </w:r>
    </w:p>
    <w:p w14:paraId="4E5EE92A"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lang w:val="en-US"/>
        </w:rPr>
      </w:pPr>
      <w:proofErr w:type="spellStart"/>
      <w:r w:rsidRPr="002D107B">
        <w:rPr>
          <w:rFonts w:asciiTheme="majorHAnsi" w:hAnsiTheme="majorHAnsi"/>
          <w:sz w:val="21"/>
          <w:szCs w:val="21"/>
          <w:lang w:val="en-US"/>
        </w:rPr>
        <w:t>Jouan</w:t>
      </w:r>
      <w:proofErr w:type="spellEnd"/>
      <w:r w:rsidRPr="002D107B">
        <w:rPr>
          <w:rFonts w:asciiTheme="majorHAnsi" w:hAnsiTheme="majorHAnsi"/>
          <w:sz w:val="21"/>
          <w:szCs w:val="21"/>
          <w:lang w:val="en-US"/>
        </w:rPr>
        <w:t xml:space="preserve"> J, Tapia M, C Cook R, </w:t>
      </w:r>
      <w:proofErr w:type="spellStart"/>
      <w:r w:rsidRPr="002D107B">
        <w:rPr>
          <w:rFonts w:asciiTheme="majorHAnsi" w:hAnsiTheme="majorHAnsi"/>
          <w:sz w:val="21"/>
          <w:szCs w:val="21"/>
          <w:lang w:val="en-US"/>
        </w:rPr>
        <w:t>Lansac</w:t>
      </w:r>
      <w:proofErr w:type="spellEnd"/>
      <w:r w:rsidRPr="002D107B">
        <w:rPr>
          <w:rFonts w:asciiTheme="majorHAnsi" w:hAnsiTheme="majorHAnsi"/>
          <w:sz w:val="21"/>
          <w:szCs w:val="21"/>
          <w:lang w:val="en-US"/>
        </w:rPr>
        <w:t xml:space="preserve"> E, </w:t>
      </w:r>
      <w:proofErr w:type="spellStart"/>
      <w:r w:rsidRPr="002D107B">
        <w:rPr>
          <w:rFonts w:asciiTheme="majorHAnsi" w:hAnsiTheme="majorHAnsi"/>
          <w:sz w:val="21"/>
          <w:szCs w:val="21"/>
          <w:lang w:val="en-US"/>
        </w:rPr>
        <w:t>Acar</w:t>
      </w:r>
      <w:proofErr w:type="spellEnd"/>
      <w:r w:rsidRPr="002D107B">
        <w:rPr>
          <w:rFonts w:asciiTheme="majorHAnsi" w:hAnsiTheme="majorHAnsi"/>
          <w:sz w:val="21"/>
          <w:szCs w:val="21"/>
          <w:lang w:val="en-US"/>
        </w:rPr>
        <w:t xml:space="preserve"> C. Ischemic mitral valve </w:t>
      </w:r>
      <w:proofErr w:type="gramStart"/>
      <w:r w:rsidRPr="002D107B">
        <w:rPr>
          <w:rFonts w:asciiTheme="majorHAnsi" w:hAnsiTheme="majorHAnsi"/>
          <w:sz w:val="21"/>
          <w:szCs w:val="21"/>
          <w:lang w:val="en-US"/>
        </w:rPr>
        <w:t>prolapse:</w:t>
      </w:r>
      <w:proofErr w:type="gramEnd"/>
      <w:r w:rsidRPr="002D107B">
        <w:rPr>
          <w:rFonts w:asciiTheme="majorHAnsi" w:hAnsiTheme="majorHAnsi"/>
          <w:sz w:val="21"/>
          <w:szCs w:val="21"/>
          <w:lang w:val="en-US"/>
        </w:rPr>
        <w:t xml:space="preserve"> mechanisms and implications for valve repair. </w:t>
      </w:r>
      <w:proofErr w:type="spellStart"/>
      <w:r w:rsidRPr="002D107B">
        <w:rPr>
          <w:rFonts w:asciiTheme="majorHAnsi" w:hAnsiTheme="majorHAnsi"/>
          <w:sz w:val="21"/>
          <w:szCs w:val="21"/>
          <w:lang w:val="en-US"/>
        </w:rPr>
        <w:t>Eur</w:t>
      </w:r>
      <w:proofErr w:type="spellEnd"/>
      <w:r w:rsidRPr="002D107B">
        <w:rPr>
          <w:rFonts w:asciiTheme="majorHAnsi" w:hAnsiTheme="majorHAnsi"/>
          <w:sz w:val="21"/>
          <w:szCs w:val="21"/>
          <w:lang w:val="en-US"/>
        </w:rPr>
        <w:t xml:space="preserve"> J </w:t>
      </w:r>
      <w:proofErr w:type="spellStart"/>
      <w:r w:rsidRPr="002D107B">
        <w:rPr>
          <w:rFonts w:asciiTheme="majorHAnsi" w:hAnsiTheme="majorHAnsi"/>
          <w:sz w:val="21"/>
          <w:szCs w:val="21"/>
          <w:lang w:val="en-US"/>
        </w:rPr>
        <w:t>Cardiothorac</w:t>
      </w:r>
      <w:proofErr w:type="spellEnd"/>
      <w:r w:rsidRPr="002D107B">
        <w:rPr>
          <w:rFonts w:asciiTheme="majorHAnsi" w:hAnsiTheme="majorHAnsi"/>
          <w:sz w:val="21"/>
          <w:szCs w:val="21"/>
          <w:lang w:val="en-US"/>
        </w:rPr>
        <w:t xml:space="preserve"> Surg. 2004 Dec;26(6):1112-7. </w:t>
      </w:r>
    </w:p>
    <w:p w14:paraId="2A23CEBE"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lang w:val="en-US"/>
        </w:rPr>
      </w:pPr>
      <w:r w:rsidRPr="002D107B">
        <w:rPr>
          <w:rFonts w:asciiTheme="majorHAnsi" w:hAnsiTheme="majorHAnsi"/>
          <w:sz w:val="21"/>
          <w:szCs w:val="21"/>
          <w:lang w:val="en-US"/>
        </w:rPr>
        <w:lastRenderedPageBreak/>
        <w:t xml:space="preserve">Watanabe T, Arai H, Nagaoka E, Oi K, </w:t>
      </w:r>
      <w:proofErr w:type="spellStart"/>
      <w:r w:rsidRPr="002D107B">
        <w:rPr>
          <w:rFonts w:asciiTheme="majorHAnsi" w:hAnsiTheme="majorHAnsi"/>
          <w:sz w:val="21"/>
          <w:szCs w:val="21"/>
          <w:lang w:val="en-US"/>
        </w:rPr>
        <w:t>Hachimaru</w:t>
      </w:r>
      <w:proofErr w:type="spellEnd"/>
      <w:r w:rsidRPr="002D107B">
        <w:rPr>
          <w:rFonts w:asciiTheme="majorHAnsi" w:hAnsiTheme="majorHAnsi"/>
          <w:sz w:val="21"/>
          <w:szCs w:val="21"/>
          <w:lang w:val="en-US"/>
        </w:rPr>
        <w:t xml:space="preserve"> T, Kuroki H, et al. Influence of procedural differences on mitral valve configuration after surgical repair for functional mitral regurgitation: in which direction should the papillary muscle be relocated? J </w:t>
      </w:r>
      <w:proofErr w:type="spellStart"/>
      <w:r w:rsidRPr="002D107B">
        <w:rPr>
          <w:rFonts w:asciiTheme="majorHAnsi" w:hAnsiTheme="majorHAnsi"/>
          <w:sz w:val="21"/>
          <w:szCs w:val="21"/>
          <w:lang w:val="en-US"/>
        </w:rPr>
        <w:t>Cardiothorac</w:t>
      </w:r>
      <w:proofErr w:type="spellEnd"/>
      <w:r w:rsidRPr="002D107B">
        <w:rPr>
          <w:rFonts w:asciiTheme="majorHAnsi" w:hAnsiTheme="majorHAnsi"/>
          <w:sz w:val="21"/>
          <w:szCs w:val="21"/>
          <w:lang w:val="en-US"/>
        </w:rPr>
        <w:t xml:space="preserve"> Surg. 2014 ;9 :185.</w:t>
      </w:r>
    </w:p>
    <w:p w14:paraId="3ABF2ABC"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lang w:val="en-US"/>
        </w:rPr>
      </w:pPr>
      <w:proofErr w:type="spellStart"/>
      <w:r w:rsidRPr="002D107B">
        <w:rPr>
          <w:rFonts w:asciiTheme="majorHAnsi" w:hAnsiTheme="majorHAnsi"/>
          <w:sz w:val="21"/>
          <w:szCs w:val="21"/>
        </w:rPr>
        <w:t>Fattouch</w:t>
      </w:r>
      <w:proofErr w:type="spellEnd"/>
      <w:r w:rsidRPr="002D107B">
        <w:rPr>
          <w:rFonts w:asciiTheme="majorHAnsi" w:hAnsiTheme="majorHAnsi"/>
          <w:sz w:val="21"/>
          <w:szCs w:val="21"/>
        </w:rPr>
        <w:t xml:space="preserve"> K, </w:t>
      </w:r>
      <w:proofErr w:type="spellStart"/>
      <w:r w:rsidRPr="002D107B">
        <w:rPr>
          <w:rFonts w:asciiTheme="majorHAnsi" w:hAnsiTheme="majorHAnsi"/>
          <w:sz w:val="21"/>
          <w:szCs w:val="21"/>
        </w:rPr>
        <w:t>Castrovinci</w:t>
      </w:r>
      <w:proofErr w:type="spellEnd"/>
      <w:r w:rsidRPr="002D107B">
        <w:rPr>
          <w:rFonts w:asciiTheme="majorHAnsi" w:hAnsiTheme="majorHAnsi"/>
          <w:sz w:val="21"/>
          <w:szCs w:val="21"/>
        </w:rPr>
        <w:t xml:space="preserve"> S, </w:t>
      </w:r>
      <w:proofErr w:type="spellStart"/>
      <w:r w:rsidRPr="002D107B">
        <w:rPr>
          <w:rFonts w:asciiTheme="majorHAnsi" w:hAnsiTheme="majorHAnsi"/>
          <w:sz w:val="21"/>
          <w:szCs w:val="21"/>
        </w:rPr>
        <w:t>Murana</w:t>
      </w:r>
      <w:proofErr w:type="spellEnd"/>
      <w:r w:rsidRPr="002D107B">
        <w:rPr>
          <w:rFonts w:asciiTheme="majorHAnsi" w:hAnsiTheme="majorHAnsi"/>
          <w:sz w:val="21"/>
          <w:szCs w:val="21"/>
        </w:rPr>
        <w:t xml:space="preserve"> G, Dioguardi P, Guccione F, Nasso G, et al. </w:t>
      </w:r>
      <w:r w:rsidRPr="002D107B">
        <w:rPr>
          <w:rFonts w:asciiTheme="majorHAnsi" w:hAnsiTheme="majorHAnsi"/>
          <w:sz w:val="21"/>
          <w:szCs w:val="21"/>
          <w:lang w:val="en-US"/>
        </w:rPr>
        <w:t xml:space="preserve">Papillary muscle relocation and mitral annuloplasty in ischemic mitral valve regurgitation: midterm results. J </w:t>
      </w:r>
      <w:proofErr w:type="spellStart"/>
      <w:r w:rsidRPr="002D107B">
        <w:rPr>
          <w:rFonts w:asciiTheme="majorHAnsi" w:hAnsiTheme="majorHAnsi"/>
          <w:sz w:val="21"/>
          <w:szCs w:val="21"/>
          <w:lang w:val="en-US"/>
        </w:rPr>
        <w:t>Thorac</w:t>
      </w:r>
      <w:proofErr w:type="spellEnd"/>
      <w:r w:rsidRPr="002D107B">
        <w:rPr>
          <w:rFonts w:asciiTheme="majorHAnsi" w:hAnsiTheme="majorHAnsi"/>
          <w:sz w:val="21"/>
          <w:szCs w:val="21"/>
          <w:lang w:val="en-US"/>
        </w:rPr>
        <w:t xml:space="preserve"> Cardiovasc Surg. 2014 ;148 :1947-503. </w:t>
      </w:r>
    </w:p>
    <w:p w14:paraId="52D754B9"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color w:val="000000" w:themeColor="text1"/>
          <w:sz w:val="21"/>
          <w:szCs w:val="21"/>
          <w:lang w:val="en-US"/>
        </w:rPr>
      </w:pPr>
      <w:r w:rsidRPr="002D107B">
        <w:rPr>
          <w:rFonts w:asciiTheme="majorHAnsi" w:hAnsiTheme="majorHAnsi"/>
          <w:color w:val="000000" w:themeColor="text1"/>
          <w:sz w:val="21"/>
          <w:szCs w:val="21"/>
          <w:lang w:val="en-US"/>
        </w:rPr>
        <w:t xml:space="preserve">Verma S, </w:t>
      </w:r>
      <w:proofErr w:type="spellStart"/>
      <w:r w:rsidRPr="002D107B">
        <w:rPr>
          <w:rFonts w:asciiTheme="majorHAnsi" w:hAnsiTheme="majorHAnsi"/>
          <w:color w:val="000000" w:themeColor="text1"/>
          <w:sz w:val="21"/>
          <w:szCs w:val="21"/>
          <w:lang w:val="en-US"/>
        </w:rPr>
        <w:t>Mesana</w:t>
      </w:r>
      <w:proofErr w:type="spellEnd"/>
      <w:r w:rsidRPr="002D107B">
        <w:rPr>
          <w:rFonts w:asciiTheme="majorHAnsi" w:hAnsiTheme="majorHAnsi"/>
          <w:color w:val="000000" w:themeColor="text1"/>
          <w:sz w:val="21"/>
          <w:szCs w:val="21"/>
          <w:lang w:val="en-US"/>
        </w:rPr>
        <w:t xml:space="preserve"> TG. </w:t>
      </w:r>
      <w:hyperlink r:id="rId7" w:history="1">
        <w:r w:rsidRPr="002D107B">
          <w:rPr>
            <w:rStyle w:val="Collegamentoipertestuale"/>
            <w:rFonts w:asciiTheme="majorHAnsi" w:hAnsiTheme="majorHAnsi"/>
            <w:color w:val="000000" w:themeColor="text1"/>
            <w:sz w:val="21"/>
            <w:szCs w:val="21"/>
            <w:u w:val="none"/>
            <w:lang w:val="en-US"/>
          </w:rPr>
          <w:t>Mitral-valve repair for mitral-valve prolapse.</w:t>
        </w:r>
      </w:hyperlink>
      <w:r w:rsidRPr="002D107B">
        <w:rPr>
          <w:rFonts w:asciiTheme="majorHAnsi" w:hAnsiTheme="majorHAnsi"/>
          <w:color w:val="000000" w:themeColor="text1"/>
          <w:sz w:val="21"/>
          <w:szCs w:val="21"/>
          <w:lang w:val="en-US"/>
        </w:rPr>
        <w:t xml:space="preserve"> N </w:t>
      </w:r>
      <w:proofErr w:type="spellStart"/>
      <w:r w:rsidRPr="002D107B">
        <w:rPr>
          <w:rFonts w:asciiTheme="majorHAnsi" w:hAnsiTheme="majorHAnsi"/>
          <w:color w:val="000000" w:themeColor="text1"/>
          <w:sz w:val="21"/>
          <w:szCs w:val="21"/>
          <w:lang w:val="en-US"/>
        </w:rPr>
        <w:t>Engl</w:t>
      </w:r>
      <w:proofErr w:type="spellEnd"/>
      <w:r w:rsidRPr="002D107B">
        <w:rPr>
          <w:rFonts w:asciiTheme="majorHAnsi" w:hAnsiTheme="majorHAnsi"/>
          <w:color w:val="000000" w:themeColor="text1"/>
          <w:sz w:val="21"/>
          <w:szCs w:val="21"/>
          <w:lang w:val="en-US"/>
        </w:rPr>
        <w:t xml:space="preserve"> J Med. 2009 Dec 3;361(23):2261-9. </w:t>
      </w:r>
      <w:proofErr w:type="spellStart"/>
      <w:r w:rsidRPr="002D107B">
        <w:rPr>
          <w:rFonts w:asciiTheme="majorHAnsi" w:hAnsiTheme="majorHAnsi"/>
          <w:color w:val="000000" w:themeColor="text1"/>
          <w:sz w:val="21"/>
          <w:szCs w:val="21"/>
          <w:lang w:val="en-US"/>
        </w:rPr>
        <w:t>doi</w:t>
      </w:r>
      <w:proofErr w:type="spellEnd"/>
      <w:r w:rsidRPr="002D107B">
        <w:rPr>
          <w:rFonts w:asciiTheme="majorHAnsi" w:hAnsiTheme="majorHAnsi"/>
          <w:color w:val="000000" w:themeColor="text1"/>
          <w:sz w:val="21"/>
          <w:szCs w:val="21"/>
          <w:lang w:val="en-US"/>
        </w:rPr>
        <w:t>: 10.1056/NEJMct0806111</w:t>
      </w:r>
    </w:p>
    <w:p w14:paraId="29DA22A9"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lang w:val="en-US"/>
        </w:rPr>
      </w:pPr>
      <w:proofErr w:type="spellStart"/>
      <w:r w:rsidRPr="002D107B">
        <w:rPr>
          <w:rFonts w:asciiTheme="majorHAnsi" w:hAnsiTheme="majorHAnsi"/>
          <w:sz w:val="21"/>
          <w:szCs w:val="21"/>
          <w:lang w:val="en-US"/>
        </w:rPr>
        <w:t>Sintek</w:t>
      </w:r>
      <w:proofErr w:type="spellEnd"/>
      <w:r w:rsidRPr="002D107B">
        <w:rPr>
          <w:rFonts w:asciiTheme="majorHAnsi" w:hAnsiTheme="majorHAnsi"/>
          <w:sz w:val="21"/>
          <w:szCs w:val="21"/>
          <w:lang w:val="en-US"/>
        </w:rPr>
        <w:t xml:space="preserve">, C.F., Pfeffer, T.A., </w:t>
      </w:r>
      <w:proofErr w:type="spellStart"/>
      <w:r w:rsidRPr="002D107B">
        <w:rPr>
          <w:rFonts w:asciiTheme="majorHAnsi" w:hAnsiTheme="majorHAnsi"/>
          <w:sz w:val="21"/>
          <w:szCs w:val="21"/>
          <w:lang w:val="en-US"/>
        </w:rPr>
        <w:t>Kochamba</w:t>
      </w:r>
      <w:proofErr w:type="spellEnd"/>
      <w:r w:rsidRPr="002D107B">
        <w:rPr>
          <w:rFonts w:asciiTheme="majorHAnsi" w:hAnsiTheme="majorHAnsi"/>
          <w:sz w:val="21"/>
          <w:szCs w:val="21"/>
          <w:lang w:val="en-US"/>
        </w:rPr>
        <w:t xml:space="preserve">, G.S., </w:t>
      </w:r>
      <w:proofErr w:type="spellStart"/>
      <w:r w:rsidRPr="002D107B">
        <w:rPr>
          <w:rFonts w:asciiTheme="majorHAnsi" w:hAnsiTheme="majorHAnsi"/>
          <w:sz w:val="21"/>
          <w:szCs w:val="21"/>
          <w:lang w:val="en-US"/>
        </w:rPr>
        <w:t>Khonsari</w:t>
      </w:r>
      <w:proofErr w:type="spellEnd"/>
      <w:r w:rsidRPr="002D107B">
        <w:rPr>
          <w:rFonts w:asciiTheme="majorHAnsi" w:hAnsiTheme="majorHAnsi"/>
          <w:sz w:val="21"/>
          <w:szCs w:val="21"/>
          <w:lang w:val="en-US"/>
        </w:rPr>
        <w:t xml:space="preserve"> S. Mitral valve replacement: technique to preserve the subvalvular apparatus. </w:t>
      </w:r>
      <w:r w:rsidRPr="002D107B">
        <w:rPr>
          <w:rFonts w:asciiTheme="majorHAnsi" w:hAnsiTheme="majorHAnsi"/>
          <w:i/>
          <w:iCs/>
          <w:sz w:val="21"/>
          <w:szCs w:val="21"/>
          <w:lang w:val="en-US"/>
        </w:rPr>
        <w:t xml:space="preserve">Ann </w:t>
      </w:r>
      <w:proofErr w:type="spellStart"/>
      <w:r w:rsidRPr="002D107B">
        <w:rPr>
          <w:rFonts w:asciiTheme="majorHAnsi" w:hAnsiTheme="majorHAnsi"/>
          <w:i/>
          <w:iCs/>
          <w:sz w:val="21"/>
          <w:szCs w:val="21"/>
          <w:lang w:val="en-US"/>
        </w:rPr>
        <w:t>Thorac</w:t>
      </w:r>
      <w:proofErr w:type="spellEnd"/>
      <w:r w:rsidRPr="002D107B">
        <w:rPr>
          <w:rFonts w:asciiTheme="majorHAnsi" w:hAnsiTheme="majorHAnsi"/>
          <w:i/>
          <w:iCs/>
          <w:sz w:val="21"/>
          <w:szCs w:val="21"/>
          <w:lang w:val="en-US"/>
        </w:rPr>
        <w:t xml:space="preserve"> Surg. </w:t>
      </w:r>
      <w:r w:rsidRPr="002D107B">
        <w:rPr>
          <w:rFonts w:asciiTheme="majorHAnsi" w:hAnsiTheme="majorHAnsi"/>
          <w:sz w:val="21"/>
          <w:szCs w:val="21"/>
          <w:lang w:val="en-US"/>
        </w:rPr>
        <w:t xml:space="preserve">1995; 59:1027-9. </w:t>
      </w:r>
    </w:p>
    <w:p w14:paraId="307084FD"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sz w:val="21"/>
          <w:szCs w:val="21"/>
          <w:lang w:val="en-US"/>
        </w:rPr>
      </w:pPr>
      <w:proofErr w:type="spellStart"/>
      <w:r w:rsidRPr="002D107B">
        <w:rPr>
          <w:rFonts w:asciiTheme="majorHAnsi" w:hAnsiTheme="majorHAnsi"/>
          <w:sz w:val="21"/>
          <w:szCs w:val="21"/>
          <w:lang w:val="en-US"/>
        </w:rPr>
        <w:t>Khonsari's</w:t>
      </w:r>
      <w:proofErr w:type="spellEnd"/>
      <w:r w:rsidRPr="002D107B">
        <w:rPr>
          <w:rFonts w:asciiTheme="majorHAnsi" w:hAnsiTheme="majorHAnsi"/>
          <w:sz w:val="21"/>
          <w:szCs w:val="21"/>
          <w:lang w:val="en-US"/>
        </w:rPr>
        <w:t xml:space="preserve"> Cardiac Surgery 5th Ed Safeguards and Pitfalls in operative Technique</w:t>
      </w:r>
    </w:p>
    <w:p w14:paraId="67AA9E59" w14:textId="77777777" w:rsidR="00954B5B" w:rsidRPr="002D107B" w:rsidRDefault="00954B5B" w:rsidP="00954B5B">
      <w:pPr>
        <w:numPr>
          <w:ilvl w:val="0"/>
          <w:numId w:val="17"/>
        </w:numPr>
        <w:tabs>
          <w:tab w:val="clear" w:pos="644"/>
          <w:tab w:val="num" w:pos="720"/>
        </w:tabs>
        <w:spacing w:after="0" w:line="360" w:lineRule="auto"/>
        <w:ind w:left="720"/>
        <w:jc w:val="both"/>
        <w:rPr>
          <w:rFonts w:asciiTheme="majorHAnsi" w:hAnsiTheme="majorHAnsi"/>
          <w:color w:val="000000" w:themeColor="text1"/>
          <w:sz w:val="21"/>
          <w:szCs w:val="21"/>
          <w:lang w:val="en-US"/>
        </w:rPr>
      </w:pPr>
      <w:r w:rsidRPr="002D107B">
        <w:rPr>
          <w:rFonts w:asciiTheme="majorHAnsi" w:hAnsiTheme="majorHAnsi"/>
          <w:color w:val="000000" w:themeColor="text1"/>
          <w:sz w:val="21"/>
          <w:szCs w:val="21"/>
          <w:lang w:val="en-US"/>
        </w:rPr>
        <w:t xml:space="preserve">Yun, K.L., </w:t>
      </w:r>
      <w:proofErr w:type="spellStart"/>
      <w:r w:rsidRPr="002D107B">
        <w:rPr>
          <w:rFonts w:asciiTheme="majorHAnsi" w:hAnsiTheme="majorHAnsi"/>
          <w:color w:val="000000" w:themeColor="text1"/>
          <w:sz w:val="21"/>
          <w:szCs w:val="21"/>
          <w:lang w:val="en-US"/>
        </w:rPr>
        <w:t>Sintek</w:t>
      </w:r>
      <w:proofErr w:type="spellEnd"/>
      <w:r w:rsidRPr="002D107B">
        <w:rPr>
          <w:rFonts w:asciiTheme="majorHAnsi" w:hAnsiTheme="majorHAnsi"/>
          <w:color w:val="000000" w:themeColor="text1"/>
          <w:sz w:val="21"/>
          <w:szCs w:val="21"/>
          <w:lang w:val="en-US"/>
        </w:rPr>
        <w:t xml:space="preserve"> ,C.F., Miller, D.C., Pfeffer, T.A., </w:t>
      </w:r>
      <w:proofErr w:type="spellStart"/>
      <w:r w:rsidRPr="002D107B">
        <w:rPr>
          <w:rFonts w:asciiTheme="majorHAnsi" w:hAnsiTheme="majorHAnsi"/>
          <w:color w:val="000000" w:themeColor="text1"/>
          <w:sz w:val="21"/>
          <w:szCs w:val="21"/>
          <w:lang w:val="en-US"/>
        </w:rPr>
        <w:t>Kochamba</w:t>
      </w:r>
      <w:proofErr w:type="spellEnd"/>
      <w:r w:rsidRPr="002D107B">
        <w:rPr>
          <w:rFonts w:asciiTheme="majorHAnsi" w:hAnsiTheme="majorHAnsi"/>
          <w:color w:val="000000" w:themeColor="text1"/>
          <w:sz w:val="21"/>
          <w:szCs w:val="21"/>
          <w:lang w:val="en-US"/>
        </w:rPr>
        <w:t xml:space="preserve">, G.S., </w:t>
      </w:r>
      <w:proofErr w:type="spellStart"/>
      <w:r w:rsidRPr="002D107B">
        <w:rPr>
          <w:rFonts w:asciiTheme="majorHAnsi" w:hAnsiTheme="majorHAnsi"/>
          <w:color w:val="000000" w:themeColor="text1"/>
          <w:sz w:val="21"/>
          <w:szCs w:val="21"/>
          <w:lang w:val="en-US"/>
        </w:rPr>
        <w:t>Khonsari</w:t>
      </w:r>
      <w:proofErr w:type="spellEnd"/>
      <w:r w:rsidRPr="002D107B">
        <w:rPr>
          <w:rFonts w:asciiTheme="majorHAnsi" w:hAnsiTheme="majorHAnsi"/>
          <w:color w:val="000000" w:themeColor="text1"/>
          <w:sz w:val="21"/>
          <w:szCs w:val="21"/>
          <w:lang w:val="en-US"/>
        </w:rPr>
        <w:t xml:space="preserve"> S, </w:t>
      </w:r>
      <w:proofErr w:type="spellStart"/>
      <w:r w:rsidRPr="002D107B">
        <w:rPr>
          <w:rFonts w:asciiTheme="majorHAnsi" w:hAnsiTheme="majorHAnsi"/>
          <w:color w:val="000000" w:themeColor="text1"/>
          <w:sz w:val="21"/>
          <w:szCs w:val="21"/>
          <w:lang w:val="en-US"/>
        </w:rPr>
        <w:t>Zile</w:t>
      </w:r>
      <w:proofErr w:type="spellEnd"/>
      <w:r w:rsidRPr="002D107B">
        <w:rPr>
          <w:rFonts w:asciiTheme="majorHAnsi" w:hAnsiTheme="majorHAnsi"/>
          <w:color w:val="000000" w:themeColor="text1"/>
          <w:sz w:val="21"/>
          <w:szCs w:val="21"/>
          <w:lang w:val="en-US"/>
        </w:rPr>
        <w:t xml:space="preserve">, M.R. </w:t>
      </w:r>
      <w:hyperlink r:id="rId8" w:history="1">
        <w:r w:rsidRPr="002D107B">
          <w:rPr>
            <w:rStyle w:val="Collegamentoipertestuale"/>
            <w:rFonts w:asciiTheme="majorHAnsi" w:hAnsiTheme="majorHAnsi"/>
            <w:color w:val="000000" w:themeColor="text1"/>
            <w:sz w:val="21"/>
            <w:szCs w:val="21"/>
            <w:u w:val="none"/>
            <w:lang w:val="en-US"/>
          </w:rPr>
          <w:t>Randomized trial comparing partial versus complete chordal-sparing mitral valve replacement: effects on left ventricular volume and function.</w:t>
        </w:r>
      </w:hyperlink>
      <w:r w:rsidRPr="002D107B">
        <w:rPr>
          <w:rFonts w:asciiTheme="majorHAnsi" w:hAnsiTheme="majorHAnsi"/>
          <w:color w:val="000000" w:themeColor="text1"/>
          <w:sz w:val="21"/>
          <w:szCs w:val="21"/>
          <w:lang w:val="en-US"/>
        </w:rPr>
        <w:t xml:space="preserve"> J </w:t>
      </w:r>
      <w:proofErr w:type="spellStart"/>
      <w:r w:rsidRPr="002D107B">
        <w:rPr>
          <w:rFonts w:asciiTheme="majorHAnsi" w:hAnsiTheme="majorHAnsi"/>
          <w:color w:val="000000" w:themeColor="text1"/>
          <w:sz w:val="21"/>
          <w:szCs w:val="21"/>
          <w:lang w:val="en-US"/>
        </w:rPr>
        <w:t>Thorac</w:t>
      </w:r>
      <w:proofErr w:type="spellEnd"/>
      <w:r w:rsidRPr="002D107B">
        <w:rPr>
          <w:rFonts w:asciiTheme="majorHAnsi" w:hAnsiTheme="majorHAnsi"/>
          <w:color w:val="000000" w:themeColor="text1"/>
          <w:sz w:val="21"/>
          <w:szCs w:val="21"/>
          <w:lang w:val="en-US"/>
        </w:rPr>
        <w:t xml:space="preserve"> Cardiovasc Surg. 2002 Apr;123(4):707-14. </w:t>
      </w:r>
      <w:proofErr w:type="spellStart"/>
      <w:r w:rsidRPr="002D107B">
        <w:rPr>
          <w:rFonts w:asciiTheme="majorHAnsi" w:hAnsiTheme="majorHAnsi"/>
          <w:color w:val="000000" w:themeColor="text1"/>
          <w:sz w:val="21"/>
          <w:szCs w:val="21"/>
          <w:lang w:val="en-US"/>
        </w:rPr>
        <w:t>doi</w:t>
      </w:r>
      <w:proofErr w:type="spellEnd"/>
      <w:r w:rsidRPr="002D107B">
        <w:rPr>
          <w:rFonts w:asciiTheme="majorHAnsi" w:hAnsiTheme="majorHAnsi"/>
          <w:color w:val="000000" w:themeColor="text1"/>
          <w:sz w:val="21"/>
          <w:szCs w:val="21"/>
          <w:lang w:val="en-US"/>
        </w:rPr>
        <w:t>: 10.1067/mtc.2002.121048</w:t>
      </w:r>
    </w:p>
    <w:p w14:paraId="17899E44" w14:textId="77777777" w:rsidR="00954B5B" w:rsidRPr="002D107B" w:rsidRDefault="00954B5B" w:rsidP="00954B5B">
      <w:pPr>
        <w:numPr>
          <w:ilvl w:val="0"/>
          <w:numId w:val="17"/>
        </w:numPr>
        <w:tabs>
          <w:tab w:val="clear" w:pos="644"/>
          <w:tab w:val="num" w:pos="720"/>
        </w:tabs>
        <w:spacing w:after="0" w:line="360" w:lineRule="auto"/>
        <w:ind w:left="720"/>
        <w:rPr>
          <w:rFonts w:asciiTheme="majorHAnsi" w:hAnsiTheme="majorHAnsi"/>
          <w:color w:val="000000" w:themeColor="text1"/>
          <w:sz w:val="21"/>
          <w:szCs w:val="21"/>
          <w:lang w:val="en-US"/>
        </w:rPr>
      </w:pPr>
      <w:proofErr w:type="spellStart"/>
      <w:r w:rsidRPr="002D107B">
        <w:rPr>
          <w:rFonts w:asciiTheme="majorHAnsi" w:hAnsiTheme="majorHAnsi"/>
          <w:sz w:val="21"/>
          <w:szCs w:val="21"/>
          <w:lang w:val="en-US"/>
        </w:rPr>
        <w:t>Vahanian</w:t>
      </w:r>
      <w:proofErr w:type="spellEnd"/>
      <w:r w:rsidRPr="002D107B">
        <w:rPr>
          <w:rFonts w:asciiTheme="majorHAnsi" w:hAnsiTheme="majorHAnsi"/>
          <w:sz w:val="21"/>
          <w:szCs w:val="21"/>
          <w:lang w:val="en-US"/>
        </w:rPr>
        <w:t xml:space="preserve"> A, </w:t>
      </w:r>
      <w:proofErr w:type="spellStart"/>
      <w:r w:rsidRPr="002D107B">
        <w:rPr>
          <w:rFonts w:asciiTheme="majorHAnsi" w:hAnsiTheme="majorHAnsi"/>
          <w:sz w:val="21"/>
          <w:szCs w:val="21"/>
          <w:lang w:val="en-US"/>
        </w:rPr>
        <w:t>Beyersdorf</w:t>
      </w:r>
      <w:proofErr w:type="spellEnd"/>
      <w:r w:rsidRPr="002D107B">
        <w:rPr>
          <w:rFonts w:asciiTheme="majorHAnsi" w:hAnsiTheme="majorHAnsi"/>
          <w:sz w:val="21"/>
          <w:szCs w:val="21"/>
          <w:lang w:val="en-US"/>
        </w:rPr>
        <w:t xml:space="preserve"> F, </w:t>
      </w:r>
      <w:proofErr w:type="spellStart"/>
      <w:r w:rsidRPr="002D107B">
        <w:rPr>
          <w:rFonts w:asciiTheme="majorHAnsi" w:hAnsiTheme="majorHAnsi"/>
          <w:sz w:val="21"/>
          <w:szCs w:val="21"/>
          <w:lang w:val="en-US"/>
        </w:rPr>
        <w:t>Praz</w:t>
      </w:r>
      <w:proofErr w:type="spellEnd"/>
      <w:r w:rsidRPr="002D107B">
        <w:rPr>
          <w:rFonts w:asciiTheme="majorHAnsi" w:hAnsiTheme="majorHAnsi"/>
          <w:sz w:val="21"/>
          <w:szCs w:val="21"/>
          <w:lang w:val="en-US"/>
        </w:rPr>
        <w:t xml:space="preserve"> F, </w:t>
      </w:r>
      <w:proofErr w:type="spellStart"/>
      <w:r w:rsidRPr="002D107B">
        <w:rPr>
          <w:rFonts w:asciiTheme="majorHAnsi" w:hAnsiTheme="majorHAnsi"/>
          <w:sz w:val="21"/>
          <w:szCs w:val="21"/>
          <w:lang w:val="en-US"/>
        </w:rPr>
        <w:t>Milojevic</w:t>
      </w:r>
      <w:proofErr w:type="spellEnd"/>
      <w:r w:rsidRPr="002D107B">
        <w:rPr>
          <w:rFonts w:asciiTheme="majorHAnsi" w:hAnsiTheme="majorHAnsi"/>
          <w:sz w:val="21"/>
          <w:szCs w:val="21"/>
          <w:lang w:val="en-US"/>
        </w:rPr>
        <w:t xml:space="preserve"> M, Baldus S, </w:t>
      </w:r>
      <w:proofErr w:type="spellStart"/>
      <w:r w:rsidRPr="002D107B">
        <w:rPr>
          <w:rFonts w:asciiTheme="majorHAnsi" w:hAnsiTheme="majorHAnsi"/>
          <w:sz w:val="21"/>
          <w:szCs w:val="21"/>
          <w:lang w:val="en-US"/>
        </w:rPr>
        <w:t>Bauersachs</w:t>
      </w:r>
      <w:proofErr w:type="spellEnd"/>
      <w:r w:rsidRPr="002D107B">
        <w:rPr>
          <w:rFonts w:asciiTheme="majorHAnsi" w:hAnsiTheme="majorHAnsi"/>
          <w:sz w:val="21"/>
          <w:szCs w:val="21"/>
          <w:lang w:val="en-US"/>
        </w:rPr>
        <w:t xml:space="preserve"> J, Capodanno D, et al.  ESC/EACTS Scientific Document Group. 2021 ESC/EACTS Guidelines for the management of valvular heart disease.</w:t>
      </w:r>
      <w:hyperlink r:id="rId9" w:history="1">
        <w:r w:rsidRPr="002D107B">
          <w:rPr>
            <w:rStyle w:val="Collegamentoipertestuale"/>
            <w:rFonts w:asciiTheme="majorHAnsi" w:hAnsiTheme="majorHAnsi"/>
            <w:color w:val="000000" w:themeColor="text1"/>
            <w:sz w:val="21"/>
            <w:szCs w:val="21"/>
            <w:u w:val="none"/>
            <w:lang w:val="en-US"/>
          </w:rPr>
          <w:br/>
        </w:r>
      </w:hyperlink>
      <w:r w:rsidRPr="002D107B">
        <w:rPr>
          <w:rFonts w:asciiTheme="majorHAnsi" w:hAnsiTheme="majorHAnsi"/>
          <w:sz w:val="21"/>
          <w:szCs w:val="21"/>
          <w:lang w:val="en-US"/>
        </w:rPr>
        <w:t xml:space="preserve"> </w:t>
      </w:r>
      <w:proofErr w:type="spellStart"/>
      <w:r w:rsidRPr="002D107B">
        <w:rPr>
          <w:rFonts w:asciiTheme="majorHAnsi" w:hAnsiTheme="majorHAnsi"/>
          <w:sz w:val="21"/>
          <w:szCs w:val="21"/>
          <w:lang w:val="en-US"/>
        </w:rPr>
        <w:t>Eur</w:t>
      </w:r>
      <w:proofErr w:type="spellEnd"/>
      <w:r w:rsidRPr="002D107B">
        <w:rPr>
          <w:rFonts w:asciiTheme="majorHAnsi" w:hAnsiTheme="majorHAnsi"/>
          <w:sz w:val="21"/>
          <w:szCs w:val="21"/>
          <w:lang w:val="en-US"/>
        </w:rPr>
        <w:t xml:space="preserve"> J </w:t>
      </w:r>
      <w:proofErr w:type="spellStart"/>
      <w:r w:rsidRPr="002D107B">
        <w:rPr>
          <w:rFonts w:asciiTheme="majorHAnsi" w:hAnsiTheme="majorHAnsi"/>
          <w:sz w:val="21"/>
          <w:szCs w:val="21"/>
          <w:lang w:val="en-US"/>
        </w:rPr>
        <w:t>Cardiothorac</w:t>
      </w:r>
      <w:proofErr w:type="spellEnd"/>
      <w:r w:rsidRPr="002D107B">
        <w:rPr>
          <w:rFonts w:asciiTheme="majorHAnsi" w:hAnsiTheme="majorHAnsi"/>
          <w:sz w:val="21"/>
          <w:szCs w:val="21"/>
          <w:lang w:val="en-US"/>
        </w:rPr>
        <w:t xml:space="preserve"> Surg. 2021 Oct 22;60(4):727-800. </w:t>
      </w:r>
      <w:proofErr w:type="spellStart"/>
      <w:r w:rsidRPr="002D107B">
        <w:rPr>
          <w:rFonts w:asciiTheme="majorHAnsi" w:hAnsiTheme="majorHAnsi"/>
          <w:sz w:val="21"/>
          <w:szCs w:val="21"/>
          <w:lang w:val="en-US"/>
        </w:rPr>
        <w:t>doi</w:t>
      </w:r>
      <w:proofErr w:type="spellEnd"/>
      <w:r w:rsidRPr="002D107B">
        <w:rPr>
          <w:rFonts w:asciiTheme="majorHAnsi" w:hAnsiTheme="majorHAnsi"/>
          <w:sz w:val="21"/>
          <w:szCs w:val="21"/>
          <w:lang w:val="en-US"/>
        </w:rPr>
        <w:t>: 10.1093/</w:t>
      </w:r>
      <w:proofErr w:type="spellStart"/>
      <w:r w:rsidRPr="002D107B">
        <w:rPr>
          <w:rFonts w:asciiTheme="majorHAnsi" w:hAnsiTheme="majorHAnsi"/>
          <w:sz w:val="21"/>
          <w:szCs w:val="21"/>
          <w:lang w:val="en-US"/>
        </w:rPr>
        <w:t>ejcts</w:t>
      </w:r>
      <w:proofErr w:type="spellEnd"/>
      <w:r w:rsidRPr="002D107B">
        <w:rPr>
          <w:rFonts w:asciiTheme="majorHAnsi" w:hAnsiTheme="majorHAnsi"/>
          <w:sz w:val="21"/>
          <w:szCs w:val="21"/>
          <w:lang w:val="en-US"/>
        </w:rPr>
        <w:t>/ezab389.</w:t>
      </w:r>
    </w:p>
    <w:p w14:paraId="158959B1" w14:textId="77777777" w:rsidR="00954B5B" w:rsidRPr="002D107B" w:rsidRDefault="00954B5B" w:rsidP="00954B5B">
      <w:pPr>
        <w:pStyle w:val="Paragrafoelenco"/>
        <w:numPr>
          <w:ilvl w:val="0"/>
          <w:numId w:val="17"/>
        </w:numPr>
        <w:spacing w:line="360" w:lineRule="auto"/>
        <w:jc w:val="both"/>
        <w:rPr>
          <w:rFonts w:asciiTheme="majorHAnsi" w:hAnsiTheme="majorHAnsi"/>
          <w:color w:val="000000" w:themeColor="text1"/>
          <w:sz w:val="21"/>
          <w:szCs w:val="21"/>
          <w:lang w:val="en-US"/>
        </w:rPr>
      </w:pPr>
      <w:r w:rsidRPr="002D107B">
        <w:rPr>
          <w:rFonts w:asciiTheme="majorHAnsi" w:hAnsiTheme="majorHAnsi"/>
          <w:color w:val="000000" w:themeColor="text1"/>
          <w:sz w:val="21"/>
          <w:szCs w:val="21"/>
          <w:lang w:val="fr-FR"/>
        </w:rPr>
        <w:t xml:space="preserve">Obadia JF, </w:t>
      </w:r>
      <w:proofErr w:type="spellStart"/>
      <w:r w:rsidRPr="002D107B">
        <w:rPr>
          <w:rFonts w:asciiTheme="majorHAnsi" w:hAnsiTheme="majorHAnsi"/>
          <w:color w:val="000000" w:themeColor="text1"/>
          <w:sz w:val="21"/>
          <w:szCs w:val="21"/>
          <w:lang w:val="fr-FR"/>
        </w:rPr>
        <w:t>Messika</w:t>
      </w:r>
      <w:proofErr w:type="spellEnd"/>
      <w:r w:rsidRPr="002D107B">
        <w:rPr>
          <w:rFonts w:asciiTheme="majorHAnsi" w:hAnsiTheme="majorHAnsi"/>
          <w:color w:val="000000" w:themeColor="text1"/>
          <w:sz w:val="21"/>
          <w:szCs w:val="21"/>
          <w:lang w:val="fr-FR"/>
        </w:rPr>
        <w:t xml:space="preserve">-Zeitoun D, </w:t>
      </w:r>
      <w:proofErr w:type="spellStart"/>
      <w:r w:rsidRPr="002D107B">
        <w:rPr>
          <w:rFonts w:asciiTheme="majorHAnsi" w:hAnsiTheme="majorHAnsi"/>
          <w:color w:val="000000" w:themeColor="text1"/>
          <w:sz w:val="21"/>
          <w:szCs w:val="21"/>
          <w:lang w:val="fr-FR"/>
        </w:rPr>
        <w:t>Leurent</w:t>
      </w:r>
      <w:proofErr w:type="spellEnd"/>
      <w:r w:rsidRPr="002D107B">
        <w:rPr>
          <w:rFonts w:asciiTheme="majorHAnsi" w:hAnsiTheme="majorHAnsi"/>
          <w:color w:val="000000" w:themeColor="text1"/>
          <w:sz w:val="21"/>
          <w:szCs w:val="21"/>
          <w:lang w:val="fr-FR"/>
        </w:rPr>
        <w:t xml:space="preserve"> G, </w:t>
      </w:r>
      <w:proofErr w:type="spellStart"/>
      <w:r w:rsidRPr="002D107B">
        <w:rPr>
          <w:rFonts w:asciiTheme="majorHAnsi" w:hAnsiTheme="majorHAnsi"/>
          <w:color w:val="000000" w:themeColor="text1"/>
          <w:sz w:val="21"/>
          <w:szCs w:val="21"/>
          <w:lang w:val="fr-FR"/>
        </w:rPr>
        <w:t>Iung</w:t>
      </w:r>
      <w:proofErr w:type="spellEnd"/>
      <w:r w:rsidRPr="002D107B">
        <w:rPr>
          <w:rFonts w:asciiTheme="majorHAnsi" w:hAnsiTheme="majorHAnsi"/>
          <w:color w:val="000000" w:themeColor="text1"/>
          <w:sz w:val="21"/>
          <w:szCs w:val="21"/>
          <w:lang w:val="fr-FR"/>
        </w:rPr>
        <w:t xml:space="preserve"> B, Bonnet G, Piriou N, Lefèvre T, et al. </w:t>
      </w:r>
      <w:r w:rsidRPr="002D107B">
        <w:rPr>
          <w:rFonts w:asciiTheme="majorHAnsi" w:hAnsiTheme="majorHAnsi"/>
          <w:color w:val="000000" w:themeColor="text1"/>
          <w:sz w:val="21"/>
          <w:szCs w:val="21"/>
          <w:lang w:val="en-US"/>
        </w:rPr>
        <w:t xml:space="preserve">MITRA-FR Investigators. </w:t>
      </w:r>
      <w:hyperlink r:id="rId10" w:history="1">
        <w:r w:rsidRPr="002D107B">
          <w:rPr>
            <w:rStyle w:val="Collegamentoipertestuale"/>
            <w:rFonts w:asciiTheme="majorHAnsi" w:hAnsiTheme="majorHAnsi"/>
            <w:color w:val="000000" w:themeColor="text1"/>
            <w:sz w:val="21"/>
            <w:szCs w:val="21"/>
            <w:u w:val="none"/>
            <w:lang w:val="en-US"/>
          </w:rPr>
          <w:t>Percutaneous Repair or Medical Treatment for Secondary Mitral Regurgitation.</w:t>
        </w:r>
      </w:hyperlink>
      <w:r w:rsidRPr="002D107B">
        <w:rPr>
          <w:rFonts w:asciiTheme="majorHAnsi" w:hAnsiTheme="majorHAnsi"/>
          <w:color w:val="000000" w:themeColor="text1"/>
          <w:sz w:val="21"/>
          <w:szCs w:val="21"/>
          <w:lang w:val="en-US"/>
        </w:rPr>
        <w:t xml:space="preserve"> N </w:t>
      </w:r>
      <w:proofErr w:type="spellStart"/>
      <w:r w:rsidRPr="002D107B">
        <w:rPr>
          <w:rFonts w:asciiTheme="majorHAnsi" w:hAnsiTheme="majorHAnsi"/>
          <w:color w:val="000000" w:themeColor="text1"/>
          <w:sz w:val="21"/>
          <w:szCs w:val="21"/>
          <w:lang w:val="en-US"/>
        </w:rPr>
        <w:t>Engl</w:t>
      </w:r>
      <w:proofErr w:type="spellEnd"/>
      <w:r w:rsidRPr="002D107B">
        <w:rPr>
          <w:rFonts w:asciiTheme="majorHAnsi" w:hAnsiTheme="majorHAnsi"/>
          <w:color w:val="000000" w:themeColor="text1"/>
          <w:sz w:val="21"/>
          <w:szCs w:val="21"/>
          <w:lang w:val="en-US"/>
        </w:rPr>
        <w:t xml:space="preserve"> J Med. 2018 Dec 13;379(24):2297-2306. </w:t>
      </w:r>
      <w:proofErr w:type="spellStart"/>
      <w:r w:rsidRPr="002D107B">
        <w:rPr>
          <w:rFonts w:asciiTheme="majorHAnsi" w:hAnsiTheme="majorHAnsi"/>
          <w:color w:val="000000" w:themeColor="text1"/>
          <w:sz w:val="21"/>
          <w:szCs w:val="21"/>
          <w:lang w:val="en-US"/>
        </w:rPr>
        <w:t>doi</w:t>
      </w:r>
      <w:proofErr w:type="spellEnd"/>
      <w:r w:rsidRPr="002D107B">
        <w:rPr>
          <w:rFonts w:asciiTheme="majorHAnsi" w:hAnsiTheme="majorHAnsi"/>
          <w:color w:val="000000" w:themeColor="text1"/>
          <w:sz w:val="21"/>
          <w:szCs w:val="21"/>
          <w:lang w:val="en-US"/>
        </w:rPr>
        <w:t>: 10.1056/NEJMoa1805374.</w:t>
      </w:r>
    </w:p>
    <w:p w14:paraId="51429D9D" w14:textId="77777777" w:rsidR="00954B5B" w:rsidRPr="002D107B" w:rsidRDefault="00954B5B" w:rsidP="00954B5B">
      <w:pPr>
        <w:pStyle w:val="Paragrafoelenco"/>
        <w:numPr>
          <w:ilvl w:val="0"/>
          <w:numId w:val="17"/>
        </w:numPr>
        <w:spacing w:line="360" w:lineRule="auto"/>
        <w:jc w:val="both"/>
        <w:rPr>
          <w:rFonts w:asciiTheme="majorHAnsi" w:hAnsiTheme="majorHAnsi"/>
          <w:color w:val="000000" w:themeColor="text1"/>
          <w:sz w:val="21"/>
          <w:szCs w:val="21"/>
          <w:lang w:val="en-US"/>
        </w:rPr>
      </w:pPr>
      <w:r w:rsidRPr="002D107B">
        <w:rPr>
          <w:rFonts w:asciiTheme="majorHAnsi" w:hAnsiTheme="majorHAnsi"/>
          <w:color w:val="000000" w:themeColor="text1"/>
          <w:sz w:val="21"/>
          <w:szCs w:val="21"/>
          <w:lang w:val="en-US"/>
        </w:rPr>
        <w:t xml:space="preserve">Stone GW, Lindenfeld J, Abraham WT, Kar S, Lim DS, </w:t>
      </w:r>
      <w:proofErr w:type="spellStart"/>
      <w:r w:rsidRPr="002D107B">
        <w:rPr>
          <w:rFonts w:asciiTheme="majorHAnsi" w:hAnsiTheme="majorHAnsi"/>
          <w:color w:val="000000" w:themeColor="text1"/>
          <w:sz w:val="21"/>
          <w:szCs w:val="21"/>
          <w:lang w:val="en-US"/>
        </w:rPr>
        <w:t>Mishell</w:t>
      </w:r>
      <w:proofErr w:type="spellEnd"/>
      <w:r w:rsidRPr="002D107B">
        <w:rPr>
          <w:rFonts w:asciiTheme="majorHAnsi" w:hAnsiTheme="majorHAnsi"/>
          <w:color w:val="000000" w:themeColor="text1"/>
          <w:sz w:val="21"/>
          <w:szCs w:val="21"/>
          <w:lang w:val="en-US"/>
        </w:rPr>
        <w:t xml:space="preserve"> JM, </w:t>
      </w:r>
      <w:proofErr w:type="spellStart"/>
      <w:r w:rsidRPr="002D107B">
        <w:rPr>
          <w:rFonts w:asciiTheme="majorHAnsi" w:hAnsiTheme="majorHAnsi"/>
          <w:color w:val="000000" w:themeColor="text1"/>
          <w:sz w:val="21"/>
          <w:szCs w:val="21"/>
          <w:lang w:val="en-US"/>
        </w:rPr>
        <w:t>Whisenant</w:t>
      </w:r>
      <w:proofErr w:type="spellEnd"/>
      <w:r w:rsidRPr="002D107B">
        <w:rPr>
          <w:rFonts w:asciiTheme="majorHAnsi" w:hAnsiTheme="majorHAnsi"/>
          <w:color w:val="000000" w:themeColor="text1"/>
          <w:sz w:val="21"/>
          <w:szCs w:val="21"/>
          <w:lang w:val="en-US"/>
        </w:rPr>
        <w:t xml:space="preserve"> B, et al. [COAPT Investigators. </w:t>
      </w:r>
      <w:hyperlink r:id="rId11" w:history="1">
        <w:r w:rsidRPr="002D107B">
          <w:rPr>
            <w:rStyle w:val="Collegamentoipertestuale"/>
            <w:rFonts w:asciiTheme="majorHAnsi" w:hAnsiTheme="majorHAnsi"/>
            <w:color w:val="000000" w:themeColor="text1"/>
            <w:sz w:val="21"/>
            <w:szCs w:val="21"/>
            <w:u w:val="none"/>
            <w:lang w:val="en-US"/>
          </w:rPr>
          <w:t xml:space="preserve">Transcatheter Mitral-Valve Repair in Patients with Heart </w:t>
        </w:r>
        <w:proofErr w:type="spellStart"/>
        <w:r w:rsidRPr="002D107B">
          <w:rPr>
            <w:rStyle w:val="Collegamentoipertestuale"/>
            <w:rFonts w:asciiTheme="majorHAnsi" w:hAnsiTheme="majorHAnsi"/>
            <w:color w:val="000000" w:themeColor="text1"/>
            <w:sz w:val="21"/>
            <w:szCs w:val="21"/>
            <w:u w:val="none"/>
            <w:lang w:val="en-US"/>
          </w:rPr>
          <w:t>Failure.</w:t>
        </w:r>
      </w:hyperlink>
      <w:r w:rsidRPr="002D107B">
        <w:rPr>
          <w:rFonts w:asciiTheme="majorHAnsi" w:hAnsiTheme="majorHAnsi"/>
          <w:color w:val="000000" w:themeColor="text1"/>
          <w:sz w:val="21"/>
          <w:szCs w:val="21"/>
          <w:lang w:val="en-US"/>
        </w:rPr>
        <w:t>N</w:t>
      </w:r>
      <w:proofErr w:type="spellEnd"/>
      <w:r w:rsidRPr="002D107B">
        <w:rPr>
          <w:rFonts w:asciiTheme="majorHAnsi" w:hAnsiTheme="majorHAnsi"/>
          <w:color w:val="000000" w:themeColor="text1"/>
          <w:sz w:val="21"/>
          <w:szCs w:val="21"/>
          <w:lang w:val="en-US"/>
        </w:rPr>
        <w:t xml:space="preserve"> </w:t>
      </w:r>
      <w:proofErr w:type="spellStart"/>
      <w:r w:rsidRPr="002D107B">
        <w:rPr>
          <w:rFonts w:asciiTheme="majorHAnsi" w:hAnsiTheme="majorHAnsi"/>
          <w:color w:val="000000" w:themeColor="text1"/>
          <w:sz w:val="21"/>
          <w:szCs w:val="21"/>
          <w:lang w:val="en-US"/>
        </w:rPr>
        <w:t>Engl</w:t>
      </w:r>
      <w:proofErr w:type="spellEnd"/>
      <w:r w:rsidRPr="002D107B">
        <w:rPr>
          <w:rFonts w:asciiTheme="majorHAnsi" w:hAnsiTheme="majorHAnsi"/>
          <w:color w:val="000000" w:themeColor="text1"/>
          <w:sz w:val="21"/>
          <w:szCs w:val="21"/>
          <w:lang w:val="en-US"/>
        </w:rPr>
        <w:t xml:space="preserve"> J Med. 2018 Dec 13;379(24):2307-2318. </w:t>
      </w:r>
      <w:proofErr w:type="spellStart"/>
      <w:r w:rsidRPr="002D107B">
        <w:rPr>
          <w:rFonts w:asciiTheme="majorHAnsi" w:hAnsiTheme="majorHAnsi"/>
          <w:color w:val="000000" w:themeColor="text1"/>
          <w:sz w:val="21"/>
          <w:szCs w:val="21"/>
          <w:lang w:val="en-US"/>
        </w:rPr>
        <w:t>doi</w:t>
      </w:r>
      <w:proofErr w:type="spellEnd"/>
      <w:r w:rsidRPr="002D107B">
        <w:rPr>
          <w:rFonts w:asciiTheme="majorHAnsi" w:hAnsiTheme="majorHAnsi"/>
          <w:color w:val="000000" w:themeColor="text1"/>
          <w:sz w:val="21"/>
          <w:szCs w:val="21"/>
          <w:lang w:val="en-US"/>
        </w:rPr>
        <w:t>: 10.1056/NEJMoa1806640. </w:t>
      </w:r>
    </w:p>
    <w:p w14:paraId="03A5605D" w14:textId="77777777" w:rsidR="00954B5B" w:rsidRPr="002D107B" w:rsidRDefault="00954B5B" w:rsidP="00954B5B">
      <w:pPr>
        <w:pStyle w:val="Paragrafoelenco"/>
        <w:numPr>
          <w:ilvl w:val="0"/>
          <w:numId w:val="17"/>
        </w:numPr>
        <w:spacing w:line="360" w:lineRule="auto"/>
        <w:jc w:val="both"/>
        <w:rPr>
          <w:rFonts w:asciiTheme="majorHAnsi" w:hAnsiTheme="majorHAnsi"/>
          <w:sz w:val="21"/>
          <w:szCs w:val="21"/>
          <w:lang w:val="en-US"/>
        </w:rPr>
      </w:pPr>
      <w:r w:rsidRPr="002D107B">
        <w:rPr>
          <w:rFonts w:asciiTheme="majorHAnsi" w:hAnsiTheme="majorHAnsi" w:cs="Times New Roman"/>
          <w:sz w:val="21"/>
          <w:szCs w:val="21"/>
          <w:lang w:val="en-US"/>
        </w:rPr>
        <w:t xml:space="preserve">Writing Committee Members, Otto CM, Nishimura RA, et al. 2020 ACC/AHA guideline for the management of patients with valvular heart disease: a report of the American College of Car- </w:t>
      </w:r>
      <w:proofErr w:type="spellStart"/>
      <w:r w:rsidRPr="002D107B">
        <w:rPr>
          <w:rFonts w:asciiTheme="majorHAnsi" w:hAnsiTheme="majorHAnsi" w:cs="Times New Roman"/>
          <w:sz w:val="21"/>
          <w:szCs w:val="21"/>
          <w:lang w:val="en-US"/>
        </w:rPr>
        <w:t>diology</w:t>
      </w:r>
      <w:proofErr w:type="spellEnd"/>
      <w:r w:rsidRPr="002D107B">
        <w:rPr>
          <w:rFonts w:asciiTheme="majorHAnsi" w:hAnsiTheme="majorHAnsi" w:cs="Times New Roman"/>
          <w:sz w:val="21"/>
          <w:szCs w:val="21"/>
          <w:lang w:val="en-US"/>
        </w:rPr>
        <w:t xml:space="preserve">/American Heart Association Joint Com- </w:t>
      </w:r>
      <w:proofErr w:type="spellStart"/>
      <w:r w:rsidRPr="002D107B">
        <w:rPr>
          <w:rFonts w:asciiTheme="majorHAnsi" w:hAnsiTheme="majorHAnsi" w:cs="Times New Roman"/>
          <w:sz w:val="21"/>
          <w:szCs w:val="21"/>
          <w:lang w:val="en-US"/>
        </w:rPr>
        <w:t>mittee</w:t>
      </w:r>
      <w:proofErr w:type="spellEnd"/>
      <w:r w:rsidRPr="002D107B">
        <w:rPr>
          <w:rFonts w:asciiTheme="majorHAnsi" w:hAnsiTheme="majorHAnsi" w:cs="Times New Roman"/>
          <w:sz w:val="21"/>
          <w:szCs w:val="21"/>
          <w:lang w:val="en-US"/>
        </w:rPr>
        <w:t xml:space="preserve"> on Clinical Practice Guidelines. Am Coll </w:t>
      </w:r>
      <w:proofErr w:type="spellStart"/>
      <w:r w:rsidRPr="002D107B">
        <w:rPr>
          <w:rFonts w:asciiTheme="majorHAnsi" w:hAnsiTheme="majorHAnsi" w:cs="Times New Roman"/>
          <w:sz w:val="21"/>
          <w:szCs w:val="21"/>
          <w:lang w:val="en-US"/>
        </w:rPr>
        <w:t>Cardiol</w:t>
      </w:r>
      <w:proofErr w:type="spellEnd"/>
      <w:r w:rsidRPr="002D107B">
        <w:rPr>
          <w:rFonts w:asciiTheme="majorHAnsi" w:hAnsiTheme="majorHAnsi" w:cs="Times New Roman"/>
          <w:sz w:val="21"/>
          <w:szCs w:val="21"/>
          <w:lang w:val="en-US"/>
        </w:rPr>
        <w:t>. 2021;77(4):e25–e197</w:t>
      </w:r>
    </w:p>
    <w:p w14:paraId="7A6E7878" w14:textId="77777777" w:rsidR="00954B5B" w:rsidRPr="002D107B" w:rsidRDefault="00954B5B" w:rsidP="00954B5B">
      <w:pPr>
        <w:pStyle w:val="Paragrafoelenco"/>
        <w:numPr>
          <w:ilvl w:val="0"/>
          <w:numId w:val="17"/>
        </w:numPr>
        <w:spacing w:line="360" w:lineRule="auto"/>
        <w:rPr>
          <w:rFonts w:asciiTheme="majorHAnsi" w:hAnsiTheme="majorHAnsi"/>
          <w:sz w:val="21"/>
          <w:szCs w:val="21"/>
          <w:lang w:val="en-US"/>
        </w:rPr>
      </w:pPr>
      <w:r w:rsidRPr="002D107B">
        <w:rPr>
          <w:rFonts w:asciiTheme="majorHAnsi" w:hAnsiTheme="majorHAnsi"/>
          <w:sz w:val="21"/>
          <w:szCs w:val="21"/>
          <w:lang w:val="en-US"/>
        </w:rPr>
        <w:t> </w:t>
      </w:r>
      <w:proofErr w:type="spellStart"/>
      <w:r w:rsidRPr="002D107B">
        <w:rPr>
          <w:rFonts w:asciiTheme="majorHAnsi" w:hAnsiTheme="majorHAnsi"/>
          <w:sz w:val="21"/>
          <w:szCs w:val="21"/>
          <w:lang w:val="en-US"/>
        </w:rPr>
        <w:t>Vahanian</w:t>
      </w:r>
      <w:proofErr w:type="spellEnd"/>
      <w:r w:rsidRPr="002D107B">
        <w:rPr>
          <w:rFonts w:asciiTheme="majorHAnsi" w:hAnsiTheme="majorHAnsi"/>
          <w:sz w:val="21"/>
          <w:szCs w:val="21"/>
          <w:lang w:val="en-US"/>
        </w:rPr>
        <w:t xml:space="preserve"> A, </w:t>
      </w:r>
      <w:proofErr w:type="spellStart"/>
      <w:r w:rsidRPr="002D107B">
        <w:rPr>
          <w:rFonts w:asciiTheme="majorHAnsi" w:hAnsiTheme="majorHAnsi"/>
          <w:sz w:val="21"/>
          <w:szCs w:val="21"/>
          <w:lang w:val="en-US"/>
        </w:rPr>
        <w:t>Beyersdorf</w:t>
      </w:r>
      <w:proofErr w:type="spellEnd"/>
      <w:r w:rsidRPr="002D107B">
        <w:rPr>
          <w:rFonts w:asciiTheme="majorHAnsi" w:hAnsiTheme="majorHAnsi"/>
          <w:sz w:val="21"/>
          <w:szCs w:val="21"/>
          <w:lang w:val="en-US"/>
        </w:rPr>
        <w:t xml:space="preserve"> F, </w:t>
      </w:r>
      <w:proofErr w:type="spellStart"/>
      <w:r w:rsidRPr="002D107B">
        <w:rPr>
          <w:rFonts w:asciiTheme="majorHAnsi" w:hAnsiTheme="majorHAnsi"/>
          <w:sz w:val="21"/>
          <w:szCs w:val="21"/>
          <w:lang w:val="en-US"/>
        </w:rPr>
        <w:t>Praz</w:t>
      </w:r>
      <w:proofErr w:type="spellEnd"/>
      <w:r w:rsidRPr="002D107B">
        <w:rPr>
          <w:rFonts w:asciiTheme="majorHAnsi" w:hAnsiTheme="majorHAnsi"/>
          <w:sz w:val="21"/>
          <w:szCs w:val="21"/>
          <w:lang w:val="en-US"/>
        </w:rPr>
        <w:t xml:space="preserve"> F, </w:t>
      </w:r>
      <w:proofErr w:type="spellStart"/>
      <w:r w:rsidRPr="002D107B">
        <w:rPr>
          <w:rFonts w:asciiTheme="majorHAnsi" w:hAnsiTheme="majorHAnsi"/>
          <w:sz w:val="21"/>
          <w:szCs w:val="21"/>
          <w:lang w:val="en-US"/>
        </w:rPr>
        <w:t>Milojevic</w:t>
      </w:r>
      <w:proofErr w:type="spellEnd"/>
      <w:r w:rsidRPr="002D107B">
        <w:rPr>
          <w:rFonts w:asciiTheme="majorHAnsi" w:hAnsiTheme="majorHAnsi"/>
          <w:sz w:val="21"/>
          <w:szCs w:val="21"/>
          <w:lang w:val="en-US"/>
        </w:rPr>
        <w:t xml:space="preserve"> M, Baldus S, </w:t>
      </w:r>
      <w:proofErr w:type="spellStart"/>
      <w:r w:rsidRPr="002D107B">
        <w:rPr>
          <w:rFonts w:asciiTheme="majorHAnsi" w:hAnsiTheme="majorHAnsi"/>
          <w:sz w:val="21"/>
          <w:szCs w:val="21"/>
          <w:lang w:val="en-US"/>
        </w:rPr>
        <w:t>Bauersachs</w:t>
      </w:r>
      <w:proofErr w:type="spellEnd"/>
      <w:r w:rsidRPr="002D107B">
        <w:rPr>
          <w:rFonts w:asciiTheme="majorHAnsi" w:hAnsiTheme="majorHAnsi"/>
          <w:sz w:val="21"/>
          <w:szCs w:val="21"/>
          <w:lang w:val="en-US"/>
        </w:rPr>
        <w:t xml:space="preserve"> J, Capodanno D, et al. ESC/EACTS Scientific Document Group. 2021 ESC/EACTS Guidelines for the management of valvular heart disease. </w:t>
      </w:r>
      <w:proofErr w:type="spellStart"/>
      <w:r w:rsidRPr="002D107B">
        <w:rPr>
          <w:rFonts w:asciiTheme="majorHAnsi" w:hAnsiTheme="majorHAnsi"/>
          <w:sz w:val="21"/>
          <w:szCs w:val="21"/>
          <w:lang w:val="en-US"/>
        </w:rPr>
        <w:t>Eur</w:t>
      </w:r>
      <w:proofErr w:type="spellEnd"/>
      <w:r w:rsidRPr="002D107B">
        <w:rPr>
          <w:rFonts w:asciiTheme="majorHAnsi" w:hAnsiTheme="majorHAnsi"/>
          <w:sz w:val="21"/>
          <w:szCs w:val="21"/>
          <w:lang w:val="en-US"/>
        </w:rPr>
        <w:t xml:space="preserve"> Heart J. 2022 Feb 12;43(7):561-632. </w:t>
      </w:r>
      <w:proofErr w:type="spellStart"/>
      <w:r w:rsidRPr="002D107B">
        <w:rPr>
          <w:rFonts w:asciiTheme="majorHAnsi" w:hAnsiTheme="majorHAnsi"/>
          <w:sz w:val="21"/>
          <w:szCs w:val="21"/>
          <w:lang w:val="en-US"/>
        </w:rPr>
        <w:t>doi</w:t>
      </w:r>
      <w:proofErr w:type="spellEnd"/>
      <w:r w:rsidRPr="002D107B">
        <w:rPr>
          <w:rFonts w:asciiTheme="majorHAnsi" w:hAnsiTheme="majorHAnsi"/>
          <w:sz w:val="21"/>
          <w:szCs w:val="21"/>
          <w:lang w:val="en-US"/>
        </w:rPr>
        <w:t>: 10.1093/</w:t>
      </w:r>
      <w:proofErr w:type="spellStart"/>
      <w:r w:rsidRPr="002D107B">
        <w:rPr>
          <w:rFonts w:asciiTheme="majorHAnsi" w:hAnsiTheme="majorHAnsi"/>
          <w:sz w:val="21"/>
          <w:szCs w:val="21"/>
          <w:lang w:val="en-US"/>
        </w:rPr>
        <w:t>eurheartj</w:t>
      </w:r>
      <w:proofErr w:type="spellEnd"/>
      <w:r w:rsidRPr="002D107B">
        <w:rPr>
          <w:rFonts w:asciiTheme="majorHAnsi" w:hAnsiTheme="majorHAnsi"/>
          <w:sz w:val="21"/>
          <w:szCs w:val="21"/>
          <w:lang w:val="en-US"/>
        </w:rPr>
        <w:t>/ehab395.</w:t>
      </w:r>
    </w:p>
    <w:p w14:paraId="7B1085A2" w14:textId="77777777" w:rsidR="00954B5B" w:rsidRPr="002D107B" w:rsidRDefault="00954B5B" w:rsidP="00954B5B">
      <w:pPr>
        <w:pStyle w:val="Paragrafoelenco"/>
        <w:numPr>
          <w:ilvl w:val="0"/>
          <w:numId w:val="17"/>
        </w:numPr>
        <w:spacing w:line="360" w:lineRule="auto"/>
        <w:rPr>
          <w:rFonts w:asciiTheme="majorHAnsi" w:hAnsiTheme="majorHAnsi"/>
          <w:sz w:val="21"/>
          <w:szCs w:val="21"/>
          <w:lang w:val="en-US"/>
        </w:rPr>
      </w:pPr>
      <w:r w:rsidRPr="002D107B">
        <w:rPr>
          <w:rFonts w:asciiTheme="majorHAnsi" w:hAnsiTheme="majorHAnsi"/>
          <w:color w:val="000000" w:themeColor="text1"/>
          <w:sz w:val="21"/>
          <w:szCs w:val="21"/>
          <w:lang w:val="en-US"/>
        </w:rPr>
        <w:t xml:space="preserve">Delgado V, </w:t>
      </w:r>
      <w:proofErr w:type="spellStart"/>
      <w:r w:rsidRPr="002D107B">
        <w:rPr>
          <w:rFonts w:asciiTheme="majorHAnsi" w:hAnsiTheme="majorHAnsi"/>
          <w:color w:val="000000" w:themeColor="text1"/>
          <w:sz w:val="21"/>
          <w:szCs w:val="21"/>
          <w:lang w:val="en-US"/>
        </w:rPr>
        <w:t>Ajmone</w:t>
      </w:r>
      <w:proofErr w:type="spellEnd"/>
      <w:r w:rsidRPr="002D107B">
        <w:rPr>
          <w:rFonts w:asciiTheme="majorHAnsi" w:hAnsiTheme="majorHAnsi"/>
          <w:color w:val="000000" w:themeColor="text1"/>
          <w:sz w:val="21"/>
          <w:szCs w:val="21"/>
          <w:lang w:val="en-US"/>
        </w:rPr>
        <w:t xml:space="preserve"> Marsan N, de </w:t>
      </w:r>
      <w:proofErr w:type="spellStart"/>
      <w:r w:rsidRPr="002D107B">
        <w:rPr>
          <w:rFonts w:asciiTheme="majorHAnsi" w:hAnsiTheme="majorHAnsi"/>
          <w:color w:val="000000" w:themeColor="text1"/>
          <w:sz w:val="21"/>
          <w:szCs w:val="21"/>
          <w:lang w:val="en-US"/>
        </w:rPr>
        <w:t>Waha</w:t>
      </w:r>
      <w:proofErr w:type="spellEnd"/>
      <w:r w:rsidRPr="002D107B">
        <w:rPr>
          <w:rFonts w:asciiTheme="majorHAnsi" w:hAnsiTheme="majorHAnsi"/>
          <w:color w:val="000000" w:themeColor="text1"/>
          <w:sz w:val="21"/>
          <w:szCs w:val="21"/>
          <w:lang w:val="en-US"/>
        </w:rPr>
        <w:t xml:space="preserve"> S, </w:t>
      </w:r>
      <w:proofErr w:type="spellStart"/>
      <w:r w:rsidRPr="002D107B">
        <w:rPr>
          <w:rFonts w:asciiTheme="majorHAnsi" w:hAnsiTheme="majorHAnsi"/>
          <w:color w:val="000000" w:themeColor="text1"/>
          <w:sz w:val="21"/>
          <w:szCs w:val="21"/>
          <w:lang w:val="en-US"/>
        </w:rPr>
        <w:t>Bonaros</w:t>
      </w:r>
      <w:proofErr w:type="spellEnd"/>
      <w:r w:rsidRPr="002D107B">
        <w:rPr>
          <w:rFonts w:asciiTheme="majorHAnsi" w:hAnsiTheme="majorHAnsi"/>
          <w:color w:val="000000" w:themeColor="text1"/>
          <w:sz w:val="21"/>
          <w:szCs w:val="21"/>
          <w:lang w:val="en-US"/>
        </w:rPr>
        <w:t xml:space="preserve"> N, </w:t>
      </w:r>
      <w:proofErr w:type="spellStart"/>
      <w:r w:rsidRPr="002D107B">
        <w:rPr>
          <w:rFonts w:asciiTheme="majorHAnsi" w:hAnsiTheme="majorHAnsi"/>
          <w:color w:val="000000" w:themeColor="text1"/>
          <w:sz w:val="21"/>
          <w:szCs w:val="21"/>
          <w:lang w:val="en-US"/>
        </w:rPr>
        <w:t>Brida</w:t>
      </w:r>
      <w:proofErr w:type="spellEnd"/>
      <w:r w:rsidRPr="002D107B">
        <w:rPr>
          <w:rFonts w:asciiTheme="majorHAnsi" w:hAnsiTheme="majorHAnsi"/>
          <w:color w:val="000000" w:themeColor="text1"/>
          <w:sz w:val="21"/>
          <w:szCs w:val="21"/>
          <w:lang w:val="en-US"/>
        </w:rPr>
        <w:t xml:space="preserve"> M, </w:t>
      </w:r>
      <w:proofErr w:type="spellStart"/>
      <w:r w:rsidRPr="002D107B">
        <w:rPr>
          <w:rFonts w:asciiTheme="majorHAnsi" w:hAnsiTheme="majorHAnsi"/>
          <w:color w:val="000000" w:themeColor="text1"/>
          <w:sz w:val="21"/>
          <w:szCs w:val="21"/>
          <w:lang w:val="en-US"/>
        </w:rPr>
        <w:t>Burri</w:t>
      </w:r>
      <w:proofErr w:type="spellEnd"/>
      <w:r w:rsidRPr="002D107B">
        <w:rPr>
          <w:rFonts w:asciiTheme="majorHAnsi" w:hAnsiTheme="majorHAnsi"/>
          <w:color w:val="000000" w:themeColor="text1"/>
          <w:sz w:val="21"/>
          <w:szCs w:val="21"/>
          <w:lang w:val="en-US"/>
        </w:rPr>
        <w:t xml:space="preserve"> H, Caselli S, et al; ESC Scientific Document Group. </w:t>
      </w:r>
      <w:hyperlink r:id="rId12" w:history="1">
        <w:r w:rsidRPr="002D107B">
          <w:rPr>
            <w:rStyle w:val="Collegamentoipertestuale"/>
            <w:rFonts w:asciiTheme="majorHAnsi" w:hAnsiTheme="majorHAnsi"/>
            <w:color w:val="000000" w:themeColor="text1"/>
            <w:sz w:val="21"/>
            <w:szCs w:val="21"/>
            <w:u w:val="none"/>
            <w:lang w:val="en-US"/>
          </w:rPr>
          <w:t>2023 ESC Guidelines for the management of endocarditis.</w:t>
        </w:r>
      </w:hyperlink>
      <w:r w:rsidRPr="002D107B">
        <w:rPr>
          <w:rFonts w:asciiTheme="majorHAnsi" w:hAnsiTheme="majorHAnsi"/>
          <w:color w:val="000000" w:themeColor="text1"/>
          <w:sz w:val="21"/>
          <w:szCs w:val="21"/>
          <w:lang w:val="en-US"/>
        </w:rPr>
        <w:t xml:space="preserve"> </w:t>
      </w:r>
      <w:proofErr w:type="spellStart"/>
      <w:r w:rsidRPr="002D107B">
        <w:rPr>
          <w:rFonts w:asciiTheme="majorHAnsi" w:hAnsiTheme="majorHAnsi"/>
          <w:color w:val="000000" w:themeColor="text1"/>
          <w:sz w:val="21"/>
          <w:szCs w:val="21"/>
          <w:lang w:val="en-US"/>
        </w:rPr>
        <w:t>Eur</w:t>
      </w:r>
      <w:proofErr w:type="spellEnd"/>
      <w:r w:rsidRPr="002D107B">
        <w:rPr>
          <w:rFonts w:asciiTheme="majorHAnsi" w:hAnsiTheme="majorHAnsi"/>
          <w:color w:val="000000" w:themeColor="text1"/>
          <w:sz w:val="21"/>
          <w:szCs w:val="21"/>
          <w:lang w:val="en-US"/>
        </w:rPr>
        <w:t xml:space="preserve"> Heart J. 2023 Oct 14;44(39):3948-4042. </w:t>
      </w:r>
      <w:proofErr w:type="spellStart"/>
      <w:r w:rsidRPr="002D107B">
        <w:rPr>
          <w:rFonts w:asciiTheme="majorHAnsi" w:hAnsiTheme="majorHAnsi"/>
          <w:color w:val="000000" w:themeColor="text1"/>
          <w:sz w:val="21"/>
          <w:szCs w:val="21"/>
          <w:lang w:val="en-US"/>
        </w:rPr>
        <w:t>doi</w:t>
      </w:r>
      <w:proofErr w:type="spellEnd"/>
      <w:r w:rsidRPr="002D107B">
        <w:rPr>
          <w:rFonts w:asciiTheme="majorHAnsi" w:hAnsiTheme="majorHAnsi"/>
          <w:color w:val="000000" w:themeColor="text1"/>
          <w:sz w:val="21"/>
          <w:szCs w:val="21"/>
          <w:lang w:val="en-US"/>
        </w:rPr>
        <w:t>: 10.1093/</w:t>
      </w:r>
      <w:proofErr w:type="spellStart"/>
      <w:r w:rsidRPr="002D107B">
        <w:rPr>
          <w:rFonts w:asciiTheme="majorHAnsi" w:hAnsiTheme="majorHAnsi"/>
          <w:color w:val="000000" w:themeColor="text1"/>
          <w:sz w:val="21"/>
          <w:szCs w:val="21"/>
          <w:lang w:val="en-US"/>
        </w:rPr>
        <w:t>eurheartj</w:t>
      </w:r>
      <w:proofErr w:type="spellEnd"/>
      <w:r w:rsidRPr="002D107B">
        <w:rPr>
          <w:rFonts w:asciiTheme="majorHAnsi" w:hAnsiTheme="majorHAnsi"/>
          <w:color w:val="000000" w:themeColor="text1"/>
          <w:sz w:val="21"/>
          <w:szCs w:val="21"/>
          <w:lang w:val="en-US"/>
        </w:rPr>
        <w:t>/ehad193.</w:t>
      </w:r>
    </w:p>
    <w:p w14:paraId="2BAE9766" w14:textId="7838FA9A" w:rsidR="002D107B" w:rsidRPr="002D107B" w:rsidRDefault="002D107B" w:rsidP="002D107B">
      <w:pPr>
        <w:pStyle w:val="Paragrafoelenco"/>
        <w:numPr>
          <w:ilvl w:val="0"/>
          <w:numId w:val="17"/>
        </w:numPr>
        <w:spacing w:line="360" w:lineRule="auto"/>
        <w:rPr>
          <w:rFonts w:asciiTheme="majorHAnsi" w:hAnsiTheme="majorHAnsi"/>
          <w:color w:val="000000" w:themeColor="text1"/>
          <w:sz w:val="21"/>
          <w:szCs w:val="21"/>
          <w:lang w:val="en-US"/>
        </w:rPr>
      </w:pPr>
      <w:proofErr w:type="spellStart"/>
      <w:r w:rsidRPr="002D107B">
        <w:rPr>
          <w:rFonts w:asciiTheme="majorHAnsi" w:hAnsiTheme="majorHAnsi"/>
          <w:color w:val="000000" w:themeColor="text1"/>
          <w:sz w:val="21"/>
          <w:szCs w:val="21"/>
        </w:rPr>
        <w:t>Arbelo</w:t>
      </w:r>
      <w:proofErr w:type="spellEnd"/>
      <w:r w:rsidRPr="002D107B">
        <w:rPr>
          <w:rFonts w:asciiTheme="majorHAnsi" w:hAnsiTheme="majorHAnsi"/>
          <w:color w:val="000000" w:themeColor="text1"/>
          <w:sz w:val="21"/>
          <w:szCs w:val="21"/>
        </w:rPr>
        <w:t xml:space="preserve"> E, </w:t>
      </w:r>
      <w:proofErr w:type="spellStart"/>
      <w:r w:rsidRPr="002D107B">
        <w:rPr>
          <w:rFonts w:asciiTheme="majorHAnsi" w:hAnsiTheme="majorHAnsi"/>
          <w:color w:val="000000" w:themeColor="text1"/>
          <w:sz w:val="21"/>
          <w:szCs w:val="21"/>
        </w:rPr>
        <w:t>Protonotarios</w:t>
      </w:r>
      <w:proofErr w:type="spellEnd"/>
      <w:r w:rsidRPr="002D107B">
        <w:rPr>
          <w:rFonts w:asciiTheme="majorHAnsi" w:hAnsiTheme="majorHAnsi"/>
          <w:color w:val="000000" w:themeColor="text1"/>
          <w:sz w:val="21"/>
          <w:szCs w:val="21"/>
        </w:rPr>
        <w:t xml:space="preserve"> A, Gimeno JR, </w:t>
      </w:r>
      <w:proofErr w:type="spellStart"/>
      <w:r w:rsidRPr="002D107B">
        <w:rPr>
          <w:rFonts w:asciiTheme="majorHAnsi" w:hAnsiTheme="majorHAnsi"/>
          <w:color w:val="000000" w:themeColor="text1"/>
          <w:sz w:val="21"/>
          <w:szCs w:val="21"/>
        </w:rPr>
        <w:t>Arbustini</w:t>
      </w:r>
      <w:proofErr w:type="spellEnd"/>
      <w:r w:rsidRPr="002D107B">
        <w:rPr>
          <w:rFonts w:asciiTheme="majorHAnsi" w:hAnsiTheme="majorHAnsi"/>
          <w:color w:val="000000" w:themeColor="text1"/>
          <w:sz w:val="21"/>
          <w:szCs w:val="21"/>
        </w:rPr>
        <w:t xml:space="preserve"> E, </w:t>
      </w:r>
      <w:proofErr w:type="spellStart"/>
      <w:r w:rsidRPr="002D107B">
        <w:rPr>
          <w:rFonts w:asciiTheme="majorHAnsi" w:hAnsiTheme="majorHAnsi"/>
          <w:color w:val="000000" w:themeColor="text1"/>
          <w:sz w:val="21"/>
          <w:szCs w:val="21"/>
        </w:rPr>
        <w:t>Barriales</w:t>
      </w:r>
      <w:proofErr w:type="spellEnd"/>
      <w:r w:rsidRPr="002D107B">
        <w:rPr>
          <w:rFonts w:asciiTheme="majorHAnsi" w:hAnsiTheme="majorHAnsi"/>
          <w:color w:val="000000" w:themeColor="text1"/>
          <w:sz w:val="21"/>
          <w:szCs w:val="21"/>
        </w:rPr>
        <w:t xml:space="preserve">-Villa R, Basso C, </w:t>
      </w:r>
      <w:proofErr w:type="spellStart"/>
      <w:r w:rsidRPr="002D107B">
        <w:rPr>
          <w:rFonts w:asciiTheme="majorHAnsi" w:hAnsiTheme="majorHAnsi"/>
          <w:color w:val="000000" w:themeColor="text1"/>
          <w:sz w:val="21"/>
          <w:szCs w:val="21"/>
        </w:rPr>
        <w:t>Bezzina</w:t>
      </w:r>
      <w:proofErr w:type="spellEnd"/>
      <w:r w:rsidRPr="002D107B">
        <w:rPr>
          <w:rFonts w:asciiTheme="majorHAnsi" w:hAnsiTheme="majorHAnsi"/>
          <w:color w:val="000000" w:themeColor="text1"/>
          <w:sz w:val="21"/>
          <w:szCs w:val="21"/>
        </w:rPr>
        <w:t xml:space="preserve"> </w:t>
      </w:r>
      <w:proofErr w:type="spellStart"/>
      <w:proofErr w:type="gramStart"/>
      <w:r w:rsidRPr="002D107B">
        <w:rPr>
          <w:rFonts w:asciiTheme="majorHAnsi" w:hAnsiTheme="majorHAnsi"/>
          <w:color w:val="000000" w:themeColor="text1"/>
          <w:sz w:val="21"/>
          <w:szCs w:val="21"/>
        </w:rPr>
        <w:t>CR,et</w:t>
      </w:r>
      <w:proofErr w:type="spellEnd"/>
      <w:proofErr w:type="gramEnd"/>
      <w:r w:rsidRPr="002D107B">
        <w:rPr>
          <w:rFonts w:asciiTheme="majorHAnsi" w:hAnsiTheme="majorHAnsi"/>
          <w:color w:val="000000" w:themeColor="text1"/>
          <w:sz w:val="21"/>
          <w:szCs w:val="21"/>
        </w:rPr>
        <w:t xml:space="preserve"> al ; ESC Scientific </w:t>
      </w:r>
      <w:proofErr w:type="spellStart"/>
      <w:r w:rsidRPr="002D107B">
        <w:rPr>
          <w:rFonts w:asciiTheme="majorHAnsi" w:hAnsiTheme="majorHAnsi"/>
          <w:color w:val="000000" w:themeColor="text1"/>
          <w:sz w:val="21"/>
          <w:szCs w:val="21"/>
        </w:rPr>
        <w:t>Document</w:t>
      </w:r>
      <w:proofErr w:type="spellEnd"/>
      <w:r w:rsidRPr="002D107B">
        <w:rPr>
          <w:rFonts w:asciiTheme="majorHAnsi" w:hAnsiTheme="majorHAnsi"/>
          <w:color w:val="000000" w:themeColor="text1"/>
          <w:sz w:val="21"/>
          <w:szCs w:val="21"/>
        </w:rPr>
        <w:t xml:space="preserve"> Group. </w:t>
      </w:r>
      <w:hyperlink r:id="rId13" w:history="1">
        <w:r w:rsidRPr="002D107B">
          <w:rPr>
            <w:rStyle w:val="Collegamentoipertestuale"/>
            <w:rFonts w:asciiTheme="majorHAnsi" w:hAnsiTheme="majorHAnsi"/>
            <w:color w:val="000000" w:themeColor="text1"/>
            <w:sz w:val="21"/>
            <w:szCs w:val="21"/>
            <w:u w:val="none"/>
            <w:lang w:val="en-US"/>
          </w:rPr>
          <w:t>2023 ESC Guidelines for the management of cardiomyopathies.</w:t>
        </w:r>
      </w:hyperlink>
      <w:r w:rsidRPr="002D107B">
        <w:rPr>
          <w:rFonts w:asciiTheme="majorHAnsi" w:hAnsiTheme="majorHAnsi"/>
          <w:color w:val="000000" w:themeColor="text1"/>
          <w:sz w:val="21"/>
          <w:szCs w:val="21"/>
          <w:lang w:val="en-US"/>
        </w:rPr>
        <w:t xml:space="preserve"> </w:t>
      </w:r>
      <w:proofErr w:type="spellStart"/>
      <w:r w:rsidRPr="002D107B">
        <w:rPr>
          <w:rFonts w:asciiTheme="majorHAnsi" w:hAnsiTheme="majorHAnsi"/>
          <w:color w:val="000000" w:themeColor="text1"/>
          <w:sz w:val="21"/>
          <w:szCs w:val="21"/>
          <w:lang w:val="en-US"/>
        </w:rPr>
        <w:t>Eur</w:t>
      </w:r>
      <w:proofErr w:type="spellEnd"/>
      <w:r w:rsidRPr="002D107B">
        <w:rPr>
          <w:rFonts w:asciiTheme="majorHAnsi" w:hAnsiTheme="majorHAnsi"/>
          <w:color w:val="000000" w:themeColor="text1"/>
          <w:sz w:val="21"/>
          <w:szCs w:val="21"/>
          <w:lang w:val="en-US"/>
        </w:rPr>
        <w:t xml:space="preserve"> Heart J. 2023 Oct 1;44(37):3503-3626. </w:t>
      </w:r>
      <w:proofErr w:type="spellStart"/>
      <w:r w:rsidRPr="002D107B">
        <w:rPr>
          <w:rFonts w:asciiTheme="majorHAnsi" w:hAnsiTheme="majorHAnsi"/>
          <w:color w:val="000000" w:themeColor="text1"/>
          <w:sz w:val="21"/>
          <w:szCs w:val="21"/>
          <w:lang w:val="en-US"/>
        </w:rPr>
        <w:t>doi</w:t>
      </w:r>
      <w:proofErr w:type="spellEnd"/>
      <w:r w:rsidRPr="002D107B">
        <w:rPr>
          <w:rFonts w:asciiTheme="majorHAnsi" w:hAnsiTheme="majorHAnsi"/>
          <w:color w:val="000000" w:themeColor="text1"/>
          <w:sz w:val="21"/>
          <w:szCs w:val="21"/>
          <w:lang w:val="en-US"/>
        </w:rPr>
        <w:t>: 10.1093/</w:t>
      </w:r>
      <w:proofErr w:type="spellStart"/>
      <w:r w:rsidRPr="002D107B">
        <w:rPr>
          <w:rFonts w:asciiTheme="majorHAnsi" w:hAnsiTheme="majorHAnsi"/>
          <w:color w:val="000000" w:themeColor="text1"/>
          <w:sz w:val="21"/>
          <w:szCs w:val="21"/>
          <w:lang w:val="en-US"/>
        </w:rPr>
        <w:t>eurheartj</w:t>
      </w:r>
      <w:proofErr w:type="spellEnd"/>
      <w:r w:rsidRPr="002D107B">
        <w:rPr>
          <w:rFonts w:asciiTheme="majorHAnsi" w:hAnsiTheme="majorHAnsi"/>
          <w:color w:val="000000" w:themeColor="text1"/>
          <w:sz w:val="21"/>
          <w:szCs w:val="21"/>
          <w:lang w:val="en-US"/>
        </w:rPr>
        <w:t>/ehad194.</w:t>
      </w:r>
    </w:p>
    <w:p w14:paraId="3594AF56" w14:textId="21229E0A" w:rsidR="002D107B" w:rsidRPr="002D107B" w:rsidRDefault="002D107B" w:rsidP="002D107B">
      <w:pPr>
        <w:pStyle w:val="Paragrafoelenco"/>
        <w:numPr>
          <w:ilvl w:val="0"/>
          <w:numId w:val="17"/>
        </w:numPr>
        <w:spacing w:line="360" w:lineRule="auto"/>
        <w:rPr>
          <w:rFonts w:asciiTheme="majorHAnsi" w:hAnsiTheme="majorHAnsi"/>
          <w:color w:val="000000" w:themeColor="text1"/>
          <w:sz w:val="21"/>
          <w:szCs w:val="21"/>
          <w:lang w:val="en-US"/>
        </w:rPr>
      </w:pPr>
      <w:proofErr w:type="spellStart"/>
      <w:r w:rsidRPr="002D107B">
        <w:rPr>
          <w:rFonts w:asciiTheme="majorHAnsi" w:hAnsiTheme="majorHAnsi"/>
          <w:color w:val="000000" w:themeColor="text1"/>
          <w:sz w:val="21"/>
          <w:szCs w:val="21"/>
          <w:lang w:val="en-US"/>
        </w:rPr>
        <w:lastRenderedPageBreak/>
        <w:t>Könemann</w:t>
      </w:r>
      <w:proofErr w:type="spellEnd"/>
      <w:r w:rsidRPr="002D107B">
        <w:rPr>
          <w:rFonts w:asciiTheme="majorHAnsi" w:hAnsiTheme="majorHAnsi"/>
          <w:color w:val="000000" w:themeColor="text1"/>
          <w:sz w:val="21"/>
          <w:szCs w:val="21"/>
          <w:lang w:val="en-US"/>
        </w:rPr>
        <w:t xml:space="preserve"> H, </w:t>
      </w:r>
      <w:proofErr w:type="spellStart"/>
      <w:r w:rsidRPr="002D107B">
        <w:rPr>
          <w:rFonts w:asciiTheme="majorHAnsi" w:hAnsiTheme="majorHAnsi"/>
          <w:color w:val="000000" w:themeColor="text1"/>
          <w:sz w:val="21"/>
          <w:szCs w:val="21"/>
          <w:lang w:val="en-US"/>
        </w:rPr>
        <w:t>Dagres</w:t>
      </w:r>
      <w:proofErr w:type="spellEnd"/>
      <w:r w:rsidRPr="002D107B">
        <w:rPr>
          <w:rFonts w:asciiTheme="majorHAnsi" w:hAnsiTheme="majorHAnsi"/>
          <w:color w:val="000000" w:themeColor="text1"/>
          <w:sz w:val="21"/>
          <w:szCs w:val="21"/>
          <w:lang w:val="en-US"/>
        </w:rPr>
        <w:t xml:space="preserve"> N, Merino JL, </w:t>
      </w:r>
      <w:proofErr w:type="spellStart"/>
      <w:r w:rsidRPr="002D107B">
        <w:rPr>
          <w:rFonts w:asciiTheme="majorHAnsi" w:hAnsiTheme="majorHAnsi"/>
          <w:color w:val="000000" w:themeColor="text1"/>
          <w:sz w:val="21"/>
          <w:szCs w:val="21"/>
          <w:lang w:val="en-US"/>
        </w:rPr>
        <w:t>Sticherling</w:t>
      </w:r>
      <w:proofErr w:type="spellEnd"/>
      <w:r w:rsidRPr="002D107B">
        <w:rPr>
          <w:rFonts w:asciiTheme="majorHAnsi" w:hAnsiTheme="majorHAnsi"/>
          <w:color w:val="000000" w:themeColor="text1"/>
          <w:sz w:val="21"/>
          <w:szCs w:val="21"/>
          <w:lang w:val="en-US"/>
        </w:rPr>
        <w:t xml:space="preserve"> C, </w:t>
      </w:r>
      <w:proofErr w:type="spellStart"/>
      <w:r w:rsidRPr="002D107B">
        <w:rPr>
          <w:rFonts w:asciiTheme="majorHAnsi" w:hAnsiTheme="majorHAnsi"/>
          <w:color w:val="000000" w:themeColor="text1"/>
          <w:sz w:val="21"/>
          <w:szCs w:val="21"/>
          <w:lang w:val="en-US"/>
        </w:rPr>
        <w:t>Zeppenfeld</w:t>
      </w:r>
      <w:proofErr w:type="spellEnd"/>
      <w:r w:rsidRPr="002D107B">
        <w:rPr>
          <w:rFonts w:asciiTheme="majorHAnsi" w:hAnsiTheme="majorHAnsi"/>
          <w:color w:val="000000" w:themeColor="text1"/>
          <w:sz w:val="21"/>
          <w:szCs w:val="21"/>
          <w:lang w:val="en-US"/>
        </w:rPr>
        <w:t xml:space="preserve"> K, </w:t>
      </w:r>
      <w:proofErr w:type="spellStart"/>
      <w:r w:rsidRPr="002D107B">
        <w:rPr>
          <w:rFonts w:asciiTheme="majorHAnsi" w:hAnsiTheme="majorHAnsi"/>
          <w:color w:val="000000" w:themeColor="text1"/>
          <w:sz w:val="21"/>
          <w:szCs w:val="21"/>
          <w:lang w:val="en-US"/>
        </w:rPr>
        <w:t>Tfelt</w:t>
      </w:r>
      <w:proofErr w:type="spellEnd"/>
      <w:r w:rsidRPr="002D107B">
        <w:rPr>
          <w:rFonts w:asciiTheme="majorHAnsi" w:hAnsiTheme="majorHAnsi"/>
          <w:color w:val="000000" w:themeColor="text1"/>
          <w:sz w:val="21"/>
          <w:szCs w:val="21"/>
          <w:lang w:val="en-US"/>
        </w:rPr>
        <w:t xml:space="preserve">-Hansen J, </w:t>
      </w:r>
      <w:proofErr w:type="spellStart"/>
      <w:r w:rsidRPr="002D107B">
        <w:rPr>
          <w:rFonts w:asciiTheme="majorHAnsi" w:hAnsiTheme="majorHAnsi"/>
          <w:color w:val="000000" w:themeColor="text1"/>
          <w:sz w:val="21"/>
          <w:szCs w:val="21"/>
          <w:lang w:val="en-US"/>
        </w:rPr>
        <w:t>Eckardt</w:t>
      </w:r>
      <w:proofErr w:type="spellEnd"/>
      <w:r w:rsidRPr="002D107B">
        <w:rPr>
          <w:rFonts w:asciiTheme="majorHAnsi" w:hAnsiTheme="majorHAnsi"/>
          <w:color w:val="000000" w:themeColor="text1"/>
          <w:sz w:val="21"/>
          <w:szCs w:val="21"/>
          <w:lang w:val="en-US"/>
        </w:rPr>
        <w:t xml:space="preserve"> L. </w:t>
      </w:r>
      <w:hyperlink r:id="rId14" w:history="1">
        <w:r w:rsidRPr="002D107B">
          <w:rPr>
            <w:rStyle w:val="Collegamentoipertestuale"/>
            <w:rFonts w:asciiTheme="majorHAnsi" w:hAnsiTheme="majorHAnsi"/>
            <w:color w:val="000000" w:themeColor="text1"/>
            <w:sz w:val="21"/>
            <w:szCs w:val="21"/>
            <w:u w:val="none"/>
            <w:lang w:val="en-US"/>
          </w:rPr>
          <w:t>Spotlight on the 2022 ESC guideline management of ventricular arrhythmias and prevention of sudden cardiac death: 10 novel key aspects.</w:t>
        </w:r>
      </w:hyperlink>
      <w:r w:rsidRPr="002D107B">
        <w:rPr>
          <w:rFonts w:asciiTheme="majorHAnsi" w:hAnsiTheme="majorHAnsi"/>
          <w:color w:val="000000" w:themeColor="text1"/>
          <w:sz w:val="21"/>
          <w:szCs w:val="21"/>
          <w:lang w:val="en-US"/>
        </w:rPr>
        <w:t xml:space="preserve"> </w:t>
      </w:r>
      <w:proofErr w:type="spellStart"/>
      <w:r w:rsidRPr="002D107B">
        <w:rPr>
          <w:rFonts w:asciiTheme="majorHAnsi" w:hAnsiTheme="majorHAnsi"/>
          <w:color w:val="000000" w:themeColor="text1"/>
          <w:sz w:val="21"/>
          <w:szCs w:val="21"/>
        </w:rPr>
        <w:t>Europace</w:t>
      </w:r>
      <w:proofErr w:type="spellEnd"/>
      <w:r w:rsidRPr="002D107B">
        <w:rPr>
          <w:rFonts w:asciiTheme="majorHAnsi" w:hAnsiTheme="majorHAnsi"/>
          <w:color w:val="000000" w:themeColor="text1"/>
          <w:sz w:val="21"/>
          <w:szCs w:val="21"/>
        </w:rPr>
        <w:t xml:space="preserve">. 2023 </w:t>
      </w:r>
      <w:proofErr w:type="spellStart"/>
      <w:r w:rsidRPr="002D107B">
        <w:rPr>
          <w:rFonts w:asciiTheme="majorHAnsi" w:hAnsiTheme="majorHAnsi"/>
          <w:color w:val="000000" w:themeColor="text1"/>
          <w:sz w:val="21"/>
          <w:szCs w:val="21"/>
        </w:rPr>
        <w:t>May</w:t>
      </w:r>
      <w:proofErr w:type="spellEnd"/>
      <w:r w:rsidRPr="002D107B">
        <w:rPr>
          <w:rFonts w:asciiTheme="majorHAnsi" w:hAnsiTheme="majorHAnsi"/>
          <w:color w:val="000000" w:themeColor="text1"/>
          <w:sz w:val="21"/>
          <w:szCs w:val="21"/>
        </w:rPr>
        <w:t xml:space="preserve"> 19;25(5</w:t>
      </w:r>
      <w:proofErr w:type="gramStart"/>
      <w:r w:rsidRPr="002D107B">
        <w:rPr>
          <w:rFonts w:asciiTheme="majorHAnsi" w:hAnsiTheme="majorHAnsi"/>
          <w:color w:val="000000" w:themeColor="text1"/>
          <w:sz w:val="21"/>
          <w:szCs w:val="21"/>
        </w:rPr>
        <w:t>):euad</w:t>
      </w:r>
      <w:proofErr w:type="gramEnd"/>
      <w:r w:rsidRPr="002D107B">
        <w:rPr>
          <w:rFonts w:asciiTheme="majorHAnsi" w:hAnsiTheme="majorHAnsi"/>
          <w:color w:val="000000" w:themeColor="text1"/>
          <w:sz w:val="21"/>
          <w:szCs w:val="21"/>
        </w:rPr>
        <w:t xml:space="preserve">091. </w:t>
      </w:r>
      <w:proofErr w:type="spellStart"/>
      <w:r w:rsidRPr="002D107B">
        <w:rPr>
          <w:rFonts w:asciiTheme="majorHAnsi" w:hAnsiTheme="majorHAnsi"/>
          <w:color w:val="000000" w:themeColor="text1"/>
          <w:sz w:val="21"/>
          <w:szCs w:val="21"/>
        </w:rPr>
        <w:t>doi</w:t>
      </w:r>
      <w:proofErr w:type="spellEnd"/>
      <w:r w:rsidRPr="002D107B">
        <w:rPr>
          <w:rFonts w:asciiTheme="majorHAnsi" w:hAnsiTheme="majorHAnsi"/>
          <w:color w:val="000000" w:themeColor="text1"/>
          <w:sz w:val="21"/>
          <w:szCs w:val="21"/>
        </w:rPr>
        <w:t>: 10.1093/</w:t>
      </w:r>
      <w:proofErr w:type="spellStart"/>
      <w:r w:rsidRPr="002D107B">
        <w:rPr>
          <w:rFonts w:asciiTheme="majorHAnsi" w:hAnsiTheme="majorHAnsi"/>
          <w:color w:val="000000" w:themeColor="text1"/>
          <w:sz w:val="21"/>
          <w:szCs w:val="21"/>
        </w:rPr>
        <w:t>europace</w:t>
      </w:r>
      <w:proofErr w:type="spellEnd"/>
      <w:r w:rsidRPr="002D107B">
        <w:rPr>
          <w:rFonts w:asciiTheme="majorHAnsi" w:hAnsiTheme="majorHAnsi"/>
          <w:color w:val="000000" w:themeColor="text1"/>
          <w:sz w:val="21"/>
          <w:szCs w:val="21"/>
        </w:rPr>
        <w:t>/euad091.</w:t>
      </w:r>
    </w:p>
    <w:p w14:paraId="3694A8D5" w14:textId="77777777" w:rsidR="002D107B" w:rsidRPr="002D107B" w:rsidRDefault="002D107B" w:rsidP="00196128">
      <w:pPr>
        <w:pStyle w:val="Paragrafoelenco"/>
        <w:spacing w:line="360" w:lineRule="auto"/>
        <w:ind w:left="644"/>
        <w:rPr>
          <w:rFonts w:asciiTheme="majorHAnsi" w:hAnsiTheme="majorHAnsi"/>
          <w:sz w:val="21"/>
          <w:szCs w:val="21"/>
          <w:lang w:val="en-US"/>
        </w:rPr>
      </w:pPr>
    </w:p>
    <w:p w14:paraId="43E38339" w14:textId="77777777" w:rsidR="00954B5B" w:rsidRPr="00D45F17" w:rsidRDefault="00954B5B" w:rsidP="00954B5B">
      <w:pPr>
        <w:autoSpaceDE w:val="0"/>
        <w:autoSpaceDN w:val="0"/>
        <w:adjustRightInd w:val="0"/>
        <w:spacing w:line="360" w:lineRule="auto"/>
        <w:ind w:left="284"/>
        <w:rPr>
          <w:rFonts w:ascii="Aptos Display" w:hAnsi="Aptos Display" w:cs="Times New Roman"/>
          <w:sz w:val="20"/>
          <w:szCs w:val="20"/>
          <w:lang w:val="en-US"/>
        </w:rPr>
      </w:pPr>
    </w:p>
    <w:p w14:paraId="0A2E06CA" w14:textId="77777777" w:rsidR="00954B5B" w:rsidRPr="00D45F17" w:rsidRDefault="00954B5B" w:rsidP="00954B5B">
      <w:pPr>
        <w:spacing w:after="0" w:line="360" w:lineRule="auto"/>
        <w:ind w:left="720"/>
        <w:jc w:val="both"/>
        <w:rPr>
          <w:rFonts w:asciiTheme="majorHAnsi" w:hAnsiTheme="majorHAnsi"/>
          <w:sz w:val="22"/>
          <w:szCs w:val="22"/>
          <w:lang w:val="en-US"/>
        </w:rPr>
      </w:pPr>
    </w:p>
    <w:p w14:paraId="22C72822" w14:textId="77777777" w:rsidR="00954B5B" w:rsidRPr="00D45F17" w:rsidRDefault="00954B5B" w:rsidP="00954B5B">
      <w:pPr>
        <w:spacing w:line="360" w:lineRule="auto"/>
        <w:rPr>
          <w:rFonts w:asciiTheme="majorHAnsi" w:hAnsiTheme="majorHAnsi"/>
          <w:b/>
          <w:bCs/>
          <w:sz w:val="22"/>
          <w:szCs w:val="22"/>
          <w:lang w:val="en-US"/>
        </w:rPr>
      </w:pPr>
    </w:p>
    <w:p w14:paraId="06F1969A" w14:textId="77777777" w:rsidR="00333E9C" w:rsidRPr="00AA46CE" w:rsidRDefault="00333E9C" w:rsidP="00333E9C">
      <w:pPr>
        <w:spacing w:line="480" w:lineRule="auto"/>
        <w:jc w:val="both"/>
        <w:rPr>
          <w:rFonts w:asciiTheme="majorHAnsi" w:hAnsiTheme="majorHAnsi"/>
          <w:sz w:val="21"/>
          <w:szCs w:val="21"/>
          <w:lang w:val="en-US"/>
        </w:rPr>
      </w:pPr>
    </w:p>
    <w:sectPr w:rsidR="00333E9C" w:rsidRPr="00AA46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8E9"/>
    <w:multiLevelType w:val="hybridMultilevel"/>
    <w:tmpl w:val="70D86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DA4E63"/>
    <w:multiLevelType w:val="hybridMultilevel"/>
    <w:tmpl w:val="E2BA863E"/>
    <w:lvl w:ilvl="0" w:tplc="6D7824B8">
      <w:start w:val="2"/>
      <w:numFmt w:val="bullet"/>
      <w:lvlText w:val="-"/>
      <w:lvlJc w:val="left"/>
      <w:pPr>
        <w:ind w:left="720" w:hanging="360"/>
      </w:pPr>
      <w:rPr>
        <w:rFonts w:ascii="Aptos Display" w:eastAsiaTheme="minorHAnsi" w:hAnsi="Aptos Display"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F5057A"/>
    <w:multiLevelType w:val="hybridMultilevel"/>
    <w:tmpl w:val="E48E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946E7B"/>
    <w:multiLevelType w:val="hybridMultilevel"/>
    <w:tmpl w:val="C194C8AC"/>
    <w:lvl w:ilvl="0" w:tplc="6D7824B8">
      <w:numFmt w:val="bullet"/>
      <w:lvlText w:val="-"/>
      <w:lvlJc w:val="left"/>
      <w:pPr>
        <w:ind w:left="720" w:hanging="360"/>
      </w:pPr>
      <w:rPr>
        <w:rFonts w:ascii="Aptos Display" w:eastAsiaTheme="minorHAnsi" w:hAnsi="Aptos Display"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D42261"/>
    <w:multiLevelType w:val="hybridMultilevel"/>
    <w:tmpl w:val="533816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37F37"/>
    <w:multiLevelType w:val="multilevel"/>
    <w:tmpl w:val="6CB034A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20797B46"/>
    <w:multiLevelType w:val="hybridMultilevel"/>
    <w:tmpl w:val="16B6B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252F14"/>
    <w:multiLevelType w:val="hybridMultilevel"/>
    <w:tmpl w:val="11F661BC"/>
    <w:lvl w:ilvl="0" w:tplc="6D7824B8">
      <w:start w:val="2"/>
      <w:numFmt w:val="bullet"/>
      <w:lvlText w:val="-"/>
      <w:lvlJc w:val="left"/>
      <w:pPr>
        <w:ind w:left="1440" w:hanging="360"/>
      </w:pPr>
      <w:rPr>
        <w:rFonts w:ascii="Aptos Display" w:eastAsiaTheme="minorHAnsi" w:hAnsi="Aptos Display"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9521C7E"/>
    <w:multiLevelType w:val="hybridMultilevel"/>
    <w:tmpl w:val="4A62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5E66C5"/>
    <w:multiLevelType w:val="hybridMultilevel"/>
    <w:tmpl w:val="A3125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030193"/>
    <w:multiLevelType w:val="hybridMultilevel"/>
    <w:tmpl w:val="E1225B72"/>
    <w:lvl w:ilvl="0" w:tplc="6D7824B8">
      <w:start w:val="2"/>
      <w:numFmt w:val="bullet"/>
      <w:lvlText w:val="-"/>
      <w:lvlJc w:val="left"/>
      <w:pPr>
        <w:ind w:left="720" w:hanging="360"/>
      </w:pPr>
      <w:rPr>
        <w:rFonts w:ascii="Aptos Display" w:eastAsiaTheme="minorHAnsi" w:hAnsi="Aptos Display"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0F31FB"/>
    <w:multiLevelType w:val="hybridMultilevel"/>
    <w:tmpl w:val="34DEA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79042B"/>
    <w:multiLevelType w:val="hybridMultilevel"/>
    <w:tmpl w:val="4CDC1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A6BD1"/>
    <w:multiLevelType w:val="hybridMultilevel"/>
    <w:tmpl w:val="114E296E"/>
    <w:lvl w:ilvl="0" w:tplc="6D7824B8">
      <w:start w:val="2"/>
      <w:numFmt w:val="bullet"/>
      <w:lvlText w:val="-"/>
      <w:lvlJc w:val="left"/>
      <w:pPr>
        <w:ind w:left="720" w:hanging="360"/>
      </w:pPr>
      <w:rPr>
        <w:rFonts w:ascii="Aptos Display" w:eastAsiaTheme="minorHAnsi" w:hAnsi="Aptos Display"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AC463C"/>
    <w:multiLevelType w:val="hybridMultilevel"/>
    <w:tmpl w:val="3BF0CF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68109C2"/>
    <w:multiLevelType w:val="hybridMultilevel"/>
    <w:tmpl w:val="85A44E14"/>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326783"/>
    <w:multiLevelType w:val="hybridMultilevel"/>
    <w:tmpl w:val="B59A8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9156561">
    <w:abstractNumId w:val="9"/>
  </w:num>
  <w:num w:numId="2" w16cid:durableId="1302229577">
    <w:abstractNumId w:val="6"/>
  </w:num>
  <w:num w:numId="3" w16cid:durableId="202600987">
    <w:abstractNumId w:val="8"/>
  </w:num>
  <w:num w:numId="4" w16cid:durableId="1743218443">
    <w:abstractNumId w:val="11"/>
  </w:num>
  <w:num w:numId="5" w16cid:durableId="1180043940">
    <w:abstractNumId w:val="12"/>
  </w:num>
  <w:num w:numId="6" w16cid:durableId="1501042088">
    <w:abstractNumId w:val="0"/>
  </w:num>
  <w:num w:numId="7" w16cid:durableId="1003434417">
    <w:abstractNumId w:val="2"/>
  </w:num>
  <w:num w:numId="8" w16cid:durableId="1251039447">
    <w:abstractNumId w:val="13"/>
  </w:num>
  <w:num w:numId="9" w16cid:durableId="1916891300">
    <w:abstractNumId w:val="1"/>
  </w:num>
  <w:num w:numId="10" w16cid:durableId="1225793950">
    <w:abstractNumId w:val="3"/>
  </w:num>
  <w:num w:numId="11" w16cid:durableId="138697357">
    <w:abstractNumId w:val="15"/>
  </w:num>
  <w:num w:numId="12" w16cid:durableId="492260963">
    <w:abstractNumId w:val="14"/>
  </w:num>
  <w:num w:numId="13" w16cid:durableId="1554536024">
    <w:abstractNumId w:val="7"/>
  </w:num>
  <w:num w:numId="14" w16cid:durableId="703361590">
    <w:abstractNumId w:val="10"/>
  </w:num>
  <w:num w:numId="15" w16cid:durableId="468672451">
    <w:abstractNumId w:val="16"/>
  </w:num>
  <w:num w:numId="16" w16cid:durableId="1654799704">
    <w:abstractNumId w:val="4"/>
  </w:num>
  <w:num w:numId="17" w16cid:durableId="853803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C"/>
    <w:rsid w:val="000234C7"/>
    <w:rsid w:val="00082924"/>
    <w:rsid w:val="00184E3A"/>
    <w:rsid w:val="00196128"/>
    <w:rsid w:val="002248F8"/>
    <w:rsid w:val="002803DE"/>
    <w:rsid w:val="002D107B"/>
    <w:rsid w:val="00333E9C"/>
    <w:rsid w:val="003656FC"/>
    <w:rsid w:val="0038332A"/>
    <w:rsid w:val="00464A97"/>
    <w:rsid w:val="004D5AFE"/>
    <w:rsid w:val="0055640C"/>
    <w:rsid w:val="0056021A"/>
    <w:rsid w:val="00730883"/>
    <w:rsid w:val="007A78A9"/>
    <w:rsid w:val="008E6E0D"/>
    <w:rsid w:val="00954B5B"/>
    <w:rsid w:val="009C4477"/>
    <w:rsid w:val="00A27F03"/>
    <w:rsid w:val="00AA46CE"/>
    <w:rsid w:val="00B6651A"/>
    <w:rsid w:val="00B84B2F"/>
    <w:rsid w:val="00B95C31"/>
    <w:rsid w:val="00D63F73"/>
    <w:rsid w:val="00D87AC9"/>
    <w:rsid w:val="00DD5E46"/>
    <w:rsid w:val="00E83F32"/>
    <w:rsid w:val="00EA23DF"/>
    <w:rsid w:val="00F637F5"/>
    <w:rsid w:val="00F83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3E4EC30"/>
  <w15:chartTrackingRefBased/>
  <w15:docId w15:val="{EDC2C03F-037E-194C-8223-1D385A0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5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65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656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656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656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656F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56F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56F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56F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56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656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656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656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656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656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56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56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56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5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56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56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56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56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56FC"/>
    <w:rPr>
      <w:i/>
      <w:iCs/>
      <w:color w:val="404040" w:themeColor="text1" w:themeTint="BF"/>
    </w:rPr>
  </w:style>
  <w:style w:type="paragraph" w:styleId="Paragrafoelenco">
    <w:name w:val="List Paragraph"/>
    <w:basedOn w:val="Normale"/>
    <w:uiPriority w:val="34"/>
    <w:qFormat/>
    <w:rsid w:val="003656FC"/>
    <w:pPr>
      <w:ind w:left="720"/>
      <w:contextualSpacing/>
    </w:pPr>
  </w:style>
  <w:style w:type="character" w:styleId="Enfasiintensa">
    <w:name w:val="Intense Emphasis"/>
    <w:basedOn w:val="Carpredefinitoparagrafo"/>
    <w:uiPriority w:val="21"/>
    <w:qFormat/>
    <w:rsid w:val="003656FC"/>
    <w:rPr>
      <w:i/>
      <w:iCs/>
      <w:color w:val="0F4761" w:themeColor="accent1" w:themeShade="BF"/>
    </w:rPr>
  </w:style>
  <w:style w:type="paragraph" w:styleId="Citazioneintensa">
    <w:name w:val="Intense Quote"/>
    <w:basedOn w:val="Normale"/>
    <w:next w:val="Normale"/>
    <w:link w:val="CitazioneintensaCarattere"/>
    <w:uiPriority w:val="30"/>
    <w:qFormat/>
    <w:rsid w:val="00365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656FC"/>
    <w:rPr>
      <w:i/>
      <w:iCs/>
      <w:color w:val="0F4761" w:themeColor="accent1" w:themeShade="BF"/>
    </w:rPr>
  </w:style>
  <w:style w:type="character" w:styleId="Riferimentointenso">
    <w:name w:val="Intense Reference"/>
    <w:basedOn w:val="Carpredefinitoparagrafo"/>
    <w:uiPriority w:val="32"/>
    <w:qFormat/>
    <w:rsid w:val="003656FC"/>
    <w:rPr>
      <w:b/>
      <w:bCs/>
      <w:smallCaps/>
      <w:color w:val="0F4761" w:themeColor="accent1" w:themeShade="BF"/>
      <w:spacing w:val="5"/>
    </w:rPr>
  </w:style>
  <w:style w:type="character" w:styleId="Collegamentoipertestuale">
    <w:name w:val="Hyperlink"/>
    <w:basedOn w:val="Carpredefinitoparagrafo"/>
    <w:uiPriority w:val="99"/>
    <w:unhideWhenUsed/>
    <w:rsid w:val="002803DE"/>
    <w:rPr>
      <w:color w:val="467886" w:themeColor="hyperlink"/>
      <w:u w:val="single"/>
    </w:rPr>
  </w:style>
  <w:style w:type="character" w:styleId="Menzionenonrisolta">
    <w:name w:val="Unresolved Mention"/>
    <w:basedOn w:val="Carpredefinitoparagrafo"/>
    <w:uiPriority w:val="99"/>
    <w:semiHidden/>
    <w:unhideWhenUsed/>
    <w:rsid w:val="002803DE"/>
    <w:rPr>
      <w:color w:val="605E5C"/>
      <w:shd w:val="clear" w:color="auto" w:fill="E1DFDD"/>
    </w:rPr>
  </w:style>
  <w:style w:type="character" w:styleId="Collegamentovisitato">
    <w:name w:val="FollowedHyperlink"/>
    <w:basedOn w:val="Carpredefinitoparagrafo"/>
    <w:uiPriority w:val="99"/>
    <w:semiHidden/>
    <w:unhideWhenUsed/>
    <w:rsid w:val="00954B5B"/>
    <w:rPr>
      <w:color w:val="96607D" w:themeColor="followedHyperlink"/>
      <w:u w:val="single"/>
    </w:rPr>
  </w:style>
  <w:style w:type="paragraph" w:styleId="NormaleWeb">
    <w:name w:val="Normal (Web)"/>
    <w:basedOn w:val="Normale"/>
    <w:uiPriority w:val="99"/>
    <w:unhideWhenUsed/>
    <w:rsid w:val="0038332A"/>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6191">
      <w:bodyDiv w:val="1"/>
      <w:marLeft w:val="0"/>
      <w:marRight w:val="0"/>
      <w:marTop w:val="0"/>
      <w:marBottom w:val="0"/>
      <w:divBdr>
        <w:top w:val="none" w:sz="0" w:space="0" w:color="auto"/>
        <w:left w:val="none" w:sz="0" w:space="0" w:color="auto"/>
        <w:bottom w:val="none" w:sz="0" w:space="0" w:color="auto"/>
        <w:right w:val="none" w:sz="0" w:space="0" w:color="auto"/>
      </w:divBdr>
      <w:divsChild>
        <w:div w:id="1175995071">
          <w:marLeft w:val="0"/>
          <w:marRight w:val="0"/>
          <w:marTop w:val="0"/>
          <w:marBottom w:val="0"/>
          <w:divBdr>
            <w:top w:val="none" w:sz="0" w:space="0" w:color="auto"/>
            <w:left w:val="none" w:sz="0" w:space="0" w:color="auto"/>
            <w:bottom w:val="none" w:sz="0" w:space="0" w:color="auto"/>
            <w:right w:val="none" w:sz="0" w:space="0" w:color="auto"/>
          </w:divBdr>
          <w:divsChild>
            <w:div w:id="105586058">
              <w:marLeft w:val="0"/>
              <w:marRight w:val="0"/>
              <w:marTop w:val="0"/>
              <w:marBottom w:val="0"/>
              <w:divBdr>
                <w:top w:val="none" w:sz="0" w:space="0" w:color="auto"/>
                <w:left w:val="none" w:sz="0" w:space="0" w:color="auto"/>
                <w:bottom w:val="none" w:sz="0" w:space="0" w:color="auto"/>
                <w:right w:val="none" w:sz="0" w:space="0" w:color="auto"/>
              </w:divBdr>
              <w:divsChild>
                <w:div w:id="10879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7055">
      <w:bodyDiv w:val="1"/>
      <w:marLeft w:val="0"/>
      <w:marRight w:val="0"/>
      <w:marTop w:val="0"/>
      <w:marBottom w:val="0"/>
      <w:divBdr>
        <w:top w:val="none" w:sz="0" w:space="0" w:color="auto"/>
        <w:left w:val="none" w:sz="0" w:space="0" w:color="auto"/>
        <w:bottom w:val="none" w:sz="0" w:space="0" w:color="auto"/>
        <w:right w:val="none" w:sz="0" w:space="0" w:color="auto"/>
      </w:divBdr>
    </w:div>
    <w:div w:id="1512647763">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sChild>
        <w:div w:id="1196044251">
          <w:marLeft w:val="0"/>
          <w:marRight w:val="0"/>
          <w:marTop w:val="0"/>
          <w:marBottom w:val="0"/>
          <w:divBdr>
            <w:top w:val="none" w:sz="0" w:space="0" w:color="auto"/>
            <w:left w:val="none" w:sz="0" w:space="0" w:color="auto"/>
            <w:bottom w:val="none" w:sz="0" w:space="0" w:color="auto"/>
            <w:right w:val="none" w:sz="0" w:space="0" w:color="auto"/>
          </w:divBdr>
          <w:divsChild>
            <w:div w:id="2093162100">
              <w:marLeft w:val="0"/>
              <w:marRight w:val="0"/>
              <w:marTop w:val="0"/>
              <w:marBottom w:val="0"/>
              <w:divBdr>
                <w:top w:val="none" w:sz="0" w:space="0" w:color="auto"/>
                <w:left w:val="none" w:sz="0" w:space="0" w:color="auto"/>
                <w:bottom w:val="none" w:sz="0" w:space="0" w:color="auto"/>
                <w:right w:val="none" w:sz="0" w:space="0" w:color="auto"/>
              </w:divBdr>
              <w:divsChild>
                <w:div w:id="10207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1986599/" TargetMode="External"/><Relationship Id="rId13" Type="http://schemas.openxmlformats.org/officeDocument/2006/relationships/hyperlink" Target="https://pubmed.ncbi.nlm.nih.gov/37622657/" TargetMode="External"/><Relationship Id="rId3" Type="http://schemas.openxmlformats.org/officeDocument/2006/relationships/settings" Target="settings.xml"/><Relationship Id="rId7" Type="http://schemas.openxmlformats.org/officeDocument/2006/relationships/hyperlink" Target="https://pubmed.ncbi.nlm.nih.gov/19955526/" TargetMode="External"/><Relationship Id="rId12" Type="http://schemas.openxmlformats.org/officeDocument/2006/relationships/hyperlink" Target="https://pubmed.ncbi.nlm.nih.gov/376226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med.ncbi.nlm.nih.gov/37622656/" TargetMode="External"/><Relationship Id="rId11" Type="http://schemas.openxmlformats.org/officeDocument/2006/relationships/hyperlink" Target="https://pubmed.ncbi.nlm.nih.gov/30280640/" TargetMode="External"/><Relationship Id="rId5" Type="http://schemas.openxmlformats.org/officeDocument/2006/relationships/hyperlink" Target="https://www.hhs.gov/hipaa/index.html" TargetMode="External"/><Relationship Id="rId15" Type="http://schemas.openxmlformats.org/officeDocument/2006/relationships/fontTable" Target="fontTable.xml"/><Relationship Id="rId10" Type="http://schemas.openxmlformats.org/officeDocument/2006/relationships/hyperlink" Target="https://pubmed.ncbi.nlm.nih.gov/30145927/" TargetMode="External"/><Relationship Id="rId4" Type="http://schemas.openxmlformats.org/officeDocument/2006/relationships/webSettings" Target="webSettings.xml"/><Relationship Id="rId9" Type="http://schemas.openxmlformats.org/officeDocument/2006/relationships/hyperlink" Target="https://pubmed.ncbi.nlm.nih.gov/34453161/" TargetMode="External"/><Relationship Id="rId14" Type="http://schemas.openxmlformats.org/officeDocument/2006/relationships/hyperlink" Target="https://pubmed.ncbi.nlm.nih.gov/371022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3864</Words>
  <Characters>22027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Nappi</dc:creator>
  <cp:keywords/>
  <dc:description/>
  <cp:lastModifiedBy>Francesco Nappi</cp:lastModifiedBy>
  <cp:revision>9</cp:revision>
  <dcterms:created xsi:type="dcterms:W3CDTF">2024-03-17T07:53:00Z</dcterms:created>
  <dcterms:modified xsi:type="dcterms:W3CDTF">2024-03-26T16:05:00Z</dcterms:modified>
</cp:coreProperties>
</file>