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AB2A2" w14:textId="19E15E36" w:rsidR="00DB7A6B" w:rsidRPr="00DB7A6B" w:rsidRDefault="00DB7A6B" w:rsidP="00DB7A6B">
      <w:pPr>
        <w:rPr>
          <w:b/>
          <w:bCs/>
        </w:rPr>
      </w:pPr>
      <w:proofErr w:type="spellStart"/>
      <w:r w:rsidRPr="00DB7A6B">
        <w:rPr>
          <w:b/>
          <w:bCs/>
        </w:rPr>
        <w:t>eTable</w:t>
      </w:r>
      <w:proofErr w:type="spellEnd"/>
      <w:r w:rsidRPr="00DB7A6B">
        <w:rPr>
          <w:b/>
          <w:bCs/>
        </w:rPr>
        <w:t xml:space="preserve"> </w:t>
      </w:r>
      <w:r w:rsidR="00FC1F73">
        <w:rPr>
          <w:b/>
          <w:bCs/>
        </w:rPr>
        <w:t>2</w:t>
      </w:r>
      <w:r w:rsidRPr="00DB7A6B">
        <w:rPr>
          <w:b/>
          <w:bCs/>
        </w:rPr>
        <w:t xml:space="preserve">. </w:t>
      </w:r>
      <w:r w:rsidRPr="00DB7A6B">
        <w:t>Associations between functional seizures and reasons for emergency department presentations or inpatient hospitalizations in the year after the first psychosis diagnosis (among a</w:t>
      </w:r>
      <w:r w:rsidR="00534311">
        <w:t xml:space="preserve"> chart</w:t>
      </w:r>
      <w:r w:rsidR="00B04AE8">
        <w:t>-</w:t>
      </w:r>
      <w:r w:rsidR="00534311">
        <w:t>reviewed subset</w:t>
      </w:r>
      <w:r w:rsidRPr="00DB7A6B">
        <w:t>)</w:t>
      </w:r>
    </w:p>
    <w:p w14:paraId="7B03E37D" w14:textId="77777777" w:rsidR="00DB7A6B" w:rsidRPr="00DB7A6B" w:rsidRDefault="00DB7A6B" w:rsidP="00DB7A6B"/>
    <w:tbl>
      <w:tblPr>
        <w:tblW w:w="90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1665"/>
        <w:gridCol w:w="1305"/>
        <w:gridCol w:w="2700"/>
        <w:gridCol w:w="1260"/>
      </w:tblGrid>
      <w:tr w:rsidR="00646A1C" w:rsidRPr="00EA6A2A" w14:paraId="1E71D6F6" w14:textId="77777777" w:rsidTr="7EB9CDB1">
        <w:trPr>
          <w:trHeight w:val="528"/>
        </w:trPr>
        <w:tc>
          <w:tcPr>
            <w:tcW w:w="2160" w:type="dxa"/>
            <w:vMerge w:val="restart"/>
            <w:tcBorders>
              <w:top w:val="single" w:sz="18" w:space="0" w:color="000000" w:themeColor="text1"/>
              <w:bottom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45236C4" w14:textId="6E646C42" w:rsidR="00646A1C" w:rsidRPr="00EA6A2A" w:rsidRDefault="00646A1C" w:rsidP="00EA6A2A">
            <w:pPr>
              <w:contextualSpacing/>
              <w:rPr>
                <w:b/>
                <w:bCs/>
                <w:sz w:val="22"/>
                <w:szCs w:val="22"/>
              </w:rPr>
            </w:pPr>
            <w:r w:rsidRPr="00EA6A2A">
              <w:rPr>
                <w:b/>
                <w:bCs/>
                <w:sz w:val="22"/>
                <w:szCs w:val="22"/>
              </w:rPr>
              <w:t xml:space="preserve">Diagnosis </w:t>
            </w:r>
            <w:proofErr w:type="spellStart"/>
            <w:r w:rsidRPr="00EA6A2A">
              <w:rPr>
                <w:b/>
                <w:bCs/>
                <w:sz w:val="22"/>
                <w:szCs w:val="22"/>
              </w:rPr>
              <w:t>group</w:t>
            </w:r>
            <w:r w:rsidR="00044C2E" w:rsidRPr="00EA6A2A">
              <w:rPr>
                <w:sz w:val="22"/>
                <w:szCs w:val="22"/>
                <w:vertAlign w:val="superscript"/>
              </w:rPr>
              <w:t>a</w:t>
            </w:r>
            <w:proofErr w:type="spellEnd"/>
          </w:p>
        </w:tc>
        <w:tc>
          <w:tcPr>
            <w:tcW w:w="2970" w:type="dxa"/>
            <w:gridSpan w:val="2"/>
            <w:tcBorders>
              <w:top w:val="single" w:sz="18" w:space="0" w:color="000000" w:themeColor="text1"/>
            </w:tcBorders>
            <w:shd w:val="clear" w:color="auto" w:fill="FFFFFF" w:themeFill="background1"/>
          </w:tcPr>
          <w:p w14:paraId="5E642182" w14:textId="77777777" w:rsidR="00895C66" w:rsidRPr="00EA6A2A" w:rsidRDefault="00646A1C" w:rsidP="00EA6A2A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EA6A2A">
              <w:rPr>
                <w:b/>
                <w:bCs/>
                <w:sz w:val="22"/>
                <w:szCs w:val="22"/>
              </w:rPr>
              <w:t>No.</w:t>
            </w:r>
            <w:r w:rsidR="00137E87" w:rsidRPr="00EA6A2A">
              <w:rPr>
                <w:b/>
                <w:bCs/>
                <w:sz w:val="22"/>
                <w:szCs w:val="22"/>
              </w:rPr>
              <w:t xml:space="preserve"> patients with </w:t>
            </w:r>
          </w:p>
          <w:p w14:paraId="5C208B5E" w14:textId="479C9DF2" w:rsidR="00646A1C" w:rsidRPr="00EA6A2A" w:rsidRDefault="00895C66" w:rsidP="00EA6A2A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EA6A2A">
              <w:rPr>
                <w:b/>
                <w:bCs/>
                <w:sz w:val="22"/>
                <w:szCs w:val="22"/>
              </w:rPr>
              <w:t>presenting problem</w:t>
            </w:r>
            <w:r w:rsidR="00646A1C" w:rsidRPr="00EA6A2A">
              <w:rPr>
                <w:b/>
                <w:bCs/>
                <w:sz w:val="22"/>
                <w:szCs w:val="22"/>
              </w:rPr>
              <w:t xml:space="preserve"> (%)</w:t>
            </w:r>
          </w:p>
        </w:tc>
        <w:tc>
          <w:tcPr>
            <w:tcW w:w="2700" w:type="dxa"/>
            <w:vMerge w:val="restart"/>
            <w:tcBorders>
              <w:top w:val="single" w:sz="18" w:space="0" w:color="000000" w:themeColor="text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76C3310" w14:textId="34F32D94" w:rsidR="00646A1C" w:rsidRPr="00EA6A2A" w:rsidRDefault="00646A1C" w:rsidP="00EA6A2A">
            <w:pPr>
              <w:contextualSpacing/>
              <w:rPr>
                <w:b/>
                <w:bCs/>
                <w:sz w:val="22"/>
                <w:szCs w:val="22"/>
              </w:rPr>
            </w:pPr>
            <w:r w:rsidRPr="00EA6A2A">
              <w:rPr>
                <w:b/>
                <w:bCs/>
                <w:sz w:val="22"/>
                <w:szCs w:val="22"/>
              </w:rPr>
              <w:t>OR</w:t>
            </w:r>
            <w:r w:rsidR="008D7F3B" w:rsidRPr="00EA6A2A">
              <w:rPr>
                <w:b/>
                <w:bCs/>
                <w:sz w:val="22"/>
                <w:szCs w:val="22"/>
              </w:rPr>
              <w:t xml:space="preserve"> </w:t>
            </w:r>
            <w:r w:rsidRPr="00EA6A2A">
              <w:rPr>
                <w:b/>
                <w:bCs/>
                <w:sz w:val="22"/>
                <w:szCs w:val="22"/>
              </w:rPr>
              <w:t>(95% CI)</w:t>
            </w:r>
            <w:r w:rsidR="00A32D75" w:rsidRPr="00EA6A2A">
              <w:rPr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260" w:type="dxa"/>
            <w:vMerge w:val="restart"/>
            <w:tcBorders>
              <w:top w:val="single" w:sz="18" w:space="0" w:color="000000" w:themeColor="text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CEF9AD2" w14:textId="36BEADA0" w:rsidR="00646A1C" w:rsidRPr="00EA6A2A" w:rsidRDefault="00646A1C" w:rsidP="00EA6A2A">
            <w:pPr>
              <w:contextualSpacing/>
              <w:rPr>
                <w:b/>
                <w:bCs/>
                <w:sz w:val="22"/>
                <w:szCs w:val="22"/>
              </w:rPr>
            </w:pPr>
            <w:r w:rsidRPr="00EA6A2A">
              <w:rPr>
                <w:b/>
                <w:bCs/>
                <w:sz w:val="22"/>
                <w:szCs w:val="22"/>
              </w:rPr>
              <w:t>P-value</w:t>
            </w:r>
          </w:p>
        </w:tc>
      </w:tr>
      <w:tr w:rsidR="00646A1C" w:rsidRPr="00EA6A2A" w14:paraId="602D74FA" w14:textId="77777777" w:rsidTr="7EB9CDB1">
        <w:trPr>
          <w:trHeight w:val="131"/>
        </w:trPr>
        <w:tc>
          <w:tcPr>
            <w:tcW w:w="2160" w:type="dxa"/>
            <w:vMerge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F3B2F2A" w14:textId="09A9AECC" w:rsidR="00646A1C" w:rsidRPr="00EA6A2A" w:rsidRDefault="00646A1C" w:rsidP="00EA6A2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D8BC04" w14:textId="77777777" w:rsidR="00C318B1" w:rsidRPr="00EA6A2A" w:rsidRDefault="00646A1C" w:rsidP="00EA6A2A">
            <w:pPr>
              <w:contextualSpacing/>
              <w:rPr>
                <w:b/>
                <w:bCs/>
                <w:sz w:val="22"/>
                <w:szCs w:val="22"/>
              </w:rPr>
            </w:pPr>
            <w:r w:rsidRPr="00EA6A2A">
              <w:rPr>
                <w:b/>
                <w:bCs/>
                <w:sz w:val="22"/>
                <w:szCs w:val="22"/>
              </w:rPr>
              <w:t>Comorbid FS</w:t>
            </w:r>
            <w:r w:rsidR="00C318B1" w:rsidRPr="00EA6A2A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CCDBC0E" w14:textId="5E33B273" w:rsidR="00C318B1" w:rsidRPr="00EA6A2A" w:rsidRDefault="00C318B1" w:rsidP="00EA6A2A">
            <w:pPr>
              <w:contextualSpacing/>
              <w:rPr>
                <w:b/>
                <w:bCs/>
                <w:sz w:val="22"/>
                <w:szCs w:val="22"/>
              </w:rPr>
            </w:pPr>
            <w:r w:rsidRPr="00EA6A2A">
              <w:rPr>
                <w:b/>
                <w:bCs/>
                <w:sz w:val="22"/>
                <w:szCs w:val="22"/>
              </w:rPr>
              <w:t>N=</w:t>
            </w:r>
            <w:r w:rsidR="007805D9" w:rsidRPr="00EA6A2A">
              <w:rPr>
                <w:b/>
                <w:bCs/>
                <w:sz w:val="22"/>
                <w:szCs w:val="22"/>
              </w:rPr>
              <w:t>4</w:t>
            </w:r>
            <w:r w:rsidR="00AA0197" w:rsidRPr="00EA6A2A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05" w:type="dxa"/>
            <w:tcBorders>
              <w:bottom w:val="single" w:sz="6" w:space="0" w:color="000000" w:themeColor="text1"/>
            </w:tcBorders>
            <w:shd w:val="clear" w:color="auto" w:fill="FFFFFF" w:themeFill="background1"/>
          </w:tcPr>
          <w:p w14:paraId="6A787F00" w14:textId="77777777" w:rsidR="00646A1C" w:rsidRPr="00EA6A2A" w:rsidRDefault="00646A1C" w:rsidP="00EA6A2A">
            <w:pPr>
              <w:contextualSpacing/>
              <w:rPr>
                <w:b/>
                <w:bCs/>
                <w:sz w:val="22"/>
                <w:szCs w:val="22"/>
              </w:rPr>
            </w:pPr>
            <w:r w:rsidRPr="00EA6A2A">
              <w:rPr>
                <w:b/>
                <w:bCs/>
                <w:sz w:val="22"/>
                <w:szCs w:val="22"/>
              </w:rPr>
              <w:t>No FS</w:t>
            </w:r>
          </w:p>
          <w:p w14:paraId="70C91E15" w14:textId="3EA25A1F" w:rsidR="007805D9" w:rsidRPr="00EA6A2A" w:rsidRDefault="007805D9" w:rsidP="00EA6A2A">
            <w:pPr>
              <w:contextualSpacing/>
              <w:rPr>
                <w:b/>
                <w:bCs/>
                <w:sz w:val="22"/>
                <w:szCs w:val="22"/>
              </w:rPr>
            </w:pPr>
            <w:r w:rsidRPr="00EA6A2A">
              <w:rPr>
                <w:b/>
                <w:bCs/>
                <w:sz w:val="22"/>
                <w:szCs w:val="22"/>
              </w:rPr>
              <w:t>N=45</w:t>
            </w:r>
          </w:p>
        </w:tc>
        <w:tc>
          <w:tcPr>
            <w:tcW w:w="2700" w:type="dxa"/>
            <w:vMerge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D8B691A" w14:textId="761A6E46" w:rsidR="00646A1C" w:rsidRPr="00EA6A2A" w:rsidRDefault="00646A1C" w:rsidP="00EA6A2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84BEE06" w14:textId="3BE7629B" w:rsidR="00646A1C" w:rsidRPr="00EA6A2A" w:rsidRDefault="00646A1C" w:rsidP="00EA6A2A">
            <w:pPr>
              <w:contextualSpacing/>
              <w:rPr>
                <w:sz w:val="22"/>
                <w:szCs w:val="22"/>
              </w:rPr>
            </w:pPr>
          </w:p>
        </w:tc>
      </w:tr>
      <w:tr w:rsidR="00646A1C" w:rsidRPr="00EA6A2A" w14:paraId="56066698" w14:textId="77777777" w:rsidTr="00EA6A2A">
        <w:trPr>
          <w:trHeight w:val="549"/>
        </w:trPr>
        <w:tc>
          <w:tcPr>
            <w:tcW w:w="2160" w:type="dxa"/>
            <w:tcBorders>
              <w:top w:val="single" w:sz="6" w:space="0" w:color="000000" w:themeColor="text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D7363" w14:textId="32A5FFD2" w:rsidR="00646A1C" w:rsidRPr="00EA6A2A" w:rsidRDefault="00646A1C" w:rsidP="00EA6A2A">
            <w:pPr>
              <w:contextualSpacing/>
              <w:rPr>
                <w:sz w:val="22"/>
                <w:szCs w:val="22"/>
              </w:rPr>
            </w:pPr>
            <w:r w:rsidRPr="00EA6A2A">
              <w:rPr>
                <w:sz w:val="22"/>
                <w:szCs w:val="22"/>
              </w:rPr>
              <w:t>Circulatory problem</w:t>
            </w:r>
          </w:p>
          <w:p w14:paraId="12706B45" w14:textId="4C8899C3" w:rsidR="00646A1C" w:rsidRPr="00EA6A2A" w:rsidRDefault="33A3A556" w:rsidP="00EA6A2A">
            <w:pPr>
              <w:contextualSpacing/>
              <w:rPr>
                <w:sz w:val="22"/>
                <w:szCs w:val="22"/>
              </w:rPr>
            </w:pPr>
            <w:r w:rsidRPr="00EA6A2A">
              <w:rPr>
                <w:sz w:val="22"/>
                <w:szCs w:val="22"/>
              </w:rPr>
              <w:t>(including stroke)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A919647" w14:textId="4A588E90" w:rsidR="00646A1C" w:rsidRPr="00EA6A2A" w:rsidRDefault="00FC3A75" w:rsidP="00EA6A2A">
            <w:pPr>
              <w:contextualSpacing/>
              <w:rPr>
                <w:sz w:val="22"/>
                <w:szCs w:val="22"/>
              </w:rPr>
            </w:pPr>
            <w:r w:rsidRPr="00EA6A2A">
              <w:rPr>
                <w:sz w:val="22"/>
                <w:szCs w:val="22"/>
              </w:rPr>
              <w:t>5 (10.6%)</w:t>
            </w:r>
          </w:p>
        </w:tc>
        <w:tc>
          <w:tcPr>
            <w:tcW w:w="1305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41883143" w14:textId="4449A584" w:rsidR="00646A1C" w:rsidRPr="00EA6A2A" w:rsidRDefault="00121D13" w:rsidP="00EA6A2A">
            <w:pPr>
              <w:contextualSpacing/>
              <w:rPr>
                <w:sz w:val="22"/>
                <w:szCs w:val="22"/>
              </w:rPr>
            </w:pPr>
            <w:r w:rsidRPr="00EA6A2A">
              <w:rPr>
                <w:sz w:val="22"/>
                <w:szCs w:val="22"/>
              </w:rPr>
              <w:t>8 (17.8%)</w:t>
            </w:r>
          </w:p>
        </w:tc>
        <w:tc>
          <w:tcPr>
            <w:tcW w:w="2700" w:type="dxa"/>
            <w:tcBorders>
              <w:top w:val="single" w:sz="6" w:space="0" w:color="000000" w:themeColor="text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123E79" w14:textId="061279A5" w:rsidR="00646A1C" w:rsidRPr="00EA6A2A" w:rsidRDefault="00BE50A9" w:rsidP="00EA6A2A">
            <w:pPr>
              <w:contextualSpacing/>
              <w:rPr>
                <w:sz w:val="22"/>
                <w:szCs w:val="22"/>
              </w:rPr>
            </w:pPr>
            <w:r w:rsidRPr="00EA6A2A">
              <w:rPr>
                <w:sz w:val="22"/>
                <w:szCs w:val="22"/>
              </w:rPr>
              <w:t>0.60 (0.17-2.07)</w:t>
            </w:r>
          </w:p>
        </w:tc>
        <w:tc>
          <w:tcPr>
            <w:tcW w:w="1260" w:type="dxa"/>
            <w:tcBorders>
              <w:top w:val="single" w:sz="6" w:space="0" w:color="000000" w:themeColor="text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F37FED" w14:textId="387B79FE" w:rsidR="00646A1C" w:rsidRPr="00EA6A2A" w:rsidRDefault="00647A7E" w:rsidP="00EA6A2A">
            <w:pPr>
              <w:contextualSpacing/>
              <w:rPr>
                <w:sz w:val="22"/>
                <w:szCs w:val="22"/>
              </w:rPr>
            </w:pPr>
            <w:r w:rsidRPr="00EA6A2A">
              <w:rPr>
                <w:sz w:val="22"/>
                <w:szCs w:val="22"/>
              </w:rPr>
              <w:t>0.42</w:t>
            </w:r>
          </w:p>
        </w:tc>
      </w:tr>
      <w:tr w:rsidR="00646A1C" w:rsidRPr="00EA6A2A" w14:paraId="682B42A2" w14:textId="77777777" w:rsidTr="00EA6A2A">
        <w:trPr>
          <w:trHeight w:val="519"/>
        </w:trPr>
        <w:tc>
          <w:tcPr>
            <w:tcW w:w="216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AAA30" w14:textId="77777777" w:rsidR="00646A1C" w:rsidRPr="00EA6A2A" w:rsidRDefault="00646A1C" w:rsidP="00EA6A2A">
            <w:pPr>
              <w:contextualSpacing/>
              <w:rPr>
                <w:sz w:val="22"/>
                <w:szCs w:val="22"/>
              </w:rPr>
            </w:pPr>
            <w:r w:rsidRPr="00EA6A2A">
              <w:rPr>
                <w:sz w:val="22"/>
                <w:szCs w:val="22"/>
              </w:rPr>
              <w:t>Injury and poisoning</w:t>
            </w:r>
          </w:p>
        </w:tc>
        <w:tc>
          <w:tcPr>
            <w:tcW w:w="1665" w:type="dxa"/>
            <w:shd w:val="clear" w:color="auto" w:fill="FFFFFF" w:themeFill="background1"/>
          </w:tcPr>
          <w:p w14:paraId="071664AA" w14:textId="615F9AF2" w:rsidR="00646A1C" w:rsidRPr="00EA6A2A" w:rsidRDefault="00FC3A75" w:rsidP="00EA6A2A">
            <w:pPr>
              <w:contextualSpacing/>
              <w:rPr>
                <w:sz w:val="22"/>
                <w:szCs w:val="22"/>
              </w:rPr>
            </w:pPr>
            <w:r w:rsidRPr="00EA6A2A">
              <w:rPr>
                <w:sz w:val="22"/>
                <w:szCs w:val="22"/>
              </w:rPr>
              <w:t>11 (23.4%)</w:t>
            </w:r>
          </w:p>
        </w:tc>
        <w:tc>
          <w:tcPr>
            <w:tcW w:w="1305" w:type="dxa"/>
            <w:shd w:val="clear" w:color="auto" w:fill="FFFFFF" w:themeFill="background1"/>
          </w:tcPr>
          <w:p w14:paraId="6832798D" w14:textId="7377B250" w:rsidR="00646A1C" w:rsidRPr="00EA6A2A" w:rsidRDefault="00121D13" w:rsidP="00EA6A2A">
            <w:pPr>
              <w:contextualSpacing/>
              <w:rPr>
                <w:sz w:val="22"/>
                <w:szCs w:val="22"/>
              </w:rPr>
            </w:pPr>
            <w:r w:rsidRPr="00EA6A2A">
              <w:rPr>
                <w:sz w:val="22"/>
                <w:szCs w:val="22"/>
              </w:rPr>
              <w:t>7 (15.6%)</w:t>
            </w:r>
          </w:p>
        </w:tc>
        <w:tc>
          <w:tcPr>
            <w:tcW w:w="270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F301B6" w14:textId="37128F85" w:rsidR="00646A1C" w:rsidRPr="00EA6A2A" w:rsidRDefault="00BE50A9" w:rsidP="00EA6A2A">
            <w:pPr>
              <w:contextualSpacing/>
              <w:rPr>
                <w:sz w:val="22"/>
                <w:szCs w:val="22"/>
              </w:rPr>
            </w:pPr>
            <w:r w:rsidRPr="00EA6A2A">
              <w:rPr>
                <w:sz w:val="22"/>
                <w:szCs w:val="22"/>
              </w:rPr>
              <w:t>1.72 (0.59-5.00)</w:t>
            </w:r>
          </w:p>
        </w:tc>
        <w:tc>
          <w:tcPr>
            <w:tcW w:w="126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9593F6" w14:textId="5F7854ED" w:rsidR="00646A1C" w:rsidRPr="00EA6A2A" w:rsidRDefault="004E7F14" w:rsidP="00EA6A2A">
            <w:pPr>
              <w:contextualSpacing/>
              <w:rPr>
                <w:sz w:val="22"/>
                <w:szCs w:val="22"/>
              </w:rPr>
            </w:pPr>
            <w:r w:rsidRPr="00EA6A2A">
              <w:rPr>
                <w:sz w:val="22"/>
                <w:szCs w:val="22"/>
              </w:rPr>
              <w:t>0.32</w:t>
            </w:r>
          </w:p>
        </w:tc>
      </w:tr>
      <w:tr w:rsidR="00646A1C" w:rsidRPr="00EA6A2A" w14:paraId="6A9C0629" w14:textId="77777777" w:rsidTr="00EA6A2A">
        <w:trPr>
          <w:trHeight w:val="474"/>
        </w:trPr>
        <w:tc>
          <w:tcPr>
            <w:tcW w:w="216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82BFF" w14:textId="77777777" w:rsidR="00646A1C" w:rsidRPr="00EA6A2A" w:rsidRDefault="00646A1C" w:rsidP="00EA6A2A">
            <w:pPr>
              <w:contextualSpacing/>
              <w:rPr>
                <w:sz w:val="22"/>
                <w:szCs w:val="22"/>
              </w:rPr>
            </w:pPr>
            <w:r w:rsidRPr="00EA6A2A">
              <w:rPr>
                <w:sz w:val="22"/>
                <w:szCs w:val="22"/>
              </w:rPr>
              <w:t>Musculoskeletal problem</w:t>
            </w:r>
          </w:p>
        </w:tc>
        <w:tc>
          <w:tcPr>
            <w:tcW w:w="1665" w:type="dxa"/>
            <w:shd w:val="clear" w:color="auto" w:fill="FFFFFF" w:themeFill="background1"/>
          </w:tcPr>
          <w:p w14:paraId="59A58E77" w14:textId="15299C95" w:rsidR="00646A1C" w:rsidRPr="00EA6A2A" w:rsidRDefault="00FC3A75" w:rsidP="00EA6A2A">
            <w:pPr>
              <w:contextualSpacing/>
              <w:rPr>
                <w:sz w:val="22"/>
                <w:szCs w:val="22"/>
              </w:rPr>
            </w:pPr>
            <w:r w:rsidRPr="00EA6A2A">
              <w:rPr>
                <w:sz w:val="22"/>
                <w:szCs w:val="22"/>
              </w:rPr>
              <w:t>7 (14.9%)</w:t>
            </w:r>
          </w:p>
        </w:tc>
        <w:tc>
          <w:tcPr>
            <w:tcW w:w="1305" w:type="dxa"/>
            <w:shd w:val="clear" w:color="auto" w:fill="FFFFFF" w:themeFill="background1"/>
          </w:tcPr>
          <w:p w14:paraId="605C70E8" w14:textId="2230EAEF" w:rsidR="00646A1C" w:rsidRPr="00EA6A2A" w:rsidRDefault="008707C4" w:rsidP="00EA6A2A">
            <w:pPr>
              <w:contextualSpacing/>
              <w:rPr>
                <w:sz w:val="22"/>
                <w:szCs w:val="22"/>
              </w:rPr>
            </w:pPr>
            <w:r w:rsidRPr="00EA6A2A">
              <w:rPr>
                <w:sz w:val="22"/>
                <w:szCs w:val="22"/>
              </w:rPr>
              <w:t>5 (11.1%)</w:t>
            </w:r>
          </w:p>
        </w:tc>
        <w:tc>
          <w:tcPr>
            <w:tcW w:w="270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0F67E5" w14:textId="145F2743" w:rsidR="00646A1C" w:rsidRPr="00EA6A2A" w:rsidRDefault="00BE50A9" w:rsidP="00EA6A2A">
            <w:pPr>
              <w:contextualSpacing/>
              <w:rPr>
                <w:sz w:val="22"/>
                <w:szCs w:val="22"/>
              </w:rPr>
            </w:pPr>
            <w:r w:rsidRPr="00EA6A2A">
              <w:rPr>
                <w:sz w:val="22"/>
                <w:szCs w:val="22"/>
              </w:rPr>
              <w:t>1.36 (0.39-4.69)</w:t>
            </w:r>
          </w:p>
        </w:tc>
        <w:tc>
          <w:tcPr>
            <w:tcW w:w="126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11A670" w14:textId="2A7E0911" w:rsidR="00646A1C" w:rsidRPr="00EA6A2A" w:rsidRDefault="004E7F14" w:rsidP="00EA6A2A">
            <w:pPr>
              <w:contextualSpacing/>
              <w:rPr>
                <w:sz w:val="22"/>
                <w:szCs w:val="22"/>
              </w:rPr>
            </w:pPr>
            <w:r w:rsidRPr="00EA6A2A">
              <w:rPr>
                <w:sz w:val="22"/>
                <w:szCs w:val="22"/>
              </w:rPr>
              <w:t>0.63</w:t>
            </w:r>
          </w:p>
        </w:tc>
      </w:tr>
      <w:tr w:rsidR="00646A1C" w:rsidRPr="00EA6A2A" w14:paraId="085D7DE0" w14:textId="77777777" w:rsidTr="00EA6A2A">
        <w:trPr>
          <w:trHeight w:val="402"/>
        </w:trPr>
        <w:tc>
          <w:tcPr>
            <w:tcW w:w="216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5411C" w14:textId="333048F5" w:rsidR="00646A1C" w:rsidRPr="00027757" w:rsidRDefault="00646A1C" w:rsidP="00EA6A2A">
            <w:pPr>
              <w:contextualSpacing/>
              <w:rPr>
                <w:sz w:val="22"/>
                <w:szCs w:val="22"/>
                <w:vertAlign w:val="superscript"/>
              </w:rPr>
            </w:pPr>
            <w:r w:rsidRPr="00EA6A2A">
              <w:rPr>
                <w:sz w:val="22"/>
                <w:szCs w:val="22"/>
              </w:rPr>
              <w:t xml:space="preserve">Psychiatric </w:t>
            </w:r>
            <w:proofErr w:type="spellStart"/>
            <w:r w:rsidRPr="00EA6A2A">
              <w:rPr>
                <w:sz w:val="22"/>
                <w:szCs w:val="22"/>
              </w:rPr>
              <w:t>symptom</w:t>
            </w:r>
            <w:r w:rsidR="005220DB">
              <w:rPr>
                <w:sz w:val="22"/>
                <w:szCs w:val="22"/>
                <w:vertAlign w:val="superscript"/>
              </w:rPr>
              <w:t>c</w:t>
            </w:r>
            <w:proofErr w:type="spellEnd"/>
          </w:p>
        </w:tc>
        <w:tc>
          <w:tcPr>
            <w:tcW w:w="1665" w:type="dxa"/>
            <w:shd w:val="clear" w:color="auto" w:fill="FFFFFF" w:themeFill="background1"/>
          </w:tcPr>
          <w:p w14:paraId="12635C48" w14:textId="66EFCD8A" w:rsidR="00646A1C" w:rsidRPr="00EA6A2A" w:rsidRDefault="003549AA" w:rsidP="00EA6A2A">
            <w:pPr>
              <w:contextualSpacing/>
              <w:rPr>
                <w:sz w:val="22"/>
                <w:szCs w:val="22"/>
              </w:rPr>
            </w:pPr>
            <w:r w:rsidRPr="00EA6A2A">
              <w:rPr>
                <w:sz w:val="22"/>
                <w:szCs w:val="22"/>
              </w:rPr>
              <w:t>3</w:t>
            </w:r>
            <w:r w:rsidR="00F24810">
              <w:rPr>
                <w:sz w:val="22"/>
                <w:szCs w:val="22"/>
              </w:rPr>
              <w:t>3</w:t>
            </w:r>
            <w:r w:rsidR="00121D13" w:rsidRPr="00EA6A2A">
              <w:rPr>
                <w:sz w:val="22"/>
                <w:szCs w:val="22"/>
              </w:rPr>
              <w:t xml:space="preserve"> (</w:t>
            </w:r>
            <w:r w:rsidR="00F24810">
              <w:rPr>
                <w:sz w:val="22"/>
                <w:szCs w:val="22"/>
              </w:rPr>
              <w:t>70</w:t>
            </w:r>
            <w:r w:rsidR="00121D13" w:rsidRPr="00EA6A2A">
              <w:rPr>
                <w:sz w:val="22"/>
                <w:szCs w:val="22"/>
              </w:rPr>
              <w:t>.</w:t>
            </w:r>
            <w:r w:rsidR="00F24810">
              <w:rPr>
                <w:sz w:val="22"/>
                <w:szCs w:val="22"/>
              </w:rPr>
              <w:t>2</w:t>
            </w:r>
            <w:r w:rsidR="00121D13" w:rsidRPr="00EA6A2A">
              <w:rPr>
                <w:sz w:val="22"/>
                <w:szCs w:val="22"/>
              </w:rPr>
              <w:t>%)</w:t>
            </w:r>
          </w:p>
        </w:tc>
        <w:tc>
          <w:tcPr>
            <w:tcW w:w="1305" w:type="dxa"/>
            <w:shd w:val="clear" w:color="auto" w:fill="FFFFFF" w:themeFill="background1"/>
          </w:tcPr>
          <w:p w14:paraId="07DBA17C" w14:textId="1BE36D72" w:rsidR="00646A1C" w:rsidRPr="00EA6A2A" w:rsidRDefault="008707C4" w:rsidP="00EA6A2A">
            <w:pPr>
              <w:contextualSpacing/>
              <w:rPr>
                <w:sz w:val="22"/>
                <w:szCs w:val="22"/>
              </w:rPr>
            </w:pPr>
            <w:r w:rsidRPr="00EA6A2A">
              <w:rPr>
                <w:sz w:val="22"/>
                <w:szCs w:val="22"/>
              </w:rPr>
              <w:t>32 (71.1%)</w:t>
            </w:r>
          </w:p>
        </w:tc>
        <w:tc>
          <w:tcPr>
            <w:tcW w:w="270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68F22B" w14:textId="377CB19F" w:rsidR="00646A1C" w:rsidRPr="00EA6A2A" w:rsidRDefault="00647A7E" w:rsidP="00EA6A2A">
            <w:pPr>
              <w:contextualSpacing/>
              <w:rPr>
                <w:sz w:val="22"/>
                <w:szCs w:val="22"/>
              </w:rPr>
            </w:pPr>
            <w:r w:rsidRPr="00EA6A2A">
              <w:rPr>
                <w:sz w:val="22"/>
                <w:szCs w:val="22"/>
              </w:rPr>
              <w:t>0.</w:t>
            </w:r>
            <w:r w:rsidR="00F24810">
              <w:rPr>
                <w:sz w:val="22"/>
                <w:szCs w:val="22"/>
              </w:rPr>
              <w:t>94</w:t>
            </w:r>
            <w:r w:rsidRPr="00EA6A2A">
              <w:rPr>
                <w:sz w:val="22"/>
                <w:szCs w:val="22"/>
              </w:rPr>
              <w:t xml:space="preserve"> (0.</w:t>
            </w:r>
            <w:r w:rsidR="00F24810">
              <w:rPr>
                <w:sz w:val="22"/>
                <w:szCs w:val="22"/>
              </w:rPr>
              <w:t>38</w:t>
            </w:r>
            <w:r w:rsidRPr="00EA6A2A">
              <w:rPr>
                <w:sz w:val="22"/>
                <w:szCs w:val="22"/>
              </w:rPr>
              <w:t>-</w:t>
            </w:r>
            <w:r w:rsidR="00F24810">
              <w:rPr>
                <w:sz w:val="22"/>
                <w:szCs w:val="22"/>
              </w:rPr>
              <w:t>2</w:t>
            </w:r>
            <w:r w:rsidRPr="00EA6A2A">
              <w:rPr>
                <w:sz w:val="22"/>
                <w:szCs w:val="22"/>
              </w:rPr>
              <w:t>.</w:t>
            </w:r>
            <w:r w:rsidR="00F24810">
              <w:rPr>
                <w:sz w:val="22"/>
                <w:szCs w:val="22"/>
              </w:rPr>
              <w:t>32</w:t>
            </w:r>
            <w:r w:rsidRPr="00EA6A2A"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1F207A" w14:textId="459270B1" w:rsidR="00646A1C" w:rsidRPr="00EA6A2A" w:rsidRDefault="004E7F14" w:rsidP="00EA6A2A">
            <w:pPr>
              <w:contextualSpacing/>
              <w:rPr>
                <w:sz w:val="22"/>
                <w:szCs w:val="22"/>
              </w:rPr>
            </w:pPr>
            <w:r w:rsidRPr="00EA6A2A">
              <w:rPr>
                <w:sz w:val="22"/>
                <w:szCs w:val="22"/>
              </w:rPr>
              <w:t>0.</w:t>
            </w:r>
            <w:r w:rsidR="00F24810">
              <w:rPr>
                <w:sz w:val="22"/>
                <w:szCs w:val="22"/>
              </w:rPr>
              <w:t>89</w:t>
            </w:r>
          </w:p>
        </w:tc>
      </w:tr>
      <w:tr w:rsidR="00646A1C" w:rsidRPr="00EA6A2A" w14:paraId="45CC48C2" w14:textId="77777777" w:rsidTr="00EA6A2A">
        <w:trPr>
          <w:trHeight w:val="348"/>
        </w:trPr>
        <w:tc>
          <w:tcPr>
            <w:tcW w:w="216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2C0E3" w14:textId="77777777" w:rsidR="00646A1C" w:rsidRPr="00EA6A2A" w:rsidRDefault="00646A1C" w:rsidP="00EA6A2A">
            <w:pPr>
              <w:contextualSpacing/>
              <w:rPr>
                <w:sz w:val="22"/>
                <w:szCs w:val="22"/>
              </w:rPr>
            </w:pPr>
            <w:r w:rsidRPr="00EA6A2A">
              <w:rPr>
                <w:sz w:val="22"/>
                <w:szCs w:val="22"/>
              </w:rPr>
              <w:t>Neurological symptom (excluding stroke)</w:t>
            </w:r>
          </w:p>
        </w:tc>
        <w:tc>
          <w:tcPr>
            <w:tcW w:w="1665" w:type="dxa"/>
            <w:shd w:val="clear" w:color="auto" w:fill="FFFFFF" w:themeFill="background1"/>
          </w:tcPr>
          <w:p w14:paraId="5EE5951E" w14:textId="3292AF25" w:rsidR="00646A1C" w:rsidRPr="00EA6A2A" w:rsidRDefault="00F24810" w:rsidP="00EA6A2A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21D13" w:rsidRPr="00EA6A2A">
              <w:rPr>
                <w:sz w:val="22"/>
                <w:szCs w:val="22"/>
              </w:rPr>
              <w:t xml:space="preserve"> (1</w:t>
            </w:r>
            <w:r>
              <w:rPr>
                <w:sz w:val="22"/>
                <w:szCs w:val="22"/>
              </w:rPr>
              <w:t>7</w:t>
            </w:r>
            <w:r w:rsidR="00121D13" w:rsidRPr="00EA6A2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121D13" w:rsidRPr="00EA6A2A">
              <w:rPr>
                <w:sz w:val="22"/>
                <w:szCs w:val="22"/>
              </w:rPr>
              <w:t>%)</w:t>
            </w:r>
          </w:p>
        </w:tc>
        <w:tc>
          <w:tcPr>
            <w:tcW w:w="1305" w:type="dxa"/>
            <w:shd w:val="clear" w:color="auto" w:fill="FFFFFF" w:themeFill="background1"/>
          </w:tcPr>
          <w:p w14:paraId="09E13E57" w14:textId="2A13A452" w:rsidR="00646A1C" w:rsidRPr="00EA6A2A" w:rsidRDefault="008707C4" w:rsidP="00EA6A2A">
            <w:pPr>
              <w:contextualSpacing/>
              <w:rPr>
                <w:sz w:val="22"/>
                <w:szCs w:val="22"/>
              </w:rPr>
            </w:pPr>
            <w:r w:rsidRPr="00EA6A2A">
              <w:rPr>
                <w:sz w:val="22"/>
                <w:szCs w:val="22"/>
              </w:rPr>
              <w:t>4 (8.9%)</w:t>
            </w:r>
          </w:p>
        </w:tc>
        <w:tc>
          <w:tcPr>
            <w:tcW w:w="270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2845C" w14:textId="320B1F23" w:rsidR="00646A1C" w:rsidRPr="00EA6A2A" w:rsidRDefault="00647A7E" w:rsidP="00EA6A2A">
            <w:pPr>
              <w:contextualSpacing/>
              <w:rPr>
                <w:sz w:val="22"/>
                <w:szCs w:val="22"/>
              </w:rPr>
            </w:pPr>
            <w:r w:rsidRPr="00EA6A2A">
              <w:rPr>
                <w:sz w:val="22"/>
                <w:szCs w:val="22"/>
              </w:rPr>
              <w:t>2.</w:t>
            </w:r>
            <w:r w:rsidR="00F24810">
              <w:rPr>
                <w:sz w:val="22"/>
                <w:szCs w:val="22"/>
              </w:rPr>
              <w:t>17</w:t>
            </w:r>
            <w:r w:rsidRPr="00EA6A2A">
              <w:rPr>
                <w:sz w:val="22"/>
                <w:szCs w:val="22"/>
              </w:rPr>
              <w:t xml:space="preserve"> (0.</w:t>
            </w:r>
            <w:r w:rsidR="00F24810">
              <w:rPr>
                <w:sz w:val="22"/>
                <w:szCs w:val="22"/>
              </w:rPr>
              <w:t>59</w:t>
            </w:r>
            <w:r w:rsidRPr="00EA6A2A">
              <w:rPr>
                <w:sz w:val="22"/>
                <w:szCs w:val="22"/>
              </w:rPr>
              <w:t>-8.</w:t>
            </w:r>
            <w:r w:rsidR="00F24810">
              <w:rPr>
                <w:sz w:val="22"/>
                <w:szCs w:val="22"/>
              </w:rPr>
              <w:t>06</w:t>
            </w:r>
            <w:r w:rsidRPr="00EA6A2A"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FCA366" w14:textId="7C089F58" w:rsidR="00646A1C" w:rsidRPr="00EA6A2A" w:rsidRDefault="004E7F14" w:rsidP="00EA6A2A">
            <w:pPr>
              <w:contextualSpacing/>
              <w:rPr>
                <w:sz w:val="22"/>
                <w:szCs w:val="22"/>
              </w:rPr>
            </w:pPr>
            <w:r w:rsidRPr="00EA6A2A">
              <w:rPr>
                <w:sz w:val="22"/>
                <w:szCs w:val="22"/>
              </w:rPr>
              <w:t>0.</w:t>
            </w:r>
            <w:r w:rsidR="00F24810">
              <w:rPr>
                <w:sz w:val="22"/>
                <w:szCs w:val="22"/>
              </w:rPr>
              <w:t>25</w:t>
            </w:r>
          </w:p>
        </w:tc>
      </w:tr>
      <w:tr w:rsidR="00646A1C" w:rsidRPr="00EA6A2A" w14:paraId="2A8E6E6F" w14:textId="77777777" w:rsidTr="00EA6A2A">
        <w:trPr>
          <w:trHeight w:val="159"/>
        </w:trPr>
        <w:tc>
          <w:tcPr>
            <w:tcW w:w="2160" w:type="dxa"/>
            <w:tcBorders>
              <w:bottom w:val="single" w:sz="18" w:space="0" w:color="000000" w:themeColor="text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00B2D" w14:textId="77777777" w:rsidR="00646A1C" w:rsidRPr="00EA6A2A" w:rsidRDefault="00646A1C" w:rsidP="00EA6A2A">
            <w:pPr>
              <w:contextualSpacing/>
              <w:rPr>
                <w:sz w:val="22"/>
                <w:szCs w:val="22"/>
              </w:rPr>
            </w:pPr>
            <w:r w:rsidRPr="00EA6A2A">
              <w:rPr>
                <w:sz w:val="22"/>
                <w:szCs w:val="22"/>
              </w:rPr>
              <w:t>Digestive problem</w:t>
            </w:r>
          </w:p>
        </w:tc>
        <w:tc>
          <w:tcPr>
            <w:tcW w:w="1665" w:type="dxa"/>
            <w:tcBorders>
              <w:bottom w:val="single" w:sz="18" w:space="0" w:color="000000" w:themeColor="text1"/>
            </w:tcBorders>
            <w:shd w:val="clear" w:color="auto" w:fill="FFFFFF" w:themeFill="background1"/>
          </w:tcPr>
          <w:p w14:paraId="2FD1B8F2" w14:textId="72BF3C72" w:rsidR="00646A1C" w:rsidRPr="00EA6A2A" w:rsidRDefault="00121D13" w:rsidP="00EA6A2A">
            <w:pPr>
              <w:contextualSpacing/>
              <w:rPr>
                <w:sz w:val="22"/>
                <w:szCs w:val="22"/>
              </w:rPr>
            </w:pPr>
            <w:r w:rsidRPr="00EA6A2A">
              <w:rPr>
                <w:sz w:val="22"/>
                <w:szCs w:val="22"/>
              </w:rPr>
              <w:t>6 (12.8%)</w:t>
            </w:r>
          </w:p>
        </w:tc>
        <w:tc>
          <w:tcPr>
            <w:tcW w:w="1305" w:type="dxa"/>
            <w:tcBorders>
              <w:bottom w:val="single" w:sz="18" w:space="0" w:color="000000" w:themeColor="text1"/>
            </w:tcBorders>
            <w:shd w:val="clear" w:color="auto" w:fill="FFFFFF" w:themeFill="background1"/>
          </w:tcPr>
          <w:p w14:paraId="12E0DC45" w14:textId="67CE600D" w:rsidR="00646A1C" w:rsidRPr="00EA6A2A" w:rsidRDefault="008707C4" w:rsidP="00EA6A2A">
            <w:pPr>
              <w:contextualSpacing/>
              <w:rPr>
                <w:sz w:val="22"/>
                <w:szCs w:val="22"/>
              </w:rPr>
            </w:pPr>
            <w:r w:rsidRPr="00EA6A2A">
              <w:rPr>
                <w:sz w:val="22"/>
                <w:szCs w:val="22"/>
              </w:rPr>
              <w:t>5 (11.1%)</w:t>
            </w:r>
          </w:p>
        </w:tc>
        <w:tc>
          <w:tcPr>
            <w:tcW w:w="2700" w:type="dxa"/>
            <w:tcBorders>
              <w:bottom w:val="single" w:sz="18" w:space="0" w:color="000000" w:themeColor="text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C1B072" w14:textId="6CE22D2F" w:rsidR="00646A1C" w:rsidRPr="00EA6A2A" w:rsidRDefault="00647A7E" w:rsidP="00EA6A2A">
            <w:pPr>
              <w:contextualSpacing/>
              <w:rPr>
                <w:sz w:val="22"/>
                <w:szCs w:val="22"/>
              </w:rPr>
            </w:pPr>
            <w:r w:rsidRPr="00EA6A2A">
              <w:rPr>
                <w:sz w:val="22"/>
                <w:szCs w:val="22"/>
              </w:rPr>
              <w:t>1.15 (0.32-4.14)</w:t>
            </w:r>
          </w:p>
        </w:tc>
        <w:tc>
          <w:tcPr>
            <w:tcW w:w="1260" w:type="dxa"/>
            <w:tcBorders>
              <w:bottom w:val="single" w:sz="18" w:space="0" w:color="000000" w:themeColor="text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9AD8CF" w14:textId="6A5D582F" w:rsidR="00646A1C" w:rsidRPr="00EA6A2A" w:rsidRDefault="004E7F14" w:rsidP="00EA6A2A">
            <w:pPr>
              <w:contextualSpacing/>
              <w:rPr>
                <w:sz w:val="22"/>
                <w:szCs w:val="22"/>
              </w:rPr>
            </w:pPr>
            <w:r w:rsidRPr="00EA6A2A">
              <w:rPr>
                <w:sz w:val="22"/>
                <w:szCs w:val="22"/>
              </w:rPr>
              <w:t>0.83</w:t>
            </w:r>
          </w:p>
        </w:tc>
      </w:tr>
    </w:tbl>
    <w:p w14:paraId="47DFC0EF" w14:textId="6E74E74F" w:rsidR="00A32D75" w:rsidRPr="00EA6A2A" w:rsidRDefault="00DB7A6B" w:rsidP="00EA6A2A">
      <w:pPr>
        <w:contextualSpacing/>
        <w:rPr>
          <w:sz w:val="22"/>
          <w:szCs w:val="22"/>
        </w:rPr>
      </w:pPr>
      <w:r w:rsidRPr="00EA6A2A">
        <w:rPr>
          <w:sz w:val="22"/>
          <w:szCs w:val="22"/>
        </w:rPr>
        <w:br/>
      </w:r>
      <w:r w:rsidR="00A32D75" w:rsidRPr="00EA6A2A">
        <w:rPr>
          <w:color w:val="000000"/>
          <w:sz w:val="22"/>
          <w:szCs w:val="22"/>
          <w:vertAlign w:val="superscript"/>
        </w:rPr>
        <w:t>a</w:t>
      </w:r>
      <w:r w:rsidR="00857F82" w:rsidRPr="00EA6A2A">
        <w:rPr>
          <w:color w:val="000000"/>
          <w:sz w:val="22"/>
          <w:szCs w:val="22"/>
        </w:rPr>
        <w:t xml:space="preserve"> </w:t>
      </w:r>
      <w:proofErr w:type="spellStart"/>
      <w:r w:rsidR="00BF7486" w:rsidRPr="00EA6A2A">
        <w:rPr>
          <w:color w:val="000000"/>
          <w:sz w:val="22"/>
          <w:szCs w:val="22"/>
        </w:rPr>
        <w:t>A</w:t>
      </w:r>
      <w:proofErr w:type="spellEnd"/>
      <w:r w:rsidR="00BF7486" w:rsidRPr="00EA6A2A">
        <w:rPr>
          <w:color w:val="000000"/>
          <w:sz w:val="22"/>
          <w:szCs w:val="22"/>
        </w:rPr>
        <w:t xml:space="preserve"> patient was included in a diagnostic group if the patient presented with that problem at </w:t>
      </w:r>
      <w:r w:rsidR="00263BF1" w:rsidRPr="00EA6A2A">
        <w:rPr>
          <w:color w:val="000000"/>
          <w:sz w:val="22"/>
          <w:szCs w:val="22"/>
        </w:rPr>
        <w:t xml:space="preserve">any point during the one-year period. </w:t>
      </w:r>
      <w:r w:rsidR="004441E5" w:rsidRPr="00EA6A2A">
        <w:rPr>
          <w:color w:val="000000"/>
          <w:sz w:val="22"/>
          <w:szCs w:val="22"/>
        </w:rPr>
        <w:t>Some patients</w:t>
      </w:r>
      <w:r w:rsidR="00971387" w:rsidRPr="00EA6A2A">
        <w:rPr>
          <w:color w:val="000000"/>
          <w:sz w:val="22"/>
          <w:szCs w:val="22"/>
        </w:rPr>
        <w:t xml:space="preserve"> presented with different problems at different visits, and thus the diagnostic groups are not mutually exclusive.</w:t>
      </w:r>
      <w:r w:rsidR="004F726B" w:rsidRPr="00EA6A2A">
        <w:rPr>
          <w:color w:val="000000"/>
          <w:sz w:val="22"/>
          <w:szCs w:val="22"/>
        </w:rPr>
        <w:t xml:space="preserve"> </w:t>
      </w:r>
    </w:p>
    <w:p w14:paraId="352F6008" w14:textId="6850BA0D" w:rsidR="00DB7A6B" w:rsidRDefault="00A32D75" w:rsidP="00EA6A2A">
      <w:pPr>
        <w:contextualSpacing/>
        <w:rPr>
          <w:color w:val="000000"/>
          <w:sz w:val="22"/>
          <w:szCs w:val="22"/>
        </w:rPr>
      </w:pPr>
      <w:r w:rsidRPr="00EA6A2A">
        <w:rPr>
          <w:color w:val="000000"/>
          <w:sz w:val="22"/>
          <w:szCs w:val="22"/>
          <w:vertAlign w:val="superscript"/>
        </w:rPr>
        <w:t>b</w:t>
      </w:r>
      <w:r w:rsidR="00857F82" w:rsidRPr="00EA6A2A">
        <w:rPr>
          <w:color w:val="000000"/>
          <w:sz w:val="22"/>
          <w:szCs w:val="22"/>
          <w:vertAlign w:val="superscript"/>
        </w:rPr>
        <w:t xml:space="preserve"> </w:t>
      </w:r>
      <w:r w:rsidR="00646A1C" w:rsidRPr="00EA6A2A">
        <w:rPr>
          <w:color w:val="000000"/>
          <w:sz w:val="22"/>
          <w:szCs w:val="22"/>
        </w:rPr>
        <w:t>All regressions were adjusted for sex and age at first psychosis diagnosis code.</w:t>
      </w:r>
    </w:p>
    <w:p w14:paraId="3810F8D6" w14:textId="16BF6397" w:rsidR="005220DB" w:rsidRPr="005220DB" w:rsidRDefault="005220DB" w:rsidP="00EA6A2A">
      <w:pPr>
        <w:contextualSpacing/>
        <w:rPr>
          <w:sz w:val="22"/>
          <w:szCs w:val="22"/>
        </w:rPr>
      </w:pPr>
      <w:r>
        <w:rPr>
          <w:color w:val="000000"/>
          <w:sz w:val="22"/>
          <w:szCs w:val="22"/>
          <w:vertAlign w:val="superscript"/>
        </w:rPr>
        <w:t>c</w:t>
      </w:r>
      <w:r>
        <w:rPr>
          <w:color w:val="000000"/>
          <w:sz w:val="22"/>
          <w:szCs w:val="22"/>
        </w:rPr>
        <w:t xml:space="preserve"> Presentations in which definite or suspected functional seizures was the primary complaint were categorized as psychiatric symptoms.</w:t>
      </w:r>
    </w:p>
    <w:p w14:paraId="7583E639" w14:textId="1E2CEFD3" w:rsidR="006745CC" w:rsidRPr="00EA6A2A" w:rsidRDefault="006745CC" w:rsidP="00EA6A2A">
      <w:pPr>
        <w:contextualSpacing/>
        <w:rPr>
          <w:sz w:val="22"/>
          <w:szCs w:val="22"/>
        </w:rPr>
      </w:pPr>
      <w:r w:rsidRPr="00EA6A2A">
        <w:rPr>
          <w:sz w:val="22"/>
          <w:szCs w:val="22"/>
        </w:rPr>
        <w:br w:type="page"/>
      </w:r>
    </w:p>
    <w:p w14:paraId="2D2F183C" w14:textId="2824C77E" w:rsidR="00F752FE" w:rsidRPr="00DB7A6B" w:rsidRDefault="00F752FE" w:rsidP="00F752FE">
      <w:pPr>
        <w:contextualSpacing/>
        <w:rPr>
          <w:b/>
          <w:bCs/>
        </w:rPr>
      </w:pPr>
      <w:proofErr w:type="spellStart"/>
      <w:r w:rsidRPr="00DB7A6B">
        <w:rPr>
          <w:b/>
          <w:bCs/>
        </w:rPr>
        <w:lastRenderedPageBreak/>
        <w:t>eTable</w:t>
      </w:r>
      <w:proofErr w:type="spellEnd"/>
      <w:r w:rsidRPr="00DB7A6B">
        <w:rPr>
          <w:b/>
          <w:bCs/>
        </w:rPr>
        <w:t xml:space="preserve"> </w:t>
      </w:r>
      <w:r w:rsidR="00086D63">
        <w:rPr>
          <w:b/>
          <w:bCs/>
        </w:rPr>
        <w:t>3</w:t>
      </w:r>
      <w:r w:rsidRPr="00DB7A6B">
        <w:rPr>
          <w:b/>
          <w:bCs/>
        </w:rPr>
        <w:t xml:space="preserve">. </w:t>
      </w:r>
      <w:r w:rsidRPr="00DB7A6B">
        <w:t xml:space="preserve">Associations between functional seizures and </w:t>
      </w:r>
      <w:r w:rsidR="004B02F9">
        <w:t>additional features of</w:t>
      </w:r>
      <w:r w:rsidRPr="00DB7A6B">
        <w:t xml:space="preserve"> presentations or inpatient hospitalizations in the year after the first psychosis diagnosis (among a</w:t>
      </w:r>
      <w:r>
        <w:t xml:space="preserve"> chart-reviewed subset</w:t>
      </w:r>
      <w:r w:rsidRPr="00DB7A6B">
        <w:t>)</w:t>
      </w:r>
    </w:p>
    <w:p w14:paraId="02C19423" w14:textId="77777777" w:rsidR="00F752FE" w:rsidRPr="00EA6A2A" w:rsidRDefault="00F752FE" w:rsidP="00F752FE">
      <w:pPr>
        <w:contextualSpacing/>
        <w:rPr>
          <w:sz w:val="22"/>
          <w:szCs w:val="22"/>
        </w:rPr>
      </w:pPr>
    </w:p>
    <w:tbl>
      <w:tblPr>
        <w:tblW w:w="90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1620"/>
        <w:gridCol w:w="1440"/>
        <w:gridCol w:w="2340"/>
        <w:gridCol w:w="1260"/>
      </w:tblGrid>
      <w:tr w:rsidR="00F752FE" w:rsidRPr="00EA6A2A" w14:paraId="067EB6AF" w14:textId="77777777" w:rsidTr="009B73C6">
        <w:trPr>
          <w:trHeight w:val="528"/>
        </w:trPr>
        <w:tc>
          <w:tcPr>
            <w:tcW w:w="2430" w:type="dxa"/>
            <w:vMerge w:val="restart"/>
            <w:tcBorders>
              <w:top w:val="single" w:sz="18" w:space="0" w:color="000000" w:themeColor="text1"/>
              <w:bottom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75CAA20" w14:textId="77777777" w:rsidR="00F752FE" w:rsidRPr="00EA6A2A" w:rsidRDefault="00F752FE" w:rsidP="009C0E5B">
            <w:pPr>
              <w:contextualSpacing/>
              <w:rPr>
                <w:b/>
                <w:bCs/>
                <w:sz w:val="22"/>
                <w:szCs w:val="22"/>
              </w:rPr>
            </w:pPr>
            <w:r w:rsidRPr="00EA6A2A">
              <w:rPr>
                <w:b/>
                <w:bCs/>
                <w:sz w:val="22"/>
                <w:szCs w:val="22"/>
              </w:rPr>
              <w:t xml:space="preserve">Diagnosis </w:t>
            </w:r>
            <w:proofErr w:type="spellStart"/>
            <w:r w:rsidRPr="00EA6A2A">
              <w:rPr>
                <w:b/>
                <w:bCs/>
                <w:sz w:val="22"/>
                <w:szCs w:val="22"/>
              </w:rPr>
              <w:t>group</w:t>
            </w:r>
            <w:r w:rsidRPr="00EA6A2A">
              <w:rPr>
                <w:sz w:val="22"/>
                <w:szCs w:val="22"/>
                <w:vertAlign w:val="superscript"/>
              </w:rPr>
              <w:t>a</w:t>
            </w:r>
            <w:proofErr w:type="spellEnd"/>
          </w:p>
        </w:tc>
        <w:tc>
          <w:tcPr>
            <w:tcW w:w="3060" w:type="dxa"/>
            <w:gridSpan w:val="2"/>
            <w:tcBorders>
              <w:top w:val="single" w:sz="18" w:space="0" w:color="000000" w:themeColor="text1"/>
            </w:tcBorders>
            <w:shd w:val="clear" w:color="auto" w:fill="FFFFFF" w:themeFill="background1"/>
          </w:tcPr>
          <w:p w14:paraId="18F77C4D" w14:textId="77777777" w:rsidR="00F752FE" w:rsidRPr="00EA6A2A" w:rsidRDefault="00F752FE" w:rsidP="009C0E5B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EA6A2A">
              <w:rPr>
                <w:b/>
                <w:bCs/>
                <w:sz w:val="22"/>
                <w:szCs w:val="22"/>
              </w:rPr>
              <w:t xml:space="preserve">No. patients with </w:t>
            </w:r>
          </w:p>
          <w:p w14:paraId="696844F3" w14:textId="0A97BC00" w:rsidR="00F752FE" w:rsidRPr="00EA6A2A" w:rsidRDefault="00980733" w:rsidP="009C0E5B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EA6A2A">
              <w:rPr>
                <w:b/>
                <w:bCs/>
                <w:sz w:val="22"/>
                <w:szCs w:val="22"/>
              </w:rPr>
              <w:t>presentation feature noted</w:t>
            </w:r>
            <w:r w:rsidR="00F752FE" w:rsidRPr="00EA6A2A">
              <w:rPr>
                <w:b/>
                <w:bCs/>
                <w:sz w:val="22"/>
                <w:szCs w:val="22"/>
              </w:rPr>
              <w:t xml:space="preserve"> (%)</w:t>
            </w:r>
          </w:p>
        </w:tc>
        <w:tc>
          <w:tcPr>
            <w:tcW w:w="2340" w:type="dxa"/>
            <w:vMerge w:val="restart"/>
            <w:tcBorders>
              <w:top w:val="single" w:sz="18" w:space="0" w:color="000000" w:themeColor="text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02A1A35" w14:textId="3274BD72" w:rsidR="00F752FE" w:rsidRPr="00EA6A2A" w:rsidRDefault="00F752FE" w:rsidP="009C0E5B">
            <w:pPr>
              <w:contextualSpacing/>
              <w:rPr>
                <w:b/>
                <w:bCs/>
                <w:sz w:val="22"/>
                <w:szCs w:val="22"/>
              </w:rPr>
            </w:pPr>
            <w:r w:rsidRPr="00EA6A2A">
              <w:rPr>
                <w:b/>
                <w:bCs/>
                <w:sz w:val="22"/>
                <w:szCs w:val="22"/>
              </w:rPr>
              <w:t>OR (95% CI)</w:t>
            </w:r>
            <w:r w:rsidR="00A52AE9" w:rsidRPr="00EA6A2A">
              <w:rPr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260" w:type="dxa"/>
            <w:vMerge w:val="restart"/>
            <w:tcBorders>
              <w:top w:val="single" w:sz="18" w:space="0" w:color="000000" w:themeColor="text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A3C4DBA" w14:textId="77777777" w:rsidR="00F752FE" w:rsidRPr="00EA6A2A" w:rsidRDefault="00F752FE" w:rsidP="009C0E5B">
            <w:pPr>
              <w:contextualSpacing/>
              <w:rPr>
                <w:b/>
                <w:bCs/>
                <w:sz w:val="22"/>
                <w:szCs w:val="22"/>
              </w:rPr>
            </w:pPr>
            <w:r w:rsidRPr="00EA6A2A">
              <w:rPr>
                <w:b/>
                <w:bCs/>
                <w:sz w:val="22"/>
                <w:szCs w:val="22"/>
              </w:rPr>
              <w:t>P-value</w:t>
            </w:r>
          </w:p>
        </w:tc>
      </w:tr>
      <w:tr w:rsidR="00F752FE" w:rsidRPr="00EA6A2A" w14:paraId="14777AAF" w14:textId="77777777" w:rsidTr="009B73C6">
        <w:trPr>
          <w:trHeight w:val="131"/>
        </w:trPr>
        <w:tc>
          <w:tcPr>
            <w:tcW w:w="2430" w:type="dxa"/>
            <w:vMerge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6331072" w14:textId="77777777" w:rsidR="00F752FE" w:rsidRPr="00EA6A2A" w:rsidRDefault="00F752FE" w:rsidP="009C0E5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0ABA16" w14:textId="77777777" w:rsidR="00F752FE" w:rsidRPr="00EA6A2A" w:rsidRDefault="00F752FE" w:rsidP="009C0E5B">
            <w:pPr>
              <w:contextualSpacing/>
              <w:rPr>
                <w:b/>
                <w:bCs/>
                <w:sz w:val="22"/>
                <w:szCs w:val="22"/>
              </w:rPr>
            </w:pPr>
            <w:r w:rsidRPr="00EA6A2A">
              <w:rPr>
                <w:b/>
                <w:bCs/>
                <w:sz w:val="22"/>
                <w:szCs w:val="22"/>
              </w:rPr>
              <w:t xml:space="preserve">Comorbid FS </w:t>
            </w:r>
          </w:p>
          <w:p w14:paraId="26919B36" w14:textId="77777777" w:rsidR="00F752FE" w:rsidRPr="00EA6A2A" w:rsidRDefault="00F752FE" w:rsidP="009C0E5B">
            <w:pPr>
              <w:contextualSpacing/>
              <w:rPr>
                <w:b/>
                <w:bCs/>
                <w:sz w:val="22"/>
                <w:szCs w:val="22"/>
              </w:rPr>
            </w:pPr>
            <w:r w:rsidRPr="00EA6A2A">
              <w:rPr>
                <w:b/>
                <w:bCs/>
                <w:sz w:val="22"/>
                <w:szCs w:val="22"/>
              </w:rPr>
              <w:t>N=47</w:t>
            </w:r>
          </w:p>
        </w:tc>
        <w:tc>
          <w:tcPr>
            <w:tcW w:w="1440" w:type="dxa"/>
            <w:tcBorders>
              <w:bottom w:val="single" w:sz="6" w:space="0" w:color="000000" w:themeColor="text1"/>
            </w:tcBorders>
            <w:shd w:val="clear" w:color="auto" w:fill="FFFFFF" w:themeFill="background1"/>
          </w:tcPr>
          <w:p w14:paraId="3AFC2974" w14:textId="77777777" w:rsidR="00F752FE" w:rsidRPr="00EA6A2A" w:rsidRDefault="00F752FE" w:rsidP="009C0E5B">
            <w:pPr>
              <w:contextualSpacing/>
              <w:rPr>
                <w:b/>
                <w:bCs/>
                <w:sz w:val="22"/>
                <w:szCs w:val="22"/>
              </w:rPr>
            </w:pPr>
            <w:r w:rsidRPr="00EA6A2A">
              <w:rPr>
                <w:b/>
                <w:bCs/>
                <w:sz w:val="22"/>
                <w:szCs w:val="22"/>
              </w:rPr>
              <w:t>No FS</w:t>
            </w:r>
          </w:p>
          <w:p w14:paraId="76CF21E0" w14:textId="77777777" w:rsidR="00F752FE" w:rsidRPr="00EA6A2A" w:rsidRDefault="00F752FE" w:rsidP="009C0E5B">
            <w:pPr>
              <w:contextualSpacing/>
              <w:rPr>
                <w:b/>
                <w:bCs/>
                <w:sz w:val="22"/>
                <w:szCs w:val="22"/>
              </w:rPr>
            </w:pPr>
            <w:r w:rsidRPr="00EA6A2A">
              <w:rPr>
                <w:b/>
                <w:bCs/>
                <w:sz w:val="22"/>
                <w:szCs w:val="22"/>
              </w:rPr>
              <w:t>N=45</w:t>
            </w:r>
          </w:p>
        </w:tc>
        <w:tc>
          <w:tcPr>
            <w:tcW w:w="2340" w:type="dxa"/>
            <w:vMerge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3538D4F" w14:textId="77777777" w:rsidR="00F752FE" w:rsidRPr="00EA6A2A" w:rsidRDefault="00F752FE" w:rsidP="009C0E5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60B7C9" w14:textId="77777777" w:rsidR="00F752FE" w:rsidRPr="00EA6A2A" w:rsidRDefault="00F752FE" w:rsidP="009C0E5B">
            <w:pPr>
              <w:contextualSpacing/>
              <w:rPr>
                <w:sz w:val="22"/>
                <w:szCs w:val="22"/>
              </w:rPr>
            </w:pPr>
          </w:p>
        </w:tc>
      </w:tr>
      <w:tr w:rsidR="00F752FE" w:rsidRPr="00EA6A2A" w14:paraId="56F279DF" w14:textId="77777777" w:rsidTr="00400F1C">
        <w:trPr>
          <w:trHeight w:val="378"/>
        </w:trPr>
        <w:tc>
          <w:tcPr>
            <w:tcW w:w="2430" w:type="dxa"/>
            <w:tcBorders>
              <w:top w:val="single" w:sz="6" w:space="0" w:color="000000" w:themeColor="text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60CF6" w14:textId="0B6D34B1" w:rsidR="00F752FE" w:rsidRPr="00EA6A2A" w:rsidRDefault="001909B3" w:rsidP="009C0E5B">
            <w:pPr>
              <w:contextualSpacing/>
              <w:rPr>
                <w:sz w:val="22"/>
                <w:szCs w:val="22"/>
              </w:rPr>
            </w:pPr>
            <w:r w:rsidRPr="00EA6A2A">
              <w:rPr>
                <w:sz w:val="22"/>
                <w:szCs w:val="22"/>
              </w:rPr>
              <w:t>Suspected or definite functional seizures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7EBDDC8" w14:textId="1572DE4F" w:rsidR="00F752FE" w:rsidRPr="00EA6A2A" w:rsidRDefault="0041214B" w:rsidP="009C0E5B">
            <w:pPr>
              <w:contextualSpacing/>
              <w:rPr>
                <w:sz w:val="22"/>
                <w:szCs w:val="22"/>
              </w:rPr>
            </w:pPr>
            <w:r w:rsidRPr="00EA6A2A">
              <w:rPr>
                <w:sz w:val="22"/>
                <w:szCs w:val="22"/>
              </w:rPr>
              <w:t>10 (21.3%)</w:t>
            </w:r>
          </w:p>
        </w:tc>
        <w:tc>
          <w:tcPr>
            <w:tcW w:w="1440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3EA82623" w14:textId="68827435" w:rsidR="00F752FE" w:rsidRPr="00EA6A2A" w:rsidRDefault="00906D3D" w:rsidP="009C0E5B">
            <w:pPr>
              <w:contextualSpacing/>
              <w:rPr>
                <w:sz w:val="22"/>
                <w:szCs w:val="22"/>
              </w:rPr>
            </w:pPr>
            <w:r w:rsidRPr="00EA6A2A">
              <w:rPr>
                <w:sz w:val="22"/>
                <w:szCs w:val="22"/>
              </w:rPr>
              <w:t>0</w:t>
            </w:r>
          </w:p>
        </w:tc>
        <w:tc>
          <w:tcPr>
            <w:tcW w:w="2340" w:type="dxa"/>
            <w:tcBorders>
              <w:top w:val="single" w:sz="6" w:space="0" w:color="000000" w:themeColor="text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CBD672" w14:textId="4346A514" w:rsidR="00F752FE" w:rsidRPr="00EA6A2A" w:rsidRDefault="00906D3D" w:rsidP="009C0E5B">
            <w:pPr>
              <w:contextualSpacing/>
              <w:rPr>
                <w:sz w:val="22"/>
                <w:szCs w:val="22"/>
              </w:rPr>
            </w:pPr>
            <w:r w:rsidRPr="00EA6A2A">
              <w:rPr>
                <w:sz w:val="22"/>
                <w:szCs w:val="22"/>
              </w:rPr>
              <w:t>N/A</w:t>
            </w:r>
          </w:p>
        </w:tc>
        <w:tc>
          <w:tcPr>
            <w:tcW w:w="1260" w:type="dxa"/>
            <w:tcBorders>
              <w:top w:val="single" w:sz="6" w:space="0" w:color="000000" w:themeColor="text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EEA310" w14:textId="04934711" w:rsidR="00F752FE" w:rsidRPr="00EA6A2A" w:rsidRDefault="00906D3D" w:rsidP="009C0E5B">
            <w:pPr>
              <w:contextualSpacing/>
              <w:rPr>
                <w:sz w:val="22"/>
                <w:szCs w:val="22"/>
              </w:rPr>
            </w:pPr>
            <w:r w:rsidRPr="00EA6A2A">
              <w:rPr>
                <w:sz w:val="22"/>
                <w:szCs w:val="22"/>
              </w:rPr>
              <w:t>N/A</w:t>
            </w:r>
          </w:p>
        </w:tc>
      </w:tr>
      <w:tr w:rsidR="00F752FE" w:rsidRPr="00EA6A2A" w14:paraId="7D6DFF15" w14:textId="77777777" w:rsidTr="00400F1C">
        <w:trPr>
          <w:trHeight w:val="213"/>
        </w:trPr>
        <w:tc>
          <w:tcPr>
            <w:tcW w:w="243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A50C8" w14:textId="7A35417A" w:rsidR="00F752FE" w:rsidRPr="00EA6A2A" w:rsidRDefault="001909B3" w:rsidP="009C0E5B">
            <w:pPr>
              <w:contextualSpacing/>
              <w:rPr>
                <w:sz w:val="22"/>
                <w:szCs w:val="22"/>
              </w:rPr>
            </w:pPr>
            <w:r w:rsidRPr="00EA6A2A">
              <w:rPr>
                <w:sz w:val="22"/>
                <w:szCs w:val="22"/>
              </w:rPr>
              <w:t>Definite functional seizures</w:t>
            </w:r>
          </w:p>
        </w:tc>
        <w:tc>
          <w:tcPr>
            <w:tcW w:w="1620" w:type="dxa"/>
            <w:shd w:val="clear" w:color="auto" w:fill="FFFFFF" w:themeFill="background1"/>
          </w:tcPr>
          <w:p w14:paraId="6B39CA4B" w14:textId="208961A9" w:rsidR="00F752FE" w:rsidRPr="00EA6A2A" w:rsidRDefault="00E65EE0" w:rsidP="009C0E5B">
            <w:pPr>
              <w:contextualSpacing/>
              <w:rPr>
                <w:sz w:val="22"/>
                <w:szCs w:val="22"/>
              </w:rPr>
            </w:pPr>
            <w:r w:rsidRPr="00EA6A2A">
              <w:rPr>
                <w:sz w:val="22"/>
                <w:szCs w:val="22"/>
              </w:rPr>
              <w:t>4</w:t>
            </w:r>
            <w:r w:rsidR="00906D3D" w:rsidRPr="00EA6A2A">
              <w:rPr>
                <w:sz w:val="22"/>
                <w:szCs w:val="22"/>
              </w:rPr>
              <w:t xml:space="preserve"> (8.5%)</w:t>
            </w:r>
          </w:p>
        </w:tc>
        <w:tc>
          <w:tcPr>
            <w:tcW w:w="1440" w:type="dxa"/>
            <w:shd w:val="clear" w:color="auto" w:fill="FFFFFF" w:themeFill="background1"/>
          </w:tcPr>
          <w:p w14:paraId="23127D95" w14:textId="3FC7A144" w:rsidR="00F752FE" w:rsidRPr="00EA6A2A" w:rsidRDefault="00906D3D" w:rsidP="009C0E5B">
            <w:pPr>
              <w:contextualSpacing/>
              <w:rPr>
                <w:sz w:val="22"/>
                <w:szCs w:val="22"/>
              </w:rPr>
            </w:pPr>
            <w:r w:rsidRPr="00EA6A2A">
              <w:rPr>
                <w:sz w:val="22"/>
                <w:szCs w:val="22"/>
              </w:rPr>
              <w:t>0</w:t>
            </w:r>
          </w:p>
        </w:tc>
        <w:tc>
          <w:tcPr>
            <w:tcW w:w="234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688AFB" w14:textId="4484FBF4" w:rsidR="00F752FE" w:rsidRPr="00EA6A2A" w:rsidRDefault="00906D3D" w:rsidP="009C0E5B">
            <w:pPr>
              <w:contextualSpacing/>
              <w:rPr>
                <w:sz w:val="22"/>
                <w:szCs w:val="22"/>
              </w:rPr>
            </w:pPr>
            <w:r w:rsidRPr="00EA6A2A">
              <w:rPr>
                <w:sz w:val="22"/>
                <w:szCs w:val="22"/>
              </w:rPr>
              <w:t>N/A</w:t>
            </w:r>
          </w:p>
        </w:tc>
        <w:tc>
          <w:tcPr>
            <w:tcW w:w="126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A88E76" w14:textId="4347F645" w:rsidR="00F752FE" w:rsidRPr="00EA6A2A" w:rsidRDefault="00906D3D" w:rsidP="009C0E5B">
            <w:pPr>
              <w:contextualSpacing/>
              <w:rPr>
                <w:sz w:val="22"/>
                <w:szCs w:val="22"/>
              </w:rPr>
            </w:pPr>
            <w:r w:rsidRPr="00EA6A2A">
              <w:rPr>
                <w:sz w:val="22"/>
                <w:szCs w:val="22"/>
              </w:rPr>
              <w:t>N/A</w:t>
            </w:r>
          </w:p>
        </w:tc>
      </w:tr>
      <w:tr w:rsidR="00F752FE" w:rsidRPr="00EA6A2A" w14:paraId="33A7A6F2" w14:textId="77777777" w:rsidTr="008A598E">
        <w:trPr>
          <w:trHeight w:val="420"/>
        </w:trPr>
        <w:tc>
          <w:tcPr>
            <w:tcW w:w="243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FCDFF" w14:textId="092B129A" w:rsidR="00F752FE" w:rsidRPr="00EA6A2A" w:rsidRDefault="001909B3" w:rsidP="009C0E5B">
            <w:pPr>
              <w:contextualSpacing/>
              <w:rPr>
                <w:sz w:val="22"/>
                <w:szCs w:val="22"/>
              </w:rPr>
            </w:pPr>
            <w:r w:rsidRPr="00EA6A2A">
              <w:rPr>
                <w:sz w:val="22"/>
                <w:szCs w:val="22"/>
              </w:rPr>
              <w:t>Suicid</w:t>
            </w:r>
            <w:r w:rsidR="00A52AE9" w:rsidRPr="00EA6A2A">
              <w:rPr>
                <w:sz w:val="22"/>
                <w:szCs w:val="22"/>
              </w:rPr>
              <w:t>al ideation</w:t>
            </w:r>
          </w:p>
        </w:tc>
        <w:tc>
          <w:tcPr>
            <w:tcW w:w="1620" w:type="dxa"/>
            <w:shd w:val="clear" w:color="auto" w:fill="FFFFFF" w:themeFill="background1"/>
          </w:tcPr>
          <w:p w14:paraId="47EEBC21" w14:textId="16630B4D" w:rsidR="00F752FE" w:rsidRPr="00EA6A2A" w:rsidRDefault="00DF628C" w:rsidP="009C0E5B">
            <w:pPr>
              <w:contextualSpacing/>
              <w:rPr>
                <w:sz w:val="22"/>
                <w:szCs w:val="22"/>
              </w:rPr>
            </w:pPr>
            <w:r w:rsidRPr="00EA6A2A">
              <w:rPr>
                <w:sz w:val="22"/>
                <w:szCs w:val="22"/>
              </w:rPr>
              <w:t>18 (38.3%)</w:t>
            </w:r>
          </w:p>
        </w:tc>
        <w:tc>
          <w:tcPr>
            <w:tcW w:w="1440" w:type="dxa"/>
            <w:shd w:val="clear" w:color="auto" w:fill="FFFFFF" w:themeFill="background1"/>
          </w:tcPr>
          <w:p w14:paraId="2CB407A5" w14:textId="0EE17546" w:rsidR="00F752FE" w:rsidRPr="00EA6A2A" w:rsidRDefault="00DF628C" w:rsidP="009C0E5B">
            <w:pPr>
              <w:contextualSpacing/>
              <w:rPr>
                <w:sz w:val="22"/>
                <w:szCs w:val="22"/>
              </w:rPr>
            </w:pPr>
            <w:r w:rsidRPr="00EA6A2A">
              <w:rPr>
                <w:sz w:val="22"/>
                <w:szCs w:val="22"/>
              </w:rPr>
              <w:t>2</w:t>
            </w:r>
            <w:r w:rsidR="009F062A">
              <w:rPr>
                <w:sz w:val="22"/>
                <w:szCs w:val="22"/>
              </w:rPr>
              <w:t>1</w:t>
            </w:r>
            <w:r w:rsidRPr="00EA6A2A">
              <w:rPr>
                <w:sz w:val="22"/>
                <w:szCs w:val="22"/>
              </w:rPr>
              <w:t xml:space="preserve"> (4</w:t>
            </w:r>
            <w:r w:rsidR="009F062A">
              <w:rPr>
                <w:sz w:val="22"/>
                <w:szCs w:val="22"/>
              </w:rPr>
              <w:t>6</w:t>
            </w:r>
            <w:r w:rsidRPr="00EA6A2A">
              <w:rPr>
                <w:sz w:val="22"/>
                <w:szCs w:val="22"/>
              </w:rPr>
              <w:t>.</w:t>
            </w:r>
            <w:r w:rsidR="009F062A">
              <w:rPr>
                <w:sz w:val="22"/>
                <w:szCs w:val="22"/>
              </w:rPr>
              <w:t>7</w:t>
            </w:r>
            <w:r w:rsidRPr="00EA6A2A">
              <w:rPr>
                <w:sz w:val="22"/>
                <w:szCs w:val="22"/>
              </w:rPr>
              <w:t>%)</w:t>
            </w:r>
          </w:p>
        </w:tc>
        <w:tc>
          <w:tcPr>
            <w:tcW w:w="234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960DA0" w14:textId="64223234" w:rsidR="00F752FE" w:rsidRPr="00EA6A2A" w:rsidRDefault="000F5728" w:rsidP="009C0E5B">
            <w:pPr>
              <w:contextualSpacing/>
              <w:rPr>
                <w:sz w:val="22"/>
                <w:szCs w:val="22"/>
              </w:rPr>
            </w:pPr>
            <w:r w:rsidRPr="00EA6A2A">
              <w:rPr>
                <w:sz w:val="22"/>
                <w:szCs w:val="22"/>
              </w:rPr>
              <w:t>0.</w:t>
            </w:r>
            <w:r w:rsidR="009F062A">
              <w:rPr>
                <w:sz w:val="22"/>
                <w:szCs w:val="22"/>
              </w:rPr>
              <w:t>71</w:t>
            </w:r>
            <w:r w:rsidRPr="00EA6A2A">
              <w:rPr>
                <w:sz w:val="22"/>
                <w:szCs w:val="22"/>
              </w:rPr>
              <w:t xml:space="preserve"> (0.</w:t>
            </w:r>
            <w:r w:rsidR="009F062A">
              <w:rPr>
                <w:sz w:val="22"/>
                <w:szCs w:val="22"/>
              </w:rPr>
              <w:t>31</w:t>
            </w:r>
            <w:r w:rsidRPr="00EA6A2A">
              <w:rPr>
                <w:sz w:val="22"/>
                <w:szCs w:val="22"/>
              </w:rPr>
              <w:t>-1.</w:t>
            </w:r>
            <w:r w:rsidR="009F062A">
              <w:rPr>
                <w:sz w:val="22"/>
                <w:szCs w:val="22"/>
              </w:rPr>
              <w:t>64</w:t>
            </w:r>
            <w:r w:rsidRPr="00EA6A2A"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956DF2" w14:textId="09CBE9ED" w:rsidR="00F752FE" w:rsidRPr="00EA6A2A" w:rsidRDefault="000F5728" w:rsidP="009C0E5B">
            <w:pPr>
              <w:contextualSpacing/>
              <w:rPr>
                <w:sz w:val="22"/>
                <w:szCs w:val="22"/>
              </w:rPr>
            </w:pPr>
            <w:r w:rsidRPr="00EA6A2A">
              <w:rPr>
                <w:sz w:val="22"/>
                <w:szCs w:val="22"/>
              </w:rPr>
              <w:t>0.</w:t>
            </w:r>
            <w:r w:rsidR="009F062A">
              <w:rPr>
                <w:sz w:val="22"/>
                <w:szCs w:val="22"/>
              </w:rPr>
              <w:t>4</w:t>
            </w:r>
            <w:r w:rsidR="006D054F" w:rsidRPr="00EA6A2A">
              <w:rPr>
                <w:sz w:val="22"/>
                <w:szCs w:val="22"/>
              </w:rPr>
              <w:t>2</w:t>
            </w:r>
          </w:p>
        </w:tc>
      </w:tr>
      <w:tr w:rsidR="00A52AE9" w:rsidRPr="00EA6A2A" w14:paraId="54BFB07D" w14:textId="77777777" w:rsidTr="00400F1C">
        <w:trPr>
          <w:trHeight w:val="213"/>
        </w:trPr>
        <w:tc>
          <w:tcPr>
            <w:tcW w:w="2430" w:type="dxa"/>
            <w:tcBorders>
              <w:bottom w:val="single" w:sz="18" w:space="0" w:color="000000" w:themeColor="text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E9D21" w14:textId="67A00844" w:rsidR="00A52AE9" w:rsidRPr="00EA6A2A" w:rsidRDefault="00A52AE9" w:rsidP="00A52AE9">
            <w:pPr>
              <w:contextualSpacing/>
              <w:rPr>
                <w:sz w:val="22"/>
                <w:szCs w:val="22"/>
              </w:rPr>
            </w:pPr>
            <w:r w:rsidRPr="00EA6A2A">
              <w:rPr>
                <w:sz w:val="22"/>
                <w:szCs w:val="22"/>
              </w:rPr>
              <w:t>Suicide attempt or self-injurious behavior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  <w:shd w:val="clear" w:color="auto" w:fill="FFFFFF" w:themeFill="background1"/>
          </w:tcPr>
          <w:p w14:paraId="686EE4B6" w14:textId="0E3CA1FB" w:rsidR="00A52AE9" w:rsidRPr="00EA6A2A" w:rsidRDefault="009F062A" w:rsidP="00A52AE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F628C" w:rsidRPr="00EA6A2A">
              <w:rPr>
                <w:sz w:val="22"/>
                <w:szCs w:val="22"/>
              </w:rPr>
              <w:t xml:space="preserve"> (1</w:t>
            </w:r>
            <w:r>
              <w:rPr>
                <w:sz w:val="22"/>
                <w:szCs w:val="22"/>
              </w:rPr>
              <w:t>7</w:t>
            </w:r>
            <w:r w:rsidR="00DF628C" w:rsidRPr="00EA6A2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DF628C" w:rsidRPr="00EA6A2A">
              <w:rPr>
                <w:sz w:val="22"/>
                <w:szCs w:val="22"/>
              </w:rPr>
              <w:t>%)</w:t>
            </w:r>
          </w:p>
        </w:tc>
        <w:tc>
          <w:tcPr>
            <w:tcW w:w="1440" w:type="dxa"/>
            <w:tcBorders>
              <w:bottom w:val="single" w:sz="18" w:space="0" w:color="000000" w:themeColor="text1"/>
            </w:tcBorders>
            <w:shd w:val="clear" w:color="auto" w:fill="FFFFFF" w:themeFill="background1"/>
          </w:tcPr>
          <w:p w14:paraId="01490ABD" w14:textId="0C08508C" w:rsidR="00A52AE9" w:rsidRPr="00EA6A2A" w:rsidRDefault="00345218" w:rsidP="00A52AE9">
            <w:pPr>
              <w:contextualSpacing/>
              <w:rPr>
                <w:sz w:val="22"/>
                <w:szCs w:val="22"/>
              </w:rPr>
            </w:pPr>
            <w:r w:rsidRPr="00EA6A2A">
              <w:rPr>
                <w:sz w:val="22"/>
                <w:szCs w:val="22"/>
              </w:rPr>
              <w:t>3 (6.7%)</w:t>
            </w:r>
          </w:p>
        </w:tc>
        <w:tc>
          <w:tcPr>
            <w:tcW w:w="2340" w:type="dxa"/>
            <w:tcBorders>
              <w:bottom w:val="single" w:sz="18" w:space="0" w:color="000000" w:themeColor="text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2DA85C" w14:textId="309E9FF1" w:rsidR="00A52AE9" w:rsidRPr="00EA6A2A" w:rsidRDefault="000F5728" w:rsidP="00A52AE9">
            <w:pPr>
              <w:contextualSpacing/>
              <w:rPr>
                <w:sz w:val="22"/>
                <w:szCs w:val="22"/>
              </w:rPr>
            </w:pPr>
            <w:r w:rsidRPr="00EA6A2A">
              <w:rPr>
                <w:sz w:val="22"/>
                <w:szCs w:val="22"/>
              </w:rPr>
              <w:t>2.</w:t>
            </w:r>
            <w:r w:rsidR="009F062A">
              <w:rPr>
                <w:sz w:val="22"/>
                <w:szCs w:val="22"/>
              </w:rPr>
              <w:t>90</w:t>
            </w:r>
            <w:r w:rsidRPr="00EA6A2A">
              <w:rPr>
                <w:sz w:val="22"/>
                <w:szCs w:val="22"/>
              </w:rPr>
              <w:t xml:space="preserve"> (0.</w:t>
            </w:r>
            <w:r w:rsidR="009F062A">
              <w:rPr>
                <w:sz w:val="22"/>
                <w:szCs w:val="22"/>
              </w:rPr>
              <w:t>71</w:t>
            </w:r>
            <w:r w:rsidRPr="00EA6A2A">
              <w:rPr>
                <w:sz w:val="22"/>
                <w:szCs w:val="22"/>
              </w:rPr>
              <w:t>-1</w:t>
            </w:r>
            <w:r w:rsidR="009F062A">
              <w:rPr>
                <w:sz w:val="22"/>
                <w:szCs w:val="22"/>
              </w:rPr>
              <w:t>1</w:t>
            </w:r>
            <w:r w:rsidRPr="00EA6A2A">
              <w:rPr>
                <w:sz w:val="22"/>
                <w:szCs w:val="22"/>
              </w:rPr>
              <w:t>.</w:t>
            </w:r>
            <w:r w:rsidR="009F062A">
              <w:rPr>
                <w:sz w:val="22"/>
                <w:szCs w:val="22"/>
              </w:rPr>
              <w:t>80</w:t>
            </w:r>
            <w:r w:rsidRPr="00EA6A2A"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bottom w:val="single" w:sz="18" w:space="0" w:color="000000" w:themeColor="text1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A0B7FF" w14:textId="04370397" w:rsidR="00A52AE9" w:rsidRPr="00EA6A2A" w:rsidRDefault="000F5728" w:rsidP="00A52AE9">
            <w:pPr>
              <w:contextualSpacing/>
              <w:rPr>
                <w:sz w:val="22"/>
                <w:szCs w:val="22"/>
              </w:rPr>
            </w:pPr>
            <w:r w:rsidRPr="00EA6A2A">
              <w:rPr>
                <w:sz w:val="22"/>
                <w:szCs w:val="22"/>
              </w:rPr>
              <w:t>0.</w:t>
            </w:r>
            <w:r w:rsidR="009F062A">
              <w:rPr>
                <w:sz w:val="22"/>
                <w:szCs w:val="22"/>
              </w:rPr>
              <w:t>14</w:t>
            </w:r>
          </w:p>
        </w:tc>
      </w:tr>
    </w:tbl>
    <w:p w14:paraId="58E2992E" w14:textId="23D5A1D9" w:rsidR="00F752FE" w:rsidRPr="00EA6A2A" w:rsidRDefault="00F752FE" w:rsidP="00F752FE">
      <w:pPr>
        <w:contextualSpacing/>
        <w:rPr>
          <w:sz w:val="22"/>
          <w:szCs w:val="22"/>
        </w:rPr>
      </w:pPr>
    </w:p>
    <w:p w14:paraId="081B5786" w14:textId="04D48721" w:rsidR="00F752FE" w:rsidRPr="00EA6A2A" w:rsidRDefault="00A52AE9" w:rsidP="00F752FE">
      <w:pPr>
        <w:contextualSpacing/>
        <w:rPr>
          <w:sz w:val="22"/>
          <w:szCs w:val="22"/>
        </w:rPr>
      </w:pPr>
      <w:proofErr w:type="spellStart"/>
      <w:r w:rsidRPr="00EA6A2A">
        <w:rPr>
          <w:color w:val="000000"/>
          <w:sz w:val="22"/>
          <w:szCs w:val="22"/>
          <w:vertAlign w:val="superscript"/>
        </w:rPr>
        <w:t>a</w:t>
      </w:r>
      <w:proofErr w:type="spellEnd"/>
      <w:r w:rsidR="00857F82" w:rsidRPr="00EA6A2A">
        <w:rPr>
          <w:color w:val="000000"/>
          <w:sz w:val="22"/>
          <w:szCs w:val="22"/>
          <w:vertAlign w:val="superscript"/>
        </w:rPr>
        <w:t xml:space="preserve"> </w:t>
      </w:r>
      <w:r w:rsidR="00F752FE" w:rsidRPr="00EA6A2A">
        <w:rPr>
          <w:color w:val="000000"/>
          <w:sz w:val="22"/>
          <w:szCs w:val="22"/>
        </w:rPr>
        <w:t>All regressions were adjusted for sex and age at first psychosis diagnosis code.</w:t>
      </w:r>
    </w:p>
    <w:p w14:paraId="1B25E689" w14:textId="5D45C774" w:rsidR="00F752FE" w:rsidRPr="00F752FE" w:rsidRDefault="00F752FE">
      <w:pPr>
        <w:spacing w:after="160" w:line="259" w:lineRule="auto"/>
      </w:pPr>
      <w:r>
        <w:rPr>
          <w:b/>
          <w:bCs/>
        </w:rPr>
        <w:br w:type="page"/>
      </w:r>
    </w:p>
    <w:p w14:paraId="3CF92847" w14:textId="0F99D24F" w:rsidR="00DB7A6B" w:rsidRPr="00C421FF" w:rsidRDefault="006745CC" w:rsidP="00DB7A6B">
      <w:proofErr w:type="spellStart"/>
      <w:r>
        <w:rPr>
          <w:b/>
          <w:bCs/>
        </w:rPr>
        <w:lastRenderedPageBreak/>
        <w:t>eFigure</w:t>
      </w:r>
      <w:proofErr w:type="spellEnd"/>
      <w:r>
        <w:rPr>
          <w:b/>
          <w:bCs/>
        </w:rPr>
        <w:t xml:space="preserve"> 1. </w:t>
      </w:r>
      <w:r w:rsidR="00C421FF">
        <w:t xml:space="preserve">Survival </w:t>
      </w:r>
      <w:r w:rsidR="009F3C24">
        <w:t>probability after index psychosis diagnosis</w:t>
      </w:r>
      <w:r w:rsidR="00D00A2D">
        <w:t xml:space="preserve"> by patient group</w:t>
      </w:r>
    </w:p>
    <w:p w14:paraId="50128E93" w14:textId="77777777" w:rsidR="006745CC" w:rsidRDefault="006745CC" w:rsidP="00DB7A6B"/>
    <w:p w14:paraId="2B410CA6" w14:textId="5E0F1C34" w:rsidR="006745CC" w:rsidRPr="006745CC" w:rsidRDefault="009C6CEC" w:rsidP="00DB7A6B">
      <w:r w:rsidRPr="009C6CEC">
        <w:rPr>
          <w:noProof/>
        </w:rPr>
        <w:drawing>
          <wp:inline distT="0" distB="0" distL="0" distR="0" wp14:anchorId="04B9EE68" wp14:editId="793B6EF7">
            <wp:extent cx="5943600" cy="4446270"/>
            <wp:effectExtent l="0" t="0" r="0" b="0"/>
            <wp:docPr id="1008580178" name="Picture 1" descr="A graph of a number of patie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580178" name="Picture 1" descr="A graph of a number of patient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4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BE24F" w14:textId="7EE17812" w:rsidR="00296F5E" w:rsidRDefault="00296F5E" w:rsidP="00DB7A6B"/>
    <w:p w14:paraId="5DD1B042" w14:textId="705253F0" w:rsidR="0012532D" w:rsidRPr="00EA6A2A" w:rsidRDefault="00630F77" w:rsidP="00DB7A6B">
      <w:pPr>
        <w:rPr>
          <w:sz w:val="22"/>
          <w:szCs w:val="22"/>
        </w:rPr>
      </w:pPr>
      <w:r w:rsidRPr="00EA6A2A">
        <w:rPr>
          <w:sz w:val="22"/>
          <w:szCs w:val="22"/>
        </w:rPr>
        <w:t>Survival time</w:t>
      </w:r>
      <w:r w:rsidR="000D216C" w:rsidRPr="00EA6A2A">
        <w:rPr>
          <w:sz w:val="22"/>
          <w:szCs w:val="22"/>
        </w:rPr>
        <w:t xml:space="preserve"> after the earliest psychosis diagnostic code was assessed in those with </w:t>
      </w:r>
      <w:r w:rsidR="0089716F" w:rsidRPr="00EA6A2A">
        <w:rPr>
          <w:sz w:val="22"/>
          <w:szCs w:val="22"/>
        </w:rPr>
        <w:t xml:space="preserve">comorbid functional seizures and psychosis (comorbid FS) versus those with psychosis only (no FS). </w:t>
      </w:r>
      <w:r w:rsidR="00607629" w:rsidRPr="00EA6A2A">
        <w:rPr>
          <w:sz w:val="22"/>
          <w:szCs w:val="22"/>
        </w:rPr>
        <w:t>Multivariable C</w:t>
      </w:r>
      <w:r w:rsidR="00CE3060" w:rsidRPr="00EA6A2A">
        <w:rPr>
          <w:sz w:val="22"/>
          <w:szCs w:val="22"/>
        </w:rPr>
        <w:t xml:space="preserve">ox proportional hazards models were </w:t>
      </w:r>
      <w:r w:rsidR="00824782" w:rsidRPr="00EA6A2A">
        <w:rPr>
          <w:sz w:val="22"/>
          <w:szCs w:val="22"/>
        </w:rPr>
        <w:t>fit with covariates for FS status, age at index diagnosis, and sex</w:t>
      </w:r>
      <w:r w:rsidR="00607629" w:rsidRPr="00EA6A2A">
        <w:rPr>
          <w:sz w:val="22"/>
          <w:szCs w:val="22"/>
        </w:rPr>
        <w:t>.</w:t>
      </w:r>
      <w:r w:rsidR="00053FE7" w:rsidRPr="00EA6A2A">
        <w:rPr>
          <w:sz w:val="22"/>
          <w:szCs w:val="22"/>
        </w:rPr>
        <w:t xml:space="preserve"> No significant differences in survival time were observed between groups (</w:t>
      </w:r>
      <w:r w:rsidR="0009164C" w:rsidRPr="00EA6A2A">
        <w:rPr>
          <w:sz w:val="22"/>
          <w:szCs w:val="22"/>
        </w:rPr>
        <w:t>hazard ratio = 1.41, 95% CI</w:t>
      </w:r>
      <w:r w:rsidR="00A636C8" w:rsidRPr="00EA6A2A">
        <w:rPr>
          <w:sz w:val="22"/>
          <w:szCs w:val="22"/>
        </w:rPr>
        <w:t>=</w:t>
      </w:r>
      <w:r w:rsidR="0009164C" w:rsidRPr="00EA6A2A">
        <w:rPr>
          <w:sz w:val="22"/>
          <w:szCs w:val="22"/>
        </w:rPr>
        <w:t xml:space="preserve"> 0.92-2.15, p=0.12</w:t>
      </w:r>
      <w:r w:rsidR="00053FE7" w:rsidRPr="00EA6A2A">
        <w:rPr>
          <w:sz w:val="22"/>
          <w:szCs w:val="22"/>
        </w:rPr>
        <w:t xml:space="preserve">). </w:t>
      </w:r>
      <w:r w:rsidR="00607629" w:rsidRPr="00EA6A2A">
        <w:rPr>
          <w:sz w:val="22"/>
          <w:szCs w:val="22"/>
        </w:rPr>
        <w:t xml:space="preserve"> </w:t>
      </w:r>
      <w:r w:rsidR="00C3042F" w:rsidRPr="00EA6A2A">
        <w:rPr>
          <w:sz w:val="22"/>
          <w:szCs w:val="22"/>
        </w:rPr>
        <w:t>Predicted s</w:t>
      </w:r>
      <w:r w:rsidR="00607629" w:rsidRPr="00EA6A2A">
        <w:rPr>
          <w:sz w:val="22"/>
          <w:szCs w:val="22"/>
        </w:rPr>
        <w:t xml:space="preserve">urvival curves </w:t>
      </w:r>
      <w:r w:rsidR="000C27DC" w:rsidRPr="00EA6A2A">
        <w:rPr>
          <w:sz w:val="22"/>
          <w:szCs w:val="22"/>
        </w:rPr>
        <w:t>for each patient group were generated using</w:t>
      </w:r>
      <w:r w:rsidR="00E22C01" w:rsidRPr="00EA6A2A">
        <w:rPr>
          <w:sz w:val="22"/>
          <w:szCs w:val="22"/>
        </w:rPr>
        <w:t xml:space="preserve"> </w:t>
      </w:r>
      <w:r w:rsidR="00A93BF0" w:rsidRPr="00EA6A2A">
        <w:rPr>
          <w:sz w:val="22"/>
          <w:szCs w:val="22"/>
        </w:rPr>
        <w:t>th</w:t>
      </w:r>
      <w:r w:rsidR="009F004C" w:rsidRPr="00EA6A2A">
        <w:rPr>
          <w:sz w:val="22"/>
          <w:szCs w:val="22"/>
        </w:rPr>
        <w:t>e average age at index diagnosis (</w:t>
      </w:r>
      <w:r w:rsidR="00240E90" w:rsidRPr="00EA6A2A">
        <w:rPr>
          <w:sz w:val="22"/>
          <w:szCs w:val="22"/>
        </w:rPr>
        <w:t>41.8 years</w:t>
      </w:r>
      <w:r w:rsidR="009F004C" w:rsidRPr="00EA6A2A">
        <w:rPr>
          <w:sz w:val="22"/>
          <w:szCs w:val="22"/>
        </w:rPr>
        <w:t>) and proportion of males (</w:t>
      </w:r>
      <w:r w:rsidR="00240E90" w:rsidRPr="00EA6A2A">
        <w:rPr>
          <w:sz w:val="22"/>
          <w:szCs w:val="22"/>
        </w:rPr>
        <w:t>48.4%</w:t>
      </w:r>
      <w:r w:rsidR="009F004C" w:rsidRPr="00EA6A2A">
        <w:rPr>
          <w:sz w:val="22"/>
          <w:szCs w:val="22"/>
        </w:rPr>
        <w:t>)</w:t>
      </w:r>
      <w:r w:rsidR="00240E90" w:rsidRPr="00EA6A2A">
        <w:rPr>
          <w:sz w:val="22"/>
          <w:szCs w:val="22"/>
        </w:rPr>
        <w:t xml:space="preserve"> as the age and sex covariates, respectively.</w:t>
      </w:r>
    </w:p>
    <w:p w14:paraId="2A0B8BD0" w14:textId="77777777" w:rsidR="0012532D" w:rsidRDefault="0012532D">
      <w:pPr>
        <w:spacing w:after="160" w:line="259" w:lineRule="auto"/>
      </w:pPr>
      <w:r>
        <w:br w:type="page"/>
      </w:r>
    </w:p>
    <w:p w14:paraId="17FF84B4" w14:textId="4905826A" w:rsidR="0012532D" w:rsidRPr="00C421FF" w:rsidRDefault="0012532D" w:rsidP="0012532D">
      <w:proofErr w:type="spellStart"/>
      <w:r>
        <w:rPr>
          <w:b/>
          <w:bCs/>
        </w:rPr>
        <w:lastRenderedPageBreak/>
        <w:t>eFigure</w:t>
      </w:r>
      <w:proofErr w:type="spellEnd"/>
      <w:r>
        <w:rPr>
          <w:b/>
          <w:bCs/>
        </w:rPr>
        <w:t xml:space="preserve"> </w:t>
      </w:r>
      <w:r w:rsidR="00ED472D">
        <w:rPr>
          <w:b/>
          <w:bCs/>
        </w:rPr>
        <w:t>2</w:t>
      </w:r>
      <w:r>
        <w:rPr>
          <w:b/>
          <w:bCs/>
        </w:rPr>
        <w:t xml:space="preserve">. </w:t>
      </w:r>
      <w:r>
        <w:t>Survival probability after index psychosis diagnosis by patient group</w:t>
      </w:r>
      <w:r w:rsidR="007907FE">
        <w:t>, stratified by sex</w:t>
      </w:r>
    </w:p>
    <w:p w14:paraId="4092B493" w14:textId="77777777" w:rsidR="0012532D" w:rsidRDefault="0012532D" w:rsidP="0012532D"/>
    <w:p w14:paraId="5726344E" w14:textId="25D7011C" w:rsidR="0012532D" w:rsidRPr="006745CC" w:rsidRDefault="00ED472D" w:rsidP="0012532D">
      <w:r w:rsidRPr="00ED472D">
        <w:rPr>
          <w:noProof/>
        </w:rPr>
        <w:drawing>
          <wp:inline distT="0" distB="0" distL="0" distR="0" wp14:anchorId="4452668A" wp14:editId="633C0915">
            <wp:extent cx="5943600" cy="5221691"/>
            <wp:effectExtent l="0" t="0" r="0" b="0"/>
            <wp:docPr id="1723893888" name="Picture 1" descr="A graph of a patient's disea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893888" name="Picture 1" descr="A graph of a patient's disease&#10;&#10;Description automatically generated"/>
                    <pic:cNvPicPr/>
                  </pic:nvPicPr>
                  <pic:blipFill rotWithShape="1">
                    <a:blip r:embed="rId9"/>
                    <a:srcRect t="782" b="1"/>
                    <a:stretch/>
                  </pic:blipFill>
                  <pic:spPr bwMode="auto">
                    <a:xfrm>
                      <a:off x="0" y="0"/>
                      <a:ext cx="5943600" cy="5221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B18A6C" w14:textId="77777777" w:rsidR="0012532D" w:rsidRDefault="0012532D" w:rsidP="0012532D"/>
    <w:p w14:paraId="1B389BE0" w14:textId="0624CD87" w:rsidR="000D216C" w:rsidRPr="00EA6A2A" w:rsidRDefault="0012532D" w:rsidP="00DB7A6B">
      <w:pPr>
        <w:rPr>
          <w:sz w:val="22"/>
          <w:szCs w:val="22"/>
        </w:rPr>
      </w:pPr>
      <w:r w:rsidRPr="00EA6A2A">
        <w:rPr>
          <w:sz w:val="22"/>
          <w:szCs w:val="22"/>
        </w:rPr>
        <w:t>Survival time after the earliest psychosis diagnostic code was assessed in those with comorbid functional seizures and psychosis (comorbid FS) versus those with psychosis only (no FS)</w:t>
      </w:r>
      <w:r w:rsidR="00ED472D" w:rsidRPr="00EA6A2A">
        <w:rPr>
          <w:sz w:val="22"/>
          <w:szCs w:val="22"/>
        </w:rPr>
        <w:t xml:space="preserve">, separately in </w:t>
      </w:r>
      <w:r w:rsidR="00065CFE" w:rsidRPr="00EA6A2A">
        <w:rPr>
          <w:sz w:val="22"/>
          <w:szCs w:val="22"/>
        </w:rPr>
        <w:t>females (</w:t>
      </w:r>
      <w:r w:rsidR="00065CFE" w:rsidRPr="00EA6A2A">
        <w:rPr>
          <w:b/>
          <w:bCs/>
          <w:sz w:val="22"/>
          <w:szCs w:val="22"/>
        </w:rPr>
        <w:t>A</w:t>
      </w:r>
      <w:r w:rsidR="00065CFE" w:rsidRPr="00EA6A2A">
        <w:rPr>
          <w:sz w:val="22"/>
          <w:szCs w:val="22"/>
        </w:rPr>
        <w:t>) and males (</w:t>
      </w:r>
      <w:r w:rsidR="00065CFE" w:rsidRPr="00EA6A2A">
        <w:rPr>
          <w:b/>
          <w:bCs/>
          <w:sz w:val="22"/>
          <w:szCs w:val="22"/>
        </w:rPr>
        <w:t>B</w:t>
      </w:r>
      <w:r w:rsidR="00065CFE" w:rsidRPr="00EA6A2A">
        <w:rPr>
          <w:sz w:val="22"/>
          <w:szCs w:val="22"/>
        </w:rPr>
        <w:t>)</w:t>
      </w:r>
      <w:r w:rsidRPr="00EA6A2A">
        <w:rPr>
          <w:sz w:val="22"/>
          <w:szCs w:val="22"/>
        </w:rPr>
        <w:t>. Multivariable Cox proportional hazards models were fit with covariates for FS status</w:t>
      </w:r>
      <w:r w:rsidR="00065CFE" w:rsidRPr="00EA6A2A">
        <w:rPr>
          <w:sz w:val="22"/>
          <w:szCs w:val="22"/>
        </w:rPr>
        <w:t xml:space="preserve"> and</w:t>
      </w:r>
      <w:r w:rsidRPr="00EA6A2A">
        <w:rPr>
          <w:sz w:val="22"/>
          <w:szCs w:val="22"/>
        </w:rPr>
        <w:t xml:space="preserve"> age at index diagnosis. No significant differences in survival time were observed between groups </w:t>
      </w:r>
      <w:r w:rsidR="00065CFE" w:rsidRPr="00EA6A2A">
        <w:rPr>
          <w:sz w:val="22"/>
          <w:szCs w:val="22"/>
        </w:rPr>
        <w:t xml:space="preserve">in </w:t>
      </w:r>
      <w:r w:rsidR="001D1193" w:rsidRPr="00EA6A2A">
        <w:rPr>
          <w:sz w:val="22"/>
          <w:szCs w:val="22"/>
        </w:rPr>
        <w:t>fe</w:t>
      </w:r>
      <w:r w:rsidR="00065CFE" w:rsidRPr="00EA6A2A">
        <w:rPr>
          <w:sz w:val="22"/>
          <w:szCs w:val="22"/>
        </w:rPr>
        <w:t xml:space="preserve">males </w:t>
      </w:r>
      <w:r w:rsidRPr="00EA6A2A">
        <w:rPr>
          <w:sz w:val="22"/>
          <w:szCs w:val="22"/>
        </w:rPr>
        <w:t xml:space="preserve">(hazard ratio = </w:t>
      </w:r>
      <w:r w:rsidR="004A5AF0" w:rsidRPr="00EA6A2A">
        <w:rPr>
          <w:sz w:val="22"/>
          <w:szCs w:val="22"/>
        </w:rPr>
        <w:t>1.28</w:t>
      </w:r>
      <w:r w:rsidRPr="00EA6A2A">
        <w:rPr>
          <w:sz w:val="22"/>
          <w:szCs w:val="22"/>
        </w:rPr>
        <w:t>, 95% CI</w:t>
      </w:r>
      <w:r w:rsidR="00AF795A" w:rsidRPr="00EA6A2A">
        <w:rPr>
          <w:sz w:val="22"/>
          <w:szCs w:val="22"/>
        </w:rPr>
        <w:t>=</w:t>
      </w:r>
      <w:r w:rsidR="00C6202C" w:rsidRPr="00EA6A2A">
        <w:rPr>
          <w:sz w:val="22"/>
          <w:szCs w:val="22"/>
        </w:rPr>
        <w:t>0.7</w:t>
      </w:r>
      <w:r w:rsidR="002D73C7" w:rsidRPr="00EA6A2A">
        <w:rPr>
          <w:sz w:val="22"/>
          <w:szCs w:val="22"/>
        </w:rPr>
        <w:t>5</w:t>
      </w:r>
      <w:r w:rsidR="00C6202C" w:rsidRPr="00EA6A2A">
        <w:rPr>
          <w:sz w:val="22"/>
          <w:szCs w:val="22"/>
        </w:rPr>
        <w:t>-2.19</w:t>
      </w:r>
      <w:r w:rsidRPr="00EA6A2A">
        <w:rPr>
          <w:sz w:val="22"/>
          <w:szCs w:val="22"/>
        </w:rPr>
        <w:t>, p=</w:t>
      </w:r>
      <w:r w:rsidR="00C6202C" w:rsidRPr="00EA6A2A">
        <w:rPr>
          <w:sz w:val="22"/>
          <w:szCs w:val="22"/>
        </w:rPr>
        <w:t>0.37</w:t>
      </w:r>
      <w:r w:rsidRPr="00EA6A2A">
        <w:rPr>
          <w:sz w:val="22"/>
          <w:szCs w:val="22"/>
        </w:rPr>
        <w:t>)</w:t>
      </w:r>
      <w:r w:rsidR="00065CFE" w:rsidRPr="00EA6A2A">
        <w:rPr>
          <w:sz w:val="22"/>
          <w:szCs w:val="22"/>
        </w:rPr>
        <w:t xml:space="preserve"> or males (</w:t>
      </w:r>
      <w:r w:rsidR="00C038BC" w:rsidRPr="00EA6A2A">
        <w:rPr>
          <w:sz w:val="22"/>
          <w:szCs w:val="22"/>
        </w:rPr>
        <w:t>hazard ratio = 1.69, 95% CI=</w:t>
      </w:r>
      <w:r w:rsidR="00AF795A" w:rsidRPr="00EA6A2A">
        <w:rPr>
          <w:sz w:val="22"/>
          <w:szCs w:val="22"/>
        </w:rPr>
        <w:t>0.84-3.42, p=0.14</w:t>
      </w:r>
      <w:r w:rsidR="00065CFE" w:rsidRPr="00EA6A2A">
        <w:rPr>
          <w:sz w:val="22"/>
          <w:szCs w:val="22"/>
        </w:rPr>
        <w:t>)</w:t>
      </w:r>
      <w:r w:rsidRPr="00EA6A2A">
        <w:rPr>
          <w:sz w:val="22"/>
          <w:szCs w:val="22"/>
        </w:rPr>
        <w:t>.  Predicted survival curves for each patient group were generated using the average age at index diagnosis (</w:t>
      </w:r>
      <w:r w:rsidR="00450522" w:rsidRPr="00EA6A2A">
        <w:rPr>
          <w:sz w:val="22"/>
          <w:szCs w:val="22"/>
        </w:rPr>
        <w:t xml:space="preserve">43.9 </w:t>
      </w:r>
      <w:r w:rsidRPr="00EA6A2A">
        <w:rPr>
          <w:sz w:val="22"/>
          <w:szCs w:val="22"/>
        </w:rPr>
        <w:t>years</w:t>
      </w:r>
      <w:r w:rsidR="00450522" w:rsidRPr="00EA6A2A">
        <w:rPr>
          <w:sz w:val="22"/>
          <w:szCs w:val="22"/>
        </w:rPr>
        <w:t xml:space="preserve"> for females, 39.5 for males</w:t>
      </w:r>
      <w:r w:rsidRPr="00EA6A2A">
        <w:rPr>
          <w:sz w:val="22"/>
          <w:szCs w:val="22"/>
        </w:rPr>
        <w:t>)</w:t>
      </w:r>
      <w:r w:rsidR="003F7D80" w:rsidRPr="00EA6A2A">
        <w:rPr>
          <w:sz w:val="22"/>
          <w:szCs w:val="22"/>
        </w:rPr>
        <w:t xml:space="preserve"> </w:t>
      </w:r>
      <w:r w:rsidRPr="00EA6A2A">
        <w:rPr>
          <w:sz w:val="22"/>
          <w:szCs w:val="22"/>
        </w:rPr>
        <w:t xml:space="preserve">as the age </w:t>
      </w:r>
      <w:r w:rsidR="003F7D80" w:rsidRPr="00EA6A2A">
        <w:rPr>
          <w:sz w:val="22"/>
          <w:szCs w:val="22"/>
        </w:rPr>
        <w:t>covariates.</w:t>
      </w:r>
    </w:p>
    <w:sectPr w:rsidR="000D216C" w:rsidRPr="00EA6A2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5545B" w14:textId="77777777" w:rsidR="00EE2449" w:rsidRDefault="00EE2449" w:rsidP="00BC4773">
      <w:r>
        <w:separator/>
      </w:r>
    </w:p>
  </w:endnote>
  <w:endnote w:type="continuationSeparator" w:id="0">
    <w:p w14:paraId="3B298B71" w14:textId="77777777" w:rsidR="00EE2449" w:rsidRDefault="00EE2449" w:rsidP="00BC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56793" w14:textId="79836179" w:rsidR="001E15A8" w:rsidRDefault="001E15A8">
    <w:pPr>
      <w:pStyle w:val="Footer"/>
    </w:pPr>
  </w:p>
  <w:p w14:paraId="18394B0C" w14:textId="77777777" w:rsidR="001E15A8" w:rsidRDefault="001E15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E1D25" w14:textId="77777777" w:rsidR="00EE2449" w:rsidRDefault="00EE2449" w:rsidP="00BC4773">
      <w:r>
        <w:separator/>
      </w:r>
    </w:p>
  </w:footnote>
  <w:footnote w:type="continuationSeparator" w:id="0">
    <w:p w14:paraId="54B9D9CA" w14:textId="77777777" w:rsidR="00EE2449" w:rsidRDefault="00EE2449" w:rsidP="00BC4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91551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7B4740" w14:textId="2C28AB0C" w:rsidR="001E15A8" w:rsidRDefault="001E15A8">
        <w:pPr>
          <w:pStyle w:val="Head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4D5359">
          <w:rPr>
            <w:noProof/>
          </w:rPr>
          <w:t>15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2B1437EF" w14:textId="77777777" w:rsidR="001E15A8" w:rsidRDefault="001E15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852A8"/>
    <w:multiLevelType w:val="multilevel"/>
    <w:tmpl w:val="BF023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/>
        <w:iCs w:val="0"/>
        <w:u w:val="singl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587433"/>
    <w:multiLevelType w:val="hybridMultilevel"/>
    <w:tmpl w:val="57F279B6"/>
    <w:lvl w:ilvl="0" w:tplc="B4E8A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AB27D0"/>
    <w:multiLevelType w:val="hybridMultilevel"/>
    <w:tmpl w:val="40AA2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D3D58"/>
    <w:multiLevelType w:val="multilevel"/>
    <w:tmpl w:val="4F9ED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CD2397B"/>
    <w:multiLevelType w:val="hybridMultilevel"/>
    <w:tmpl w:val="0598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46B77"/>
    <w:multiLevelType w:val="multilevel"/>
    <w:tmpl w:val="BF023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/>
        <w:iCs w:val="0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6911C48"/>
    <w:multiLevelType w:val="hybridMultilevel"/>
    <w:tmpl w:val="7B9ED682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622536"/>
    <w:multiLevelType w:val="multilevel"/>
    <w:tmpl w:val="625A7B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7D4C2DE9"/>
    <w:multiLevelType w:val="multilevel"/>
    <w:tmpl w:val="1A1C1B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527408420">
    <w:abstractNumId w:val="0"/>
  </w:num>
  <w:num w:numId="2" w16cid:durableId="1330136931">
    <w:abstractNumId w:val="8"/>
  </w:num>
  <w:num w:numId="3" w16cid:durableId="140124267">
    <w:abstractNumId w:val="7"/>
  </w:num>
  <w:num w:numId="4" w16cid:durableId="1184906061">
    <w:abstractNumId w:val="3"/>
  </w:num>
  <w:num w:numId="5" w16cid:durableId="707605501">
    <w:abstractNumId w:val="2"/>
  </w:num>
  <w:num w:numId="6" w16cid:durableId="1198541467">
    <w:abstractNumId w:val="1"/>
  </w:num>
  <w:num w:numId="7" w16cid:durableId="1962150489">
    <w:abstractNumId w:val="5"/>
  </w:num>
  <w:num w:numId="8" w16cid:durableId="624775444">
    <w:abstractNumId w:val="6"/>
  </w:num>
  <w:num w:numId="9" w16cid:durableId="1692142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Epilepsy and Behavio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52p09rpt5efrsexvzyx9a5wx29p09erspf9&quot;&gt;My EndNote Library&lt;record-ids&gt;&lt;item&gt;1144&lt;/item&gt;&lt;item&gt;1145&lt;/item&gt;&lt;item&gt;1146&lt;/item&gt;&lt;item&gt;1147&lt;/item&gt;&lt;item&gt;1148&lt;/item&gt;&lt;item&gt;1149&lt;/item&gt;&lt;item&gt;1150&lt;/item&gt;&lt;item&gt;1151&lt;/item&gt;&lt;item&gt;1152&lt;/item&gt;&lt;item&gt;1153&lt;/item&gt;&lt;item&gt;1154&lt;/item&gt;&lt;item&gt;1155&lt;/item&gt;&lt;item&gt;1157&lt;/item&gt;&lt;item&gt;1158&lt;/item&gt;&lt;item&gt;1159&lt;/item&gt;&lt;item&gt;1161&lt;/item&gt;&lt;item&gt;1162&lt;/item&gt;&lt;item&gt;1163&lt;/item&gt;&lt;item&gt;1164&lt;/item&gt;&lt;item&gt;1165&lt;/item&gt;&lt;item&gt;1166&lt;/item&gt;&lt;item&gt;1167&lt;/item&gt;&lt;item&gt;1168&lt;/item&gt;&lt;item&gt;1169&lt;/item&gt;&lt;item&gt;1170&lt;/item&gt;&lt;item&gt;1171&lt;/item&gt;&lt;item&gt;1172&lt;/item&gt;&lt;item&gt;1173&lt;/item&gt;&lt;item&gt;1174&lt;/item&gt;&lt;item&gt;1176&lt;/item&gt;&lt;item&gt;1177&lt;/item&gt;&lt;item&gt;1178&lt;/item&gt;&lt;item&gt;1179&lt;/item&gt;&lt;item&gt;1180&lt;/item&gt;&lt;/record-ids&gt;&lt;/item&gt;&lt;/Libraries&gt;"/>
  </w:docVars>
  <w:rsids>
    <w:rsidRoot w:val="000A12EF"/>
    <w:rsid w:val="00001AB9"/>
    <w:rsid w:val="00002905"/>
    <w:rsid w:val="00002E43"/>
    <w:rsid w:val="0000306D"/>
    <w:rsid w:val="000044DF"/>
    <w:rsid w:val="0000485D"/>
    <w:rsid w:val="00006497"/>
    <w:rsid w:val="00007E1E"/>
    <w:rsid w:val="0001193B"/>
    <w:rsid w:val="000121B1"/>
    <w:rsid w:val="00017D9F"/>
    <w:rsid w:val="0002177D"/>
    <w:rsid w:val="000244B2"/>
    <w:rsid w:val="00027757"/>
    <w:rsid w:val="000307EF"/>
    <w:rsid w:val="00030A8E"/>
    <w:rsid w:val="0003241A"/>
    <w:rsid w:val="00033B01"/>
    <w:rsid w:val="00034D83"/>
    <w:rsid w:val="00036D66"/>
    <w:rsid w:val="00044C2E"/>
    <w:rsid w:val="0004506C"/>
    <w:rsid w:val="0004550B"/>
    <w:rsid w:val="00046EF2"/>
    <w:rsid w:val="00051155"/>
    <w:rsid w:val="0005136C"/>
    <w:rsid w:val="00052E2D"/>
    <w:rsid w:val="00053934"/>
    <w:rsid w:val="00053A2A"/>
    <w:rsid w:val="00053FE7"/>
    <w:rsid w:val="000544FC"/>
    <w:rsid w:val="00062F9A"/>
    <w:rsid w:val="00065014"/>
    <w:rsid w:val="00065CFE"/>
    <w:rsid w:val="00066E58"/>
    <w:rsid w:val="000703B1"/>
    <w:rsid w:val="0007059F"/>
    <w:rsid w:val="0007464C"/>
    <w:rsid w:val="000748C2"/>
    <w:rsid w:val="0007607C"/>
    <w:rsid w:val="00076687"/>
    <w:rsid w:val="00080078"/>
    <w:rsid w:val="00080D3E"/>
    <w:rsid w:val="0008122C"/>
    <w:rsid w:val="00083157"/>
    <w:rsid w:val="0008689E"/>
    <w:rsid w:val="00086D63"/>
    <w:rsid w:val="00087D68"/>
    <w:rsid w:val="0009164C"/>
    <w:rsid w:val="00094E28"/>
    <w:rsid w:val="000970B0"/>
    <w:rsid w:val="000A06C8"/>
    <w:rsid w:val="000A12EF"/>
    <w:rsid w:val="000A1689"/>
    <w:rsid w:val="000A3F26"/>
    <w:rsid w:val="000A5084"/>
    <w:rsid w:val="000A567E"/>
    <w:rsid w:val="000B4C44"/>
    <w:rsid w:val="000B4D67"/>
    <w:rsid w:val="000B61E5"/>
    <w:rsid w:val="000C1A3B"/>
    <w:rsid w:val="000C27DC"/>
    <w:rsid w:val="000C2A94"/>
    <w:rsid w:val="000D13C4"/>
    <w:rsid w:val="000D20A1"/>
    <w:rsid w:val="000D216C"/>
    <w:rsid w:val="000D3292"/>
    <w:rsid w:val="000D3BD4"/>
    <w:rsid w:val="000D3E61"/>
    <w:rsid w:val="000D6858"/>
    <w:rsid w:val="000D69C3"/>
    <w:rsid w:val="000D6CD0"/>
    <w:rsid w:val="000E0190"/>
    <w:rsid w:val="000E29BB"/>
    <w:rsid w:val="000E2AFB"/>
    <w:rsid w:val="000E7161"/>
    <w:rsid w:val="000E76C5"/>
    <w:rsid w:val="000F1DB2"/>
    <w:rsid w:val="000F27CE"/>
    <w:rsid w:val="000F3449"/>
    <w:rsid w:val="000F3515"/>
    <w:rsid w:val="000F5728"/>
    <w:rsid w:val="000F5DD5"/>
    <w:rsid w:val="000F605D"/>
    <w:rsid w:val="001017C7"/>
    <w:rsid w:val="00103082"/>
    <w:rsid w:val="0010345C"/>
    <w:rsid w:val="001068CF"/>
    <w:rsid w:val="001108F8"/>
    <w:rsid w:val="00112231"/>
    <w:rsid w:val="00112AF4"/>
    <w:rsid w:val="001178E8"/>
    <w:rsid w:val="0012009C"/>
    <w:rsid w:val="0012057B"/>
    <w:rsid w:val="00121D13"/>
    <w:rsid w:val="00123603"/>
    <w:rsid w:val="00124417"/>
    <w:rsid w:val="0012532D"/>
    <w:rsid w:val="001258D5"/>
    <w:rsid w:val="00130EDF"/>
    <w:rsid w:val="001334BE"/>
    <w:rsid w:val="00134652"/>
    <w:rsid w:val="00135BAD"/>
    <w:rsid w:val="00137174"/>
    <w:rsid w:val="00137510"/>
    <w:rsid w:val="00137E87"/>
    <w:rsid w:val="001403B3"/>
    <w:rsid w:val="00144C69"/>
    <w:rsid w:val="00145975"/>
    <w:rsid w:val="00146866"/>
    <w:rsid w:val="0014743F"/>
    <w:rsid w:val="0015096F"/>
    <w:rsid w:val="00150C5C"/>
    <w:rsid w:val="00153FFD"/>
    <w:rsid w:val="001540C2"/>
    <w:rsid w:val="00156885"/>
    <w:rsid w:val="00163418"/>
    <w:rsid w:val="00165121"/>
    <w:rsid w:val="00167411"/>
    <w:rsid w:val="00176387"/>
    <w:rsid w:val="00181C23"/>
    <w:rsid w:val="001826CB"/>
    <w:rsid w:val="001909B3"/>
    <w:rsid w:val="00192027"/>
    <w:rsid w:val="001938A2"/>
    <w:rsid w:val="00193EC7"/>
    <w:rsid w:val="001967AE"/>
    <w:rsid w:val="001978AB"/>
    <w:rsid w:val="001A1125"/>
    <w:rsid w:val="001A539E"/>
    <w:rsid w:val="001A6986"/>
    <w:rsid w:val="001A7D9D"/>
    <w:rsid w:val="001A7DA5"/>
    <w:rsid w:val="001B02B4"/>
    <w:rsid w:val="001B180C"/>
    <w:rsid w:val="001B2DB9"/>
    <w:rsid w:val="001B2F6F"/>
    <w:rsid w:val="001B6C84"/>
    <w:rsid w:val="001B7064"/>
    <w:rsid w:val="001C3AB7"/>
    <w:rsid w:val="001C5F0D"/>
    <w:rsid w:val="001C6434"/>
    <w:rsid w:val="001D1193"/>
    <w:rsid w:val="001D1417"/>
    <w:rsid w:val="001D1C30"/>
    <w:rsid w:val="001D3B68"/>
    <w:rsid w:val="001D6007"/>
    <w:rsid w:val="001D6E24"/>
    <w:rsid w:val="001E15A8"/>
    <w:rsid w:val="001E272E"/>
    <w:rsid w:val="001E38BD"/>
    <w:rsid w:val="001E42EF"/>
    <w:rsid w:val="001E7A74"/>
    <w:rsid w:val="001F05C0"/>
    <w:rsid w:val="001F14EB"/>
    <w:rsid w:val="001F1B60"/>
    <w:rsid w:val="001F1CC5"/>
    <w:rsid w:val="001F2C73"/>
    <w:rsid w:val="001F2FB1"/>
    <w:rsid w:val="0020133E"/>
    <w:rsid w:val="002022D0"/>
    <w:rsid w:val="002026D5"/>
    <w:rsid w:val="00202B8C"/>
    <w:rsid w:val="002054F8"/>
    <w:rsid w:val="00205D86"/>
    <w:rsid w:val="0020615A"/>
    <w:rsid w:val="00211862"/>
    <w:rsid w:val="00211F5B"/>
    <w:rsid w:val="0021212B"/>
    <w:rsid w:val="0021611F"/>
    <w:rsid w:val="00216149"/>
    <w:rsid w:val="00217865"/>
    <w:rsid w:val="00220147"/>
    <w:rsid w:val="0022066A"/>
    <w:rsid w:val="00220D5E"/>
    <w:rsid w:val="00224ADE"/>
    <w:rsid w:val="00226D7F"/>
    <w:rsid w:val="0022741F"/>
    <w:rsid w:val="002275A9"/>
    <w:rsid w:val="002276B0"/>
    <w:rsid w:val="0023180B"/>
    <w:rsid w:val="00232B8A"/>
    <w:rsid w:val="00233446"/>
    <w:rsid w:val="002354AE"/>
    <w:rsid w:val="00235745"/>
    <w:rsid w:val="00240095"/>
    <w:rsid w:val="00240543"/>
    <w:rsid w:val="00240865"/>
    <w:rsid w:val="00240E90"/>
    <w:rsid w:val="00241684"/>
    <w:rsid w:val="00241A82"/>
    <w:rsid w:val="00241D2D"/>
    <w:rsid w:val="00242134"/>
    <w:rsid w:val="00244B14"/>
    <w:rsid w:val="00244E38"/>
    <w:rsid w:val="00245836"/>
    <w:rsid w:val="002468E6"/>
    <w:rsid w:val="002523B5"/>
    <w:rsid w:val="002534B2"/>
    <w:rsid w:val="0025380E"/>
    <w:rsid w:val="002539B6"/>
    <w:rsid w:val="00254EFD"/>
    <w:rsid w:val="002552E5"/>
    <w:rsid w:val="00255C92"/>
    <w:rsid w:val="00260DAF"/>
    <w:rsid w:val="0026230B"/>
    <w:rsid w:val="00263BF1"/>
    <w:rsid w:val="00263DE0"/>
    <w:rsid w:val="00267139"/>
    <w:rsid w:val="00267560"/>
    <w:rsid w:val="002676DF"/>
    <w:rsid w:val="00270B6F"/>
    <w:rsid w:val="00274319"/>
    <w:rsid w:val="00274324"/>
    <w:rsid w:val="00276776"/>
    <w:rsid w:val="00277344"/>
    <w:rsid w:val="00281758"/>
    <w:rsid w:val="00281AC7"/>
    <w:rsid w:val="002821C4"/>
    <w:rsid w:val="00284F9A"/>
    <w:rsid w:val="0028510E"/>
    <w:rsid w:val="00290E8B"/>
    <w:rsid w:val="002943B0"/>
    <w:rsid w:val="00294D6F"/>
    <w:rsid w:val="0029527F"/>
    <w:rsid w:val="00296F5E"/>
    <w:rsid w:val="002A1227"/>
    <w:rsid w:val="002A432D"/>
    <w:rsid w:val="002A43A4"/>
    <w:rsid w:val="002A49CC"/>
    <w:rsid w:val="002A4FC9"/>
    <w:rsid w:val="002A70E8"/>
    <w:rsid w:val="002A7CE4"/>
    <w:rsid w:val="002A7F04"/>
    <w:rsid w:val="002B0A3B"/>
    <w:rsid w:val="002B2C17"/>
    <w:rsid w:val="002B3BCC"/>
    <w:rsid w:val="002B486B"/>
    <w:rsid w:val="002B53A2"/>
    <w:rsid w:val="002B5699"/>
    <w:rsid w:val="002B5E45"/>
    <w:rsid w:val="002B6021"/>
    <w:rsid w:val="002B6158"/>
    <w:rsid w:val="002C096E"/>
    <w:rsid w:val="002C1EF4"/>
    <w:rsid w:val="002C1EFF"/>
    <w:rsid w:val="002C2BCA"/>
    <w:rsid w:val="002C5043"/>
    <w:rsid w:val="002C5DF1"/>
    <w:rsid w:val="002D0F6E"/>
    <w:rsid w:val="002D1866"/>
    <w:rsid w:val="002D305E"/>
    <w:rsid w:val="002D4392"/>
    <w:rsid w:val="002D498B"/>
    <w:rsid w:val="002D73C7"/>
    <w:rsid w:val="002E04DF"/>
    <w:rsid w:val="002E2CBC"/>
    <w:rsid w:val="002E30D6"/>
    <w:rsid w:val="002E3B31"/>
    <w:rsid w:val="002E3E14"/>
    <w:rsid w:val="002E4ECC"/>
    <w:rsid w:val="002E5118"/>
    <w:rsid w:val="002E514A"/>
    <w:rsid w:val="002E7C8F"/>
    <w:rsid w:val="002F0402"/>
    <w:rsid w:val="002F0FF2"/>
    <w:rsid w:val="002F15F8"/>
    <w:rsid w:val="002F2437"/>
    <w:rsid w:val="002F4AB4"/>
    <w:rsid w:val="002F62AD"/>
    <w:rsid w:val="002F6BF6"/>
    <w:rsid w:val="00302462"/>
    <w:rsid w:val="0030481D"/>
    <w:rsid w:val="00305C37"/>
    <w:rsid w:val="00307572"/>
    <w:rsid w:val="00311917"/>
    <w:rsid w:val="00312886"/>
    <w:rsid w:val="00313DC4"/>
    <w:rsid w:val="00314DF0"/>
    <w:rsid w:val="003159D6"/>
    <w:rsid w:val="0031610A"/>
    <w:rsid w:val="00320261"/>
    <w:rsid w:val="00320B91"/>
    <w:rsid w:val="00320E52"/>
    <w:rsid w:val="00322148"/>
    <w:rsid w:val="00322EEA"/>
    <w:rsid w:val="003230AE"/>
    <w:rsid w:val="003231E8"/>
    <w:rsid w:val="00323710"/>
    <w:rsid w:val="00323AAA"/>
    <w:rsid w:val="00325AFC"/>
    <w:rsid w:val="00325B84"/>
    <w:rsid w:val="00326BF0"/>
    <w:rsid w:val="00327266"/>
    <w:rsid w:val="00330CA9"/>
    <w:rsid w:val="00331428"/>
    <w:rsid w:val="00334CD8"/>
    <w:rsid w:val="00341345"/>
    <w:rsid w:val="00345218"/>
    <w:rsid w:val="00345269"/>
    <w:rsid w:val="0034543A"/>
    <w:rsid w:val="00346D56"/>
    <w:rsid w:val="00347B21"/>
    <w:rsid w:val="00351559"/>
    <w:rsid w:val="003524F9"/>
    <w:rsid w:val="003541A0"/>
    <w:rsid w:val="003549AA"/>
    <w:rsid w:val="00356F42"/>
    <w:rsid w:val="00360739"/>
    <w:rsid w:val="0036091C"/>
    <w:rsid w:val="003627A8"/>
    <w:rsid w:val="00363782"/>
    <w:rsid w:val="00363C6B"/>
    <w:rsid w:val="00364765"/>
    <w:rsid w:val="00372191"/>
    <w:rsid w:val="00372474"/>
    <w:rsid w:val="00372FF7"/>
    <w:rsid w:val="00373568"/>
    <w:rsid w:val="00373B0F"/>
    <w:rsid w:val="00376332"/>
    <w:rsid w:val="00377481"/>
    <w:rsid w:val="00387145"/>
    <w:rsid w:val="00391BCF"/>
    <w:rsid w:val="003954A4"/>
    <w:rsid w:val="00396316"/>
    <w:rsid w:val="003A02BF"/>
    <w:rsid w:val="003A0C46"/>
    <w:rsid w:val="003A0DDA"/>
    <w:rsid w:val="003A1782"/>
    <w:rsid w:val="003A2592"/>
    <w:rsid w:val="003A385C"/>
    <w:rsid w:val="003A4E5C"/>
    <w:rsid w:val="003A669F"/>
    <w:rsid w:val="003A69B9"/>
    <w:rsid w:val="003B0A02"/>
    <w:rsid w:val="003B1AD9"/>
    <w:rsid w:val="003B2669"/>
    <w:rsid w:val="003B50E2"/>
    <w:rsid w:val="003B7233"/>
    <w:rsid w:val="003B7DDD"/>
    <w:rsid w:val="003C03D8"/>
    <w:rsid w:val="003C12C6"/>
    <w:rsid w:val="003C17E5"/>
    <w:rsid w:val="003C36EF"/>
    <w:rsid w:val="003C4088"/>
    <w:rsid w:val="003C4D60"/>
    <w:rsid w:val="003C5022"/>
    <w:rsid w:val="003D2741"/>
    <w:rsid w:val="003D2C24"/>
    <w:rsid w:val="003D3279"/>
    <w:rsid w:val="003D4B5D"/>
    <w:rsid w:val="003D6BF3"/>
    <w:rsid w:val="003D7584"/>
    <w:rsid w:val="003D7A21"/>
    <w:rsid w:val="003D7F2F"/>
    <w:rsid w:val="003E1F9A"/>
    <w:rsid w:val="003E26CE"/>
    <w:rsid w:val="003E44BC"/>
    <w:rsid w:val="003F2014"/>
    <w:rsid w:val="003F265F"/>
    <w:rsid w:val="003F4C51"/>
    <w:rsid w:val="003F4E16"/>
    <w:rsid w:val="003F7636"/>
    <w:rsid w:val="003F7D80"/>
    <w:rsid w:val="00400F1C"/>
    <w:rsid w:val="004029D6"/>
    <w:rsid w:val="00404FEC"/>
    <w:rsid w:val="0040696D"/>
    <w:rsid w:val="00410C1B"/>
    <w:rsid w:val="00411F61"/>
    <w:rsid w:val="0041214B"/>
    <w:rsid w:val="00412594"/>
    <w:rsid w:val="004125C9"/>
    <w:rsid w:val="00414011"/>
    <w:rsid w:val="00416AE5"/>
    <w:rsid w:val="00422B6A"/>
    <w:rsid w:val="004231C2"/>
    <w:rsid w:val="00424661"/>
    <w:rsid w:val="00427DBC"/>
    <w:rsid w:val="00433B10"/>
    <w:rsid w:val="00434BA2"/>
    <w:rsid w:val="00440EB7"/>
    <w:rsid w:val="004435CF"/>
    <w:rsid w:val="004441E5"/>
    <w:rsid w:val="00445879"/>
    <w:rsid w:val="004464D3"/>
    <w:rsid w:val="00446A85"/>
    <w:rsid w:val="00447B0F"/>
    <w:rsid w:val="00447E0A"/>
    <w:rsid w:val="00450522"/>
    <w:rsid w:val="0045108B"/>
    <w:rsid w:val="004521C5"/>
    <w:rsid w:val="00453823"/>
    <w:rsid w:val="00455638"/>
    <w:rsid w:val="004618FB"/>
    <w:rsid w:val="00461E1A"/>
    <w:rsid w:val="00463467"/>
    <w:rsid w:val="00464F4F"/>
    <w:rsid w:val="00465019"/>
    <w:rsid w:val="004650DB"/>
    <w:rsid w:val="00466F1A"/>
    <w:rsid w:val="00467F12"/>
    <w:rsid w:val="00470D85"/>
    <w:rsid w:val="0047104C"/>
    <w:rsid w:val="004734D7"/>
    <w:rsid w:val="00473AA0"/>
    <w:rsid w:val="00475085"/>
    <w:rsid w:val="0047515B"/>
    <w:rsid w:val="0047527B"/>
    <w:rsid w:val="004773B8"/>
    <w:rsid w:val="0047767E"/>
    <w:rsid w:val="00477D22"/>
    <w:rsid w:val="00480406"/>
    <w:rsid w:val="00481FA8"/>
    <w:rsid w:val="00483671"/>
    <w:rsid w:val="00483B02"/>
    <w:rsid w:val="00485762"/>
    <w:rsid w:val="004874B6"/>
    <w:rsid w:val="00492E90"/>
    <w:rsid w:val="00492EDB"/>
    <w:rsid w:val="00496B22"/>
    <w:rsid w:val="004A1E24"/>
    <w:rsid w:val="004A210E"/>
    <w:rsid w:val="004A42C6"/>
    <w:rsid w:val="004A5AE0"/>
    <w:rsid w:val="004A5AF0"/>
    <w:rsid w:val="004A5CF8"/>
    <w:rsid w:val="004A649B"/>
    <w:rsid w:val="004A66D4"/>
    <w:rsid w:val="004B02F9"/>
    <w:rsid w:val="004B031D"/>
    <w:rsid w:val="004B28A1"/>
    <w:rsid w:val="004B2BD9"/>
    <w:rsid w:val="004B43D4"/>
    <w:rsid w:val="004B6D86"/>
    <w:rsid w:val="004C232C"/>
    <w:rsid w:val="004C2F2B"/>
    <w:rsid w:val="004C4762"/>
    <w:rsid w:val="004C61D2"/>
    <w:rsid w:val="004C6E64"/>
    <w:rsid w:val="004D017E"/>
    <w:rsid w:val="004D0A29"/>
    <w:rsid w:val="004D35AF"/>
    <w:rsid w:val="004D5359"/>
    <w:rsid w:val="004D57C1"/>
    <w:rsid w:val="004D59B8"/>
    <w:rsid w:val="004D7904"/>
    <w:rsid w:val="004D7A0B"/>
    <w:rsid w:val="004E07C3"/>
    <w:rsid w:val="004E0EED"/>
    <w:rsid w:val="004E4A95"/>
    <w:rsid w:val="004E617C"/>
    <w:rsid w:val="004E7F14"/>
    <w:rsid w:val="004F143E"/>
    <w:rsid w:val="004F3437"/>
    <w:rsid w:val="004F4316"/>
    <w:rsid w:val="004F6F6D"/>
    <w:rsid w:val="004F726B"/>
    <w:rsid w:val="004F770D"/>
    <w:rsid w:val="00500CA0"/>
    <w:rsid w:val="0050249D"/>
    <w:rsid w:val="0050256F"/>
    <w:rsid w:val="00502D84"/>
    <w:rsid w:val="005030A3"/>
    <w:rsid w:val="00506413"/>
    <w:rsid w:val="0051112E"/>
    <w:rsid w:val="005139F6"/>
    <w:rsid w:val="0051441B"/>
    <w:rsid w:val="00514FD0"/>
    <w:rsid w:val="00515427"/>
    <w:rsid w:val="00517E21"/>
    <w:rsid w:val="005220DB"/>
    <w:rsid w:val="00522E55"/>
    <w:rsid w:val="00530E07"/>
    <w:rsid w:val="00534311"/>
    <w:rsid w:val="00534438"/>
    <w:rsid w:val="005358C6"/>
    <w:rsid w:val="00535AA6"/>
    <w:rsid w:val="005457D8"/>
    <w:rsid w:val="00545C1A"/>
    <w:rsid w:val="00547997"/>
    <w:rsid w:val="005506EC"/>
    <w:rsid w:val="005533E1"/>
    <w:rsid w:val="005534E6"/>
    <w:rsid w:val="00555D17"/>
    <w:rsid w:val="00555E27"/>
    <w:rsid w:val="00561CBD"/>
    <w:rsid w:val="00564AA3"/>
    <w:rsid w:val="00566E8D"/>
    <w:rsid w:val="00566F08"/>
    <w:rsid w:val="00567744"/>
    <w:rsid w:val="00571B54"/>
    <w:rsid w:val="00571BFD"/>
    <w:rsid w:val="00572EF1"/>
    <w:rsid w:val="00575C74"/>
    <w:rsid w:val="00577140"/>
    <w:rsid w:val="00577CA5"/>
    <w:rsid w:val="0058030A"/>
    <w:rsid w:val="00581655"/>
    <w:rsid w:val="00583267"/>
    <w:rsid w:val="00586606"/>
    <w:rsid w:val="00591720"/>
    <w:rsid w:val="00591A59"/>
    <w:rsid w:val="005951CB"/>
    <w:rsid w:val="0059573D"/>
    <w:rsid w:val="00595B00"/>
    <w:rsid w:val="005A059F"/>
    <w:rsid w:val="005A1826"/>
    <w:rsid w:val="005A5B9D"/>
    <w:rsid w:val="005A5FB8"/>
    <w:rsid w:val="005B1992"/>
    <w:rsid w:val="005B4F24"/>
    <w:rsid w:val="005B5387"/>
    <w:rsid w:val="005B7FF0"/>
    <w:rsid w:val="005C0C0F"/>
    <w:rsid w:val="005C1D40"/>
    <w:rsid w:val="005C225F"/>
    <w:rsid w:val="005C342A"/>
    <w:rsid w:val="005C5031"/>
    <w:rsid w:val="005D1553"/>
    <w:rsid w:val="005D6678"/>
    <w:rsid w:val="005E2AC3"/>
    <w:rsid w:val="005E2B8A"/>
    <w:rsid w:val="005E3905"/>
    <w:rsid w:val="005E3B51"/>
    <w:rsid w:val="005E41C8"/>
    <w:rsid w:val="005E4ADA"/>
    <w:rsid w:val="005E7826"/>
    <w:rsid w:val="005E795A"/>
    <w:rsid w:val="005F07D2"/>
    <w:rsid w:val="005F14DA"/>
    <w:rsid w:val="005F347D"/>
    <w:rsid w:val="005F5953"/>
    <w:rsid w:val="005F5AD3"/>
    <w:rsid w:val="005F6783"/>
    <w:rsid w:val="0060146D"/>
    <w:rsid w:val="0060151F"/>
    <w:rsid w:val="0060172D"/>
    <w:rsid w:val="00601F05"/>
    <w:rsid w:val="00602174"/>
    <w:rsid w:val="0060390A"/>
    <w:rsid w:val="00607629"/>
    <w:rsid w:val="006100AD"/>
    <w:rsid w:val="00610610"/>
    <w:rsid w:val="006135BB"/>
    <w:rsid w:val="0061366F"/>
    <w:rsid w:val="0061380D"/>
    <w:rsid w:val="0061412D"/>
    <w:rsid w:val="006164EF"/>
    <w:rsid w:val="006167FF"/>
    <w:rsid w:val="0062012C"/>
    <w:rsid w:val="006201B4"/>
    <w:rsid w:val="00624691"/>
    <w:rsid w:val="00625A42"/>
    <w:rsid w:val="0062644D"/>
    <w:rsid w:val="00626687"/>
    <w:rsid w:val="0062684E"/>
    <w:rsid w:val="00630F77"/>
    <w:rsid w:val="00631DC6"/>
    <w:rsid w:val="00632613"/>
    <w:rsid w:val="00634ADE"/>
    <w:rsid w:val="00635BFF"/>
    <w:rsid w:val="00636570"/>
    <w:rsid w:val="00641794"/>
    <w:rsid w:val="00645B99"/>
    <w:rsid w:val="00646A1C"/>
    <w:rsid w:val="00646C11"/>
    <w:rsid w:val="00647A7E"/>
    <w:rsid w:val="00647CE7"/>
    <w:rsid w:val="00650C39"/>
    <w:rsid w:val="0065224C"/>
    <w:rsid w:val="00653A89"/>
    <w:rsid w:val="00653EEF"/>
    <w:rsid w:val="0065588B"/>
    <w:rsid w:val="00656248"/>
    <w:rsid w:val="006577D5"/>
    <w:rsid w:val="00657859"/>
    <w:rsid w:val="00657F91"/>
    <w:rsid w:val="00661D11"/>
    <w:rsid w:val="00663A0D"/>
    <w:rsid w:val="00665132"/>
    <w:rsid w:val="00665B7F"/>
    <w:rsid w:val="00665C91"/>
    <w:rsid w:val="00667AD3"/>
    <w:rsid w:val="00670DE3"/>
    <w:rsid w:val="00671347"/>
    <w:rsid w:val="00671562"/>
    <w:rsid w:val="00672EBE"/>
    <w:rsid w:val="006745CC"/>
    <w:rsid w:val="00675F1C"/>
    <w:rsid w:val="006760AF"/>
    <w:rsid w:val="00676633"/>
    <w:rsid w:val="00677865"/>
    <w:rsid w:val="006778B9"/>
    <w:rsid w:val="006778E2"/>
    <w:rsid w:val="00680B41"/>
    <w:rsid w:val="00681097"/>
    <w:rsid w:val="00683E3E"/>
    <w:rsid w:val="0068536B"/>
    <w:rsid w:val="00690387"/>
    <w:rsid w:val="006920F5"/>
    <w:rsid w:val="00693B64"/>
    <w:rsid w:val="00696905"/>
    <w:rsid w:val="00696FA5"/>
    <w:rsid w:val="00697F61"/>
    <w:rsid w:val="006A14A8"/>
    <w:rsid w:val="006A3E77"/>
    <w:rsid w:val="006B4EBF"/>
    <w:rsid w:val="006B677E"/>
    <w:rsid w:val="006B7E0A"/>
    <w:rsid w:val="006C00D9"/>
    <w:rsid w:val="006C0D7B"/>
    <w:rsid w:val="006C0FA5"/>
    <w:rsid w:val="006C2D0F"/>
    <w:rsid w:val="006C3CD1"/>
    <w:rsid w:val="006C5357"/>
    <w:rsid w:val="006C5E1D"/>
    <w:rsid w:val="006D054F"/>
    <w:rsid w:val="006D0A0B"/>
    <w:rsid w:val="006D1179"/>
    <w:rsid w:val="006D3A47"/>
    <w:rsid w:val="006D3DF0"/>
    <w:rsid w:val="006D6795"/>
    <w:rsid w:val="006D6BCC"/>
    <w:rsid w:val="006D7703"/>
    <w:rsid w:val="006E198E"/>
    <w:rsid w:val="006E2104"/>
    <w:rsid w:val="006E2B8F"/>
    <w:rsid w:val="006E311D"/>
    <w:rsid w:val="006E5D0D"/>
    <w:rsid w:val="006E7804"/>
    <w:rsid w:val="006F0509"/>
    <w:rsid w:val="006F2A28"/>
    <w:rsid w:val="006F3630"/>
    <w:rsid w:val="006F5BCA"/>
    <w:rsid w:val="006F665A"/>
    <w:rsid w:val="006F6B9B"/>
    <w:rsid w:val="00700C3F"/>
    <w:rsid w:val="00700CF5"/>
    <w:rsid w:val="00703A26"/>
    <w:rsid w:val="007046CD"/>
    <w:rsid w:val="00710B64"/>
    <w:rsid w:val="00713F44"/>
    <w:rsid w:val="00714B32"/>
    <w:rsid w:val="00715F49"/>
    <w:rsid w:val="00716266"/>
    <w:rsid w:val="007174B4"/>
    <w:rsid w:val="00721254"/>
    <w:rsid w:val="007225C2"/>
    <w:rsid w:val="0072336F"/>
    <w:rsid w:val="0072674C"/>
    <w:rsid w:val="007277FF"/>
    <w:rsid w:val="00732472"/>
    <w:rsid w:val="00735AFF"/>
    <w:rsid w:val="0073611A"/>
    <w:rsid w:val="007361BB"/>
    <w:rsid w:val="00736A77"/>
    <w:rsid w:val="00740553"/>
    <w:rsid w:val="007438C7"/>
    <w:rsid w:val="0074433F"/>
    <w:rsid w:val="00744A07"/>
    <w:rsid w:val="00745A98"/>
    <w:rsid w:val="00745CBE"/>
    <w:rsid w:val="00747376"/>
    <w:rsid w:val="00753704"/>
    <w:rsid w:val="00754C29"/>
    <w:rsid w:val="0075535D"/>
    <w:rsid w:val="00755527"/>
    <w:rsid w:val="00757930"/>
    <w:rsid w:val="007668CD"/>
    <w:rsid w:val="00766967"/>
    <w:rsid w:val="00770E83"/>
    <w:rsid w:val="00771C37"/>
    <w:rsid w:val="00771E63"/>
    <w:rsid w:val="00772E7F"/>
    <w:rsid w:val="007733F4"/>
    <w:rsid w:val="007805D9"/>
    <w:rsid w:val="00780F6F"/>
    <w:rsid w:val="0078116F"/>
    <w:rsid w:val="0078408D"/>
    <w:rsid w:val="0078549A"/>
    <w:rsid w:val="00785699"/>
    <w:rsid w:val="00790709"/>
    <w:rsid w:val="007907FE"/>
    <w:rsid w:val="00791023"/>
    <w:rsid w:val="0079232E"/>
    <w:rsid w:val="00792E6D"/>
    <w:rsid w:val="00793AE6"/>
    <w:rsid w:val="007A01E4"/>
    <w:rsid w:val="007A0690"/>
    <w:rsid w:val="007A0DF0"/>
    <w:rsid w:val="007A2B17"/>
    <w:rsid w:val="007A34D5"/>
    <w:rsid w:val="007A49C7"/>
    <w:rsid w:val="007A5CB8"/>
    <w:rsid w:val="007B02DE"/>
    <w:rsid w:val="007B0C17"/>
    <w:rsid w:val="007B263A"/>
    <w:rsid w:val="007B4AAA"/>
    <w:rsid w:val="007B50E8"/>
    <w:rsid w:val="007B5313"/>
    <w:rsid w:val="007B7CD1"/>
    <w:rsid w:val="007C1EE3"/>
    <w:rsid w:val="007C24FE"/>
    <w:rsid w:val="007C2C5C"/>
    <w:rsid w:val="007C3420"/>
    <w:rsid w:val="007C42F3"/>
    <w:rsid w:val="007C4CB3"/>
    <w:rsid w:val="007C6A4D"/>
    <w:rsid w:val="007C6E45"/>
    <w:rsid w:val="007D189D"/>
    <w:rsid w:val="007D24C6"/>
    <w:rsid w:val="007D2B8B"/>
    <w:rsid w:val="007D4756"/>
    <w:rsid w:val="007D4AB8"/>
    <w:rsid w:val="007D5968"/>
    <w:rsid w:val="007D6233"/>
    <w:rsid w:val="007D6CD9"/>
    <w:rsid w:val="007E059D"/>
    <w:rsid w:val="007F08D7"/>
    <w:rsid w:val="007F1B1C"/>
    <w:rsid w:val="007F680B"/>
    <w:rsid w:val="007F7141"/>
    <w:rsid w:val="0080227F"/>
    <w:rsid w:val="0080421C"/>
    <w:rsid w:val="00804F97"/>
    <w:rsid w:val="00807B87"/>
    <w:rsid w:val="00810162"/>
    <w:rsid w:val="00811097"/>
    <w:rsid w:val="00812378"/>
    <w:rsid w:val="00813876"/>
    <w:rsid w:val="0081397E"/>
    <w:rsid w:val="00813E77"/>
    <w:rsid w:val="00824782"/>
    <w:rsid w:val="00824ABB"/>
    <w:rsid w:val="0082627C"/>
    <w:rsid w:val="00827628"/>
    <w:rsid w:val="008303CC"/>
    <w:rsid w:val="008327AB"/>
    <w:rsid w:val="00833D80"/>
    <w:rsid w:val="0083705F"/>
    <w:rsid w:val="008444D5"/>
    <w:rsid w:val="0084661B"/>
    <w:rsid w:val="00851355"/>
    <w:rsid w:val="00851B8A"/>
    <w:rsid w:val="0085282B"/>
    <w:rsid w:val="008537B1"/>
    <w:rsid w:val="00854AC2"/>
    <w:rsid w:val="008574A1"/>
    <w:rsid w:val="0085763E"/>
    <w:rsid w:val="00857F82"/>
    <w:rsid w:val="00860612"/>
    <w:rsid w:val="008609F1"/>
    <w:rsid w:val="008649D9"/>
    <w:rsid w:val="00864FB6"/>
    <w:rsid w:val="00866EB0"/>
    <w:rsid w:val="008707C4"/>
    <w:rsid w:val="008709A7"/>
    <w:rsid w:val="008720D6"/>
    <w:rsid w:val="0087244A"/>
    <w:rsid w:val="00875E24"/>
    <w:rsid w:val="0087754A"/>
    <w:rsid w:val="00877A1F"/>
    <w:rsid w:val="0088028A"/>
    <w:rsid w:val="008815C0"/>
    <w:rsid w:val="00881EFF"/>
    <w:rsid w:val="00883602"/>
    <w:rsid w:val="0088690A"/>
    <w:rsid w:val="00887A6F"/>
    <w:rsid w:val="00887F49"/>
    <w:rsid w:val="00890A98"/>
    <w:rsid w:val="00890C3B"/>
    <w:rsid w:val="00890EAA"/>
    <w:rsid w:val="00892A69"/>
    <w:rsid w:val="00893688"/>
    <w:rsid w:val="00893D30"/>
    <w:rsid w:val="00894676"/>
    <w:rsid w:val="00895C66"/>
    <w:rsid w:val="008962CB"/>
    <w:rsid w:val="0089716F"/>
    <w:rsid w:val="00897F3F"/>
    <w:rsid w:val="008A0782"/>
    <w:rsid w:val="008A145C"/>
    <w:rsid w:val="008A1689"/>
    <w:rsid w:val="008A2E59"/>
    <w:rsid w:val="008A4DE7"/>
    <w:rsid w:val="008A598E"/>
    <w:rsid w:val="008B0486"/>
    <w:rsid w:val="008B3BC6"/>
    <w:rsid w:val="008B57F5"/>
    <w:rsid w:val="008B6AA4"/>
    <w:rsid w:val="008B71F9"/>
    <w:rsid w:val="008B7A8F"/>
    <w:rsid w:val="008C08A3"/>
    <w:rsid w:val="008C0BD2"/>
    <w:rsid w:val="008C1E25"/>
    <w:rsid w:val="008C225A"/>
    <w:rsid w:val="008C2439"/>
    <w:rsid w:val="008C255C"/>
    <w:rsid w:val="008C52D4"/>
    <w:rsid w:val="008C55AA"/>
    <w:rsid w:val="008C60D4"/>
    <w:rsid w:val="008C7FDD"/>
    <w:rsid w:val="008D0069"/>
    <w:rsid w:val="008D07F4"/>
    <w:rsid w:val="008D0819"/>
    <w:rsid w:val="008D1BE3"/>
    <w:rsid w:val="008D21B8"/>
    <w:rsid w:val="008D2330"/>
    <w:rsid w:val="008D28AA"/>
    <w:rsid w:val="008D593C"/>
    <w:rsid w:val="008D7F3B"/>
    <w:rsid w:val="008E694B"/>
    <w:rsid w:val="008E7341"/>
    <w:rsid w:val="008F0374"/>
    <w:rsid w:val="008F0762"/>
    <w:rsid w:val="008F59A9"/>
    <w:rsid w:val="008F6D1F"/>
    <w:rsid w:val="00900531"/>
    <w:rsid w:val="009016C6"/>
    <w:rsid w:val="00902F14"/>
    <w:rsid w:val="00903F09"/>
    <w:rsid w:val="00904084"/>
    <w:rsid w:val="00906D3D"/>
    <w:rsid w:val="00910C4D"/>
    <w:rsid w:val="00910E26"/>
    <w:rsid w:val="009125E5"/>
    <w:rsid w:val="0091469B"/>
    <w:rsid w:val="00916211"/>
    <w:rsid w:val="00921297"/>
    <w:rsid w:val="00923EB7"/>
    <w:rsid w:val="00924712"/>
    <w:rsid w:val="00926B9D"/>
    <w:rsid w:val="00927FDE"/>
    <w:rsid w:val="00930F3C"/>
    <w:rsid w:val="009319F5"/>
    <w:rsid w:val="0093778C"/>
    <w:rsid w:val="00941F2A"/>
    <w:rsid w:val="00942196"/>
    <w:rsid w:val="0094273D"/>
    <w:rsid w:val="00944A20"/>
    <w:rsid w:val="00944D0F"/>
    <w:rsid w:val="009450DD"/>
    <w:rsid w:val="009454FD"/>
    <w:rsid w:val="00946A04"/>
    <w:rsid w:val="00947EC0"/>
    <w:rsid w:val="009516D4"/>
    <w:rsid w:val="00952724"/>
    <w:rsid w:val="00954C9B"/>
    <w:rsid w:val="009574BA"/>
    <w:rsid w:val="00957A9C"/>
    <w:rsid w:val="00961195"/>
    <w:rsid w:val="00963244"/>
    <w:rsid w:val="00964DF8"/>
    <w:rsid w:val="00966312"/>
    <w:rsid w:val="00970715"/>
    <w:rsid w:val="0097112A"/>
    <w:rsid w:val="00971387"/>
    <w:rsid w:val="009717A1"/>
    <w:rsid w:val="00974585"/>
    <w:rsid w:val="00976E7D"/>
    <w:rsid w:val="00980733"/>
    <w:rsid w:val="00980A8D"/>
    <w:rsid w:val="00986527"/>
    <w:rsid w:val="00990A9C"/>
    <w:rsid w:val="009A3AF7"/>
    <w:rsid w:val="009A45B3"/>
    <w:rsid w:val="009A545B"/>
    <w:rsid w:val="009B2C47"/>
    <w:rsid w:val="009B3540"/>
    <w:rsid w:val="009B366E"/>
    <w:rsid w:val="009B73C6"/>
    <w:rsid w:val="009C030B"/>
    <w:rsid w:val="009C0804"/>
    <w:rsid w:val="009C14DB"/>
    <w:rsid w:val="009C1FD9"/>
    <w:rsid w:val="009C5C2B"/>
    <w:rsid w:val="009C6CEC"/>
    <w:rsid w:val="009C6FCD"/>
    <w:rsid w:val="009D10C0"/>
    <w:rsid w:val="009D15E8"/>
    <w:rsid w:val="009D1A01"/>
    <w:rsid w:val="009D1CA9"/>
    <w:rsid w:val="009D3AA3"/>
    <w:rsid w:val="009D4089"/>
    <w:rsid w:val="009D53CD"/>
    <w:rsid w:val="009D5E75"/>
    <w:rsid w:val="009D6389"/>
    <w:rsid w:val="009E1477"/>
    <w:rsid w:val="009E3530"/>
    <w:rsid w:val="009E3A88"/>
    <w:rsid w:val="009E4897"/>
    <w:rsid w:val="009E53DF"/>
    <w:rsid w:val="009E5BD8"/>
    <w:rsid w:val="009F004C"/>
    <w:rsid w:val="009F062A"/>
    <w:rsid w:val="009F0B3C"/>
    <w:rsid w:val="009F2882"/>
    <w:rsid w:val="009F3C24"/>
    <w:rsid w:val="009F56E7"/>
    <w:rsid w:val="009F7181"/>
    <w:rsid w:val="00A0152B"/>
    <w:rsid w:val="00A01A64"/>
    <w:rsid w:val="00A01CF2"/>
    <w:rsid w:val="00A02A28"/>
    <w:rsid w:val="00A02AEE"/>
    <w:rsid w:val="00A02D72"/>
    <w:rsid w:val="00A02E0C"/>
    <w:rsid w:val="00A05F99"/>
    <w:rsid w:val="00A06543"/>
    <w:rsid w:val="00A14478"/>
    <w:rsid w:val="00A20584"/>
    <w:rsid w:val="00A2278E"/>
    <w:rsid w:val="00A22FA6"/>
    <w:rsid w:val="00A24D03"/>
    <w:rsid w:val="00A27B5A"/>
    <w:rsid w:val="00A314F8"/>
    <w:rsid w:val="00A32248"/>
    <w:rsid w:val="00A32D75"/>
    <w:rsid w:val="00A35EB7"/>
    <w:rsid w:val="00A374D5"/>
    <w:rsid w:val="00A374D6"/>
    <w:rsid w:val="00A412C0"/>
    <w:rsid w:val="00A425E7"/>
    <w:rsid w:val="00A466C3"/>
    <w:rsid w:val="00A47821"/>
    <w:rsid w:val="00A503F3"/>
    <w:rsid w:val="00A52AE9"/>
    <w:rsid w:val="00A53143"/>
    <w:rsid w:val="00A54F7C"/>
    <w:rsid w:val="00A557CC"/>
    <w:rsid w:val="00A5580A"/>
    <w:rsid w:val="00A55C6A"/>
    <w:rsid w:val="00A56547"/>
    <w:rsid w:val="00A56CA0"/>
    <w:rsid w:val="00A602C1"/>
    <w:rsid w:val="00A60B65"/>
    <w:rsid w:val="00A6218B"/>
    <w:rsid w:val="00A6302A"/>
    <w:rsid w:val="00A636C8"/>
    <w:rsid w:val="00A63708"/>
    <w:rsid w:val="00A641BD"/>
    <w:rsid w:val="00A650D7"/>
    <w:rsid w:val="00A66502"/>
    <w:rsid w:val="00A676C1"/>
    <w:rsid w:val="00A7312C"/>
    <w:rsid w:val="00A731C1"/>
    <w:rsid w:val="00A73D03"/>
    <w:rsid w:val="00A74384"/>
    <w:rsid w:val="00A74E94"/>
    <w:rsid w:val="00A7754C"/>
    <w:rsid w:val="00A776AD"/>
    <w:rsid w:val="00A77FC7"/>
    <w:rsid w:val="00A8193E"/>
    <w:rsid w:val="00A82D12"/>
    <w:rsid w:val="00A830FC"/>
    <w:rsid w:val="00A849EE"/>
    <w:rsid w:val="00A86A7E"/>
    <w:rsid w:val="00A92410"/>
    <w:rsid w:val="00A92A76"/>
    <w:rsid w:val="00A9369F"/>
    <w:rsid w:val="00A93BF0"/>
    <w:rsid w:val="00A9400E"/>
    <w:rsid w:val="00A947F1"/>
    <w:rsid w:val="00A96754"/>
    <w:rsid w:val="00A97A0C"/>
    <w:rsid w:val="00AA0197"/>
    <w:rsid w:val="00AA403D"/>
    <w:rsid w:val="00AA5E55"/>
    <w:rsid w:val="00AA6F3C"/>
    <w:rsid w:val="00AB2962"/>
    <w:rsid w:val="00AB5B0D"/>
    <w:rsid w:val="00AC1AFC"/>
    <w:rsid w:val="00AC38F0"/>
    <w:rsid w:val="00AC52AD"/>
    <w:rsid w:val="00AC737A"/>
    <w:rsid w:val="00AD2C28"/>
    <w:rsid w:val="00AD2C69"/>
    <w:rsid w:val="00AD5F4E"/>
    <w:rsid w:val="00AD627E"/>
    <w:rsid w:val="00AE19E4"/>
    <w:rsid w:val="00AE368B"/>
    <w:rsid w:val="00AE4200"/>
    <w:rsid w:val="00AE5B67"/>
    <w:rsid w:val="00AE6EA0"/>
    <w:rsid w:val="00AE71F3"/>
    <w:rsid w:val="00AE799E"/>
    <w:rsid w:val="00AF016C"/>
    <w:rsid w:val="00AF07CE"/>
    <w:rsid w:val="00AF62CA"/>
    <w:rsid w:val="00AF795A"/>
    <w:rsid w:val="00B019E4"/>
    <w:rsid w:val="00B0434A"/>
    <w:rsid w:val="00B04AE8"/>
    <w:rsid w:val="00B05742"/>
    <w:rsid w:val="00B0670F"/>
    <w:rsid w:val="00B069E5"/>
    <w:rsid w:val="00B0715D"/>
    <w:rsid w:val="00B07AF4"/>
    <w:rsid w:val="00B10DE4"/>
    <w:rsid w:val="00B14B3C"/>
    <w:rsid w:val="00B15BBC"/>
    <w:rsid w:val="00B15D7F"/>
    <w:rsid w:val="00B17491"/>
    <w:rsid w:val="00B17C87"/>
    <w:rsid w:val="00B222F5"/>
    <w:rsid w:val="00B24896"/>
    <w:rsid w:val="00B25C5D"/>
    <w:rsid w:val="00B26EED"/>
    <w:rsid w:val="00B3167C"/>
    <w:rsid w:val="00B33053"/>
    <w:rsid w:val="00B3362B"/>
    <w:rsid w:val="00B37330"/>
    <w:rsid w:val="00B405D8"/>
    <w:rsid w:val="00B40EB2"/>
    <w:rsid w:val="00B41151"/>
    <w:rsid w:val="00B4122B"/>
    <w:rsid w:val="00B4507C"/>
    <w:rsid w:val="00B45F51"/>
    <w:rsid w:val="00B45F8B"/>
    <w:rsid w:val="00B46554"/>
    <w:rsid w:val="00B5045A"/>
    <w:rsid w:val="00B50F38"/>
    <w:rsid w:val="00B51FA2"/>
    <w:rsid w:val="00B532FA"/>
    <w:rsid w:val="00B54B70"/>
    <w:rsid w:val="00B5520E"/>
    <w:rsid w:val="00B6022A"/>
    <w:rsid w:val="00B6026C"/>
    <w:rsid w:val="00B61B13"/>
    <w:rsid w:val="00B663BE"/>
    <w:rsid w:val="00B81991"/>
    <w:rsid w:val="00B8281D"/>
    <w:rsid w:val="00B879BD"/>
    <w:rsid w:val="00B92DB1"/>
    <w:rsid w:val="00B9646A"/>
    <w:rsid w:val="00B96CFA"/>
    <w:rsid w:val="00B96FDF"/>
    <w:rsid w:val="00B97332"/>
    <w:rsid w:val="00B977E9"/>
    <w:rsid w:val="00BA0AAD"/>
    <w:rsid w:val="00BA42B4"/>
    <w:rsid w:val="00BA4A32"/>
    <w:rsid w:val="00BA4FEA"/>
    <w:rsid w:val="00BB0373"/>
    <w:rsid w:val="00BB198C"/>
    <w:rsid w:val="00BB1D3B"/>
    <w:rsid w:val="00BB2374"/>
    <w:rsid w:val="00BB28D0"/>
    <w:rsid w:val="00BB3A5A"/>
    <w:rsid w:val="00BB4D07"/>
    <w:rsid w:val="00BB4D6F"/>
    <w:rsid w:val="00BB7ED2"/>
    <w:rsid w:val="00BC1BAE"/>
    <w:rsid w:val="00BC2C14"/>
    <w:rsid w:val="00BC4773"/>
    <w:rsid w:val="00BC60D8"/>
    <w:rsid w:val="00BC7681"/>
    <w:rsid w:val="00BD32A2"/>
    <w:rsid w:val="00BD41B6"/>
    <w:rsid w:val="00BD456E"/>
    <w:rsid w:val="00BE287B"/>
    <w:rsid w:val="00BE2FD5"/>
    <w:rsid w:val="00BE50A9"/>
    <w:rsid w:val="00BE6D83"/>
    <w:rsid w:val="00BF02E8"/>
    <w:rsid w:val="00BF2361"/>
    <w:rsid w:val="00BF4EAB"/>
    <w:rsid w:val="00BF7486"/>
    <w:rsid w:val="00BF788C"/>
    <w:rsid w:val="00C0224D"/>
    <w:rsid w:val="00C022C3"/>
    <w:rsid w:val="00C038BC"/>
    <w:rsid w:val="00C05A0C"/>
    <w:rsid w:val="00C0600E"/>
    <w:rsid w:val="00C13E8E"/>
    <w:rsid w:val="00C15394"/>
    <w:rsid w:val="00C15C52"/>
    <w:rsid w:val="00C17E45"/>
    <w:rsid w:val="00C20338"/>
    <w:rsid w:val="00C2165B"/>
    <w:rsid w:val="00C2483D"/>
    <w:rsid w:val="00C24F94"/>
    <w:rsid w:val="00C2678F"/>
    <w:rsid w:val="00C2689E"/>
    <w:rsid w:val="00C3042F"/>
    <w:rsid w:val="00C318B1"/>
    <w:rsid w:val="00C3488E"/>
    <w:rsid w:val="00C35DDA"/>
    <w:rsid w:val="00C41696"/>
    <w:rsid w:val="00C41EEC"/>
    <w:rsid w:val="00C421FF"/>
    <w:rsid w:val="00C46C8F"/>
    <w:rsid w:val="00C51D06"/>
    <w:rsid w:val="00C54784"/>
    <w:rsid w:val="00C55CDE"/>
    <w:rsid w:val="00C57EBE"/>
    <w:rsid w:val="00C61766"/>
    <w:rsid w:val="00C61B1F"/>
    <w:rsid w:val="00C6202C"/>
    <w:rsid w:val="00C62188"/>
    <w:rsid w:val="00C6221C"/>
    <w:rsid w:val="00C62229"/>
    <w:rsid w:val="00C63CE6"/>
    <w:rsid w:val="00C6500E"/>
    <w:rsid w:val="00C654F3"/>
    <w:rsid w:val="00C657FC"/>
    <w:rsid w:val="00C666A2"/>
    <w:rsid w:val="00C66CA2"/>
    <w:rsid w:val="00C67D1E"/>
    <w:rsid w:val="00C706C5"/>
    <w:rsid w:val="00C7539B"/>
    <w:rsid w:val="00C772BE"/>
    <w:rsid w:val="00C82020"/>
    <w:rsid w:val="00C82AEF"/>
    <w:rsid w:val="00C83AF5"/>
    <w:rsid w:val="00C840A9"/>
    <w:rsid w:val="00C85C6E"/>
    <w:rsid w:val="00C87809"/>
    <w:rsid w:val="00C94C3B"/>
    <w:rsid w:val="00C96826"/>
    <w:rsid w:val="00CA185C"/>
    <w:rsid w:val="00CA20AA"/>
    <w:rsid w:val="00CA2BAA"/>
    <w:rsid w:val="00CA3238"/>
    <w:rsid w:val="00CB2058"/>
    <w:rsid w:val="00CB20C0"/>
    <w:rsid w:val="00CB592F"/>
    <w:rsid w:val="00CC02B0"/>
    <w:rsid w:val="00CC076C"/>
    <w:rsid w:val="00CC0CF5"/>
    <w:rsid w:val="00CC1B39"/>
    <w:rsid w:val="00CC32C8"/>
    <w:rsid w:val="00CC49F7"/>
    <w:rsid w:val="00CC4E8B"/>
    <w:rsid w:val="00CD39C3"/>
    <w:rsid w:val="00CD4E3A"/>
    <w:rsid w:val="00CD4E68"/>
    <w:rsid w:val="00CD51A2"/>
    <w:rsid w:val="00CD6B51"/>
    <w:rsid w:val="00CD7E53"/>
    <w:rsid w:val="00CE11A2"/>
    <w:rsid w:val="00CE14FB"/>
    <w:rsid w:val="00CE26EC"/>
    <w:rsid w:val="00CE3060"/>
    <w:rsid w:val="00CE49B8"/>
    <w:rsid w:val="00CE5619"/>
    <w:rsid w:val="00CE6D12"/>
    <w:rsid w:val="00CE712F"/>
    <w:rsid w:val="00CF08C6"/>
    <w:rsid w:val="00D00A2D"/>
    <w:rsid w:val="00D051C3"/>
    <w:rsid w:val="00D06470"/>
    <w:rsid w:val="00D1136D"/>
    <w:rsid w:val="00D120B1"/>
    <w:rsid w:val="00D12886"/>
    <w:rsid w:val="00D13538"/>
    <w:rsid w:val="00D13C2E"/>
    <w:rsid w:val="00D1472C"/>
    <w:rsid w:val="00D14D82"/>
    <w:rsid w:val="00D16314"/>
    <w:rsid w:val="00D17A7C"/>
    <w:rsid w:val="00D17C62"/>
    <w:rsid w:val="00D20054"/>
    <w:rsid w:val="00D20787"/>
    <w:rsid w:val="00D20FF3"/>
    <w:rsid w:val="00D2124B"/>
    <w:rsid w:val="00D2331F"/>
    <w:rsid w:val="00D23494"/>
    <w:rsid w:val="00D238A3"/>
    <w:rsid w:val="00D26564"/>
    <w:rsid w:val="00D3167F"/>
    <w:rsid w:val="00D31947"/>
    <w:rsid w:val="00D31C87"/>
    <w:rsid w:val="00D33923"/>
    <w:rsid w:val="00D35527"/>
    <w:rsid w:val="00D37F45"/>
    <w:rsid w:val="00D40795"/>
    <w:rsid w:val="00D412EC"/>
    <w:rsid w:val="00D42186"/>
    <w:rsid w:val="00D50A14"/>
    <w:rsid w:val="00D51349"/>
    <w:rsid w:val="00D51B97"/>
    <w:rsid w:val="00D54840"/>
    <w:rsid w:val="00D55103"/>
    <w:rsid w:val="00D57753"/>
    <w:rsid w:val="00D60A26"/>
    <w:rsid w:val="00D64475"/>
    <w:rsid w:val="00D65092"/>
    <w:rsid w:val="00D7124C"/>
    <w:rsid w:val="00D72612"/>
    <w:rsid w:val="00D74717"/>
    <w:rsid w:val="00D828F1"/>
    <w:rsid w:val="00D84727"/>
    <w:rsid w:val="00D8472B"/>
    <w:rsid w:val="00D855AC"/>
    <w:rsid w:val="00D85843"/>
    <w:rsid w:val="00D85941"/>
    <w:rsid w:val="00D9026E"/>
    <w:rsid w:val="00D909E7"/>
    <w:rsid w:val="00D9180F"/>
    <w:rsid w:val="00D91D28"/>
    <w:rsid w:val="00D92B46"/>
    <w:rsid w:val="00D9513C"/>
    <w:rsid w:val="00D9672A"/>
    <w:rsid w:val="00DA0FA4"/>
    <w:rsid w:val="00DA1DB7"/>
    <w:rsid w:val="00DA1E8B"/>
    <w:rsid w:val="00DA226E"/>
    <w:rsid w:val="00DA32FF"/>
    <w:rsid w:val="00DA3D73"/>
    <w:rsid w:val="00DA4BA8"/>
    <w:rsid w:val="00DA5BAF"/>
    <w:rsid w:val="00DA6B79"/>
    <w:rsid w:val="00DB0175"/>
    <w:rsid w:val="00DB032D"/>
    <w:rsid w:val="00DB0885"/>
    <w:rsid w:val="00DB1FC1"/>
    <w:rsid w:val="00DB2016"/>
    <w:rsid w:val="00DB341C"/>
    <w:rsid w:val="00DB44FD"/>
    <w:rsid w:val="00DB5777"/>
    <w:rsid w:val="00DB7A6B"/>
    <w:rsid w:val="00DB7CA8"/>
    <w:rsid w:val="00DC1C93"/>
    <w:rsid w:val="00DC3B88"/>
    <w:rsid w:val="00DC40F3"/>
    <w:rsid w:val="00DC6323"/>
    <w:rsid w:val="00DC66F0"/>
    <w:rsid w:val="00DC702E"/>
    <w:rsid w:val="00DD0325"/>
    <w:rsid w:val="00DD03FF"/>
    <w:rsid w:val="00DD0987"/>
    <w:rsid w:val="00DD47E9"/>
    <w:rsid w:val="00DD5BA0"/>
    <w:rsid w:val="00DD71C6"/>
    <w:rsid w:val="00DE0214"/>
    <w:rsid w:val="00DE1A9B"/>
    <w:rsid w:val="00DE2684"/>
    <w:rsid w:val="00DE2BF9"/>
    <w:rsid w:val="00DE5E25"/>
    <w:rsid w:val="00DE7876"/>
    <w:rsid w:val="00DE78EA"/>
    <w:rsid w:val="00DF2B61"/>
    <w:rsid w:val="00DF479B"/>
    <w:rsid w:val="00DF60D9"/>
    <w:rsid w:val="00DF628C"/>
    <w:rsid w:val="00DF7D3D"/>
    <w:rsid w:val="00E01B76"/>
    <w:rsid w:val="00E01DF8"/>
    <w:rsid w:val="00E0352B"/>
    <w:rsid w:val="00E04EA0"/>
    <w:rsid w:val="00E064AF"/>
    <w:rsid w:val="00E14F02"/>
    <w:rsid w:val="00E209B1"/>
    <w:rsid w:val="00E218DC"/>
    <w:rsid w:val="00E22C01"/>
    <w:rsid w:val="00E23BAB"/>
    <w:rsid w:val="00E2564C"/>
    <w:rsid w:val="00E258CE"/>
    <w:rsid w:val="00E25AA1"/>
    <w:rsid w:val="00E26C8B"/>
    <w:rsid w:val="00E274B9"/>
    <w:rsid w:val="00E3073E"/>
    <w:rsid w:val="00E32309"/>
    <w:rsid w:val="00E3404E"/>
    <w:rsid w:val="00E3735C"/>
    <w:rsid w:val="00E4125A"/>
    <w:rsid w:val="00E4269E"/>
    <w:rsid w:val="00E43C08"/>
    <w:rsid w:val="00E43FA4"/>
    <w:rsid w:val="00E46463"/>
    <w:rsid w:val="00E46A38"/>
    <w:rsid w:val="00E50CCF"/>
    <w:rsid w:val="00E53415"/>
    <w:rsid w:val="00E5477E"/>
    <w:rsid w:val="00E565F1"/>
    <w:rsid w:val="00E6006C"/>
    <w:rsid w:val="00E631CB"/>
    <w:rsid w:val="00E65953"/>
    <w:rsid w:val="00E65EE0"/>
    <w:rsid w:val="00E662D3"/>
    <w:rsid w:val="00E6719D"/>
    <w:rsid w:val="00E6777E"/>
    <w:rsid w:val="00E73038"/>
    <w:rsid w:val="00E73E47"/>
    <w:rsid w:val="00E74238"/>
    <w:rsid w:val="00E74DB8"/>
    <w:rsid w:val="00E751AC"/>
    <w:rsid w:val="00E75741"/>
    <w:rsid w:val="00E76325"/>
    <w:rsid w:val="00E768CF"/>
    <w:rsid w:val="00E76E99"/>
    <w:rsid w:val="00E82350"/>
    <w:rsid w:val="00E82752"/>
    <w:rsid w:val="00E84FDD"/>
    <w:rsid w:val="00E85DA9"/>
    <w:rsid w:val="00E8687C"/>
    <w:rsid w:val="00E86B2A"/>
    <w:rsid w:val="00E90902"/>
    <w:rsid w:val="00E91AB0"/>
    <w:rsid w:val="00E94734"/>
    <w:rsid w:val="00E969BC"/>
    <w:rsid w:val="00E97B6E"/>
    <w:rsid w:val="00E97FAC"/>
    <w:rsid w:val="00EA18C6"/>
    <w:rsid w:val="00EA2870"/>
    <w:rsid w:val="00EA46AC"/>
    <w:rsid w:val="00EA6A2A"/>
    <w:rsid w:val="00EA7AF9"/>
    <w:rsid w:val="00EB47DA"/>
    <w:rsid w:val="00EB5E50"/>
    <w:rsid w:val="00EB6114"/>
    <w:rsid w:val="00EB6500"/>
    <w:rsid w:val="00EB67C6"/>
    <w:rsid w:val="00EB6F5C"/>
    <w:rsid w:val="00EB75D9"/>
    <w:rsid w:val="00EC406C"/>
    <w:rsid w:val="00EC68B7"/>
    <w:rsid w:val="00ED1C47"/>
    <w:rsid w:val="00ED212D"/>
    <w:rsid w:val="00ED472D"/>
    <w:rsid w:val="00ED5E25"/>
    <w:rsid w:val="00ED71B9"/>
    <w:rsid w:val="00ED7AAD"/>
    <w:rsid w:val="00EE1532"/>
    <w:rsid w:val="00EE2449"/>
    <w:rsid w:val="00EE3784"/>
    <w:rsid w:val="00EE4B2B"/>
    <w:rsid w:val="00EE52B0"/>
    <w:rsid w:val="00EE65F5"/>
    <w:rsid w:val="00EF13AD"/>
    <w:rsid w:val="00EF1BF9"/>
    <w:rsid w:val="00EF20B2"/>
    <w:rsid w:val="00EF410C"/>
    <w:rsid w:val="00EF41FF"/>
    <w:rsid w:val="00EF43FE"/>
    <w:rsid w:val="00EF4D31"/>
    <w:rsid w:val="00EF6E7A"/>
    <w:rsid w:val="00F04601"/>
    <w:rsid w:val="00F0553A"/>
    <w:rsid w:val="00F0750B"/>
    <w:rsid w:val="00F2007C"/>
    <w:rsid w:val="00F22797"/>
    <w:rsid w:val="00F24810"/>
    <w:rsid w:val="00F250CE"/>
    <w:rsid w:val="00F27EC0"/>
    <w:rsid w:val="00F30FE2"/>
    <w:rsid w:val="00F320EB"/>
    <w:rsid w:val="00F33D46"/>
    <w:rsid w:val="00F355DE"/>
    <w:rsid w:val="00F36FB1"/>
    <w:rsid w:val="00F43394"/>
    <w:rsid w:val="00F44082"/>
    <w:rsid w:val="00F47B7D"/>
    <w:rsid w:val="00F504B6"/>
    <w:rsid w:val="00F507CE"/>
    <w:rsid w:val="00F50800"/>
    <w:rsid w:val="00F51EF0"/>
    <w:rsid w:val="00F559EF"/>
    <w:rsid w:val="00F56B18"/>
    <w:rsid w:val="00F57389"/>
    <w:rsid w:val="00F57F3C"/>
    <w:rsid w:val="00F64664"/>
    <w:rsid w:val="00F65FE2"/>
    <w:rsid w:val="00F70568"/>
    <w:rsid w:val="00F741C4"/>
    <w:rsid w:val="00F74716"/>
    <w:rsid w:val="00F752FE"/>
    <w:rsid w:val="00F75E71"/>
    <w:rsid w:val="00F804CF"/>
    <w:rsid w:val="00F83080"/>
    <w:rsid w:val="00F83A2C"/>
    <w:rsid w:val="00F83BFE"/>
    <w:rsid w:val="00F8737E"/>
    <w:rsid w:val="00F87F3C"/>
    <w:rsid w:val="00F9195E"/>
    <w:rsid w:val="00F950A5"/>
    <w:rsid w:val="00F95DE9"/>
    <w:rsid w:val="00F96A96"/>
    <w:rsid w:val="00FA433E"/>
    <w:rsid w:val="00FA6FEB"/>
    <w:rsid w:val="00FB00E8"/>
    <w:rsid w:val="00FB00F0"/>
    <w:rsid w:val="00FB04BC"/>
    <w:rsid w:val="00FB0847"/>
    <w:rsid w:val="00FB0DC3"/>
    <w:rsid w:val="00FB1777"/>
    <w:rsid w:val="00FB2B3E"/>
    <w:rsid w:val="00FB4DBE"/>
    <w:rsid w:val="00FB51D2"/>
    <w:rsid w:val="00FB691B"/>
    <w:rsid w:val="00FC174D"/>
    <w:rsid w:val="00FC1F73"/>
    <w:rsid w:val="00FC3394"/>
    <w:rsid w:val="00FC3A75"/>
    <w:rsid w:val="00FC3C3D"/>
    <w:rsid w:val="00FC6D1B"/>
    <w:rsid w:val="00FC7724"/>
    <w:rsid w:val="00FD018A"/>
    <w:rsid w:val="00FD0759"/>
    <w:rsid w:val="00FD2E75"/>
    <w:rsid w:val="00FD3C78"/>
    <w:rsid w:val="00FD5158"/>
    <w:rsid w:val="00FD533B"/>
    <w:rsid w:val="00FD5D82"/>
    <w:rsid w:val="00FE061D"/>
    <w:rsid w:val="00FE1DA5"/>
    <w:rsid w:val="00FE5923"/>
    <w:rsid w:val="00FE7024"/>
    <w:rsid w:val="00FF0081"/>
    <w:rsid w:val="00FF0E3C"/>
    <w:rsid w:val="018BED67"/>
    <w:rsid w:val="019BA9A0"/>
    <w:rsid w:val="024A78C6"/>
    <w:rsid w:val="030FEC24"/>
    <w:rsid w:val="04BC1713"/>
    <w:rsid w:val="04BDEFD6"/>
    <w:rsid w:val="058A0BCC"/>
    <w:rsid w:val="05AE02D1"/>
    <w:rsid w:val="0626A8BD"/>
    <w:rsid w:val="06905E0B"/>
    <w:rsid w:val="07EBEF2E"/>
    <w:rsid w:val="084F783C"/>
    <w:rsid w:val="08A77A27"/>
    <w:rsid w:val="08B595AB"/>
    <w:rsid w:val="0982F6AD"/>
    <w:rsid w:val="0A2F4C7B"/>
    <w:rsid w:val="0A634146"/>
    <w:rsid w:val="0B41EE01"/>
    <w:rsid w:val="0B6ABA44"/>
    <w:rsid w:val="0B852CF9"/>
    <w:rsid w:val="0BF13CE8"/>
    <w:rsid w:val="0C221AE3"/>
    <w:rsid w:val="0C6E07C7"/>
    <w:rsid w:val="0C6EA90A"/>
    <w:rsid w:val="0D2D4A82"/>
    <w:rsid w:val="0D3EE975"/>
    <w:rsid w:val="0D7A81AE"/>
    <w:rsid w:val="0DCEAEBF"/>
    <w:rsid w:val="104BC8EF"/>
    <w:rsid w:val="111AB9E3"/>
    <w:rsid w:val="11F6AAA1"/>
    <w:rsid w:val="127202D9"/>
    <w:rsid w:val="128B8C01"/>
    <w:rsid w:val="12EC8FB5"/>
    <w:rsid w:val="13AA62CE"/>
    <w:rsid w:val="13D6F97B"/>
    <w:rsid w:val="14A94EC7"/>
    <w:rsid w:val="14DA0614"/>
    <w:rsid w:val="15594A94"/>
    <w:rsid w:val="15A7546B"/>
    <w:rsid w:val="15C4A575"/>
    <w:rsid w:val="16164300"/>
    <w:rsid w:val="16A64175"/>
    <w:rsid w:val="16EC370A"/>
    <w:rsid w:val="1777B658"/>
    <w:rsid w:val="18325DCD"/>
    <w:rsid w:val="183BFB01"/>
    <w:rsid w:val="18971E5D"/>
    <w:rsid w:val="18A05C77"/>
    <w:rsid w:val="18BD9063"/>
    <w:rsid w:val="1A7BEBE7"/>
    <w:rsid w:val="1B7008A1"/>
    <w:rsid w:val="1B8F97C3"/>
    <w:rsid w:val="1B92B8FE"/>
    <w:rsid w:val="1BA4936A"/>
    <w:rsid w:val="1BFF5D6E"/>
    <w:rsid w:val="1D336C5B"/>
    <w:rsid w:val="1E73206D"/>
    <w:rsid w:val="1E78EBD5"/>
    <w:rsid w:val="1E9C4D59"/>
    <w:rsid w:val="1F680CFF"/>
    <w:rsid w:val="1F8330ED"/>
    <w:rsid w:val="1FFFC2F8"/>
    <w:rsid w:val="20822BA1"/>
    <w:rsid w:val="21F8C2E1"/>
    <w:rsid w:val="22660679"/>
    <w:rsid w:val="228B5C0D"/>
    <w:rsid w:val="22A31ABC"/>
    <w:rsid w:val="22C9BFA0"/>
    <w:rsid w:val="22D0C0D9"/>
    <w:rsid w:val="2300C61A"/>
    <w:rsid w:val="23435B26"/>
    <w:rsid w:val="23B71492"/>
    <w:rsid w:val="23E8D9BD"/>
    <w:rsid w:val="244396DA"/>
    <w:rsid w:val="2573F82C"/>
    <w:rsid w:val="2595C6D2"/>
    <w:rsid w:val="26241E05"/>
    <w:rsid w:val="264CBAD1"/>
    <w:rsid w:val="26E7126F"/>
    <w:rsid w:val="27C00A2A"/>
    <w:rsid w:val="287379DB"/>
    <w:rsid w:val="288E4477"/>
    <w:rsid w:val="28B99A9B"/>
    <w:rsid w:val="28CE367D"/>
    <w:rsid w:val="296E3378"/>
    <w:rsid w:val="29FF29CB"/>
    <w:rsid w:val="2B36CD01"/>
    <w:rsid w:val="2BB3D784"/>
    <w:rsid w:val="2BEACA62"/>
    <w:rsid w:val="2C9512E9"/>
    <w:rsid w:val="2CE79AB1"/>
    <w:rsid w:val="2CFFA9DA"/>
    <w:rsid w:val="2D1BF312"/>
    <w:rsid w:val="2D4116C4"/>
    <w:rsid w:val="2D7A8F1E"/>
    <w:rsid w:val="2F1EA9A6"/>
    <w:rsid w:val="3120676C"/>
    <w:rsid w:val="31D3F052"/>
    <w:rsid w:val="320C3AE7"/>
    <w:rsid w:val="3216BAC5"/>
    <w:rsid w:val="330FF8DD"/>
    <w:rsid w:val="336957AF"/>
    <w:rsid w:val="33A3A556"/>
    <w:rsid w:val="33E429B0"/>
    <w:rsid w:val="34668812"/>
    <w:rsid w:val="34A48349"/>
    <w:rsid w:val="358912F1"/>
    <w:rsid w:val="35F1FB64"/>
    <w:rsid w:val="366A40C1"/>
    <w:rsid w:val="3672ABB7"/>
    <w:rsid w:val="37384302"/>
    <w:rsid w:val="38B86BC0"/>
    <w:rsid w:val="38E4864E"/>
    <w:rsid w:val="3907D4AF"/>
    <w:rsid w:val="39CD1F3A"/>
    <w:rsid w:val="3A29F551"/>
    <w:rsid w:val="3AA4D39B"/>
    <w:rsid w:val="3AAA8452"/>
    <w:rsid w:val="3B54E130"/>
    <w:rsid w:val="3C0A875A"/>
    <w:rsid w:val="3C5560BF"/>
    <w:rsid w:val="3C7B1491"/>
    <w:rsid w:val="3D41649A"/>
    <w:rsid w:val="3DC39924"/>
    <w:rsid w:val="3E7402FA"/>
    <w:rsid w:val="3EE0BE2A"/>
    <w:rsid w:val="4027B601"/>
    <w:rsid w:val="4027F726"/>
    <w:rsid w:val="414A4A40"/>
    <w:rsid w:val="4407B661"/>
    <w:rsid w:val="4419B512"/>
    <w:rsid w:val="448FCD87"/>
    <w:rsid w:val="44B2149F"/>
    <w:rsid w:val="462A8925"/>
    <w:rsid w:val="4662C8CC"/>
    <w:rsid w:val="47A41E7F"/>
    <w:rsid w:val="49289BC3"/>
    <w:rsid w:val="4986A9CC"/>
    <w:rsid w:val="4A43BD4F"/>
    <w:rsid w:val="4A45C191"/>
    <w:rsid w:val="4A6C2021"/>
    <w:rsid w:val="4A97ED4A"/>
    <w:rsid w:val="4A9EE9A7"/>
    <w:rsid w:val="4AFBC7D6"/>
    <w:rsid w:val="4B0364D1"/>
    <w:rsid w:val="4BB0ED8F"/>
    <w:rsid w:val="4C00EB45"/>
    <w:rsid w:val="4C717D9E"/>
    <w:rsid w:val="4C807E6F"/>
    <w:rsid w:val="4D59F7F3"/>
    <w:rsid w:val="4D8B1992"/>
    <w:rsid w:val="4F4E5E1D"/>
    <w:rsid w:val="4F654BC6"/>
    <w:rsid w:val="4F9202A1"/>
    <w:rsid w:val="51348794"/>
    <w:rsid w:val="522D0F66"/>
    <w:rsid w:val="52F90293"/>
    <w:rsid w:val="53CD4D49"/>
    <w:rsid w:val="54977506"/>
    <w:rsid w:val="54B2A5AD"/>
    <w:rsid w:val="557F038C"/>
    <w:rsid w:val="55C23A33"/>
    <w:rsid w:val="5601A337"/>
    <w:rsid w:val="5641C3B2"/>
    <w:rsid w:val="56435CCA"/>
    <w:rsid w:val="564B8061"/>
    <w:rsid w:val="568DD647"/>
    <w:rsid w:val="575C0DD7"/>
    <w:rsid w:val="577BB45A"/>
    <w:rsid w:val="57B03904"/>
    <w:rsid w:val="57E4ADA3"/>
    <w:rsid w:val="58BFC629"/>
    <w:rsid w:val="594A9C21"/>
    <w:rsid w:val="5ABB77CA"/>
    <w:rsid w:val="5AED06D4"/>
    <w:rsid w:val="5E0EF1B4"/>
    <w:rsid w:val="5E2CB7C8"/>
    <w:rsid w:val="5EF3FA46"/>
    <w:rsid w:val="5F5501C4"/>
    <w:rsid w:val="602DDA04"/>
    <w:rsid w:val="60CA3A1A"/>
    <w:rsid w:val="62666162"/>
    <w:rsid w:val="64EF11D9"/>
    <w:rsid w:val="653639BC"/>
    <w:rsid w:val="6567C0F8"/>
    <w:rsid w:val="65BD7258"/>
    <w:rsid w:val="6608A300"/>
    <w:rsid w:val="67209350"/>
    <w:rsid w:val="673DFF33"/>
    <w:rsid w:val="677DA62F"/>
    <w:rsid w:val="67ACD5BE"/>
    <w:rsid w:val="67BF2979"/>
    <w:rsid w:val="67F50FE7"/>
    <w:rsid w:val="69DFFB05"/>
    <w:rsid w:val="6ABBDD61"/>
    <w:rsid w:val="6B44C748"/>
    <w:rsid w:val="6BE786C7"/>
    <w:rsid w:val="6CDBEECD"/>
    <w:rsid w:val="6CDEFDBE"/>
    <w:rsid w:val="6DB9BB28"/>
    <w:rsid w:val="6F4DA7EF"/>
    <w:rsid w:val="6FC722D6"/>
    <w:rsid w:val="70806B92"/>
    <w:rsid w:val="708D97C5"/>
    <w:rsid w:val="71F0EF05"/>
    <w:rsid w:val="72655498"/>
    <w:rsid w:val="7274C6F3"/>
    <w:rsid w:val="732433EA"/>
    <w:rsid w:val="732DDDB1"/>
    <w:rsid w:val="7471D36C"/>
    <w:rsid w:val="74E67D0D"/>
    <w:rsid w:val="7539D387"/>
    <w:rsid w:val="76B19A9B"/>
    <w:rsid w:val="772525E9"/>
    <w:rsid w:val="77A34169"/>
    <w:rsid w:val="77D72B6F"/>
    <w:rsid w:val="77DEA3DD"/>
    <w:rsid w:val="780EA058"/>
    <w:rsid w:val="78DD6F88"/>
    <w:rsid w:val="78DE72B3"/>
    <w:rsid w:val="792015E9"/>
    <w:rsid w:val="7A694627"/>
    <w:rsid w:val="7A951FDC"/>
    <w:rsid w:val="7AB4210E"/>
    <w:rsid w:val="7ACD7DB8"/>
    <w:rsid w:val="7B780351"/>
    <w:rsid w:val="7D8F74E6"/>
    <w:rsid w:val="7DAC32E0"/>
    <w:rsid w:val="7DDFD021"/>
    <w:rsid w:val="7DFC437C"/>
    <w:rsid w:val="7E10ED02"/>
    <w:rsid w:val="7E35844C"/>
    <w:rsid w:val="7EB9CDB1"/>
    <w:rsid w:val="7FDB5F18"/>
    <w:rsid w:val="7FE1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F74F2"/>
  <w15:chartTrackingRefBased/>
  <w15:docId w15:val="{AC4499DD-4219-488D-A9AE-6FC400E2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link w:val="Heading2Char"/>
    <w:uiPriority w:val="9"/>
    <w:qFormat/>
    <w:rsid w:val="00EB61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6C00D9"/>
    <w:pPr>
      <w:spacing w:line="276" w:lineRule="auto"/>
      <w:jc w:val="center"/>
    </w:pPr>
    <w:rPr>
      <w:rFonts w:ascii="Calibri" w:eastAsiaTheme="minorHAnsi" w:hAnsi="Calibri" w:cs="Calibri"/>
      <w:noProof/>
      <w:sz w:val="22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C00D9"/>
    <w:rPr>
      <w:rFonts w:ascii="Calibri" w:hAnsi="Calibri" w:cs="Calibri"/>
      <w:noProof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6C00D9"/>
    <w:pPr>
      <w:spacing w:after="200"/>
    </w:pPr>
    <w:rPr>
      <w:rFonts w:ascii="Calibri" w:eastAsiaTheme="minorHAnsi" w:hAnsi="Calibri" w:cs="Calibri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6C00D9"/>
    <w:rPr>
      <w:rFonts w:ascii="Calibri" w:hAnsi="Calibri" w:cs="Calibri"/>
      <w:noProof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C477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4773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C477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4773"/>
    <w:rPr>
      <w:lang w:bidi="ar-SA"/>
    </w:rPr>
  </w:style>
  <w:style w:type="table" w:styleId="TableGrid">
    <w:name w:val="Table Grid"/>
    <w:basedOn w:val="TableNormal"/>
    <w:uiPriority w:val="39"/>
    <w:rsid w:val="00BC47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0D6C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7C6E4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6E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061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615A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615A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15A"/>
    <w:rPr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20615A"/>
    <w:pPr>
      <w:spacing w:after="0" w:line="240" w:lineRule="auto"/>
    </w:pPr>
    <w:rPr>
      <w:lang w:bidi="ar-SA"/>
    </w:rPr>
  </w:style>
  <w:style w:type="paragraph" w:styleId="ListParagraph">
    <w:name w:val="List Paragraph"/>
    <w:basedOn w:val="Normal"/>
    <w:uiPriority w:val="34"/>
    <w:qFormat/>
    <w:rsid w:val="002354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1193B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193B"/>
    <w:rPr>
      <w:sz w:val="20"/>
      <w:szCs w:val="20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01193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193B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193B"/>
    <w:rPr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01193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054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054"/>
    <w:rPr>
      <w:rFonts w:ascii="Segoe UI" w:hAnsi="Segoe UI" w:cs="Segoe UI"/>
      <w:sz w:val="18"/>
      <w:szCs w:val="18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D51B97"/>
    <w:rPr>
      <w:color w:val="605E5C"/>
      <w:shd w:val="clear" w:color="auto" w:fill="E1DFDD"/>
    </w:rPr>
  </w:style>
  <w:style w:type="character" w:customStyle="1" w:styleId="stratlabel">
    <w:name w:val="stratlabel"/>
    <w:basedOn w:val="DefaultParagraphFont"/>
    <w:rsid w:val="005C1D40"/>
  </w:style>
  <w:style w:type="character" w:customStyle="1" w:styleId="stratn">
    <w:name w:val="stratn"/>
    <w:basedOn w:val="DefaultParagraphFont"/>
    <w:rsid w:val="005C1D40"/>
  </w:style>
  <w:style w:type="character" w:customStyle="1" w:styleId="Heading2Char">
    <w:name w:val="Heading 2 Char"/>
    <w:basedOn w:val="DefaultParagraphFont"/>
    <w:link w:val="Heading2"/>
    <w:uiPriority w:val="9"/>
    <w:rsid w:val="00EB6114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NormalWeb">
    <w:name w:val="Normal (Web)"/>
    <w:basedOn w:val="Normal"/>
    <w:uiPriority w:val="99"/>
    <w:semiHidden/>
    <w:unhideWhenUsed/>
    <w:rsid w:val="00EB6114"/>
    <w:pPr>
      <w:spacing w:before="100" w:beforeAutospacing="1" w:after="100" w:afterAutospacing="1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FC2CF-F0FE-45FD-8804-C2D1D9F5FDC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25fff9c-3f63-4fb2-9a8a-d9bdd0321f9a}" enabled="0" method="" siteId="{a25fff9c-3f63-4fb2-9a8a-d9bdd0321f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Jonah Fox</dc:creator>
  <cp:keywords/>
  <dc:description/>
  <cp:lastModifiedBy>Fox, Jonah</cp:lastModifiedBy>
  <cp:revision>132</cp:revision>
  <dcterms:created xsi:type="dcterms:W3CDTF">2024-08-08T20:56:00Z</dcterms:created>
  <dcterms:modified xsi:type="dcterms:W3CDTF">2024-09-04T21:22:00Z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zotero-version="5.0.96.3"&gt;&lt;session id="k9JQK7Z2"/&gt;&lt;style id="http://www.zotero.org/styles/american-medical-association" hasBibliography="1" bibliographyStyleHasBeenSet="0"/&gt;&lt;prefs&gt;&lt;pref name="fieldType" value="Field"/&gt;&lt;pref name="au</vt:lpwstr>
  </property>
  <property fmtid="{D5CDD505-2E9C-101B-9397-08002B2CF9AE}" pid="3" name="ZOTERO_PREF_2">
    <vt:lpwstr>tomaticJournalAbbreviations" value="true"/&gt;&lt;/prefs&gt;&lt;/data&gt;</vt:lpwstr>
  </property>
  <property fmtid="{D5CDD505-2E9C-101B-9397-08002B2CF9AE}" pid="4" name="MSIP_Label_792c8cef-6f2b-4af1-b4ac-d815ff795cd6_Enabled">
    <vt:lpwstr>true</vt:lpwstr>
  </property>
  <property fmtid="{D5CDD505-2E9C-101B-9397-08002B2CF9AE}" pid="5" name="MSIP_Label_792c8cef-6f2b-4af1-b4ac-d815ff795cd6_SetDate">
    <vt:lpwstr>2023-09-06T13:44:19Z</vt:lpwstr>
  </property>
  <property fmtid="{D5CDD505-2E9C-101B-9397-08002B2CF9AE}" pid="6" name="MSIP_Label_792c8cef-6f2b-4af1-b4ac-d815ff795cd6_Method">
    <vt:lpwstr>Standard</vt:lpwstr>
  </property>
  <property fmtid="{D5CDD505-2E9C-101B-9397-08002B2CF9AE}" pid="7" name="MSIP_Label_792c8cef-6f2b-4af1-b4ac-d815ff795cd6_Name">
    <vt:lpwstr>VUMC General</vt:lpwstr>
  </property>
  <property fmtid="{D5CDD505-2E9C-101B-9397-08002B2CF9AE}" pid="8" name="MSIP_Label_792c8cef-6f2b-4af1-b4ac-d815ff795cd6_SiteId">
    <vt:lpwstr>ef575030-1424-4ed8-b83c-12c533d879ab</vt:lpwstr>
  </property>
  <property fmtid="{D5CDD505-2E9C-101B-9397-08002B2CF9AE}" pid="9" name="MSIP_Label_792c8cef-6f2b-4af1-b4ac-d815ff795cd6_ActionId">
    <vt:lpwstr>2249955f-f45d-47f6-9b05-4120c0ec17b4</vt:lpwstr>
  </property>
  <property fmtid="{D5CDD505-2E9C-101B-9397-08002B2CF9AE}" pid="10" name="MSIP_Label_792c8cef-6f2b-4af1-b4ac-d815ff795cd6_ContentBits">
    <vt:lpwstr>0</vt:lpwstr>
  </property>
</Properties>
</file>