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9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835"/>
        <w:gridCol w:w="1009"/>
        <w:gridCol w:w="835"/>
        <w:gridCol w:w="1009"/>
        <w:gridCol w:w="791"/>
        <w:gridCol w:w="956"/>
        <w:gridCol w:w="791"/>
        <w:gridCol w:w="1150"/>
      </w:tblGrid>
      <w:tr w14:paraId="7BFA3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2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37DBCD"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368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E2690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premenopausal cohort</w:t>
            </w:r>
          </w:p>
        </w:tc>
        <w:tc>
          <w:tcPr>
            <w:tcW w:w="368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8850D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postmenopausal cohort</w:t>
            </w:r>
          </w:p>
        </w:tc>
      </w:tr>
      <w:tr w14:paraId="5729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22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F71B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3C81F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24h-UFC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A4A4A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ACTH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C0532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24h-UFC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65347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ACTH</w:t>
            </w:r>
          </w:p>
        </w:tc>
      </w:tr>
      <w:tr w14:paraId="355C3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22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4A403F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1AA270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C51806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P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23C0B2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68D6BE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P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B303FD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34057D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P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79575A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r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1D6677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P value</w:t>
            </w:r>
          </w:p>
        </w:tc>
      </w:tr>
      <w:tr w14:paraId="5809C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B145A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FSH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E7FA3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77126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0.970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83EEC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F56E1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0.592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09664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0.078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ECBB6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0.049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9176E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0.212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F719C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0.002</w:t>
            </w:r>
          </w:p>
        </w:tc>
      </w:tr>
      <w:tr w14:paraId="340F3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9B2A1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LH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91A5C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64507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164E8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B9028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7B4FB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813E4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65DE8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0.212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BE1D7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0.002</w:t>
            </w:r>
          </w:p>
        </w:tc>
      </w:tr>
      <w:tr w14:paraId="7DDCB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C0873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TT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BE5AC8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BFE407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B16AD98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BAE442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95CEFD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E164AB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45575C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0.197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F8F376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0.003</w:t>
            </w:r>
          </w:p>
        </w:tc>
      </w:tr>
    </w:tbl>
    <w:p w14:paraId="311E19B5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vertAlign w:val="baseline"/>
          <w:lang w:val="en-US" w:eastAsia="zh-CN"/>
        </w:rPr>
        <w:t xml:space="preserve">Supplementary Table S1. Correlation between productive hormones with 24h-UFC and plasma ACTH levels in premenopausal and postmenopausal women. </w:t>
      </w:r>
      <w:r>
        <w:rPr>
          <w:rFonts w:hint="default" w:ascii="Times New Roman" w:hAnsi="Times New Roman" w:cs="Times New Roman"/>
          <w:lang w:val="en-US" w:eastAsia="zh-CN"/>
        </w:rPr>
        <w:t xml:space="preserve">Pearson correlations (r) were calculated squares. 24h-UFC, 24h urinary-free cortisol; ACTH,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adrenocorticotrophic hormone; FSH, </w:t>
      </w:r>
      <w:r>
        <w:rPr>
          <w:rFonts w:hint="default" w:ascii="Times New Roman" w:hAnsi="Times New Roman" w:cs="Times New Roman"/>
          <w:lang w:val="en-US" w:eastAsia="zh-CN"/>
        </w:rPr>
        <w:t>Follicle-stimulating hormone; LH, Luteinizing hormone; TT, total testosterone.</w:t>
      </w:r>
    </w:p>
    <w:p w14:paraId="333458CA">
      <w:pPr>
        <w:rPr>
          <w:rFonts w:hint="default" w:ascii="Times New Roman" w:hAnsi="Times New Roman" w:cs="Times New Roman"/>
          <w:lang w:val="en-US" w:eastAsia="zh-CN"/>
        </w:rPr>
      </w:pPr>
    </w:p>
    <w:p w14:paraId="75EF474D">
      <w:pPr>
        <w:jc w:val="left"/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13C958E3"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2142490" cy="2712720"/>
            <wp:effectExtent l="0" t="0" r="0" b="0"/>
            <wp:docPr id="5" name="图片 5" descr="supplementary figure FSH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upplementary figure FSHLH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B84B3">
      <w:p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Supplementary Figure S1. Scatter plots of FSH:LH ratios. </w:t>
      </w:r>
      <w:r>
        <w:rPr>
          <w:rFonts w:hint="default" w:ascii="Times New Roman" w:hAnsi="Times New Roman" w:cs="Times New Roman"/>
          <w:lang w:val="en-US" w:eastAsia="zh-CN"/>
        </w:rPr>
        <w:t xml:space="preserve">All comparison between the three subgroups are shown by brackets,asterisks or text.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FSH, </w:t>
      </w:r>
      <w:r>
        <w:rPr>
          <w:rFonts w:hint="default" w:ascii="Times New Roman" w:hAnsi="Times New Roman" w:cs="Times New Roman"/>
          <w:lang w:val="en-US" w:eastAsia="zh-CN"/>
        </w:rPr>
        <w:t>Follicle-stimulating hormone; LH, Luteinizing hormone; AI-CS, ACTH-independent Cushing’s syndrome; CD, Cushing’s disease; EAS, ectopic ACTH syndrome. ***, P&lt;0.001; **, P&lt;0.01.</w:t>
      </w:r>
    </w:p>
    <w:p w14:paraId="3F311738"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3898265" cy="4660900"/>
            <wp:effectExtent l="0" t="0" r="0" b="0"/>
            <wp:docPr id="7" name="图片 7" descr="Supplementary Figure S2 post and p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upplementary Figure S2 post and p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8265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78510">
      <w:p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Supplementary Figure S2. Scatter plots of LH and FSH in women separated by menstruation.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(A)-(B), premenopausal women with CS were included. (C)-(D), postmenopausal women with CS were included.</w:t>
      </w:r>
      <w:r>
        <w:rPr>
          <w:rFonts w:hint="default" w:ascii="Times New Roman" w:hAnsi="Times New Roman" w:cs="Times New Roman"/>
          <w:lang w:val="en-US" w:eastAsia="zh-CN"/>
        </w:rPr>
        <w:t xml:space="preserve"> All comparison are shown by brackets,asterisks or text.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FSH, </w:t>
      </w:r>
      <w:r>
        <w:rPr>
          <w:rFonts w:hint="default" w:ascii="Times New Roman" w:hAnsi="Times New Roman" w:cs="Times New Roman"/>
          <w:lang w:val="en-US" w:eastAsia="zh-CN"/>
        </w:rPr>
        <w:t>Follicle-stimulating hormone; LH, Luteinizing hormone; AI-CS, ACTH-independent Cushing’s syndrome; CD, Cushing’s disease; EAS, ectopic ACTH syndrome. ***, P&lt;0.001; **, P&lt;0.01; *, P&lt;0.05; ns, not significant.</w:t>
      </w:r>
    </w:p>
    <w:p w14:paraId="3B5FB28A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vertAlign w:val="baseline"/>
          <w:lang w:val="en-US" w:eastAsia="zh-CN"/>
        </w:rPr>
        <w:drawing>
          <wp:inline distT="0" distB="0" distL="114300" distR="114300">
            <wp:extent cx="5021580" cy="6231890"/>
            <wp:effectExtent l="0" t="0" r="0" b="0"/>
            <wp:docPr id="8" name="图片 8" descr="supplementary 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upplementary fig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623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87899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Supplementary Figure S3. Scatter plots of plasma androgen.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Total </w:t>
      </w:r>
      <w:r>
        <w:rPr>
          <w:rFonts w:hint="default" w:ascii="Times New Roman" w:hAnsi="Times New Roman" w:cs="Times New Roman"/>
          <w:lang w:val="en-US" w:eastAsia="zh-CN"/>
        </w:rPr>
        <w:t>testosterone,androstenedione, DHEA and DHEAS values are displayed in (A)-(D), respectively. Comparison between the two groups are shown by brackets, asterisks or text. DHEA, dehydroepiandrosterone; DHEAS, DHEA sulfate; AI-CS, ACTH-independent Cushing’s syndrome; CD, Cushing’s disease. ***, P&lt;0.001.</w:t>
      </w:r>
    </w:p>
    <w:p w14:paraId="555D6A45"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3164840" cy="4938395"/>
            <wp:effectExtent l="0" t="0" r="0" b="0"/>
            <wp:docPr id="9" name="图片 9" descr="supplementary figure ACTH&amp;DHEA(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upplementary figure ACTH&amp;DHEA(S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4840" cy="493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315A0">
      <w:p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Supplementary Figure S4. Linear regressions between ACTH and DHEA and DHEAS. </w:t>
      </w:r>
      <w:r>
        <w:rPr>
          <w:rFonts w:hint="default" w:ascii="Times New Roman" w:hAnsi="Times New Roman" w:cs="Times New Roman"/>
          <w:lang w:val="en-US" w:eastAsia="zh-CN"/>
        </w:rPr>
        <w:t xml:space="preserve">Pearson correlations(r) were calculated squares. DHEA, dehydroepiandrosterone; DHEAS, DHEA sulfate; ACTH,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adrenocorticotrophic hormone.</w:t>
      </w:r>
    </w:p>
    <w:p w14:paraId="2B017680"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3802380" cy="6835775"/>
            <wp:effectExtent l="0" t="0" r="0" b="0"/>
            <wp:docPr id="10" name="图片 10" descr="supplementary figureThyroid linear regre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upplementary figureThyroid linear regression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683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6EA20">
      <w:pPr>
        <w:jc w:val="both"/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Supplementary Figure S5. Linear regressions between FT3 and the tensity of hypercortisolism. </w:t>
      </w:r>
      <w:r>
        <w:rPr>
          <w:rFonts w:hint="default" w:ascii="Times New Roman" w:hAnsi="Times New Roman" w:cs="Times New Roman"/>
          <w:lang w:val="en-US" w:eastAsia="zh-CN"/>
        </w:rPr>
        <w:t>Pearson correlations(r) were calculated squares. 24h-UFC, 24h urinary-free cortisol; ACTH, adrenocorticotrophic hormone.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lnNumType w:countBy="1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D397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AEC5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0AEC5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MDI4NzhiMTljMTU4YTk5YWU2MmExYjRhNWM1OGIifQ=="/>
  </w:docVars>
  <w:rsids>
    <w:rsidRoot w:val="00000000"/>
    <w:rsid w:val="5203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emf"/><Relationship Id="rId7" Type="http://schemas.openxmlformats.org/officeDocument/2006/relationships/image" Target="media/image3.tiff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2024-10-30T11:51:30Z</dcterms:created>
  <dc:creator>余安婷</dc:creator>
  <cp:lastModifiedBy>余安婷</cp:lastModifiedBy>
  <dcterms:modified xsi:type="dcterms:W3CDTF">2024-10-30T11:51:35Z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CBDC706A534C4644B5DA319592A11C08_12</vt:lpwstr>
  </property>
</Properties>
</file>