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7680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802380" cy="6835775"/>
            <wp:effectExtent l="0" t="0" r="0" b="0"/>
            <wp:docPr id="10" name="图片 10" descr="supplementary figureThyroid linear reg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pplementary figureThyroid linear regressio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683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3C6E9">
      <w:pPr>
        <w:jc w:val="both"/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Supplementary Figure S5. Linear regressions between FT3 and the tensity of hypercortisolism. </w:t>
      </w:r>
      <w:r>
        <w:rPr>
          <w:rFonts w:hint="default" w:ascii="Times New Roman" w:hAnsi="Times New Roman" w:cs="Times New Roman"/>
          <w:lang w:val="en-US" w:eastAsia="zh-CN"/>
        </w:rPr>
        <w:t>Pearson correlations(r) were calculated squares. 24h-UFC, 24h urinary-free cortisol; ACTH, adrenocorticotrophic hormone.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MDI4NzhiMTljMTU4YTk5YWU2MmExYjRhNWM1OGIifQ=="/>
  </w:docVars>
  <w:rsids>
    <w:rsidRoot w:val="00000000"/>
    <w:rsid w:val="51D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2024-10-30T11:58:05Z</dcterms:created>
  <dc:creator>余安婷</dc:creator>
  <cp:lastModifiedBy>余安婷</cp:lastModifiedBy>
  <dcterms:modified xsi:type="dcterms:W3CDTF">2024-10-30T11:58:37Z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FDD776255F0B4CB6B8DEB108930C78D4_12</vt:lpwstr>
  </property>
</Properties>
</file>