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FB28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vertAlign w:val="baseline"/>
          <w:lang w:val="en-US" w:eastAsia="zh-CN"/>
        </w:rPr>
        <w:drawing>
          <wp:inline distT="0" distB="0" distL="114300" distR="114300">
            <wp:extent cx="5021580" cy="6231890"/>
            <wp:effectExtent l="0" t="0" r="0" b="0"/>
            <wp:docPr id="8" name="图片 8" descr="supplementary 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pplementary fig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623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ABE1B"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Supplementary Figure S3. Scatter plots of plasma androgen.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Total </w:t>
      </w:r>
      <w:r>
        <w:rPr>
          <w:rFonts w:hint="default" w:ascii="Times New Roman" w:hAnsi="Times New Roman" w:cs="Times New Roman"/>
          <w:lang w:val="en-US" w:eastAsia="zh-CN"/>
        </w:rPr>
        <w:t>testosterone,androstenedione, DHEA and DHEAS values are displayed in (A)-(D), respectively. Comparison between the two groups are shown by brackets, asterisks or text. DHEA, dehydroepiandrosterone; DHEAS, DHEA sulfate; AI-CS, ACTH-independent Cushing’s syndrome; CD, Cushing’s disease. ***, P&lt;0.001.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D39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AEC5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AEC5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MDI4NzhiMTljMTU4YTk5YWU2MmExYjRhNWM1OGIifQ=="/>
  </w:docVars>
  <w:rsids>
    <w:rsidRoot w:val="00000000"/>
    <w:rsid w:val="59F86981"/>
    <w:rsid w:val="6A3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699</Characters>
  <Lines>0</Lines>
  <Paragraphs>0</Paragraphs>
  <TotalTime>0</TotalTime>
  <ScaleCrop>false</ScaleCrop>
  <LinksUpToDate>false</LinksUpToDate>
  <CharactersWithSpaces>789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2024-10-30T11:56:00Z</dcterms:created>
  <dc:creator>余安婷</dc:creator>
  <cp:lastModifiedBy>余安婷</cp:lastModifiedBy>
  <dcterms:modified xsi:type="dcterms:W3CDTF">2024-10-30T11:57:06Z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6EBBB987FEB944F99C148AB7F2B822AE_12</vt:lpwstr>
  </property>
</Properties>
</file>