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0A7FE" w14:textId="06D5016B" w:rsidR="00CA6ECE" w:rsidRPr="00B14A85" w:rsidRDefault="00CA6ECE" w:rsidP="00CA6ECE">
      <w:pPr>
        <w:spacing w:line="240" w:lineRule="auto"/>
        <w:rPr>
          <w:b/>
          <w:bCs/>
          <w:lang w:val="en-GB"/>
        </w:rPr>
      </w:pPr>
      <w:r w:rsidRPr="00B14A85">
        <w:rPr>
          <w:b/>
          <w:bCs/>
          <w:u w:val="single"/>
          <w:lang w:val="en-GB"/>
        </w:rPr>
        <w:t>Supplementary Materials</w:t>
      </w:r>
      <w:r w:rsidRPr="00B14A85">
        <w:rPr>
          <w:b/>
          <w:bCs/>
          <w:lang w:val="en-GB"/>
        </w:rPr>
        <w:t>: Pre-pandemic national immunisation programme strength and health workforce capacity improved routine immunisation resilience during the COVID-19 pandemic</w:t>
      </w:r>
    </w:p>
    <w:p w14:paraId="13529B2C" w14:textId="0210C740" w:rsidR="006C37DC" w:rsidRPr="00B14A85" w:rsidRDefault="00CA6ECE" w:rsidP="00A83ED1">
      <w:pPr>
        <w:spacing w:line="240" w:lineRule="auto"/>
        <w:rPr>
          <w:lang w:val="en-GB"/>
        </w:rPr>
      </w:pPr>
      <w:r w:rsidRPr="00B14A85">
        <w:rPr>
          <w:b/>
          <w:bCs/>
          <w:u w:val="single"/>
          <w:lang w:val="en-GB"/>
        </w:rPr>
        <w:t>Authors:</w:t>
      </w:r>
      <w:r w:rsidRPr="00B14A85">
        <w:rPr>
          <w:lang w:val="en-GB"/>
        </w:rPr>
        <w:t xml:space="preserve"> Beth Evans, Laurent Kaiser, Olivia Keiser, Thibaut Jombart</w:t>
      </w:r>
    </w:p>
    <w:p w14:paraId="7C9F7BFD" w14:textId="2487B69F" w:rsidR="00BC07D8" w:rsidRPr="00B14A85" w:rsidRDefault="00BC07D8" w:rsidP="00A83ED1">
      <w:pPr>
        <w:spacing w:line="240" w:lineRule="auto"/>
        <w:rPr>
          <w:lang w:val="en-GB"/>
        </w:rPr>
      </w:pPr>
      <w:r w:rsidRPr="00B14A85">
        <w:rPr>
          <w:u w:val="single"/>
          <w:lang w:val="en-GB"/>
        </w:rPr>
        <w:t>Contents</w:t>
      </w:r>
    </w:p>
    <w:p w14:paraId="43351EF4" w14:textId="5CDA5FF6" w:rsidR="00D23E16" w:rsidRPr="00B14A85" w:rsidRDefault="00D23E16" w:rsidP="006C10CA">
      <w:pPr>
        <w:pStyle w:val="ListParagraph"/>
        <w:numPr>
          <w:ilvl w:val="0"/>
          <w:numId w:val="3"/>
        </w:numPr>
        <w:spacing w:line="240" w:lineRule="auto"/>
        <w:rPr>
          <w:lang w:val="en-GB"/>
        </w:rPr>
      </w:pPr>
      <w:r w:rsidRPr="00B14A85">
        <w:rPr>
          <w:lang w:val="en-GB"/>
        </w:rPr>
        <w:t>Conceptual framework</w:t>
      </w:r>
    </w:p>
    <w:p w14:paraId="115BB847" w14:textId="01A21CBD" w:rsidR="00BC07D8" w:rsidRPr="00B14A85" w:rsidRDefault="006C10CA" w:rsidP="006C10CA">
      <w:pPr>
        <w:pStyle w:val="ListParagraph"/>
        <w:numPr>
          <w:ilvl w:val="0"/>
          <w:numId w:val="3"/>
        </w:numPr>
        <w:spacing w:line="240" w:lineRule="auto"/>
        <w:rPr>
          <w:lang w:val="en-GB"/>
        </w:rPr>
      </w:pPr>
      <w:r w:rsidRPr="00B14A85">
        <w:rPr>
          <w:lang w:val="en-GB"/>
        </w:rPr>
        <w:t>Data sources</w:t>
      </w:r>
      <w:r w:rsidR="00F32E2B" w:rsidRPr="00B14A85">
        <w:rPr>
          <w:lang w:val="en-GB"/>
        </w:rPr>
        <w:t xml:space="preserve">: </w:t>
      </w:r>
      <w:r w:rsidRPr="00B14A85">
        <w:rPr>
          <w:lang w:val="en-GB"/>
        </w:rPr>
        <w:t>selection</w:t>
      </w:r>
      <w:r w:rsidR="00F32E2B" w:rsidRPr="00B14A85">
        <w:rPr>
          <w:lang w:val="en-GB"/>
        </w:rPr>
        <w:t xml:space="preserve"> and cleaning</w:t>
      </w:r>
    </w:p>
    <w:p w14:paraId="6451D140" w14:textId="753E7987" w:rsidR="006C10CA" w:rsidRPr="00B14A85" w:rsidRDefault="006C10CA" w:rsidP="006C10CA">
      <w:pPr>
        <w:pStyle w:val="ListParagraph"/>
        <w:numPr>
          <w:ilvl w:val="0"/>
          <w:numId w:val="3"/>
        </w:numPr>
        <w:spacing w:line="240" w:lineRule="auto"/>
        <w:rPr>
          <w:lang w:val="en-GB"/>
        </w:rPr>
      </w:pPr>
      <w:r w:rsidRPr="00B14A85">
        <w:rPr>
          <w:lang w:val="en-GB"/>
        </w:rPr>
        <w:t>Univariate analyses</w:t>
      </w:r>
    </w:p>
    <w:p w14:paraId="008A6094" w14:textId="132ABA10" w:rsidR="00F32E2B" w:rsidRDefault="000B64E3" w:rsidP="00F32E2B">
      <w:pPr>
        <w:pStyle w:val="ListParagraph"/>
        <w:numPr>
          <w:ilvl w:val="0"/>
          <w:numId w:val="3"/>
        </w:numPr>
        <w:spacing w:line="240" w:lineRule="auto"/>
        <w:rPr>
          <w:lang w:val="en-GB"/>
        </w:rPr>
      </w:pPr>
      <w:r w:rsidRPr="00B14A85">
        <w:rPr>
          <w:lang w:val="en-GB"/>
        </w:rPr>
        <w:t xml:space="preserve">Stepwise linear regression </w:t>
      </w:r>
      <w:r w:rsidR="00EF5BB0" w:rsidRPr="00B14A85">
        <w:rPr>
          <w:lang w:val="en-GB"/>
        </w:rPr>
        <w:t>results</w:t>
      </w:r>
    </w:p>
    <w:p w14:paraId="025A9D09" w14:textId="52437890" w:rsidR="001821DF" w:rsidRPr="00B14A85" w:rsidRDefault="001821DF" w:rsidP="00F32E2B">
      <w:pPr>
        <w:pStyle w:val="ListParagraph"/>
        <w:numPr>
          <w:ilvl w:val="0"/>
          <w:numId w:val="3"/>
        </w:numPr>
        <w:spacing w:line="240" w:lineRule="auto"/>
        <w:rPr>
          <w:lang w:val="en-GB"/>
        </w:rPr>
      </w:pPr>
      <w:r>
        <w:rPr>
          <w:lang w:val="en-GB"/>
        </w:rPr>
        <w:t>Reproducibility</w:t>
      </w:r>
    </w:p>
    <w:p w14:paraId="69923552" w14:textId="77777777" w:rsidR="00EF5BB0" w:rsidRPr="00B14A85" w:rsidRDefault="00EF5BB0" w:rsidP="00EF5BB0">
      <w:pPr>
        <w:pStyle w:val="ListParagraph"/>
        <w:spacing w:line="240" w:lineRule="auto"/>
        <w:rPr>
          <w:lang w:val="en-GB"/>
        </w:rPr>
      </w:pPr>
    </w:p>
    <w:p w14:paraId="5EFF8840" w14:textId="3C23F6F1" w:rsidR="00D23E16" w:rsidRPr="00B14A85" w:rsidRDefault="00D23E16" w:rsidP="00F32E2B">
      <w:pPr>
        <w:pStyle w:val="ListParagraph"/>
        <w:numPr>
          <w:ilvl w:val="0"/>
          <w:numId w:val="4"/>
        </w:numPr>
        <w:spacing w:line="240" w:lineRule="auto"/>
        <w:rPr>
          <w:b/>
          <w:bCs/>
          <w:lang w:val="en-GB"/>
        </w:rPr>
      </w:pPr>
      <w:r w:rsidRPr="00B14A85">
        <w:rPr>
          <w:b/>
          <w:bCs/>
          <w:lang w:val="en-GB"/>
        </w:rPr>
        <w:t>Conceptual framework</w:t>
      </w:r>
    </w:p>
    <w:p w14:paraId="0CE00C3B" w14:textId="2D790863" w:rsidR="00D23E16" w:rsidRPr="00B14A85" w:rsidRDefault="00630966" w:rsidP="00D23E16">
      <w:pPr>
        <w:spacing w:line="240" w:lineRule="auto"/>
        <w:rPr>
          <w:lang w:val="en-GB"/>
        </w:rPr>
      </w:pPr>
      <w:r w:rsidRPr="00B14A85">
        <w:rPr>
          <w:noProof/>
          <w:lang w:val="en-GB"/>
        </w:rPr>
        <w:drawing>
          <wp:anchor distT="0" distB="0" distL="114300" distR="114300" simplePos="0" relativeHeight="251659264" behindDoc="1" locked="0" layoutInCell="1" allowOverlap="1" wp14:anchorId="3C4737A6" wp14:editId="1E6CF823">
            <wp:simplePos x="0" y="0"/>
            <wp:positionH relativeFrom="column">
              <wp:posOffset>210820</wp:posOffset>
            </wp:positionH>
            <wp:positionV relativeFrom="paragraph">
              <wp:posOffset>457835</wp:posOffset>
            </wp:positionV>
            <wp:extent cx="5257800" cy="3128010"/>
            <wp:effectExtent l="0" t="0" r="0" b="0"/>
            <wp:wrapTopAndBottom/>
            <wp:docPr id="1279191477" name="Picture 1" descr="A diagram of a vaccine co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91477" name="Picture 1" descr="A diagram of a vaccine cover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57800" cy="3128010"/>
                    </a:xfrm>
                    <a:prstGeom prst="rect">
                      <a:avLst/>
                    </a:prstGeom>
                  </pic:spPr>
                </pic:pic>
              </a:graphicData>
            </a:graphic>
            <wp14:sizeRelH relativeFrom="page">
              <wp14:pctWidth>0</wp14:pctWidth>
            </wp14:sizeRelH>
            <wp14:sizeRelV relativeFrom="page">
              <wp14:pctHeight>0</wp14:pctHeight>
            </wp14:sizeRelV>
          </wp:anchor>
        </w:drawing>
      </w:r>
      <w:r w:rsidR="00D23E16" w:rsidRPr="00B14A85">
        <w:rPr>
          <w:lang w:val="en-GB"/>
        </w:rPr>
        <w:t>The original conceptual high-level conceptual framework, developed by Philips et al.,</w:t>
      </w:r>
      <w:r w:rsidR="00361D5E" w:rsidRPr="00B14A85">
        <w:rPr>
          <w:lang w:val="en-GB"/>
        </w:rPr>
        <w:t xml:space="preserve"> </w:t>
      </w:r>
      <w:sdt>
        <w:sdtPr>
          <w:rPr>
            <w:color w:val="000000"/>
            <w:lang w:val="en-GB"/>
          </w:rPr>
          <w:tag w:val="MENDELEY_CITATION_v3_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"/>
          <w:id w:val="-1183055932"/>
          <w:placeholder>
            <w:docPart w:val="DefaultPlaceholder_-1854013440"/>
          </w:placeholder>
        </w:sdtPr>
        <w:sdtContent>
          <w:r w:rsidR="009B4B8B" w:rsidRPr="009B4B8B">
            <w:rPr>
              <w:color w:val="000000"/>
              <w:lang w:val="en-GB"/>
            </w:rPr>
            <w:t>[1]</w:t>
          </w:r>
        </w:sdtContent>
      </w:sdt>
      <w:r w:rsidR="00D23E16" w:rsidRPr="00B14A85">
        <w:rPr>
          <w:lang w:val="en-GB"/>
        </w:rPr>
        <w:t xml:space="preserve"> and adapted for this research</w:t>
      </w:r>
      <w:r w:rsidR="002C6BCC">
        <w:rPr>
          <w:lang w:val="en-GB"/>
        </w:rPr>
        <w:t xml:space="preserve"> is depicted in </w:t>
      </w:r>
      <w:r w:rsidR="002C6BCC" w:rsidRPr="002C6BCC">
        <w:rPr>
          <w:b/>
          <w:bCs/>
          <w:lang w:val="en-GB"/>
        </w:rPr>
        <w:t>Figure 1</w:t>
      </w:r>
      <w:r w:rsidR="002C6BCC">
        <w:rPr>
          <w:lang w:val="en-GB"/>
        </w:rPr>
        <w:t>.</w:t>
      </w:r>
    </w:p>
    <w:p w14:paraId="50480AF5" w14:textId="11A40C12" w:rsidR="00630966" w:rsidRPr="00B14A85" w:rsidRDefault="00630966" w:rsidP="00630966">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Figure 1</w:t>
      </w:r>
      <w:r w:rsidRPr="00B14A85">
        <w:rPr>
          <w:color w:val="808080" w:themeColor="background1" w:themeShade="80"/>
          <w:sz w:val="18"/>
          <w:szCs w:val="18"/>
          <w:lang w:val="en-GB"/>
        </w:rPr>
        <w:t xml:space="preserve"> </w:t>
      </w:r>
      <w:r w:rsidR="006436B1" w:rsidRPr="00B14A85">
        <w:rPr>
          <w:color w:val="808080" w:themeColor="background1" w:themeShade="80"/>
          <w:sz w:val="18"/>
          <w:szCs w:val="18"/>
          <w:lang w:val="en-GB"/>
        </w:rPr>
        <w:t>the Conceptual framework for determinants of vaccine coverage in low- and middle-income countries, developed by and reproduced from Phillips et al., 2017. Three dimensions of determinants are identified: access to services (yellow), facility readiness in terms of supply and workforce availability and quality (green), and user intention to vaccinate (blue).</w:t>
      </w:r>
    </w:p>
    <w:p w14:paraId="20289DAE" w14:textId="77777777" w:rsidR="00D23E16" w:rsidRPr="00B14A85" w:rsidRDefault="00D23E16" w:rsidP="00D23E16">
      <w:pPr>
        <w:spacing w:line="240" w:lineRule="auto"/>
        <w:rPr>
          <w:lang w:val="en-GB"/>
        </w:rPr>
      </w:pPr>
    </w:p>
    <w:p w14:paraId="65179BAE" w14:textId="40A0418D" w:rsidR="00F32E2B" w:rsidRPr="00B14A85" w:rsidRDefault="00F32E2B" w:rsidP="00F32E2B">
      <w:pPr>
        <w:pStyle w:val="ListParagraph"/>
        <w:numPr>
          <w:ilvl w:val="0"/>
          <w:numId w:val="4"/>
        </w:numPr>
        <w:spacing w:line="240" w:lineRule="auto"/>
        <w:rPr>
          <w:b/>
          <w:bCs/>
          <w:lang w:val="en-GB"/>
        </w:rPr>
      </w:pPr>
      <w:r w:rsidRPr="00B14A85">
        <w:rPr>
          <w:b/>
          <w:bCs/>
          <w:lang w:val="en-GB"/>
        </w:rPr>
        <w:t>Data sources and selection</w:t>
      </w:r>
    </w:p>
    <w:p w14:paraId="24C3008C" w14:textId="6359C281" w:rsidR="00A83ED1" w:rsidRPr="00B14A85" w:rsidRDefault="00A83ED1" w:rsidP="0034469E">
      <w:pPr>
        <w:spacing w:line="240" w:lineRule="auto"/>
        <w:rPr>
          <w:u w:val="single"/>
          <w:lang w:val="en-GB"/>
        </w:rPr>
      </w:pPr>
      <w:r w:rsidRPr="00B14A85">
        <w:rPr>
          <w:u w:val="single"/>
          <w:lang w:val="en-GB"/>
        </w:rPr>
        <w:t xml:space="preserve">Pre-pandemic immunisation </w:t>
      </w:r>
      <w:r w:rsidR="001F4C7D" w:rsidRPr="00B14A85">
        <w:rPr>
          <w:u w:val="single"/>
          <w:lang w:val="en-GB"/>
        </w:rPr>
        <w:t>programme</w:t>
      </w:r>
      <w:r w:rsidRPr="00B14A85">
        <w:rPr>
          <w:u w:val="single"/>
          <w:lang w:val="en-GB"/>
        </w:rPr>
        <w:t xml:space="preserve"> performance</w:t>
      </w:r>
    </w:p>
    <w:p w14:paraId="67F8BF0B" w14:textId="3A2B0CA8" w:rsidR="00A83ED1" w:rsidRPr="00B14A85" w:rsidRDefault="00A83ED1" w:rsidP="00A83ED1">
      <w:pPr>
        <w:spacing w:line="240" w:lineRule="auto"/>
        <w:rPr>
          <w:lang w:val="en-GB"/>
        </w:rPr>
      </w:pPr>
      <w:r w:rsidRPr="00B14A85">
        <w:rPr>
          <w:lang w:val="en-GB"/>
        </w:rPr>
        <w:t xml:space="preserve">It is hypothesised that countries with well-established robust immunisation systems that routinely achieve high coverage will have been able to maintain or recover immunisation performance during the pandemic, as a result of a pre-existing strong Extended Programme on Immunisation (EPI) with good programme management and previous experiencing buffering adverse events. </w:t>
      </w:r>
      <w:r w:rsidRPr="00B14A85">
        <w:rPr>
          <w:color w:val="000000"/>
          <w:lang w:val="en-GB"/>
        </w:rPr>
        <w:t xml:space="preserve">We </w:t>
      </w:r>
      <w:r w:rsidR="00981EAD" w:rsidRPr="00B14A85">
        <w:rPr>
          <w:color w:val="000000"/>
          <w:lang w:val="en-GB"/>
        </w:rPr>
        <w:t xml:space="preserve">use </w:t>
      </w:r>
      <w:r w:rsidRPr="00B14A85">
        <w:rPr>
          <w:color w:val="000000"/>
          <w:lang w:val="en-GB"/>
        </w:rPr>
        <w:t xml:space="preserve">DTP3 </w:t>
      </w:r>
      <w:r w:rsidRPr="00B14A85">
        <w:rPr>
          <w:color w:val="000000"/>
          <w:lang w:val="en-GB"/>
        </w:rPr>
        <w:lastRenderedPageBreak/>
        <w:t>as a proxy indicator of performance across countries, as it is used as a key tracer for immunisation strength</w:t>
      </w:r>
      <w:r w:rsidR="00F32E43" w:rsidRPr="00B14A85">
        <w:rPr>
          <w:color w:val="000000"/>
          <w:lang w:val="en-GB"/>
        </w:rPr>
        <w:t xml:space="preserve"> across countries and time </w:t>
      </w:r>
      <w:sdt>
        <w:sdtPr>
          <w:rPr>
            <w:color w:val="000000"/>
            <w:lang w:val="en-GB"/>
          </w:rPr>
          <w:tag w:val="MENDELEY_CITATION_v3_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"/>
          <w:id w:val="-320816670"/>
          <w:placeholder>
            <w:docPart w:val="DefaultPlaceholder_-1854013440"/>
          </w:placeholder>
        </w:sdtPr>
        <w:sdtContent>
          <w:r w:rsidR="009B4B8B" w:rsidRPr="009B4B8B">
            <w:rPr>
              <w:color w:val="000000"/>
              <w:lang w:val="en-GB"/>
            </w:rPr>
            <w:t>[2]</w:t>
          </w:r>
        </w:sdtContent>
      </w:sdt>
      <w:r w:rsidRPr="00B14A85">
        <w:rPr>
          <w:color w:val="000000"/>
          <w:lang w:val="en-GB"/>
        </w:rPr>
        <w:t xml:space="preserve">. </w:t>
      </w:r>
    </w:p>
    <w:p w14:paraId="030080CD" w14:textId="5977CE58" w:rsidR="00CB5A87" w:rsidRDefault="00981EAD" w:rsidP="00484ED9">
      <w:pPr>
        <w:spacing w:line="240" w:lineRule="auto"/>
        <w:rPr>
          <w:color w:val="000000"/>
          <w:lang w:val="en-GB"/>
        </w:rPr>
      </w:pPr>
      <w:r w:rsidRPr="00B14A85">
        <w:rPr>
          <w:lang w:val="en-GB"/>
        </w:rPr>
        <w:t>We calculate mean DTP3 coverage for 2015-2019 (excluding missed values)</w:t>
      </w:r>
      <w:r w:rsidR="00B16BE3" w:rsidRPr="00B14A85">
        <w:rPr>
          <w:lang w:val="en-GB"/>
        </w:rPr>
        <w:t xml:space="preserve"> w</w:t>
      </w:r>
      <w:r w:rsidR="00EA2AFB" w:rsidRPr="00B14A85">
        <w:rPr>
          <w:lang w:val="en-GB"/>
        </w:rPr>
        <w:t>hich reports vaccination coverage for children aged under one-year-old</w:t>
      </w:r>
      <w:r w:rsidRPr="00B14A85">
        <w:rPr>
          <w:lang w:val="en-GB"/>
        </w:rPr>
        <w:t xml:space="preserve">. </w:t>
      </w:r>
      <w:r w:rsidR="00A83ED1" w:rsidRPr="00B14A85">
        <w:rPr>
          <w:lang w:val="en-GB"/>
        </w:rPr>
        <w:t xml:space="preserve">This indicator is </w:t>
      </w:r>
      <w:r w:rsidR="00AA30D2" w:rsidRPr="00B14A85">
        <w:rPr>
          <w:lang w:val="en-GB"/>
        </w:rPr>
        <w:t>sourced from</w:t>
      </w:r>
      <w:r w:rsidR="00A83ED1" w:rsidRPr="00B14A85">
        <w:rPr>
          <w:lang w:val="en-GB"/>
        </w:rPr>
        <w:t xml:space="preserve"> WHO and UNICEF Estimated of Immunisation Coverage (WUENIC) based on the latest available dataset </w:t>
      </w:r>
      <w:r w:rsidR="008B5AF5" w:rsidRPr="00B14A85">
        <w:rPr>
          <w:lang w:val="en-GB"/>
        </w:rPr>
        <w:t xml:space="preserve">from July 2024 </w:t>
      </w:r>
      <w:sdt>
        <w:sdtPr>
          <w:rPr>
            <w:color w:val="000000"/>
            <w:lang w:val="en-GB"/>
          </w:rPr>
          <w:tag w:val="MENDELEY_CITATION_v3_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"/>
          <w:id w:val="-530413324"/>
          <w:placeholder>
            <w:docPart w:val="DefaultPlaceholder_-1854013440"/>
          </w:placeholder>
        </w:sdtPr>
        <w:sdtContent>
          <w:r w:rsidR="009B4B8B" w:rsidRPr="009B4B8B">
            <w:rPr>
              <w:color w:val="000000"/>
              <w:lang w:val="en-GB"/>
            </w:rPr>
            <w:t>[3]</w:t>
          </w:r>
        </w:sdtContent>
      </w:sdt>
      <w:r w:rsidR="008B5AF5" w:rsidRPr="00B14A85">
        <w:rPr>
          <w:lang w:val="en-GB"/>
        </w:rPr>
        <w:t xml:space="preserve">, </w:t>
      </w:r>
      <w:r w:rsidR="00A83ED1" w:rsidRPr="00B14A85">
        <w:rPr>
          <w:lang w:val="en-GB"/>
        </w:rPr>
        <w:t>which include</w:t>
      </w:r>
      <w:r w:rsidR="008B5AF5" w:rsidRPr="00B14A85">
        <w:rPr>
          <w:lang w:val="en-GB"/>
        </w:rPr>
        <w:t>s</w:t>
      </w:r>
      <w:r w:rsidR="00A83ED1" w:rsidRPr="00B14A85">
        <w:rPr>
          <w:lang w:val="en-GB"/>
        </w:rPr>
        <w:t xml:space="preserve"> retrospective updates to previous estimates</w:t>
      </w:r>
      <w:r w:rsidR="008D1782" w:rsidRPr="00B14A85">
        <w:rPr>
          <w:lang w:val="en-GB"/>
        </w:rPr>
        <w:t xml:space="preserve"> e.g., due to later validation of new surveys</w:t>
      </w:r>
      <w:r w:rsidR="00A83ED1" w:rsidRPr="00B14A85">
        <w:rPr>
          <w:color w:val="000000"/>
          <w:lang w:val="en-GB"/>
        </w:rPr>
        <w:t xml:space="preserve">. </w:t>
      </w:r>
      <w:r w:rsidR="00AD39C0" w:rsidRPr="00B14A85">
        <w:rPr>
          <w:color w:val="000000"/>
          <w:lang w:val="en-GB"/>
        </w:rPr>
        <w:t>WUENIC data is published with a transparent methodology that factors in administration data</w:t>
      </w:r>
      <w:r w:rsidR="006C55CF" w:rsidRPr="00B14A85">
        <w:rPr>
          <w:color w:val="000000"/>
          <w:lang w:val="en-GB"/>
        </w:rPr>
        <w:t xml:space="preserve"> and</w:t>
      </w:r>
      <w:r w:rsidR="00AD39C0" w:rsidRPr="00B14A85">
        <w:rPr>
          <w:color w:val="000000"/>
          <w:lang w:val="en-GB"/>
        </w:rPr>
        <w:t xml:space="preserve"> </w:t>
      </w:r>
      <w:r w:rsidR="006C55CF" w:rsidRPr="00B14A85">
        <w:rPr>
          <w:color w:val="000000"/>
          <w:lang w:val="en-GB"/>
        </w:rPr>
        <w:t xml:space="preserve">population-level representative surveys </w:t>
      </w:r>
      <w:sdt>
        <w:sdtPr>
          <w:rPr>
            <w:color w:val="000000"/>
            <w:lang w:val="en-GB"/>
          </w:rPr>
          <w:tag w:val="MENDELEY_CITATION_v3_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"/>
          <w:id w:val="-1520848669"/>
          <w:placeholder>
            <w:docPart w:val="83B05E39EDBD495D9500E9483A8A8760"/>
          </w:placeholder>
        </w:sdtPr>
        <w:sdtContent>
          <w:r w:rsidR="009B4B8B" w:rsidRPr="009B4B8B">
            <w:rPr>
              <w:color w:val="000000"/>
              <w:lang w:val="en-GB"/>
            </w:rPr>
            <w:t>[4,5]</w:t>
          </w:r>
        </w:sdtContent>
      </w:sdt>
      <w:r w:rsidR="008D1782" w:rsidRPr="00B14A85">
        <w:rPr>
          <w:color w:val="000000"/>
          <w:lang w:val="en-GB"/>
        </w:rPr>
        <w:t>.</w:t>
      </w:r>
    </w:p>
    <w:p w14:paraId="27E9912F" w14:textId="53C6A3B6" w:rsidR="002C6BCC" w:rsidRPr="00B14A85" w:rsidRDefault="002C6BCC" w:rsidP="00484ED9">
      <w:pPr>
        <w:spacing w:line="240" w:lineRule="auto"/>
        <w:rPr>
          <w:color w:val="000000"/>
          <w:lang w:val="en-GB"/>
        </w:rPr>
      </w:pPr>
      <w:r>
        <w:rPr>
          <w:color w:val="000000"/>
          <w:lang w:val="en-GB"/>
        </w:rPr>
        <w:t xml:space="preserve">We visualise the underlying variation in </w:t>
      </w:r>
      <w:r w:rsidR="00B84AD4">
        <w:rPr>
          <w:color w:val="000000"/>
          <w:lang w:val="en-GB"/>
        </w:rPr>
        <w:t xml:space="preserve">country performance from </w:t>
      </w:r>
      <w:r>
        <w:rPr>
          <w:color w:val="000000"/>
          <w:lang w:val="en-GB"/>
        </w:rPr>
        <w:t xml:space="preserve">this dataset in </w:t>
      </w:r>
      <w:r w:rsidRPr="002C6BCC">
        <w:rPr>
          <w:b/>
          <w:bCs/>
          <w:color w:val="000000"/>
          <w:lang w:val="en-GB"/>
        </w:rPr>
        <w:t>Figure 2</w:t>
      </w:r>
      <w:r>
        <w:rPr>
          <w:color w:val="000000"/>
          <w:lang w:val="en-GB"/>
        </w:rPr>
        <w:t>.</w:t>
      </w:r>
    </w:p>
    <w:p w14:paraId="4D024E15" w14:textId="16D2B9E2" w:rsidR="000360A6" w:rsidRPr="00B14A85" w:rsidRDefault="004462A4" w:rsidP="0034469E">
      <w:pPr>
        <w:spacing w:line="240" w:lineRule="auto"/>
        <w:rPr>
          <w:u w:val="single"/>
          <w:lang w:val="en-GB"/>
        </w:rPr>
      </w:pPr>
      <w:r w:rsidRPr="00B14A85">
        <w:rPr>
          <w:noProof/>
          <w:lang w:val="en-GB"/>
        </w:rPr>
        <w:drawing>
          <wp:inline distT="0" distB="0" distL="0" distR="0" wp14:anchorId="550A57F8" wp14:editId="4B2F523E">
            <wp:extent cx="5943600" cy="2971800"/>
            <wp:effectExtent l="0" t="0" r="0" b="0"/>
            <wp:docPr id="438748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EB8A9AE" w14:textId="0AFC2AF3" w:rsidR="00C37082" w:rsidRPr="00B14A85" w:rsidRDefault="004462A4" w:rsidP="0073206B">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2</w:t>
      </w:r>
      <w:r w:rsidRPr="00B14A85">
        <w:rPr>
          <w:color w:val="808080" w:themeColor="background1" w:themeShade="80"/>
          <w:sz w:val="18"/>
          <w:szCs w:val="18"/>
          <w:lang w:val="en-GB"/>
        </w:rPr>
        <w:t xml:space="preserve"> Pre-pandemic immunisation programme strength variation </w:t>
      </w:r>
      <w:r w:rsidR="00B00038" w:rsidRPr="00B14A85">
        <w:rPr>
          <w:color w:val="808080" w:themeColor="background1" w:themeShade="80"/>
          <w:sz w:val="18"/>
          <w:szCs w:val="18"/>
          <w:lang w:val="en-GB"/>
        </w:rPr>
        <w:t>globally</w:t>
      </w:r>
      <w:r w:rsidRPr="00B14A85">
        <w:rPr>
          <w:color w:val="808080" w:themeColor="background1" w:themeShade="80"/>
          <w:sz w:val="18"/>
          <w:szCs w:val="18"/>
          <w:lang w:val="en-GB"/>
        </w:rPr>
        <w:t xml:space="preserve">, as measured by </w:t>
      </w:r>
      <w:r w:rsidR="0073206B" w:rsidRPr="00B14A85">
        <w:rPr>
          <w:color w:val="808080" w:themeColor="background1" w:themeShade="80"/>
          <w:sz w:val="18"/>
          <w:szCs w:val="18"/>
          <w:lang w:val="en-GB"/>
        </w:rPr>
        <w:t>2015-2019 mean DTP3 coverage. Colour coding indicates the programmes strength, with red signalling poor programmes and bluer signalling strong programmes.</w:t>
      </w:r>
      <w:r w:rsidR="006C37DC" w:rsidRPr="00B14A85">
        <w:rPr>
          <w:color w:val="808080" w:themeColor="background1" w:themeShade="80"/>
          <w:sz w:val="18"/>
          <w:szCs w:val="18"/>
          <w:lang w:val="en-GB"/>
        </w:rPr>
        <w:t xml:space="preserve"> Grey areas indicate states without data for this indicator.</w:t>
      </w:r>
    </w:p>
    <w:p w14:paraId="7A2F6A99" w14:textId="77777777" w:rsidR="00B64320" w:rsidRPr="00B14A85" w:rsidRDefault="00B64320" w:rsidP="0073206B">
      <w:pPr>
        <w:spacing w:line="240" w:lineRule="auto"/>
        <w:ind w:left="360"/>
        <w:rPr>
          <w:u w:val="single"/>
          <w:lang w:val="en-GB"/>
        </w:rPr>
      </w:pPr>
    </w:p>
    <w:p w14:paraId="2424CAC3" w14:textId="0A57A098" w:rsidR="00A83ED1" w:rsidRPr="00B14A85" w:rsidRDefault="00A83ED1" w:rsidP="0034469E">
      <w:pPr>
        <w:spacing w:line="240" w:lineRule="auto"/>
        <w:rPr>
          <w:u w:val="single"/>
          <w:lang w:val="en-GB"/>
        </w:rPr>
      </w:pPr>
      <w:r w:rsidRPr="00B14A85">
        <w:rPr>
          <w:u w:val="single"/>
          <w:lang w:val="en-GB"/>
        </w:rPr>
        <w:t>Health workforce capacity</w:t>
      </w:r>
    </w:p>
    <w:p w14:paraId="5569951B" w14:textId="4437076D" w:rsidR="00A70994" w:rsidRPr="00B14A85" w:rsidRDefault="00A83ED1" w:rsidP="00A83ED1">
      <w:pPr>
        <w:spacing w:line="240" w:lineRule="auto"/>
        <w:rPr>
          <w:lang w:val="en-GB"/>
        </w:rPr>
      </w:pPr>
      <w:r w:rsidRPr="00B14A85">
        <w:rPr>
          <w:lang w:val="en-GB"/>
        </w:rPr>
        <w:t xml:space="preserve">Health workers – quantity thereof, and capacity – are essential to the provision of health services. The term ‘health workforce’ is expansive and considers "all people engaged in actions whose primary intent is to enhance positive health outcomes" </w:t>
      </w:r>
      <w:sdt>
        <w:sdtPr>
          <w:rPr>
            <w:color w:val="000000"/>
            <w:lang w:val="en-GB"/>
          </w:rPr>
          <w:tag w:val="MENDELEY_CITATION_v3_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"/>
          <w:id w:val="-2032179355"/>
          <w:placeholder>
            <w:docPart w:val="DefaultPlaceholder_-1854013440"/>
          </w:placeholder>
        </w:sdtPr>
        <w:sdtContent>
          <w:r w:rsidR="009B4B8B" w:rsidRPr="009B4B8B">
            <w:rPr>
              <w:color w:val="000000"/>
              <w:lang w:val="en-GB"/>
            </w:rPr>
            <w:t>[6]</w:t>
          </w:r>
        </w:sdtContent>
      </w:sdt>
      <w:r w:rsidRPr="00B14A85">
        <w:rPr>
          <w:lang w:val="en-GB"/>
        </w:rPr>
        <w:t xml:space="preserve">. Unfortunately, datasets on key cadres of health workers such as volunteer health workers or community health officers, are non-existent or poor. As a result, for this analysis we </w:t>
      </w:r>
      <w:r w:rsidR="00A70994" w:rsidRPr="00B14A85">
        <w:rPr>
          <w:lang w:val="en-GB"/>
        </w:rPr>
        <w:t>use data on doctors and nurses as a proxy for broader health workforce.</w:t>
      </w:r>
    </w:p>
    <w:p w14:paraId="38BE2C6C" w14:textId="10D9F130" w:rsidR="003B5147" w:rsidRDefault="00A70994" w:rsidP="00A83ED1">
      <w:pPr>
        <w:spacing w:line="240" w:lineRule="auto"/>
        <w:rPr>
          <w:lang w:val="en-GB"/>
        </w:rPr>
      </w:pPr>
      <w:r w:rsidRPr="00B14A85">
        <w:rPr>
          <w:lang w:val="en-GB"/>
        </w:rPr>
        <w:t xml:space="preserve">We use WHO </w:t>
      </w:r>
      <w:r w:rsidR="00A83ED1" w:rsidRPr="00B14A85">
        <w:rPr>
          <w:lang w:val="en-GB"/>
        </w:rPr>
        <w:t>datasets for the number of doctors and nurses per 10,000 people</w:t>
      </w:r>
      <w:r w:rsidR="00A8134A" w:rsidRPr="00B14A85">
        <w:rPr>
          <w:lang w:val="en-GB"/>
        </w:rPr>
        <w:t xml:space="preserve"> per country</w:t>
      </w:r>
      <w:r w:rsidR="00A83ED1" w:rsidRPr="00B14A85">
        <w:rPr>
          <w:lang w:val="en-GB"/>
        </w:rPr>
        <w:t xml:space="preserve">, </w:t>
      </w:r>
      <w:r w:rsidRPr="00B14A85">
        <w:rPr>
          <w:lang w:val="en-GB"/>
        </w:rPr>
        <w:t>calculating</w:t>
      </w:r>
      <w:r w:rsidR="00A83ED1" w:rsidRPr="00B14A85">
        <w:rPr>
          <w:lang w:val="en-GB"/>
        </w:rPr>
        <w:t xml:space="preserve"> the mean of the reporting cohorts for 2015-2019 (excluding missing values)</w:t>
      </w:r>
      <w:r w:rsidR="00484ED9" w:rsidRPr="00B14A85">
        <w:rPr>
          <w:lang w:val="en-GB"/>
        </w:rPr>
        <w:t xml:space="preserve"> </w:t>
      </w:r>
      <w:sdt>
        <w:sdtPr>
          <w:rPr>
            <w:color w:val="000000"/>
            <w:lang w:val="en-GB"/>
          </w:rPr>
          <w:tag w:val="MENDELEY_CITATION_v3_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"/>
          <w:id w:val="2108682210"/>
          <w:placeholder>
            <w:docPart w:val="DefaultPlaceholder_-1854013440"/>
          </w:placeholder>
        </w:sdtPr>
        <w:sdtContent>
          <w:r w:rsidR="009B4B8B" w:rsidRPr="009B4B8B">
            <w:rPr>
              <w:color w:val="000000"/>
              <w:lang w:val="en-GB"/>
            </w:rPr>
            <w:t>[7]</w:t>
          </w:r>
        </w:sdtContent>
      </w:sdt>
      <w:r w:rsidR="00A83ED1" w:rsidRPr="00B14A85">
        <w:rPr>
          <w:lang w:val="en-GB"/>
        </w:rPr>
        <w:t>. After investigating the relationship between each of doctors and nurses and pandemic RI coverage we summed the number of doctors and nurses for model fitting, since both relationships exhibited the same trends.</w:t>
      </w:r>
    </w:p>
    <w:p w14:paraId="4430F2D8" w14:textId="0F6DDF2B" w:rsidR="00B84AD4" w:rsidRPr="00B84AD4" w:rsidRDefault="00B84AD4" w:rsidP="00A83ED1">
      <w:pPr>
        <w:spacing w:line="240" w:lineRule="auto"/>
        <w:rPr>
          <w:color w:val="000000"/>
          <w:lang w:val="en-GB"/>
        </w:rPr>
      </w:pPr>
      <w:r>
        <w:rPr>
          <w:color w:val="000000"/>
          <w:lang w:val="en-GB"/>
        </w:rPr>
        <w:lastRenderedPageBreak/>
        <w:t xml:space="preserve">We visualise the underlying variation in country health workforce capacity from this dataset in </w:t>
      </w:r>
      <w:r w:rsidRPr="002C6BCC">
        <w:rPr>
          <w:b/>
          <w:bCs/>
          <w:color w:val="000000"/>
          <w:lang w:val="en-GB"/>
        </w:rPr>
        <w:t xml:space="preserve">Figure </w:t>
      </w:r>
      <w:r>
        <w:rPr>
          <w:b/>
          <w:bCs/>
          <w:color w:val="000000"/>
          <w:lang w:val="en-GB"/>
        </w:rPr>
        <w:t>3</w:t>
      </w:r>
      <w:r>
        <w:rPr>
          <w:color w:val="000000"/>
          <w:lang w:val="en-GB"/>
        </w:rPr>
        <w:t>.</w:t>
      </w:r>
    </w:p>
    <w:p w14:paraId="3F21B08D" w14:textId="16CB9218" w:rsidR="00CB75CD" w:rsidRPr="00B14A85" w:rsidRDefault="00B64320" w:rsidP="0034469E">
      <w:pPr>
        <w:spacing w:line="240" w:lineRule="auto"/>
        <w:rPr>
          <w:u w:val="single"/>
          <w:lang w:val="en-GB"/>
        </w:rPr>
      </w:pPr>
      <w:r w:rsidRPr="00B14A85">
        <w:rPr>
          <w:noProof/>
          <w:u w:val="single"/>
          <w:lang w:val="en-GB"/>
        </w:rPr>
        <w:drawing>
          <wp:inline distT="0" distB="0" distL="0" distR="0" wp14:anchorId="656DFC40" wp14:editId="08197B67">
            <wp:extent cx="5943600" cy="2971800"/>
            <wp:effectExtent l="0" t="0" r="0" b="0"/>
            <wp:docPr id="1096183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2E42CC9" w14:textId="652C195B" w:rsidR="00CB75CD" w:rsidRPr="00B14A85" w:rsidRDefault="00CB75CD" w:rsidP="006C37DC">
      <w:pPr>
        <w:spacing w:line="240" w:lineRule="auto"/>
        <w:ind w:left="360"/>
        <w:rPr>
          <w:u w:val="single"/>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3</w:t>
      </w:r>
      <w:r w:rsidRPr="00B14A85">
        <w:rPr>
          <w:color w:val="808080" w:themeColor="background1" w:themeShade="80"/>
          <w:sz w:val="18"/>
          <w:szCs w:val="18"/>
          <w:lang w:val="en-GB"/>
        </w:rPr>
        <w:t xml:space="preserve"> Health workforce capacity variation </w:t>
      </w:r>
      <w:r w:rsidR="00B00038" w:rsidRPr="00B14A85">
        <w:rPr>
          <w:color w:val="808080" w:themeColor="background1" w:themeShade="80"/>
          <w:sz w:val="18"/>
          <w:szCs w:val="18"/>
          <w:lang w:val="en-GB"/>
        </w:rPr>
        <w:t>globally</w:t>
      </w:r>
      <w:r w:rsidRPr="00B14A85">
        <w:rPr>
          <w:color w:val="808080" w:themeColor="background1" w:themeShade="80"/>
          <w:sz w:val="18"/>
          <w:szCs w:val="18"/>
          <w:lang w:val="en-GB"/>
        </w:rPr>
        <w:t xml:space="preserve">, </w:t>
      </w:r>
      <w:r w:rsidR="009772B1" w:rsidRPr="00B14A85">
        <w:rPr>
          <w:color w:val="808080" w:themeColor="background1" w:themeShade="80"/>
          <w:sz w:val="18"/>
          <w:szCs w:val="18"/>
          <w:lang w:val="en-GB"/>
        </w:rPr>
        <w:t>as quantified by mean number of doctors and nurses per 10,000 population from 2015-2019</w:t>
      </w:r>
      <w:r w:rsidRPr="00B14A85">
        <w:rPr>
          <w:color w:val="808080" w:themeColor="background1" w:themeShade="80"/>
          <w:sz w:val="18"/>
          <w:szCs w:val="18"/>
          <w:lang w:val="en-GB"/>
        </w:rPr>
        <w:t>. Colour coding indicates the</w:t>
      </w:r>
      <w:r w:rsidR="009772B1" w:rsidRPr="00B14A85">
        <w:rPr>
          <w:color w:val="808080" w:themeColor="background1" w:themeShade="80"/>
          <w:sz w:val="18"/>
          <w:szCs w:val="18"/>
          <w:lang w:val="en-GB"/>
        </w:rPr>
        <w:t xml:space="preserve"> relative</w:t>
      </w:r>
      <w:r w:rsidRPr="00B14A85">
        <w:rPr>
          <w:color w:val="808080" w:themeColor="background1" w:themeShade="80"/>
          <w:sz w:val="18"/>
          <w:szCs w:val="18"/>
          <w:lang w:val="en-GB"/>
        </w:rPr>
        <w:t xml:space="preserve"> </w:t>
      </w:r>
      <w:r w:rsidR="009772B1" w:rsidRPr="00B14A85">
        <w:rPr>
          <w:color w:val="808080" w:themeColor="background1" w:themeShade="80"/>
          <w:sz w:val="18"/>
          <w:szCs w:val="18"/>
          <w:lang w:val="en-GB"/>
        </w:rPr>
        <w:t>number of health workers per capita</w:t>
      </w:r>
      <w:r w:rsidRPr="00B14A85">
        <w:rPr>
          <w:color w:val="808080" w:themeColor="background1" w:themeShade="80"/>
          <w:sz w:val="18"/>
          <w:szCs w:val="18"/>
          <w:lang w:val="en-GB"/>
        </w:rPr>
        <w:t xml:space="preserve">, with red signalling </w:t>
      </w:r>
      <w:r w:rsidR="00B00038" w:rsidRPr="00B14A85">
        <w:rPr>
          <w:color w:val="808080" w:themeColor="background1" w:themeShade="80"/>
          <w:sz w:val="18"/>
          <w:szCs w:val="18"/>
          <w:lang w:val="en-GB"/>
        </w:rPr>
        <w:t>less workers than blue</w:t>
      </w:r>
      <w:r w:rsidRPr="00B14A85">
        <w:rPr>
          <w:color w:val="808080" w:themeColor="background1" w:themeShade="80"/>
          <w:sz w:val="18"/>
          <w:szCs w:val="18"/>
          <w:lang w:val="en-GB"/>
        </w:rPr>
        <w:t>.</w:t>
      </w:r>
      <w:r w:rsidR="006C37DC" w:rsidRPr="00B14A85">
        <w:rPr>
          <w:color w:val="808080" w:themeColor="background1" w:themeShade="80"/>
          <w:sz w:val="18"/>
          <w:szCs w:val="18"/>
          <w:lang w:val="en-GB"/>
        </w:rPr>
        <w:t xml:space="preserve"> Grey areas indicate states without data for this indicator.</w:t>
      </w:r>
    </w:p>
    <w:p w14:paraId="635B256D" w14:textId="0A7EF0AF" w:rsidR="00A83ED1" w:rsidRPr="00B14A85" w:rsidRDefault="00A83ED1" w:rsidP="0034469E">
      <w:pPr>
        <w:spacing w:line="240" w:lineRule="auto"/>
        <w:rPr>
          <w:u w:val="single"/>
          <w:lang w:val="en-GB"/>
        </w:rPr>
      </w:pPr>
      <w:r w:rsidRPr="00B14A85">
        <w:rPr>
          <w:u w:val="single"/>
          <w:lang w:val="en-GB"/>
        </w:rPr>
        <w:t>Health system strength</w:t>
      </w:r>
    </w:p>
    <w:p w14:paraId="3AB7A2D6" w14:textId="77777777" w:rsidR="00A83ED1" w:rsidRPr="00B14A85" w:rsidRDefault="00A83ED1" w:rsidP="00A83ED1">
      <w:pPr>
        <w:spacing w:line="240" w:lineRule="auto"/>
        <w:rPr>
          <w:lang w:val="en-GB"/>
        </w:rPr>
      </w:pPr>
      <w:r w:rsidRPr="00B14A85">
        <w:rPr>
          <w:lang w:val="en-GB"/>
        </w:rPr>
        <w:t xml:space="preserve">Health systems strengthening is defined by the WHO as “the process of identifying and implementing the changes in policy and practice in a country's health system, so that the country can respond better to its health and health system challenges”, thus by definition, a stronger health system would be expected to be able to respond better to a pandemic and maintain core health services. </w:t>
      </w:r>
    </w:p>
    <w:p w14:paraId="31EEB639" w14:textId="69DAAC27" w:rsidR="00A83ED1" w:rsidRPr="00B14A85" w:rsidRDefault="00A83ED1" w:rsidP="00A83ED1">
      <w:pPr>
        <w:spacing w:line="240" w:lineRule="auto"/>
        <w:rPr>
          <w:lang w:val="en-GB"/>
        </w:rPr>
      </w:pPr>
      <w:r w:rsidRPr="00B14A85">
        <w:rPr>
          <w:lang w:val="en-GB"/>
        </w:rPr>
        <w:t xml:space="preserve">Quantification and comparison of health system strength across countries requires a clear understanding of the goals and functions of a health system and a framework with quantifiable underlying metrics. The WHO’s health system “building blocks” </w:t>
      </w:r>
      <w:sdt>
        <w:sdtPr>
          <w:rPr>
            <w:color w:val="000000"/>
            <w:lang w:val="en-GB"/>
          </w:rPr>
          <w:tag w:val="MENDELEY_CITATION_v3_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"/>
          <w:id w:val="-1041441918"/>
          <w:placeholder>
            <w:docPart w:val="7F5478B368364B058FB0D1F5C222B374"/>
          </w:placeholder>
        </w:sdtPr>
        <w:sdtContent>
          <w:r w:rsidR="009B4B8B" w:rsidRPr="009B4B8B">
            <w:rPr>
              <w:color w:val="000000"/>
              <w:lang w:val="en-GB"/>
            </w:rPr>
            <w:t>[8]</w:t>
          </w:r>
        </w:sdtContent>
      </w:sdt>
      <w:r w:rsidRPr="00B14A85">
        <w:rPr>
          <w:color w:val="000000"/>
          <w:lang w:val="en-GB"/>
        </w:rPr>
        <w:t xml:space="preserve"> </w:t>
      </w:r>
      <w:r w:rsidRPr="00B14A85">
        <w:rPr>
          <w:lang w:val="en-GB"/>
        </w:rPr>
        <w:t xml:space="preserve">are often used for this purpose, since they offer a relatively simple definition of a health system with six pillars – (i) financing, (ii) health workforce, (iii) information systems, (iv) medical products and technologies, (v) leadership/governance, and (vi) service delivery – and 17 recommended core indicators for their quantification. A limitation in direct use of the WHO framework lies in the lack of available (and publicly accessible) datasets to quantify the 17 core indicators – or even a proxy indicator per building block. </w:t>
      </w:r>
    </w:p>
    <w:p w14:paraId="65C0555D" w14:textId="183047D5" w:rsidR="000812CA" w:rsidRPr="00B14A85" w:rsidRDefault="00A83ED1" w:rsidP="00A83ED1">
      <w:pPr>
        <w:spacing w:line="240" w:lineRule="auto"/>
        <w:rPr>
          <w:lang w:val="en-GB"/>
        </w:rPr>
      </w:pPr>
      <w:r w:rsidRPr="00B14A85">
        <w:rPr>
          <w:lang w:val="en-GB"/>
        </w:rPr>
        <w:t xml:space="preserve">As a result, we sought to identify an alternative dataset that would describe the </w:t>
      </w:r>
      <w:r w:rsidRPr="00B14A85">
        <w:rPr>
          <w:i/>
          <w:iCs/>
          <w:lang w:val="en-GB"/>
        </w:rPr>
        <w:t>outputs</w:t>
      </w:r>
      <w:r w:rsidRPr="00B14A85">
        <w:rPr>
          <w:lang w:val="en-GB"/>
        </w:rPr>
        <w:t xml:space="preserve"> of health system strength, rather than the </w:t>
      </w:r>
      <w:r w:rsidRPr="00B14A85">
        <w:rPr>
          <w:i/>
          <w:iCs/>
          <w:lang w:val="en-GB"/>
        </w:rPr>
        <w:t>inputs</w:t>
      </w:r>
      <w:r w:rsidRPr="00B14A85">
        <w:rPr>
          <w:lang w:val="en-GB"/>
        </w:rPr>
        <w:t xml:space="preserve">. The Universal Health Coverage Index (UHCI, </w:t>
      </w:r>
      <w:sdt>
        <w:sdtPr>
          <w:rPr>
            <w:color w:val="000000"/>
            <w:lang w:val="en-GB"/>
          </w:rPr>
          <w:tag w:val="MENDELEY_CITATION_v3_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"/>
          <w:id w:val="-541527053"/>
          <w:placeholder>
            <w:docPart w:val="7F5478B368364B058FB0D1F5C222B374"/>
          </w:placeholder>
        </w:sdtPr>
        <w:sdtContent>
          <w:r w:rsidR="009B4B8B" w:rsidRPr="009B4B8B">
            <w:rPr>
              <w:color w:val="000000"/>
              <w:lang w:val="en-GB"/>
            </w:rPr>
            <w:t>[9]</w:t>
          </w:r>
        </w:sdtContent>
      </w:sdt>
      <w:r w:rsidRPr="00B14A85">
        <w:rPr>
          <w:color w:val="000000"/>
          <w:lang w:val="en-GB"/>
        </w:rPr>
        <w:t>)</w:t>
      </w:r>
      <w:r w:rsidRPr="00B14A85">
        <w:rPr>
          <w:lang w:val="en-GB"/>
        </w:rPr>
        <w:t xml:space="preserve"> aims to provide a summary measure of health service coverage based on 14 tracer indicators across four areas – (i) reproductive, maternal, newborn and child health, (ii) infectious diseases, (iii) non-communicable diseases, and (4) service capacity and access. Whilst it is noted by the WHO that there are some gaps in data availability, this indicator appeared to be the best proxy for what the WHO health system building blocks define as the aims of “access” and “coverage”. The use of this </w:t>
      </w:r>
      <w:r w:rsidRPr="00B14A85">
        <w:rPr>
          <w:lang w:val="en-GB"/>
        </w:rPr>
        <w:lastRenderedPageBreak/>
        <w:t>indicator also aligns with other global analyses, since the UHCI is used for monitoring progress against the Sustainable Development Goal (3.8.1).</w:t>
      </w:r>
      <w:r w:rsidR="008C471F" w:rsidRPr="00B14A85">
        <w:rPr>
          <w:lang w:val="en-GB"/>
        </w:rPr>
        <w:t xml:space="preserve"> </w:t>
      </w:r>
      <w:r w:rsidR="00DA000F" w:rsidRPr="00B14A85">
        <w:rPr>
          <w:lang w:val="en-GB"/>
        </w:rPr>
        <w:t>This indicator is reported as a index, reflecting breadth of UHCI coverage across the total country population.</w:t>
      </w:r>
    </w:p>
    <w:p w14:paraId="56F4E446" w14:textId="35184905" w:rsidR="00A83ED1" w:rsidRDefault="00A83ED1" w:rsidP="00A83ED1">
      <w:pPr>
        <w:spacing w:line="240" w:lineRule="auto"/>
        <w:rPr>
          <w:lang w:val="en-GB"/>
        </w:rPr>
      </w:pPr>
      <w:r w:rsidRPr="00B14A85">
        <w:rPr>
          <w:lang w:val="en-GB"/>
        </w:rPr>
        <w:t>Quantification-wise, the index scores country from 0-100</w:t>
      </w:r>
      <w:r w:rsidR="00035B52" w:rsidRPr="00B14A85">
        <w:rPr>
          <w:lang w:val="en-GB"/>
        </w:rPr>
        <w:t xml:space="preserve"> and is available for odd numbered years. We calculate the mean UHCI from 2015-2019 from the three available years in that time period (excluding missing values). </w:t>
      </w:r>
    </w:p>
    <w:p w14:paraId="77278C9F" w14:textId="211ACB6D" w:rsidR="00B84AD4" w:rsidRPr="00B84AD4" w:rsidRDefault="00B84AD4" w:rsidP="00A83ED1">
      <w:pPr>
        <w:spacing w:line="240" w:lineRule="auto"/>
        <w:rPr>
          <w:color w:val="000000"/>
          <w:lang w:val="en-GB"/>
        </w:rPr>
      </w:pPr>
      <w:r>
        <w:rPr>
          <w:color w:val="000000"/>
          <w:lang w:val="en-GB"/>
        </w:rPr>
        <w:t xml:space="preserve">We visualise the underlying variation in country performance from this dataset in </w:t>
      </w:r>
      <w:r w:rsidRPr="002C6BCC">
        <w:rPr>
          <w:b/>
          <w:bCs/>
          <w:color w:val="000000"/>
          <w:lang w:val="en-GB"/>
        </w:rPr>
        <w:t xml:space="preserve">Figure </w:t>
      </w:r>
      <w:r>
        <w:rPr>
          <w:b/>
          <w:bCs/>
          <w:color w:val="000000"/>
          <w:lang w:val="en-GB"/>
        </w:rPr>
        <w:t>4</w:t>
      </w:r>
      <w:r>
        <w:rPr>
          <w:color w:val="000000"/>
          <w:lang w:val="en-GB"/>
        </w:rPr>
        <w:t>.</w:t>
      </w:r>
    </w:p>
    <w:p w14:paraId="1B9FA2B5" w14:textId="72ED4CD4" w:rsidR="002F583A" w:rsidRPr="00B14A85" w:rsidRDefault="002F583A" w:rsidP="00A83ED1">
      <w:pPr>
        <w:spacing w:line="240" w:lineRule="auto"/>
        <w:rPr>
          <w:lang w:val="en-GB"/>
        </w:rPr>
      </w:pPr>
      <w:r w:rsidRPr="00B14A85">
        <w:rPr>
          <w:noProof/>
          <w:lang w:val="en-GB"/>
        </w:rPr>
        <w:drawing>
          <wp:inline distT="0" distB="0" distL="0" distR="0" wp14:anchorId="74BBF30B" wp14:editId="1B09388A">
            <wp:extent cx="5943600" cy="2971800"/>
            <wp:effectExtent l="0" t="0" r="0" b="0"/>
            <wp:docPr id="1575836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0AEC005" w14:textId="09955BD9" w:rsidR="002F583A" w:rsidRPr="00B14A85" w:rsidRDefault="00FE4ADB" w:rsidP="006C37DC">
      <w:pPr>
        <w:spacing w:line="240" w:lineRule="auto"/>
        <w:ind w:left="360"/>
        <w:rPr>
          <w:u w:val="single"/>
          <w:lang w:val="en-GB"/>
        </w:rPr>
      </w:pPr>
      <w:r w:rsidRPr="00B14A85">
        <w:rPr>
          <w:b/>
          <w:bCs/>
          <w:color w:val="808080" w:themeColor="background1" w:themeShade="80"/>
          <w:sz w:val="18"/>
          <w:szCs w:val="18"/>
          <w:lang w:val="en-GB"/>
        </w:rPr>
        <w:t>Figure</w:t>
      </w:r>
      <w:r w:rsidR="009F751B" w:rsidRPr="00B14A85">
        <w:rPr>
          <w:b/>
          <w:bCs/>
          <w:color w:val="808080" w:themeColor="background1" w:themeShade="80"/>
          <w:sz w:val="18"/>
          <w:szCs w:val="18"/>
          <w:lang w:val="en-GB"/>
        </w:rPr>
        <w:t xml:space="preserve"> </w:t>
      </w:r>
      <w:r w:rsidR="008466CE">
        <w:rPr>
          <w:b/>
          <w:bCs/>
          <w:color w:val="808080" w:themeColor="background1" w:themeShade="80"/>
          <w:sz w:val="18"/>
          <w:szCs w:val="18"/>
          <w:lang w:val="en-GB"/>
        </w:rPr>
        <w:t>4</w:t>
      </w:r>
      <w:r w:rsidRPr="00B14A85">
        <w:rPr>
          <w:color w:val="808080" w:themeColor="background1" w:themeShade="80"/>
          <w:sz w:val="18"/>
          <w:szCs w:val="18"/>
          <w:lang w:val="en-GB"/>
        </w:rPr>
        <w:t xml:space="preserve"> Health system strength variation globally, as quantified by Universal Health Coverage Index (UHCI) mean score (2015-2019). Colour coding indicates the relative health system strength across countries, with red signalling low UHCI scores and blue signalling high scores and strong health systems.</w:t>
      </w:r>
      <w:r w:rsidR="006C37DC" w:rsidRPr="00B14A85">
        <w:rPr>
          <w:color w:val="808080" w:themeColor="background1" w:themeShade="80"/>
          <w:sz w:val="18"/>
          <w:szCs w:val="18"/>
          <w:lang w:val="en-GB"/>
        </w:rPr>
        <w:t xml:space="preserve"> Grey areas indicate states without data for this indicator.</w:t>
      </w:r>
    </w:p>
    <w:p w14:paraId="16E4B821" w14:textId="5286992A" w:rsidR="00A83ED1" w:rsidRPr="00B14A85" w:rsidRDefault="0034469E" w:rsidP="0034469E">
      <w:pPr>
        <w:spacing w:line="240" w:lineRule="auto"/>
        <w:rPr>
          <w:u w:val="single"/>
          <w:lang w:val="en-GB"/>
        </w:rPr>
      </w:pPr>
      <w:r w:rsidRPr="00B14A85">
        <w:rPr>
          <w:u w:val="single"/>
          <w:lang w:val="en-GB"/>
        </w:rPr>
        <w:t>Global health security</w:t>
      </w:r>
    </w:p>
    <w:p w14:paraId="5F788422" w14:textId="71893CB1" w:rsidR="00A83ED1" w:rsidRPr="00B14A85" w:rsidRDefault="00A83ED1" w:rsidP="00A83ED1">
      <w:pPr>
        <w:spacing w:line="240" w:lineRule="auto"/>
        <w:rPr>
          <w:lang w:val="en-GB"/>
        </w:rPr>
      </w:pPr>
      <w:r w:rsidRPr="00B14A85">
        <w:rPr>
          <w:lang w:val="en-GB"/>
        </w:rPr>
        <w:t xml:space="preserve">Global health security (GHS) is defined by the World Health Organisation as “the activities required, both proactive and reactive, to minimize the danger and impact of acute public health events that endanger people’s health across geographical regions and international boundaries” </w:t>
      </w:r>
      <w:sdt>
        <w:sdtPr>
          <w:rPr>
            <w:color w:val="000000"/>
            <w:lang w:val="en-GB"/>
          </w:rPr>
          <w:tag w:val="MENDELEY_CITATION_v3_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"/>
          <w:id w:val="-1730067386"/>
          <w:placeholder>
            <w:docPart w:val="B064D8471DA44270AC9C6B40763E35E0"/>
          </w:placeholder>
        </w:sdtPr>
        <w:sdtContent>
          <w:r w:rsidR="009B4B8B" w:rsidRPr="009B4B8B">
            <w:rPr>
              <w:color w:val="000000"/>
              <w:lang w:val="en-GB"/>
            </w:rPr>
            <w:t>[10]</w:t>
          </w:r>
        </w:sdtContent>
      </w:sdt>
      <w:r w:rsidRPr="00B14A85">
        <w:rPr>
          <w:color w:val="000000"/>
          <w:lang w:val="en-GB"/>
        </w:rPr>
        <w:t>. It thus follows that countries with better GHS are intended to be able to prevent and respond to threats including pandemics. We include GHS index quantified pre-pandemic, in 2019, to investigate whether the hypothesised association holds that countries with higher GHS are able to better maintain routine immunisation services during the pandemic and suffer less reductions in coverage.</w:t>
      </w:r>
    </w:p>
    <w:p w14:paraId="2D71E465" w14:textId="03017E28" w:rsidR="00A83ED1" w:rsidRPr="00B14A85" w:rsidRDefault="00A83ED1" w:rsidP="00A83ED1">
      <w:pPr>
        <w:spacing w:line="240" w:lineRule="auto"/>
        <w:rPr>
          <w:lang w:val="en-GB"/>
        </w:rPr>
      </w:pPr>
      <w:r w:rsidRPr="00B14A85">
        <w:rPr>
          <w:lang w:val="en-GB"/>
        </w:rPr>
        <w:t xml:space="preserve">The Global Health Security Index (GHSI, </w:t>
      </w:r>
      <w:sdt>
        <w:sdtPr>
          <w:rPr>
            <w:color w:val="000000"/>
            <w:lang w:val="en-GB"/>
          </w:rPr>
          <w:tag w:val="MENDELEY_CITATION_v3_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"/>
          <w:id w:val="1265268468"/>
          <w:placeholder>
            <w:docPart w:val="B064D8471DA44270AC9C6B40763E35E0"/>
          </w:placeholder>
        </w:sdtPr>
        <w:sdtContent>
          <w:r w:rsidR="009B4B8B" w:rsidRPr="009B4B8B">
            <w:rPr>
              <w:color w:val="000000"/>
              <w:lang w:val="en-GB"/>
            </w:rPr>
            <w:t>[11]</w:t>
          </w:r>
        </w:sdtContent>
      </w:sdt>
      <w:r w:rsidRPr="00B14A85">
        <w:rPr>
          <w:lang w:val="en-GB"/>
        </w:rPr>
        <w:t xml:space="preserve">) is the first and only publicly available dataset that aims to quantify the relative readiness of countries to respond to pandemics and other global emergencies. It is comprised of 171 questions grouped into 37 indicators across six categories, all compiled from publicly available information, with indicators selected based on “literature review, and standard accepted measurements for global health security as captured in the International Health Regulations Joint External Evaluation tool and elsewhere” </w:t>
      </w:r>
      <w:sdt>
        <w:sdtPr>
          <w:rPr>
            <w:color w:val="000000"/>
            <w:lang w:val="en-GB"/>
          </w:rPr>
          <w:tag w:val="MENDELEY_CITATION_v3_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"/>
          <w:id w:val="-1276238643"/>
          <w:placeholder>
            <w:docPart w:val="B064D8471DA44270AC9C6B40763E35E0"/>
          </w:placeholder>
        </w:sdtPr>
        <w:sdtContent>
          <w:r w:rsidR="009B4B8B" w:rsidRPr="009B4B8B">
            <w:rPr>
              <w:color w:val="000000"/>
              <w:lang w:val="en-GB"/>
            </w:rPr>
            <w:t>[12]</w:t>
          </w:r>
        </w:sdtContent>
      </w:sdt>
      <w:r w:rsidRPr="00B14A85">
        <w:rPr>
          <w:lang w:val="en-GB"/>
        </w:rPr>
        <w:t xml:space="preserve">. </w:t>
      </w:r>
      <w:r w:rsidR="00593310" w:rsidRPr="00B14A85">
        <w:rPr>
          <w:lang w:val="en-GB"/>
        </w:rPr>
        <w:t>The GHSI is available for 2019 and 2021. For consistency with other indicators, we use the pre-pandemic (2019) values)</w:t>
      </w:r>
      <w:r w:rsidR="00004E26" w:rsidRPr="00B14A85">
        <w:rPr>
          <w:lang w:val="en-GB"/>
        </w:rPr>
        <w:t xml:space="preserve">, </w:t>
      </w:r>
      <w:r w:rsidR="00004E26" w:rsidRPr="00B14A85">
        <w:rPr>
          <w:lang w:val="en-GB"/>
        </w:rPr>
        <w:lastRenderedPageBreak/>
        <w:t xml:space="preserve">however we use the version of these calculated by the methodology updated in 2021 which retrospectively re-scored the GHSI for 2019 based on inclusion of additional indications and changes to weighting of indicators. </w:t>
      </w:r>
    </w:p>
    <w:p w14:paraId="0553BA95" w14:textId="77777777" w:rsidR="00A83ED1" w:rsidRDefault="00A83ED1" w:rsidP="00A83ED1">
      <w:pPr>
        <w:spacing w:line="240" w:lineRule="auto"/>
        <w:rPr>
          <w:lang w:val="en-GB"/>
        </w:rPr>
      </w:pPr>
      <w:r w:rsidRPr="00B14A85">
        <w:rPr>
          <w:lang w:val="en-GB"/>
        </w:rPr>
        <w:t>In addition, it is noted that some of the indicators within the GHSI draw on sub-indicators that are included or closely related to other variables quantified separately in this analysis, e.g., pre-pandemic immunisation coverage and number of doctors and nurses. Since these overlaps represent only a handful of the 171 input datapoints to the GHSI, the GHSI was not recalculated to exclude these variables as the impact of duplication is foreseen as minor and comparable across all countries.</w:t>
      </w:r>
    </w:p>
    <w:p w14:paraId="53099A9D" w14:textId="31FDC1BD" w:rsidR="00B84AD4" w:rsidRPr="00B84AD4" w:rsidRDefault="00B84AD4" w:rsidP="00A83ED1">
      <w:pPr>
        <w:spacing w:line="240" w:lineRule="auto"/>
        <w:rPr>
          <w:color w:val="000000"/>
          <w:lang w:val="en-GB"/>
        </w:rPr>
      </w:pPr>
      <w:r>
        <w:rPr>
          <w:color w:val="000000"/>
          <w:lang w:val="en-GB"/>
        </w:rPr>
        <w:t xml:space="preserve">We visualise the underlying variation in country performance from this dataset in </w:t>
      </w:r>
      <w:r w:rsidRPr="002C6BCC">
        <w:rPr>
          <w:b/>
          <w:bCs/>
          <w:color w:val="000000"/>
          <w:lang w:val="en-GB"/>
        </w:rPr>
        <w:t xml:space="preserve">Figure </w:t>
      </w:r>
      <w:r>
        <w:rPr>
          <w:b/>
          <w:bCs/>
          <w:color w:val="000000"/>
          <w:lang w:val="en-GB"/>
        </w:rPr>
        <w:t>5</w:t>
      </w:r>
      <w:r>
        <w:rPr>
          <w:color w:val="000000"/>
          <w:lang w:val="en-GB"/>
        </w:rPr>
        <w:t>.</w:t>
      </w:r>
    </w:p>
    <w:p w14:paraId="386E4EA9" w14:textId="63927A97" w:rsidR="009F751B" w:rsidRPr="00B14A85" w:rsidRDefault="009F751B" w:rsidP="00A83ED1">
      <w:pPr>
        <w:spacing w:line="240" w:lineRule="auto"/>
        <w:rPr>
          <w:lang w:val="en-GB"/>
        </w:rPr>
      </w:pPr>
      <w:r w:rsidRPr="00B14A85">
        <w:rPr>
          <w:noProof/>
          <w:color w:val="808080" w:themeColor="background1" w:themeShade="80"/>
          <w:sz w:val="18"/>
          <w:szCs w:val="18"/>
          <w:lang w:val="en-GB"/>
        </w:rPr>
        <w:drawing>
          <wp:inline distT="0" distB="0" distL="0" distR="0" wp14:anchorId="0575DF6E" wp14:editId="62FCF02D">
            <wp:extent cx="5943600" cy="2971800"/>
            <wp:effectExtent l="0" t="0" r="0" b="0"/>
            <wp:docPr id="79096232"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6232" name="Picture 9" descr="A map of the wor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48BF1E3" w14:textId="60B6AE74" w:rsidR="009F751B" w:rsidRPr="00B14A85" w:rsidRDefault="009F751B" w:rsidP="009F751B">
      <w:pPr>
        <w:spacing w:line="240" w:lineRule="auto"/>
        <w:ind w:left="360"/>
        <w:rPr>
          <w:u w:val="single"/>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5</w:t>
      </w:r>
      <w:r w:rsidRPr="00B14A85">
        <w:rPr>
          <w:color w:val="808080" w:themeColor="background1" w:themeShade="80"/>
          <w:sz w:val="18"/>
          <w:szCs w:val="18"/>
          <w:lang w:val="en-GB"/>
        </w:rPr>
        <w:t xml:space="preserve"> Global health security globally, as quantified by the Global Health Security index (GHSI; from 2019). Colour coding indicates the relative strength of pandemic preparedness across countries, with red signalling low GHSI scores and blue signalling high scores and </w:t>
      </w:r>
      <w:r w:rsidR="007706F8" w:rsidRPr="00B14A85">
        <w:rPr>
          <w:color w:val="808080" w:themeColor="background1" w:themeShade="80"/>
          <w:sz w:val="18"/>
          <w:szCs w:val="18"/>
          <w:lang w:val="en-GB"/>
        </w:rPr>
        <w:t>better preparedness.</w:t>
      </w:r>
      <w:r w:rsidR="006C37DC" w:rsidRPr="00B14A85">
        <w:rPr>
          <w:color w:val="808080" w:themeColor="background1" w:themeShade="80"/>
          <w:sz w:val="18"/>
          <w:szCs w:val="18"/>
          <w:lang w:val="en-GB"/>
        </w:rPr>
        <w:t xml:space="preserve"> Grey areas indicate states without data for this indicator.</w:t>
      </w:r>
    </w:p>
    <w:p w14:paraId="410B9625" w14:textId="77777777" w:rsidR="009F751B" w:rsidRPr="00B14A85" w:rsidRDefault="009F751B" w:rsidP="00A83ED1">
      <w:pPr>
        <w:spacing w:line="240" w:lineRule="auto"/>
        <w:rPr>
          <w:lang w:val="en-GB"/>
        </w:rPr>
      </w:pPr>
    </w:p>
    <w:p w14:paraId="657AC2D8" w14:textId="77777777" w:rsidR="00A83ED1" w:rsidRPr="00B14A85" w:rsidRDefault="00A83ED1" w:rsidP="006F3D99">
      <w:pPr>
        <w:spacing w:line="240" w:lineRule="auto"/>
        <w:rPr>
          <w:u w:val="single"/>
          <w:lang w:val="en-GB"/>
        </w:rPr>
      </w:pPr>
      <w:r w:rsidRPr="00B14A85">
        <w:rPr>
          <w:u w:val="single"/>
          <w:lang w:val="en-GB"/>
        </w:rPr>
        <w:t>COVID-19 vaccination</w:t>
      </w:r>
    </w:p>
    <w:p w14:paraId="5E05497A" w14:textId="3CE5C4D2" w:rsidR="00E87DDE" w:rsidRPr="00B14A85" w:rsidRDefault="00A83ED1" w:rsidP="00A83ED1">
      <w:pPr>
        <w:spacing w:line="240" w:lineRule="auto"/>
        <w:rPr>
          <w:lang w:val="en-GB"/>
        </w:rPr>
      </w:pPr>
      <w:r w:rsidRPr="00B14A85">
        <w:rPr>
          <w:lang w:val="en-GB"/>
        </w:rPr>
        <w:t>COVID-19 vaccines were developed, tested, and approved for emergency use within 11-months of the declaration of the pandemic. Despite calls for global equitable access to COVID-19 vaccines during the acute phases of the pandemic, access to vaccines varied considerably – with high-income countries securing the majority of vaccines, and the COVAX mechanism supporting access to lower-income countries. When vaccines were available, COVID-19 vaccination campaigns required significant resources due to their scale. We wished to explore whether focus on COVID-19 vaccination may have come at the expense of focused efforts on infant immunisation</w:t>
      </w:r>
      <w:r w:rsidR="009740AF" w:rsidRPr="00B14A85">
        <w:rPr>
          <w:lang w:val="en-GB"/>
        </w:rPr>
        <w:t xml:space="preserve"> – as reported in </w:t>
      </w:r>
      <w:r w:rsidR="00136B46" w:rsidRPr="00B14A85">
        <w:rPr>
          <w:lang w:val="en-GB"/>
        </w:rPr>
        <w:t xml:space="preserve">WHO Pulse Surveys </w:t>
      </w:r>
      <w:sdt>
        <w:sdtPr>
          <w:rPr>
            <w:color w:val="000000"/>
            <w:lang w:val="en-GB"/>
          </w:rPr>
          <w:tag w:val="MENDELEY_CITATION_v3_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ddXX0sIlVSTCI6Imh0dHBzOi8vd3d3Lndoby5pbnQvcHVibGljYXRpb25zL2kvaXRlbS9XSE8tMjAxOS1uQ29WLUVIU19jb250aW51aXR5LXN1cnZleS0yMDIyLjEiLCJpc3N1ZWQiOnsiZGF0ZS1wYXJ0cyI6W1syMDIyXV19LCJjb250YWluZXItdGl0bGUtc2hvcnQiOiIifSwiaXNUZW1wb3JhcnkiOmZhbHNlfV19"/>
          <w:id w:val="877196143"/>
          <w:placeholder>
            <w:docPart w:val="DefaultPlaceholder_-1854013440"/>
          </w:placeholder>
        </w:sdtPr>
        <w:sdtContent>
          <w:r w:rsidR="009B4B8B" w:rsidRPr="009B4B8B">
            <w:rPr>
              <w:color w:val="000000"/>
              <w:lang w:val="en-GB"/>
            </w:rPr>
            <w:t>[13]</w:t>
          </w:r>
        </w:sdtContent>
      </w:sdt>
      <w:r w:rsidRPr="00B14A85">
        <w:rPr>
          <w:lang w:val="en-GB"/>
        </w:rPr>
        <w:t>, or whether COVID-19 vaccination offered opportunities for RI integration and catch-up</w:t>
      </w:r>
      <w:r w:rsidR="00766C74" w:rsidRPr="00B14A85">
        <w:rPr>
          <w:lang w:val="en-GB"/>
        </w:rPr>
        <w:t xml:space="preserve">. </w:t>
      </w:r>
    </w:p>
    <w:p w14:paraId="109F622A" w14:textId="7F7E9C49" w:rsidR="00A83ED1" w:rsidRDefault="00A83ED1" w:rsidP="00A83ED1">
      <w:pPr>
        <w:spacing w:line="240" w:lineRule="auto"/>
        <w:rPr>
          <w:lang w:val="en-GB"/>
        </w:rPr>
      </w:pPr>
      <w:r w:rsidRPr="00B14A85">
        <w:rPr>
          <w:lang w:val="en-GB"/>
        </w:rPr>
        <w:lastRenderedPageBreak/>
        <w:t xml:space="preserve">To explore this potential association, we calculated the number of COVID-19 vaccinations administered per </w:t>
      </w:r>
      <w:r w:rsidR="00E87DDE" w:rsidRPr="00B14A85">
        <w:rPr>
          <w:lang w:val="en-GB"/>
        </w:rPr>
        <w:t xml:space="preserve">100,000 </w:t>
      </w:r>
      <w:r w:rsidR="0063646C" w:rsidRPr="00B14A85">
        <w:rPr>
          <w:lang w:val="en-GB"/>
        </w:rPr>
        <w:t xml:space="preserve">(total) </w:t>
      </w:r>
      <w:r w:rsidR="00E87DDE" w:rsidRPr="00B14A85">
        <w:rPr>
          <w:lang w:val="en-GB"/>
        </w:rPr>
        <w:t>population</w:t>
      </w:r>
      <w:r w:rsidRPr="00B14A85">
        <w:rPr>
          <w:lang w:val="en-GB"/>
        </w:rPr>
        <w:t xml:space="preserve"> per year, by scaling absolute vaccination administration data from Our World In Data using the UN WPP total population estimates per year from 2020-2022</w:t>
      </w:r>
      <w:r w:rsidR="000C0B1A" w:rsidRPr="00B14A85">
        <w:rPr>
          <w:lang w:val="en-GB"/>
        </w:rPr>
        <w:t xml:space="preserve"> </w:t>
      </w:r>
      <w:sdt>
        <w:sdtPr>
          <w:rPr>
            <w:color w:val="000000"/>
            <w:lang w:val="en-GB"/>
          </w:rPr>
          <w:tag w:val="MENDELEY_CITATION_v3_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"/>
          <w:id w:val="-1311161757"/>
          <w:placeholder>
            <w:docPart w:val="DefaultPlaceholder_-1854013440"/>
          </w:placeholder>
        </w:sdtPr>
        <w:sdtContent>
          <w:r w:rsidR="009B4B8B" w:rsidRPr="009B4B8B">
            <w:rPr>
              <w:color w:val="000000"/>
              <w:lang w:val="en-GB"/>
            </w:rPr>
            <w:t>[14]</w:t>
          </w:r>
        </w:sdtContent>
      </w:sdt>
      <w:r w:rsidRPr="00B14A85">
        <w:rPr>
          <w:lang w:val="en-GB"/>
        </w:rPr>
        <w:t>.</w:t>
      </w:r>
      <w:r w:rsidR="00E87DDE" w:rsidRPr="00B14A85">
        <w:rPr>
          <w:lang w:val="en-GB"/>
        </w:rPr>
        <w:t xml:space="preserve"> Where no data is reported we assume this reflects zero vaccines administered and relates primarily to some countries in 2020 when vaccines were initially rolling out globally.</w:t>
      </w:r>
    </w:p>
    <w:p w14:paraId="43EAE2C2" w14:textId="11463116" w:rsidR="00B84AD4" w:rsidRPr="00B84AD4" w:rsidRDefault="00B84AD4" w:rsidP="00A83ED1">
      <w:pPr>
        <w:spacing w:line="240" w:lineRule="auto"/>
        <w:rPr>
          <w:color w:val="000000"/>
          <w:lang w:val="en-GB"/>
        </w:rPr>
      </w:pPr>
      <w:r>
        <w:rPr>
          <w:color w:val="000000"/>
          <w:lang w:val="en-GB"/>
        </w:rPr>
        <w:t xml:space="preserve">We visualise the underlying variation in country COVID-19 vaccination levels from this dataset in </w:t>
      </w:r>
      <w:r w:rsidRPr="002C6BCC">
        <w:rPr>
          <w:b/>
          <w:bCs/>
          <w:color w:val="000000"/>
          <w:lang w:val="en-GB"/>
        </w:rPr>
        <w:t xml:space="preserve">Figure </w:t>
      </w:r>
      <w:r>
        <w:rPr>
          <w:b/>
          <w:bCs/>
          <w:color w:val="000000"/>
          <w:lang w:val="en-GB"/>
        </w:rPr>
        <w:t>6</w:t>
      </w:r>
      <w:r>
        <w:rPr>
          <w:color w:val="000000"/>
          <w:lang w:val="en-GB"/>
        </w:rPr>
        <w:t>.</w:t>
      </w:r>
    </w:p>
    <w:p w14:paraId="73A1CE8A" w14:textId="554925F8" w:rsidR="00DB2F40" w:rsidRPr="00B14A85" w:rsidRDefault="00AD3A18" w:rsidP="00A83ED1">
      <w:pPr>
        <w:spacing w:line="240" w:lineRule="auto"/>
        <w:rPr>
          <w:lang w:val="en-GB"/>
        </w:rPr>
      </w:pPr>
      <w:r w:rsidRPr="00B14A85">
        <w:rPr>
          <w:noProof/>
          <w:color w:val="808080" w:themeColor="background1" w:themeShade="80"/>
          <w:sz w:val="18"/>
          <w:szCs w:val="18"/>
          <w:lang w:val="en-GB"/>
        </w:rPr>
        <w:drawing>
          <wp:inline distT="0" distB="0" distL="0" distR="0" wp14:anchorId="72427F7F" wp14:editId="34E442E7">
            <wp:extent cx="5943600" cy="2971800"/>
            <wp:effectExtent l="0" t="0" r="0" b="0"/>
            <wp:docPr id="379760725" name="Picture 1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0725" name="Picture 12" descr="A map of the worl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402E2B3" w14:textId="170A3FDA" w:rsidR="00547E97" w:rsidRPr="00B14A85" w:rsidRDefault="00547E97" w:rsidP="00A645B4">
      <w:pPr>
        <w:spacing w:line="240" w:lineRule="auto"/>
        <w:ind w:left="360"/>
        <w:rPr>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6</w:t>
      </w:r>
      <w:r w:rsidR="00AD3A18" w:rsidRPr="00B14A85">
        <w:rPr>
          <w:b/>
          <w:bCs/>
          <w:color w:val="808080" w:themeColor="background1" w:themeShade="80"/>
          <w:sz w:val="18"/>
          <w:szCs w:val="18"/>
          <w:lang w:val="en-GB"/>
        </w:rPr>
        <w:t xml:space="preserve"> </w:t>
      </w:r>
      <w:r w:rsidR="00A645B4" w:rsidRPr="00B14A85">
        <w:rPr>
          <w:color w:val="808080" w:themeColor="background1" w:themeShade="80"/>
          <w:sz w:val="18"/>
          <w:szCs w:val="18"/>
          <w:lang w:val="en-GB"/>
        </w:rPr>
        <w:t>Number of COVID-19 vaccines administered from 2020-2022 per 100,000 population</w:t>
      </w:r>
      <w:r w:rsidRPr="00B14A85">
        <w:rPr>
          <w:color w:val="808080" w:themeColor="background1" w:themeShade="80"/>
          <w:sz w:val="18"/>
          <w:szCs w:val="18"/>
          <w:lang w:val="en-GB"/>
        </w:rPr>
        <w:t xml:space="preserve">. Colour coding indicates the </w:t>
      </w:r>
      <w:r w:rsidR="00A645B4" w:rsidRPr="00B14A85">
        <w:rPr>
          <w:color w:val="808080" w:themeColor="background1" w:themeShade="80"/>
          <w:sz w:val="18"/>
          <w:szCs w:val="18"/>
          <w:lang w:val="en-GB"/>
        </w:rPr>
        <w:t xml:space="preserve">extent of COVID-19 vaccination </w:t>
      </w:r>
      <w:r w:rsidRPr="00B14A85">
        <w:rPr>
          <w:color w:val="808080" w:themeColor="background1" w:themeShade="80"/>
          <w:sz w:val="18"/>
          <w:szCs w:val="18"/>
          <w:lang w:val="en-GB"/>
        </w:rPr>
        <w:t xml:space="preserve">across countries, with red signalling </w:t>
      </w:r>
      <w:r w:rsidR="00A645B4" w:rsidRPr="00B14A85">
        <w:rPr>
          <w:color w:val="808080" w:themeColor="background1" w:themeShade="80"/>
          <w:sz w:val="18"/>
          <w:szCs w:val="18"/>
          <w:lang w:val="en-GB"/>
        </w:rPr>
        <w:t>low reach</w:t>
      </w:r>
      <w:r w:rsidRPr="00B14A85">
        <w:rPr>
          <w:color w:val="808080" w:themeColor="background1" w:themeShade="80"/>
          <w:sz w:val="18"/>
          <w:szCs w:val="18"/>
          <w:lang w:val="en-GB"/>
        </w:rPr>
        <w:t xml:space="preserve"> and blue signalling </w:t>
      </w:r>
      <w:r w:rsidR="00A645B4" w:rsidRPr="00B14A85">
        <w:rPr>
          <w:color w:val="808080" w:themeColor="background1" w:themeShade="80"/>
          <w:sz w:val="18"/>
          <w:szCs w:val="18"/>
          <w:lang w:val="en-GB"/>
        </w:rPr>
        <w:t>high coverage.</w:t>
      </w:r>
      <w:r w:rsidR="006C37DC" w:rsidRPr="00B14A85">
        <w:rPr>
          <w:color w:val="808080" w:themeColor="background1" w:themeShade="80"/>
          <w:sz w:val="18"/>
          <w:szCs w:val="18"/>
          <w:lang w:val="en-GB"/>
        </w:rPr>
        <w:t xml:space="preserve"> Grey areas indicate states without data for this indicator.</w:t>
      </w:r>
    </w:p>
    <w:p w14:paraId="6D8922B1" w14:textId="24B70D1F" w:rsidR="00A83ED1" w:rsidRPr="00B14A85" w:rsidRDefault="00A83ED1" w:rsidP="006F3D99">
      <w:pPr>
        <w:spacing w:line="240" w:lineRule="auto"/>
        <w:rPr>
          <w:u w:val="single"/>
          <w:lang w:val="en-GB"/>
        </w:rPr>
      </w:pPr>
      <w:r w:rsidRPr="00B14A85">
        <w:rPr>
          <w:u w:val="single"/>
          <w:lang w:val="en-GB"/>
        </w:rPr>
        <w:t xml:space="preserve">COVID-19 </w:t>
      </w:r>
      <w:r w:rsidR="006F3D99" w:rsidRPr="00B14A85">
        <w:rPr>
          <w:u w:val="single"/>
          <w:lang w:val="en-GB"/>
        </w:rPr>
        <w:t>burden</w:t>
      </w:r>
    </w:p>
    <w:p w14:paraId="4104CBF9" w14:textId="2781466E" w:rsidR="00A83ED1" w:rsidRPr="00B14A85" w:rsidRDefault="00A83ED1" w:rsidP="00A83ED1">
      <w:pPr>
        <w:spacing w:line="240" w:lineRule="auto"/>
        <w:rPr>
          <w:lang w:val="en-GB"/>
        </w:rPr>
      </w:pPr>
      <w:r w:rsidRPr="00B14A85">
        <w:rPr>
          <w:lang w:val="en-GB"/>
        </w:rPr>
        <w:t xml:space="preserve">During the peak period of the pandemic, countries with high burdens of COVID-19 cases reported that their health systems were overwhelmed </w:t>
      </w:r>
      <w:sdt>
        <w:sdtPr>
          <w:rPr>
            <w:color w:val="000000"/>
            <w:lang w:val="en-GB"/>
          </w:rPr>
          <w:tag w:val="MENDELEY_CITATION_v3_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E5XV19LCJVUkwiOiJodHRwczovL3d3dy53aG8uaW50L3B1YmxpY2F0aW9ucy9pL2l0ZW0vV0hPLTIwMTktbkNvVi1FSFMtY29udGludWl0eS1zdXJ2ZXktMjAyMS4xIiwiaXNzdWVkIjp7ImRhdGUtcGFydHMiOltbMjAyMV1dfSwiY29udGFpbmVyLXRpdGxlLXNob3J0IjoiIn0sImlzVGVtcG9yYXJ5IjpmYWxzZX0seyJpZCI6IjY0M2QxZjY1LWUzZjctM2QyOS1iYzU2LTgzYjY2NjZkZWIzZCIsIml0ZW1EYXRhIjp7InR5cGUiOiJyZXBvcnQiLCJpZCI6IjY0M2QxZjY1LWUzZjctM2QyOS1iYzU2LTgzYjY2NjZkZWIzZCIsInRpdGxlIjoiVGhpcmQgcm91bmQgb2YgdGhlIGdsb2J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ddXX0sIlVSTCI6Imh0dHBzOi8vd3d3Lndoby5pbnQvcHVibGljYXRpb25zL2kvaXRlbS9XSE8tMjAxOS1uQ29WLUVIU19jb250aW51aXR5LXN1cnZleS0yMDIyLjEiLCJpc3N1ZWQiOnsiZGF0ZS1wYXJ0cyI6W1syMDIyXV19LCJjb250YWluZXItdGl0bGUtc2hvcnQiOiIifSwiaXNUZW1wb3JhcnkiOmZhbHNlfV19"/>
          <w:id w:val="-1696609634"/>
          <w:placeholder>
            <w:docPart w:val="DefaultPlaceholder_-1854013440"/>
          </w:placeholder>
        </w:sdtPr>
        <w:sdtContent>
          <w:r w:rsidR="009B4B8B" w:rsidRPr="009B4B8B">
            <w:rPr>
              <w:color w:val="000000"/>
              <w:lang w:val="en-GB"/>
            </w:rPr>
            <w:t>[13,15,16]</w:t>
          </w:r>
        </w:sdtContent>
      </w:sdt>
      <w:r w:rsidR="0095445C" w:rsidRPr="00B14A85">
        <w:rPr>
          <w:color w:val="000000"/>
          <w:lang w:val="en-GB"/>
        </w:rPr>
        <w:t xml:space="preserve"> </w:t>
      </w:r>
      <w:r w:rsidRPr="00B14A85">
        <w:rPr>
          <w:lang w:val="en-GB"/>
        </w:rPr>
        <w:t xml:space="preserve">– with acute care hospitalised beds fully utilised and large numbers of patients requiring intensive care and oxygen supplies. Some countries cancelled routine surgery in order to offer increased hospital capacity to pandemic response. Some countries constructed emergency hospitals at record speed to increase bed capacity further. These efforts diverted human and physical resources from other routine health service provision to COVID-19, and it therefore hypothesised that countries with a higher severe case burden would need to divert more resources to COVID-19 and that routine immunisation may have suffered more in these countries. </w:t>
      </w:r>
      <w:r w:rsidR="0095445C" w:rsidRPr="00B14A85">
        <w:rPr>
          <w:lang w:val="en-GB"/>
        </w:rPr>
        <w:t xml:space="preserve">Increase COVID-19 burden may also have led to increased fear of contracting the disease in the </w:t>
      </w:r>
      <w:r w:rsidR="000C0B1A" w:rsidRPr="00B14A85">
        <w:rPr>
          <w:lang w:val="en-GB"/>
        </w:rPr>
        <w:t>population and</w:t>
      </w:r>
      <w:r w:rsidR="0095445C" w:rsidRPr="00B14A85">
        <w:rPr>
          <w:lang w:val="en-GB"/>
        </w:rPr>
        <w:t xml:space="preserve"> contributed to changed behaviours and less health seeking behaviour </w:t>
      </w:r>
      <w:r w:rsidR="00200E2F" w:rsidRPr="00B14A85">
        <w:rPr>
          <w:lang w:val="en-GB"/>
        </w:rPr>
        <w:t xml:space="preserve">(as reported by parents across many countries </w:t>
      </w:r>
      <w:sdt>
        <w:sdtPr>
          <w:rPr>
            <w:color w:val="000000"/>
            <w:lang w:val="en-GB"/>
          </w:rPr>
          <w:tag w:val="MENDELEY_CITATION_v3_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"/>
          <w:id w:val="-1191756053"/>
          <w:placeholder>
            <w:docPart w:val="DefaultPlaceholder_-1854013440"/>
          </w:placeholder>
        </w:sdtPr>
        <w:sdtContent>
          <w:r w:rsidR="009B4B8B" w:rsidRPr="009B4B8B">
            <w:rPr>
              <w:color w:val="000000"/>
              <w:lang w:val="en-GB"/>
            </w:rPr>
            <w:t>[17]</w:t>
          </w:r>
        </w:sdtContent>
      </w:sdt>
      <w:r w:rsidR="00200E2F" w:rsidRPr="00B14A85">
        <w:rPr>
          <w:color w:val="000000"/>
          <w:lang w:val="en-GB"/>
        </w:rPr>
        <w:t>).</w:t>
      </w:r>
    </w:p>
    <w:p w14:paraId="001F160D" w14:textId="0AA183FA" w:rsidR="00E87DDE" w:rsidRPr="00B14A85" w:rsidRDefault="00A83ED1" w:rsidP="00A83ED1">
      <w:pPr>
        <w:spacing w:line="240" w:lineRule="auto"/>
        <w:rPr>
          <w:lang w:val="en-GB"/>
        </w:rPr>
      </w:pPr>
      <w:r w:rsidRPr="00B14A85">
        <w:rPr>
          <w:lang w:val="en-GB"/>
        </w:rPr>
        <w:t xml:space="preserve">Comparing country-level COVID-19 case and death data is challenging due to varied access to COVID-19 diagnostics, differing testing policies, and variations in death reporting guidelines (i.e., what counts as a COVID-19 death), as well as poor data availability for both morbidity and mortality data in many countries. As a result, rather than include poor data with large gaps, we sought to </w:t>
      </w:r>
      <w:r w:rsidRPr="00B14A85">
        <w:rPr>
          <w:lang w:val="en-GB"/>
        </w:rPr>
        <w:lastRenderedPageBreak/>
        <w:t xml:space="preserve">include a proxy indicator for COVID-19 health impact in the form of modelled excess mortality estimates. To our knowledge, four sources have compiled estimates of excess mortality for all countries for at least 2020 and 2021 – the World Mortality Dataset </w:t>
      </w:r>
      <w:sdt>
        <w:sdtPr>
          <w:rPr>
            <w:color w:val="000000"/>
            <w:lang w:val="en-GB"/>
          </w:rPr>
          <w:tag w:val="MENDELEY_CITATION_v3_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"/>
          <w:id w:val="-1852479299"/>
          <w:placeholder>
            <w:docPart w:val="B064D8471DA44270AC9C6B40763E35E0"/>
          </w:placeholder>
        </w:sdtPr>
        <w:sdtContent>
          <w:r w:rsidR="009B4B8B" w:rsidRPr="009B4B8B">
            <w:rPr>
              <w:color w:val="000000"/>
              <w:lang w:val="en-GB"/>
            </w:rPr>
            <w:t>[18]</w:t>
          </w:r>
        </w:sdtContent>
      </w:sdt>
      <w:r w:rsidRPr="00B14A85">
        <w:rPr>
          <w:lang w:val="en-GB"/>
        </w:rPr>
        <w:t xml:space="preserve">, the WHO </w:t>
      </w:r>
      <w:sdt>
        <w:sdtPr>
          <w:rPr>
            <w:color w:val="000000"/>
            <w:lang w:val="en-GB"/>
          </w:rPr>
          <w:tag w:val="MENDELEY_CITATION_v3_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"/>
          <w:id w:val="-1993021338"/>
          <w:placeholder>
            <w:docPart w:val="8EF984C0FDC343FF9A5DBE0766C3F09B"/>
          </w:placeholder>
        </w:sdtPr>
        <w:sdtContent>
          <w:r w:rsidR="009B4B8B" w:rsidRPr="009B4B8B">
            <w:rPr>
              <w:color w:val="000000"/>
              <w:lang w:val="en-GB"/>
            </w:rPr>
            <w:t>[19]</w:t>
          </w:r>
        </w:sdtContent>
      </w:sdt>
      <w:r w:rsidRPr="00B14A85">
        <w:rPr>
          <w:lang w:val="en-GB"/>
        </w:rPr>
        <w:t xml:space="preserve">, the Economist </w:t>
      </w:r>
      <w:sdt>
        <w:sdtPr>
          <w:rPr>
            <w:color w:val="000000"/>
            <w:lang w:val="en-GB"/>
          </w:rPr>
          <w:tag w:val="MENDELEY_CITATION_v3_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"/>
          <w:id w:val="1613935703"/>
          <w:placeholder>
            <w:docPart w:val="8EF984C0FDC343FF9A5DBE0766C3F09B"/>
          </w:placeholder>
        </w:sdtPr>
        <w:sdtContent>
          <w:r w:rsidR="009B4B8B" w:rsidRPr="009B4B8B">
            <w:rPr>
              <w:color w:val="000000"/>
              <w:lang w:val="en-GB"/>
            </w:rPr>
            <w:t>[20]</w:t>
          </w:r>
        </w:sdtContent>
      </w:sdt>
      <w:r w:rsidRPr="00B14A85">
        <w:rPr>
          <w:lang w:val="en-GB"/>
        </w:rPr>
        <w:t xml:space="preserve">, and the COVID-19 Excess mortality Collaborators </w:t>
      </w:r>
      <w:sdt>
        <w:sdtPr>
          <w:rPr>
            <w:color w:val="000000"/>
            <w:lang w:val="en-GB"/>
          </w:rPr>
          <w:tag w:val="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"/>
          <w:id w:val="1992673069"/>
          <w:placeholder>
            <w:docPart w:val="8EF984C0FDC343FF9A5DBE0766C3F09B"/>
          </w:placeholder>
        </w:sdtPr>
        <w:sdtContent>
          <w:r w:rsidR="009B4B8B" w:rsidRPr="009B4B8B">
            <w:rPr>
              <w:color w:val="000000"/>
              <w:lang w:val="en-GB"/>
            </w:rPr>
            <w:t>[21]</w:t>
          </w:r>
        </w:sdtContent>
      </w:sdt>
      <w:r w:rsidRPr="00B14A85">
        <w:rPr>
          <w:lang w:val="en-GB"/>
        </w:rPr>
        <w:t>. The World Mortality Dataset currently provides data for 127 countries and territories, and therefore we preferred alternative, more complete, datasets. Whilst the WHO provides estimates for 194 countries, and the World Mortality Dataset covers 191 countries and territories, however both only covers the period from 2020-2021 and since we intend to conduct analyses over a three-year period (2020-2022) we opted to use the Economist data which covers 223 countries and regions and covers 2020-2023</w:t>
      </w:r>
      <w:r w:rsidR="00E87DDE" w:rsidRPr="00B14A85">
        <w:rPr>
          <w:lang w:val="en-GB"/>
        </w:rPr>
        <w:t>.</w:t>
      </w:r>
    </w:p>
    <w:p w14:paraId="27C75FDC" w14:textId="72431066" w:rsidR="00E87DDE" w:rsidRDefault="00C106E9" w:rsidP="00A83ED1">
      <w:pPr>
        <w:spacing w:line="240" w:lineRule="auto"/>
        <w:rPr>
          <w:lang w:val="en-GB"/>
        </w:rPr>
      </w:pPr>
      <w:r w:rsidRPr="00B14A85">
        <w:rPr>
          <w:lang w:val="en-GB"/>
        </w:rPr>
        <w:t xml:space="preserve">Economist </w:t>
      </w:r>
      <w:r w:rsidR="00902ED1" w:rsidRPr="00B14A85">
        <w:rPr>
          <w:lang w:val="en-GB"/>
        </w:rPr>
        <w:t>excess mortality data includes a weekly updated time series</w:t>
      </w:r>
      <w:r w:rsidR="00D1634B" w:rsidRPr="00B14A85">
        <w:rPr>
          <w:lang w:val="en-GB"/>
        </w:rPr>
        <w:t xml:space="preserve">, including an indicator for ‘cumulative excess mortality per 100,000 population’ </w:t>
      </w:r>
      <w:sdt>
        <w:sdtPr>
          <w:rPr>
            <w:color w:val="000000"/>
            <w:lang w:val="en-GB"/>
          </w:rPr>
          <w:tag w:val="MENDELEY_CITATION_v3_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"/>
          <w:id w:val="1578860861"/>
          <w:placeholder>
            <w:docPart w:val="DefaultPlaceholder_-1854013440"/>
          </w:placeholder>
        </w:sdtPr>
        <w:sdtContent>
          <w:r w:rsidR="009B4B8B" w:rsidRPr="009B4B8B">
            <w:rPr>
              <w:color w:val="000000"/>
              <w:lang w:val="en-GB"/>
            </w:rPr>
            <w:t>[22]</w:t>
          </w:r>
        </w:sdtContent>
      </w:sdt>
      <w:r w:rsidR="00F8376A" w:rsidRPr="00B14A85">
        <w:rPr>
          <w:lang w:val="en-GB"/>
        </w:rPr>
        <w:t xml:space="preserve">. We extract the end-of-year values for this indicator for 2020, 2021, and 2022 and then back calculate annual excess mortality for 2021 and 2022 as the difference between the end year and previous end year values. </w:t>
      </w:r>
    </w:p>
    <w:p w14:paraId="35FFD380" w14:textId="7AAC5C24" w:rsidR="00B84AD4" w:rsidRPr="00B84AD4" w:rsidRDefault="00B84AD4" w:rsidP="00A83ED1">
      <w:pPr>
        <w:spacing w:line="240" w:lineRule="auto"/>
        <w:rPr>
          <w:color w:val="000000"/>
          <w:lang w:val="en-GB"/>
        </w:rPr>
      </w:pPr>
      <w:r>
        <w:rPr>
          <w:color w:val="000000"/>
          <w:lang w:val="en-GB"/>
        </w:rPr>
        <w:t xml:space="preserve">We visualise the underlying variation in country excess mortality from this dataset in </w:t>
      </w:r>
      <w:r w:rsidRPr="002C6BCC">
        <w:rPr>
          <w:b/>
          <w:bCs/>
          <w:color w:val="000000"/>
          <w:lang w:val="en-GB"/>
        </w:rPr>
        <w:t xml:space="preserve">Figure </w:t>
      </w:r>
      <w:r>
        <w:rPr>
          <w:b/>
          <w:bCs/>
          <w:color w:val="000000"/>
          <w:lang w:val="en-GB"/>
        </w:rPr>
        <w:t>7</w:t>
      </w:r>
      <w:r>
        <w:rPr>
          <w:color w:val="000000"/>
          <w:lang w:val="en-GB"/>
        </w:rPr>
        <w:t>.</w:t>
      </w:r>
    </w:p>
    <w:p w14:paraId="4C6D8AFB" w14:textId="4DC0BE07" w:rsidR="00E87DDE" w:rsidRPr="00B14A85" w:rsidRDefault="00A02B3B" w:rsidP="00A83ED1">
      <w:pPr>
        <w:spacing w:line="240" w:lineRule="auto"/>
        <w:rPr>
          <w:lang w:val="en-GB"/>
        </w:rPr>
      </w:pPr>
      <w:r w:rsidRPr="00B14A85">
        <w:rPr>
          <w:b/>
          <w:bCs/>
          <w:noProof/>
          <w:color w:val="808080" w:themeColor="background1" w:themeShade="80"/>
          <w:sz w:val="18"/>
          <w:szCs w:val="18"/>
          <w:lang w:val="en-GB"/>
        </w:rPr>
        <w:drawing>
          <wp:inline distT="0" distB="0" distL="0" distR="0" wp14:anchorId="00EBD276" wp14:editId="6F0DD396">
            <wp:extent cx="5943600" cy="2971800"/>
            <wp:effectExtent l="0" t="0" r="0" b="0"/>
            <wp:docPr id="7670310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3E81793" w14:textId="5FF8EB96" w:rsidR="00694ED8" w:rsidRPr="00B14A85" w:rsidRDefault="00694ED8" w:rsidP="00D4188C">
      <w:pPr>
        <w:spacing w:line="240" w:lineRule="auto"/>
        <w:ind w:left="360"/>
        <w:rPr>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7</w:t>
      </w:r>
      <w:r w:rsidRPr="00B14A85">
        <w:rPr>
          <w:b/>
          <w:bCs/>
          <w:color w:val="808080" w:themeColor="background1" w:themeShade="80"/>
          <w:sz w:val="18"/>
          <w:szCs w:val="18"/>
          <w:lang w:val="en-GB"/>
        </w:rPr>
        <w:t xml:space="preserve"> </w:t>
      </w:r>
      <w:r w:rsidR="00A02B3B" w:rsidRPr="00B14A85">
        <w:rPr>
          <w:color w:val="808080" w:themeColor="background1" w:themeShade="80"/>
          <w:sz w:val="18"/>
          <w:szCs w:val="18"/>
          <w:lang w:val="en-GB"/>
        </w:rPr>
        <w:t>Excess mortality</w:t>
      </w:r>
      <w:r w:rsidRPr="00B14A85">
        <w:rPr>
          <w:color w:val="808080" w:themeColor="background1" w:themeShade="80"/>
          <w:sz w:val="18"/>
          <w:szCs w:val="18"/>
          <w:lang w:val="en-GB"/>
        </w:rPr>
        <w:t xml:space="preserve"> per 100,000 population</w:t>
      </w:r>
      <w:r w:rsidR="00A02B3B" w:rsidRPr="00B14A85">
        <w:rPr>
          <w:color w:val="808080" w:themeColor="background1" w:themeShade="80"/>
          <w:sz w:val="18"/>
          <w:szCs w:val="18"/>
          <w:lang w:val="en-GB"/>
        </w:rPr>
        <w:t xml:space="preserve"> (2020-2022), as a proxy for COVID-19 burden</w:t>
      </w:r>
      <w:r w:rsidRPr="00B14A85">
        <w:rPr>
          <w:color w:val="808080" w:themeColor="background1" w:themeShade="80"/>
          <w:sz w:val="18"/>
          <w:szCs w:val="18"/>
          <w:lang w:val="en-GB"/>
        </w:rPr>
        <w:t xml:space="preserve">. Colour coding indicates the extent of COVID-19 </w:t>
      </w:r>
      <w:r w:rsidR="00A02B3B" w:rsidRPr="00B14A85">
        <w:rPr>
          <w:color w:val="808080" w:themeColor="background1" w:themeShade="80"/>
          <w:sz w:val="18"/>
          <w:szCs w:val="18"/>
          <w:lang w:val="en-GB"/>
        </w:rPr>
        <w:t>burden</w:t>
      </w:r>
      <w:r w:rsidRPr="00B14A85">
        <w:rPr>
          <w:color w:val="808080" w:themeColor="background1" w:themeShade="80"/>
          <w:sz w:val="18"/>
          <w:szCs w:val="18"/>
          <w:lang w:val="en-GB"/>
        </w:rPr>
        <w:t xml:space="preserve">, with red signalling </w:t>
      </w:r>
      <w:r w:rsidR="00A02B3B" w:rsidRPr="00B14A85">
        <w:rPr>
          <w:color w:val="808080" w:themeColor="background1" w:themeShade="80"/>
          <w:sz w:val="18"/>
          <w:szCs w:val="18"/>
          <w:lang w:val="en-GB"/>
        </w:rPr>
        <w:t>high excess mortality and blue signalling minimal additional deaths than expected during the pandemic.</w:t>
      </w:r>
      <w:r w:rsidR="006C37DC" w:rsidRPr="00B14A85">
        <w:rPr>
          <w:color w:val="808080" w:themeColor="background1" w:themeShade="80"/>
          <w:sz w:val="18"/>
          <w:szCs w:val="18"/>
          <w:lang w:val="en-GB"/>
        </w:rPr>
        <w:t xml:space="preserve"> Grey areas indicate states without data for this indicator.</w:t>
      </w:r>
    </w:p>
    <w:p w14:paraId="023389FC" w14:textId="461AD698" w:rsidR="000C0B1A" w:rsidRPr="00B14A85" w:rsidRDefault="0034469E" w:rsidP="00CE23B8">
      <w:pPr>
        <w:spacing w:line="240" w:lineRule="auto"/>
        <w:rPr>
          <w:u w:val="single"/>
          <w:lang w:val="en-GB"/>
        </w:rPr>
      </w:pPr>
      <w:r w:rsidRPr="00B14A85">
        <w:rPr>
          <w:u w:val="single"/>
          <w:lang w:val="en-GB"/>
        </w:rPr>
        <w:t>Pandemic policies</w:t>
      </w:r>
      <w:r w:rsidR="00A3370D" w:rsidRPr="00B14A85">
        <w:rPr>
          <w:u w:val="single"/>
          <w:lang w:val="en-GB"/>
        </w:rPr>
        <w:t>:</w:t>
      </w:r>
      <w:r w:rsidR="00CE23B8" w:rsidRPr="00B14A85">
        <w:rPr>
          <w:u w:val="single"/>
          <w:lang w:val="en-GB"/>
        </w:rPr>
        <w:t xml:space="preserve"> containment, economic, and health</w:t>
      </w:r>
    </w:p>
    <w:p w14:paraId="32728CDE" w14:textId="3DC4A3D9" w:rsidR="008123D7" w:rsidRPr="00B14A85" w:rsidRDefault="006E590B" w:rsidP="008123D7">
      <w:pPr>
        <w:spacing w:line="240" w:lineRule="auto"/>
        <w:rPr>
          <w:lang w:val="en-GB"/>
        </w:rPr>
      </w:pPr>
      <w:r w:rsidRPr="00B14A85">
        <w:rPr>
          <w:lang w:val="en-GB"/>
        </w:rPr>
        <w:t xml:space="preserve">During the COVID-19 pandemic, unprecedented policies were introduced to help prevent cases, identify outbreaks, and protect vulnerable populations (amongst other goals) </w:t>
      </w:r>
      <w:sdt>
        <w:sdtPr>
          <w:rPr>
            <w:color w:val="000000"/>
            <w:lang w:val="en-GB"/>
          </w:rPr>
          <w:tag w:val="MENDELEY_CITATION_v3_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"/>
          <w:id w:val="87588472"/>
          <w:placeholder>
            <w:docPart w:val="DefaultPlaceholder_-1854013440"/>
          </w:placeholder>
        </w:sdtPr>
        <w:sdtContent>
          <w:r w:rsidR="009B4B8B" w:rsidRPr="009B4B8B">
            <w:rPr>
              <w:color w:val="000000"/>
              <w:lang w:val="en-GB"/>
            </w:rPr>
            <w:t>[23]</w:t>
          </w:r>
        </w:sdtContent>
      </w:sdt>
      <w:r w:rsidRPr="00B14A85">
        <w:rPr>
          <w:lang w:val="en-GB"/>
        </w:rPr>
        <w:t xml:space="preserve">. </w:t>
      </w:r>
      <w:r w:rsidR="008123D7" w:rsidRPr="00B14A85">
        <w:rPr>
          <w:lang w:val="en-GB"/>
        </w:rPr>
        <w:t xml:space="preserve">We hypothesised there may not be as strong a relationship between pandemic policies and DTP3 coverage deltas since pandemic policy stringency is moderated by adherence to polices, and outcome measures – such as COVID-19 burden, COVID-19 vaccination level, and changes in movement and behaviour – may capture variation partly stemming from policies. Nevertheless, there could be residual variation driven by variation in pandemic policy stringency, with </w:t>
      </w:r>
      <w:r w:rsidR="005E5741" w:rsidRPr="00B14A85">
        <w:rPr>
          <w:lang w:val="en-GB"/>
        </w:rPr>
        <w:t xml:space="preserve">more stringent containment policies reducing mobility and health seeking behaviour; more stringent economic policies enabling increased adherence to stay-at-home orders and thus reducing </w:t>
      </w:r>
      <w:r w:rsidR="005E5741" w:rsidRPr="00B14A85">
        <w:rPr>
          <w:lang w:val="en-GB"/>
        </w:rPr>
        <w:lastRenderedPageBreak/>
        <w:t xml:space="preserve">COVID-19 transmission and </w:t>
      </w:r>
      <w:r w:rsidR="00FD17BB" w:rsidRPr="00B14A85">
        <w:rPr>
          <w:lang w:val="en-GB"/>
        </w:rPr>
        <w:t>enabling more “business as usual” including routine health services; and stronger health policies also reducing COVID-19 burden and thus facilitating continuation of routine services.</w:t>
      </w:r>
    </w:p>
    <w:p w14:paraId="4AD5F9BA" w14:textId="53643BCD" w:rsidR="006E590B" w:rsidRPr="00B14A85" w:rsidRDefault="006E590B" w:rsidP="006E590B">
      <w:pPr>
        <w:spacing w:line="240" w:lineRule="auto"/>
        <w:rPr>
          <w:lang w:val="en-GB"/>
        </w:rPr>
      </w:pPr>
      <w:r w:rsidRPr="00B14A85">
        <w:rPr>
          <w:lang w:val="en-GB"/>
        </w:rPr>
        <w:t xml:space="preserve">Country national, regional, and local, policy responses during the pandemic were collated and codified in the Oxford Covid-19 Government Response Tracker (OxCGRT) on a daily basis from 2020-2022 </w:t>
      </w:r>
      <w:sdt>
        <w:sdtPr>
          <w:rPr>
            <w:color w:val="000000"/>
            <w:lang w:val="en-GB"/>
          </w:rPr>
          <w:tag w:val="MENDELEY_CITATION_v3_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"/>
          <w:id w:val="-1625220928"/>
          <w:placeholder>
            <w:docPart w:val="86153B419EC949C8B4314E3A67EBD20E"/>
          </w:placeholder>
        </w:sdtPr>
        <w:sdtContent>
          <w:r w:rsidR="009B4B8B" w:rsidRPr="009B4B8B">
            <w:rPr>
              <w:color w:val="000000"/>
              <w:lang w:val="en-GB"/>
            </w:rPr>
            <w:t>[24]</w:t>
          </w:r>
        </w:sdtContent>
      </w:sdt>
      <w:r w:rsidRPr="00B14A85">
        <w:rPr>
          <w:lang w:val="en-GB"/>
        </w:rPr>
        <w:t xml:space="preserve">. Eight containment policy categories (covering restrictions on movement and gatherings), four economic policy categories (covering financial support to reduce financial burden), and eight health policy categories (covering diagnostics, vaccination, and mask wearing amongst other policies) were recorded and codified </w:t>
      </w:r>
      <w:r w:rsidR="00247FBE" w:rsidRPr="00B14A85">
        <w:rPr>
          <w:lang w:val="en-GB"/>
        </w:rPr>
        <w:t>from 0 to up-to 4</w:t>
      </w:r>
      <w:r w:rsidR="001F3E2F" w:rsidRPr="00B14A85">
        <w:rPr>
          <w:lang w:val="en-GB"/>
        </w:rPr>
        <w:t>, with higher numbers indicating greater stringency of policies. I</w:t>
      </w:r>
      <w:r w:rsidRPr="00B14A85">
        <w:rPr>
          <w:lang w:val="en-GB"/>
        </w:rPr>
        <w:t>n some cases</w:t>
      </w:r>
      <w:r w:rsidR="002119E6" w:rsidRPr="00B14A85">
        <w:rPr>
          <w:lang w:val="en-GB"/>
        </w:rPr>
        <w:t>,</w:t>
      </w:r>
      <w:r w:rsidRPr="00B14A85">
        <w:rPr>
          <w:lang w:val="en-GB"/>
        </w:rPr>
        <w:t xml:space="preserve"> </w:t>
      </w:r>
      <w:r w:rsidR="002119E6" w:rsidRPr="00B14A85">
        <w:rPr>
          <w:lang w:val="en-GB"/>
        </w:rPr>
        <w:t xml:space="preserve">multiple versions of each indicator </w:t>
      </w:r>
      <w:r w:rsidR="002C6BCC" w:rsidRPr="00B14A85">
        <w:rPr>
          <w:lang w:val="en-GB"/>
        </w:rPr>
        <w:t>exist</w:t>
      </w:r>
      <w:r w:rsidR="002119E6" w:rsidRPr="00B14A85">
        <w:rPr>
          <w:lang w:val="en-GB"/>
        </w:rPr>
        <w:t xml:space="preserve"> with variations signalling </w:t>
      </w:r>
      <w:r w:rsidRPr="00B14A85">
        <w:rPr>
          <w:lang w:val="en-GB"/>
        </w:rPr>
        <w:t>whether the policy applied to all populations, the majority</w:t>
      </w:r>
      <w:r w:rsidR="002119E6" w:rsidRPr="00B14A85">
        <w:rPr>
          <w:lang w:val="en-GB"/>
        </w:rPr>
        <w:t xml:space="preserve"> of the population</w:t>
      </w:r>
      <w:r w:rsidRPr="00B14A85">
        <w:rPr>
          <w:lang w:val="en-GB"/>
        </w:rPr>
        <w:t>, vaccinated</w:t>
      </w:r>
      <w:r w:rsidR="002119E6" w:rsidRPr="00B14A85">
        <w:rPr>
          <w:lang w:val="en-GB"/>
        </w:rPr>
        <w:t xml:space="preserve"> people only</w:t>
      </w:r>
      <w:r w:rsidRPr="00B14A85">
        <w:rPr>
          <w:lang w:val="en-GB"/>
        </w:rPr>
        <w:t xml:space="preserve">, or non-vaccinated individuals at a national or sub-national level. These individual variables were also published summarised into five indices (one depreciated) – with overlapping inclusion of indicators within each index. </w:t>
      </w:r>
    </w:p>
    <w:p w14:paraId="2BBA2932" w14:textId="139E80AB" w:rsidR="00D128AD" w:rsidRPr="00B14A85" w:rsidRDefault="00D128AD" w:rsidP="006E590B">
      <w:pPr>
        <w:spacing w:line="240" w:lineRule="auto"/>
        <w:rPr>
          <w:color w:val="000000"/>
          <w:lang w:val="en-GB"/>
        </w:rPr>
      </w:pPr>
      <w:r w:rsidRPr="00B14A85">
        <w:rPr>
          <w:lang w:val="en-GB"/>
        </w:rPr>
        <w:t xml:space="preserve">Our focus is on national-level broad trends; </w:t>
      </w:r>
      <w:r w:rsidR="002C6BCC" w:rsidRPr="00B14A85">
        <w:rPr>
          <w:lang w:val="en-GB"/>
        </w:rPr>
        <w:t>therefore,</w:t>
      </w:r>
      <w:r w:rsidRPr="00B14A85">
        <w:rPr>
          <w:lang w:val="en-GB"/>
        </w:rPr>
        <w:t xml:space="preserve"> we focus on national-level indicators applied to </w:t>
      </w:r>
      <w:r w:rsidR="002C6BCC" w:rsidRPr="00B14A85">
        <w:rPr>
          <w:lang w:val="en-GB"/>
        </w:rPr>
        <w:t>most of</w:t>
      </w:r>
      <w:r w:rsidRPr="00B14A85">
        <w:rPr>
          <w:lang w:val="en-GB"/>
        </w:rPr>
        <w:t xml:space="preserve"> the population. </w:t>
      </w:r>
      <w:r w:rsidR="002C6BCC" w:rsidRPr="00B14A85">
        <w:rPr>
          <w:lang w:val="en-GB"/>
        </w:rPr>
        <w:t>First,</w:t>
      </w:r>
      <w:r w:rsidR="006E590B" w:rsidRPr="00B14A85">
        <w:rPr>
          <w:lang w:val="en-GB"/>
        </w:rPr>
        <w:t xml:space="preserve"> </w:t>
      </w:r>
      <w:r w:rsidRPr="00B14A85">
        <w:rPr>
          <w:lang w:val="en-GB"/>
        </w:rPr>
        <w:t xml:space="preserve">we </w:t>
      </w:r>
      <w:r w:rsidR="006E590B" w:rsidRPr="00B14A85">
        <w:rPr>
          <w:lang w:val="en-GB"/>
        </w:rPr>
        <w:t xml:space="preserve">removed four indicators that were flagged by the authors as incomplete and not updated (two economic and two health indicators: E3, E4, H4, and H5) </w:t>
      </w:r>
      <w:sdt>
        <w:sdtPr>
          <w:rPr>
            <w:color w:val="000000"/>
            <w:lang w:val="en-GB"/>
          </w:rPr>
          <w:tag w:val="MENDELEY_CITATION_v3_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"/>
          <w:id w:val="-1438753374"/>
          <w:placeholder>
            <w:docPart w:val="CA4C8670D796485596D787559B5BFF69"/>
          </w:placeholder>
        </w:sdtPr>
        <w:sdtContent>
          <w:r w:rsidR="009B4B8B" w:rsidRPr="009B4B8B">
            <w:rPr>
              <w:color w:val="000000"/>
              <w:lang w:val="en-GB"/>
            </w:rPr>
            <w:t>[25]</w:t>
          </w:r>
        </w:sdtContent>
      </w:sdt>
      <w:r w:rsidR="006E590B" w:rsidRPr="00B14A85">
        <w:rPr>
          <w:color w:val="000000"/>
          <w:lang w:val="en-GB"/>
        </w:rPr>
        <w:t xml:space="preserve">. We then </w:t>
      </w:r>
      <w:r w:rsidR="002119E6" w:rsidRPr="00B14A85">
        <w:rPr>
          <w:color w:val="000000"/>
          <w:lang w:val="en-GB"/>
        </w:rPr>
        <w:t xml:space="preserve">sub-selected the version of all remaining indicators </w:t>
      </w:r>
      <w:r w:rsidRPr="00B14A85">
        <w:rPr>
          <w:color w:val="000000"/>
          <w:lang w:val="en-GB"/>
        </w:rPr>
        <w:t xml:space="preserve">(eight containment, six health, and two economic) </w:t>
      </w:r>
      <w:r w:rsidR="002119E6" w:rsidRPr="00B14A85">
        <w:rPr>
          <w:color w:val="000000"/>
          <w:lang w:val="en-GB"/>
        </w:rPr>
        <w:t xml:space="preserve">that provides a stringency for policies as applied </w:t>
      </w:r>
      <w:r w:rsidRPr="00B14A85">
        <w:rPr>
          <w:color w:val="000000"/>
          <w:lang w:val="en-GB"/>
        </w:rPr>
        <w:t xml:space="preserve">to </w:t>
      </w:r>
      <w:r w:rsidR="002C6BCC" w:rsidRPr="00B14A85">
        <w:rPr>
          <w:color w:val="000000"/>
          <w:lang w:val="en-GB"/>
        </w:rPr>
        <w:t>most of</w:t>
      </w:r>
      <w:r w:rsidRPr="00B14A85">
        <w:rPr>
          <w:color w:val="000000"/>
          <w:lang w:val="en-GB"/>
        </w:rPr>
        <w:t xml:space="preserve"> the population at a national level for each year from 2020 to 2022 inclusive. We calculated an annual mean stringency score per year for each of these 16 indicators.</w:t>
      </w:r>
    </w:p>
    <w:p w14:paraId="10BC1894" w14:textId="25FCB640" w:rsidR="002F5A91" w:rsidRPr="00B14A85" w:rsidRDefault="002C6BCC" w:rsidP="006E590B">
      <w:pPr>
        <w:spacing w:line="240" w:lineRule="auto"/>
        <w:rPr>
          <w:lang w:val="en-GB"/>
        </w:rPr>
      </w:pPr>
      <w:r w:rsidRPr="00B14A85">
        <w:rPr>
          <w:color w:val="000000"/>
          <w:lang w:val="en-GB"/>
        </w:rPr>
        <w:t>To</w:t>
      </w:r>
      <w:r w:rsidR="00D128AD" w:rsidRPr="00B14A85">
        <w:rPr>
          <w:color w:val="000000"/>
          <w:lang w:val="en-GB"/>
        </w:rPr>
        <w:t xml:space="preserve"> reach a manageable and meaningful summary set of policy variables, w</w:t>
      </w:r>
      <w:r w:rsidR="006E590B" w:rsidRPr="00B14A85">
        <w:rPr>
          <w:color w:val="000000"/>
          <w:lang w:val="en-GB"/>
        </w:rPr>
        <w:t xml:space="preserve">e then used Principal Components Analysis (PCA) to reduce each category of data into Principal Components that described at least 50% of the underlying variation per sub-category. </w:t>
      </w:r>
      <w:r w:rsidR="006E590B" w:rsidRPr="00B14A85">
        <w:rPr>
          <w:lang w:val="en-GB"/>
        </w:rPr>
        <w:t>For the containment policies the Principal Component described 64% of the variation in the data and is composed of a relatively similar proportion of information across each of the underlying eight variables (8-15% of each). We thus kept a single Principal Component. For the two economic indices the Principal Component described 75% of the variation in the data and is composed of equal amounts of each variable, and thus again we kept a single Principal Component. For the health indicators the diagnostic testing policy and public information campaigns contributed the most (together explaining ~50% of the variation) followed by vaccination policy and mask wearing (explaining an additional ~40%), with minimal contribution from contract tracing or elderly protection</w:t>
      </w:r>
      <w:r w:rsidR="005B0444" w:rsidRPr="00B14A85">
        <w:rPr>
          <w:lang w:val="en-GB"/>
        </w:rPr>
        <w:t xml:space="preserve">. </w:t>
      </w:r>
      <w:r w:rsidR="006E590B" w:rsidRPr="00B14A85">
        <w:rPr>
          <w:lang w:val="en-GB"/>
        </w:rPr>
        <w:t>We maintained two health policy variables for fitting in the model, so as to capture &gt; 50% of the variance from the underlying policies.</w:t>
      </w:r>
    </w:p>
    <w:p w14:paraId="0DDA3B9A" w14:textId="44AC372C" w:rsidR="006E590B" w:rsidRDefault="002119E6" w:rsidP="006E590B">
      <w:pPr>
        <w:spacing w:line="240" w:lineRule="auto"/>
        <w:rPr>
          <w:lang w:val="en-GB"/>
        </w:rPr>
      </w:pPr>
      <w:r w:rsidRPr="00B14A85">
        <w:rPr>
          <w:lang w:val="en-GB"/>
        </w:rPr>
        <w:t>After conducting PCA, p</w:t>
      </w:r>
      <w:r w:rsidR="002F5A91" w:rsidRPr="00B14A85">
        <w:rPr>
          <w:lang w:val="en-GB"/>
        </w:rPr>
        <w:t xml:space="preserve">andemic policy Principal Components are all scored such that higher scores represent more stringent policies, e.g., </w:t>
      </w:r>
      <w:r w:rsidR="00057CDB" w:rsidRPr="00B14A85">
        <w:rPr>
          <w:lang w:val="en-GB"/>
        </w:rPr>
        <w:t xml:space="preserve">stronger containment policies (such as more frequent or stringent school or workplace closures), more health policies (such as </w:t>
      </w:r>
      <w:r w:rsidR="002F5A91" w:rsidRPr="00B14A85">
        <w:rPr>
          <w:lang w:val="en-GB"/>
        </w:rPr>
        <w:t>requirements to wear masks more often</w:t>
      </w:r>
      <w:r w:rsidR="00057CDB" w:rsidRPr="00B14A85">
        <w:rPr>
          <w:lang w:val="en-GB"/>
        </w:rPr>
        <w:t>)</w:t>
      </w:r>
      <w:r w:rsidR="002F5A91" w:rsidRPr="00B14A85">
        <w:rPr>
          <w:lang w:val="en-GB"/>
        </w:rPr>
        <w:t xml:space="preserve">, </w:t>
      </w:r>
      <w:r w:rsidR="00057CDB" w:rsidRPr="00B14A85">
        <w:rPr>
          <w:lang w:val="en-GB"/>
        </w:rPr>
        <w:t>and more economic support</w:t>
      </w:r>
      <w:r w:rsidRPr="00B14A85">
        <w:rPr>
          <w:lang w:val="en-GB"/>
        </w:rPr>
        <w:t xml:space="preserve"> (e.g., broader economic relief during the pandemic). </w:t>
      </w:r>
    </w:p>
    <w:p w14:paraId="3303BB3B" w14:textId="2EA73458" w:rsidR="006057C1" w:rsidRPr="006057C1" w:rsidRDefault="006057C1" w:rsidP="006E590B">
      <w:pPr>
        <w:spacing w:line="240" w:lineRule="auto"/>
        <w:rPr>
          <w:color w:val="000000"/>
          <w:lang w:val="en-GB"/>
        </w:rPr>
      </w:pPr>
      <w:r>
        <w:rPr>
          <w:color w:val="000000"/>
          <w:lang w:val="en-GB"/>
        </w:rPr>
        <w:t xml:space="preserve">We visualise the underlying variation in country policy stringency from this dataset in </w:t>
      </w:r>
      <w:r w:rsidRPr="002C6BCC">
        <w:rPr>
          <w:b/>
          <w:bCs/>
          <w:color w:val="000000"/>
          <w:lang w:val="en-GB"/>
        </w:rPr>
        <w:t xml:space="preserve">Figure </w:t>
      </w:r>
      <w:r>
        <w:rPr>
          <w:b/>
          <w:bCs/>
          <w:color w:val="000000"/>
          <w:lang w:val="en-GB"/>
        </w:rPr>
        <w:t xml:space="preserve">8 </w:t>
      </w:r>
      <w:r>
        <w:rPr>
          <w:color w:val="000000"/>
          <w:lang w:val="en-GB"/>
        </w:rPr>
        <w:t xml:space="preserve">(containment policy), </w:t>
      </w:r>
      <w:r>
        <w:rPr>
          <w:b/>
          <w:bCs/>
          <w:color w:val="000000"/>
          <w:lang w:val="en-GB"/>
        </w:rPr>
        <w:t>Figure 9</w:t>
      </w:r>
      <w:r>
        <w:rPr>
          <w:color w:val="000000"/>
          <w:lang w:val="en-GB"/>
        </w:rPr>
        <w:t xml:space="preserve"> (economic policy) and </w:t>
      </w:r>
      <w:r>
        <w:rPr>
          <w:b/>
          <w:bCs/>
          <w:color w:val="000000"/>
          <w:lang w:val="en-GB"/>
        </w:rPr>
        <w:t>Figure 10</w:t>
      </w:r>
      <w:r>
        <w:rPr>
          <w:color w:val="000000"/>
          <w:lang w:val="en-GB"/>
        </w:rPr>
        <w:t xml:space="preserve"> (health policy).</w:t>
      </w:r>
    </w:p>
    <w:p w14:paraId="7E78F66A" w14:textId="0096FFAA" w:rsidR="005E4BFF" w:rsidRPr="00B14A85" w:rsidRDefault="00D85B90" w:rsidP="006E590B">
      <w:pPr>
        <w:spacing w:line="240" w:lineRule="auto"/>
        <w:rPr>
          <w:lang w:val="en-GB"/>
        </w:rPr>
      </w:pPr>
      <w:r w:rsidRPr="00B14A85">
        <w:rPr>
          <w:noProof/>
          <w:color w:val="808080" w:themeColor="background1" w:themeShade="80"/>
          <w:sz w:val="18"/>
          <w:szCs w:val="18"/>
          <w:lang w:val="en-GB"/>
        </w:rPr>
        <w:lastRenderedPageBreak/>
        <w:drawing>
          <wp:inline distT="0" distB="0" distL="0" distR="0" wp14:anchorId="4CB136EB" wp14:editId="3BDAD6D4">
            <wp:extent cx="5937250" cy="2971800"/>
            <wp:effectExtent l="0" t="0" r="6350" b="0"/>
            <wp:docPr id="17024139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2F8A72C6" w14:textId="2A9012F7" w:rsidR="005E4BFF" w:rsidRPr="00B14A85" w:rsidRDefault="005E4BFF" w:rsidP="005E4BFF">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8</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Containment policy stri</w:t>
      </w:r>
      <w:r w:rsidR="00660581" w:rsidRPr="00B14A85">
        <w:rPr>
          <w:color w:val="808080" w:themeColor="background1" w:themeShade="80"/>
          <w:sz w:val="18"/>
          <w:szCs w:val="18"/>
          <w:lang w:val="en-GB"/>
        </w:rPr>
        <w:t>n</w:t>
      </w:r>
      <w:r w:rsidRPr="00B14A85">
        <w:rPr>
          <w:color w:val="808080" w:themeColor="background1" w:themeShade="80"/>
          <w:sz w:val="18"/>
          <w:szCs w:val="18"/>
          <w:lang w:val="en-GB"/>
        </w:rPr>
        <w:t xml:space="preserve">gency variation across countries, as quantified by a single Principal Component summarizing 6 containment policies. </w:t>
      </w:r>
      <w:r w:rsidR="009A3AC5" w:rsidRPr="00B14A85">
        <w:rPr>
          <w:color w:val="808080" w:themeColor="background1" w:themeShade="80"/>
          <w:sz w:val="18"/>
          <w:szCs w:val="18"/>
          <w:lang w:val="en-GB"/>
        </w:rPr>
        <w:t xml:space="preserve">Higher stringency values indicate more stringent containment policies such as more frequent or stringent school or workplace closures. </w:t>
      </w:r>
      <w:r w:rsidRPr="00B14A85">
        <w:rPr>
          <w:color w:val="808080" w:themeColor="background1" w:themeShade="80"/>
          <w:sz w:val="18"/>
          <w:szCs w:val="18"/>
          <w:lang w:val="en-GB"/>
        </w:rPr>
        <w:t xml:space="preserve">Colour coding indicates the </w:t>
      </w:r>
      <w:r w:rsidR="009A3AC5" w:rsidRPr="00B14A85">
        <w:rPr>
          <w:color w:val="808080" w:themeColor="background1" w:themeShade="80"/>
          <w:sz w:val="18"/>
          <w:szCs w:val="18"/>
          <w:lang w:val="en-GB"/>
        </w:rPr>
        <w:t>policy stringency</w:t>
      </w:r>
      <w:r w:rsidRPr="00B14A85">
        <w:rPr>
          <w:color w:val="808080" w:themeColor="background1" w:themeShade="80"/>
          <w:sz w:val="18"/>
          <w:szCs w:val="18"/>
          <w:lang w:val="en-GB"/>
        </w:rPr>
        <w:t xml:space="preserve">, with red signalling </w:t>
      </w:r>
      <w:r w:rsidR="006C37DC" w:rsidRPr="00B14A85">
        <w:rPr>
          <w:color w:val="808080" w:themeColor="background1" w:themeShade="80"/>
          <w:sz w:val="18"/>
          <w:szCs w:val="18"/>
          <w:lang w:val="en-GB"/>
        </w:rPr>
        <w:t>more restrictions</w:t>
      </w:r>
      <w:r w:rsidRPr="00B14A85">
        <w:rPr>
          <w:color w:val="808080" w:themeColor="background1" w:themeShade="80"/>
          <w:sz w:val="18"/>
          <w:szCs w:val="18"/>
          <w:lang w:val="en-GB"/>
        </w:rPr>
        <w:t xml:space="preserve"> and blue signalling </w:t>
      </w:r>
      <w:r w:rsidR="006C37DC" w:rsidRPr="00B14A85">
        <w:rPr>
          <w:color w:val="808080" w:themeColor="background1" w:themeShade="80"/>
          <w:sz w:val="18"/>
          <w:szCs w:val="18"/>
          <w:lang w:val="en-GB"/>
        </w:rPr>
        <w:t xml:space="preserve">fewer restrictions on average </w:t>
      </w:r>
      <w:r w:rsidRPr="00B14A85">
        <w:rPr>
          <w:color w:val="808080" w:themeColor="background1" w:themeShade="80"/>
          <w:sz w:val="18"/>
          <w:szCs w:val="18"/>
          <w:lang w:val="en-GB"/>
        </w:rPr>
        <w:t>during the pandemic.</w:t>
      </w:r>
      <w:r w:rsidR="006C37DC" w:rsidRPr="00B14A85">
        <w:rPr>
          <w:color w:val="808080" w:themeColor="background1" w:themeShade="80"/>
          <w:sz w:val="18"/>
          <w:szCs w:val="18"/>
          <w:lang w:val="en-GB"/>
        </w:rPr>
        <w:t xml:space="preserve"> Grey areas indicate states without data for this indicator.</w:t>
      </w:r>
    </w:p>
    <w:p w14:paraId="4240CBAE" w14:textId="1DDD644E" w:rsidR="00161997" w:rsidRPr="00B14A85" w:rsidRDefault="002C626D" w:rsidP="002C626D">
      <w:pPr>
        <w:spacing w:line="240" w:lineRule="auto"/>
        <w:rPr>
          <w:lang w:val="en-GB"/>
        </w:rPr>
      </w:pPr>
      <w:r w:rsidRPr="00B14A85">
        <w:rPr>
          <w:noProof/>
          <w:lang w:val="en-GB"/>
        </w:rPr>
        <w:drawing>
          <wp:inline distT="0" distB="0" distL="0" distR="0" wp14:anchorId="401EE8FF" wp14:editId="515DCCDE">
            <wp:extent cx="5937250" cy="2971800"/>
            <wp:effectExtent l="0" t="0" r="6350" b="0"/>
            <wp:docPr id="9549829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58C0312A" w14:textId="1890280F" w:rsidR="00161997" w:rsidRPr="00B14A85" w:rsidRDefault="00161997" w:rsidP="00161997">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9</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Economic policy stri</w:t>
      </w:r>
      <w:r w:rsidR="00660581" w:rsidRPr="00B14A85">
        <w:rPr>
          <w:color w:val="808080" w:themeColor="background1" w:themeShade="80"/>
          <w:sz w:val="18"/>
          <w:szCs w:val="18"/>
          <w:lang w:val="en-GB"/>
        </w:rPr>
        <w:t>ng</w:t>
      </w:r>
      <w:r w:rsidRPr="00B14A85">
        <w:rPr>
          <w:color w:val="808080" w:themeColor="background1" w:themeShade="80"/>
          <w:sz w:val="18"/>
          <w:szCs w:val="18"/>
          <w:lang w:val="en-GB"/>
        </w:rPr>
        <w:t xml:space="preserve">ency variation across countries, as quantified by a single Principal Component summarizing </w:t>
      </w:r>
      <w:r w:rsidR="001030EF" w:rsidRPr="00B14A85">
        <w:rPr>
          <w:color w:val="808080" w:themeColor="background1" w:themeShade="80"/>
          <w:sz w:val="18"/>
          <w:szCs w:val="18"/>
          <w:lang w:val="en-GB"/>
        </w:rPr>
        <w:t>2 economic</w:t>
      </w:r>
      <w:r w:rsidRPr="00B14A85">
        <w:rPr>
          <w:color w:val="808080" w:themeColor="background1" w:themeShade="80"/>
          <w:sz w:val="18"/>
          <w:szCs w:val="18"/>
          <w:lang w:val="en-GB"/>
        </w:rPr>
        <w:t xml:space="preserve"> policies. Higher stringency values indicate more economic support such as debt relief. Colour coding indicates the policy </w:t>
      </w:r>
      <w:r w:rsidR="001030EF" w:rsidRPr="00B14A85">
        <w:rPr>
          <w:color w:val="808080" w:themeColor="background1" w:themeShade="80"/>
          <w:sz w:val="18"/>
          <w:szCs w:val="18"/>
          <w:lang w:val="en-GB"/>
        </w:rPr>
        <w:t>extent</w:t>
      </w:r>
      <w:r w:rsidRPr="00B14A85">
        <w:rPr>
          <w:color w:val="808080" w:themeColor="background1" w:themeShade="80"/>
          <w:sz w:val="18"/>
          <w:szCs w:val="18"/>
          <w:lang w:val="en-GB"/>
        </w:rPr>
        <w:t xml:space="preserve">, with </w:t>
      </w:r>
      <w:r w:rsidR="001030EF" w:rsidRPr="00B14A85">
        <w:rPr>
          <w:color w:val="808080" w:themeColor="background1" w:themeShade="80"/>
          <w:sz w:val="18"/>
          <w:szCs w:val="18"/>
          <w:lang w:val="en-GB"/>
        </w:rPr>
        <w:t>blue signalling more economic support, and red signalling less.</w:t>
      </w:r>
      <w:r w:rsidRPr="00B14A85">
        <w:rPr>
          <w:color w:val="808080" w:themeColor="background1" w:themeShade="80"/>
          <w:sz w:val="18"/>
          <w:szCs w:val="18"/>
          <w:lang w:val="en-GB"/>
        </w:rPr>
        <w:t xml:space="preserve"> Grey areas indicate states without data for this indicator.</w:t>
      </w:r>
    </w:p>
    <w:p w14:paraId="4D5E3CB9" w14:textId="61CD42F7" w:rsidR="00892C7F" w:rsidRPr="00B14A85" w:rsidRDefault="00746F29" w:rsidP="00892C7F">
      <w:pPr>
        <w:spacing w:line="240" w:lineRule="auto"/>
        <w:rPr>
          <w:color w:val="808080" w:themeColor="background1" w:themeShade="80"/>
          <w:sz w:val="18"/>
          <w:szCs w:val="18"/>
          <w:lang w:val="en-GB"/>
        </w:rPr>
      </w:pPr>
      <w:r w:rsidRPr="00B14A85">
        <w:rPr>
          <w:b/>
          <w:bCs/>
          <w:noProof/>
          <w:color w:val="808080" w:themeColor="background1" w:themeShade="80"/>
          <w:sz w:val="18"/>
          <w:szCs w:val="18"/>
          <w:lang w:val="en-GB"/>
        </w:rPr>
        <w:lastRenderedPageBreak/>
        <w:drawing>
          <wp:inline distT="0" distB="0" distL="0" distR="0" wp14:anchorId="2592A946" wp14:editId="1A8EE4C2">
            <wp:extent cx="5937250" cy="1981200"/>
            <wp:effectExtent l="0" t="0" r="6350" b="0"/>
            <wp:docPr id="6064076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p>
    <w:p w14:paraId="0F643D4B" w14:textId="4A52214E" w:rsidR="00161997" w:rsidRPr="00B14A85" w:rsidRDefault="001030EF" w:rsidP="005C7987">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10</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Health policy stri</w:t>
      </w:r>
      <w:r w:rsidR="00660581" w:rsidRPr="00B14A85">
        <w:rPr>
          <w:color w:val="808080" w:themeColor="background1" w:themeShade="80"/>
          <w:sz w:val="18"/>
          <w:szCs w:val="18"/>
          <w:lang w:val="en-GB"/>
        </w:rPr>
        <w:t>n</w:t>
      </w:r>
      <w:r w:rsidRPr="00B14A85">
        <w:rPr>
          <w:color w:val="808080" w:themeColor="background1" w:themeShade="80"/>
          <w:sz w:val="18"/>
          <w:szCs w:val="18"/>
          <w:lang w:val="en-GB"/>
        </w:rPr>
        <w:t xml:space="preserve">gency variation across countries, as quantified by two Principal Components (panel A and B) summarizing 8 health policies. Higher stringency values indicate more health policies, such as mask mandates. Colour coding indicates the policy extent, with red signalling </w:t>
      </w:r>
      <w:r w:rsidR="009A0ADF" w:rsidRPr="00B14A85">
        <w:rPr>
          <w:color w:val="808080" w:themeColor="background1" w:themeShade="80"/>
          <w:sz w:val="18"/>
          <w:szCs w:val="18"/>
          <w:lang w:val="en-GB"/>
        </w:rPr>
        <w:t>stronger health policy restrictions</w:t>
      </w:r>
      <w:r w:rsidRPr="00B14A85">
        <w:rPr>
          <w:color w:val="808080" w:themeColor="background1" w:themeShade="80"/>
          <w:sz w:val="18"/>
          <w:szCs w:val="18"/>
          <w:lang w:val="en-GB"/>
        </w:rPr>
        <w:t xml:space="preserve">, and </w:t>
      </w:r>
      <w:r w:rsidR="009A0ADF" w:rsidRPr="00B14A85">
        <w:rPr>
          <w:color w:val="808080" w:themeColor="background1" w:themeShade="80"/>
          <w:sz w:val="18"/>
          <w:szCs w:val="18"/>
          <w:lang w:val="en-GB"/>
        </w:rPr>
        <w:t xml:space="preserve">blue </w:t>
      </w:r>
      <w:r w:rsidRPr="00B14A85">
        <w:rPr>
          <w:color w:val="808080" w:themeColor="background1" w:themeShade="80"/>
          <w:sz w:val="18"/>
          <w:szCs w:val="18"/>
          <w:lang w:val="en-GB"/>
        </w:rPr>
        <w:t>signalling less. Grey areas indicate states without data for this indicator.</w:t>
      </w:r>
    </w:p>
    <w:p w14:paraId="18327A84" w14:textId="1098E99D" w:rsidR="00A83ED1" w:rsidRPr="00B14A85" w:rsidRDefault="00A83ED1" w:rsidP="00A3370D">
      <w:pPr>
        <w:spacing w:line="240" w:lineRule="auto"/>
        <w:rPr>
          <w:u w:val="single"/>
          <w:lang w:val="en-GB"/>
        </w:rPr>
      </w:pPr>
      <w:r w:rsidRPr="00B14A85">
        <w:rPr>
          <w:u w:val="single"/>
          <w:lang w:val="en-GB"/>
        </w:rPr>
        <w:t>Health financing: government, external, and private sources</w:t>
      </w:r>
    </w:p>
    <w:p w14:paraId="6392CA6E" w14:textId="77777777" w:rsidR="00A83ED1" w:rsidRPr="00B14A85" w:rsidRDefault="00A83ED1" w:rsidP="00A83ED1">
      <w:pPr>
        <w:spacing w:line="240" w:lineRule="auto"/>
        <w:rPr>
          <w:lang w:val="en-GB"/>
        </w:rPr>
      </w:pPr>
      <w:r w:rsidRPr="00B14A85">
        <w:rPr>
          <w:lang w:val="en-GB"/>
        </w:rPr>
        <w:t xml:space="preserve">One may expect that increased financial investment results in the ability to fund more crucial healthcare resources – from facilities, to equipment, to health workforce, and service quality. Thus, greater health financing expenditure may be expected to have contributed to the development of improved health systems over time, and in turn, greater pandemic preparedness and systems maintenance during the pandemic. </w:t>
      </w:r>
    </w:p>
    <w:p w14:paraId="097D2EFB" w14:textId="70548F36" w:rsidR="00E16812" w:rsidRPr="00B14A85" w:rsidRDefault="00A83ED1" w:rsidP="00A83ED1">
      <w:pPr>
        <w:spacing w:line="240" w:lineRule="auto"/>
        <w:rPr>
          <w:lang w:val="en-GB"/>
        </w:rPr>
      </w:pPr>
      <w:r w:rsidRPr="00B14A85">
        <w:rPr>
          <w:lang w:val="en-GB"/>
        </w:rPr>
        <w:t>The WHO quantify country-level health financing for health across three key sources of financing: government general health expenditure (codified as GGHE-D in WHO health financing datasets), domestic private health expenditure (</w:t>
      </w:r>
      <w:r w:rsidR="000D2B28" w:rsidRPr="00B14A85">
        <w:rPr>
          <w:lang w:val="en-GB"/>
        </w:rPr>
        <w:t xml:space="preserve">codified as </w:t>
      </w:r>
      <w:r w:rsidRPr="00B14A85">
        <w:rPr>
          <w:lang w:val="en-GB"/>
        </w:rPr>
        <w:t>PVT-D; of which out-of-pocket expenditure is a key component), and external funding (</w:t>
      </w:r>
      <w:r w:rsidR="000D2B28" w:rsidRPr="00B14A85">
        <w:rPr>
          <w:lang w:val="en-GB"/>
        </w:rPr>
        <w:t xml:space="preserve">codified as </w:t>
      </w:r>
      <w:r w:rsidRPr="00B14A85">
        <w:rPr>
          <w:lang w:val="en-GB"/>
        </w:rPr>
        <w:t xml:space="preserve">EXT; e.g., donors) </w:t>
      </w:r>
      <w:sdt>
        <w:sdtPr>
          <w:rPr>
            <w:color w:val="000000"/>
            <w:lang w:val="en-GB"/>
          </w:rPr>
          <w:tag w:val="MENDELEY_CITATION_v3_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"/>
          <w:id w:val="-94403327"/>
          <w:placeholder>
            <w:docPart w:val="CE9C5AB4EEB44CF792AC8537C4C040D9"/>
          </w:placeholder>
        </w:sdtPr>
        <w:sdtContent>
          <w:r w:rsidR="009B4B8B" w:rsidRPr="009B4B8B">
            <w:rPr>
              <w:color w:val="000000"/>
              <w:lang w:val="en-GB"/>
            </w:rPr>
            <w:t>[26]</w:t>
          </w:r>
        </w:sdtContent>
      </w:sdt>
      <w:r w:rsidRPr="00B14A85">
        <w:rPr>
          <w:lang w:val="en-GB"/>
        </w:rPr>
        <w:t xml:space="preserve">. Research has shown that the source of health financing can impact health outcomes </w:t>
      </w:r>
      <w:sdt>
        <w:sdtPr>
          <w:rPr>
            <w:color w:val="000000"/>
            <w:lang w:val="en-GB"/>
          </w:rPr>
          <w:tag w:val="MENDELEY_CITATION_v3_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"/>
          <w:id w:val="-836681474"/>
          <w:placeholder>
            <w:docPart w:val="532761DAF22946889C2F0E5169AE6C43"/>
          </w:placeholder>
        </w:sdtPr>
        <w:sdtContent>
          <w:r w:rsidR="009B4B8B" w:rsidRPr="009B4B8B">
            <w:rPr>
              <w:color w:val="000000"/>
              <w:lang w:val="en-GB"/>
            </w:rPr>
            <w:t>[27]</w:t>
          </w:r>
        </w:sdtContent>
      </w:sdt>
      <w:r w:rsidRPr="00B14A85">
        <w:rPr>
          <w:lang w:val="en-GB"/>
        </w:rPr>
        <w:t xml:space="preserve">, therefore we conduct analyses on the three core component sources rather than an aggregate. </w:t>
      </w:r>
    </w:p>
    <w:p w14:paraId="212A5A65" w14:textId="01DA1577" w:rsidR="00207178" w:rsidRPr="00B14A85" w:rsidRDefault="00A83ED1" w:rsidP="00A83ED1">
      <w:pPr>
        <w:spacing w:line="240" w:lineRule="auto"/>
        <w:rPr>
          <w:lang w:val="en-GB"/>
        </w:rPr>
      </w:pPr>
      <w:r w:rsidRPr="00B14A85">
        <w:rPr>
          <w:lang w:val="en-GB"/>
        </w:rPr>
        <w:t xml:space="preserve">To enable more relevant comparison across countries we use Purchasing Power Parities (PPPs) estimates of each </w:t>
      </w:r>
      <w:r w:rsidR="0082090A" w:rsidRPr="00B14A85">
        <w:rPr>
          <w:lang w:val="en-GB"/>
        </w:rPr>
        <w:t>health financing variable</w:t>
      </w:r>
      <w:r w:rsidRPr="00B14A85">
        <w:rPr>
          <w:lang w:val="en-GB"/>
        </w:rPr>
        <w:t xml:space="preserve"> and calculate pre-pandemic expenditure (2015-2019 mean expenditure</w:t>
      </w:r>
      <w:r w:rsidR="0082090A" w:rsidRPr="00B14A85">
        <w:rPr>
          <w:lang w:val="en-GB"/>
        </w:rPr>
        <w:t>, excluding missing values</w:t>
      </w:r>
      <w:r w:rsidRPr="00B14A85">
        <w:rPr>
          <w:lang w:val="en-GB"/>
        </w:rPr>
        <w:t>).</w:t>
      </w:r>
      <w:r w:rsidR="00946E97" w:rsidRPr="00B14A85">
        <w:rPr>
          <w:lang w:val="en-GB"/>
        </w:rPr>
        <w:t xml:space="preserve"> PPP converts different currencies and weights for costs of goods in a country to enable comparisons across countries</w:t>
      </w:r>
      <w:r w:rsidR="00207178" w:rsidRPr="00B14A85">
        <w:rPr>
          <w:lang w:val="en-GB"/>
        </w:rPr>
        <w:t>.</w:t>
      </w:r>
      <w:r w:rsidR="00D35369" w:rsidRPr="00B14A85">
        <w:rPr>
          <w:lang w:val="en-GB"/>
        </w:rPr>
        <w:t xml:space="preserve"> Estimates are also used per capita, to give a comparative level of investment across countries.</w:t>
      </w:r>
    </w:p>
    <w:p w14:paraId="0B1CD79E" w14:textId="20AA03FC" w:rsidR="00207178" w:rsidRDefault="00207178" w:rsidP="00A83ED1">
      <w:pPr>
        <w:spacing w:line="240" w:lineRule="auto"/>
        <w:rPr>
          <w:lang w:val="en-GB"/>
        </w:rPr>
      </w:pPr>
      <w:r w:rsidRPr="00B14A85">
        <w:rPr>
          <w:lang w:val="en-GB"/>
        </w:rPr>
        <w:t>Additionally, we did explore the difference between pre-pandemic (2015-2019) and during pandemic (</w:t>
      </w:r>
      <w:r w:rsidR="00044276" w:rsidRPr="00B14A85">
        <w:rPr>
          <w:lang w:val="en-GB"/>
        </w:rPr>
        <w:t>2020-2021; 2022 not available at time of analysis) and found minimal differences in trends. For consistency across other variables, and given hypothesis is tied to longer-term development of stronger health systems, we use pre-pandemic mean values only.</w:t>
      </w:r>
    </w:p>
    <w:p w14:paraId="4A6035C1" w14:textId="4EFA3E54" w:rsidR="006057C1" w:rsidRPr="006057C1" w:rsidRDefault="006057C1" w:rsidP="00A83ED1">
      <w:pPr>
        <w:spacing w:line="240" w:lineRule="auto"/>
        <w:rPr>
          <w:color w:val="000000"/>
          <w:lang w:val="en-GB"/>
        </w:rPr>
      </w:pPr>
      <w:r>
        <w:rPr>
          <w:color w:val="000000"/>
          <w:lang w:val="en-GB"/>
        </w:rPr>
        <w:t xml:space="preserve">We visualise the underlying variation in country health financing from this dataset in </w:t>
      </w:r>
      <w:r w:rsidRPr="002C6BCC">
        <w:rPr>
          <w:b/>
          <w:bCs/>
          <w:color w:val="000000"/>
          <w:lang w:val="en-GB"/>
        </w:rPr>
        <w:t xml:space="preserve">Figure </w:t>
      </w:r>
      <w:r>
        <w:rPr>
          <w:b/>
          <w:bCs/>
          <w:color w:val="000000"/>
          <w:lang w:val="en-GB"/>
        </w:rPr>
        <w:t xml:space="preserve">11 </w:t>
      </w:r>
      <w:r>
        <w:rPr>
          <w:color w:val="000000"/>
          <w:lang w:val="en-GB"/>
        </w:rPr>
        <w:t>(government financing),</w:t>
      </w:r>
      <w:r>
        <w:rPr>
          <w:b/>
          <w:bCs/>
          <w:color w:val="000000"/>
          <w:lang w:val="en-GB"/>
        </w:rPr>
        <w:t xml:space="preserve"> Figure 12</w:t>
      </w:r>
      <w:r>
        <w:rPr>
          <w:color w:val="000000"/>
          <w:lang w:val="en-GB"/>
        </w:rPr>
        <w:t xml:space="preserve"> (private health financing) and </w:t>
      </w:r>
      <w:r>
        <w:rPr>
          <w:b/>
          <w:bCs/>
          <w:color w:val="000000"/>
          <w:lang w:val="en-GB"/>
        </w:rPr>
        <w:t>Figure 13</w:t>
      </w:r>
      <w:r>
        <w:rPr>
          <w:color w:val="000000"/>
          <w:lang w:val="en-GB"/>
        </w:rPr>
        <w:t xml:space="preserve"> (external financing).</w:t>
      </w:r>
    </w:p>
    <w:p w14:paraId="6B5ED0B3" w14:textId="1C5B91DB" w:rsidR="00A510F7" w:rsidRPr="00B14A85" w:rsidRDefault="004C5131" w:rsidP="00A510F7">
      <w:pPr>
        <w:spacing w:line="240" w:lineRule="auto"/>
        <w:rPr>
          <w:b/>
          <w:bCs/>
          <w:color w:val="808080" w:themeColor="background1" w:themeShade="80"/>
          <w:sz w:val="18"/>
          <w:szCs w:val="18"/>
          <w:lang w:val="en-GB"/>
        </w:rPr>
      </w:pPr>
      <w:r w:rsidRPr="00B14A85">
        <w:rPr>
          <w:b/>
          <w:bCs/>
          <w:noProof/>
          <w:color w:val="808080" w:themeColor="background1" w:themeShade="80"/>
          <w:sz w:val="18"/>
          <w:szCs w:val="18"/>
          <w:lang w:val="en-GB"/>
        </w:rPr>
        <w:lastRenderedPageBreak/>
        <w:drawing>
          <wp:inline distT="0" distB="0" distL="0" distR="0" wp14:anchorId="550F6EC8" wp14:editId="15EA3A76">
            <wp:extent cx="5937250" cy="2971800"/>
            <wp:effectExtent l="0" t="0" r="6350" b="0"/>
            <wp:docPr id="1983251899" name="Picture 2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51899" name="Picture 26" descr="A map of the wor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410989B5" w14:textId="5BB1D6C0" w:rsidR="005C7987" w:rsidRPr="00B14A85" w:rsidRDefault="005C7987" w:rsidP="005C7987">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466CE">
        <w:rPr>
          <w:b/>
          <w:bCs/>
          <w:color w:val="808080" w:themeColor="background1" w:themeShade="80"/>
          <w:sz w:val="18"/>
          <w:szCs w:val="18"/>
          <w:lang w:val="en-GB"/>
        </w:rPr>
        <w:t>11</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Government health financing variation</w:t>
      </w:r>
      <w:r w:rsidR="00835F75" w:rsidRPr="00B14A85">
        <w:rPr>
          <w:color w:val="808080" w:themeColor="background1" w:themeShade="80"/>
          <w:sz w:val="18"/>
          <w:szCs w:val="18"/>
          <w:lang w:val="en-GB"/>
        </w:rPr>
        <w:t xml:space="preserve"> across countries</w:t>
      </w:r>
      <w:r w:rsidRPr="00B14A85">
        <w:rPr>
          <w:color w:val="808080" w:themeColor="background1" w:themeShade="80"/>
          <w:sz w:val="18"/>
          <w:szCs w:val="18"/>
          <w:lang w:val="en-GB"/>
        </w:rPr>
        <w:t>, measured in terms of Purchasing Power Parity to enable comparison</w:t>
      </w:r>
      <w:r w:rsidR="00835F75" w:rsidRPr="00B14A85">
        <w:rPr>
          <w:color w:val="808080" w:themeColor="background1" w:themeShade="80"/>
          <w:sz w:val="18"/>
          <w:szCs w:val="18"/>
          <w:lang w:val="en-GB"/>
        </w:rPr>
        <w:t>, from 2015-2019</w:t>
      </w:r>
      <w:r w:rsidRPr="00B14A85">
        <w:rPr>
          <w:color w:val="808080" w:themeColor="background1" w:themeShade="80"/>
          <w:sz w:val="18"/>
          <w:szCs w:val="18"/>
          <w:lang w:val="en-GB"/>
        </w:rPr>
        <w:t xml:space="preserve">. Colour coding indicates the </w:t>
      </w:r>
      <w:r w:rsidR="00835F75" w:rsidRPr="00B14A85">
        <w:rPr>
          <w:color w:val="808080" w:themeColor="background1" w:themeShade="80"/>
          <w:sz w:val="18"/>
          <w:szCs w:val="18"/>
          <w:lang w:val="en-GB"/>
        </w:rPr>
        <w:t>extent of government health financing</w:t>
      </w:r>
      <w:r w:rsidRPr="00B14A85">
        <w:rPr>
          <w:color w:val="808080" w:themeColor="background1" w:themeShade="80"/>
          <w:sz w:val="18"/>
          <w:szCs w:val="18"/>
          <w:lang w:val="en-GB"/>
        </w:rPr>
        <w:t xml:space="preserve">, with blue signalling more </w:t>
      </w:r>
      <w:r w:rsidR="00835F75" w:rsidRPr="00B14A85">
        <w:rPr>
          <w:color w:val="808080" w:themeColor="background1" w:themeShade="80"/>
          <w:sz w:val="18"/>
          <w:szCs w:val="18"/>
          <w:lang w:val="en-GB"/>
        </w:rPr>
        <w:t>investment</w:t>
      </w:r>
      <w:r w:rsidRPr="00B14A85">
        <w:rPr>
          <w:color w:val="808080" w:themeColor="background1" w:themeShade="80"/>
          <w:sz w:val="18"/>
          <w:szCs w:val="18"/>
          <w:lang w:val="en-GB"/>
        </w:rPr>
        <w:t>, and red signalling less. Grey areas indicate states without data for this indicator.</w:t>
      </w:r>
    </w:p>
    <w:p w14:paraId="34F794E2" w14:textId="1157BCB6" w:rsidR="00835F75" w:rsidRPr="00B14A85" w:rsidRDefault="004C5131" w:rsidP="004C5131">
      <w:pPr>
        <w:spacing w:line="240" w:lineRule="auto"/>
        <w:rPr>
          <w:color w:val="808080" w:themeColor="background1" w:themeShade="80"/>
          <w:sz w:val="18"/>
          <w:szCs w:val="18"/>
          <w:lang w:val="en-GB"/>
        </w:rPr>
      </w:pPr>
      <w:r w:rsidRPr="00B14A85">
        <w:rPr>
          <w:b/>
          <w:bCs/>
          <w:noProof/>
          <w:color w:val="808080" w:themeColor="background1" w:themeShade="80"/>
          <w:sz w:val="18"/>
          <w:szCs w:val="18"/>
          <w:lang w:val="en-GB"/>
        </w:rPr>
        <w:drawing>
          <wp:inline distT="0" distB="0" distL="0" distR="0" wp14:anchorId="6DEF3D59" wp14:editId="3AD84560">
            <wp:extent cx="5937250" cy="2971800"/>
            <wp:effectExtent l="0" t="0" r="6350" b="0"/>
            <wp:docPr id="370478136" name="Picture 2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78136" name="Picture 27" descr="A map of the wor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5E79C438" w14:textId="3E7F2226" w:rsidR="00835F75" w:rsidRPr="00B14A85" w:rsidRDefault="00835F75" w:rsidP="00835F75">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Figure 1</w:t>
      </w:r>
      <w:r w:rsidR="002C6BCC">
        <w:rPr>
          <w:b/>
          <w:bCs/>
          <w:color w:val="808080" w:themeColor="background1" w:themeShade="80"/>
          <w:sz w:val="18"/>
          <w:szCs w:val="18"/>
          <w:lang w:val="en-GB"/>
        </w:rPr>
        <w:t>2</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Private health financing (e.g.</w:t>
      </w:r>
      <w:r w:rsidR="005526CA" w:rsidRPr="00B14A85">
        <w:rPr>
          <w:color w:val="808080" w:themeColor="background1" w:themeShade="80"/>
          <w:sz w:val="18"/>
          <w:szCs w:val="18"/>
          <w:lang w:val="en-GB"/>
        </w:rPr>
        <w:t>, out-of-pocket expenditure)</w:t>
      </w:r>
      <w:r w:rsidRPr="00B14A85">
        <w:rPr>
          <w:color w:val="808080" w:themeColor="background1" w:themeShade="80"/>
          <w:sz w:val="18"/>
          <w:szCs w:val="18"/>
          <w:lang w:val="en-GB"/>
        </w:rPr>
        <w:t xml:space="preserve"> variation across countries, measured in terms of Purchasing Power Parity to enable comparison, from 2015-2019. Colour coding indicates the extent of </w:t>
      </w:r>
      <w:r w:rsidR="005526CA" w:rsidRPr="00B14A85">
        <w:rPr>
          <w:color w:val="808080" w:themeColor="background1" w:themeShade="80"/>
          <w:sz w:val="18"/>
          <w:szCs w:val="18"/>
          <w:lang w:val="en-GB"/>
        </w:rPr>
        <w:t>private</w:t>
      </w:r>
      <w:r w:rsidRPr="00B14A85">
        <w:rPr>
          <w:color w:val="808080" w:themeColor="background1" w:themeShade="80"/>
          <w:sz w:val="18"/>
          <w:szCs w:val="18"/>
          <w:lang w:val="en-GB"/>
        </w:rPr>
        <w:t xml:space="preserve"> health financing, with blue signalling more investment, and red signalling less. Grey areas indicate states without data for this indicator.</w:t>
      </w:r>
    </w:p>
    <w:p w14:paraId="35CCA2F8" w14:textId="322DD764" w:rsidR="004C5131" w:rsidRPr="00B14A85" w:rsidRDefault="004C5131" w:rsidP="004C5131">
      <w:pPr>
        <w:spacing w:line="240" w:lineRule="auto"/>
        <w:rPr>
          <w:color w:val="808080" w:themeColor="background1" w:themeShade="80"/>
          <w:sz w:val="18"/>
          <w:szCs w:val="18"/>
          <w:lang w:val="en-GB"/>
        </w:rPr>
      </w:pPr>
      <w:r w:rsidRPr="00B14A85">
        <w:rPr>
          <w:b/>
          <w:bCs/>
          <w:noProof/>
          <w:color w:val="808080" w:themeColor="background1" w:themeShade="80"/>
          <w:sz w:val="18"/>
          <w:szCs w:val="18"/>
          <w:lang w:val="en-GB"/>
        </w:rPr>
        <w:lastRenderedPageBreak/>
        <w:drawing>
          <wp:inline distT="0" distB="0" distL="0" distR="0" wp14:anchorId="3870F993" wp14:editId="23ACE4F5">
            <wp:extent cx="5937250" cy="2971800"/>
            <wp:effectExtent l="0" t="0" r="6350" b="0"/>
            <wp:docPr id="7742946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602C7274" w14:textId="4FCA6BFD" w:rsidR="005526CA" w:rsidRPr="00B14A85" w:rsidRDefault="005526CA" w:rsidP="005526CA">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Figure 1</w:t>
      </w:r>
      <w:r w:rsidR="002C6BCC">
        <w:rPr>
          <w:b/>
          <w:bCs/>
          <w:color w:val="808080" w:themeColor="background1" w:themeShade="80"/>
          <w:sz w:val="18"/>
          <w:szCs w:val="18"/>
          <w:lang w:val="en-GB"/>
        </w:rPr>
        <w:t>3</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External (e.g., donor) health financing variation across countries, measured in terms of Purchasing Power Parity to enable comparison, from 2015-2019. Colour coding indicates the extent of external health financing, with blue signalling more investment, and red signalling less. Grey areas indicate states without data for this indicator.</w:t>
      </w:r>
    </w:p>
    <w:p w14:paraId="655DE1B8" w14:textId="77777777" w:rsidR="005C7987" w:rsidRPr="00B14A85" w:rsidRDefault="005C7987" w:rsidP="00A83ED1">
      <w:pPr>
        <w:spacing w:line="240" w:lineRule="auto"/>
        <w:rPr>
          <w:lang w:val="en-GB"/>
        </w:rPr>
      </w:pPr>
    </w:p>
    <w:p w14:paraId="3F0CD9B7" w14:textId="23F69B22" w:rsidR="00A83ED1" w:rsidRPr="00B14A85" w:rsidRDefault="008123D7" w:rsidP="00A83ED1">
      <w:pPr>
        <w:spacing w:line="240" w:lineRule="auto"/>
        <w:rPr>
          <w:u w:val="single"/>
          <w:lang w:val="en-GB"/>
        </w:rPr>
      </w:pPr>
      <w:r w:rsidRPr="00B14A85">
        <w:rPr>
          <w:u w:val="single"/>
          <w:lang w:val="en-GB"/>
        </w:rPr>
        <w:t xml:space="preserve">Mobility: Outside and </w:t>
      </w:r>
      <w:r w:rsidR="00900746" w:rsidRPr="00B14A85">
        <w:rPr>
          <w:u w:val="single"/>
          <w:lang w:val="en-GB"/>
        </w:rPr>
        <w:t>residential</w:t>
      </w:r>
      <w:r w:rsidRPr="00B14A85">
        <w:rPr>
          <w:u w:val="single"/>
          <w:lang w:val="en-GB"/>
        </w:rPr>
        <w:t xml:space="preserve"> </w:t>
      </w:r>
    </w:p>
    <w:p w14:paraId="1F27E4C1" w14:textId="77777777" w:rsidR="00CD1F21" w:rsidRPr="00B14A85" w:rsidRDefault="00A83ED1" w:rsidP="00A83ED1">
      <w:pPr>
        <w:spacing w:line="240" w:lineRule="auto"/>
        <w:rPr>
          <w:lang w:val="en-GB"/>
        </w:rPr>
      </w:pPr>
      <w:r w:rsidRPr="00B14A85">
        <w:rPr>
          <w:lang w:val="en-GB"/>
        </w:rPr>
        <w:t xml:space="preserve">We hypothesis that regardless of cause of change of mobility – whether enforced through stay-at-home orders, or self-imposed through caution or fear of contracting COVID-19 through gatherings –countries exhibiting severely reduced movement outside the home during the pandemic, may have had or felt reduced access to health facilities (whether the facilities were in fact open or not). </w:t>
      </w:r>
    </w:p>
    <w:p w14:paraId="33070F4B" w14:textId="006E4A4D" w:rsidR="00CD6E14" w:rsidRPr="00B14A85" w:rsidRDefault="00A83ED1" w:rsidP="00A83ED1">
      <w:pPr>
        <w:spacing w:line="240" w:lineRule="auto"/>
        <w:rPr>
          <w:lang w:val="en-GB"/>
        </w:rPr>
      </w:pPr>
      <w:r w:rsidRPr="00B14A85">
        <w:rPr>
          <w:lang w:val="en-GB"/>
        </w:rPr>
        <w:t xml:space="preserve">To investigate this, we used mobile phone data from Google that tracked changes in movement to six different categories of places from 2020 to 2022 inclusive. </w:t>
      </w:r>
      <w:r w:rsidR="00CD6E14" w:rsidRPr="00B14A85">
        <w:rPr>
          <w:lang w:val="en-GB"/>
        </w:rPr>
        <w:t xml:space="preserve">Google report </w:t>
      </w:r>
      <w:r w:rsidR="00B30B5D" w:rsidRPr="00B14A85">
        <w:rPr>
          <w:lang w:val="en-GB"/>
        </w:rPr>
        <w:t>percent changes in movement compared to a baseline for the same day of the week</w:t>
      </w:r>
      <w:r w:rsidR="00793795" w:rsidRPr="00B14A85">
        <w:rPr>
          <w:lang w:val="en-GB"/>
        </w:rPr>
        <w:t xml:space="preserve"> per location</w:t>
      </w:r>
      <w:r w:rsidR="00B30B5D" w:rsidRPr="00B14A85">
        <w:rPr>
          <w:lang w:val="en-GB"/>
        </w:rPr>
        <w:t xml:space="preserve"> for each day of the pandemic. </w:t>
      </w:r>
      <w:r w:rsidR="00793795" w:rsidRPr="00B14A85">
        <w:rPr>
          <w:lang w:val="en-GB"/>
        </w:rPr>
        <w:t xml:space="preserve">We calculate the average </w:t>
      </w:r>
      <w:r w:rsidR="00040817" w:rsidRPr="00B14A85">
        <w:rPr>
          <w:lang w:val="en-GB"/>
        </w:rPr>
        <w:t xml:space="preserve">annual </w:t>
      </w:r>
      <w:r w:rsidR="00793795" w:rsidRPr="00B14A85">
        <w:rPr>
          <w:lang w:val="en-GB"/>
        </w:rPr>
        <w:t xml:space="preserve">change in mobility per location per year by taking the mean of the daily effect changes (excluding missing values). </w:t>
      </w:r>
      <w:r w:rsidR="00881AD1" w:rsidRPr="00B14A85">
        <w:rPr>
          <w:lang w:val="en-GB"/>
        </w:rPr>
        <w:t xml:space="preserve">Google mobility data is aggregated, anonymised data </w:t>
      </w:r>
      <w:r w:rsidR="00EE3FB1" w:rsidRPr="00B14A85">
        <w:rPr>
          <w:lang w:val="en-GB"/>
        </w:rPr>
        <w:t>collated from individuals with Google devices (typically Android mobile phones). As a result, the data may not be representative of all individuals in a given country or area, but does provide a large dataset and identification of broad movement trends, since it is compared to its own baseline from pre-pandemic.</w:t>
      </w:r>
    </w:p>
    <w:p w14:paraId="4EF8CE52" w14:textId="3F8465F6" w:rsidR="00A83ED1" w:rsidRDefault="00040817" w:rsidP="00A83ED1">
      <w:pPr>
        <w:spacing w:line="240" w:lineRule="auto"/>
        <w:rPr>
          <w:lang w:val="en-GB"/>
        </w:rPr>
      </w:pPr>
      <w:r w:rsidRPr="00B14A85">
        <w:rPr>
          <w:lang w:val="en-GB"/>
        </w:rPr>
        <w:t>We then investigated internal correlation amongst indicators</w:t>
      </w:r>
      <w:r w:rsidR="00C420ED" w:rsidRPr="00B14A85">
        <w:rPr>
          <w:lang w:val="en-GB"/>
        </w:rPr>
        <w:t xml:space="preserve"> </w:t>
      </w:r>
      <w:r w:rsidRPr="00B14A85">
        <w:rPr>
          <w:lang w:val="en-GB"/>
        </w:rPr>
        <w:t>and found that f</w:t>
      </w:r>
      <w:r w:rsidR="00A83ED1" w:rsidRPr="00B14A85">
        <w:rPr>
          <w:lang w:val="en-GB"/>
        </w:rPr>
        <w:t xml:space="preserve">ive of these categories </w:t>
      </w:r>
      <w:r w:rsidRPr="00B14A85">
        <w:rPr>
          <w:lang w:val="en-GB"/>
        </w:rPr>
        <w:t xml:space="preserve">were highly correlated to each other, namely the </w:t>
      </w:r>
      <w:r w:rsidR="00A83ED1" w:rsidRPr="00B14A85">
        <w:rPr>
          <w:lang w:val="en-GB"/>
        </w:rPr>
        <w:t xml:space="preserve">“outside” locations – retail and recreation, groceries and pharmacies, parks, transit stations, and workplaces. Inversely correlated to these five destinations was the “residential” indicator. For simplification of analysis, we produced a summary “outside” mobility indicator by </w:t>
      </w:r>
      <w:r w:rsidRPr="00B14A85">
        <w:rPr>
          <w:lang w:val="en-GB"/>
        </w:rPr>
        <w:t>conducting PCA on the five outside annual</w:t>
      </w:r>
      <w:r w:rsidR="009B2F29" w:rsidRPr="00B14A85">
        <w:rPr>
          <w:lang w:val="en-GB"/>
        </w:rPr>
        <w:t xml:space="preserve">ised indicators </w:t>
      </w:r>
      <w:r w:rsidR="00A83ED1" w:rsidRPr="00B14A85">
        <w:rPr>
          <w:lang w:val="en-GB"/>
        </w:rPr>
        <w:t>taking the mean of each of the five outdoor categories</w:t>
      </w:r>
      <w:r w:rsidR="00C420ED" w:rsidRPr="00B14A85">
        <w:rPr>
          <w:lang w:val="en-GB"/>
        </w:rPr>
        <w:t xml:space="preserve">. The first PC described </w:t>
      </w:r>
      <w:r w:rsidR="00914C5A" w:rsidRPr="00B14A85">
        <w:rPr>
          <w:lang w:val="en-GB"/>
        </w:rPr>
        <w:t>81</w:t>
      </w:r>
      <w:r w:rsidR="00C420ED" w:rsidRPr="00B14A85">
        <w:rPr>
          <w:lang w:val="en-GB"/>
        </w:rPr>
        <w:t>% of the variation in mobility change to outside locations and is comprised of a relatively even contribution (~20% each) of each underlying destination.</w:t>
      </w:r>
    </w:p>
    <w:p w14:paraId="531DBF83" w14:textId="2920BE4F" w:rsidR="00093961" w:rsidRPr="00093961" w:rsidRDefault="00093961" w:rsidP="00A83ED1">
      <w:pPr>
        <w:spacing w:line="240" w:lineRule="auto"/>
        <w:rPr>
          <w:color w:val="000000"/>
          <w:lang w:val="en-GB"/>
        </w:rPr>
      </w:pPr>
      <w:r>
        <w:rPr>
          <w:color w:val="000000"/>
          <w:lang w:val="en-GB"/>
        </w:rPr>
        <w:lastRenderedPageBreak/>
        <w:t xml:space="preserve">We visualise the underlying variation in country mobility from this dataset in </w:t>
      </w:r>
      <w:r w:rsidRPr="002C6BCC">
        <w:rPr>
          <w:b/>
          <w:bCs/>
          <w:color w:val="000000"/>
          <w:lang w:val="en-GB"/>
        </w:rPr>
        <w:t xml:space="preserve">Figure </w:t>
      </w:r>
      <w:r>
        <w:rPr>
          <w:b/>
          <w:bCs/>
          <w:color w:val="000000"/>
          <w:lang w:val="en-GB"/>
        </w:rPr>
        <w:t xml:space="preserve">14 </w:t>
      </w:r>
      <w:r>
        <w:rPr>
          <w:color w:val="000000"/>
          <w:lang w:val="en-GB"/>
        </w:rPr>
        <w:t xml:space="preserve">(outside) and </w:t>
      </w:r>
      <w:r w:rsidRPr="00093961">
        <w:rPr>
          <w:b/>
          <w:bCs/>
          <w:color w:val="000000"/>
          <w:lang w:val="en-GB"/>
        </w:rPr>
        <w:t>Figure 15</w:t>
      </w:r>
      <w:r>
        <w:rPr>
          <w:color w:val="000000"/>
          <w:lang w:val="en-GB"/>
        </w:rPr>
        <w:t xml:space="preserve"> (residential).</w:t>
      </w:r>
    </w:p>
    <w:p w14:paraId="72CC17E5" w14:textId="459335CB" w:rsidR="00660581" w:rsidRPr="00B14A85" w:rsidRDefault="00660581" w:rsidP="00A83ED1">
      <w:pPr>
        <w:spacing w:line="240" w:lineRule="auto"/>
        <w:rPr>
          <w:lang w:val="en-GB"/>
        </w:rPr>
      </w:pPr>
      <w:r w:rsidRPr="00B14A85">
        <w:rPr>
          <w:noProof/>
          <w:lang w:val="en-GB"/>
        </w:rPr>
        <w:drawing>
          <wp:inline distT="0" distB="0" distL="0" distR="0" wp14:anchorId="2A1EA6B0" wp14:editId="3B837607">
            <wp:extent cx="5937250" cy="2971800"/>
            <wp:effectExtent l="0" t="0" r="6350" b="0"/>
            <wp:docPr id="5476113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64A467CA" w14:textId="734B1C78" w:rsidR="00660581" w:rsidRPr="00B14A85" w:rsidRDefault="00660581" w:rsidP="0093141E">
      <w:pPr>
        <w:spacing w:line="240" w:lineRule="auto"/>
        <w:ind w:left="360"/>
        <w:rPr>
          <w:color w:val="808080" w:themeColor="background1" w:themeShade="80"/>
          <w:sz w:val="18"/>
          <w:szCs w:val="18"/>
          <w:lang w:val="en-GB"/>
        </w:rPr>
      </w:pPr>
      <w:r w:rsidRPr="00B14A85">
        <w:rPr>
          <w:b/>
          <w:bCs/>
          <w:color w:val="808080" w:themeColor="background1" w:themeShade="80"/>
          <w:sz w:val="18"/>
          <w:szCs w:val="18"/>
          <w:lang w:val="en-GB"/>
        </w:rPr>
        <w:t>Figure 1</w:t>
      </w:r>
      <w:r w:rsidR="002C6BCC">
        <w:rPr>
          <w:b/>
          <w:bCs/>
          <w:color w:val="808080" w:themeColor="background1" w:themeShade="80"/>
          <w:sz w:val="18"/>
          <w:szCs w:val="18"/>
          <w:lang w:val="en-GB"/>
        </w:rPr>
        <w:t>4</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 xml:space="preserve">Outside mobility change during pandemic variation across countries, as quantified by a single Principal Component summarizing movement to six locations (retail, grocery, parks, transit, and workplaces). </w:t>
      </w:r>
      <w:r w:rsidR="00622166" w:rsidRPr="00B14A85">
        <w:rPr>
          <w:noProof/>
          <w:color w:val="808080" w:themeColor="background1" w:themeShade="80"/>
          <w:sz w:val="18"/>
          <w:szCs w:val="18"/>
          <w:lang w:val="en-GB"/>
        </w:rPr>
        <w:t xml:space="preserve">Lower outside mobility values indicate greater reductions in outside movement during the pandemic. </w:t>
      </w:r>
      <w:r w:rsidRPr="00B14A85">
        <w:rPr>
          <w:color w:val="808080" w:themeColor="background1" w:themeShade="80"/>
          <w:sz w:val="18"/>
          <w:szCs w:val="18"/>
          <w:lang w:val="en-GB"/>
        </w:rPr>
        <w:t>Higher stringency values indicate more health policies, such as mask mandates. Colour coding indicates the extent</w:t>
      </w:r>
      <w:r w:rsidR="0093141E" w:rsidRPr="00B14A85">
        <w:rPr>
          <w:color w:val="808080" w:themeColor="background1" w:themeShade="80"/>
          <w:sz w:val="18"/>
          <w:szCs w:val="18"/>
          <w:lang w:val="en-GB"/>
        </w:rPr>
        <w:t xml:space="preserve"> of outside mobility changes</w:t>
      </w:r>
      <w:r w:rsidRPr="00B14A85">
        <w:rPr>
          <w:color w:val="808080" w:themeColor="background1" w:themeShade="80"/>
          <w:sz w:val="18"/>
          <w:szCs w:val="18"/>
          <w:lang w:val="en-GB"/>
        </w:rPr>
        <w:t xml:space="preserve">, with red signalling stronger </w:t>
      </w:r>
      <w:r w:rsidR="0093141E" w:rsidRPr="00B14A85">
        <w:rPr>
          <w:color w:val="808080" w:themeColor="background1" w:themeShade="80"/>
          <w:sz w:val="18"/>
          <w:szCs w:val="18"/>
          <w:lang w:val="en-GB"/>
        </w:rPr>
        <w:t>declines</w:t>
      </w:r>
      <w:r w:rsidRPr="00B14A85">
        <w:rPr>
          <w:color w:val="808080" w:themeColor="background1" w:themeShade="80"/>
          <w:sz w:val="18"/>
          <w:szCs w:val="18"/>
          <w:lang w:val="en-GB"/>
        </w:rPr>
        <w:t>, and blue signalling less. Grey areas indicate states without data for this indicator.</w:t>
      </w:r>
    </w:p>
    <w:p w14:paraId="6F422D93" w14:textId="642AE16D" w:rsidR="003C296A" w:rsidRPr="00B14A85" w:rsidRDefault="00EF5637" w:rsidP="00D25735">
      <w:pPr>
        <w:spacing w:line="240" w:lineRule="auto"/>
        <w:rPr>
          <w:lang w:val="en-GB"/>
        </w:rPr>
      </w:pPr>
      <w:r>
        <w:rPr>
          <w:noProof/>
          <w:color w:val="808080" w:themeColor="background1" w:themeShade="80"/>
          <w:sz w:val="18"/>
          <w:szCs w:val="18"/>
          <w:lang w:val="en-GB"/>
        </w:rPr>
        <w:drawing>
          <wp:inline distT="0" distB="0" distL="0" distR="0" wp14:anchorId="08E5E925" wp14:editId="5C16F726">
            <wp:extent cx="5937885" cy="2968625"/>
            <wp:effectExtent l="0" t="0" r="5715" b="0"/>
            <wp:docPr id="1561911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2968625"/>
                    </a:xfrm>
                    <a:prstGeom prst="rect">
                      <a:avLst/>
                    </a:prstGeom>
                    <a:noFill/>
                    <a:ln>
                      <a:noFill/>
                    </a:ln>
                  </pic:spPr>
                </pic:pic>
              </a:graphicData>
            </a:graphic>
          </wp:inline>
        </w:drawing>
      </w:r>
    </w:p>
    <w:p w14:paraId="062226C6" w14:textId="69F22A45" w:rsidR="003C296A" w:rsidRPr="00B14A85" w:rsidRDefault="003C296A" w:rsidP="003C296A">
      <w:pPr>
        <w:spacing w:line="240" w:lineRule="auto"/>
        <w:ind w:left="360"/>
        <w:rPr>
          <w:lang w:val="en-GB"/>
        </w:rPr>
      </w:pPr>
      <w:r w:rsidRPr="00B14A85">
        <w:rPr>
          <w:b/>
          <w:bCs/>
          <w:color w:val="808080" w:themeColor="background1" w:themeShade="80"/>
          <w:sz w:val="18"/>
          <w:szCs w:val="18"/>
          <w:lang w:val="en-GB"/>
        </w:rPr>
        <w:t>Figure 1</w:t>
      </w:r>
      <w:r w:rsidR="002C6BCC">
        <w:rPr>
          <w:b/>
          <w:bCs/>
          <w:color w:val="808080" w:themeColor="background1" w:themeShade="80"/>
          <w:sz w:val="18"/>
          <w:szCs w:val="18"/>
          <w:lang w:val="en-GB"/>
        </w:rPr>
        <w:t>5</w:t>
      </w:r>
      <w:r w:rsidRPr="00B14A85">
        <w:rPr>
          <w:b/>
          <w:bCs/>
          <w:color w:val="808080" w:themeColor="background1" w:themeShade="80"/>
          <w:sz w:val="18"/>
          <w:szCs w:val="18"/>
          <w:lang w:val="en-GB"/>
        </w:rPr>
        <w:t xml:space="preserve"> </w:t>
      </w:r>
      <w:r w:rsidRPr="00B14A85">
        <w:rPr>
          <w:color w:val="808080" w:themeColor="background1" w:themeShade="80"/>
          <w:sz w:val="18"/>
          <w:szCs w:val="18"/>
          <w:lang w:val="en-GB"/>
        </w:rPr>
        <w:t>Residential mobility change during pandemic variation across countries, as quantified by</w:t>
      </w:r>
      <w:r w:rsidR="00D25735" w:rsidRPr="00B14A85">
        <w:rPr>
          <w:color w:val="808080" w:themeColor="background1" w:themeShade="80"/>
          <w:sz w:val="18"/>
          <w:szCs w:val="18"/>
          <w:lang w:val="en-GB"/>
        </w:rPr>
        <w:t xml:space="preserve"> cumulative annual</w:t>
      </w:r>
      <w:r w:rsidRPr="00B14A85">
        <w:rPr>
          <w:color w:val="808080" w:themeColor="background1" w:themeShade="80"/>
          <w:sz w:val="18"/>
          <w:szCs w:val="18"/>
          <w:lang w:val="en-GB"/>
        </w:rPr>
        <w:t xml:space="preserve"> percentage change compared to baseline from Google phone data. </w:t>
      </w:r>
      <w:r w:rsidR="00102730" w:rsidRPr="00B14A85">
        <w:rPr>
          <w:color w:val="808080" w:themeColor="background1" w:themeShade="80"/>
          <w:sz w:val="18"/>
          <w:szCs w:val="18"/>
          <w:lang w:val="en-GB"/>
        </w:rPr>
        <w:t>Hi</w:t>
      </w:r>
      <w:r w:rsidR="00801A59" w:rsidRPr="00B14A85">
        <w:rPr>
          <w:color w:val="808080" w:themeColor="background1" w:themeShade="80"/>
          <w:sz w:val="18"/>
          <w:szCs w:val="18"/>
          <w:lang w:val="en-GB"/>
        </w:rPr>
        <w:t>gher residential values (blue) indicate more stay-at-home behaviour during the pandemic and lower values (red) indicate less</w:t>
      </w:r>
      <w:r w:rsidR="006736C5" w:rsidRPr="00B14A85">
        <w:rPr>
          <w:color w:val="808080" w:themeColor="background1" w:themeShade="80"/>
          <w:sz w:val="18"/>
          <w:szCs w:val="18"/>
          <w:lang w:val="en-GB"/>
        </w:rPr>
        <w:t xml:space="preserve"> such behaviour</w:t>
      </w:r>
      <w:r w:rsidR="00801A59" w:rsidRPr="00B14A85">
        <w:rPr>
          <w:color w:val="808080" w:themeColor="background1" w:themeShade="80"/>
          <w:sz w:val="18"/>
          <w:szCs w:val="18"/>
          <w:lang w:val="en-GB"/>
        </w:rPr>
        <w:t xml:space="preserve">, compared to baseline. </w:t>
      </w:r>
      <w:r w:rsidRPr="00B14A85">
        <w:rPr>
          <w:color w:val="808080" w:themeColor="background1" w:themeShade="80"/>
          <w:sz w:val="18"/>
          <w:szCs w:val="18"/>
          <w:lang w:val="en-GB"/>
        </w:rPr>
        <w:t>Grey areas indicate states without data for this indicator.</w:t>
      </w:r>
    </w:p>
    <w:p w14:paraId="22C66CD9" w14:textId="77777777" w:rsidR="00660581" w:rsidRPr="00B14A85" w:rsidRDefault="00660581" w:rsidP="00A83ED1">
      <w:pPr>
        <w:spacing w:line="240" w:lineRule="auto"/>
        <w:rPr>
          <w:lang w:val="en-GB"/>
        </w:rPr>
      </w:pPr>
    </w:p>
    <w:p w14:paraId="3A0FF79B" w14:textId="7E8998FE" w:rsidR="00A83ED1" w:rsidRPr="00B14A85" w:rsidRDefault="00442AE7" w:rsidP="00A83ED1">
      <w:pPr>
        <w:spacing w:line="240" w:lineRule="auto"/>
        <w:rPr>
          <w:u w:val="single"/>
          <w:lang w:val="en-GB"/>
        </w:rPr>
      </w:pPr>
      <w:r w:rsidRPr="00B14A85">
        <w:rPr>
          <w:u w:val="single"/>
          <w:lang w:val="en-GB"/>
        </w:rPr>
        <w:t xml:space="preserve">Country wealth </w:t>
      </w:r>
    </w:p>
    <w:p w14:paraId="4A803F45" w14:textId="77777777" w:rsidR="005A6227" w:rsidRPr="00B14A85" w:rsidRDefault="00A83ED1" w:rsidP="00A83ED1">
      <w:pPr>
        <w:spacing w:line="240" w:lineRule="auto"/>
        <w:rPr>
          <w:lang w:val="en-GB"/>
        </w:rPr>
      </w:pPr>
      <w:r w:rsidRPr="00B14A85">
        <w:rPr>
          <w:lang w:val="en-GB"/>
        </w:rPr>
        <w:t xml:space="preserve">Pandemic responses were cross-cutting and not specific to the health system, e.g., non-pharmaceutical interventions and border closures. As a result, it may be hypothesised that broader country access to financing may influence the ability to develop, maintain, and deploy effective pandemic responses. For this reason, we include Gross Domestic Product (GDP) </w:t>
      </w:r>
      <w:r w:rsidR="005A6227" w:rsidRPr="00B14A85">
        <w:rPr>
          <w:lang w:val="en-GB"/>
        </w:rPr>
        <w:t>as a predictor.</w:t>
      </w:r>
    </w:p>
    <w:p w14:paraId="53FB7769" w14:textId="58FF88DA" w:rsidR="00093961" w:rsidRDefault="005A6227" w:rsidP="00A83ED1">
      <w:pPr>
        <w:spacing w:line="240" w:lineRule="auto"/>
        <w:rPr>
          <w:lang w:val="en-GB"/>
        </w:rPr>
      </w:pPr>
      <w:r w:rsidRPr="00B14A85">
        <w:rPr>
          <w:lang w:val="en-GB"/>
        </w:rPr>
        <w:t xml:space="preserve">We take the GDP </w:t>
      </w:r>
      <w:r w:rsidR="00A83ED1" w:rsidRPr="00B14A85">
        <w:rPr>
          <w:lang w:val="en-GB"/>
        </w:rPr>
        <w:t>per capita</w:t>
      </w:r>
      <w:r w:rsidR="005E203C" w:rsidRPr="00B14A85">
        <w:rPr>
          <w:lang w:val="en-GB"/>
        </w:rPr>
        <w:t xml:space="preserve"> scaled for PPP </w:t>
      </w:r>
      <w:r w:rsidR="00A83ED1" w:rsidRPr="00B14A85">
        <w:rPr>
          <w:lang w:val="en-GB"/>
        </w:rPr>
        <w:t xml:space="preserve">as an indicator of comparative country wealth, </w:t>
      </w:r>
      <w:r w:rsidRPr="00B14A85">
        <w:rPr>
          <w:lang w:val="en-GB"/>
        </w:rPr>
        <w:t>sourced</w:t>
      </w:r>
      <w:r w:rsidR="00A83ED1" w:rsidRPr="00B14A85">
        <w:rPr>
          <w:lang w:val="en-GB"/>
        </w:rPr>
        <w:t xml:space="preserve"> from the World Bank </w:t>
      </w:r>
      <w:sdt>
        <w:sdtPr>
          <w:rPr>
            <w:color w:val="000000"/>
            <w:lang w:val="en-GB"/>
          </w:rPr>
          <w:tag w:val="MENDELEY_CITATION_v3_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"/>
          <w:id w:val="-1930187128"/>
          <w:placeholder>
            <w:docPart w:val="B064D8471DA44270AC9C6B40763E35E0"/>
          </w:placeholder>
        </w:sdtPr>
        <w:sdtContent>
          <w:r w:rsidR="009B4B8B" w:rsidRPr="009B4B8B">
            <w:rPr>
              <w:color w:val="000000"/>
              <w:lang w:val="en-GB"/>
            </w:rPr>
            <w:t>[28]</w:t>
          </w:r>
        </w:sdtContent>
      </w:sdt>
      <w:r w:rsidR="00A83ED1" w:rsidRPr="00B14A85">
        <w:rPr>
          <w:lang w:val="en-GB"/>
        </w:rPr>
        <w:t xml:space="preserve">. As per the health financing indicators, this data is pre-quantified on a per capita scale and in terms of PPP. We </w:t>
      </w:r>
      <w:r w:rsidR="00492154" w:rsidRPr="00B14A85">
        <w:rPr>
          <w:lang w:val="en-GB"/>
        </w:rPr>
        <w:t>use</w:t>
      </w:r>
      <w:r w:rsidR="00A83ED1" w:rsidRPr="00B14A85">
        <w:rPr>
          <w:lang w:val="en-GB"/>
        </w:rPr>
        <w:t xml:space="preserve"> the 5-year </w:t>
      </w:r>
      <w:r w:rsidR="00040817" w:rsidRPr="00B14A85">
        <w:rPr>
          <w:lang w:val="en-GB"/>
        </w:rPr>
        <w:t>mean</w:t>
      </w:r>
      <w:r w:rsidR="00A83ED1" w:rsidRPr="00B14A85">
        <w:rPr>
          <w:lang w:val="en-GB"/>
        </w:rPr>
        <w:t xml:space="preserve"> GDP per capita from 2015-2019 </w:t>
      </w:r>
      <w:r w:rsidR="00040817" w:rsidRPr="00B14A85">
        <w:rPr>
          <w:lang w:val="en-GB"/>
        </w:rPr>
        <w:t xml:space="preserve">(excluding missing values) </w:t>
      </w:r>
      <w:r w:rsidR="00A83ED1" w:rsidRPr="00B14A85">
        <w:rPr>
          <w:lang w:val="en-GB"/>
        </w:rPr>
        <w:t xml:space="preserve">to provide a baseline on comparative country wealth pre-pandemic, since GDP </w:t>
      </w:r>
      <w:r w:rsidR="005E203C" w:rsidRPr="00B14A85">
        <w:rPr>
          <w:lang w:val="en-GB"/>
        </w:rPr>
        <w:t xml:space="preserve">during the pandemic </w:t>
      </w:r>
      <w:r w:rsidR="00A83ED1" w:rsidRPr="00B14A85">
        <w:rPr>
          <w:lang w:val="en-GB"/>
        </w:rPr>
        <w:t xml:space="preserve">may reflect </w:t>
      </w:r>
      <w:r w:rsidR="005E203C" w:rsidRPr="00B14A85">
        <w:rPr>
          <w:lang w:val="en-GB"/>
        </w:rPr>
        <w:t>disruptive impact of the pandemic on the national economy</w:t>
      </w:r>
      <w:r w:rsidR="00A83ED1" w:rsidRPr="00B14A85">
        <w:rPr>
          <w:lang w:val="en-GB"/>
        </w:rPr>
        <w:t xml:space="preserve">. </w:t>
      </w:r>
    </w:p>
    <w:p w14:paraId="7120DADF" w14:textId="4672440B" w:rsidR="00093961" w:rsidRPr="00B84AD4" w:rsidRDefault="00093961" w:rsidP="00093961">
      <w:pPr>
        <w:spacing w:line="240" w:lineRule="auto"/>
        <w:rPr>
          <w:color w:val="000000"/>
          <w:lang w:val="en-GB"/>
        </w:rPr>
      </w:pPr>
      <w:r>
        <w:rPr>
          <w:color w:val="000000"/>
          <w:lang w:val="en-GB"/>
        </w:rPr>
        <w:t xml:space="preserve">We visualise the underlying variation in country wealth from this dataset in </w:t>
      </w:r>
      <w:r w:rsidRPr="002C6BCC">
        <w:rPr>
          <w:b/>
          <w:bCs/>
          <w:color w:val="000000"/>
          <w:lang w:val="en-GB"/>
        </w:rPr>
        <w:t xml:space="preserve">Figure </w:t>
      </w:r>
      <w:r>
        <w:rPr>
          <w:b/>
          <w:bCs/>
          <w:color w:val="000000"/>
          <w:lang w:val="en-GB"/>
        </w:rPr>
        <w:t>16</w:t>
      </w:r>
      <w:r>
        <w:rPr>
          <w:color w:val="000000"/>
          <w:lang w:val="en-GB"/>
        </w:rPr>
        <w:t>.</w:t>
      </w:r>
    </w:p>
    <w:p w14:paraId="77B22B20" w14:textId="6831A7B3" w:rsidR="00EB7758" w:rsidRPr="00B14A85" w:rsidRDefault="00EB7758" w:rsidP="00A83ED1">
      <w:pPr>
        <w:spacing w:line="240" w:lineRule="auto"/>
        <w:rPr>
          <w:lang w:val="en-GB"/>
        </w:rPr>
      </w:pPr>
      <w:r w:rsidRPr="00B14A85">
        <w:rPr>
          <w:noProof/>
          <w:lang w:val="en-GB"/>
        </w:rPr>
        <w:drawing>
          <wp:inline distT="0" distB="0" distL="0" distR="0" wp14:anchorId="5025A349" wp14:editId="4F2E033B">
            <wp:extent cx="5937250" cy="2971800"/>
            <wp:effectExtent l="0" t="0" r="6350" b="0"/>
            <wp:docPr id="313732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p>
    <w:p w14:paraId="7F50C75C" w14:textId="374D617D" w:rsidR="008466CE" w:rsidRPr="00B14A85" w:rsidRDefault="00484ED9" w:rsidP="008466CE">
      <w:pPr>
        <w:spacing w:line="240" w:lineRule="auto"/>
        <w:ind w:left="360"/>
        <w:rPr>
          <w:lang w:val="en-GB"/>
        </w:rPr>
      </w:pPr>
      <w:r w:rsidRPr="00B14A85">
        <w:rPr>
          <w:b/>
          <w:bCs/>
          <w:noProof/>
          <w:lang w:val="en-GB"/>
        </w:rPr>
        <w:br w:type="page"/>
      </w:r>
      <w:r w:rsidR="008466CE" w:rsidRPr="00B14A85">
        <w:rPr>
          <w:b/>
          <w:bCs/>
          <w:color w:val="808080" w:themeColor="background1" w:themeShade="80"/>
          <w:sz w:val="18"/>
          <w:szCs w:val="18"/>
          <w:lang w:val="en-GB"/>
        </w:rPr>
        <w:lastRenderedPageBreak/>
        <w:t>Figure 1</w:t>
      </w:r>
      <w:r w:rsidR="002C6BCC">
        <w:rPr>
          <w:b/>
          <w:bCs/>
          <w:color w:val="808080" w:themeColor="background1" w:themeShade="80"/>
          <w:sz w:val="18"/>
          <w:szCs w:val="18"/>
          <w:lang w:val="en-GB"/>
        </w:rPr>
        <w:t>6</w:t>
      </w:r>
      <w:r w:rsidR="008466CE" w:rsidRPr="00B14A85">
        <w:rPr>
          <w:b/>
          <w:bCs/>
          <w:color w:val="808080" w:themeColor="background1" w:themeShade="80"/>
          <w:sz w:val="18"/>
          <w:szCs w:val="18"/>
          <w:lang w:val="en-GB"/>
        </w:rPr>
        <w:t xml:space="preserve"> </w:t>
      </w:r>
      <w:r w:rsidR="008466CE">
        <w:rPr>
          <w:color w:val="808080" w:themeColor="background1" w:themeShade="80"/>
          <w:sz w:val="18"/>
          <w:szCs w:val="18"/>
          <w:lang w:val="en-GB"/>
        </w:rPr>
        <w:t>Country wealth pre-</w:t>
      </w:r>
      <w:r w:rsidR="008466CE" w:rsidRPr="00B14A85">
        <w:rPr>
          <w:color w:val="808080" w:themeColor="background1" w:themeShade="80"/>
          <w:sz w:val="18"/>
          <w:szCs w:val="18"/>
          <w:lang w:val="en-GB"/>
        </w:rPr>
        <w:t xml:space="preserve">pandemic variation across countries, as quantified by </w:t>
      </w:r>
      <w:r w:rsidR="008466CE">
        <w:rPr>
          <w:color w:val="808080" w:themeColor="background1" w:themeShade="80"/>
          <w:sz w:val="18"/>
          <w:szCs w:val="18"/>
          <w:lang w:val="en-GB"/>
        </w:rPr>
        <w:t xml:space="preserve">Gross Domestic Product </w:t>
      </w:r>
      <w:r w:rsidR="003832B9">
        <w:rPr>
          <w:color w:val="808080" w:themeColor="background1" w:themeShade="80"/>
          <w:sz w:val="18"/>
          <w:szCs w:val="18"/>
          <w:lang w:val="en-GB"/>
        </w:rPr>
        <w:t xml:space="preserve">(GDP) </w:t>
      </w:r>
      <w:r w:rsidR="008466CE">
        <w:rPr>
          <w:color w:val="808080" w:themeColor="background1" w:themeShade="80"/>
          <w:sz w:val="18"/>
          <w:szCs w:val="18"/>
          <w:lang w:val="en-GB"/>
        </w:rPr>
        <w:t>per capita in terms of Purchasing Power Parity (from 2015-2019 mean)</w:t>
      </w:r>
      <w:r w:rsidR="003832B9">
        <w:rPr>
          <w:color w:val="808080" w:themeColor="background1" w:themeShade="80"/>
          <w:sz w:val="18"/>
          <w:szCs w:val="18"/>
          <w:lang w:val="en-GB"/>
        </w:rPr>
        <w:t xml:space="preserve"> from World Bank data</w:t>
      </w:r>
      <w:r w:rsidR="008466CE" w:rsidRPr="00B14A85">
        <w:rPr>
          <w:color w:val="808080" w:themeColor="background1" w:themeShade="80"/>
          <w:sz w:val="18"/>
          <w:szCs w:val="18"/>
          <w:lang w:val="en-GB"/>
        </w:rPr>
        <w:t xml:space="preserve">. Higher </w:t>
      </w:r>
      <w:r w:rsidR="003832B9">
        <w:rPr>
          <w:color w:val="808080" w:themeColor="background1" w:themeShade="80"/>
          <w:sz w:val="18"/>
          <w:szCs w:val="18"/>
          <w:lang w:val="en-GB"/>
        </w:rPr>
        <w:t>GDP is coloured blue, and lower GDP are in red</w:t>
      </w:r>
      <w:r w:rsidR="008466CE" w:rsidRPr="00B14A85">
        <w:rPr>
          <w:color w:val="808080" w:themeColor="background1" w:themeShade="80"/>
          <w:sz w:val="18"/>
          <w:szCs w:val="18"/>
          <w:lang w:val="en-GB"/>
        </w:rPr>
        <w:t>. Grey areas indicate states without data for this indicator.</w:t>
      </w:r>
    </w:p>
    <w:p w14:paraId="3F519067" w14:textId="58FD04D0" w:rsidR="00484ED9" w:rsidRPr="00B14A85" w:rsidRDefault="00484ED9">
      <w:pPr>
        <w:rPr>
          <w:b/>
          <w:bCs/>
          <w:noProof/>
          <w:lang w:val="en-GB"/>
        </w:rPr>
      </w:pPr>
    </w:p>
    <w:p w14:paraId="2AABA63C" w14:textId="77777777" w:rsidR="00484ED9" w:rsidRPr="00B14A85" w:rsidRDefault="00484ED9" w:rsidP="00484ED9">
      <w:pPr>
        <w:pStyle w:val="ListParagraph"/>
        <w:numPr>
          <w:ilvl w:val="0"/>
          <w:numId w:val="4"/>
        </w:numPr>
        <w:spacing w:line="240" w:lineRule="auto"/>
        <w:rPr>
          <w:b/>
          <w:bCs/>
          <w:color w:val="000000"/>
          <w:lang w:val="en-GB"/>
        </w:rPr>
      </w:pPr>
      <w:r w:rsidRPr="00B14A85">
        <w:rPr>
          <w:b/>
          <w:bCs/>
          <w:color w:val="000000"/>
          <w:lang w:val="en-GB"/>
        </w:rPr>
        <w:t>Univariate analyses</w:t>
      </w:r>
    </w:p>
    <w:p w14:paraId="3A0FD89C" w14:textId="77777777" w:rsidR="008C1C4E" w:rsidRDefault="008C1C4E" w:rsidP="00484ED9">
      <w:pPr>
        <w:spacing w:line="240" w:lineRule="auto"/>
        <w:rPr>
          <w:color w:val="000000"/>
          <w:u w:val="single"/>
          <w:lang w:val="en-GB"/>
        </w:rPr>
      </w:pPr>
      <w:r>
        <w:rPr>
          <w:color w:val="000000"/>
          <w:u w:val="single"/>
          <w:lang w:val="en-GB"/>
        </w:rPr>
        <w:t>Methodology</w:t>
      </w:r>
    </w:p>
    <w:p w14:paraId="4EEB9665" w14:textId="77777777" w:rsidR="00E00E7C" w:rsidRDefault="00E00E7C" w:rsidP="00E00E7C">
      <w:pPr>
        <w:spacing w:after="0" w:line="240" w:lineRule="auto"/>
        <w:rPr>
          <w:rFonts w:cs="Times New Roman"/>
          <w:sz w:val="24"/>
          <w:szCs w:val="24"/>
          <w:lang w:val="en-GB"/>
        </w:rPr>
      </w:pPr>
      <w:r w:rsidRPr="00E00E7C">
        <w:rPr>
          <w:rFonts w:cs="Times New Roman"/>
          <w:sz w:val="24"/>
          <w:szCs w:val="24"/>
          <w:lang w:val="en-GB"/>
        </w:rPr>
        <w:t>We systematically explore univariate relationships between each independent variable and the dependent variable. We visualise pairwise relationships, plotting three versions of each using Loess regression</w:t>
      </w:r>
      <w:r>
        <w:rPr>
          <w:rFonts w:cs="Times New Roman"/>
          <w:sz w:val="24"/>
          <w:szCs w:val="24"/>
          <w:lang w:val="en-GB"/>
        </w:rPr>
        <w:t>:</w:t>
      </w:r>
    </w:p>
    <w:p w14:paraId="531D58F3" w14:textId="7A7BDC64" w:rsidR="00E00E7C" w:rsidRPr="00E00E7C" w:rsidRDefault="00E00E7C" w:rsidP="00E00E7C">
      <w:pPr>
        <w:pStyle w:val="ListParagraph"/>
        <w:numPr>
          <w:ilvl w:val="0"/>
          <w:numId w:val="5"/>
        </w:numPr>
        <w:spacing w:after="0" w:line="240" w:lineRule="auto"/>
        <w:rPr>
          <w:rFonts w:cs="Times New Roman"/>
          <w:sz w:val="24"/>
          <w:szCs w:val="24"/>
          <w:lang w:val="en-GB"/>
        </w:rPr>
      </w:pPr>
      <w:r w:rsidRPr="00E00E7C">
        <w:rPr>
          <w:rFonts w:cs="Times New Roman"/>
          <w:sz w:val="24"/>
          <w:szCs w:val="24"/>
          <w:lang w:val="en-GB"/>
        </w:rPr>
        <w:t xml:space="preserve"> </w:t>
      </w:r>
      <w:r w:rsidRPr="00E00E7C">
        <w:rPr>
          <w:rFonts w:cs="Times New Roman"/>
          <w:b/>
          <w:bCs/>
          <w:sz w:val="24"/>
          <w:szCs w:val="24"/>
          <w:lang w:val="en-GB"/>
        </w:rPr>
        <w:t>Per year</w:t>
      </w:r>
      <w:r w:rsidRPr="00E00E7C">
        <w:rPr>
          <w:rFonts w:cs="Times New Roman"/>
          <w:sz w:val="24"/>
          <w:szCs w:val="24"/>
          <w:lang w:val="en-GB"/>
        </w:rPr>
        <w:t>: Coverage deltas per year (y-axis) against each predictor (x-axis) plot either per year for pandemic varying factors (e.g., excess mortality which has mortality estimates for 2020, 2021, and 2022) or against the pre-pandemic average for variables quantified as pre-pandemic averages (e.g., GDP which is based on the mean GDP from 2015-2019 inclusive) per country. Three lines are fit, one for each year of the pandemic – to see if there is any variation in trends within the pandemic period.</w:t>
      </w:r>
    </w:p>
    <w:p w14:paraId="27EA5525" w14:textId="77777777" w:rsidR="00E00E7C" w:rsidRPr="00E00E7C" w:rsidRDefault="00E00E7C" w:rsidP="00E00E7C">
      <w:pPr>
        <w:pStyle w:val="ListParagraph"/>
        <w:numPr>
          <w:ilvl w:val="0"/>
          <w:numId w:val="5"/>
        </w:numPr>
        <w:spacing w:after="0" w:line="240" w:lineRule="auto"/>
        <w:rPr>
          <w:rFonts w:cs="Times New Roman"/>
          <w:sz w:val="24"/>
          <w:szCs w:val="24"/>
          <w:lang w:val="en-GB"/>
        </w:rPr>
      </w:pPr>
      <w:r w:rsidRPr="00E00E7C">
        <w:rPr>
          <w:rFonts w:cs="Times New Roman"/>
          <w:b/>
          <w:bCs/>
          <w:sz w:val="24"/>
          <w:szCs w:val="24"/>
          <w:lang w:val="en-GB"/>
        </w:rPr>
        <w:t>Combined</w:t>
      </w:r>
      <w:r w:rsidRPr="00E00E7C">
        <w:rPr>
          <w:rFonts w:cs="Times New Roman"/>
          <w:sz w:val="24"/>
          <w:szCs w:val="24"/>
          <w:lang w:val="en-GB"/>
        </w:rPr>
        <w:t>: The same datapoints as first figure, with a single line of best fit across all years and all countries.</w:t>
      </w:r>
    </w:p>
    <w:p w14:paraId="63D13160" w14:textId="77777777" w:rsidR="00E00E7C" w:rsidRPr="00E00E7C" w:rsidRDefault="00E00E7C" w:rsidP="00E00E7C">
      <w:pPr>
        <w:pStyle w:val="ListParagraph"/>
        <w:numPr>
          <w:ilvl w:val="0"/>
          <w:numId w:val="5"/>
        </w:numPr>
        <w:spacing w:after="0" w:line="240" w:lineRule="auto"/>
        <w:rPr>
          <w:rFonts w:cs="Times New Roman"/>
          <w:sz w:val="24"/>
          <w:szCs w:val="24"/>
          <w:lang w:val="en-GB"/>
        </w:rPr>
      </w:pPr>
      <w:r w:rsidRPr="00E00E7C">
        <w:rPr>
          <w:rFonts w:cs="Times New Roman"/>
          <w:b/>
          <w:bCs/>
          <w:sz w:val="24"/>
          <w:szCs w:val="24"/>
          <w:lang w:val="en-GB"/>
        </w:rPr>
        <w:t>Total</w:t>
      </w:r>
      <w:r w:rsidRPr="00E00E7C">
        <w:rPr>
          <w:rFonts w:cs="Times New Roman"/>
          <w:sz w:val="24"/>
          <w:szCs w:val="24"/>
          <w:lang w:val="en-GB"/>
        </w:rPr>
        <w:t xml:space="preserve">: Cumulative coverage deltas summed over 3-years (y-axis) against each predictor (x-axis) plot either per year for pandemic varying factors or against the pre-pandemic average for variables quantified as pre-pandemic averages or PCs per country. Single line of best fit across all countries. </w:t>
      </w:r>
    </w:p>
    <w:p w14:paraId="6B600DE8" w14:textId="77777777" w:rsidR="00E00E7C" w:rsidRDefault="00E00E7C" w:rsidP="00E00E7C">
      <w:pPr>
        <w:spacing w:after="0" w:line="240" w:lineRule="auto"/>
        <w:rPr>
          <w:rFonts w:cs="Times New Roman"/>
          <w:sz w:val="24"/>
          <w:szCs w:val="24"/>
          <w:lang w:val="en-GB"/>
        </w:rPr>
      </w:pPr>
      <w:r w:rsidRPr="00E00E7C">
        <w:rPr>
          <w:rFonts w:cs="Times New Roman"/>
          <w:sz w:val="24"/>
          <w:szCs w:val="24"/>
          <w:lang w:val="en-GB"/>
        </w:rPr>
        <w:t xml:space="preserve">Univariate analyses are used to assess the existence of linear or non-linear relationships, and to verify if pairwise relationships varied over time or could be combined for multivariate analyses. </w:t>
      </w:r>
    </w:p>
    <w:p w14:paraId="0E3DB137" w14:textId="77777777" w:rsidR="00E35385" w:rsidRDefault="00E35385" w:rsidP="00E00E7C">
      <w:pPr>
        <w:spacing w:after="0" w:line="240" w:lineRule="auto"/>
        <w:rPr>
          <w:rFonts w:cs="Times New Roman"/>
          <w:sz w:val="24"/>
          <w:szCs w:val="24"/>
          <w:lang w:val="en-GB"/>
        </w:rPr>
      </w:pPr>
    </w:p>
    <w:p w14:paraId="58E1860D" w14:textId="7D239AC6" w:rsidR="00E35385" w:rsidRDefault="00E35385" w:rsidP="00E00E7C">
      <w:pPr>
        <w:spacing w:after="0" w:line="240" w:lineRule="auto"/>
        <w:rPr>
          <w:rFonts w:cs="Times New Roman"/>
          <w:sz w:val="24"/>
          <w:szCs w:val="24"/>
          <w:u w:val="single"/>
          <w:lang w:val="en-GB"/>
        </w:rPr>
      </w:pPr>
      <w:r>
        <w:rPr>
          <w:rFonts w:cs="Times New Roman"/>
          <w:sz w:val="24"/>
          <w:szCs w:val="24"/>
          <w:u w:val="single"/>
          <w:lang w:val="en-GB"/>
        </w:rPr>
        <w:t>Overall results</w:t>
      </w:r>
    </w:p>
    <w:p w14:paraId="3E16B7A7" w14:textId="7BC72867" w:rsidR="00E35385" w:rsidRPr="00E35385" w:rsidRDefault="00EB1A77" w:rsidP="00E00E7C">
      <w:pPr>
        <w:spacing w:after="0" w:line="240" w:lineRule="auto"/>
        <w:rPr>
          <w:rFonts w:cs="Times New Roman"/>
          <w:sz w:val="24"/>
          <w:szCs w:val="24"/>
          <w:lang w:val="en-GB"/>
        </w:rPr>
      </w:pPr>
      <w:r w:rsidRPr="00EB1A77">
        <w:rPr>
          <w:rFonts w:cs="Times New Roman"/>
          <w:sz w:val="24"/>
          <w:szCs w:val="24"/>
          <w:lang w:val="en-GB"/>
        </w:rPr>
        <w:t xml:space="preserve">Across most predictors, relationships per-year (e.g., </w:t>
      </w:r>
      <w:r w:rsidRPr="00EB1A77">
        <w:rPr>
          <w:rFonts w:cs="Times New Roman"/>
          <w:b/>
          <w:bCs/>
          <w:sz w:val="24"/>
          <w:szCs w:val="24"/>
          <w:lang w:val="en-GB"/>
        </w:rPr>
        <w:t>Figure 2 column A</w:t>
      </w:r>
      <w:r w:rsidRPr="00EB1A77">
        <w:rPr>
          <w:rFonts w:cs="Times New Roman"/>
          <w:sz w:val="24"/>
          <w:szCs w:val="24"/>
          <w:lang w:val="en-GB"/>
        </w:rPr>
        <w:t xml:space="preserve">) were similar to combined results (e.g., </w:t>
      </w:r>
      <w:r w:rsidRPr="00EB1A77">
        <w:rPr>
          <w:rFonts w:cs="Times New Roman"/>
          <w:b/>
          <w:bCs/>
          <w:sz w:val="24"/>
          <w:szCs w:val="24"/>
          <w:lang w:val="en-GB"/>
        </w:rPr>
        <w:t>Figure 2 column B</w:t>
      </w:r>
      <w:r w:rsidRPr="00EB1A77">
        <w:rPr>
          <w:rFonts w:cs="Times New Roman"/>
          <w:sz w:val="24"/>
          <w:szCs w:val="24"/>
          <w:lang w:val="en-GB"/>
        </w:rPr>
        <w:t>), allowing multivariate analyses to be conducted on all country-year datapoints together.</w:t>
      </w:r>
    </w:p>
    <w:p w14:paraId="46EE12DC" w14:textId="29A0BE4C" w:rsidR="008C1C4E" w:rsidRPr="008C1C4E" w:rsidRDefault="008C1C4E" w:rsidP="00484ED9">
      <w:pPr>
        <w:spacing w:line="240" w:lineRule="auto"/>
        <w:rPr>
          <w:color w:val="000000"/>
          <w:lang w:val="en-GB"/>
        </w:rPr>
      </w:pPr>
    </w:p>
    <w:p w14:paraId="161504F9" w14:textId="0CF5A600" w:rsidR="00484ED9" w:rsidRPr="00B14A85" w:rsidRDefault="00484ED9" w:rsidP="00484ED9">
      <w:pPr>
        <w:spacing w:line="240" w:lineRule="auto"/>
        <w:rPr>
          <w:color w:val="000000"/>
          <w:u w:val="single"/>
          <w:lang w:val="en-GB"/>
        </w:rPr>
      </w:pPr>
      <w:r w:rsidRPr="00B14A85">
        <w:rPr>
          <w:color w:val="000000"/>
          <w:u w:val="single"/>
          <w:lang w:val="en-GB"/>
        </w:rPr>
        <w:t>Pre-pandemic immunisation programme performance</w:t>
      </w:r>
    </w:p>
    <w:p w14:paraId="3F6C7F47" w14:textId="2E6D6F4B" w:rsidR="00484ED9" w:rsidRPr="00B14A85" w:rsidRDefault="00484ED9" w:rsidP="00484ED9">
      <w:pPr>
        <w:spacing w:line="240" w:lineRule="auto"/>
        <w:rPr>
          <w:color w:val="000000"/>
          <w:lang w:val="en-GB"/>
        </w:rPr>
      </w:pPr>
      <w:r w:rsidRPr="00B14A85">
        <w:rPr>
          <w:color w:val="000000"/>
          <w:lang w:val="en-GB"/>
        </w:rPr>
        <w:t>Univariate analysis of pre-pandemic immunisation performance and coverage deltas during the pandemic indicated a non-linear relationship</w:t>
      </w:r>
      <w:r w:rsidR="00093961">
        <w:rPr>
          <w:color w:val="000000"/>
          <w:lang w:val="en-GB"/>
        </w:rPr>
        <w:t xml:space="preserve"> (</w:t>
      </w:r>
      <w:r w:rsidR="00093961" w:rsidRPr="00093961">
        <w:rPr>
          <w:b/>
          <w:bCs/>
          <w:color w:val="000000"/>
          <w:lang w:val="en-GB"/>
        </w:rPr>
        <w:t>Figure 17</w:t>
      </w:r>
      <w:r w:rsidR="00093961">
        <w:rPr>
          <w:color w:val="000000"/>
          <w:lang w:val="en-GB"/>
        </w:rPr>
        <w:t>)</w:t>
      </w:r>
      <w:r w:rsidRPr="00B14A85">
        <w:rPr>
          <w:color w:val="000000"/>
          <w:lang w:val="en-GB"/>
        </w:rPr>
        <w:t>: below ~8</w:t>
      </w:r>
      <w:r w:rsidR="00DA2589" w:rsidRPr="00B14A85">
        <w:rPr>
          <w:color w:val="000000"/>
          <w:lang w:val="en-GB"/>
        </w:rPr>
        <w:t>3</w:t>
      </w:r>
      <w:r w:rsidRPr="00B14A85">
        <w:rPr>
          <w:color w:val="000000"/>
          <w:lang w:val="en-GB"/>
        </w:rPr>
        <w:t xml:space="preserve">% pre-pandemic DTP3 coverage, coverage deltas during the pandemic increase with increasing coverage (i.e., the inverse of our hypothesis); however, after </w:t>
      </w:r>
      <w:r w:rsidR="00DA2589" w:rsidRPr="00B14A85">
        <w:rPr>
          <w:color w:val="000000"/>
          <w:lang w:val="en-GB"/>
        </w:rPr>
        <w:t>~</w:t>
      </w:r>
      <w:r w:rsidRPr="00B14A85">
        <w:rPr>
          <w:color w:val="000000"/>
          <w:lang w:val="en-GB"/>
        </w:rPr>
        <w:t>8</w:t>
      </w:r>
      <w:r w:rsidR="00DA2589" w:rsidRPr="00B14A85">
        <w:rPr>
          <w:color w:val="000000"/>
          <w:lang w:val="en-GB"/>
        </w:rPr>
        <w:t>3</w:t>
      </w:r>
      <w:r w:rsidRPr="00B14A85">
        <w:rPr>
          <w:color w:val="000000"/>
          <w:lang w:val="en-GB"/>
        </w:rPr>
        <w:t xml:space="preserve">% coverage, higher pre-pandemic immunisation system performance is associated with reduced RI pandemic impact. This threshold effect suggests that there may be other explanatory variables that explain this intermediate effect, and/or that data quality and quantity in countries with the lowest reported coverage may be less robust and complicate interpretation. </w:t>
      </w:r>
    </w:p>
    <w:p w14:paraId="405B90D3" w14:textId="3893437E" w:rsidR="00484ED9" w:rsidRPr="00B14A85" w:rsidRDefault="0076632F" w:rsidP="00484ED9">
      <w:pPr>
        <w:spacing w:line="240" w:lineRule="auto"/>
        <w:ind w:left="360"/>
        <w:rPr>
          <w:color w:val="000000"/>
          <w:lang w:val="en-GB"/>
        </w:rPr>
      </w:pPr>
      <w:r w:rsidRPr="00B14A85">
        <w:rPr>
          <w:noProof/>
          <w:color w:val="000000"/>
          <w:lang w:val="en-GB"/>
        </w:rPr>
        <w:lastRenderedPageBreak/>
        <w:drawing>
          <wp:inline distT="0" distB="0" distL="0" distR="0" wp14:anchorId="25404F32" wp14:editId="233B29D6">
            <wp:extent cx="5937885" cy="1981200"/>
            <wp:effectExtent l="0" t="0" r="5715" b="0"/>
            <wp:docPr id="704176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1981200"/>
                    </a:xfrm>
                    <a:prstGeom prst="rect">
                      <a:avLst/>
                    </a:prstGeom>
                    <a:noFill/>
                    <a:ln>
                      <a:noFill/>
                    </a:ln>
                  </pic:spPr>
                </pic:pic>
              </a:graphicData>
            </a:graphic>
          </wp:inline>
        </w:drawing>
      </w:r>
    </w:p>
    <w:p w14:paraId="64DC5E39" w14:textId="28A942BF" w:rsidR="00946E97" w:rsidRPr="00B14A85" w:rsidRDefault="00484ED9" w:rsidP="00946E97">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Figure 1</w:t>
      </w:r>
      <w:r w:rsidR="00093961">
        <w:rPr>
          <w:b/>
          <w:bCs/>
          <w:color w:val="808080" w:themeColor="background1" w:themeShade="80"/>
          <w:sz w:val="18"/>
          <w:szCs w:val="18"/>
          <w:lang w:val="en-GB"/>
        </w:rPr>
        <w:t>7</w:t>
      </w:r>
      <w:r w:rsidRPr="00B14A85">
        <w:rPr>
          <w:color w:val="808080" w:themeColor="background1" w:themeShade="80"/>
          <w:sz w:val="18"/>
          <w:szCs w:val="18"/>
          <w:lang w:val="en-GB"/>
        </w:rPr>
        <w:t xml:space="preserve"> Univariate analysis of coverage deltas (y-axis) against pre-pandemic </w:t>
      </w:r>
      <w:r w:rsidR="00AA5239" w:rsidRPr="00B14A85">
        <w:rPr>
          <w:color w:val="808080" w:themeColor="background1" w:themeShade="80"/>
          <w:sz w:val="18"/>
          <w:szCs w:val="18"/>
          <w:lang w:val="en-GB"/>
        </w:rPr>
        <w:t xml:space="preserve">immunisation programme performance, as quantified by mean </w:t>
      </w:r>
      <w:r w:rsidRPr="00B14A85">
        <w:rPr>
          <w:color w:val="808080" w:themeColor="background1" w:themeShade="80"/>
          <w:sz w:val="18"/>
          <w:szCs w:val="18"/>
          <w:lang w:val="en-GB"/>
        </w:rPr>
        <w:t>DTP3 coverage</w:t>
      </w:r>
      <w:r w:rsidRPr="00B14A85">
        <w:rPr>
          <w:noProof/>
          <w:color w:val="808080" w:themeColor="background1" w:themeShade="80"/>
          <w:sz w:val="18"/>
          <w:szCs w:val="18"/>
          <w:lang w:val="en-GB"/>
        </w:rPr>
        <w:t xml:space="preserve"> </w:t>
      </w:r>
      <w:r w:rsidR="00AA5239" w:rsidRPr="00B14A85">
        <w:rPr>
          <w:noProof/>
          <w:color w:val="808080" w:themeColor="background1" w:themeShade="80"/>
          <w:sz w:val="18"/>
          <w:szCs w:val="18"/>
          <w:lang w:val="en-GB"/>
        </w:rPr>
        <w:t xml:space="preserve">from 2015-2019 </w:t>
      </w:r>
      <w:r w:rsidRPr="00B14A85">
        <w:rPr>
          <w:noProof/>
          <w:color w:val="808080" w:themeColor="background1" w:themeShade="80"/>
          <w:sz w:val="18"/>
          <w:szCs w:val="18"/>
          <w:lang w:val="en-GB"/>
        </w:rPr>
        <w:t xml:space="preserve">(x-axis).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24F083D3" w14:textId="08EC1B34" w:rsidR="00484ED9" w:rsidRPr="00B14A85" w:rsidRDefault="00484ED9" w:rsidP="00946E97">
      <w:pPr>
        <w:spacing w:line="240" w:lineRule="auto"/>
        <w:rPr>
          <w:color w:val="808080" w:themeColor="background1" w:themeShade="80"/>
          <w:sz w:val="18"/>
          <w:szCs w:val="18"/>
          <w:u w:val="single"/>
          <w:lang w:val="en-GB"/>
        </w:rPr>
      </w:pPr>
      <w:r w:rsidRPr="00B14A85">
        <w:rPr>
          <w:noProof/>
          <w:u w:val="single"/>
          <w:lang w:val="en-GB"/>
        </w:rPr>
        <w:t>Health workforce capacity</w:t>
      </w:r>
    </w:p>
    <w:p w14:paraId="5E669754" w14:textId="1EFFEB8F" w:rsidR="00484ED9" w:rsidRPr="00B14A85" w:rsidRDefault="00484ED9" w:rsidP="00484ED9">
      <w:pPr>
        <w:spacing w:line="240" w:lineRule="auto"/>
        <w:rPr>
          <w:lang w:val="en-GB"/>
        </w:rPr>
      </w:pPr>
      <w:r w:rsidRPr="00B14A85">
        <w:rPr>
          <w:lang w:val="en-GB"/>
        </w:rPr>
        <w:t>As per the pre-pandemic immunisation variable there is a threshold effect at 50 doctors and nurses per 10,000 population</w:t>
      </w:r>
      <w:r w:rsidR="00093961">
        <w:rPr>
          <w:lang w:val="en-GB"/>
        </w:rPr>
        <w:t xml:space="preserve"> – see </w:t>
      </w:r>
      <w:r w:rsidR="00093961" w:rsidRPr="00093961">
        <w:rPr>
          <w:b/>
          <w:bCs/>
          <w:lang w:val="en-GB"/>
        </w:rPr>
        <w:t>Figure 18</w:t>
      </w:r>
      <w:r w:rsidRPr="00B14A85">
        <w:rPr>
          <w:lang w:val="en-GB"/>
        </w:rPr>
        <w:t>. With pandemic immunisation performance decreasing until a threshold of 50 doctors and nurses is reached, and then performance increasing with increasing health workers.</w:t>
      </w:r>
    </w:p>
    <w:p w14:paraId="25974BF1" w14:textId="4465E8D2" w:rsidR="00484ED9" w:rsidRPr="00B14A85" w:rsidRDefault="00591644">
      <w:pPr>
        <w:rPr>
          <w:b/>
          <w:bCs/>
          <w:noProof/>
          <w:lang w:val="en-GB"/>
        </w:rPr>
      </w:pPr>
      <w:r w:rsidRPr="00B14A85">
        <w:rPr>
          <w:noProof/>
          <w:lang w:val="en-GB"/>
        </w:rPr>
        <w:drawing>
          <wp:inline distT="0" distB="0" distL="0" distR="0" wp14:anchorId="7921E064" wp14:editId="14A1A692">
            <wp:extent cx="5937885" cy="1981200"/>
            <wp:effectExtent l="0" t="0" r="5715" b="0"/>
            <wp:docPr id="1629602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1981200"/>
                    </a:xfrm>
                    <a:prstGeom prst="rect">
                      <a:avLst/>
                    </a:prstGeom>
                    <a:noFill/>
                    <a:ln>
                      <a:noFill/>
                    </a:ln>
                  </pic:spPr>
                </pic:pic>
              </a:graphicData>
            </a:graphic>
          </wp:inline>
        </w:drawing>
      </w:r>
    </w:p>
    <w:p w14:paraId="38491BDE" w14:textId="7D241C87" w:rsidR="00484ED9" w:rsidRPr="00B14A85" w:rsidRDefault="00484ED9" w:rsidP="00484ED9">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093961">
        <w:rPr>
          <w:b/>
          <w:bCs/>
          <w:color w:val="808080" w:themeColor="background1" w:themeShade="80"/>
          <w:sz w:val="18"/>
          <w:szCs w:val="18"/>
          <w:lang w:val="en-GB"/>
        </w:rPr>
        <w:t>18</w:t>
      </w:r>
      <w:r w:rsidRPr="00B14A85">
        <w:rPr>
          <w:color w:val="808080" w:themeColor="background1" w:themeShade="80"/>
          <w:sz w:val="18"/>
          <w:szCs w:val="18"/>
          <w:lang w:val="en-GB"/>
        </w:rPr>
        <w:t xml:space="preserve"> Univariate analysis of coverage deltas (y-axis) against health workforce</w:t>
      </w:r>
      <w:r w:rsidR="002A4F42" w:rsidRPr="00B14A85">
        <w:rPr>
          <w:color w:val="808080" w:themeColor="background1" w:themeShade="80"/>
          <w:sz w:val="18"/>
          <w:szCs w:val="18"/>
          <w:lang w:val="en-GB"/>
        </w:rPr>
        <w:t xml:space="preserve"> capacity</w:t>
      </w:r>
      <w:r w:rsidRPr="00B14A85">
        <w:rPr>
          <w:color w:val="808080" w:themeColor="background1" w:themeShade="80"/>
          <w:sz w:val="18"/>
          <w:szCs w:val="18"/>
          <w:lang w:val="en-GB"/>
        </w:rPr>
        <w:t>, as quantified by</w:t>
      </w:r>
      <w:r w:rsidR="00AA5239" w:rsidRPr="00B14A85">
        <w:rPr>
          <w:color w:val="808080" w:themeColor="background1" w:themeShade="80"/>
          <w:sz w:val="18"/>
          <w:szCs w:val="18"/>
          <w:lang w:val="en-GB"/>
        </w:rPr>
        <w:t xml:space="preserve"> mean</w:t>
      </w:r>
      <w:r w:rsidRPr="00B14A85">
        <w:rPr>
          <w:color w:val="808080" w:themeColor="background1" w:themeShade="80"/>
          <w:sz w:val="18"/>
          <w:szCs w:val="18"/>
          <w:lang w:val="en-GB"/>
        </w:rPr>
        <w:t xml:space="preserve"> number of doctors and nurses per 10,000 population</w:t>
      </w:r>
      <w:r w:rsidR="00AA5239" w:rsidRPr="00B14A85">
        <w:rPr>
          <w:color w:val="808080" w:themeColor="background1" w:themeShade="80"/>
          <w:sz w:val="18"/>
          <w:szCs w:val="18"/>
          <w:lang w:val="en-GB"/>
        </w:rPr>
        <w:t xml:space="preserve"> from 2015-2019</w:t>
      </w:r>
      <w:r w:rsidRPr="00B14A85">
        <w:rPr>
          <w:noProof/>
          <w:color w:val="808080" w:themeColor="background1" w:themeShade="80"/>
          <w:sz w:val="18"/>
          <w:szCs w:val="18"/>
          <w:lang w:val="en-GB"/>
        </w:rPr>
        <w:t xml:space="preserve"> (x-axis).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1EBB22B3" w14:textId="60B60348" w:rsidR="00365680" w:rsidRPr="00B14A85" w:rsidRDefault="00365680" w:rsidP="00CE5A89">
      <w:pPr>
        <w:rPr>
          <w:noProof/>
          <w:u w:val="single"/>
          <w:lang w:val="en-GB"/>
        </w:rPr>
      </w:pPr>
      <w:r w:rsidRPr="00B14A85">
        <w:rPr>
          <w:noProof/>
          <w:u w:val="single"/>
          <w:lang w:val="en-GB"/>
        </w:rPr>
        <w:t>Health systems strength</w:t>
      </w:r>
    </w:p>
    <w:p w14:paraId="0C2EEDEB" w14:textId="315EC207" w:rsidR="00365680" w:rsidRPr="00B14A85" w:rsidRDefault="00CE5A89" w:rsidP="00365680">
      <w:pPr>
        <w:spacing w:line="240" w:lineRule="auto"/>
        <w:rPr>
          <w:lang w:val="en-GB"/>
        </w:rPr>
      </w:pPr>
      <w:r w:rsidRPr="00B14A85">
        <w:rPr>
          <w:lang w:val="en-GB"/>
        </w:rPr>
        <w:lastRenderedPageBreak/>
        <w:t>Univariate</w:t>
      </w:r>
      <w:r w:rsidR="00365680" w:rsidRPr="00B14A85">
        <w:rPr>
          <w:lang w:val="en-GB"/>
        </w:rPr>
        <w:t xml:space="preserve"> analysis of changes in immunisation coverage during the pandemic against the UHC index </w:t>
      </w:r>
      <w:r w:rsidR="008D3CE7">
        <w:rPr>
          <w:lang w:val="en-GB"/>
        </w:rPr>
        <w:t>(</w:t>
      </w:r>
      <w:r w:rsidR="008D3CE7" w:rsidRPr="008D3CE7">
        <w:rPr>
          <w:b/>
          <w:bCs/>
          <w:lang w:val="en-GB"/>
        </w:rPr>
        <w:t>figure 19</w:t>
      </w:r>
      <w:r w:rsidR="008D3CE7">
        <w:rPr>
          <w:lang w:val="en-GB"/>
        </w:rPr>
        <w:t xml:space="preserve">) </w:t>
      </w:r>
      <w:r w:rsidR="00365680" w:rsidRPr="00B14A85">
        <w:rPr>
          <w:lang w:val="en-GB"/>
        </w:rPr>
        <w:t>indicated a threshold affect at a UHC index of approximately 70. Before this point, DTP3 coverage delta is approximately flat, i.e., no change, with increasing UHC index. After a UHC index threshold score of 70, increases in the UHC index are associated with better pandemic routine immunisation maintenance.</w:t>
      </w:r>
    </w:p>
    <w:p w14:paraId="029F0C68" w14:textId="2E987D83" w:rsidR="00484ED9" w:rsidRPr="00B14A85" w:rsidRDefault="00787C5F">
      <w:pPr>
        <w:rPr>
          <w:b/>
          <w:bCs/>
          <w:noProof/>
          <w:lang w:val="en-GB"/>
        </w:rPr>
      </w:pPr>
      <w:r w:rsidRPr="00B14A85">
        <w:rPr>
          <w:noProof/>
          <w:lang w:val="en-GB"/>
        </w:rPr>
        <w:drawing>
          <wp:inline distT="0" distB="0" distL="0" distR="0" wp14:anchorId="14B4C712" wp14:editId="2B13DB10">
            <wp:extent cx="5937885" cy="1981200"/>
            <wp:effectExtent l="0" t="0" r="5715" b="0"/>
            <wp:docPr id="2007284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1981200"/>
                    </a:xfrm>
                    <a:prstGeom prst="rect">
                      <a:avLst/>
                    </a:prstGeom>
                    <a:noFill/>
                    <a:ln>
                      <a:noFill/>
                    </a:ln>
                  </pic:spPr>
                </pic:pic>
              </a:graphicData>
            </a:graphic>
          </wp:inline>
        </w:drawing>
      </w:r>
    </w:p>
    <w:p w14:paraId="26F0C314" w14:textId="24D64ADE" w:rsidR="00946E97" w:rsidRPr="00B14A85" w:rsidRDefault="00365680" w:rsidP="00946E97">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8D3CE7">
        <w:rPr>
          <w:b/>
          <w:bCs/>
          <w:color w:val="808080" w:themeColor="background1" w:themeShade="80"/>
          <w:sz w:val="18"/>
          <w:szCs w:val="18"/>
          <w:lang w:val="en-GB"/>
        </w:rPr>
        <w:t>19</w:t>
      </w:r>
      <w:r w:rsidRPr="00B14A85">
        <w:rPr>
          <w:color w:val="808080" w:themeColor="background1" w:themeShade="80"/>
          <w:sz w:val="18"/>
          <w:szCs w:val="18"/>
          <w:lang w:val="en-GB"/>
        </w:rPr>
        <w:t xml:space="preserve"> Univariate analysis of coverage deltas (y-axis) against health systems strength, as quantified by the </w:t>
      </w:r>
      <w:r w:rsidR="00AA5239" w:rsidRPr="00B14A85">
        <w:rPr>
          <w:color w:val="808080" w:themeColor="background1" w:themeShade="80"/>
          <w:sz w:val="18"/>
          <w:szCs w:val="18"/>
          <w:lang w:val="en-GB"/>
        </w:rPr>
        <w:t xml:space="preserve">mean </w:t>
      </w:r>
      <w:r w:rsidRPr="00B14A85">
        <w:rPr>
          <w:color w:val="808080" w:themeColor="background1" w:themeShade="80"/>
          <w:sz w:val="18"/>
          <w:szCs w:val="18"/>
          <w:lang w:val="en-GB"/>
        </w:rPr>
        <w:t>Universal Health Coverage index score</w:t>
      </w:r>
      <w:r w:rsidRPr="00B14A85">
        <w:rPr>
          <w:noProof/>
          <w:color w:val="808080" w:themeColor="background1" w:themeShade="80"/>
          <w:sz w:val="18"/>
          <w:szCs w:val="18"/>
          <w:lang w:val="en-GB"/>
        </w:rPr>
        <w:t xml:space="preserve"> </w:t>
      </w:r>
      <w:r w:rsidR="00AA5239" w:rsidRPr="00B14A85">
        <w:rPr>
          <w:noProof/>
          <w:color w:val="808080" w:themeColor="background1" w:themeShade="80"/>
          <w:sz w:val="18"/>
          <w:szCs w:val="18"/>
          <w:lang w:val="en-GB"/>
        </w:rPr>
        <w:t xml:space="preserve">from 2015-2019 </w:t>
      </w:r>
      <w:r w:rsidRPr="00B14A85">
        <w:rPr>
          <w:noProof/>
          <w:color w:val="808080" w:themeColor="background1" w:themeShade="80"/>
          <w:sz w:val="18"/>
          <w:szCs w:val="18"/>
          <w:lang w:val="en-GB"/>
        </w:rPr>
        <w:t xml:space="preserve">(x-axis).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42CC1629" w14:textId="7D78AC34" w:rsidR="00CE5A89" w:rsidRPr="00B14A85" w:rsidRDefault="00CE5A89" w:rsidP="00946E97">
      <w:pPr>
        <w:spacing w:line="240" w:lineRule="auto"/>
        <w:rPr>
          <w:noProof/>
          <w:color w:val="808080" w:themeColor="background1" w:themeShade="80"/>
          <w:sz w:val="18"/>
          <w:szCs w:val="18"/>
          <w:lang w:val="en-GB"/>
        </w:rPr>
      </w:pPr>
      <w:r w:rsidRPr="00B14A85">
        <w:rPr>
          <w:noProof/>
          <w:u w:val="single"/>
          <w:lang w:val="en-GB"/>
        </w:rPr>
        <w:t>Global Health Security</w:t>
      </w:r>
    </w:p>
    <w:p w14:paraId="2A7AE848" w14:textId="7DDF7148" w:rsidR="00CE5A89" w:rsidRPr="00B14A85" w:rsidRDefault="00CE5A89" w:rsidP="00CE5A89">
      <w:pPr>
        <w:spacing w:line="240" w:lineRule="auto"/>
        <w:rPr>
          <w:lang w:val="en-GB"/>
        </w:rPr>
      </w:pPr>
      <w:r w:rsidRPr="00B14A85">
        <w:rPr>
          <w:lang w:val="en-GB"/>
        </w:rPr>
        <w:t xml:space="preserve">Univariate analysis </w:t>
      </w:r>
      <w:r w:rsidR="008D3CE7">
        <w:rPr>
          <w:lang w:val="en-GB"/>
        </w:rPr>
        <w:t>(</w:t>
      </w:r>
      <w:r w:rsidR="008D3CE7" w:rsidRPr="00B26D26">
        <w:rPr>
          <w:b/>
          <w:bCs/>
          <w:lang w:val="en-GB"/>
        </w:rPr>
        <w:t>Figure 20</w:t>
      </w:r>
      <w:r w:rsidR="008D3CE7">
        <w:rPr>
          <w:lang w:val="en-GB"/>
        </w:rPr>
        <w:t xml:space="preserve">) </w:t>
      </w:r>
      <w:r w:rsidRPr="00B14A85">
        <w:rPr>
          <w:lang w:val="en-GB"/>
        </w:rPr>
        <w:t>indicated a less clear relationship between DTP3 coverage deltas and GHSI score, with a potential non-linear relationship visible when assessed cumulatively rather than per year. Cumulatively, a threshold effect was seen such that pandemic coverage performance decreased until a GHSI score of ~35 and then improved with increasing GHSI score.</w:t>
      </w:r>
    </w:p>
    <w:p w14:paraId="0D5E93BC" w14:textId="3ED900B9" w:rsidR="00365680" w:rsidRPr="00B14A85" w:rsidRDefault="004D1C7E">
      <w:pPr>
        <w:rPr>
          <w:b/>
          <w:bCs/>
          <w:noProof/>
          <w:lang w:val="en-GB"/>
        </w:rPr>
      </w:pPr>
      <w:r w:rsidRPr="00B14A85">
        <w:rPr>
          <w:noProof/>
          <w:lang w:val="en-GB"/>
        </w:rPr>
        <w:drawing>
          <wp:inline distT="0" distB="0" distL="0" distR="0" wp14:anchorId="7CA92AF1" wp14:editId="25FD9D3D">
            <wp:extent cx="5943600" cy="1981200"/>
            <wp:effectExtent l="0" t="0" r="0" b="0"/>
            <wp:docPr id="1397117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75113179" w14:textId="4DD67913" w:rsidR="00343817" w:rsidRPr="00B14A85" w:rsidRDefault="00343817" w:rsidP="00343817">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Figure</w:t>
      </w:r>
      <w:r w:rsidR="008D3CE7">
        <w:rPr>
          <w:b/>
          <w:bCs/>
          <w:color w:val="808080" w:themeColor="background1" w:themeShade="80"/>
          <w:sz w:val="18"/>
          <w:szCs w:val="18"/>
          <w:lang w:val="en-GB"/>
        </w:rPr>
        <w:t xml:space="preserve"> 20</w:t>
      </w:r>
      <w:r w:rsidRPr="00B14A85">
        <w:rPr>
          <w:color w:val="808080" w:themeColor="background1" w:themeShade="80"/>
          <w:sz w:val="18"/>
          <w:szCs w:val="18"/>
          <w:lang w:val="en-GB"/>
        </w:rPr>
        <w:t xml:space="preserve"> Univariate analysis of coverage deltas (y-axis) against Global Health Security </w:t>
      </w:r>
      <w:r w:rsidR="000847F0" w:rsidRPr="00B14A85">
        <w:rPr>
          <w:color w:val="808080" w:themeColor="background1" w:themeShade="80"/>
          <w:sz w:val="18"/>
          <w:szCs w:val="18"/>
          <w:lang w:val="en-GB"/>
        </w:rPr>
        <w:t>strength</w:t>
      </w:r>
      <w:r w:rsidRPr="00B14A85">
        <w:rPr>
          <w:color w:val="808080" w:themeColor="background1" w:themeShade="80"/>
          <w:sz w:val="18"/>
          <w:szCs w:val="18"/>
          <w:lang w:val="en-GB"/>
        </w:rPr>
        <w:t xml:space="preserve">, as quantified by the </w:t>
      </w:r>
      <w:r w:rsidR="000847F0" w:rsidRPr="00B14A85">
        <w:rPr>
          <w:color w:val="808080" w:themeColor="background1" w:themeShade="80"/>
          <w:sz w:val="18"/>
          <w:szCs w:val="18"/>
          <w:lang w:val="en-GB"/>
        </w:rPr>
        <w:t>Global Health Security</w:t>
      </w:r>
      <w:r w:rsidRPr="00B14A85">
        <w:rPr>
          <w:color w:val="808080" w:themeColor="background1" w:themeShade="80"/>
          <w:sz w:val="18"/>
          <w:szCs w:val="18"/>
          <w:lang w:val="en-GB"/>
        </w:rPr>
        <w:t xml:space="preserve"> index score</w:t>
      </w:r>
      <w:r w:rsidRPr="00B14A85">
        <w:rPr>
          <w:noProof/>
          <w:color w:val="808080" w:themeColor="background1" w:themeShade="80"/>
          <w:sz w:val="18"/>
          <w:szCs w:val="18"/>
          <w:lang w:val="en-GB"/>
        </w:rPr>
        <w:t xml:space="preserve"> (x-axis).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w:t>
      </w:r>
      <w:r w:rsidRPr="00B14A85">
        <w:rPr>
          <w:noProof/>
          <w:color w:val="808080" w:themeColor="background1" w:themeShade="80"/>
          <w:sz w:val="18"/>
          <w:szCs w:val="18"/>
          <w:lang w:val="en-GB"/>
        </w:rPr>
        <w:lastRenderedPageBreak/>
        <w:t xml:space="preserve">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051132B4" w14:textId="5509B548" w:rsidR="000847F0" w:rsidRPr="00B14A85" w:rsidRDefault="00402C4F" w:rsidP="000847F0">
      <w:pPr>
        <w:spacing w:line="240" w:lineRule="auto"/>
        <w:rPr>
          <w:u w:val="single"/>
          <w:lang w:val="en-GB"/>
        </w:rPr>
      </w:pPr>
      <w:r w:rsidRPr="00B14A85">
        <w:rPr>
          <w:u w:val="single"/>
          <w:lang w:val="en-GB"/>
        </w:rPr>
        <w:t>COVID-19 vaccination</w:t>
      </w:r>
    </w:p>
    <w:p w14:paraId="7FD2C661" w14:textId="6793DD18" w:rsidR="000847F0" w:rsidRPr="00B14A85" w:rsidRDefault="000847F0" w:rsidP="000847F0">
      <w:pPr>
        <w:spacing w:line="240" w:lineRule="auto"/>
        <w:rPr>
          <w:lang w:val="en-GB"/>
        </w:rPr>
      </w:pPr>
      <w:r w:rsidRPr="00B14A85">
        <w:rPr>
          <w:lang w:val="en-GB"/>
        </w:rPr>
        <w:t>On an annual basis, univariate analysis indicated a roughly linear relationship between COVID-19 vaccination and DTP3 coverage deltas (</w:t>
      </w:r>
      <w:r w:rsidR="00B26D26" w:rsidRPr="00B26D26">
        <w:rPr>
          <w:b/>
          <w:bCs/>
          <w:lang w:val="en-GB"/>
        </w:rPr>
        <w:t xml:space="preserve">Figure 21, </w:t>
      </w:r>
      <w:r w:rsidRPr="00B26D26">
        <w:rPr>
          <w:b/>
          <w:bCs/>
          <w:lang w:val="en-GB"/>
        </w:rPr>
        <w:t>panel B</w:t>
      </w:r>
      <w:r w:rsidRPr="00B14A85">
        <w:rPr>
          <w:lang w:val="en-GB"/>
        </w:rPr>
        <w:t xml:space="preserve">), such that the </w:t>
      </w:r>
      <w:r w:rsidR="00402C4F" w:rsidRPr="00B14A85">
        <w:rPr>
          <w:lang w:val="en-GB"/>
        </w:rPr>
        <w:t>greater</w:t>
      </w:r>
      <w:r w:rsidRPr="00B14A85">
        <w:rPr>
          <w:lang w:val="en-GB"/>
        </w:rPr>
        <w:t xml:space="preserve"> the</w:t>
      </w:r>
      <w:r w:rsidR="00402C4F" w:rsidRPr="00B14A85">
        <w:rPr>
          <w:lang w:val="en-GB"/>
        </w:rPr>
        <w:t xml:space="preserve"> number of</w:t>
      </w:r>
      <w:r w:rsidRPr="00B14A85">
        <w:rPr>
          <w:lang w:val="en-GB"/>
        </w:rPr>
        <w:t xml:space="preserve"> COVID-19 vaccin</w:t>
      </w:r>
      <w:r w:rsidR="00402C4F" w:rsidRPr="00B14A85">
        <w:rPr>
          <w:lang w:val="en-GB"/>
        </w:rPr>
        <w:t>es administered per capita</w:t>
      </w:r>
      <w:r w:rsidRPr="00B14A85">
        <w:rPr>
          <w:lang w:val="en-GB"/>
        </w:rPr>
        <w:t>, the stronger the maintenance of RI coverage during the pandemic. When evaluated cumulatively across all 3-years of the pandemic, a non-linear relationship was observed, with pandemic RI performance declining until a threshold of approximately 1 COVID-19 vaccination per person, and then improvements thereafter (</w:t>
      </w:r>
      <w:r w:rsidR="00B26D26" w:rsidRPr="00B26D26">
        <w:rPr>
          <w:b/>
          <w:bCs/>
          <w:lang w:val="en-GB"/>
        </w:rPr>
        <w:t xml:space="preserve">Figure 21, </w:t>
      </w:r>
      <w:r w:rsidRPr="00B26D26">
        <w:rPr>
          <w:b/>
          <w:bCs/>
          <w:lang w:val="en-GB"/>
        </w:rPr>
        <w:t>panel C</w:t>
      </w:r>
      <w:r w:rsidRPr="00B14A85">
        <w:rPr>
          <w:lang w:val="en-GB"/>
        </w:rPr>
        <w:t>).</w:t>
      </w:r>
      <w:r w:rsidR="00402C4F" w:rsidRPr="00B14A85">
        <w:rPr>
          <w:lang w:val="en-GB"/>
        </w:rPr>
        <w:t xml:space="preserve"> </w:t>
      </w:r>
    </w:p>
    <w:p w14:paraId="475F52AB" w14:textId="07FA22F9" w:rsidR="00343817" w:rsidRPr="00B14A85" w:rsidRDefault="009A57B7">
      <w:pPr>
        <w:rPr>
          <w:b/>
          <w:bCs/>
          <w:noProof/>
          <w:lang w:val="en-GB"/>
        </w:rPr>
      </w:pPr>
      <w:r w:rsidRPr="00B14A85">
        <w:rPr>
          <w:noProof/>
          <w:lang w:val="en-GB"/>
        </w:rPr>
        <w:drawing>
          <wp:inline distT="0" distB="0" distL="0" distR="0" wp14:anchorId="210D4F2E" wp14:editId="221C50F9">
            <wp:extent cx="5943600" cy="1981200"/>
            <wp:effectExtent l="0" t="0" r="0" b="0"/>
            <wp:docPr id="366197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7F71E17F" w14:textId="3A99706E" w:rsidR="00402C4F" w:rsidRPr="00B14A85" w:rsidRDefault="00402C4F" w:rsidP="00402C4F">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B26D26">
        <w:rPr>
          <w:b/>
          <w:bCs/>
          <w:color w:val="808080" w:themeColor="background1" w:themeShade="80"/>
          <w:sz w:val="18"/>
          <w:szCs w:val="18"/>
          <w:lang w:val="en-GB"/>
        </w:rPr>
        <w:t>21</w:t>
      </w:r>
      <w:r w:rsidRPr="00B14A85">
        <w:rPr>
          <w:color w:val="808080" w:themeColor="background1" w:themeShade="80"/>
          <w:sz w:val="18"/>
          <w:szCs w:val="18"/>
          <w:lang w:val="en-GB"/>
        </w:rPr>
        <w:t xml:space="preserve"> Univariate analysis of coverage deltas (y-axis) against COVID-19 vaccination levels, as quantified by number of COVID-19 vaccines administered per 100,000 population</w:t>
      </w:r>
      <w:r w:rsidRPr="00B14A85">
        <w:rPr>
          <w:noProof/>
          <w:color w:val="808080" w:themeColor="background1" w:themeShade="80"/>
          <w:sz w:val="18"/>
          <w:szCs w:val="18"/>
          <w:lang w:val="en-GB"/>
        </w:rPr>
        <w:t xml:space="preserve"> (x-axis).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18D058EB" w14:textId="16754667" w:rsidR="000D5E53" w:rsidRPr="00B14A85" w:rsidRDefault="000D5E53" w:rsidP="00946E97">
      <w:pPr>
        <w:rPr>
          <w:noProof/>
          <w:u w:val="single"/>
          <w:lang w:val="en-GB"/>
        </w:rPr>
      </w:pPr>
      <w:r w:rsidRPr="00B14A85">
        <w:rPr>
          <w:noProof/>
          <w:u w:val="single"/>
          <w:lang w:val="en-GB"/>
        </w:rPr>
        <w:t xml:space="preserve">COVID-19 disease </w:t>
      </w:r>
      <w:r w:rsidR="00D978F5" w:rsidRPr="00B14A85">
        <w:rPr>
          <w:noProof/>
          <w:u w:val="single"/>
          <w:lang w:val="en-GB"/>
        </w:rPr>
        <w:t>(</w:t>
      </w:r>
      <w:r w:rsidRPr="00B14A85">
        <w:rPr>
          <w:noProof/>
          <w:u w:val="single"/>
          <w:lang w:val="en-GB"/>
        </w:rPr>
        <w:t>excess mortality</w:t>
      </w:r>
      <w:r w:rsidR="00D978F5" w:rsidRPr="00B14A85">
        <w:rPr>
          <w:noProof/>
          <w:u w:val="single"/>
          <w:lang w:val="en-GB"/>
        </w:rPr>
        <w:t>)</w:t>
      </w:r>
    </w:p>
    <w:p w14:paraId="0BEFEF83" w14:textId="6416AAA5" w:rsidR="000D5E53" w:rsidRPr="00B14A85" w:rsidRDefault="000D5E53" w:rsidP="000D5E53">
      <w:pPr>
        <w:spacing w:line="240" w:lineRule="auto"/>
        <w:rPr>
          <w:lang w:val="en-GB"/>
        </w:rPr>
      </w:pPr>
      <w:r w:rsidRPr="00B14A85">
        <w:rPr>
          <w:lang w:val="en-GB"/>
        </w:rPr>
        <w:t xml:space="preserve">Univariate analysis indicated a non-linear relationship </w:t>
      </w:r>
      <w:r w:rsidR="00325D6E" w:rsidRPr="00B14A85">
        <w:rPr>
          <w:lang w:val="en-GB"/>
        </w:rPr>
        <w:t xml:space="preserve">between excess mortality during the pandemic and DTP3 coverage deltas. </w:t>
      </w:r>
      <w:r w:rsidR="00D27A59" w:rsidRPr="00B14A85">
        <w:rPr>
          <w:lang w:val="en-GB"/>
        </w:rPr>
        <w:t>This relationship was more pronounced when looking at cumulative trends (</w:t>
      </w:r>
      <w:r w:rsidR="00B26D26" w:rsidRPr="00B26D26">
        <w:rPr>
          <w:b/>
          <w:bCs/>
          <w:lang w:val="en-GB"/>
        </w:rPr>
        <w:t xml:space="preserve">Figure 22, </w:t>
      </w:r>
      <w:r w:rsidR="00D27A59" w:rsidRPr="00B26D26">
        <w:rPr>
          <w:b/>
          <w:bCs/>
          <w:lang w:val="en-GB"/>
        </w:rPr>
        <w:t>Panel C</w:t>
      </w:r>
      <w:r w:rsidR="00D27A59" w:rsidRPr="00B14A85">
        <w:rPr>
          <w:lang w:val="en-GB"/>
        </w:rPr>
        <w:t xml:space="preserve">). </w:t>
      </w:r>
      <w:r w:rsidR="00325D6E" w:rsidRPr="00B14A85">
        <w:rPr>
          <w:lang w:val="en-GB"/>
        </w:rPr>
        <w:t>B</w:t>
      </w:r>
      <w:r w:rsidRPr="00B14A85">
        <w:rPr>
          <w:lang w:val="en-GB"/>
        </w:rPr>
        <w:t xml:space="preserve">elow approximately 200 excess deaths per 100,000 people per year </w:t>
      </w:r>
      <w:r w:rsidR="00D27A59" w:rsidRPr="00B14A85">
        <w:rPr>
          <w:lang w:val="en-GB"/>
        </w:rPr>
        <w:t xml:space="preserve">DTP3 coverage deltas increase with increased excess mortality, and then decrease until around </w:t>
      </w:r>
      <w:r w:rsidR="00060401" w:rsidRPr="00B14A85">
        <w:rPr>
          <w:lang w:val="en-GB"/>
        </w:rPr>
        <w:t>3</w:t>
      </w:r>
      <w:r w:rsidR="00D27A59" w:rsidRPr="00B14A85">
        <w:rPr>
          <w:lang w:val="en-GB"/>
        </w:rPr>
        <w:t>00 excess deaths per 100,000 people. Aft</w:t>
      </w:r>
      <w:r w:rsidR="00060401" w:rsidRPr="00B14A85">
        <w:rPr>
          <w:lang w:val="en-GB"/>
        </w:rPr>
        <w:t xml:space="preserve">er this threshold, the relationship is relatively flat with minimal change in DTP3 coverage with further increases in excess mortality. </w:t>
      </w:r>
    </w:p>
    <w:p w14:paraId="290AA7B3" w14:textId="7D7ABF96" w:rsidR="000D5E53" w:rsidRPr="00B14A85" w:rsidRDefault="00157A1A">
      <w:pPr>
        <w:rPr>
          <w:noProof/>
          <w:lang w:val="en-GB"/>
        </w:rPr>
      </w:pPr>
      <w:r w:rsidRPr="00B14A85">
        <w:rPr>
          <w:noProof/>
          <w:lang w:val="en-GB"/>
        </w:rPr>
        <w:lastRenderedPageBreak/>
        <w:drawing>
          <wp:inline distT="0" distB="0" distL="0" distR="0" wp14:anchorId="4CB916C1" wp14:editId="6914D9CC">
            <wp:extent cx="5943600" cy="1981200"/>
            <wp:effectExtent l="0" t="0" r="0" b="0"/>
            <wp:docPr id="482128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2B8B9989" w14:textId="07F00D11" w:rsidR="000D5E53" w:rsidRPr="00B14A85" w:rsidRDefault="000D5E53" w:rsidP="000D5E53">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B26D26">
        <w:rPr>
          <w:b/>
          <w:bCs/>
          <w:color w:val="808080" w:themeColor="background1" w:themeShade="80"/>
          <w:sz w:val="18"/>
          <w:szCs w:val="18"/>
          <w:lang w:val="en-GB"/>
        </w:rPr>
        <w:t>22</w:t>
      </w:r>
      <w:r w:rsidRPr="00B14A85">
        <w:rPr>
          <w:color w:val="808080" w:themeColor="background1" w:themeShade="80"/>
          <w:sz w:val="18"/>
          <w:szCs w:val="18"/>
          <w:lang w:val="en-GB"/>
        </w:rPr>
        <w:t xml:space="preserve"> Univariate analysis of coverage deltas (y-axis) against COVID-19 disease, as quantified by excess mortality per 100,000</w:t>
      </w:r>
      <w:r w:rsidR="00AA5239" w:rsidRPr="00B14A85">
        <w:rPr>
          <w:color w:val="808080" w:themeColor="background1" w:themeShade="80"/>
          <w:sz w:val="18"/>
          <w:szCs w:val="18"/>
          <w:lang w:val="en-GB"/>
        </w:rPr>
        <w:t xml:space="preserve"> people</w:t>
      </w:r>
      <w:r w:rsidRPr="00B14A85">
        <w:rPr>
          <w:noProof/>
          <w:color w:val="808080" w:themeColor="background1" w:themeShade="80"/>
          <w:sz w:val="18"/>
          <w:szCs w:val="18"/>
          <w:lang w:val="en-GB"/>
        </w:rPr>
        <w:t xml:space="preserve"> (x-axis). </w:t>
      </w:r>
      <w:r w:rsidR="00AA5239" w:rsidRPr="00B14A85">
        <w:rPr>
          <w:noProof/>
          <w:color w:val="808080" w:themeColor="background1" w:themeShade="80"/>
          <w:sz w:val="18"/>
          <w:szCs w:val="18"/>
          <w:lang w:val="en-GB"/>
        </w:rPr>
        <w:t xml:space="preserve">Each dot represents a country-year datapoint, e.g., Senegal in 2021. </w:t>
      </w:r>
      <w:r w:rsidRPr="00B14A85">
        <w:rPr>
          <w:noProof/>
          <w:color w:val="808080" w:themeColor="background1" w:themeShade="80"/>
          <w:sz w:val="18"/>
          <w:szCs w:val="18"/>
          <w:lang w:val="en-GB"/>
        </w:rPr>
        <w:t xml:space="preserve">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w:t>
      </w:r>
      <w:r w:rsidR="004C0AD7" w:rsidRPr="00B14A85">
        <w:rPr>
          <w:noProof/>
          <w:color w:val="808080" w:themeColor="background1" w:themeShade="80"/>
          <w:sz w:val="18"/>
          <w:szCs w:val="18"/>
          <w:lang w:val="en-GB"/>
        </w:rPr>
        <w:t xml:space="preserve">and Panel C (Cumulative) plots total coverage deltas (the sum of each year). All fitted lines in the figure represent Loess (locally estimated scatterplot smoothing) curves, with the surrounding grey areas indicating the 95% confidence intervals for the fitted values. The horizontal black line indicates no change in DTP3 coverage. </w:t>
      </w:r>
    </w:p>
    <w:p w14:paraId="074BA1E3" w14:textId="727DEBB2" w:rsidR="00F86064" w:rsidRPr="00B14A85" w:rsidRDefault="00F86064">
      <w:pPr>
        <w:rPr>
          <w:noProof/>
          <w:u w:val="single"/>
          <w:lang w:val="en-GB"/>
        </w:rPr>
      </w:pPr>
      <w:r w:rsidRPr="00B14A85">
        <w:rPr>
          <w:noProof/>
          <w:u w:val="single"/>
          <w:lang w:val="en-GB"/>
        </w:rPr>
        <w:t>Pandemic policy: containment</w:t>
      </w:r>
    </w:p>
    <w:p w14:paraId="2BCE17D5" w14:textId="089B2499" w:rsidR="008242CD" w:rsidRPr="00B14A85" w:rsidRDefault="008242CD" w:rsidP="008242CD">
      <w:pPr>
        <w:spacing w:line="240" w:lineRule="auto"/>
        <w:rPr>
          <w:lang w:val="en-GB"/>
        </w:rPr>
      </w:pPr>
      <w:r w:rsidRPr="00B14A85">
        <w:rPr>
          <w:lang w:val="en-GB"/>
        </w:rPr>
        <w:t>The relationship between the containment policy PC and DTP3 coverage deltas is unclear</w:t>
      </w:r>
      <w:r w:rsidR="00B26D26">
        <w:rPr>
          <w:lang w:val="en-GB"/>
        </w:rPr>
        <w:t xml:space="preserve"> (</w:t>
      </w:r>
      <w:r w:rsidR="00B26D26" w:rsidRPr="00B26D26">
        <w:rPr>
          <w:b/>
          <w:bCs/>
          <w:lang w:val="en-GB"/>
        </w:rPr>
        <w:t>Figure 23</w:t>
      </w:r>
      <w:r w:rsidR="00B26D26">
        <w:rPr>
          <w:lang w:val="en-GB"/>
        </w:rPr>
        <w:t>)</w:t>
      </w:r>
      <w:r w:rsidRPr="00B14A85">
        <w:rPr>
          <w:lang w:val="en-GB"/>
        </w:rPr>
        <w:t xml:space="preserve">, with </w:t>
      </w:r>
      <w:r w:rsidR="00E16812" w:rsidRPr="00B14A85">
        <w:rPr>
          <w:lang w:val="en-GB"/>
        </w:rPr>
        <w:t>a relatively flat relationship except at either extremes (very stringent or minimal policies)</w:t>
      </w:r>
      <w:r w:rsidR="00D34BEF" w:rsidRPr="00B14A85">
        <w:rPr>
          <w:lang w:val="en-GB"/>
        </w:rPr>
        <w:t xml:space="preserve"> where DTP3 coverage deltas appear to increase with the most stringent or the </w:t>
      </w:r>
      <w:r w:rsidR="004A1306" w:rsidRPr="00B14A85">
        <w:rPr>
          <w:lang w:val="en-GB"/>
        </w:rPr>
        <w:t>weakest</w:t>
      </w:r>
      <w:r w:rsidR="00D34BEF" w:rsidRPr="00B14A85">
        <w:rPr>
          <w:lang w:val="en-GB"/>
        </w:rPr>
        <w:t xml:space="preserve"> policies</w:t>
      </w:r>
      <w:r w:rsidR="00E16812" w:rsidRPr="00B14A85">
        <w:rPr>
          <w:lang w:val="en-GB"/>
        </w:rPr>
        <w:t xml:space="preserve">. </w:t>
      </w:r>
    </w:p>
    <w:p w14:paraId="2C2F409A" w14:textId="77777777" w:rsidR="008242CD" w:rsidRPr="00B14A85" w:rsidRDefault="008242CD">
      <w:pPr>
        <w:rPr>
          <w:noProof/>
          <w:u w:val="single"/>
          <w:lang w:val="en-GB"/>
        </w:rPr>
      </w:pPr>
    </w:p>
    <w:p w14:paraId="1B13D1D5" w14:textId="259F29AF" w:rsidR="009559E4" w:rsidRPr="00B14A85" w:rsidRDefault="004C0AD7">
      <w:pPr>
        <w:rPr>
          <w:lang w:val="en-GB"/>
        </w:rPr>
      </w:pPr>
      <w:r>
        <w:rPr>
          <w:noProof/>
          <w:lang w:val="en-GB"/>
        </w:rPr>
        <w:drawing>
          <wp:inline distT="0" distB="0" distL="0" distR="0" wp14:anchorId="7F13464A" wp14:editId="1F31F402">
            <wp:extent cx="5937885" cy="1979295"/>
            <wp:effectExtent l="0" t="0" r="5715" b="1905"/>
            <wp:docPr id="614008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1979295"/>
                    </a:xfrm>
                    <a:prstGeom prst="rect">
                      <a:avLst/>
                    </a:prstGeom>
                    <a:noFill/>
                    <a:ln>
                      <a:noFill/>
                    </a:ln>
                  </pic:spPr>
                </pic:pic>
              </a:graphicData>
            </a:graphic>
          </wp:inline>
        </w:drawing>
      </w:r>
    </w:p>
    <w:p w14:paraId="27C0575C" w14:textId="133C127A" w:rsidR="008242CD" w:rsidRPr="00B14A85" w:rsidRDefault="008242CD" w:rsidP="007866B3">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B26D26">
        <w:rPr>
          <w:b/>
          <w:bCs/>
          <w:color w:val="808080" w:themeColor="background1" w:themeShade="80"/>
          <w:sz w:val="18"/>
          <w:szCs w:val="18"/>
          <w:lang w:val="en-GB"/>
        </w:rPr>
        <w:t>23</w:t>
      </w:r>
      <w:r w:rsidRPr="00B14A85">
        <w:rPr>
          <w:color w:val="808080" w:themeColor="background1" w:themeShade="80"/>
          <w:sz w:val="18"/>
          <w:szCs w:val="18"/>
          <w:lang w:val="en-GB"/>
        </w:rPr>
        <w:t xml:space="preserve"> Univariate analysis of coverage deltas (y-axis) against containment policy stringency, as quantified by </w:t>
      </w:r>
      <w:r w:rsidR="007866B3" w:rsidRPr="00B14A85">
        <w:rPr>
          <w:color w:val="808080" w:themeColor="background1" w:themeShade="80"/>
          <w:sz w:val="18"/>
          <w:szCs w:val="18"/>
          <w:lang w:val="en-GB"/>
        </w:rPr>
        <w:t>a single</w:t>
      </w:r>
      <w:r w:rsidRPr="00B14A85">
        <w:rPr>
          <w:color w:val="808080" w:themeColor="background1" w:themeShade="80"/>
          <w:sz w:val="18"/>
          <w:szCs w:val="18"/>
          <w:lang w:val="en-GB"/>
        </w:rPr>
        <w:t xml:space="preserve"> Principal Component summarising eight containment policies</w:t>
      </w:r>
      <w:r w:rsidRPr="00B14A85">
        <w:rPr>
          <w:noProof/>
          <w:color w:val="808080" w:themeColor="background1" w:themeShade="80"/>
          <w:sz w:val="18"/>
          <w:szCs w:val="18"/>
          <w:lang w:val="en-GB"/>
        </w:rPr>
        <w:t xml:space="preserve"> (x-axis). Higher </w:t>
      </w:r>
      <w:r w:rsidR="007866B3" w:rsidRPr="00B14A85">
        <w:rPr>
          <w:noProof/>
          <w:color w:val="808080" w:themeColor="background1" w:themeShade="80"/>
          <w:sz w:val="18"/>
          <w:szCs w:val="18"/>
          <w:lang w:val="en-GB"/>
        </w:rPr>
        <w:t>stringency</w:t>
      </w:r>
      <w:r w:rsidRPr="00B14A85">
        <w:rPr>
          <w:noProof/>
          <w:color w:val="808080" w:themeColor="background1" w:themeShade="80"/>
          <w:sz w:val="18"/>
          <w:szCs w:val="18"/>
          <w:lang w:val="en-GB"/>
        </w:rPr>
        <w:t xml:space="preserve"> values indicate more stringent containment policies such as more frequent or stringent school or workplace closures. Each dot represents a country-year datapoint, e.g., Senegal in 2021. </w:t>
      </w:r>
      <w:r w:rsidR="004C0AD7">
        <w:rPr>
          <w:noProof/>
          <w:color w:val="808080" w:themeColor="background1" w:themeShade="80"/>
          <w:sz w:val="18"/>
          <w:szCs w:val="18"/>
          <w:lang w:val="en-GB"/>
        </w:rPr>
        <w:t>For panels A and B, d</w:t>
      </w:r>
      <w:r w:rsidR="00E11957" w:rsidRPr="00B14A85">
        <w:rPr>
          <w:noProof/>
          <w:color w:val="808080" w:themeColor="background1" w:themeShade="80"/>
          <w:sz w:val="18"/>
          <w:szCs w:val="18"/>
          <w:lang w:val="en-GB"/>
        </w:rPr>
        <w:t>ot</w:t>
      </w:r>
      <w:r w:rsidRPr="00B14A85">
        <w:rPr>
          <w:noProof/>
          <w:color w:val="808080" w:themeColor="background1" w:themeShade="80"/>
          <w:sz w:val="18"/>
          <w:szCs w:val="18"/>
          <w:lang w:val="en-GB"/>
        </w:rPr>
        <w:t xml:space="preserve">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w:t>
      </w:r>
      <w:r w:rsidR="004C0AD7">
        <w:rPr>
          <w:noProof/>
          <w:color w:val="808080" w:themeColor="background1" w:themeShade="80"/>
          <w:sz w:val="18"/>
          <w:szCs w:val="18"/>
          <w:lang w:val="en-GB"/>
        </w:rPr>
        <w:t xml:space="preserve">; </w:t>
      </w:r>
      <w:r w:rsidR="00E235A5" w:rsidRPr="00B14A85">
        <w:rPr>
          <w:noProof/>
          <w:color w:val="808080" w:themeColor="background1" w:themeShade="80"/>
          <w:sz w:val="18"/>
          <w:szCs w:val="18"/>
          <w:lang w:val="en-GB"/>
        </w:rPr>
        <w:t>and Panel C (Cumulative) plots total coverage deltas (the sum of each year). All fitted lines in the figure represent Loess (locally estimated scatterplot smoothing) curves, with the surrounding grey areas indicating the 95% confidence intervals for the fitted values. The horizontal black line indicates no change in DTP3 coverage.</w:t>
      </w:r>
    </w:p>
    <w:p w14:paraId="20DDF0FD" w14:textId="1CD80EE6" w:rsidR="00F86064" w:rsidRPr="00B14A85" w:rsidRDefault="00F86064">
      <w:pPr>
        <w:rPr>
          <w:noProof/>
          <w:u w:val="single"/>
          <w:lang w:val="en-GB"/>
        </w:rPr>
      </w:pPr>
      <w:r w:rsidRPr="00B14A85">
        <w:rPr>
          <w:noProof/>
          <w:u w:val="single"/>
          <w:lang w:val="en-GB"/>
        </w:rPr>
        <w:t xml:space="preserve">Pandemic policy: economic </w:t>
      </w:r>
    </w:p>
    <w:p w14:paraId="55A08C5F" w14:textId="564CDD0D" w:rsidR="009559E4" w:rsidRPr="00B14A85" w:rsidRDefault="009559E4" w:rsidP="009559E4">
      <w:pPr>
        <w:spacing w:line="240" w:lineRule="auto"/>
        <w:rPr>
          <w:lang w:val="en-GB"/>
        </w:rPr>
      </w:pPr>
      <w:r w:rsidRPr="00B14A85">
        <w:rPr>
          <w:lang w:val="en-GB"/>
        </w:rPr>
        <w:lastRenderedPageBreak/>
        <w:t xml:space="preserve">There is no evidence of a relationship between the </w:t>
      </w:r>
      <w:r w:rsidR="008242CD" w:rsidRPr="00B14A85">
        <w:rPr>
          <w:lang w:val="en-GB"/>
        </w:rPr>
        <w:t>economic</w:t>
      </w:r>
      <w:r w:rsidRPr="00B14A85">
        <w:rPr>
          <w:lang w:val="en-GB"/>
        </w:rPr>
        <w:t xml:space="preserve"> index PC and DTP3 coverage deltas</w:t>
      </w:r>
      <w:r w:rsidR="004A1306">
        <w:rPr>
          <w:lang w:val="en-GB"/>
        </w:rPr>
        <w:t xml:space="preserve"> (</w:t>
      </w:r>
      <w:r w:rsidR="004A1306" w:rsidRPr="004A1306">
        <w:rPr>
          <w:b/>
          <w:bCs/>
          <w:lang w:val="en-GB"/>
        </w:rPr>
        <w:t>Figure 24</w:t>
      </w:r>
      <w:r w:rsidR="004A1306">
        <w:rPr>
          <w:lang w:val="en-GB"/>
        </w:rPr>
        <w:t>)</w:t>
      </w:r>
      <w:r w:rsidRPr="00B14A85">
        <w:rPr>
          <w:lang w:val="en-GB"/>
        </w:rPr>
        <w:t xml:space="preserve"> – the </w:t>
      </w:r>
      <w:r w:rsidR="008242CD" w:rsidRPr="00B14A85">
        <w:rPr>
          <w:lang w:val="en-GB"/>
        </w:rPr>
        <w:t xml:space="preserve">line of best fit across all versions of the plots are essentially horizontal. </w:t>
      </w:r>
    </w:p>
    <w:p w14:paraId="0B35F4E7" w14:textId="2982C820" w:rsidR="009559E4" w:rsidRPr="00B14A85" w:rsidRDefault="00CC2755" w:rsidP="009559E4">
      <w:pPr>
        <w:spacing w:line="240" w:lineRule="auto"/>
        <w:rPr>
          <w:lang w:val="en-GB"/>
        </w:rPr>
      </w:pPr>
      <w:r>
        <w:rPr>
          <w:noProof/>
          <w:lang w:val="en-GB"/>
        </w:rPr>
        <w:drawing>
          <wp:inline distT="0" distB="0" distL="0" distR="0" wp14:anchorId="427E9A12" wp14:editId="6896CB5B">
            <wp:extent cx="5937885" cy="1979295"/>
            <wp:effectExtent l="0" t="0" r="5715" b="1905"/>
            <wp:docPr id="1476791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885" cy="1979295"/>
                    </a:xfrm>
                    <a:prstGeom prst="rect">
                      <a:avLst/>
                    </a:prstGeom>
                    <a:noFill/>
                    <a:ln>
                      <a:noFill/>
                    </a:ln>
                  </pic:spPr>
                </pic:pic>
              </a:graphicData>
            </a:graphic>
          </wp:inline>
        </w:drawing>
      </w:r>
    </w:p>
    <w:p w14:paraId="01E52E17" w14:textId="7C4212D7" w:rsidR="009559E4" w:rsidRPr="00B14A85" w:rsidRDefault="008242CD" w:rsidP="00122CF3">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4A1306">
        <w:rPr>
          <w:b/>
          <w:bCs/>
          <w:color w:val="808080" w:themeColor="background1" w:themeShade="80"/>
          <w:sz w:val="18"/>
          <w:szCs w:val="18"/>
          <w:lang w:val="en-GB"/>
        </w:rPr>
        <w:t>24</w:t>
      </w:r>
      <w:r w:rsidRPr="00B14A85">
        <w:rPr>
          <w:color w:val="808080" w:themeColor="background1" w:themeShade="80"/>
          <w:sz w:val="18"/>
          <w:szCs w:val="18"/>
          <w:lang w:val="en-GB"/>
        </w:rPr>
        <w:t xml:space="preserve"> Univariate analysis of coverage deltas (y-axis) against economic policy stringency, as quantified by </w:t>
      </w:r>
      <w:r w:rsidR="007866B3" w:rsidRPr="00B14A85">
        <w:rPr>
          <w:color w:val="808080" w:themeColor="background1" w:themeShade="80"/>
          <w:sz w:val="18"/>
          <w:szCs w:val="18"/>
          <w:lang w:val="en-GB"/>
        </w:rPr>
        <w:t>a single</w:t>
      </w:r>
      <w:r w:rsidRPr="00B14A85">
        <w:rPr>
          <w:color w:val="808080" w:themeColor="background1" w:themeShade="80"/>
          <w:sz w:val="18"/>
          <w:szCs w:val="18"/>
          <w:lang w:val="en-GB"/>
        </w:rPr>
        <w:t xml:space="preserve"> Principal Component summarising </w:t>
      </w:r>
      <w:r w:rsidR="007866B3" w:rsidRPr="00B14A85">
        <w:rPr>
          <w:color w:val="808080" w:themeColor="background1" w:themeShade="80"/>
          <w:sz w:val="18"/>
          <w:szCs w:val="18"/>
          <w:lang w:val="en-GB"/>
        </w:rPr>
        <w:t>two</w:t>
      </w:r>
      <w:r w:rsidRPr="00B14A85">
        <w:rPr>
          <w:color w:val="808080" w:themeColor="background1" w:themeShade="80"/>
          <w:sz w:val="18"/>
          <w:szCs w:val="18"/>
          <w:lang w:val="en-GB"/>
        </w:rPr>
        <w:t xml:space="preserve"> </w:t>
      </w:r>
      <w:r w:rsidR="007866B3" w:rsidRPr="00B14A85">
        <w:rPr>
          <w:color w:val="808080" w:themeColor="background1" w:themeShade="80"/>
          <w:sz w:val="18"/>
          <w:szCs w:val="18"/>
          <w:lang w:val="en-GB"/>
        </w:rPr>
        <w:t xml:space="preserve">economic </w:t>
      </w:r>
      <w:r w:rsidRPr="00B14A85">
        <w:rPr>
          <w:color w:val="808080" w:themeColor="background1" w:themeShade="80"/>
          <w:sz w:val="18"/>
          <w:szCs w:val="18"/>
          <w:lang w:val="en-GB"/>
        </w:rPr>
        <w:t>policies</w:t>
      </w:r>
      <w:r w:rsidRPr="00B14A85">
        <w:rPr>
          <w:noProof/>
          <w:color w:val="808080" w:themeColor="background1" w:themeShade="80"/>
          <w:sz w:val="18"/>
          <w:szCs w:val="18"/>
          <w:lang w:val="en-GB"/>
        </w:rPr>
        <w:t xml:space="preserve"> (x-axis). Higher </w:t>
      </w:r>
      <w:r w:rsidR="007866B3" w:rsidRPr="00B14A85">
        <w:rPr>
          <w:noProof/>
          <w:color w:val="808080" w:themeColor="background1" w:themeShade="80"/>
          <w:sz w:val="18"/>
          <w:szCs w:val="18"/>
          <w:lang w:val="en-GB"/>
        </w:rPr>
        <w:t>stringency</w:t>
      </w:r>
      <w:r w:rsidRPr="00B14A85">
        <w:rPr>
          <w:noProof/>
          <w:color w:val="808080" w:themeColor="background1" w:themeShade="80"/>
          <w:sz w:val="18"/>
          <w:szCs w:val="18"/>
          <w:lang w:val="en-GB"/>
        </w:rPr>
        <w:t xml:space="preserve"> values indicate greater economic support e.g., broader economic relief during the pandemic. Each dot represents a country-year datapoint, e.g., Senegal in 2021. 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w:t>
      </w:r>
    </w:p>
    <w:p w14:paraId="2EDE91C9" w14:textId="77F8DA5C" w:rsidR="000D5E53" w:rsidRPr="00B14A85" w:rsidRDefault="00D42191">
      <w:pPr>
        <w:rPr>
          <w:noProof/>
          <w:u w:val="single"/>
          <w:lang w:val="en-GB"/>
        </w:rPr>
      </w:pPr>
      <w:r w:rsidRPr="00B14A85">
        <w:rPr>
          <w:noProof/>
          <w:u w:val="single"/>
          <w:lang w:val="en-GB"/>
        </w:rPr>
        <w:t>Pandemic policy</w:t>
      </w:r>
      <w:r w:rsidR="00F86064" w:rsidRPr="00B14A85">
        <w:rPr>
          <w:noProof/>
          <w:u w:val="single"/>
          <w:lang w:val="en-GB"/>
        </w:rPr>
        <w:t xml:space="preserve">: </w:t>
      </w:r>
      <w:r w:rsidRPr="00B14A85">
        <w:rPr>
          <w:noProof/>
          <w:u w:val="single"/>
          <w:lang w:val="en-GB"/>
        </w:rPr>
        <w:t>health</w:t>
      </w:r>
    </w:p>
    <w:p w14:paraId="2602DE3F" w14:textId="6492BAFE" w:rsidR="00D42191" w:rsidRPr="00B14A85" w:rsidRDefault="00D42191" w:rsidP="00D42191">
      <w:pPr>
        <w:spacing w:line="240" w:lineRule="auto"/>
        <w:rPr>
          <w:lang w:val="en-GB"/>
        </w:rPr>
      </w:pPr>
      <w:r w:rsidRPr="00B14A85">
        <w:rPr>
          <w:lang w:val="en-GB"/>
        </w:rPr>
        <w:t xml:space="preserve">Univariate analysis indicated the lack of relationship between </w:t>
      </w:r>
      <w:r w:rsidR="00501584" w:rsidRPr="00B14A85">
        <w:rPr>
          <w:lang w:val="en-GB"/>
        </w:rPr>
        <w:t>both</w:t>
      </w:r>
      <w:r w:rsidRPr="00B14A85">
        <w:rPr>
          <w:lang w:val="en-GB"/>
        </w:rPr>
        <w:t xml:space="preserve"> health policy principal components and DTP3 coverage deltas</w:t>
      </w:r>
      <w:r w:rsidR="00574A0D">
        <w:rPr>
          <w:lang w:val="en-GB"/>
        </w:rPr>
        <w:t xml:space="preserve"> (</w:t>
      </w:r>
      <w:r w:rsidR="00574A0D" w:rsidRPr="00574A0D">
        <w:rPr>
          <w:b/>
          <w:bCs/>
          <w:lang w:val="en-GB"/>
        </w:rPr>
        <w:t>Figure 25</w:t>
      </w:r>
      <w:r w:rsidR="00574A0D">
        <w:rPr>
          <w:lang w:val="en-GB"/>
        </w:rPr>
        <w:t>)</w:t>
      </w:r>
      <w:r w:rsidRPr="00B14A85">
        <w:rPr>
          <w:lang w:val="en-GB"/>
        </w:rPr>
        <w:t xml:space="preserve">, with minimal variation </w:t>
      </w:r>
      <w:r w:rsidR="00060401" w:rsidRPr="00B14A85">
        <w:rPr>
          <w:lang w:val="en-GB"/>
        </w:rPr>
        <w:t xml:space="preserve">in DTP3 coverage as </w:t>
      </w:r>
      <w:r w:rsidRPr="00B14A85">
        <w:rPr>
          <w:lang w:val="en-GB"/>
        </w:rPr>
        <w:t>health policy stringency scores</w:t>
      </w:r>
      <w:r w:rsidR="00060401" w:rsidRPr="00B14A85">
        <w:rPr>
          <w:lang w:val="en-GB"/>
        </w:rPr>
        <w:t xml:space="preserve"> change.</w:t>
      </w:r>
    </w:p>
    <w:p w14:paraId="5714D287" w14:textId="5A33139C" w:rsidR="00D42191" w:rsidRPr="00B14A85" w:rsidRDefault="000C4EC3" w:rsidP="00D42191">
      <w:pPr>
        <w:spacing w:line="240" w:lineRule="auto"/>
        <w:rPr>
          <w:lang w:val="en-GB"/>
        </w:rPr>
      </w:pPr>
      <w:r>
        <w:rPr>
          <w:noProof/>
          <w:color w:val="808080" w:themeColor="background1" w:themeShade="80"/>
          <w:sz w:val="18"/>
          <w:szCs w:val="18"/>
          <w:lang w:val="en-GB"/>
        </w:rPr>
        <w:lastRenderedPageBreak/>
        <w:drawing>
          <wp:inline distT="0" distB="0" distL="0" distR="0" wp14:anchorId="3F8BE3CA" wp14:editId="387475B0">
            <wp:extent cx="5937885" cy="4358005"/>
            <wp:effectExtent l="0" t="0" r="5715" b="4445"/>
            <wp:docPr id="76587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4358005"/>
                    </a:xfrm>
                    <a:prstGeom prst="rect">
                      <a:avLst/>
                    </a:prstGeom>
                    <a:noFill/>
                    <a:ln>
                      <a:noFill/>
                    </a:ln>
                  </pic:spPr>
                </pic:pic>
              </a:graphicData>
            </a:graphic>
          </wp:inline>
        </w:drawing>
      </w:r>
    </w:p>
    <w:p w14:paraId="76C20C64" w14:textId="50ED03FA" w:rsidR="00501584" w:rsidRPr="00B14A85" w:rsidRDefault="00501584" w:rsidP="00501584">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574A0D">
        <w:rPr>
          <w:b/>
          <w:bCs/>
          <w:color w:val="808080" w:themeColor="background1" w:themeShade="80"/>
          <w:sz w:val="18"/>
          <w:szCs w:val="18"/>
          <w:lang w:val="en-GB"/>
        </w:rPr>
        <w:t>25</w:t>
      </w:r>
      <w:r w:rsidRPr="00B14A85">
        <w:rPr>
          <w:color w:val="808080" w:themeColor="background1" w:themeShade="80"/>
          <w:sz w:val="18"/>
          <w:szCs w:val="18"/>
          <w:lang w:val="en-GB"/>
        </w:rPr>
        <w:t xml:space="preserve"> Univariate analysis of coverage deltas (y-axis) against pandemic health policy stringency, as quantified by </w:t>
      </w:r>
      <w:r w:rsidR="009559E4" w:rsidRPr="00B14A85">
        <w:rPr>
          <w:color w:val="808080" w:themeColor="background1" w:themeShade="80"/>
          <w:sz w:val="18"/>
          <w:szCs w:val="18"/>
          <w:lang w:val="en-GB"/>
        </w:rPr>
        <w:t xml:space="preserve">two Principal Components </w:t>
      </w:r>
      <w:r w:rsidR="007866B3" w:rsidRPr="00B14A85">
        <w:rPr>
          <w:color w:val="808080" w:themeColor="background1" w:themeShade="80"/>
          <w:sz w:val="18"/>
          <w:szCs w:val="18"/>
          <w:lang w:val="en-GB"/>
        </w:rPr>
        <w:t xml:space="preserve">(PCs) </w:t>
      </w:r>
      <w:r w:rsidR="009559E4" w:rsidRPr="00B14A85">
        <w:rPr>
          <w:color w:val="808080" w:themeColor="background1" w:themeShade="80"/>
          <w:sz w:val="18"/>
          <w:szCs w:val="18"/>
          <w:lang w:val="en-GB"/>
        </w:rPr>
        <w:t>summarising six health policies</w:t>
      </w:r>
      <w:r w:rsidRPr="00B14A85">
        <w:rPr>
          <w:noProof/>
          <w:color w:val="808080" w:themeColor="background1" w:themeShade="80"/>
          <w:sz w:val="18"/>
          <w:szCs w:val="18"/>
          <w:lang w:val="en-GB"/>
        </w:rPr>
        <w:t xml:space="preserve"> (x-axis</w:t>
      </w:r>
      <w:r w:rsidR="007866B3" w:rsidRPr="00B14A85">
        <w:rPr>
          <w:noProof/>
          <w:color w:val="808080" w:themeColor="background1" w:themeShade="80"/>
          <w:sz w:val="18"/>
          <w:szCs w:val="18"/>
          <w:lang w:val="en-GB"/>
        </w:rPr>
        <w:t xml:space="preserve">: row 1 shows PC1 and row 2 shows PC2 </w:t>
      </w:r>
      <w:r w:rsidRPr="00B14A85">
        <w:rPr>
          <w:noProof/>
          <w:color w:val="808080" w:themeColor="background1" w:themeShade="80"/>
          <w:sz w:val="18"/>
          <w:szCs w:val="18"/>
          <w:lang w:val="en-GB"/>
        </w:rPr>
        <w:t>).</w:t>
      </w:r>
      <w:r w:rsidR="009559E4" w:rsidRPr="00B14A85">
        <w:rPr>
          <w:noProof/>
          <w:color w:val="808080" w:themeColor="background1" w:themeShade="80"/>
          <w:sz w:val="18"/>
          <w:szCs w:val="18"/>
          <w:lang w:val="en-GB"/>
        </w:rPr>
        <w:t xml:space="preserve"> Higher PC values indicate more stringent health policies such as requirements to wear masks more often.</w:t>
      </w:r>
      <w:r w:rsidRPr="00B14A85">
        <w:rPr>
          <w:noProof/>
          <w:color w:val="808080" w:themeColor="background1" w:themeShade="80"/>
          <w:sz w:val="18"/>
          <w:szCs w:val="18"/>
          <w:lang w:val="en-GB"/>
        </w:rPr>
        <w:t xml:space="preserve"> Each dot represents a country-year datapoint, e.g., Senegal in 2021. 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w:t>
      </w:r>
      <w:r w:rsidR="00E235A5" w:rsidRPr="00B14A85">
        <w:rPr>
          <w:noProof/>
          <w:color w:val="808080" w:themeColor="background1" w:themeShade="80"/>
          <w:sz w:val="18"/>
          <w:szCs w:val="18"/>
          <w:lang w:val="en-GB"/>
        </w:rPr>
        <w:t>and Panel C (Cumulative) plots total coverage deltas (the sum of each year). All fitted lines in the figure represent Loess (locally estimated scatterplot smoothing) curves, with the surrounding grey areas indicating the 95% confidence intervals for the fitted values. The horizontal black line indicates no change in DTP3 coverage.</w:t>
      </w:r>
    </w:p>
    <w:p w14:paraId="6DDC4909" w14:textId="77777777" w:rsidR="00122CF3" w:rsidRPr="00B14A85" w:rsidRDefault="00122CF3" w:rsidP="00122CF3">
      <w:pPr>
        <w:rPr>
          <w:noProof/>
          <w:u w:val="single"/>
          <w:lang w:val="en-GB"/>
        </w:rPr>
      </w:pPr>
      <w:r w:rsidRPr="00B14A85">
        <w:rPr>
          <w:noProof/>
          <w:u w:val="single"/>
          <w:lang w:val="en-GB"/>
        </w:rPr>
        <w:t>Mobility: outside</w:t>
      </w:r>
    </w:p>
    <w:p w14:paraId="7F27B364" w14:textId="2A24EADF" w:rsidR="009C5079" w:rsidRPr="00B14A85" w:rsidRDefault="009C5079" w:rsidP="00122CF3">
      <w:pPr>
        <w:rPr>
          <w:noProof/>
          <w:lang w:val="en-GB"/>
        </w:rPr>
      </w:pPr>
      <w:r w:rsidRPr="00B14A85">
        <w:rPr>
          <w:noProof/>
          <w:lang w:val="en-GB"/>
        </w:rPr>
        <w:t xml:space="preserve">A strong positive relationship between </w:t>
      </w:r>
      <w:r w:rsidR="00C1274C" w:rsidRPr="00B14A85">
        <w:rPr>
          <w:noProof/>
          <w:lang w:val="en-GB"/>
        </w:rPr>
        <w:t>outside mobility and DTP3 coverage deltas is seen below the PC value of approximately -1.5</w:t>
      </w:r>
      <w:r w:rsidR="00FA20D5">
        <w:rPr>
          <w:noProof/>
          <w:lang w:val="en-GB"/>
        </w:rPr>
        <w:t xml:space="preserve"> (</w:t>
      </w:r>
      <w:r w:rsidR="00FA20D5" w:rsidRPr="00FA20D5">
        <w:rPr>
          <w:b/>
          <w:bCs/>
          <w:noProof/>
          <w:lang w:val="en-GB"/>
        </w:rPr>
        <w:t>Figure 26</w:t>
      </w:r>
      <w:r w:rsidR="00FA20D5">
        <w:rPr>
          <w:noProof/>
          <w:lang w:val="en-GB"/>
        </w:rPr>
        <w:t>)</w:t>
      </w:r>
      <w:r w:rsidR="00C1274C" w:rsidRPr="00B14A85">
        <w:rPr>
          <w:noProof/>
          <w:lang w:val="en-GB"/>
        </w:rPr>
        <w:t xml:space="preserve">. Outside mobility is encoded such that more negative scores indicate the greatest reductions in movement to outside locations (parks, transit, workplace, recreation, retail) thus for countries with strong reductions in movement to these locations, a greater decline in DTP3 coverage was observed. After this turning point the relationship plateaus. </w:t>
      </w:r>
    </w:p>
    <w:p w14:paraId="06ED0B73" w14:textId="13D8CEB3" w:rsidR="00122CF3" w:rsidRPr="00B14A85" w:rsidRDefault="00355F5F" w:rsidP="00122CF3">
      <w:pPr>
        <w:rPr>
          <w:noProof/>
          <w:u w:val="single"/>
          <w:lang w:val="en-GB"/>
        </w:rPr>
      </w:pPr>
      <w:r>
        <w:rPr>
          <w:noProof/>
          <w:lang w:val="en-GB"/>
        </w:rPr>
        <w:lastRenderedPageBreak/>
        <w:drawing>
          <wp:inline distT="0" distB="0" distL="0" distR="0" wp14:anchorId="6F755182" wp14:editId="3155D6DF">
            <wp:extent cx="5937885" cy="1979295"/>
            <wp:effectExtent l="0" t="0" r="5715" b="1905"/>
            <wp:docPr id="533073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885" cy="1979295"/>
                    </a:xfrm>
                    <a:prstGeom prst="rect">
                      <a:avLst/>
                    </a:prstGeom>
                    <a:noFill/>
                    <a:ln>
                      <a:noFill/>
                    </a:ln>
                  </pic:spPr>
                </pic:pic>
              </a:graphicData>
            </a:graphic>
          </wp:inline>
        </w:drawing>
      </w:r>
    </w:p>
    <w:p w14:paraId="0978E433" w14:textId="76D277C9" w:rsidR="00EE0342" w:rsidRPr="00B14A85" w:rsidRDefault="00FA20D5" w:rsidP="00D41690">
      <w:pPr>
        <w:spacing w:line="240" w:lineRule="auto"/>
        <w:ind w:left="360"/>
        <w:rPr>
          <w:noProof/>
          <w:color w:val="808080" w:themeColor="background1" w:themeShade="80"/>
          <w:sz w:val="18"/>
          <w:szCs w:val="18"/>
          <w:lang w:val="en-GB"/>
        </w:rPr>
      </w:pPr>
      <w:r>
        <w:rPr>
          <w:b/>
          <w:bCs/>
          <w:color w:val="808080" w:themeColor="background1" w:themeShade="80"/>
          <w:sz w:val="18"/>
          <w:szCs w:val="18"/>
          <w:lang w:val="en-GB"/>
        </w:rPr>
        <w:t xml:space="preserve">Figure 26 </w:t>
      </w:r>
      <w:r w:rsidR="00EE0342" w:rsidRPr="00B14A85">
        <w:rPr>
          <w:color w:val="808080" w:themeColor="background1" w:themeShade="80"/>
          <w:sz w:val="18"/>
          <w:szCs w:val="18"/>
          <w:lang w:val="en-GB"/>
        </w:rPr>
        <w:t>Univariate analysis of coverage deltas (y-axis) against outside mobility, as quantified by a single Principal Component summarising change in movement to five locations from Google phone data</w:t>
      </w:r>
      <w:r w:rsidR="00EE0342" w:rsidRPr="00B14A85">
        <w:rPr>
          <w:noProof/>
          <w:color w:val="808080" w:themeColor="background1" w:themeShade="80"/>
          <w:sz w:val="18"/>
          <w:szCs w:val="18"/>
          <w:lang w:val="en-GB"/>
        </w:rPr>
        <w:t xml:space="preserve"> (x-axis). </w:t>
      </w:r>
      <w:r w:rsidR="001A4772" w:rsidRPr="00B14A85">
        <w:rPr>
          <w:noProof/>
          <w:color w:val="808080" w:themeColor="background1" w:themeShade="80"/>
          <w:sz w:val="18"/>
          <w:szCs w:val="18"/>
          <w:lang w:val="en-GB"/>
        </w:rPr>
        <w:t xml:space="preserve">Lower (more negative) </w:t>
      </w:r>
      <w:r w:rsidR="00D41690" w:rsidRPr="00B14A85">
        <w:rPr>
          <w:noProof/>
          <w:color w:val="808080" w:themeColor="background1" w:themeShade="80"/>
          <w:sz w:val="18"/>
          <w:szCs w:val="18"/>
          <w:lang w:val="en-GB"/>
        </w:rPr>
        <w:t>outside mobility values indicate greater reductions in outside movement during the pandemic</w:t>
      </w:r>
      <w:r w:rsidR="00EE0342" w:rsidRPr="00B14A85">
        <w:rPr>
          <w:noProof/>
          <w:color w:val="808080" w:themeColor="background1" w:themeShade="80"/>
          <w:sz w:val="18"/>
          <w:szCs w:val="18"/>
          <w:lang w:val="en-GB"/>
        </w:rPr>
        <w:t xml:space="preserve">. Each dot represents a country-year datapoint, e.g., Senegal in 2021. Dot colour indicates year of the pandemic – red for 2020, green for 2021, and yellow for 2022. Panel A (Per year) shows three lines of best fit for each year of the pandemic; and Panel B (Combined) fits a single line of best fit for all years of data. All fitted lines in the figure represent </w:t>
      </w:r>
      <w:r w:rsidR="001E3BE2" w:rsidRPr="00B14A85">
        <w:rPr>
          <w:noProof/>
          <w:color w:val="808080" w:themeColor="background1" w:themeShade="80"/>
          <w:sz w:val="18"/>
          <w:szCs w:val="18"/>
          <w:lang w:val="en-GB"/>
        </w:rPr>
        <w:t>Loess</w:t>
      </w:r>
      <w:r w:rsidR="00EE0342"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w:t>
      </w:r>
      <w:r w:rsidR="00D41690" w:rsidRPr="00B14A85">
        <w:rPr>
          <w:noProof/>
          <w:color w:val="808080" w:themeColor="background1" w:themeShade="80"/>
          <w:sz w:val="18"/>
          <w:szCs w:val="18"/>
          <w:lang w:val="en-GB"/>
        </w:rPr>
        <w:t xml:space="preserve">The vertical purple line indicates the </w:t>
      </w:r>
      <w:r w:rsidR="0050695A" w:rsidRPr="00B14A85">
        <w:rPr>
          <w:noProof/>
          <w:color w:val="808080" w:themeColor="background1" w:themeShade="80"/>
          <w:sz w:val="18"/>
          <w:szCs w:val="18"/>
          <w:lang w:val="en-GB"/>
        </w:rPr>
        <w:t xml:space="preserve">visually-assessed </w:t>
      </w:r>
      <w:r w:rsidR="00D41690" w:rsidRPr="00B14A85">
        <w:rPr>
          <w:noProof/>
          <w:color w:val="808080" w:themeColor="background1" w:themeShade="80"/>
          <w:sz w:val="18"/>
          <w:szCs w:val="18"/>
          <w:lang w:val="en-GB"/>
        </w:rPr>
        <w:t>turning point.</w:t>
      </w:r>
    </w:p>
    <w:p w14:paraId="36EACC44" w14:textId="77777777" w:rsidR="00122CF3" w:rsidRPr="00B14A85" w:rsidRDefault="00122CF3" w:rsidP="00122CF3">
      <w:pPr>
        <w:rPr>
          <w:noProof/>
          <w:u w:val="single"/>
          <w:lang w:val="en-GB"/>
        </w:rPr>
      </w:pPr>
      <w:r w:rsidRPr="00B14A85">
        <w:rPr>
          <w:noProof/>
          <w:u w:val="single"/>
          <w:lang w:val="en-GB"/>
        </w:rPr>
        <w:t>Mobility: residential</w:t>
      </w:r>
    </w:p>
    <w:p w14:paraId="449311E1" w14:textId="4595DC77" w:rsidR="00C1274C" w:rsidRPr="00B14A85" w:rsidRDefault="00C1274C" w:rsidP="00122CF3">
      <w:pPr>
        <w:rPr>
          <w:noProof/>
          <w:lang w:val="en-GB"/>
        </w:rPr>
      </w:pPr>
      <w:r w:rsidRPr="00B14A85">
        <w:rPr>
          <w:noProof/>
          <w:lang w:val="en-GB"/>
        </w:rPr>
        <w:t xml:space="preserve">Limited relationship between residential mobility and </w:t>
      </w:r>
      <w:r w:rsidR="00605F93" w:rsidRPr="00B14A85">
        <w:rPr>
          <w:noProof/>
          <w:lang w:val="en-GB"/>
        </w:rPr>
        <w:t>DTP3 coverage deltas is observed across each of the years – the line of best fit is relatively horizontal</w:t>
      </w:r>
      <w:r w:rsidR="00FA20D5">
        <w:rPr>
          <w:noProof/>
          <w:lang w:val="en-GB"/>
        </w:rPr>
        <w:t xml:space="preserve">, see </w:t>
      </w:r>
      <w:r w:rsidR="00FA20D5">
        <w:rPr>
          <w:b/>
          <w:bCs/>
          <w:noProof/>
          <w:lang w:val="en-GB"/>
        </w:rPr>
        <w:t>Figure 27</w:t>
      </w:r>
      <w:r w:rsidR="00605F93" w:rsidRPr="00B14A85">
        <w:rPr>
          <w:noProof/>
          <w:lang w:val="en-GB"/>
        </w:rPr>
        <w:t xml:space="preserve">. </w:t>
      </w:r>
    </w:p>
    <w:p w14:paraId="06EAE83E" w14:textId="1A1EA2E0" w:rsidR="00E9492E" w:rsidRPr="00B14A85" w:rsidRDefault="0093539A" w:rsidP="00122CF3">
      <w:pPr>
        <w:rPr>
          <w:noProof/>
          <w:u w:val="single"/>
          <w:lang w:val="en-GB"/>
        </w:rPr>
      </w:pPr>
      <w:r>
        <w:rPr>
          <w:noProof/>
          <w:color w:val="808080" w:themeColor="background1" w:themeShade="80"/>
          <w:sz w:val="18"/>
          <w:szCs w:val="18"/>
          <w:lang w:val="en-GB"/>
        </w:rPr>
        <w:drawing>
          <wp:inline distT="0" distB="0" distL="0" distR="0" wp14:anchorId="69E166DE" wp14:editId="245B3A20">
            <wp:extent cx="5937885" cy="1979295"/>
            <wp:effectExtent l="0" t="0" r="5715" b="1905"/>
            <wp:docPr id="93957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885" cy="1979295"/>
                    </a:xfrm>
                    <a:prstGeom prst="rect">
                      <a:avLst/>
                    </a:prstGeom>
                    <a:noFill/>
                    <a:ln>
                      <a:noFill/>
                    </a:ln>
                  </pic:spPr>
                </pic:pic>
              </a:graphicData>
            </a:graphic>
          </wp:inline>
        </w:drawing>
      </w:r>
    </w:p>
    <w:p w14:paraId="09BBAC0E" w14:textId="6C9BFE62" w:rsidR="00D41690" w:rsidRPr="00B14A85" w:rsidRDefault="00D41690" w:rsidP="009C5079">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FA20D5">
        <w:rPr>
          <w:b/>
          <w:bCs/>
          <w:color w:val="808080" w:themeColor="background1" w:themeShade="80"/>
          <w:sz w:val="18"/>
          <w:szCs w:val="18"/>
          <w:lang w:val="en-GB"/>
        </w:rPr>
        <w:t>27</w:t>
      </w:r>
      <w:r w:rsidRPr="00B14A85">
        <w:rPr>
          <w:color w:val="808080" w:themeColor="background1" w:themeShade="80"/>
          <w:sz w:val="18"/>
          <w:szCs w:val="18"/>
          <w:lang w:val="en-GB"/>
        </w:rPr>
        <w:t xml:space="preserve"> Univariate analysis of coverage deltas (y-axis) against residential mobility, as quantified change in movement compared to pre-pandemic from Google phone data</w:t>
      </w:r>
      <w:r w:rsidRPr="00B14A85">
        <w:rPr>
          <w:noProof/>
          <w:color w:val="808080" w:themeColor="background1" w:themeShade="80"/>
          <w:sz w:val="18"/>
          <w:szCs w:val="18"/>
          <w:lang w:val="en-GB"/>
        </w:rPr>
        <w:t xml:space="preserve"> (x-axis). Higher percentage changes indicate more staying at home. Each dot represents a country-year datapoint, e.g., Senegal in 2021. Dot colour indicates year of the pandemic – red for 2020, green for 2021, and yellow for 2022. Panel A (Per year) shows three lines of best fit for each year of the pandemic; and Panel B (Combined) fits a single line of best fit for all years of data.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w:t>
      </w:r>
      <w:r w:rsidR="0050695A" w:rsidRPr="00B14A85">
        <w:rPr>
          <w:noProof/>
          <w:color w:val="808080" w:themeColor="background1" w:themeShade="80"/>
          <w:sz w:val="18"/>
          <w:szCs w:val="18"/>
          <w:lang w:val="en-GB"/>
        </w:rPr>
        <w:t xml:space="preserve">visually-assessed </w:t>
      </w:r>
      <w:r w:rsidRPr="00B14A85">
        <w:rPr>
          <w:noProof/>
          <w:color w:val="808080" w:themeColor="background1" w:themeShade="80"/>
          <w:sz w:val="18"/>
          <w:szCs w:val="18"/>
          <w:lang w:val="en-GB"/>
        </w:rPr>
        <w:t>turning point.</w:t>
      </w:r>
    </w:p>
    <w:p w14:paraId="1D99CC32" w14:textId="3A83E3F2" w:rsidR="00F86064" w:rsidRPr="00B14A85" w:rsidRDefault="00F86064" w:rsidP="00946E97">
      <w:pPr>
        <w:spacing w:line="240" w:lineRule="auto"/>
        <w:rPr>
          <w:u w:val="single"/>
          <w:lang w:val="en-GB"/>
        </w:rPr>
      </w:pPr>
      <w:r w:rsidRPr="00B14A85">
        <w:rPr>
          <w:u w:val="single"/>
          <w:lang w:val="en-GB"/>
        </w:rPr>
        <w:t>Health financing: government</w:t>
      </w:r>
    </w:p>
    <w:p w14:paraId="14C15387" w14:textId="5B45CEDF" w:rsidR="00A2185E" w:rsidRPr="00B14A85" w:rsidRDefault="00BB0ED4" w:rsidP="00946E97">
      <w:pPr>
        <w:spacing w:line="240" w:lineRule="auto"/>
        <w:rPr>
          <w:lang w:val="en-GB"/>
        </w:rPr>
      </w:pPr>
      <w:r w:rsidRPr="00B14A85">
        <w:rPr>
          <w:lang w:val="en-GB"/>
        </w:rPr>
        <w:t>The relationship between government health financing and DTP3 coverage deltas is difficult to see across all data points</w:t>
      </w:r>
      <w:r w:rsidR="00FA20D5">
        <w:rPr>
          <w:lang w:val="en-GB"/>
        </w:rPr>
        <w:t xml:space="preserve"> </w:t>
      </w:r>
      <w:r w:rsidR="00A714E3">
        <w:rPr>
          <w:lang w:val="en-GB"/>
        </w:rPr>
        <w:t>–</w:t>
      </w:r>
      <w:r w:rsidR="00FA20D5">
        <w:rPr>
          <w:lang w:val="en-GB"/>
        </w:rPr>
        <w:t xml:space="preserve"> </w:t>
      </w:r>
      <w:r w:rsidR="00A714E3">
        <w:rPr>
          <w:lang w:val="en-GB"/>
        </w:rPr>
        <w:t xml:space="preserve">see </w:t>
      </w:r>
      <w:r w:rsidR="00A714E3" w:rsidRPr="00A714E3">
        <w:rPr>
          <w:b/>
          <w:bCs/>
          <w:lang w:val="en-GB"/>
        </w:rPr>
        <w:t>Figure 2</w:t>
      </w:r>
      <w:r w:rsidR="00A714E3">
        <w:rPr>
          <w:b/>
          <w:bCs/>
          <w:lang w:val="en-GB"/>
        </w:rPr>
        <w:t>8</w:t>
      </w:r>
      <w:r w:rsidR="00A714E3" w:rsidRPr="00A714E3">
        <w:rPr>
          <w:b/>
          <w:bCs/>
          <w:lang w:val="en-GB"/>
        </w:rPr>
        <w:t xml:space="preserve"> Panels A-C</w:t>
      </w:r>
      <w:r w:rsidR="004C1B26" w:rsidRPr="00B14A85">
        <w:rPr>
          <w:lang w:val="en-GB"/>
        </w:rPr>
        <w:t xml:space="preserve">, since outliers (with large investment) appear to </w:t>
      </w:r>
      <w:r w:rsidR="004C1B26" w:rsidRPr="00B14A85">
        <w:rPr>
          <w:lang w:val="en-GB"/>
        </w:rPr>
        <w:lastRenderedPageBreak/>
        <w:t>contribute greatly to line fitting.</w:t>
      </w:r>
      <w:r w:rsidRPr="00B14A85">
        <w:rPr>
          <w:lang w:val="en-GB"/>
        </w:rPr>
        <w:t xml:space="preserve"> Once zoomed in (</w:t>
      </w:r>
      <w:r w:rsidRPr="00A714E3">
        <w:rPr>
          <w:b/>
          <w:bCs/>
          <w:lang w:val="en-GB"/>
        </w:rPr>
        <w:t>Panel D</w:t>
      </w:r>
      <w:r w:rsidRPr="00B14A85">
        <w:rPr>
          <w:lang w:val="en-GB"/>
        </w:rPr>
        <w:t>)</w:t>
      </w:r>
      <w:r w:rsidR="000C76E1" w:rsidRPr="00B14A85">
        <w:rPr>
          <w:lang w:val="en-GB"/>
        </w:rPr>
        <w:t xml:space="preserve"> </w:t>
      </w:r>
      <w:r w:rsidR="008E4C43" w:rsidRPr="00B14A85">
        <w:rPr>
          <w:lang w:val="en-GB"/>
        </w:rPr>
        <w:t xml:space="preserve">there appears to be some linear </w:t>
      </w:r>
      <w:r w:rsidR="000C76E1" w:rsidRPr="00B14A85">
        <w:rPr>
          <w:lang w:val="en-GB"/>
        </w:rPr>
        <w:t>relationship</w:t>
      </w:r>
      <w:r w:rsidR="008E4C43" w:rsidRPr="00B14A85">
        <w:rPr>
          <w:lang w:val="en-GB"/>
        </w:rPr>
        <w:t xml:space="preserve"> such that after around $450 PPP of government health financing until around $2000 PPP </w:t>
      </w:r>
      <w:r w:rsidR="000C76E1" w:rsidRPr="00B14A85">
        <w:rPr>
          <w:lang w:val="en-GB"/>
        </w:rPr>
        <w:t xml:space="preserve">pandemic immunisation performance improves with increasing investment. Below $450 PPP investment the trend is either minimal or worsening, and after $2000 PPP, </w:t>
      </w:r>
      <w:r w:rsidR="00C96487" w:rsidRPr="00B14A85">
        <w:rPr>
          <w:lang w:val="en-GB"/>
        </w:rPr>
        <w:t xml:space="preserve">the relationship plateaus with further increases in government health expenditure </w:t>
      </w:r>
      <w:r w:rsidR="001726C3" w:rsidRPr="00B14A85">
        <w:rPr>
          <w:lang w:val="en-GB"/>
        </w:rPr>
        <w:t xml:space="preserve">being associated with minimal changes in DTP3 coverage deltas. </w:t>
      </w:r>
    </w:p>
    <w:p w14:paraId="47569686" w14:textId="42763DDD" w:rsidR="00F86064" w:rsidRPr="00B14A85" w:rsidRDefault="00E406D2" w:rsidP="00946E97">
      <w:pPr>
        <w:spacing w:line="240" w:lineRule="auto"/>
        <w:rPr>
          <w:u w:val="single"/>
          <w:lang w:val="en-GB"/>
        </w:rPr>
      </w:pPr>
      <w:r w:rsidRPr="00B14A85">
        <w:rPr>
          <w:noProof/>
          <w:lang w:val="en-GB"/>
        </w:rPr>
        <w:drawing>
          <wp:inline distT="0" distB="0" distL="0" distR="0" wp14:anchorId="792FE191" wp14:editId="192DE62D">
            <wp:extent cx="5943600" cy="4356100"/>
            <wp:effectExtent l="0" t="0" r="0" b="6350"/>
            <wp:docPr id="10305838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356100"/>
                    </a:xfrm>
                    <a:prstGeom prst="rect">
                      <a:avLst/>
                    </a:prstGeom>
                    <a:noFill/>
                    <a:ln>
                      <a:noFill/>
                    </a:ln>
                  </pic:spPr>
                </pic:pic>
              </a:graphicData>
            </a:graphic>
          </wp:inline>
        </w:drawing>
      </w:r>
    </w:p>
    <w:p w14:paraId="29D2CC3E" w14:textId="3E9FA75E" w:rsidR="00F86064" w:rsidRPr="00B14A85" w:rsidRDefault="00F86064" w:rsidP="00236CE5">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50695A" w:rsidRPr="00B14A85">
        <w:rPr>
          <w:b/>
          <w:bCs/>
          <w:color w:val="808080" w:themeColor="background1" w:themeShade="80"/>
          <w:sz w:val="18"/>
          <w:szCs w:val="18"/>
          <w:lang w:val="en-GB"/>
        </w:rPr>
        <w:t>2</w:t>
      </w:r>
      <w:r w:rsidR="00A714E3">
        <w:rPr>
          <w:b/>
          <w:bCs/>
          <w:color w:val="808080" w:themeColor="background1" w:themeShade="80"/>
          <w:sz w:val="18"/>
          <w:szCs w:val="18"/>
          <w:lang w:val="en-GB"/>
        </w:rPr>
        <w:t>8</w:t>
      </w:r>
      <w:r w:rsidRPr="00B14A85">
        <w:rPr>
          <w:color w:val="808080" w:themeColor="background1" w:themeShade="80"/>
          <w:sz w:val="18"/>
          <w:szCs w:val="18"/>
          <w:lang w:val="en-GB"/>
        </w:rPr>
        <w:t xml:space="preserve"> Univariate analysis of coverage deltas (y-axis) against government health financing, as quantified by mean government health expenditure 2015-2019 weighted </w:t>
      </w:r>
      <w:r w:rsidR="00236CE5" w:rsidRPr="00B14A85">
        <w:rPr>
          <w:color w:val="808080" w:themeColor="background1" w:themeShade="80"/>
          <w:sz w:val="18"/>
          <w:szCs w:val="18"/>
          <w:lang w:val="en-GB"/>
        </w:rPr>
        <w:t xml:space="preserve">by Purchasing Power Parity </w:t>
      </w:r>
      <w:r w:rsidR="00C96487" w:rsidRPr="00B14A85">
        <w:rPr>
          <w:color w:val="808080" w:themeColor="background1" w:themeShade="80"/>
          <w:sz w:val="18"/>
          <w:szCs w:val="18"/>
          <w:lang w:val="en-GB"/>
        </w:rPr>
        <w:t xml:space="preserve">per capita </w:t>
      </w:r>
      <w:r w:rsidRPr="00B14A85">
        <w:rPr>
          <w:noProof/>
          <w:color w:val="808080" w:themeColor="background1" w:themeShade="80"/>
          <w:sz w:val="18"/>
          <w:szCs w:val="18"/>
          <w:lang w:val="en-GB"/>
        </w:rPr>
        <w:t>(x-axis). Each dot represents a country-year datapoint, e.g., Senegal in 2021. For Panels A</w:t>
      </w:r>
      <w:r w:rsidR="00E406D2" w:rsidRPr="00B14A85">
        <w:rPr>
          <w:noProof/>
          <w:color w:val="808080" w:themeColor="background1" w:themeShade="80"/>
          <w:sz w:val="18"/>
          <w:szCs w:val="18"/>
          <w:lang w:val="en-GB"/>
        </w:rPr>
        <w:t xml:space="preserve">, </w:t>
      </w:r>
      <w:r w:rsidRPr="00B14A85">
        <w:rPr>
          <w:noProof/>
          <w:color w:val="808080" w:themeColor="background1" w:themeShade="80"/>
          <w:sz w:val="18"/>
          <w:szCs w:val="18"/>
          <w:lang w:val="en-GB"/>
        </w:rPr>
        <w:t xml:space="preserve">B, </w:t>
      </w:r>
      <w:r w:rsidR="00E406D2" w:rsidRPr="00B14A85">
        <w:rPr>
          <w:noProof/>
          <w:color w:val="808080" w:themeColor="background1" w:themeShade="80"/>
          <w:sz w:val="18"/>
          <w:szCs w:val="18"/>
          <w:lang w:val="en-GB"/>
        </w:rPr>
        <w:t xml:space="preserve">and D </w:t>
      </w:r>
      <w:r w:rsidRPr="00B14A85">
        <w:rPr>
          <w:noProof/>
          <w:color w:val="808080" w:themeColor="background1" w:themeShade="80"/>
          <w:sz w:val="18"/>
          <w:szCs w:val="18"/>
          <w:lang w:val="en-GB"/>
        </w:rPr>
        <w:t xml:space="preserve">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w:t>
      </w:r>
      <w:r w:rsidR="00E406D2" w:rsidRPr="00B14A85">
        <w:rPr>
          <w:noProof/>
          <w:color w:val="808080" w:themeColor="background1" w:themeShade="80"/>
          <w:sz w:val="18"/>
          <w:szCs w:val="18"/>
          <w:lang w:val="en-GB"/>
        </w:rPr>
        <w:t>; and Panel D is a zoomed in version of Panel B</w:t>
      </w:r>
      <w:r w:rsidR="000E1550" w:rsidRPr="00B14A85">
        <w:rPr>
          <w:noProof/>
          <w:color w:val="808080" w:themeColor="background1" w:themeShade="80"/>
          <w:sz w:val="18"/>
          <w:szCs w:val="18"/>
          <w:lang w:val="en-GB"/>
        </w:rPr>
        <w:t xml:space="preserve"> given the long tail in health financing range to allow easier identificaiton of trends</w:t>
      </w:r>
      <w:r w:rsidRPr="00B14A85">
        <w:rPr>
          <w:noProof/>
          <w:color w:val="808080" w:themeColor="background1" w:themeShade="80"/>
          <w:sz w:val="18"/>
          <w:szCs w:val="18"/>
          <w:lang w:val="en-GB"/>
        </w:rPr>
        <w:t xml:space="preserve">.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7287CC63" w14:textId="49395628" w:rsidR="00F86064" w:rsidRPr="00B14A85" w:rsidRDefault="00F86064" w:rsidP="00946E97">
      <w:pPr>
        <w:spacing w:line="240" w:lineRule="auto"/>
        <w:rPr>
          <w:u w:val="single"/>
          <w:lang w:val="en-GB"/>
        </w:rPr>
      </w:pPr>
      <w:r w:rsidRPr="00B14A85">
        <w:rPr>
          <w:u w:val="single"/>
          <w:lang w:val="en-GB"/>
        </w:rPr>
        <w:t>Health financing: private</w:t>
      </w:r>
    </w:p>
    <w:p w14:paraId="6A4DF115" w14:textId="7E995E83" w:rsidR="00A90FC4" w:rsidRPr="00B14A85" w:rsidRDefault="00A90FC4" w:rsidP="00A90FC4">
      <w:pPr>
        <w:spacing w:line="240" w:lineRule="auto"/>
        <w:rPr>
          <w:lang w:val="en-GB"/>
        </w:rPr>
      </w:pPr>
      <w:r w:rsidRPr="00B14A85">
        <w:rPr>
          <w:lang w:val="en-GB"/>
        </w:rPr>
        <w:t>The relationship between private health financing expenditure and DTP3 coverage deltas is difficult to see across all data points</w:t>
      </w:r>
      <w:r w:rsidR="004C1B26" w:rsidRPr="00B14A85">
        <w:rPr>
          <w:lang w:val="en-GB"/>
        </w:rPr>
        <w:t>, since outliers (with large investment) appear to contribute greatly to line fitting</w:t>
      </w:r>
      <w:r w:rsidR="00A714E3">
        <w:rPr>
          <w:lang w:val="en-GB"/>
        </w:rPr>
        <w:t xml:space="preserve"> – </w:t>
      </w:r>
      <w:r w:rsidR="00A714E3" w:rsidRPr="00A714E3">
        <w:rPr>
          <w:b/>
          <w:bCs/>
          <w:lang w:val="en-GB"/>
        </w:rPr>
        <w:t>Figure 29 Panels A-C</w:t>
      </w:r>
      <w:r w:rsidRPr="00B14A85">
        <w:rPr>
          <w:lang w:val="en-GB"/>
        </w:rPr>
        <w:t xml:space="preserve">. Across all data points </w:t>
      </w:r>
      <w:r w:rsidR="008128E3" w:rsidRPr="00B14A85">
        <w:rPr>
          <w:lang w:val="en-GB"/>
        </w:rPr>
        <w:t>there appears to be a parabolic relationship below $1000 PPP expenditure, with a turning point around $450 PPP. However, o</w:t>
      </w:r>
      <w:r w:rsidRPr="00B14A85">
        <w:rPr>
          <w:lang w:val="en-GB"/>
        </w:rPr>
        <w:t>nce zoomed in (</w:t>
      </w:r>
      <w:r w:rsidRPr="00A714E3">
        <w:rPr>
          <w:b/>
          <w:bCs/>
          <w:lang w:val="en-GB"/>
        </w:rPr>
        <w:t>Panel D</w:t>
      </w:r>
      <w:r w:rsidRPr="00B14A85">
        <w:rPr>
          <w:lang w:val="en-GB"/>
        </w:rPr>
        <w:t>) t</w:t>
      </w:r>
      <w:r w:rsidR="008128E3" w:rsidRPr="00B14A85">
        <w:rPr>
          <w:lang w:val="en-GB"/>
        </w:rPr>
        <w:t xml:space="preserve">he relationship </w:t>
      </w:r>
      <w:r w:rsidR="00CA6A54" w:rsidRPr="00B14A85">
        <w:rPr>
          <w:lang w:val="en-GB"/>
        </w:rPr>
        <w:t>appears</w:t>
      </w:r>
      <w:r w:rsidR="008128E3" w:rsidRPr="00B14A85">
        <w:rPr>
          <w:lang w:val="en-GB"/>
        </w:rPr>
        <w:t xml:space="preserve"> more flatlined </w:t>
      </w:r>
      <w:r w:rsidR="00CA6A54" w:rsidRPr="00B14A85">
        <w:rPr>
          <w:lang w:val="en-GB"/>
        </w:rPr>
        <w:t xml:space="preserve">below $450 PPP </w:t>
      </w:r>
      <w:r w:rsidR="001D5DA7" w:rsidRPr="00B14A85">
        <w:rPr>
          <w:lang w:val="en-GB"/>
        </w:rPr>
        <w:t xml:space="preserve">investment and from </w:t>
      </w:r>
      <w:r w:rsidR="001D5DA7" w:rsidRPr="00B14A85">
        <w:rPr>
          <w:lang w:val="en-GB"/>
        </w:rPr>
        <w:lastRenderedPageBreak/>
        <w:t xml:space="preserve">$450 to $1500 PPP private health expenditure it appears that pandemic immunisation performance improves with increasing private health care spend. </w:t>
      </w:r>
      <w:r w:rsidR="008128E3" w:rsidRPr="00B14A85">
        <w:rPr>
          <w:lang w:val="en-GB"/>
        </w:rPr>
        <w:t xml:space="preserve"> </w:t>
      </w:r>
    </w:p>
    <w:p w14:paraId="13F08E81" w14:textId="60BFF49B" w:rsidR="00236CE5" w:rsidRPr="00B14A85" w:rsidRDefault="00CA6A54" w:rsidP="00946E97">
      <w:pPr>
        <w:spacing w:line="240" w:lineRule="auto"/>
        <w:rPr>
          <w:u w:val="single"/>
          <w:lang w:val="en-GB"/>
        </w:rPr>
      </w:pPr>
      <w:r w:rsidRPr="00B14A85">
        <w:rPr>
          <w:noProof/>
          <w:lang w:val="en-GB"/>
        </w:rPr>
        <w:drawing>
          <wp:inline distT="0" distB="0" distL="0" distR="0" wp14:anchorId="594E2C3E" wp14:editId="111E22C1">
            <wp:extent cx="5937250" cy="4352290"/>
            <wp:effectExtent l="0" t="0" r="6350" b="0"/>
            <wp:docPr id="7254104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4352290"/>
                    </a:xfrm>
                    <a:prstGeom prst="rect">
                      <a:avLst/>
                    </a:prstGeom>
                    <a:noFill/>
                    <a:ln>
                      <a:noFill/>
                    </a:ln>
                  </pic:spPr>
                </pic:pic>
              </a:graphicData>
            </a:graphic>
          </wp:inline>
        </w:drawing>
      </w:r>
    </w:p>
    <w:p w14:paraId="68F0094B" w14:textId="6D0C2167" w:rsidR="00236CE5" w:rsidRPr="00B14A85" w:rsidRDefault="00236CE5" w:rsidP="00236CE5">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A714E3">
        <w:rPr>
          <w:b/>
          <w:bCs/>
          <w:color w:val="808080" w:themeColor="background1" w:themeShade="80"/>
          <w:sz w:val="18"/>
          <w:szCs w:val="18"/>
          <w:lang w:val="en-GB"/>
        </w:rPr>
        <w:t>29</w:t>
      </w:r>
      <w:r w:rsidRPr="00B14A85">
        <w:rPr>
          <w:color w:val="808080" w:themeColor="background1" w:themeShade="80"/>
          <w:sz w:val="18"/>
          <w:szCs w:val="18"/>
          <w:lang w:val="en-GB"/>
        </w:rPr>
        <w:t xml:space="preserve"> Univariate analysis of coverage deltas (y-axis) against private health financing, as quantified by mean private health expenditure 2015-2019 weighted by Purchasing Power Parity</w:t>
      </w:r>
      <w:r w:rsidR="00C96487" w:rsidRPr="00B14A85">
        <w:rPr>
          <w:color w:val="808080" w:themeColor="background1" w:themeShade="80"/>
          <w:sz w:val="18"/>
          <w:szCs w:val="18"/>
          <w:lang w:val="en-GB"/>
        </w:rPr>
        <w:t xml:space="preserve"> per capita</w:t>
      </w:r>
      <w:r w:rsidRPr="00B14A85">
        <w:rPr>
          <w:color w:val="808080" w:themeColor="background1" w:themeShade="80"/>
          <w:sz w:val="18"/>
          <w:szCs w:val="18"/>
          <w:lang w:val="en-GB"/>
        </w:rPr>
        <w:t xml:space="preserve"> </w:t>
      </w:r>
      <w:r w:rsidRPr="00B14A85">
        <w:rPr>
          <w:noProof/>
          <w:color w:val="808080" w:themeColor="background1" w:themeShade="80"/>
          <w:sz w:val="18"/>
          <w:szCs w:val="18"/>
          <w:lang w:val="en-GB"/>
        </w:rPr>
        <w:t xml:space="preserve">(x-axis). Each dot represents a country-year datapoint, e.g., Senegal in 2021. </w:t>
      </w:r>
      <w:r w:rsidR="008A2664" w:rsidRPr="00B14A85">
        <w:rPr>
          <w:noProof/>
          <w:color w:val="808080" w:themeColor="background1" w:themeShade="80"/>
          <w:sz w:val="18"/>
          <w:szCs w:val="18"/>
          <w:lang w:val="en-GB"/>
        </w:rPr>
        <w:t xml:space="preserve">For Panels A, B, and D dot colour indicates year of the pandemic – red for 2020, green for 2021, and yellow for 2022. Panel A (Per year) shows three lines of best fit for each year of the pandemic; Panel B (Combined) fits a single line of best fit for all years of data; Panel C (Cumulative) plots total coverage deltas (the sum of each year); and Panel D is a zoomed in version of Panel B given the long tail in health financing range to allow easier identificaiton of trends. </w:t>
      </w:r>
      <w:r w:rsidRPr="00B14A85">
        <w:rPr>
          <w:noProof/>
          <w:color w:val="808080" w:themeColor="background1" w:themeShade="80"/>
          <w:sz w:val="18"/>
          <w:szCs w:val="18"/>
          <w:lang w:val="en-GB"/>
        </w:rPr>
        <w:t xml:space="preserve">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39A5AAC3" w14:textId="5D3C2DFF" w:rsidR="00F86064" w:rsidRPr="00B14A85" w:rsidRDefault="00F86064" w:rsidP="00946E97">
      <w:pPr>
        <w:spacing w:line="240" w:lineRule="auto"/>
        <w:rPr>
          <w:u w:val="single"/>
          <w:lang w:val="en-GB"/>
        </w:rPr>
      </w:pPr>
      <w:r w:rsidRPr="00B14A85">
        <w:rPr>
          <w:u w:val="single"/>
          <w:lang w:val="en-GB"/>
        </w:rPr>
        <w:t xml:space="preserve">Health financing: </w:t>
      </w:r>
      <w:r w:rsidR="001726C3" w:rsidRPr="00B14A85">
        <w:rPr>
          <w:u w:val="single"/>
          <w:lang w:val="en-GB"/>
        </w:rPr>
        <w:t>external</w:t>
      </w:r>
    </w:p>
    <w:p w14:paraId="56ADA67B" w14:textId="0C44819B" w:rsidR="004C1B26" w:rsidRPr="00B14A85" w:rsidRDefault="004C1B26" w:rsidP="004C1B26">
      <w:pPr>
        <w:spacing w:line="240" w:lineRule="auto"/>
        <w:rPr>
          <w:lang w:val="en-GB"/>
        </w:rPr>
      </w:pPr>
      <w:r w:rsidRPr="00B14A85">
        <w:rPr>
          <w:lang w:val="en-GB"/>
        </w:rPr>
        <w:t>Once again, the relationship between external health financing expenditure and DTP3 coverage deltas is difficult to see across all data points, since outliers (with large investment) appear to contribute greatly to line fitting</w:t>
      </w:r>
      <w:r w:rsidR="00A714E3">
        <w:rPr>
          <w:lang w:val="en-GB"/>
        </w:rPr>
        <w:t xml:space="preserve"> – </w:t>
      </w:r>
      <w:r w:rsidR="00A714E3">
        <w:rPr>
          <w:b/>
          <w:bCs/>
          <w:lang w:val="en-GB"/>
        </w:rPr>
        <w:t>Figure 30 Panels A-C</w:t>
      </w:r>
      <w:r w:rsidRPr="00B14A85">
        <w:rPr>
          <w:lang w:val="en-GB"/>
        </w:rPr>
        <w:t>. Once zoomed in (</w:t>
      </w:r>
      <w:r w:rsidRPr="00A714E3">
        <w:rPr>
          <w:b/>
          <w:bCs/>
          <w:lang w:val="en-GB"/>
        </w:rPr>
        <w:t>Panel D</w:t>
      </w:r>
      <w:r w:rsidRPr="00B14A85">
        <w:rPr>
          <w:lang w:val="en-GB"/>
        </w:rPr>
        <w:t xml:space="preserve">) the relationship appears </w:t>
      </w:r>
      <w:r w:rsidR="00E85D75" w:rsidRPr="00B14A85">
        <w:rPr>
          <w:lang w:val="en-GB"/>
        </w:rPr>
        <w:t>relatively horizontal, with minimal trend apparent.</w:t>
      </w:r>
      <w:r w:rsidRPr="00B14A85">
        <w:rPr>
          <w:lang w:val="en-GB"/>
        </w:rPr>
        <w:t xml:space="preserve">  </w:t>
      </w:r>
    </w:p>
    <w:p w14:paraId="7D69F679" w14:textId="5ED8A788" w:rsidR="001726C3" w:rsidRPr="00B14A85" w:rsidRDefault="001726C3" w:rsidP="001726C3">
      <w:pPr>
        <w:spacing w:line="240" w:lineRule="auto"/>
        <w:rPr>
          <w:lang w:val="en-GB"/>
        </w:rPr>
      </w:pPr>
    </w:p>
    <w:p w14:paraId="74345F31" w14:textId="68E1CB82" w:rsidR="00946E97" w:rsidRPr="00B14A85" w:rsidRDefault="00946E97" w:rsidP="00946E97">
      <w:pPr>
        <w:spacing w:line="240" w:lineRule="auto"/>
        <w:rPr>
          <w:lang w:val="en-GB"/>
        </w:rPr>
      </w:pPr>
    </w:p>
    <w:p w14:paraId="3BDA0888" w14:textId="77777777" w:rsidR="00946E97" w:rsidRPr="00B14A85" w:rsidRDefault="00946E97" w:rsidP="00946E97">
      <w:pPr>
        <w:spacing w:line="240" w:lineRule="auto"/>
        <w:rPr>
          <w:lang w:val="en-GB"/>
        </w:rPr>
      </w:pPr>
    </w:p>
    <w:p w14:paraId="36861BFA" w14:textId="51A082A2" w:rsidR="00946E97" w:rsidRPr="00B14A85" w:rsidRDefault="004C1B26" w:rsidP="00946E97">
      <w:pPr>
        <w:spacing w:line="240" w:lineRule="auto"/>
        <w:rPr>
          <w:lang w:val="en-GB"/>
        </w:rPr>
      </w:pPr>
      <w:r w:rsidRPr="00B14A85">
        <w:rPr>
          <w:noProof/>
          <w:lang w:val="en-GB"/>
        </w:rPr>
        <w:lastRenderedPageBreak/>
        <w:drawing>
          <wp:inline distT="0" distB="0" distL="0" distR="0" wp14:anchorId="665D8EEA" wp14:editId="3F6D3831">
            <wp:extent cx="5937250" cy="4352290"/>
            <wp:effectExtent l="0" t="0" r="6350" b="0"/>
            <wp:docPr id="1608298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4352290"/>
                    </a:xfrm>
                    <a:prstGeom prst="rect">
                      <a:avLst/>
                    </a:prstGeom>
                    <a:noFill/>
                    <a:ln>
                      <a:noFill/>
                    </a:ln>
                  </pic:spPr>
                </pic:pic>
              </a:graphicData>
            </a:graphic>
          </wp:inline>
        </w:drawing>
      </w:r>
    </w:p>
    <w:p w14:paraId="0B3F9448" w14:textId="441F3EA8" w:rsidR="00236CE5" w:rsidRPr="00B14A85" w:rsidRDefault="00236CE5" w:rsidP="00236CE5">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A714E3">
        <w:rPr>
          <w:b/>
          <w:bCs/>
          <w:color w:val="808080" w:themeColor="background1" w:themeShade="80"/>
          <w:sz w:val="18"/>
          <w:szCs w:val="18"/>
          <w:lang w:val="en-GB"/>
        </w:rPr>
        <w:t>30</w:t>
      </w:r>
      <w:r w:rsidRPr="00B14A85">
        <w:rPr>
          <w:color w:val="808080" w:themeColor="background1" w:themeShade="80"/>
          <w:sz w:val="18"/>
          <w:szCs w:val="18"/>
          <w:lang w:val="en-GB"/>
        </w:rPr>
        <w:t xml:space="preserve"> Univariate analysis of coverage deltas (y-axis) against external (e.g., donor) health financing, as quantified by mean external health expenditure 2015-2019 weighted by Purchasing Power Parity</w:t>
      </w:r>
      <w:r w:rsidR="00C96487" w:rsidRPr="00B14A85">
        <w:rPr>
          <w:color w:val="808080" w:themeColor="background1" w:themeShade="80"/>
          <w:sz w:val="18"/>
          <w:szCs w:val="18"/>
          <w:lang w:val="en-GB"/>
        </w:rPr>
        <w:t xml:space="preserve"> per capita</w:t>
      </w:r>
      <w:r w:rsidRPr="00B14A85">
        <w:rPr>
          <w:color w:val="808080" w:themeColor="background1" w:themeShade="80"/>
          <w:sz w:val="18"/>
          <w:szCs w:val="18"/>
          <w:lang w:val="en-GB"/>
        </w:rPr>
        <w:t xml:space="preserve"> </w:t>
      </w:r>
      <w:r w:rsidRPr="00B14A85">
        <w:rPr>
          <w:noProof/>
          <w:color w:val="808080" w:themeColor="background1" w:themeShade="80"/>
          <w:sz w:val="18"/>
          <w:szCs w:val="18"/>
          <w:lang w:val="en-GB"/>
        </w:rPr>
        <w:t xml:space="preserve">(x-axis). Each dot represents a country-year datapoint, e.g., Senegal in 2021. </w:t>
      </w:r>
      <w:r w:rsidR="008A2664" w:rsidRPr="00B14A85">
        <w:rPr>
          <w:noProof/>
          <w:color w:val="808080" w:themeColor="background1" w:themeShade="80"/>
          <w:sz w:val="18"/>
          <w:szCs w:val="18"/>
          <w:lang w:val="en-GB"/>
        </w:rPr>
        <w:t xml:space="preserve">For Panels A, B, and D dot colour indicates year of the pandemic – red for 2020, green for 2021, and yellow for 2022. Panel A (Per year) shows three lines of best fit for each year of the pandemic; Panel B (Combined) fits a single line of best fit for all years of data; Panel C (Cumulative) plots total coverage deltas (the sum of each year); and Panel D is a zoomed in version of Panel B given the long tail in health financing range to allow easier identificaiton of trends. </w:t>
      </w:r>
      <w:r w:rsidRPr="00B14A85">
        <w:rPr>
          <w:noProof/>
          <w:color w:val="808080" w:themeColor="background1" w:themeShade="80"/>
          <w:sz w:val="18"/>
          <w:szCs w:val="18"/>
          <w:lang w:val="en-GB"/>
        </w:rPr>
        <w:t xml:space="preserve">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3B1D6687" w14:textId="23FA1A68" w:rsidR="00D42191" w:rsidRPr="00B14A85" w:rsidRDefault="00900746">
      <w:pPr>
        <w:rPr>
          <w:noProof/>
          <w:u w:val="single"/>
          <w:lang w:val="en-GB"/>
        </w:rPr>
      </w:pPr>
      <w:r w:rsidRPr="00B14A85">
        <w:rPr>
          <w:noProof/>
          <w:u w:val="single"/>
          <w:lang w:val="en-GB"/>
        </w:rPr>
        <w:t>Country wealth</w:t>
      </w:r>
    </w:p>
    <w:p w14:paraId="2C97F1BF" w14:textId="4329812F" w:rsidR="00900746" w:rsidRPr="00B14A85" w:rsidRDefault="00900746" w:rsidP="00900746">
      <w:pPr>
        <w:spacing w:line="240" w:lineRule="auto"/>
        <w:rPr>
          <w:noProof/>
          <w:lang w:val="en-GB"/>
        </w:rPr>
      </w:pPr>
      <w:r w:rsidRPr="00B14A85">
        <w:rPr>
          <w:noProof/>
          <w:lang w:val="en-GB"/>
        </w:rPr>
        <w:t>Univariate analysis shows a roughly linear relationship between GDP and DTP3 coverage performance after approximately 15,000 $ PPP GDP per capita with increased GDP being associated with better vaccination maintenance during the pandemic</w:t>
      </w:r>
      <w:r w:rsidR="00A714E3">
        <w:rPr>
          <w:noProof/>
          <w:lang w:val="en-GB"/>
        </w:rPr>
        <w:t xml:space="preserve"> – </w:t>
      </w:r>
      <w:r w:rsidR="00A714E3" w:rsidRPr="00A714E3">
        <w:rPr>
          <w:b/>
          <w:bCs/>
          <w:noProof/>
          <w:lang w:val="en-GB"/>
        </w:rPr>
        <w:t>Figure 31</w:t>
      </w:r>
      <w:r w:rsidRPr="00B14A85">
        <w:rPr>
          <w:noProof/>
          <w:lang w:val="en-GB"/>
        </w:rPr>
        <w:t xml:space="preserve">. Below this threshold </w:t>
      </w:r>
      <w:r w:rsidR="00707315" w:rsidRPr="00B14A85">
        <w:rPr>
          <w:noProof/>
          <w:lang w:val="en-GB"/>
        </w:rPr>
        <w:t xml:space="preserve">RI </w:t>
      </w:r>
      <w:r w:rsidRPr="00B14A85">
        <w:rPr>
          <w:noProof/>
          <w:lang w:val="en-GB"/>
        </w:rPr>
        <w:t xml:space="preserve">performance either </w:t>
      </w:r>
      <w:r w:rsidR="00707315" w:rsidRPr="00B14A85">
        <w:rPr>
          <w:noProof/>
          <w:lang w:val="en-GB"/>
        </w:rPr>
        <w:t xml:space="preserve">slightly </w:t>
      </w:r>
      <w:r w:rsidRPr="00B14A85">
        <w:rPr>
          <w:noProof/>
          <w:lang w:val="en-GB"/>
        </w:rPr>
        <w:t xml:space="preserve">worsens with increasing GDP or appears </w:t>
      </w:r>
      <w:r w:rsidR="00707315" w:rsidRPr="00B14A85">
        <w:rPr>
          <w:noProof/>
          <w:lang w:val="en-GB"/>
        </w:rPr>
        <w:t>relatively flat</w:t>
      </w:r>
      <w:r w:rsidRPr="00B14A85">
        <w:rPr>
          <w:noProof/>
          <w:lang w:val="en-GB"/>
        </w:rPr>
        <w:t xml:space="preserve">. </w:t>
      </w:r>
    </w:p>
    <w:p w14:paraId="72C938E1" w14:textId="542F2D77" w:rsidR="00900746" w:rsidRPr="00B14A85" w:rsidRDefault="00730828">
      <w:pPr>
        <w:rPr>
          <w:noProof/>
          <w:lang w:val="en-GB"/>
        </w:rPr>
      </w:pPr>
      <w:r w:rsidRPr="00B14A85">
        <w:rPr>
          <w:noProof/>
          <w:lang w:val="en-GB"/>
        </w:rPr>
        <w:lastRenderedPageBreak/>
        <w:drawing>
          <wp:inline distT="0" distB="0" distL="0" distR="0" wp14:anchorId="788ADB5D" wp14:editId="30F02059">
            <wp:extent cx="5937250" cy="1981200"/>
            <wp:effectExtent l="0" t="0" r="6350" b="0"/>
            <wp:docPr id="14960789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p>
    <w:p w14:paraId="21B51FBF" w14:textId="3A923E6D" w:rsidR="00D03B33" w:rsidRPr="00B14A85" w:rsidRDefault="00D03B33" w:rsidP="00D03B33">
      <w:pPr>
        <w:spacing w:line="240" w:lineRule="auto"/>
        <w:ind w:left="360"/>
        <w:rPr>
          <w:noProof/>
          <w:color w:val="808080" w:themeColor="background1" w:themeShade="80"/>
          <w:sz w:val="18"/>
          <w:szCs w:val="18"/>
          <w:lang w:val="en-GB"/>
        </w:rPr>
      </w:pPr>
      <w:r w:rsidRPr="00B14A85">
        <w:rPr>
          <w:b/>
          <w:bCs/>
          <w:color w:val="808080" w:themeColor="background1" w:themeShade="80"/>
          <w:sz w:val="18"/>
          <w:szCs w:val="18"/>
          <w:lang w:val="en-GB"/>
        </w:rPr>
        <w:t xml:space="preserve">Figure </w:t>
      </w:r>
      <w:r w:rsidR="00A714E3">
        <w:rPr>
          <w:b/>
          <w:bCs/>
          <w:color w:val="808080" w:themeColor="background1" w:themeShade="80"/>
          <w:sz w:val="18"/>
          <w:szCs w:val="18"/>
          <w:lang w:val="en-GB"/>
        </w:rPr>
        <w:t>31</w:t>
      </w:r>
      <w:r w:rsidRPr="00B14A85">
        <w:rPr>
          <w:color w:val="808080" w:themeColor="background1" w:themeShade="80"/>
          <w:sz w:val="18"/>
          <w:szCs w:val="18"/>
          <w:lang w:val="en-GB"/>
        </w:rPr>
        <w:t xml:space="preserve"> Univariate analysis of coverage deltas (y-axis) against country wealth, as quantified by mean pre-pandemic Gross Domestic Product from 2015-2019 weighted by Purchasing Power Parity per capita </w:t>
      </w:r>
      <w:r w:rsidRPr="00B14A85">
        <w:rPr>
          <w:noProof/>
          <w:color w:val="808080" w:themeColor="background1" w:themeShade="80"/>
          <w:sz w:val="18"/>
          <w:szCs w:val="18"/>
          <w:lang w:val="en-GB"/>
        </w:rPr>
        <w:t xml:space="preserve">(x-axis). Each dot represents a country-year datapoint, e.g., Senegal in 2021. For Panels A and B, dot colour indicates year of the pandemic – red for 2020, green for 2021, and yellow for 2022. </w:t>
      </w:r>
      <w:r w:rsidR="0076632F" w:rsidRPr="00B14A85">
        <w:rPr>
          <w:noProof/>
          <w:color w:val="808080" w:themeColor="background1" w:themeShade="80"/>
          <w:sz w:val="18"/>
          <w:szCs w:val="18"/>
          <w:lang w:val="en-GB"/>
        </w:rPr>
        <w:t>Panel A</w:t>
      </w:r>
      <w:r w:rsidRPr="00B14A85">
        <w:rPr>
          <w:noProof/>
          <w:color w:val="808080" w:themeColor="background1" w:themeShade="80"/>
          <w:sz w:val="18"/>
          <w:szCs w:val="18"/>
          <w:lang w:val="en-GB"/>
        </w:rPr>
        <w:t xml:space="preserve"> (Per year) shows three lines of best fit for each year of the pandemic; </w:t>
      </w:r>
      <w:r w:rsidR="0076632F" w:rsidRPr="00B14A85">
        <w:rPr>
          <w:noProof/>
          <w:color w:val="808080" w:themeColor="background1" w:themeShade="80"/>
          <w:sz w:val="18"/>
          <w:szCs w:val="18"/>
          <w:lang w:val="en-GB"/>
        </w:rPr>
        <w:t>Panel B</w:t>
      </w:r>
      <w:r w:rsidRPr="00B14A85">
        <w:rPr>
          <w:noProof/>
          <w:color w:val="808080" w:themeColor="background1" w:themeShade="80"/>
          <w:sz w:val="18"/>
          <w:szCs w:val="18"/>
          <w:lang w:val="en-GB"/>
        </w:rPr>
        <w:t xml:space="preserve"> (Combined) fits a single line of best fit for all years of data; and </w:t>
      </w:r>
      <w:r w:rsidR="0076632F" w:rsidRPr="00B14A85">
        <w:rPr>
          <w:noProof/>
          <w:color w:val="808080" w:themeColor="background1" w:themeShade="80"/>
          <w:sz w:val="18"/>
          <w:szCs w:val="18"/>
          <w:lang w:val="en-GB"/>
        </w:rPr>
        <w:t>Panel C</w:t>
      </w:r>
      <w:r w:rsidRPr="00B14A85">
        <w:rPr>
          <w:noProof/>
          <w:color w:val="808080" w:themeColor="background1" w:themeShade="80"/>
          <w:sz w:val="18"/>
          <w:szCs w:val="18"/>
          <w:lang w:val="en-GB"/>
        </w:rPr>
        <w:t xml:space="preserve"> (Cumulative) plots total coverage deltas (the sum of each year). All fitted lines in the figure represent </w:t>
      </w:r>
      <w:r w:rsidR="001E3BE2" w:rsidRPr="00B14A85">
        <w:rPr>
          <w:noProof/>
          <w:color w:val="808080" w:themeColor="background1" w:themeShade="80"/>
          <w:sz w:val="18"/>
          <w:szCs w:val="18"/>
          <w:lang w:val="en-GB"/>
        </w:rPr>
        <w:t>Loess</w:t>
      </w:r>
      <w:r w:rsidRPr="00B14A85">
        <w:rPr>
          <w:noProof/>
          <w:color w:val="808080" w:themeColor="background1" w:themeShade="80"/>
          <w:sz w:val="18"/>
          <w:szCs w:val="18"/>
          <w:lang w:val="en-GB"/>
        </w:rPr>
        <w:t xml:space="preserve"> (locally estimated scatterplot smoothing) curves, with the surrounding grey areas indicating the 95% confidence intervals for the fitted values. The horizontal black line indicates no change in DTP3 coverage. The vertical purple line indicates the visually-assessed threshold turning point.</w:t>
      </w:r>
    </w:p>
    <w:p w14:paraId="7B0248F0" w14:textId="3483EDF3" w:rsidR="00D03B33" w:rsidRPr="00B14A85" w:rsidRDefault="003B36FE" w:rsidP="003B36FE">
      <w:pPr>
        <w:pStyle w:val="ListParagraph"/>
        <w:numPr>
          <w:ilvl w:val="0"/>
          <w:numId w:val="4"/>
        </w:numPr>
        <w:rPr>
          <w:b/>
          <w:bCs/>
          <w:noProof/>
          <w:lang w:val="en-GB"/>
        </w:rPr>
      </w:pPr>
      <w:r w:rsidRPr="00B14A85">
        <w:rPr>
          <w:b/>
          <w:bCs/>
          <w:noProof/>
          <w:lang w:val="en-GB"/>
        </w:rPr>
        <w:t>Stepwise linear regression results</w:t>
      </w:r>
    </w:p>
    <w:p w14:paraId="2A3455ED" w14:textId="64C57F51" w:rsidR="00D61E86" w:rsidRPr="00B14A85" w:rsidRDefault="00E537CF" w:rsidP="00D61E86">
      <w:pPr>
        <w:rPr>
          <w:lang w:val="en-GB"/>
        </w:rPr>
      </w:pPr>
      <w:r w:rsidRPr="00B14A85">
        <w:rPr>
          <w:lang w:val="en-GB"/>
        </w:rPr>
        <w:t xml:space="preserve">Linear regression models were built incrementally by adding explanatory variables according to their proximity to RI coverage as defined by our theoretical framework. Results from each step are detailed below in Table 1, alongside key statistics which informed whether we included the </w:t>
      </w:r>
      <w:r w:rsidR="005E0A53" w:rsidRPr="00B14A85">
        <w:rPr>
          <w:lang w:val="en-GB"/>
        </w:rPr>
        <w:t>added variables in the next step for analysis.</w:t>
      </w:r>
    </w:p>
    <w:p w14:paraId="58C03489" w14:textId="745F0F40" w:rsidR="005E0A53" w:rsidRPr="00B14A85" w:rsidRDefault="005E0A53" w:rsidP="00D61E86">
      <w:pPr>
        <w:rPr>
          <w:noProof/>
          <w:lang w:val="en-GB"/>
        </w:rPr>
      </w:pPr>
      <w:r w:rsidRPr="00B14A85">
        <w:rPr>
          <w:b/>
          <w:bCs/>
          <w:noProof/>
          <w:lang w:val="en-GB"/>
        </w:rPr>
        <w:t>Table 1</w:t>
      </w:r>
      <w:r w:rsidRPr="00B14A85">
        <w:rPr>
          <w:noProof/>
          <w:lang w:val="en-GB"/>
        </w:rPr>
        <w:t>: Stepwise linear regression modelling results</w:t>
      </w:r>
    </w:p>
    <w:tbl>
      <w:tblPr>
        <w:tblStyle w:val="TableGrid"/>
        <w:tblW w:w="0" w:type="auto"/>
        <w:tblLook w:val="04A0" w:firstRow="1" w:lastRow="0" w:firstColumn="1" w:lastColumn="0" w:noHBand="0" w:noVBand="1"/>
      </w:tblPr>
      <w:tblGrid>
        <w:gridCol w:w="704"/>
        <w:gridCol w:w="2819"/>
        <w:gridCol w:w="1410"/>
        <w:gridCol w:w="1362"/>
        <w:gridCol w:w="1260"/>
        <w:gridCol w:w="1795"/>
      </w:tblGrid>
      <w:tr w:rsidR="00816A23" w:rsidRPr="00B14A85" w14:paraId="141071D4" w14:textId="79053DCA" w:rsidTr="002D7049">
        <w:tc>
          <w:tcPr>
            <w:tcW w:w="704" w:type="dxa"/>
            <w:shd w:val="clear" w:color="auto" w:fill="A5C9EB" w:themeFill="text2" w:themeFillTint="40"/>
          </w:tcPr>
          <w:p w14:paraId="09F06CF4" w14:textId="1E87CF22" w:rsidR="00816A23" w:rsidRPr="00B14A85" w:rsidRDefault="00816A23" w:rsidP="003B36FE">
            <w:pPr>
              <w:rPr>
                <w:b/>
                <w:bCs/>
                <w:noProof/>
                <w:lang w:val="en-GB"/>
              </w:rPr>
            </w:pPr>
            <w:r w:rsidRPr="00B14A85">
              <w:rPr>
                <w:b/>
                <w:bCs/>
                <w:noProof/>
                <w:lang w:val="en-GB"/>
              </w:rPr>
              <w:t>Step</w:t>
            </w:r>
          </w:p>
        </w:tc>
        <w:tc>
          <w:tcPr>
            <w:tcW w:w="2819" w:type="dxa"/>
            <w:shd w:val="clear" w:color="auto" w:fill="A5C9EB" w:themeFill="text2" w:themeFillTint="40"/>
          </w:tcPr>
          <w:p w14:paraId="67907660" w14:textId="460C4E74" w:rsidR="00816A23" w:rsidRPr="00B14A85" w:rsidRDefault="00816A23" w:rsidP="003B36FE">
            <w:pPr>
              <w:rPr>
                <w:b/>
                <w:bCs/>
                <w:noProof/>
                <w:lang w:val="en-GB"/>
              </w:rPr>
            </w:pPr>
            <w:r w:rsidRPr="00B14A85">
              <w:rPr>
                <w:b/>
                <w:bCs/>
                <w:noProof/>
                <w:lang w:val="en-GB"/>
              </w:rPr>
              <w:t>Variables added/removed</w:t>
            </w:r>
          </w:p>
        </w:tc>
        <w:tc>
          <w:tcPr>
            <w:tcW w:w="1410" w:type="dxa"/>
            <w:shd w:val="clear" w:color="auto" w:fill="A5C9EB" w:themeFill="text2" w:themeFillTint="40"/>
          </w:tcPr>
          <w:p w14:paraId="2C1A2162" w14:textId="1A0ECB5D" w:rsidR="00816A23" w:rsidRPr="00B14A85" w:rsidRDefault="00816A23" w:rsidP="003B36FE">
            <w:pPr>
              <w:rPr>
                <w:b/>
                <w:bCs/>
                <w:noProof/>
                <w:lang w:val="en-GB"/>
              </w:rPr>
            </w:pPr>
            <w:r w:rsidRPr="00B14A85">
              <w:rPr>
                <w:b/>
                <w:bCs/>
                <w:noProof/>
                <w:lang w:val="en-GB"/>
              </w:rPr>
              <w:t>BIC</w:t>
            </w:r>
          </w:p>
        </w:tc>
        <w:tc>
          <w:tcPr>
            <w:tcW w:w="1362" w:type="dxa"/>
            <w:shd w:val="clear" w:color="auto" w:fill="A5C9EB" w:themeFill="text2" w:themeFillTint="40"/>
          </w:tcPr>
          <w:p w14:paraId="017F84A5" w14:textId="3B2AA8CF" w:rsidR="00816A23" w:rsidRPr="00B14A85" w:rsidRDefault="00816A23" w:rsidP="003B36FE">
            <w:pPr>
              <w:rPr>
                <w:b/>
                <w:bCs/>
                <w:noProof/>
                <w:lang w:val="en-GB"/>
              </w:rPr>
            </w:pPr>
            <w:r w:rsidRPr="00B14A85">
              <w:rPr>
                <w:b/>
                <w:bCs/>
                <w:noProof/>
                <w:lang w:val="en-GB"/>
              </w:rPr>
              <w:t>Adjusted R</w:t>
            </w:r>
            <w:r w:rsidRPr="00B14A85">
              <w:rPr>
                <w:b/>
                <w:bCs/>
                <w:noProof/>
                <w:vertAlign w:val="superscript"/>
                <w:lang w:val="en-GB"/>
              </w:rPr>
              <w:t>2</w:t>
            </w:r>
          </w:p>
        </w:tc>
        <w:tc>
          <w:tcPr>
            <w:tcW w:w="1260" w:type="dxa"/>
            <w:shd w:val="clear" w:color="auto" w:fill="A5C9EB" w:themeFill="text2" w:themeFillTint="40"/>
          </w:tcPr>
          <w:p w14:paraId="61BF25FA" w14:textId="14D967B3" w:rsidR="00816A23" w:rsidRPr="00B14A85" w:rsidRDefault="00816A23" w:rsidP="003B36FE">
            <w:pPr>
              <w:rPr>
                <w:b/>
                <w:bCs/>
                <w:noProof/>
                <w:lang w:val="en-GB"/>
              </w:rPr>
            </w:pPr>
            <w:r w:rsidRPr="00B14A85">
              <w:rPr>
                <w:b/>
                <w:bCs/>
                <w:i/>
                <w:iCs/>
                <w:noProof/>
                <w:lang w:val="en-GB"/>
              </w:rPr>
              <w:t>p</w:t>
            </w:r>
            <w:r w:rsidRPr="00B14A85">
              <w:rPr>
                <w:b/>
                <w:bCs/>
                <w:noProof/>
                <w:lang w:val="en-GB"/>
              </w:rPr>
              <w:t>-value of new variables</w:t>
            </w:r>
          </w:p>
        </w:tc>
        <w:tc>
          <w:tcPr>
            <w:tcW w:w="1795" w:type="dxa"/>
            <w:shd w:val="clear" w:color="auto" w:fill="A5C9EB" w:themeFill="text2" w:themeFillTint="40"/>
          </w:tcPr>
          <w:p w14:paraId="592059FB" w14:textId="6E630366" w:rsidR="00816A23" w:rsidRPr="00B14A85" w:rsidRDefault="00816A23" w:rsidP="003B36FE">
            <w:pPr>
              <w:rPr>
                <w:b/>
                <w:bCs/>
                <w:noProof/>
                <w:lang w:val="en-GB"/>
              </w:rPr>
            </w:pPr>
            <w:r w:rsidRPr="00B14A85">
              <w:rPr>
                <w:b/>
                <w:bCs/>
                <w:noProof/>
                <w:lang w:val="en-GB"/>
              </w:rPr>
              <w:t>Residuals</w:t>
            </w:r>
          </w:p>
        </w:tc>
      </w:tr>
      <w:tr w:rsidR="00816A23" w:rsidRPr="00B14A85" w14:paraId="4C64D7C1" w14:textId="0CDC6CC6" w:rsidTr="0065309E">
        <w:tc>
          <w:tcPr>
            <w:tcW w:w="704" w:type="dxa"/>
          </w:tcPr>
          <w:p w14:paraId="55EB9B39" w14:textId="381DC7B3" w:rsidR="00816A23" w:rsidRPr="00B14A85" w:rsidRDefault="00816A23" w:rsidP="003B36FE">
            <w:pPr>
              <w:rPr>
                <w:noProof/>
                <w:lang w:val="en-GB"/>
              </w:rPr>
            </w:pPr>
            <w:r w:rsidRPr="00B14A85">
              <w:rPr>
                <w:noProof/>
                <w:lang w:val="en-GB"/>
              </w:rPr>
              <w:t>1</w:t>
            </w:r>
          </w:p>
        </w:tc>
        <w:tc>
          <w:tcPr>
            <w:tcW w:w="2819" w:type="dxa"/>
          </w:tcPr>
          <w:p w14:paraId="13C39369" w14:textId="77777777" w:rsidR="00816A23" w:rsidRPr="00B14A85" w:rsidRDefault="00816A23" w:rsidP="003B36FE">
            <w:pPr>
              <w:rPr>
                <w:noProof/>
                <w:lang w:val="en-GB"/>
              </w:rPr>
            </w:pPr>
            <w:r w:rsidRPr="00B14A85">
              <w:rPr>
                <w:noProof/>
                <w:lang w:val="en-GB"/>
              </w:rPr>
              <w:t>Pre-pandemic immunisation programme strength</w:t>
            </w:r>
          </w:p>
          <w:p w14:paraId="4AAEAA71" w14:textId="044B886B" w:rsidR="00816A23" w:rsidRPr="00B14A85" w:rsidRDefault="00816A23" w:rsidP="003B36FE">
            <w:pPr>
              <w:rPr>
                <w:noProof/>
                <w:lang w:val="en-GB"/>
              </w:rPr>
            </w:pPr>
          </w:p>
        </w:tc>
        <w:tc>
          <w:tcPr>
            <w:tcW w:w="1410" w:type="dxa"/>
          </w:tcPr>
          <w:p w14:paraId="29CD9335" w14:textId="37843E14" w:rsidR="00816A23" w:rsidRPr="00B14A85" w:rsidRDefault="003951BD" w:rsidP="003B36FE">
            <w:pPr>
              <w:rPr>
                <w:noProof/>
                <w:lang w:val="en-GB"/>
              </w:rPr>
            </w:pPr>
            <w:r w:rsidRPr="00B14A85">
              <w:rPr>
                <w:noProof/>
                <w:lang w:val="en-GB"/>
              </w:rPr>
              <w:t>-1052.1</w:t>
            </w:r>
          </w:p>
        </w:tc>
        <w:tc>
          <w:tcPr>
            <w:tcW w:w="1362" w:type="dxa"/>
          </w:tcPr>
          <w:p w14:paraId="4E953025" w14:textId="5531834D" w:rsidR="00816A23" w:rsidRPr="00B14A85" w:rsidRDefault="00816A23" w:rsidP="003B36FE">
            <w:pPr>
              <w:rPr>
                <w:noProof/>
                <w:lang w:val="en-GB"/>
              </w:rPr>
            </w:pPr>
            <w:r w:rsidRPr="00B14A85">
              <w:rPr>
                <w:noProof/>
                <w:lang w:val="en-GB"/>
              </w:rPr>
              <w:t>0.0</w:t>
            </w:r>
            <w:r w:rsidR="00952B7A" w:rsidRPr="00B14A85">
              <w:rPr>
                <w:noProof/>
                <w:lang w:val="en-GB"/>
              </w:rPr>
              <w:t>20</w:t>
            </w:r>
          </w:p>
        </w:tc>
        <w:tc>
          <w:tcPr>
            <w:tcW w:w="1260" w:type="dxa"/>
          </w:tcPr>
          <w:p w14:paraId="0B0645C9" w14:textId="720487C4" w:rsidR="00816A23" w:rsidRPr="00B14A85" w:rsidRDefault="00952B7A" w:rsidP="003B36FE">
            <w:pPr>
              <w:rPr>
                <w:noProof/>
                <w:lang w:val="en-GB"/>
              </w:rPr>
            </w:pPr>
            <w:r w:rsidRPr="00B14A85">
              <w:rPr>
                <w:noProof/>
                <w:lang w:val="en-GB"/>
              </w:rPr>
              <w:t>0.007</w:t>
            </w:r>
          </w:p>
        </w:tc>
        <w:tc>
          <w:tcPr>
            <w:tcW w:w="1795" w:type="dxa"/>
          </w:tcPr>
          <w:p w14:paraId="7F4596AE" w14:textId="2C9DFF83" w:rsidR="00816A23" w:rsidRPr="00B14A85" w:rsidRDefault="00816A23" w:rsidP="003B36FE">
            <w:pPr>
              <w:rPr>
                <w:noProof/>
                <w:lang w:val="en-GB"/>
              </w:rPr>
            </w:pPr>
            <w:r w:rsidRPr="00B14A85">
              <w:rPr>
                <w:noProof/>
                <w:lang w:val="en-GB"/>
              </w:rPr>
              <w:t>Non-linear with turning point</w:t>
            </w:r>
          </w:p>
        </w:tc>
      </w:tr>
      <w:tr w:rsidR="00816A23" w:rsidRPr="00B14A85" w14:paraId="3774FF94" w14:textId="5AE5A7BA" w:rsidTr="0065309E">
        <w:tc>
          <w:tcPr>
            <w:tcW w:w="704" w:type="dxa"/>
          </w:tcPr>
          <w:p w14:paraId="53B5D88F" w14:textId="59E208BC" w:rsidR="00816A23" w:rsidRPr="00B14A85" w:rsidRDefault="00BD76ED" w:rsidP="003B36FE">
            <w:pPr>
              <w:rPr>
                <w:noProof/>
                <w:lang w:val="en-GB"/>
              </w:rPr>
            </w:pPr>
            <w:r w:rsidRPr="00B14A85">
              <w:rPr>
                <w:noProof/>
                <w:lang w:val="en-GB"/>
              </w:rPr>
              <w:t>1a</w:t>
            </w:r>
          </w:p>
        </w:tc>
        <w:tc>
          <w:tcPr>
            <w:tcW w:w="2819" w:type="dxa"/>
          </w:tcPr>
          <w:p w14:paraId="60BD2F0F" w14:textId="2DA42477" w:rsidR="00816A23" w:rsidRPr="00B14A85" w:rsidRDefault="00816A23" w:rsidP="00816A23">
            <w:pPr>
              <w:rPr>
                <w:noProof/>
                <w:lang w:val="en-GB"/>
              </w:rPr>
            </w:pPr>
            <w:r w:rsidRPr="00B14A85">
              <w:rPr>
                <w:b/>
                <w:bCs/>
                <w:noProof/>
                <w:lang w:val="en-GB"/>
              </w:rPr>
              <w:t>Added</w:t>
            </w:r>
            <w:r w:rsidRPr="00B14A85">
              <w:rPr>
                <w:noProof/>
                <w:lang w:val="en-GB"/>
              </w:rPr>
              <w:t>: Threshold (&gt;8</w:t>
            </w:r>
            <w:r w:rsidR="00DA2589" w:rsidRPr="00B14A85">
              <w:rPr>
                <w:noProof/>
                <w:lang w:val="en-GB"/>
              </w:rPr>
              <w:t>3</w:t>
            </w:r>
            <w:r w:rsidRPr="00B14A85">
              <w:rPr>
                <w:noProof/>
                <w:lang w:val="en-GB"/>
              </w:rPr>
              <w:t>% coverage)</w:t>
            </w:r>
          </w:p>
          <w:p w14:paraId="0241D0CD" w14:textId="455C2C62" w:rsidR="00816A23" w:rsidRPr="00B14A85" w:rsidRDefault="00816A23" w:rsidP="00816A23">
            <w:pPr>
              <w:rPr>
                <w:noProof/>
                <w:lang w:val="en-GB"/>
              </w:rPr>
            </w:pPr>
            <w:r w:rsidRPr="00B14A85">
              <w:rPr>
                <w:b/>
                <w:bCs/>
                <w:noProof/>
                <w:lang w:val="en-GB"/>
              </w:rPr>
              <w:t>Added</w:t>
            </w:r>
            <w:r w:rsidRPr="00B14A85">
              <w:rPr>
                <w:noProof/>
                <w:lang w:val="en-GB"/>
              </w:rPr>
              <w:t>: Interaction term</w:t>
            </w:r>
          </w:p>
        </w:tc>
        <w:tc>
          <w:tcPr>
            <w:tcW w:w="1410" w:type="dxa"/>
          </w:tcPr>
          <w:p w14:paraId="31F3FCB3" w14:textId="302B8201" w:rsidR="00816A23" w:rsidRPr="00B14A85" w:rsidRDefault="003951BD" w:rsidP="003B36FE">
            <w:pPr>
              <w:rPr>
                <w:noProof/>
                <w:lang w:val="en-GB"/>
              </w:rPr>
            </w:pPr>
            <w:r w:rsidRPr="00B14A85">
              <w:rPr>
                <w:noProof/>
                <w:lang w:val="en-GB"/>
              </w:rPr>
              <w:t>-1066.1</w:t>
            </w:r>
          </w:p>
        </w:tc>
        <w:tc>
          <w:tcPr>
            <w:tcW w:w="1362" w:type="dxa"/>
          </w:tcPr>
          <w:p w14:paraId="783229A8" w14:textId="7004076F" w:rsidR="00816A23" w:rsidRPr="00B14A85" w:rsidRDefault="00C94AC2" w:rsidP="003B36FE">
            <w:pPr>
              <w:rPr>
                <w:noProof/>
                <w:lang w:val="en-GB"/>
              </w:rPr>
            </w:pPr>
            <w:r w:rsidRPr="00B14A85">
              <w:rPr>
                <w:noProof/>
                <w:lang w:val="en-GB"/>
              </w:rPr>
              <w:t>0.089</w:t>
            </w:r>
          </w:p>
        </w:tc>
        <w:tc>
          <w:tcPr>
            <w:tcW w:w="1260" w:type="dxa"/>
          </w:tcPr>
          <w:p w14:paraId="03E499B4" w14:textId="59FACFF8" w:rsidR="00E86F40" w:rsidRPr="00B14A85" w:rsidRDefault="00054A8A" w:rsidP="00E86F40">
            <w:pPr>
              <w:rPr>
                <w:noProof/>
                <w:lang w:val="en-GB"/>
              </w:rPr>
            </w:pPr>
            <w:r w:rsidRPr="00B14A85">
              <w:rPr>
                <w:noProof/>
                <w:lang w:val="en-GB"/>
              </w:rPr>
              <w:t>&lt; 0.0000</w:t>
            </w:r>
            <w:r w:rsidR="002563A1" w:rsidRPr="00B14A85">
              <w:rPr>
                <w:noProof/>
                <w:lang w:val="en-GB"/>
              </w:rPr>
              <w:t>1</w:t>
            </w:r>
          </w:p>
          <w:p w14:paraId="3438D270" w14:textId="77777777" w:rsidR="00816A23" w:rsidRPr="00B14A85" w:rsidRDefault="00816A23" w:rsidP="003B36FE">
            <w:pPr>
              <w:rPr>
                <w:noProof/>
                <w:lang w:val="en-GB"/>
              </w:rPr>
            </w:pPr>
          </w:p>
          <w:p w14:paraId="4BEA6AC7" w14:textId="45CDD2C8" w:rsidR="00E86F40" w:rsidRPr="00B14A85" w:rsidRDefault="002563A1" w:rsidP="003B36FE">
            <w:pPr>
              <w:rPr>
                <w:noProof/>
                <w:lang w:val="en-GB"/>
              </w:rPr>
            </w:pPr>
            <w:r w:rsidRPr="00B14A85">
              <w:rPr>
                <w:noProof/>
                <w:lang w:val="en-GB"/>
              </w:rPr>
              <w:t>&lt; 0.00001</w:t>
            </w:r>
          </w:p>
        </w:tc>
        <w:tc>
          <w:tcPr>
            <w:tcW w:w="1795" w:type="dxa"/>
          </w:tcPr>
          <w:p w14:paraId="37607066" w14:textId="7E023BF3" w:rsidR="00816A23" w:rsidRPr="00B14A85" w:rsidRDefault="00BD76ED" w:rsidP="003B36FE">
            <w:pPr>
              <w:rPr>
                <w:noProof/>
                <w:lang w:val="en-GB"/>
              </w:rPr>
            </w:pPr>
            <w:r w:rsidRPr="00B14A85">
              <w:rPr>
                <w:noProof/>
                <w:lang w:val="en-GB"/>
              </w:rPr>
              <w:t>N/A</w:t>
            </w:r>
          </w:p>
        </w:tc>
      </w:tr>
      <w:tr w:rsidR="00816A23" w:rsidRPr="00B14A85" w14:paraId="70B48195" w14:textId="77BE5A17" w:rsidTr="0065309E">
        <w:tc>
          <w:tcPr>
            <w:tcW w:w="704" w:type="dxa"/>
          </w:tcPr>
          <w:p w14:paraId="1E7D99D3" w14:textId="7EC6D223" w:rsidR="00816A23" w:rsidRPr="00B14A85" w:rsidRDefault="00BD76ED" w:rsidP="003B36FE">
            <w:pPr>
              <w:rPr>
                <w:noProof/>
                <w:lang w:val="en-GB"/>
              </w:rPr>
            </w:pPr>
            <w:r w:rsidRPr="00B14A85">
              <w:rPr>
                <w:noProof/>
                <w:lang w:val="en-GB"/>
              </w:rPr>
              <w:t>1b</w:t>
            </w:r>
          </w:p>
        </w:tc>
        <w:tc>
          <w:tcPr>
            <w:tcW w:w="2819" w:type="dxa"/>
          </w:tcPr>
          <w:p w14:paraId="5382EAF3" w14:textId="796821AD" w:rsidR="00816A23" w:rsidRPr="00B14A85" w:rsidRDefault="003951BD" w:rsidP="003B36FE">
            <w:pPr>
              <w:rPr>
                <w:noProof/>
                <w:lang w:val="en-GB"/>
              </w:rPr>
            </w:pPr>
            <w:r w:rsidRPr="00B14A85">
              <w:rPr>
                <w:b/>
                <w:bCs/>
                <w:noProof/>
                <w:lang w:val="en-GB"/>
              </w:rPr>
              <w:t>Removed</w:t>
            </w:r>
            <w:r w:rsidRPr="00B14A85">
              <w:rPr>
                <w:noProof/>
                <w:lang w:val="en-GB"/>
              </w:rPr>
              <w:t xml:space="preserve">: </w:t>
            </w:r>
            <w:r w:rsidR="007E54B4" w:rsidRPr="00B14A85">
              <w:rPr>
                <w:noProof/>
                <w:lang w:val="en-GB"/>
              </w:rPr>
              <w:t>Pre-pandemic immunisation programme strength</w:t>
            </w:r>
          </w:p>
        </w:tc>
        <w:tc>
          <w:tcPr>
            <w:tcW w:w="1410" w:type="dxa"/>
          </w:tcPr>
          <w:p w14:paraId="607C4810" w14:textId="1A790999" w:rsidR="00816A23" w:rsidRPr="00B14A85" w:rsidRDefault="003951BD" w:rsidP="003B36FE">
            <w:pPr>
              <w:rPr>
                <w:noProof/>
                <w:lang w:val="en-GB"/>
              </w:rPr>
            </w:pPr>
            <w:r w:rsidRPr="00B14A85">
              <w:rPr>
                <w:noProof/>
                <w:lang w:val="en-GB"/>
              </w:rPr>
              <w:t>-1071.9</w:t>
            </w:r>
          </w:p>
        </w:tc>
        <w:tc>
          <w:tcPr>
            <w:tcW w:w="1362" w:type="dxa"/>
          </w:tcPr>
          <w:p w14:paraId="1AE57B36" w14:textId="672F4461" w:rsidR="00816A23" w:rsidRPr="00B14A85" w:rsidRDefault="00C94AC2" w:rsidP="003B36FE">
            <w:pPr>
              <w:rPr>
                <w:noProof/>
                <w:lang w:val="en-GB"/>
              </w:rPr>
            </w:pPr>
            <w:r w:rsidRPr="00B14A85">
              <w:rPr>
                <w:noProof/>
                <w:lang w:val="en-GB"/>
              </w:rPr>
              <w:t>0.089</w:t>
            </w:r>
          </w:p>
        </w:tc>
        <w:tc>
          <w:tcPr>
            <w:tcW w:w="1260" w:type="dxa"/>
          </w:tcPr>
          <w:p w14:paraId="77A22E77" w14:textId="77777777" w:rsidR="00816A23" w:rsidRPr="00B14A85" w:rsidRDefault="00816A23" w:rsidP="003B36FE">
            <w:pPr>
              <w:rPr>
                <w:b/>
                <w:bCs/>
                <w:noProof/>
                <w:lang w:val="en-GB"/>
              </w:rPr>
            </w:pPr>
          </w:p>
        </w:tc>
        <w:tc>
          <w:tcPr>
            <w:tcW w:w="1795" w:type="dxa"/>
          </w:tcPr>
          <w:p w14:paraId="5C932275" w14:textId="3248402A" w:rsidR="00816A23" w:rsidRPr="00B14A85" w:rsidRDefault="00BD76ED" w:rsidP="003B36FE">
            <w:pPr>
              <w:rPr>
                <w:noProof/>
                <w:lang w:val="en-GB"/>
              </w:rPr>
            </w:pPr>
            <w:r w:rsidRPr="00B14A85">
              <w:rPr>
                <w:noProof/>
                <w:lang w:val="en-GB"/>
              </w:rPr>
              <w:t>N/A</w:t>
            </w:r>
          </w:p>
        </w:tc>
      </w:tr>
      <w:tr w:rsidR="00816A23" w:rsidRPr="00B14A85" w14:paraId="20F56046" w14:textId="01674E9C" w:rsidTr="0065309E">
        <w:tc>
          <w:tcPr>
            <w:tcW w:w="704" w:type="dxa"/>
          </w:tcPr>
          <w:p w14:paraId="57DC2F75" w14:textId="5E0F2EE4" w:rsidR="00816A23" w:rsidRPr="00B14A85" w:rsidRDefault="008730F5" w:rsidP="003B36FE">
            <w:pPr>
              <w:rPr>
                <w:noProof/>
                <w:lang w:val="en-GB"/>
              </w:rPr>
            </w:pPr>
            <w:r w:rsidRPr="00B14A85">
              <w:rPr>
                <w:noProof/>
                <w:lang w:val="en-GB"/>
              </w:rPr>
              <w:t>2</w:t>
            </w:r>
          </w:p>
        </w:tc>
        <w:tc>
          <w:tcPr>
            <w:tcW w:w="2819" w:type="dxa"/>
          </w:tcPr>
          <w:p w14:paraId="35157EEF" w14:textId="68611454" w:rsidR="00816A23" w:rsidRPr="00B14A85" w:rsidRDefault="008730F5" w:rsidP="003B36FE">
            <w:pPr>
              <w:rPr>
                <w:noProof/>
                <w:lang w:val="en-GB"/>
              </w:rPr>
            </w:pPr>
            <w:r w:rsidRPr="00B14A85">
              <w:rPr>
                <w:noProof/>
                <w:lang w:val="en-GB"/>
              </w:rPr>
              <w:t>Health workforce</w:t>
            </w:r>
          </w:p>
        </w:tc>
        <w:tc>
          <w:tcPr>
            <w:tcW w:w="1410" w:type="dxa"/>
          </w:tcPr>
          <w:p w14:paraId="14B37217" w14:textId="5A4F6005" w:rsidR="00816A23" w:rsidRPr="00B14A85" w:rsidRDefault="006E13B3" w:rsidP="003B36FE">
            <w:pPr>
              <w:rPr>
                <w:noProof/>
                <w:lang w:val="en-GB"/>
              </w:rPr>
            </w:pPr>
            <w:r w:rsidRPr="00B14A85">
              <w:rPr>
                <w:noProof/>
                <w:lang w:val="en-GB"/>
              </w:rPr>
              <w:t>-1090.3</w:t>
            </w:r>
          </w:p>
        </w:tc>
        <w:tc>
          <w:tcPr>
            <w:tcW w:w="1362" w:type="dxa"/>
          </w:tcPr>
          <w:p w14:paraId="432C98F9" w14:textId="6C5A7F28" w:rsidR="00816A23" w:rsidRPr="00B14A85" w:rsidRDefault="00EE5DBD" w:rsidP="003B36FE">
            <w:pPr>
              <w:rPr>
                <w:noProof/>
                <w:lang w:val="en-GB"/>
              </w:rPr>
            </w:pPr>
            <w:r w:rsidRPr="00B14A85">
              <w:rPr>
                <w:noProof/>
                <w:lang w:val="en-GB"/>
              </w:rPr>
              <w:t>0.141</w:t>
            </w:r>
          </w:p>
        </w:tc>
        <w:tc>
          <w:tcPr>
            <w:tcW w:w="1260" w:type="dxa"/>
          </w:tcPr>
          <w:p w14:paraId="6A279B73" w14:textId="3075FA9F" w:rsidR="00816A23" w:rsidRPr="00B14A85" w:rsidRDefault="002563A1" w:rsidP="003B36FE">
            <w:pPr>
              <w:rPr>
                <w:noProof/>
                <w:lang w:val="en-GB"/>
              </w:rPr>
            </w:pPr>
            <w:r w:rsidRPr="00B14A85">
              <w:rPr>
                <w:noProof/>
                <w:lang w:val="en-GB"/>
              </w:rPr>
              <w:t>&lt; 0.00001</w:t>
            </w:r>
          </w:p>
        </w:tc>
        <w:tc>
          <w:tcPr>
            <w:tcW w:w="1795" w:type="dxa"/>
          </w:tcPr>
          <w:p w14:paraId="733F7250" w14:textId="14EA71E6" w:rsidR="00816A23" w:rsidRPr="00B14A85" w:rsidRDefault="0065309E" w:rsidP="003B36FE">
            <w:pPr>
              <w:rPr>
                <w:b/>
                <w:bCs/>
                <w:noProof/>
                <w:lang w:val="en-GB"/>
              </w:rPr>
            </w:pPr>
            <w:r w:rsidRPr="00B14A85">
              <w:rPr>
                <w:noProof/>
                <w:lang w:val="en-GB"/>
              </w:rPr>
              <w:t>Non-linear with turning point</w:t>
            </w:r>
          </w:p>
        </w:tc>
      </w:tr>
      <w:tr w:rsidR="00816A23" w:rsidRPr="00B14A85" w14:paraId="0F4FF314" w14:textId="4FE5B066" w:rsidTr="0065309E">
        <w:tc>
          <w:tcPr>
            <w:tcW w:w="704" w:type="dxa"/>
          </w:tcPr>
          <w:p w14:paraId="007B32C7" w14:textId="66C69F42" w:rsidR="00816A23" w:rsidRPr="00B14A85" w:rsidRDefault="00950F96" w:rsidP="003B36FE">
            <w:pPr>
              <w:rPr>
                <w:noProof/>
                <w:lang w:val="en-GB"/>
              </w:rPr>
            </w:pPr>
            <w:r w:rsidRPr="00B14A85">
              <w:rPr>
                <w:noProof/>
                <w:lang w:val="en-GB"/>
              </w:rPr>
              <w:t>2a</w:t>
            </w:r>
          </w:p>
        </w:tc>
        <w:tc>
          <w:tcPr>
            <w:tcW w:w="2819" w:type="dxa"/>
          </w:tcPr>
          <w:p w14:paraId="61C33B6B" w14:textId="6ED95C72" w:rsidR="00816A23" w:rsidRPr="00B14A85" w:rsidRDefault="0065309E" w:rsidP="003B36FE">
            <w:pPr>
              <w:rPr>
                <w:noProof/>
                <w:lang w:val="en-GB"/>
              </w:rPr>
            </w:pPr>
            <w:r w:rsidRPr="00B14A85">
              <w:rPr>
                <w:b/>
                <w:bCs/>
                <w:noProof/>
                <w:lang w:val="en-GB"/>
              </w:rPr>
              <w:t>Added</w:t>
            </w:r>
            <w:r w:rsidRPr="00B14A85">
              <w:rPr>
                <w:noProof/>
                <w:lang w:val="en-GB"/>
              </w:rPr>
              <w:t xml:space="preserve">: Threshold (&gt; </w:t>
            </w:r>
            <w:r w:rsidR="00927381" w:rsidRPr="00B14A85">
              <w:rPr>
                <w:noProof/>
                <w:lang w:val="en-GB"/>
              </w:rPr>
              <w:t>6</w:t>
            </w:r>
            <w:r w:rsidRPr="00B14A85">
              <w:rPr>
                <w:noProof/>
                <w:lang w:val="en-GB"/>
              </w:rPr>
              <w:t>0 health workers / 10k population)</w:t>
            </w:r>
          </w:p>
          <w:p w14:paraId="1157AB80" w14:textId="0A2CACBF" w:rsidR="0065309E" w:rsidRPr="00B14A85" w:rsidRDefault="0065309E" w:rsidP="003B36FE">
            <w:pPr>
              <w:rPr>
                <w:noProof/>
                <w:lang w:val="en-GB"/>
              </w:rPr>
            </w:pPr>
            <w:r w:rsidRPr="00B14A85">
              <w:rPr>
                <w:b/>
                <w:bCs/>
                <w:noProof/>
                <w:lang w:val="en-GB"/>
              </w:rPr>
              <w:t>Added</w:t>
            </w:r>
            <w:r w:rsidRPr="00B14A85">
              <w:rPr>
                <w:noProof/>
                <w:lang w:val="en-GB"/>
              </w:rPr>
              <w:t xml:space="preserve">: </w:t>
            </w:r>
            <w:r w:rsidR="000E394B" w:rsidRPr="00B14A85">
              <w:rPr>
                <w:noProof/>
                <w:lang w:val="en-GB"/>
              </w:rPr>
              <w:t>Interaction term</w:t>
            </w:r>
          </w:p>
        </w:tc>
        <w:tc>
          <w:tcPr>
            <w:tcW w:w="1410" w:type="dxa"/>
          </w:tcPr>
          <w:p w14:paraId="6B5B119C" w14:textId="344D87ED" w:rsidR="00816A23" w:rsidRPr="00B14A85" w:rsidRDefault="006E13B3" w:rsidP="003B36FE">
            <w:pPr>
              <w:rPr>
                <w:noProof/>
                <w:lang w:val="en-GB"/>
              </w:rPr>
            </w:pPr>
            <w:r w:rsidRPr="00B14A85">
              <w:rPr>
                <w:noProof/>
                <w:lang w:val="en-GB"/>
              </w:rPr>
              <w:t>-1102.8</w:t>
            </w:r>
          </w:p>
        </w:tc>
        <w:tc>
          <w:tcPr>
            <w:tcW w:w="1362" w:type="dxa"/>
          </w:tcPr>
          <w:p w14:paraId="1FBF7749" w14:textId="1E503F80" w:rsidR="00816A23" w:rsidRPr="00B14A85" w:rsidRDefault="00E730E2" w:rsidP="003B36FE">
            <w:pPr>
              <w:rPr>
                <w:noProof/>
                <w:lang w:val="en-GB"/>
              </w:rPr>
            </w:pPr>
            <w:r w:rsidRPr="00B14A85">
              <w:rPr>
                <w:noProof/>
                <w:lang w:val="en-GB"/>
              </w:rPr>
              <w:t>0.193</w:t>
            </w:r>
          </w:p>
        </w:tc>
        <w:tc>
          <w:tcPr>
            <w:tcW w:w="1260" w:type="dxa"/>
          </w:tcPr>
          <w:p w14:paraId="51558579" w14:textId="77777777" w:rsidR="00816A23" w:rsidRPr="00B14A85" w:rsidRDefault="001E5FFB" w:rsidP="003B36FE">
            <w:pPr>
              <w:rPr>
                <w:noProof/>
                <w:lang w:val="en-GB"/>
              </w:rPr>
            </w:pPr>
            <w:r w:rsidRPr="00B14A85">
              <w:rPr>
                <w:noProof/>
                <w:lang w:val="en-GB"/>
              </w:rPr>
              <w:t>0.81</w:t>
            </w:r>
          </w:p>
          <w:p w14:paraId="3AD649D8" w14:textId="77777777" w:rsidR="001E5FFB" w:rsidRPr="00B14A85" w:rsidRDefault="001E5FFB" w:rsidP="003B36FE">
            <w:pPr>
              <w:rPr>
                <w:noProof/>
                <w:lang w:val="en-GB"/>
              </w:rPr>
            </w:pPr>
          </w:p>
          <w:p w14:paraId="0CC6BF36" w14:textId="77777777" w:rsidR="001E5FFB" w:rsidRPr="00B14A85" w:rsidRDefault="001E5FFB" w:rsidP="003B36FE">
            <w:pPr>
              <w:rPr>
                <w:noProof/>
                <w:lang w:val="en-GB"/>
              </w:rPr>
            </w:pPr>
          </w:p>
          <w:p w14:paraId="795B8F5E" w14:textId="6E973561" w:rsidR="001E5FFB" w:rsidRPr="00B14A85" w:rsidRDefault="001E5FFB" w:rsidP="003B36FE">
            <w:pPr>
              <w:rPr>
                <w:noProof/>
                <w:lang w:val="en-GB"/>
              </w:rPr>
            </w:pPr>
            <w:r w:rsidRPr="00B14A85">
              <w:rPr>
                <w:noProof/>
                <w:lang w:val="en-GB"/>
              </w:rPr>
              <w:t>0.0004</w:t>
            </w:r>
          </w:p>
        </w:tc>
        <w:tc>
          <w:tcPr>
            <w:tcW w:w="1795" w:type="dxa"/>
          </w:tcPr>
          <w:p w14:paraId="39AD11FF" w14:textId="76E4BDA9" w:rsidR="00816A23" w:rsidRPr="00B14A85" w:rsidRDefault="001E5FFB" w:rsidP="003B36FE">
            <w:pPr>
              <w:rPr>
                <w:noProof/>
                <w:lang w:val="en-GB"/>
              </w:rPr>
            </w:pPr>
            <w:r w:rsidRPr="00B14A85">
              <w:rPr>
                <w:noProof/>
                <w:lang w:val="en-GB"/>
              </w:rPr>
              <w:t>N/A</w:t>
            </w:r>
          </w:p>
        </w:tc>
      </w:tr>
      <w:tr w:rsidR="001E5FFB" w:rsidRPr="00B14A85" w14:paraId="02451E61" w14:textId="77777777" w:rsidTr="0065309E">
        <w:tc>
          <w:tcPr>
            <w:tcW w:w="704" w:type="dxa"/>
          </w:tcPr>
          <w:p w14:paraId="2B9C8DA5" w14:textId="32C6BC7B" w:rsidR="001E5FFB" w:rsidRPr="00B14A85" w:rsidRDefault="001E5FFB" w:rsidP="003B36FE">
            <w:pPr>
              <w:rPr>
                <w:noProof/>
                <w:lang w:val="en-GB"/>
              </w:rPr>
            </w:pPr>
            <w:r w:rsidRPr="00B14A85">
              <w:rPr>
                <w:noProof/>
                <w:lang w:val="en-GB"/>
              </w:rPr>
              <w:lastRenderedPageBreak/>
              <w:t>2b</w:t>
            </w:r>
          </w:p>
        </w:tc>
        <w:tc>
          <w:tcPr>
            <w:tcW w:w="2819" w:type="dxa"/>
          </w:tcPr>
          <w:p w14:paraId="2FF2CD4E" w14:textId="6D6B5EFF" w:rsidR="001E5FFB" w:rsidRPr="00B14A85" w:rsidRDefault="001E5FFB" w:rsidP="003B36FE">
            <w:pPr>
              <w:rPr>
                <w:noProof/>
                <w:highlight w:val="red"/>
                <w:lang w:val="en-GB"/>
              </w:rPr>
            </w:pPr>
            <w:r w:rsidRPr="00B14A85">
              <w:rPr>
                <w:b/>
                <w:bCs/>
                <w:noProof/>
                <w:lang w:val="en-GB"/>
              </w:rPr>
              <w:t>Removed</w:t>
            </w:r>
            <w:r w:rsidRPr="00B14A85">
              <w:rPr>
                <w:noProof/>
                <w:lang w:val="en-GB"/>
              </w:rPr>
              <w:t xml:space="preserve">: </w:t>
            </w:r>
            <w:r w:rsidR="007E54B4" w:rsidRPr="00B14A85">
              <w:rPr>
                <w:noProof/>
                <w:lang w:val="en-GB"/>
              </w:rPr>
              <w:t>Health workforce threshold</w:t>
            </w:r>
          </w:p>
        </w:tc>
        <w:tc>
          <w:tcPr>
            <w:tcW w:w="1410" w:type="dxa"/>
          </w:tcPr>
          <w:p w14:paraId="10BB056D" w14:textId="5F71FFCE" w:rsidR="001E5FFB" w:rsidRPr="00B14A85" w:rsidRDefault="006E13B3" w:rsidP="003B36FE">
            <w:pPr>
              <w:rPr>
                <w:noProof/>
                <w:lang w:val="en-GB"/>
              </w:rPr>
            </w:pPr>
            <w:r w:rsidRPr="00B14A85">
              <w:rPr>
                <w:noProof/>
                <w:lang w:val="en-GB"/>
              </w:rPr>
              <w:t>-1108.6</w:t>
            </w:r>
          </w:p>
        </w:tc>
        <w:tc>
          <w:tcPr>
            <w:tcW w:w="1362" w:type="dxa"/>
          </w:tcPr>
          <w:p w14:paraId="71CBE323" w14:textId="60531ADD" w:rsidR="001E5FFB" w:rsidRPr="00B14A85" w:rsidRDefault="00E730E2" w:rsidP="003B36FE">
            <w:pPr>
              <w:rPr>
                <w:noProof/>
                <w:lang w:val="en-GB"/>
              </w:rPr>
            </w:pPr>
            <w:r w:rsidRPr="00B14A85">
              <w:rPr>
                <w:noProof/>
                <w:lang w:val="en-GB"/>
              </w:rPr>
              <w:t>0.19</w:t>
            </w:r>
            <w:r w:rsidR="00C40105" w:rsidRPr="00B14A85">
              <w:rPr>
                <w:noProof/>
                <w:lang w:val="en-GB"/>
              </w:rPr>
              <w:t>6</w:t>
            </w:r>
          </w:p>
        </w:tc>
        <w:tc>
          <w:tcPr>
            <w:tcW w:w="1260" w:type="dxa"/>
          </w:tcPr>
          <w:p w14:paraId="35D5ACED" w14:textId="77777777" w:rsidR="001E5FFB" w:rsidRPr="00B14A85" w:rsidRDefault="001E5FFB" w:rsidP="003B36FE">
            <w:pPr>
              <w:rPr>
                <w:noProof/>
                <w:lang w:val="en-GB"/>
              </w:rPr>
            </w:pPr>
          </w:p>
        </w:tc>
        <w:tc>
          <w:tcPr>
            <w:tcW w:w="1795" w:type="dxa"/>
          </w:tcPr>
          <w:p w14:paraId="6157D9A3" w14:textId="2B40E76E" w:rsidR="001E5FFB" w:rsidRPr="00B14A85" w:rsidRDefault="00E86F40" w:rsidP="003B36FE">
            <w:pPr>
              <w:rPr>
                <w:noProof/>
                <w:lang w:val="en-GB"/>
              </w:rPr>
            </w:pPr>
            <w:r w:rsidRPr="00B14A85">
              <w:rPr>
                <w:noProof/>
                <w:lang w:val="en-GB"/>
              </w:rPr>
              <w:t>N/A</w:t>
            </w:r>
          </w:p>
        </w:tc>
      </w:tr>
      <w:tr w:rsidR="00E730E2" w:rsidRPr="00B14A85" w14:paraId="3276188E" w14:textId="77777777" w:rsidTr="0065309E">
        <w:tc>
          <w:tcPr>
            <w:tcW w:w="704" w:type="dxa"/>
          </w:tcPr>
          <w:p w14:paraId="777E22AC" w14:textId="7798D5D3" w:rsidR="00E730E2" w:rsidRPr="00B14A85" w:rsidRDefault="00E730E2" w:rsidP="003B36FE">
            <w:pPr>
              <w:rPr>
                <w:noProof/>
                <w:lang w:val="en-GB"/>
              </w:rPr>
            </w:pPr>
            <w:r w:rsidRPr="00B14A85">
              <w:rPr>
                <w:noProof/>
                <w:lang w:val="en-GB"/>
              </w:rPr>
              <w:t>3</w:t>
            </w:r>
          </w:p>
        </w:tc>
        <w:tc>
          <w:tcPr>
            <w:tcW w:w="2819" w:type="dxa"/>
          </w:tcPr>
          <w:p w14:paraId="3D050F61" w14:textId="23EE5CB4" w:rsidR="00E730E2" w:rsidRPr="00B14A85" w:rsidRDefault="00E730E2" w:rsidP="003B36FE">
            <w:pPr>
              <w:rPr>
                <w:noProof/>
                <w:lang w:val="en-GB"/>
              </w:rPr>
            </w:pPr>
            <w:r w:rsidRPr="00B14A85">
              <w:rPr>
                <w:noProof/>
                <w:lang w:val="en-GB"/>
              </w:rPr>
              <w:t>Health systems strength</w:t>
            </w:r>
          </w:p>
        </w:tc>
        <w:tc>
          <w:tcPr>
            <w:tcW w:w="1410" w:type="dxa"/>
          </w:tcPr>
          <w:p w14:paraId="062BCF7D" w14:textId="1403941D" w:rsidR="00E730E2" w:rsidRPr="00B14A85" w:rsidRDefault="004833E2" w:rsidP="003B36FE">
            <w:pPr>
              <w:rPr>
                <w:noProof/>
                <w:lang w:val="en-GB"/>
              </w:rPr>
            </w:pPr>
            <w:r w:rsidRPr="00B14A85">
              <w:rPr>
                <w:noProof/>
                <w:lang w:val="en-GB"/>
              </w:rPr>
              <w:t>-1103.0</w:t>
            </w:r>
          </w:p>
        </w:tc>
        <w:tc>
          <w:tcPr>
            <w:tcW w:w="1362" w:type="dxa"/>
          </w:tcPr>
          <w:p w14:paraId="59C39A51" w14:textId="64842846" w:rsidR="00E730E2" w:rsidRPr="00B14A85" w:rsidRDefault="00C40105" w:rsidP="003B36FE">
            <w:pPr>
              <w:rPr>
                <w:noProof/>
                <w:lang w:val="en-GB"/>
              </w:rPr>
            </w:pPr>
            <w:r w:rsidRPr="00B14A85">
              <w:rPr>
                <w:noProof/>
                <w:lang w:val="en-GB"/>
              </w:rPr>
              <w:t>0.194</w:t>
            </w:r>
          </w:p>
        </w:tc>
        <w:tc>
          <w:tcPr>
            <w:tcW w:w="1260" w:type="dxa"/>
          </w:tcPr>
          <w:p w14:paraId="40040033" w14:textId="709FCE52" w:rsidR="00E730E2" w:rsidRPr="00B14A85" w:rsidRDefault="00C40105" w:rsidP="003B36FE">
            <w:pPr>
              <w:rPr>
                <w:noProof/>
                <w:lang w:val="en-GB"/>
              </w:rPr>
            </w:pPr>
            <w:r w:rsidRPr="00B14A85">
              <w:rPr>
                <w:noProof/>
                <w:lang w:val="en-GB"/>
              </w:rPr>
              <w:t>0.060</w:t>
            </w:r>
          </w:p>
        </w:tc>
        <w:tc>
          <w:tcPr>
            <w:tcW w:w="1795" w:type="dxa"/>
          </w:tcPr>
          <w:p w14:paraId="74887825" w14:textId="26A20D66" w:rsidR="00E730E2" w:rsidRPr="00B14A85" w:rsidRDefault="004833E2" w:rsidP="003B36FE">
            <w:pPr>
              <w:rPr>
                <w:noProof/>
                <w:lang w:val="en-GB"/>
              </w:rPr>
            </w:pPr>
            <w:r w:rsidRPr="00B14A85">
              <w:rPr>
                <w:noProof/>
                <w:lang w:val="en-GB"/>
              </w:rPr>
              <w:t>Linear</w:t>
            </w:r>
          </w:p>
        </w:tc>
      </w:tr>
      <w:tr w:rsidR="004833E2" w:rsidRPr="00B14A85" w14:paraId="60C565B8" w14:textId="77777777" w:rsidTr="0065309E">
        <w:tc>
          <w:tcPr>
            <w:tcW w:w="704" w:type="dxa"/>
          </w:tcPr>
          <w:p w14:paraId="2BC9AA64" w14:textId="0FDC2D92" w:rsidR="004833E2" w:rsidRPr="00B14A85" w:rsidRDefault="004833E2" w:rsidP="003B36FE">
            <w:pPr>
              <w:rPr>
                <w:noProof/>
                <w:lang w:val="en-GB"/>
              </w:rPr>
            </w:pPr>
            <w:r w:rsidRPr="00B14A85">
              <w:rPr>
                <w:noProof/>
                <w:lang w:val="en-GB"/>
              </w:rPr>
              <w:t>4</w:t>
            </w:r>
          </w:p>
        </w:tc>
        <w:tc>
          <w:tcPr>
            <w:tcW w:w="2819" w:type="dxa"/>
          </w:tcPr>
          <w:p w14:paraId="729A79F8" w14:textId="44AD111D" w:rsidR="004833E2" w:rsidRPr="00B14A85" w:rsidRDefault="00AB32A7" w:rsidP="003B36FE">
            <w:pPr>
              <w:rPr>
                <w:noProof/>
                <w:lang w:val="en-GB"/>
              </w:rPr>
            </w:pPr>
            <w:r w:rsidRPr="00B14A85">
              <w:rPr>
                <w:noProof/>
                <w:lang w:val="en-GB"/>
              </w:rPr>
              <w:t>Global health security</w:t>
            </w:r>
          </w:p>
        </w:tc>
        <w:tc>
          <w:tcPr>
            <w:tcW w:w="1410" w:type="dxa"/>
          </w:tcPr>
          <w:p w14:paraId="2B460F6A" w14:textId="47394800" w:rsidR="004833E2" w:rsidRPr="00B14A85" w:rsidRDefault="00842DD0" w:rsidP="003B36FE">
            <w:pPr>
              <w:rPr>
                <w:noProof/>
                <w:lang w:val="en-GB"/>
              </w:rPr>
            </w:pPr>
            <w:r w:rsidRPr="00B14A85">
              <w:rPr>
                <w:noProof/>
                <w:lang w:val="en-GB"/>
              </w:rPr>
              <w:t>-1102.8</w:t>
            </w:r>
          </w:p>
        </w:tc>
        <w:tc>
          <w:tcPr>
            <w:tcW w:w="1362" w:type="dxa"/>
          </w:tcPr>
          <w:p w14:paraId="39CA13C6" w14:textId="7D57F940" w:rsidR="004833E2" w:rsidRPr="00B14A85" w:rsidRDefault="00AB32A7" w:rsidP="003B36FE">
            <w:pPr>
              <w:rPr>
                <w:noProof/>
                <w:lang w:val="en-GB"/>
              </w:rPr>
            </w:pPr>
            <w:r w:rsidRPr="00B14A85">
              <w:rPr>
                <w:noProof/>
                <w:lang w:val="en-GB"/>
              </w:rPr>
              <w:t>0.193</w:t>
            </w:r>
          </w:p>
        </w:tc>
        <w:tc>
          <w:tcPr>
            <w:tcW w:w="1260" w:type="dxa"/>
          </w:tcPr>
          <w:p w14:paraId="18656A99" w14:textId="1FB039D4" w:rsidR="004833E2" w:rsidRPr="00B14A85" w:rsidRDefault="00AB32A7" w:rsidP="003B36FE">
            <w:pPr>
              <w:rPr>
                <w:noProof/>
                <w:lang w:val="en-GB"/>
              </w:rPr>
            </w:pPr>
            <w:r w:rsidRPr="00B14A85">
              <w:rPr>
                <w:noProof/>
                <w:lang w:val="en-GB"/>
              </w:rPr>
              <w:t>0.086</w:t>
            </w:r>
          </w:p>
        </w:tc>
        <w:tc>
          <w:tcPr>
            <w:tcW w:w="1795" w:type="dxa"/>
          </w:tcPr>
          <w:p w14:paraId="05B736FE" w14:textId="5078E590" w:rsidR="004833E2" w:rsidRPr="00B14A85" w:rsidRDefault="00842DD0" w:rsidP="003B36FE">
            <w:pPr>
              <w:rPr>
                <w:noProof/>
                <w:lang w:val="en-GB"/>
              </w:rPr>
            </w:pPr>
            <w:r w:rsidRPr="00B14A85">
              <w:rPr>
                <w:noProof/>
                <w:lang w:val="en-GB"/>
              </w:rPr>
              <w:t>Linear</w:t>
            </w:r>
          </w:p>
        </w:tc>
      </w:tr>
      <w:tr w:rsidR="00842DD0" w:rsidRPr="00B14A85" w14:paraId="33F0A826" w14:textId="77777777" w:rsidTr="0065309E">
        <w:tc>
          <w:tcPr>
            <w:tcW w:w="704" w:type="dxa"/>
          </w:tcPr>
          <w:p w14:paraId="647B2FE6" w14:textId="326F83D6" w:rsidR="00842DD0" w:rsidRPr="00B14A85" w:rsidRDefault="00842DD0" w:rsidP="003B36FE">
            <w:pPr>
              <w:rPr>
                <w:noProof/>
                <w:lang w:val="en-GB"/>
              </w:rPr>
            </w:pPr>
            <w:r w:rsidRPr="00B14A85">
              <w:rPr>
                <w:noProof/>
                <w:lang w:val="en-GB"/>
              </w:rPr>
              <w:t>5</w:t>
            </w:r>
          </w:p>
        </w:tc>
        <w:tc>
          <w:tcPr>
            <w:tcW w:w="2819" w:type="dxa"/>
          </w:tcPr>
          <w:p w14:paraId="64E98223" w14:textId="0697521D" w:rsidR="00842DD0" w:rsidRPr="00B14A85" w:rsidRDefault="00842DD0" w:rsidP="003B36FE">
            <w:pPr>
              <w:rPr>
                <w:noProof/>
                <w:lang w:val="en-GB"/>
              </w:rPr>
            </w:pPr>
            <w:r w:rsidRPr="00B14A85">
              <w:rPr>
                <w:noProof/>
                <w:lang w:val="en-GB"/>
              </w:rPr>
              <w:t>COVID-19 vaccination</w:t>
            </w:r>
          </w:p>
        </w:tc>
        <w:tc>
          <w:tcPr>
            <w:tcW w:w="1410" w:type="dxa"/>
          </w:tcPr>
          <w:p w14:paraId="6D327505" w14:textId="7C8855DE" w:rsidR="00842DD0" w:rsidRPr="00B14A85" w:rsidRDefault="00734DA7" w:rsidP="003B36FE">
            <w:pPr>
              <w:rPr>
                <w:noProof/>
                <w:lang w:val="en-GB"/>
              </w:rPr>
            </w:pPr>
            <w:r w:rsidRPr="00B14A85">
              <w:rPr>
                <w:noProof/>
                <w:lang w:val="en-GB"/>
              </w:rPr>
              <w:t>-1102.9</w:t>
            </w:r>
          </w:p>
        </w:tc>
        <w:tc>
          <w:tcPr>
            <w:tcW w:w="1362" w:type="dxa"/>
          </w:tcPr>
          <w:p w14:paraId="43C027C5" w14:textId="6BF02EDE" w:rsidR="00842DD0" w:rsidRPr="00B14A85" w:rsidRDefault="00734DA7" w:rsidP="003B36FE">
            <w:pPr>
              <w:rPr>
                <w:noProof/>
                <w:lang w:val="en-GB"/>
              </w:rPr>
            </w:pPr>
            <w:r w:rsidRPr="00B14A85">
              <w:rPr>
                <w:noProof/>
                <w:lang w:val="en-GB"/>
              </w:rPr>
              <w:t>0.194</w:t>
            </w:r>
          </w:p>
        </w:tc>
        <w:tc>
          <w:tcPr>
            <w:tcW w:w="1260" w:type="dxa"/>
          </w:tcPr>
          <w:p w14:paraId="3DC27A39" w14:textId="4686117B" w:rsidR="00842DD0" w:rsidRPr="00B14A85" w:rsidRDefault="00734DA7" w:rsidP="003B36FE">
            <w:pPr>
              <w:rPr>
                <w:noProof/>
                <w:lang w:val="en-GB"/>
              </w:rPr>
            </w:pPr>
            <w:r w:rsidRPr="00B14A85">
              <w:rPr>
                <w:noProof/>
                <w:lang w:val="en-GB"/>
              </w:rPr>
              <w:t>0.74</w:t>
            </w:r>
          </w:p>
        </w:tc>
        <w:tc>
          <w:tcPr>
            <w:tcW w:w="1795" w:type="dxa"/>
          </w:tcPr>
          <w:p w14:paraId="68D7A563" w14:textId="0320E413" w:rsidR="00842DD0" w:rsidRPr="00B14A85" w:rsidRDefault="00734DA7" w:rsidP="003B36FE">
            <w:pPr>
              <w:rPr>
                <w:noProof/>
                <w:lang w:val="en-GB"/>
              </w:rPr>
            </w:pPr>
            <w:r w:rsidRPr="00B14A85">
              <w:rPr>
                <w:noProof/>
                <w:lang w:val="en-GB"/>
              </w:rPr>
              <w:t>Linear</w:t>
            </w:r>
          </w:p>
        </w:tc>
      </w:tr>
      <w:tr w:rsidR="00842DD0" w:rsidRPr="00B14A85" w14:paraId="5786C853" w14:textId="77777777" w:rsidTr="0065309E">
        <w:tc>
          <w:tcPr>
            <w:tcW w:w="704" w:type="dxa"/>
          </w:tcPr>
          <w:p w14:paraId="5011180B" w14:textId="68BFFD3A" w:rsidR="00842DD0" w:rsidRPr="00B14A85" w:rsidRDefault="00842DD0" w:rsidP="003B36FE">
            <w:pPr>
              <w:rPr>
                <w:noProof/>
                <w:lang w:val="en-GB"/>
              </w:rPr>
            </w:pPr>
            <w:r w:rsidRPr="00B14A85">
              <w:rPr>
                <w:noProof/>
                <w:lang w:val="en-GB"/>
              </w:rPr>
              <w:t>6</w:t>
            </w:r>
          </w:p>
        </w:tc>
        <w:tc>
          <w:tcPr>
            <w:tcW w:w="2819" w:type="dxa"/>
          </w:tcPr>
          <w:p w14:paraId="3AD43391" w14:textId="0FBC6D92" w:rsidR="00842DD0" w:rsidRPr="00B14A85" w:rsidRDefault="00842DD0" w:rsidP="003B36FE">
            <w:pPr>
              <w:rPr>
                <w:noProof/>
                <w:lang w:val="en-GB"/>
              </w:rPr>
            </w:pPr>
            <w:r w:rsidRPr="00B14A85">
              <w:rPr>
                <w:noProof/>
                <w:lang w:val="en-GB"/>
              </w:rPr>
              <w:t>COVID-19 burden</w:t>
            </w:r>
          </w:p>
        </w:tc>
        <w:tc>
          <w:tcPr>
            <w:tcW w:w="1410" w:type="dxa"/>
          </w:tcPr>
          <w:p w14:paraId="79CB05C8" w14:textId="5A331E92" w:rsidR="00842DD0" w:rsidRPr="00B14A85" w:rsidRDefault="00642D63" w:rsidP="003B36FE">
            <w:pPr>
              <w:rPr>
                <w:noProof/>
                <w:lang w:val="en-GB"/>
              </w:rPr>
            </w:pPr>
            <w:r w:rsidRPr="00B14A85">
              <w:rPr>
                <w:noProof/>
                <w:lang w:val="en-GB"/>
              </w:rPr>
              <w:t>-1108.0</w:t>
            </w:r>
          </w:p>
        </w:tc>
        <w:tc>
          <w:tcPr>
            <w:tcW w:w="1362" w:type="dxa"/>
          </w:tcPr>
          <w:p w14:paraId="7CA9CE20" w14:textId="2D1E3FF5" w:rsidR="00842DD0" w:rsidRPr="00B14A85" w:rsidRDefault="008F7132" w:rsidP="003B36FE">
            <w:pPr>
              <w:rPr>
                <w:noProof/>
                <w:lang w:val="en-GB"/>
              </w:rPr>
            </w:pPr>
            <w:r w:rsidRPr="00B14A85">
              <w:rPr>
                <w:noProof/>
                <w:lang w:val="en-GB"/>
              </w:rPr>
              <w:t>0.21</w:t>
            </w:r>
          </w:p>
        </w:tc>
        <w:tc>
          <w:tcPr>
            <w:tcW w:w="1260" w:type="dxa"/>
          </w:tcPr>
          <w:p w14:paraId="1955A73A" w14:textId="17526F71" w:rsidR="00842DD0" w:rsidRPr="00B14A85" w:rsidRDefault="008F7132" w:rsidP="003B36FE">
            <w:pPr>
              <w:rPr>
                <w:noProof/>
                <w:lang w:val="en-GB"/>
              </w:rPr>
            </w:pPr>
            <w:r w:rsidRPr="00B14A85">
              <w:rPr>
                <w:noProof/>
                <w:lang w:val="en-GB"/>
              </w:rPr>
              <w:t>0.02</w:t>
            </w:r>
          </w:p>
        </w:tc>
        <w:tc>
          <w:tcPr>
            <w:tcW w:w="1795" w:type="dxa"/>
          </w:tcPr>
          <w:p w14:paraId="05FD0A74" w14:textId="67F83508" w:rsidR="00842DD0" w:rsidRPr="00B14A85" w:rsidRDefault="00642D63" w:rsidP="003B36FE">
            <w:pPr>
              <w:rPr>
                <w:noProof/>
                <w:lang w:val="en-GB"/>
              </w:rPr>
            </w:pPr>
            <w:r w:rsidRPr="00B14A85">
              <w:rPr>
                <w:noProof/>
                <w:lang w:val="en-GB"/>
              </w:rPr>
              <w:t>Linear</w:t>
            </w:r>
          </w:p>
        </w:tc>
      </w:tr>
      <w:tr w:rsidR="00842DD0" w:rsidRPr="00B14A85" w14:paraId="01C3668C" w14:textId="77777777" w:rsidTr="0065309E">
        <w:tc>
          <w:tcPr>
            <w:tcW w:w="704" w:type="dxa"/>
          </w:tcPr>
          <w:p w14:paraId="02FF53C8" w14:textId="7628AAC4" w:rsidR="00842DD0" w:rsidRPr="00B14A85" w:rsidRDefault="00642D63" w:rsidP="003B36FE">
            <w:pPr>
              <w:rPr>
                <w:noProof/>
                <w:lang w:val="en-GB"/>
              </w:rPr>
            </w:pPr>
            <w:r w:rsidRPr="00B14A85">
              <w:rPr>
                <w:noProof/>
                <w:lang w:val="en-GB"/>
              </w:rPr>
              <w:t>7</w:t>
            </w:r>
          </w:p>
        </w:tc>
        <w:tc>
          <w:tcPr>
            <w:tcW w:w="2819" w:type="dxa"/>
          </w:tcPr>
          <w:p w14:paraId="7F6E6B26" w14:textId="77777777" w:rsidR="00842DD0" w:rsidRPr="00B14A85" w:rsidRDefault="00642D63" w:rsidP="003B36FE">
            <w:pPr>
              <w:rPr>
                <w:noProof/>
                <w:lang w:val="en-GB"/>
              </w:rPr>
            </w:pPr>
            <w:r w:rsidRPr="00B14A85">
              <w:rPr>
                <w:noProof/>
                <w:lang w:val="en-GB"/>
              </w:rPr>
              <w:t>Health policy</w:t>
            </w:r>
            <w:r w:rsidR="00FD0A83" w:rsidRPr="00B14A85">
              <w:rPr>
                <w:noProof/>
                <w:lang w:val="en-GB"/>
              </w:rPr>
              <w:t xml:space="preserve"> PC1</w:t>
            </w:r>
          </w:p>
          <w:p w14:paraId="183DC679" w14:textId="2B1F805B" w:rsidR="00FD0A83" w:rsidRPr="00B14A85" w:rsidRDefault="00FD0A83" w:rsidP="003B36FE">
            <w:pPr>
              <w:rPr>
                <w:noProof/>
                <w:lang w:val="en-GB"/>
              </w:rPr>
            </w:pPr>
            <w:r w:rsidRPr="00B14A85">
              <w:rPr>
                <w:noProof/>
                <w:lang w:val="en-GB"/>
              </w:rPr>
              <w:t>Health policy PC2</w:t>
            </w:r>
          </w:p>
        </w:tc>
        <w:tc>
          <w:tcPr>
            <w:tcW w:w="1410" w:type="dxa"/>
          </w:tcPr>
          <w:p w14:paraId="14F3C6E3" w14:textId="4F5232D4" w:rsidR="00842DD0" w:rsidRPr="00B14A85" w:rsidRDefault="00924C0A" w:rsidP="003B36FE">
            <w:pPr>
              <w:rPr>
                <w:noProof/>
                <w:lang w:val="en-GB"/>
              </w:rPr>
            </w:pPr>
            <w:r w:rsidRPr="00B14A85">
              <w:rPr>
                <w:noProof/>
                <w:lang w:val="en-GB"/>
              </w:rPr>
              <w:t>-1098.9</w:t>
            </w:r>
          </w:p>
        </w:tc>
        <w:tc>
          <w:tcPr>
            <w:tcW w:w="1362" w:type="dxa"/>
          </w:tcPr>
          <w:p w14:paraId="67219C0C" w14:textId="6FC7DCD3" w:rsidR="00842DD0" w:rsidRPr="00B14A85" w:rsidRDefault="00FD0A83" w:rsidP="003B36FE">
            <w:pPr>
              <w:rPr>
                <w:noProof/>
                <w:lang w:val="en-GB"/>
              </w:rPr>
            </w:pPr>
            <w:r w:rsidRPr="00B14A85">
              <w:rPr>
                <w:noProof/>
                <w:lang w:val="en-GB"/>
              </w:rPr>
              <w:t>0.195</w:t>
            </w:r>
          </w:p>
        </w:tc>
        <w:tc>
          <w:tcPr>
            <w:tcW w:w="1260" w:type="dxa"/>
          </w:tcPr>
          <w:p w14:paraId="5E20CF44" w14:textId="77777777" w:rsidR="00842DD0" w:rsidRPr="00B14A85" w:rsidRDefault="00FD0A83" w:rsidP="003B36FE">
            <w:pPr>
              <w:rPr>
                <w:noProof/>
                <w:lang w:val="en-GB"/>
              </w:rPr>
            </w:pPr>
            <w:r w:rsidRPr="00B14A85">
              <w:rPr>
                <w:noProof/>
                <w:lang w:val="en-GB"/>
              </w:rPr>
              <w:t>0.16</w:t>
            </w:r>
          </w:p>
          <w:p w14:paraId="0F6C714C" w14:textId="1D441072" w:rsidR="00FD0A83" w:rsidRPr="00B14A85" w:rsidRDefault="00FD0A83" w:rsidP="003B36FE">
            <w:pPr>
              <w:rPr>
                <w:noProof/>
                <w:lang w:val="en-GB"/>
              </w:rPr>
            </w:pPr>
            <w:r w:rsidRPr="00B14A85">
              <w:rPr>
                <w:noProof/>
                <w:lang w:val="en-GB"/>
              </w:rPr>
              <w:t>0.94</w:t>
            </w:r>
          </w:p>
        </w:tc>
        <w:tc>
          <w:tcPr>
            <w:tcW w:w="1795" w:type="dxa"/>
          </w:tcPr>
          <w:p w14:paraId="54B47367" w14:textId="77777777" w:rsidR="00842DD0" w:rsidRPr="00B14A85" w:rsidRDefault="00FD0A83" w:rsidP="003B36FE">
            <w:pPr>
              <w:rPr>
                <w:noProof/>
                <w:lang w:val="en-GB"/>
              </w:rPr>
            </w:pPr>
            <w:r w:rsidRPr="00B14A85">
              <w:rPr>
                <w:noProof/>
                <w:lang w:val="en-GB"/>
              </w:rPr>
              <w:t>Linear</w:t>
            </w:r>
          </w:p>
          <w:p w14:paraId="4E432A87" w14:textId="43F01870" w:rsidR="00FD0A83" w:rsidRPr="00B14A85" w:rsidRDefault="00FD0A83" w:rsidP="003B36FE">
            <w:pPr>
              <w:rPr>
                <w:noProof/>
                <w:lang w:val="en-GB"/>
              </w:rPr>
            </w:pPr>
            <w:r w:rsidRPr="00B14A85">
              <w:rPr>
                <w:noProof/>
                <w:lang w:val="en-GB"/>
              </w:rPr>
              <w:t>Linear</w:t>
            </w:r>
          </w:p>
        </w:tc>
      </w:tr>
      <w:tr w:rsidR="00642D63" w:rsidRPr="00B14A85" w14:paraId="308521D3" w14:textId="77777777" w:rsidTr="0065309E">
        <w:tc>
          <w:tcPr>
            <w:tcW w:w="704" w:type="dxa"/>
          </w:tcPr>
          <w:p w14:paraId="02ABB747" w14:textId="7E6F696D" w:rsidR="00642D63" w:rsidRPr="00B14A85" w:rsidRDefault="00642D63" w:rsidP="003B36FE">
            <w:pPr>
              <w:rPr>
                <w:noProof/>
                <w:lang w:val="en-GB"/>
              </w:rPr>
            </w:pPr>
            <w:r w:rsidRPr="00B14A85">
              <w:rPr>
                <w:noProof/>
                <w:lang w:val="en-GB"/>
              </w:rPr>
              <w:t>8</w:t>
            </w:r>
          </w:p>
        </w:tc>
        <w:tc>
          <w:tcPr>
            <w:tcW w:w="2819" w:type="dxa"/>
          </w:tcPr>
          <w:p w14:paraId="10A2D352" w14:textId="28F25986" w:rsidR="00642D63" w:rsidRPr="00B14A85" w:rsidRDefault="00347D69" w:rsidP="003B36FE">
            <w:pPr>
              <w:rPr>
                <w:noProof/>
                <w:lang w:val="en-GB"/>
              </w:rPr>
            </w:pPr>
            <w:r w:rsidRPr="00B14A85">
              <w:rPr>
                <w:noProof/>
                <w:lang w:val="en-GB"/>
              </w:rPr>
              <w:t>Government health expenditure</w:t>
            </w:r>
          </w:p>
        </w:tc>
        <w:tc>
          <w:tcPr>
            <w:tcW w:w="1410" w:type="dxa"/>
          </w:tcPr>
          <w:p w14:paraId="5191B0EE" w14:textId="57E112F0" w:rsidR="00642D63" w:rsidRPr="00B14A85" w:rsidRDefault="002075EC" w:rsidP="003B36FE">
            <w:pPr>
              <w:rPr>
                <w:noProof/>
                <w:lang w:val="en-GB"/>
              </w:rPr>
            </w:pPr>
            <w:r w:rsidRPr="00B14A85">
              <w:rPr>
                <w:noProof/>
                <w:lang w:val="en-GB"/>
              </w:rPr>
              <w:t>-1103.7</w:t>
            </w:r>
          </w:p>
        </w:tc>
        <w:tc>
          <w:tcPr>
            <w:tcW w:w="1362" w:type="dxa"/>
          </w:tcPr>
          <w:p w14:paraId="5D3D7785" w14:textId="611784AF" w:rsidR="00642D63" w:rsidRPr="00B14A85" w:rsidRDefault="002075EC" w:rsidP="003B36FE">
            <w:pPr>
              <w:rPr>
                <w:noProof/>
                <w:lang w:val="en-GB"/>
              </w:rPr>
            </w:pPr>
            <w:r w:rsidRPr="00B14A85">
              <w:rPr>
                <w:noProof/>
                <w:lang w:val="en-GB"/>
              </w:rPr>
              <w:t>0.195</w:t>
            </w:r>
          </w:p>
        </w:tc>
        <w:tc>
          <w:tcPr>
            <w:tcW w:w="1260" w:type="dxa"/>
          </w:tcPr>
          <w:p w14:paraId="1A1F1A16" w14:textId="4DA26B11" w:rsidR="00642D63" w:rsidRPr="00B14A85" w:rsidRDefault="002075EC" w:rsidP="003B36FE">
            <w:pPr>
              <w:rPr>
                <w:noProof/>
                <w:lang w:val="en-GB"/>
              </w:rPr>
            </w:pPr>
            <w:r w:rsidRPr="00B14A85">
              <w:rPr>
                <w:noProof/>
                <w:lang w:val="en-GB"/>
              </w:rPr>
              <w:t>0.33</w:t>
            </w:r>
          </w:p>
        </w:tc>
        <w:tc>
          <w:tcPr>
            <w:tcW w:w="1795" w:type="dxa"/>
          </w:tcPr>
          <w:p w14:paraId="36387FA1" w14:textId="6DE4905E" w:rsidR="00642D63" w:rsidRPr="00B14A85" w:rsidRDefault="00347D69" w:rsidP="003B36FE">
            <w:pPr>
              <w:rPr>
                <w:noProof/>
                <w:lang w:val="en-GB"/>
              </w:rPr>
            </w:pPr>
            <w:r w:rsidRPr="00B14A85">
              <w:rPr>
                <w:noProof/>
                <w:lang w:val="en-GB"/>
              </w:rPr>
              <w:t>Linear</w:t>
            </w:r>
          </w:p>
        </w:tc>
      </w:tr>
      <w:tr w:rsidR="00347D69" w:rsidRPr="00B14A85" w14:paraId="05B56098" w14:textId="77777777" w:rsidTr="0065309E">
        <w:tc>
          <w:tcPr>
            <w:tcW w:w="704" w:type="dxa"/>
          </w:tcPr>
          <w:p w14:paraId="028A808D" w14:textId="744C3D10" w:rsidR="00347D69" w:rsidRPr="00B14A85" w:rsidRDefault="00347D69" w:rsidP="003B36FE">
            <w:pPr>
              <w:rPr>
                <w:noProof/>
                <w:lang w:val="en-GB"/>
              </w:rPr>
            </w:pPr>
            <w:r w:rsidRPr="00B14A85">
              <w:rPr>
                <w:noProof/>
                <w:lang w:val="en-GB"/>
              </w:rPr>
              <w:t>9</w:t>
            </w:r>
          </w:p>
        </w:tc>
        <w:tc>
          <w:tcPr>
            <w:tcW w:w="2819" w:type="dxa"/>
          </w:tcPr>
          <w:p w14:paraId="16725F6A" w14:textId="17CBD50F" w:rsidR="00347D69" w:rsidRPr="00B14A85" w:rsidRDefault="00347D69" w:rsidP="003B36FE">
            <w:pPr>
              <w:rPr>
                <w:noProof/>
                <w:lang w:val="en-GB"/>
              </w:rPr>
            </w:pPr>
            <w:r w:rsidRPr="00B14A85">
              <w:rPr>
                <w:noProof/>
                <w:lang w:val="en-GB"/>
              </w:rPr>
              <w:t>External health expenditure</w:t>
            </w:r>
          </w:p>
        </w:tc>
        <w:tc>
          <w:tcPr>
            <w:tcW w:w="1410" w:type="dxa"/>
          </w:tcPr>
          <w:p w14:paraId="3CC33635" w14:textId="38FB3B8D" w:rsidR="00347D69" w:rsidRPr="00B14A85" w:rsidRDefault="00ED45C5" w:rsidP="003B36FE">
            <w:pPr>
              <w:rPr>
                <w:noProof/>
                <w:lang w:val="en-GB"/>
              </w:rPr>
            </w:pPr>
            <w:r w:rsidRPr="00B14A85">
              <w:rPr>
                <w:noProof/>
                <w:lang w:val="en-GB"/>
              </w:rPr>
              <w:t>-1106.3</w:t>
            </w:r>
          </w:p>
        </w:tc>
        <w:tc>
          <w:tcPr>
            <w:tcW w:w="1362" w:type="dxa"/>
          </w:tcPr>
          <w:p w14:paraId="280371C9" w14:textId="2D91EF31" w:rsidR="00347D69" w:rsidRPr="00B14A85" w:rsidRDefault="002075EC" w:rsidP="003B36FE">
            <w:pPr>
              <w:rPr>
                <w:noProof/>
                <w:lang w:val="en-GB"/>
              </w:rPr>
            </w:pPr>
            <w:r w:rsidRPr="00B14A85">
              <w:rPr>
                <w:noProof/>
                <w:lang w:val="en-GB"/>
              </w:rPr>
              <w:t>0.201</w:t>
            </w:r>
          </w:p>
        </w:tc>
        <w:tc>
          <w:tcPr>
            <w:tcW w:w="1260" w:type="dxa"/>
          </w:tcPr>
          <w:p w14:paraId="27310064" w14:textId="7A4260DF" w:rsidR="00347D69" w:rsidRPr="00B14A85" w:rsidRDefault="002075EC" w:rsidP="003B36FE">
            <w:pPr>
              <w:rPr>
                <w:noProof/>
                <w:lang w:val="en-GB"/>
              </w:rPr>
            </w:pPr>
            <w:r w:rsidRPr="00B14A85">
              <w:rPr>
                <w:noProof/>
                <w:lang w:val="en-GB"/>
              </w:rPr>
              <w:t>0.063</w:t>
            </w:r>
          </w:p>
        </w:tc>
        <w:tc>
          <w:tcPr>
            <w:tcW w:w="1795" w:type="dxa"/>
          </w:tcPr>
          <w:p w14:paraId="1DE8C409" w14:textId="4261982D" w:rsidR="00347D69" w:rsidRPr="00B14A85" w:rsidRDefault="00347D69" w:rsidP="003B36FE">
            <w:pPr>
              <w:rPr>
                <w:noProof/>
                <w:lang w:val="en-GB"/>
              </w:rPr>
            </w:pPr>
            <w:r w:rsidRPr="00B14A85">
              <w:rPr>
                <w:noProof/>
                <w:lang w:val="en-GB"/>
              </w:rPr>
              <w:t>Linear</w:t>
            </w:r>
          </w:p>
        </w:tc>
      </w:tr>
      <w:tr w:rsidR="00347D69" w:rsidRPr="00B14A85" w14:paraId="0EE45009" w14:textId="77777777" w:rsidTr="0065309E">
        <w:tc>
          <w:tcPr>
            <w:tcW w:w="704" w:type="dxa"/>
          </w:tcPr>
          <w:p w14:paraId="3CBBA959" w14:textId="764D4953" w:rsidR="00347D69" w:rsidRPr="00B14A85" w:rsidRDefault="00347D69" w:rsidP="003B36FE">
            <w:pPr>
              <w:rPr>
                <w:noProof/>
                <w:lang w:val="en-GB"/>
              </w:rPr>
            </w:pPr>
            <w:r w:rsidRPr="00B14A85">
              <w:rPr>
                <w:noProof/>
                <w:lang w:val="en-GB"/>
              </w:rPr>
              <w:t>10</w:t>
            </w:r>
          </w:p>
        </w:tc>
        <w:tc>
          <w:tcPr>
            <w:tcW w:w="2819" w:type="dxa"/>
          </w:tcPr>
          <w:p w14:paraId="065C99BF" w14:textId="716BC14C" w:rsidR="00347D69" w:rsidRPr="00B14A85" w:rsidRDefault="00347D69" w:rsidP="003B36FE">
            <w:pPr>
              <w:rPr>
                <w:noProof/>
                <w:lang w:val="en-GB"/>
              </w:rPr>
            </w:pPr>
            <w:r w:rsidRPr="00B14A85">
              <w:rPr>
                <w:noProof/>
                <w:lang w:val="en-GB"/>
              </w:rPr>
              <w:t>Private health expenditure</w:t>
            </w:r>
          </w:p>
        </w:tc>
        <w:tc>
          <w:tcPr>
            <w:tcW w:w="1410" w:type="dxa"/>
          </w:tcPr>
          <w:p w14:paraId="2982E2C5" w14:textId="02E4697E" w:rsidR="00347D69" w:rsidRPr="00B14A85" w:rsidRDefault="00ED45C5" w:rsidP="003B36FE">
            <w:pPr>
              <w:rPr>
                <w:noProof/>
                <w:lang w:val="en-GB"/>
              </w:rPr>
            </w:pPr>
            <w:r w:rsidRPr="00B14A85">
              <w:rPr>
                <w:noProof/>
                <w:lang w:val="en-GB"/>
              </w:rPr>
              <w:t>-</w:t>
            </w:r>
            <w:r w:rsidR="00387AF6" w:rsidRPr="00B14A85">
              <w:rPr>
                <w:noProof/>
                <w:lang w:val="en-GB"/>
              </w:rPr>
              <w:t>1103.1</w:t>
            </w:r>
          </w:p>
        </w:tc>
        <w:tc>
          <w:tcPr>
            <w:tcW w:w="1362" w:type="dxa"/>
          </w:tcPr>
          <w:p w14:paraId="1D4263C1" w14:textId="7AE6F809" w:rsidR="00347D69" w:rsidRPr="00B14A85" w:rsidRDefault="00ED45C5" w:rsidP="003B36FE">
            <w:pPr>
              <w:rPr>
                <w:noProof/>
                <w:lang w:val="en-GB"/>
              </w:rPr>
            </w:pPr>
            <w:r w:rsidRPr="00B14A85">
              <w:rPr>
                <w:noProof/>
                <w:lang w:val="en-GB"/>
              </w:rPr>
              <w:t>0.194</w:t>
            </w:r>
          </w:p>
        </w:tc>
        <w:tc>
          <w:tcPr>
            <w:tcW w:w="1260" w:type="dxa"/>
          </w:tcPr>
          <w:p w14:paraId="16F9A1D5" w14:textId="1A43D611" w:rsidR="00347D69" w:rsidRPr="00B14A85" w:rsidRDefault="00ED45C5" w:rsidP="003B36FE">
            <w:pPr>
              <w:rPr>
                <w:noProof/>
                <w:lang w:val="en-GB"/>
              </w:rPr>
            </w:pPr>
            <w:r w:rsidRPr="00B14A85">
              <w:rPr>
                <w:noProof/>
                <w:lang w:val="en-GB"/>
              </w:rPr>
              <w:t>0.54</w:t>
            </w:r>
          </w:p>
        </w:tc>
        <w:tc>
          <w:tcPr>
            <w:tcW w:w="1795" w:type="dxa"/>
          </w:tcPr>
          <w:p w14:paraId="01C21D22" w14:textId="29D035AB" w:rsidR="00347D69" w:rsidRPr="00B14A85" w:rsidRDefault="00347D69" w:rsidP="003B36FE">
            <w:pPr>
              <w:rPr>
                <w:noProof/>
                <w:lang w:val="en-GB"/>
              </w:rPr>
            </w:pPr>
            <w:r w:rsidRPr="00B14A85">
              <w:rPr>
                <w:noProof/>
                <w:lang w:val="en-GB"/>
              </w:rPr>
              <w:t>Linear</w:t>
            </w:r>
          </w:p>
        </w:tc>
      </w:tr>
      <w:tr w:rsidR="00387AF6" w:rsidRPr="00B14A85" w14:paraId="32DB8FE8" w14:textId="77777777" w:rsidTr="0065309E">
        <w:tc>
          <w:tcPr>
            <w:tcW w:w="704" w:type="dxa"/>
          </w:tcPr>
          <w:p w14:paraId="0FDFDFFD" w14:textId="411C2E39" w:rsidR="00387AF6" w:rsidRPr="00B14A85" w:rsidRDefault="00387AF6" w:rsidP="003B36FE">
            <w:pPr>
              <w:rPr>
                <w:noProof/>
                <w:lang w:val="en-GB"/>
              </w:rPr>
            </w:pPr>
            <w:r w:rsidRPr="00B14A85">
              <w:rPr>
                <w:noProof/>
                <w:lang w:val="en-GB"/>
              </w:rPr>
              <w:t>11</w:t>
            </w:r>
          </w:p>
        </w:tc>
        <w:tc>
          <w:tcPr>
            <w:tcW w:w="2819" w:type="dxa"/>
          </w:tcPr>
          <w:p w14:paraId="1AA0AB67" w14:textId="5216E407" w:rsidR="00387AF6" w:rsidRPr="00B14A85" w:rsidRDefault="00387AF6" w:rsidP="003B36FE">
            <w:pPr>
              <w:rPr>
                <w:noProof/>
                <w:lang w:val="en-GB"/>
              </w:rPr>
            </w:pPr>
            <w:r w:rsidRPr="00B14A85">
              <w:rPr>
                <w:noProof/>
                <w:lang w:val="en-GB"/>
              </w:rPr>
              <w:t>Outside mobility</w:t>
            </w:r>
          </w:p>
        </w:tc>
        <w:tc>
          <w:tcPr>
            <w:tcW w:w="1410" w:type="dxa"/>
          </w:tcPr>
          <w:p w14:paraId="20DC54A1" w14:textId="5CB5F92C" w:rsidR="00387AF6" w:rsidRPr="00B14A85" w:rsidRDefault="0016132E" w:rsidP="003B36FE">
            <w:pPr>
              <w:rPr>
                <w:noProof/>
                <w:lang w:val="en-GB"/>
              </w:rPr>
            </w:pPr>
            <w:r w:rsidRPr="00B14A85">
              <w:rPr>
                <w:noProof/>
                <w:lang w:val="en-GB"/>
              </w:rPr>
              <w:t>-1108.0</w:t>
            </w:r>
          </w:p>
        </w:tc>
        <w:tc>
          <w:tcPr>
            <w:tcW w:w="1362" w:type="dxa"/>
          </w:tcPr>
          <w:p w14:paraId="3FA75F88" w14:textId="1983EE52" w:rsidR="00387AF6" w:rsidRPr="00B14A85" w:rsidRDefault="0016132E" w:rsidP="003B36FE">
            <w:pPr>
              <w:rPr>
                <w:noProof/>
                <w:lang w:val="en-GB"/>
              </w:rPr>
            </w:pPr>
            <w:r w:rsidRPr="00B14A85">
              <w:rPr>
                <w:noProof/>
                <w:lang w:val="en-GB"/>
              </w:rPr>
              <w:t>0.205</w:t>
            </w:r>
          </w:p>
        </w:tc>
        <w:tc>
          <w:tcPr>
            <w:tcW w:w="1260" w:type="dxa"/>
          </w:tcPr>
          <w:p w14:paraId="1308C358" w14:textId="0349E624" w:rsidR="00387AF6" w:rsidRPr="00B14A85" w:rsidRDefault="0016132E" w:rsidP="003B36FE">
            <w:pPr>
              <w:rPr>
                <w:noProof/>
                <w:lang w:val="en-GB"/>
              </w:rPr>
            </w:pPr>
            <w:r w:rsidRPr="00B14A85">
              <w:rPr>
                <w:noProof/>
                <w:lang w:val="en-GB"/>
              </w:rPr>
              <w:t>0.023</w:t>
            </w:r>
          </w:p>
        </w:tc>
        <w:tc>
          <w:tcPr>
            <w:tcW w:w="1795" w:type="dxa"/>
          </w:tcPr>
          <w:p w14:paraId="523ABFC3" w14:textId="08EAD43C" w:rsidR="00387AF6" w:rsidRPr="00B14A85" w:rsidRDefault="0016132E" w:rsidP="003B36FE">
            <w:pPr>
              <w:rPr>
                <w:noProof/>
                <w:lang w:val="en-GB"/>
              </w:rPr>
            </w:pPr>
            <w:r w:rsidRPr="00B14A85">
              <w:rPr>
                <w:noProof/>
                <w:lang w:val="en-GB"/>
              </w:rPr>
              <w:t>Linear</w:t>
            </w:r>
          </w:p>
        </w:tc>
      </w:tr>
      <w:tr w:rsidR="00387AF6" w:rsidRPr="00B14A85" w14:paraId="2302C67B" w14:textId="77777777" w:rsidTr="0065309E">
        <w:tc>
          <w:tcPr>
            <w:tcW w:w="704" w:type="dxa"/>
          </w:tcPr>
          <w:p w14:paraId="36A0B56B" w14:textId="5CA66E91" w:rsidR="00387AF6" w:rsidRPr="00B14A85" w:rsidRDefault="00387AF6" w:rsidP="003B36FE">
            <w:pPr>
              <w:rPr>
                <w:noProof/>
                <w:lang w:val="en-GB"/>
              </w:rPr>
            </w:pPr>
            <w:r w:rsidRPr="00B14A85">
              <w:rPr>
                <w:noProof/>
                <w:lang w:val="en-GB"/>
              </w:rPr>
              <w:t>12</w:t>
            </w:r>
          </w:p>
        </w:tc>
        <w:tc>
          <w:tcPr>
            <w:tcW w:w="2819" w:type="dxa"/>
          </w:tcPr>
          <w:p w14:paraId="4E5CA954" w14:textId="688387BF" w:rsidR="00387AF6" w:rsidRPr="00B14A85" w:rsidRDefault="00387AF6" w:rsidP="003B36FE">
            <w:pPr>
              <w:rPr>
                <w:noProof/>
                <w:lang w:val="en-GB"/>
              </w:rPr>
            </w:pPr>
            <w:r w:rsidRPr="00B14A85">
              <w:rPr>
                <w:noProof/>
                <w:lang w:val="en-GB"/>
              </w:rPr>
              <w:t>Residential mobility</w:t>
            </w:r>
          </w:p>
        </w:tc>
        <w:tc>
          <w:tcPr>
            <w:tcW w:w="1410" w:type="dxa"/>
          </w:tcPr>
          <w:p w14:paraId="53D8E517" w14:textId="500A860E" w:rsidR="00387AF6" w:rsidRPr="00B14A85" w:rsidRDefault="00860943" w:rsidP="003B36FE">
            <w:pPr>
              <w:rPr>
                <w:noProof/>
                <w:lang w:val="en-GB"/>
              </w:rPr>
            </w:pPr>
            <w:r w:rsidRPr="00B14A85">
              <w:rPr>
                <w:noProof/>
                <w:lang w:val="en-GB"/>
              </w:rPr>
              <w:t>-1103.6</w:t>
            </w:r>
          </w:p>
        </w:tc>
        <w:tc>
          <w:tcPr>
            <w:tcW w:w="1362" w:type="dxa"/>
          </w:tcPr>
          <w:p w14:paraId="42D97A92" w14:textId="79820262" w:rsidR="00387AF6" w:rsidRPr="00B14A85" w:rsidRDefault="00860943" w:rsidP="003B36FE">
            <w:pPr>
              <w:rPr>
                <w:noProof/>
                <w:lang w:val="en-GB"/>
              </w:rPr>
            </w:pPr>
            <w:r w:rsidRPr="00B14A85">
              <w:rPr>
                <w:noProof/>
                <w:lang w:val="en-GB"/>
              </w:rPr>
              <w:t>0.195</w:t>
            </w:r>
          </w:p>
        </w:tc>
        <w:tc>
          <w:tcPr>
            <w:tcW w:w="1260" w:type="dxa"/>
          </w:tcPr>
          <w:p w14:paraId="2C401D5D" w14:textId="485F750C" w:rsidR="00387AF6" w:rsidRPr="00B14A85" w:rsidRDefault="00860943" w:rsidP="003B36FE">
            <w:pPr>
              <w:rPr>
                <w:noProof/>
                <w:lang w:val="en-GB"/>
              </w:rPr>
            </w:pPr>
            <w:r w:rsidRPr="00B14A85">
              <w:rPr>
                <w:noProof/>
                <w:lang w:val="en-GB"/>
              </w:rPr>
              <w:t>0.36</w:t>
            </w:r>
          </w:p>
        </w:tc>
        <w:tc>
          <w:tcPr>
            <w:tcW w:w="1795" w:type="dxa"/>
          </w:tcPr>
          <w:p w14:paraId="32B348F6" w14:textId="0569E1BB" w:rsidR="00387AF6" w:rsidRPr="00B14A85" w:rsidRDefault="00860943" w:rsidP="003B36FE">
            <w:pPr>
              <w:rPr>
                <w:noProof/>
                <w:lang w:val="en-GB"/>
              </w:rPr>
            </w:pPr>
            <w:r w:rsidRPr="00B14A85">
              <w:rPr>
                <w:noProof/>
                <w:lang w:val="en-GB"/>
              </w:rPr>
              <w:t>Linear</w:t>
            </w:r>
          </w:p>
        </w:tc>
      </w:tr>
      <w:tr w:rsidR="00387AF6" w:rsidRPr="00B14A85" w14:paraId="34457984" w14:textId="77777777" w:rsidTr="0065309E">
        <w:tc>
          <w:tcPr>
            <w:tcW w:w="704" w:type="dxa"/>
          </w:tcPr>
          <w:p w14:paraId="721B85BA" w14:textId="02C7D5CA" w:rsidR="00387AF6" w:rsidRPr="00B14A85" w:rsidRDefault="00387AF6" w:rsidP="003B36FE">
            <w:pPr>
              <w:rPr>
                <w:noProof/>
                <w:lang w:val="en-GB"/>
              </w:rPr>
            </w:pPr>
            <w:r w:rsidRPr="00B14A85">
              <w:rPr>
                <w:noProof/>
                <w:lang w:val="en-GB"/>
              </w:rPr>
              <w:t>13</w:t>
            </w:r>
          </w:p>
        </w:tc>
        <w:tc>
          <w:tcPr>
            <w:tcW w:w="2819" w:type="dxa"/>
          </w:tcPr>
          <w:p w14:paraId="24E61547" w14:textId="4783E799" w:rsidR="00387AF6" w:rsidRPr="00B14A85" w:rsidRDefault="002046B4" w:rsidP="003B36FE">
            <w:pPr>
              <w:rPr>
                <w:noProof/>
                <w:lang w:val="en-GB"/>
              </w:rPr>
            </w:pPr>
            <w:r w:rsidRPr="00B14A85">
              <w:rPr>
                <w:noProof/>
                <w:lang w:val="en-GB"/>
              </w:rPr>
              <w:t>Containment policy</w:t>
            </w:r>
          </w:p>
        </w:tc>
        <w:tc>
          <w:tcPr>
            <w:tcW w:w="1410" w:type="dxa"/>
          </w:tcPr>
          <w:p w14:paraId="29CAFD11" w14:textId="17449F25" w:rsidR="00387AF6" w:rsidRPr="00B14A85" w:rsidRDefault="004342EC" w:rsidP="003B36FE">
            <w:pPr>
              <w:rPr>
                <w:noProof/>
                <w:lang w:val="en-GB"/>
              </w:rPr>
            </w:pPr>
            <w:r w:rsidRPr="00B14A85">
              <w:rPr>
                <w:noProof/>
                <w:lang w:val="en-GB"/>
              </w:rPr>
              <w:t>-1103.8</w:t>
            </w:r>
          </w:p>
        </w:tc>
        <w:tc>
          <w:tcPr>
            <w:tcW w:w="1362" w:type="dxa"/>
          </w:tcPr>
          <w:p w14:paraId="6B5B3876" w14:textId="52A08BDA" w:rsidR="00387AF6" w:rsidRPr="00B14A85" w:rsidRDefault="004342EC" w:rsidP="003B36FE">
            <w:pPr>
              <w:rPr>
                <w:noProof/>
                <w:lang w:val="en-GB"/>
              </w:rPr>
            </w:pPr>
            <w:r w:rsidRPr="00B14A85">
              <w:rPr>
                <w:noProof/>
                <w:lang w:val="en-GB"/>
              </w:rPr>
              <w:t>0.196</w:t>
            </w:r>
          </w:p>
        </w:tc>
        <w:tc>
          <w:tcPr>
            <w:tcW w:w="1260" w:type="dxa"/>
          </w:tcPr>
          <w:p w14:paraId="2591E50E" w14:textId="55776EA2" w:rsidR="00387AF6" w:rsidRPr="00B14A85" w:rsidRDefault="002046B4" w:rsidP="003B36FE">
            <w:pPr>
              <w:rPr>
                <w:noProof/>
                <w:lang w:val="en-GB"/>
              </w:rPr>
            </w:pPr>
            <w:r w:rsidRPr="00B14A85">
              <w:rPr>
                <w:noProof/>
                <w:lang w:val="en-GB"/>
              </w:rPr>
              <w:t>0.31</w:t>
            </w:r>
          </w:p>
        </w:tc>
        <w:tc>
          <w:tcPr>
            <w:tcW w:w="1795" w:type="dxa"/>
          </w:tcPr>
          <w:p w14:paraId="690D09FF" w14:textId="7F392CC3" w:rsidR="00387AF6" w:rsidRPr="00B14A85" w:rsidRDefault="002046B4" w:rsidP="003B36FE">
            <w:pPr>
              <w:rPr>
                <w:noProof/>
                <w:lang w:val="en-GB"/>
              </w:rPr>
            </w:pPr>
            <w:r w:rsidRPr="00B14A85">
              <w:rPr>
                <w:noProof/>
                <w:lang w:val="en-GB"/>
              </w:rPr>
              <w:t>Linear</w:t>
            </w:r>
          </w:p>
        </w:tc>
      </w:tr>
      <w:tr w:rsidR="002046B4" w:rsidRPr="00B14A85" w14:paraId="55E21957" w14:textId="77777777" w:rsidTr="0065309E">
        <w:tc>
          <w:tcPr>
            <w:tcW w:w="704" w:type="dxa"/>
          </w:tcPr>
          <w:p w14:paraId="6FF1A645" w14:textId="4EAA8E25" w:rsidR="002046B4" w:rsidRPr="00B14A85" w:rsidRDefault="002046B4" w:rsidP="003B36FE">
            <w:pPr>
              <w:rPr>
                <w:noProof/>
                <w:lang w:val="en-GB"/>
              </w:rPr>
            </w:pPr>
            <w:r w:rsidRPr="00B14A85">
              <w:rPr>
                <w:noProof/>
                <w:lang w:val="en-GB"/>
              </w:rPr>
              <w:t>14</w:t>
            </w:r>
          </w:p>
        </w:tc>
        <w:tc>
          <w:tcPr>
            <w:tcW w:w="2819" w:type="dxa"/>
          </w:tcPr>
          <w:p w14:paraId="2484A57F" w14:textId="309B2E51" w:rsidR="002046B4" w:rsidRPr="00B14A85" w:rsidRDefault="002046B4" w:rsidP="003B36FE">
            <w:pPr>
              <w:rPr>
                <w:noProof/>
                <w:lang w:val="en-GB"/>
              </w:rPr>
            </w:pPr>
            <w:r w:rsidRPr="00B14A85">
              <w:rPr>
                <w:noProof/>
                <w:lang w:val="en-GB"/>
              </w:rPr>
              <w:t>Economic policy</w:t>
            </w:r>
          </w:p>
        </w:tc>
        <w:tc>
          <w:tcPr>
            <w:tcW w:w="1410" w:type="dxa"/>
          </w:tcPr>
          <w:p w14:paraId="0FCDB981" w14:textId="493CA4DC" w:rsidR="002046B4" w:rsidRPr="00B14A85" w:rsidRDefault="00483D4F" w:rsidP="003B36FE">
            <w:pPr>
              <w:rPr>
                <w:noProof/>
                <w:lang w:val="en-GB"/>
              </w:rPr>
            </w:pPr>
            <w:r w:rsidRPr="00B14A85">
              <w:rPr>
                <w:noProof/>
                <w:lang w:val="en-GB"/>
              </w:rPr>
              <w:t>-1103.0</w:t>
            </w:r>
          </w:p>
        </w:tc>
        <w:tc>
          <w:tcPr>
            <w:tcW w:w="1362" w:type="dxa"/>
          </w:tcPr>
          <w:p w14:paraId="62523E76" w14:textId="6D3BDD65" w:rsidR="002046B4" w:rsidRPr="00B14A85" w:rsidRDefault="00483D4F" w:rsidP="003B36FE">
            <w:pPr>
              <w:rPr>
                <w:noProof/>
                <w:lang w:val="en-GB"/>
              </w:rPr>
            </w:pPr>
            <w:r w:rsidRPr="00B14A85">
              <w:rPr>
                <w:noProof/>
                <w:lang w:val="en-GB"/>
              </w:rPr>
              <w:t>0.194</w:t>
            </w:r>
          </w:p>
        </w:tc>
        <w:tc>
          <w:tcPr>
            <w:tcW w:w="1260" w:type="dxa"/>
          </w:tcPr>
          <w:p w14:paraId="08332257" w14:textId="71465645" w:rsidR="002046B4" w:rsidRPr="00B14A85" w:rsidRDefault="00483D4F" w:rsidP="003B36FE">
            <w:pPr>
              <w:rPr>
                <w:noProof/>
                <w:lang w:val="en-GB"/>
              </w:rPr>
            </w:pPr>
            <w:r w:rsidRPr="00B14A85">
              <w:rPr>
                <w:noProof/>
                <w:lang w:val="en-GB"/>
              </w:rPr>
              <w:t>0.62</w:t>
            </w:r>
          </w:p>
        </w:tc>
        <w:tc>
          <w:tcPr>
            <w:tcW w:w="1795" w:type="dxa"/>
          </w:tcPr>
          <w:p w14:paraId="2CB9258B" w14:textId="1E04B51C" w:rsidR="002046B4" w:rsidRPr="00B14A85" w:rsidRDefault="00483D4F" w:rsidP="003B36FE">
            <w:pPr>
              <w:rPr>
                <w:noProof/>
                <w:lang w:val="en-GB"/>
              </w:rPr>
            </w:pPr>
            <w:r w:rsidRPr="00B14A85">
              <w:rPr>
                <w:noProof/>
                <w:lang w:val="en-GB"/>
              </w:rPr>
              <w:t>Linear</w:t>
            </w:r>
          </w:p>
        </w:tc>
      </w:tr>
      <w:tr w:rsidR="002046B4" w:rsidRPr="00B14A85" w14:paraId="355F21B0" w14:textId="77777777" w:rsidTr="0065309E">
        <w:tc>
          <w:tcPr>
            <w:tcW w:w="704" w:type="dxa"/>
          </w:tcPr>
          <w:p w14:paraId="2ACF0EC0" w14:textId="0A50801A" w:rsidR="002046B4" w:rsidRPr="00B14A85" w:rsidRDefault="002046B4" w:rsidP="003B36FE">
            <w:pPr>
              <w:rPr>
                <w:noProof/>
                <w:lang w:val="en-GB"/>
              </w:rPr>
            </w:pPr>
            <w:r w:rsidRPr="00B14A85">
              <w:rPr>
                <w:noProof/>
                <w:lang w:val="en-GB"/>
              </w:rPr>
              <w:t>15</w:t>
            </w:r>
          </w:p>
        </w:tc>
        <w:tc>
          <w:tcPr>
            <w:tcW w:w="2819" w:type="dxa"/>
          </w:tcPr>
          <w:p w14:paraId="6475AE78" w14:textId="391133F6" w:rsidR="002046B4" w:rsidRPr="00B14A85" w:rsidRDefault="002046B4" w:rsidP="003B36FE">
            <w:pPr>
              <w:rPr>
                <w:noProof/>
                <w:lang w:val="en-GB"/>
              </w:rPr>
            </w:pPr>
            <w:r w:rsidRPr="00B14A85">
              <w:rPr>
                <w:noProof/>
                <w:lang w:val="en-GB"/>
              </w:rPr>
              <w:t>Country wealth</w:t>
            </w:r>
          </w:p>
        </w:tc>
        <w:tc>
          <w:tcPr>
            <w:tcW w:w="1410" w:type="dxa"/>
          </w:tcPr>
          <w:p w14:paraId="11B31FD1" w14:textId="30C9C497" w:rsidR="002046B4" w:rsidRPr="00B14A85" w:rsidRDefault="002D7049" w:rsidP="003B36FE">
            <w:pPr>
              <w:rPr>
                <w:noProof/>
                <w:lang w:val="en-GB"/>
              </w:rPr>
            </w:pPr>
            <w:r w:rsidRPr="00B14A85">
              <w:rPr>
                <w:noProof/>
                <w:lang w:val="en-GB"/>
              </w:rPr>
              <w:t>-1105.2</w:t>
            </w:r>
          </w:p>
        </w:tc>
        <w:tc>
          <w:tcPr>
            <w:tcW w:w="1362" w:type="dxa"/>
          </w:tcPr>
          <w:p w14:paraId="1FD84FD2" w14:textId="6ECD1CDB" w:rsidR="002046B4" w:rsidRPr="00B14A85" w:rsidRDefault="002D7049" w:rsidP="003B36FE">
            <w:pPr>
              <w:rPr>
                <w:noProof/>
                <w:lang w:val="en-GB"/>
              </w:rPr>
            </w:pPr>
            <w:r w:rsidRPr="00B14A85">
              <w:rPr>
                <w:noProof/>
                <w:lang w:val="en-GB"/>
              </w:rPr>
              <w:t>0.199</w:t>
            </w:r>
          </w:p>
        </w:tc>
        <w:tc>
          <w:tcPr>
            <w:tcW w:w="1260" w:type="dxa"/>
          </w:tcPr>
          <w:p w14:paraId="487AFC49" w14:textId="000700DE" w:rsidR="002046B4" w:rsidRPr="00B14A85" w:rsidRDefault="002D7049" w:rsidP="003B36FE">
            <w:pPr>
              <w:rPr>
                <w:noProof/>
                <w:lang w:val="en-GB"/>
              </w:rPr>
            </w:pPr>
            <w:r w:rsidRPr="00B14A85">
              <w:rPr>
                <w:noProof/>
                <w:lang w:val="en-GB"/>
              </w:rPr>
              <w:t>0.12</w:t>
            </w:r>
          </w:p>
        </w:tc>
        <w:tc>
          <w:tcPr>
            <w:tcW w:w="1795" w:type="dxa"/>
          </w:tcPr>
          <w:p w14:paraId="312D63EC" w14:textId="6DB3127C" w:rsidR="002046B4" w:rsidRPr="00B14A85" w:rsidRDefault="002D7049" w:rsidP="003B36FE">
            <w:pPr>
              <w:rPr>
                <w:noProof/>
                <w:lang w:val="en-GB"/>
              </w:rPr>
            </w:pPr>
            <w:r w:rsidRPr="00B14A85">
              <w:rPr>
                <w:noProof/>
                <w:lang w:val="en-GB"/>
              </w:rPr>
              <w:t>Linear</w:t>
            </w:r>
          </w:p>
        </w:tc>
      </w:tr>
    </w:tbl>
    <w:p w14:paraId="41693063" w14:textId="77777777" w:rsidR="003B36FE" w:rsidRDefault="003B36FE" w:rsidP="003B36FE">
      <w:pPr>
        <w:rPr>
          <w:b/>
          <w:bCs/>
          <w:noProof/>
          <w:lang w:val="en-GB"/>
        </w:rPr>
      </w:pPr>
    </w:p>
    <w:p w14:paraId="618F7568" w14:textId="3FD76D8B" w:rsidR="00867A75" w:rsidRDefault="00867A75" w:rsidP="001821DF">
      <w:pPr>
        <w:pStyle w:val="ListParagraph"/>
        <w:numPr>
          <w:ilvl w:val="0"/>
          <w:numId w:val="4"/>
        </w:numPr>
        <w:rPr>
          <w:b/>
          <w:bCs/>
          <w:noProof/>
          <w:lang w:val="en-GB"/>
        </w:rPr>
      </w:pPr>
      <w:r>
        <w:rPr>
          <w:b/>
          <w:bCs/>
          <w:noProof/>
          <w:lang w:val="en-GB"/>
        </w:rPr>
        <w:t>Further Discussion</w:t>
      </w:r>
    </w:p>
    <w:p w14:paraId="71F6005F" w14:textId="1E665FBD" w:rsidR="00867A75" w:rsidRPr="00F46FF7" w:rsidRDefault="00F46FF7" w:rsidP="00867A75">
      <w:pPr>
        <w:rPr>
          <w:noProof/>
          <w:lang w:val="en-GB"/>
        </w:rPr>
      </w:pPr>
      <w:r w:rsidRPr="00F46FF7">
        <w:rPr>
          <w:noProof/>
          <w:lang w:val="en-GB"/>
        </w:rPr>
        <w:t>High internal correlation between some predictors, as evidenced by Variance Inflation Factor (VIF) diagnostic analysis, may explain why Random Forest identified additional important variables compared to the linear regression, since collinearity can complicate interpretation of individual effects. VIF scores of over 5 indicate high correlation and this applied to: health workforce capacity (VIF = 5.61), government health financing (6.84), and health system strength (5.00). Country wealth also exhibited relatively high VIF score (4.69).</w:t>
      </w:r>
    </w:p>
    <w:p w14:paraId="04F4EFC1" w14:textId="054C7775" w:rsidR="001821DF" w:rsidRDefault="001821DF" w:rsidP="001821DF">
      <w:pPr>
        <w:pStyle w:val="ListParagraph"/>
        <w:numPr>
          <w:ilvl w:val="0"/>
          <w:numId w:val="4"/>
        </w:numPr>
        <w:rPr>
          <w:b/>
          <w:bCs/>
          <w:noProof/>
          <w:lang w:val="en-GB"/>
        </w:rPr>
      </w:pPr>
      <w:r>
        <w:rPr>
          <w:b/>
          <w:bCs/>
          <w:noProof/>
          <w:lang w:val="en-GB"/>
        </w:rPr>
        <w:t>Reproducibility</w:t>
      </w:r>
    </w:p>
    <w:p w14:paraId="5BFB42CA" w14:textId="0749941F" w:rsidR="00047BE3" w:rsidRPr="00047BE3" w:rsidRDefault="00047BE3" w:rsidP="00047BE3">
      <w:pPr>
        <w:spacing w:after="0" w:line="240" w:lineRule="auto"/>
        <w:rPr>
          <w:rFonts w:cs="Times New Roman"/>
          <w:sz w:val="24"/>
          <w:szCs w:val="24"/>
          <w:lang w:val="en-GB"/>
        </w:rPr>
      </w:pPr>
      <w:r w:rsidRPr="00047BE3">
        <w:rPr>
          <w:rFonts w:cs="Times New Roman"/>
          <w:sz w:val="24"/>
          <w:szCs w:val="24"/>
          <w:lang w:val="en-GB"/>
        </w:rPr>
        <w:t xml:space="preserve">All datasets are publicly available in our Git Hub repository </w:t>
      </w:r>
      <w:sdt>
        <w:sdtPr>
          <w:rPr>
            <w:color w:val="000000"/>
            <w:lang w:val="en-GB"/>
          </w:rPr>
          <w:tag w:val="MENDELEY_CITATION_v3_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"/>
          <w:id w:val="-1878842819"/>
          <w:placeholder>
            <w:docPart w:val="3207810ED6F543F593F2FD713250541A"/>
          </w:placeholder>
        </w:sdtPr>
        <w:sdtContent>
          <w:r w:rsidR="009B4B8B" w:rsidRPr="009B4B8B">
            <w:rPr>
              <w:rFonts w:cs="Times New Roman"/>
              <w:color w:val="000000"/>
              <w:sz w:val="24"/>
              <w:szCs w:val="24"/>
              <w:lang w:val="en-GB"/>
            </w:rPr>
            <w:t>[29]</w:t>
          </w:r>
        </w:sdtContent>
      </w:sdt>
      <w:r w:rsidRPr="00047BE3">
        <w:rPr>
          <w:rFonts w:cs="Times New Roman"/>
          <w:color w:val="000000"/>
          <w:sz w:val="24"/>
          <w:szCs w:val="24"/>
          <w:lang w:val="en-GB"/>
        </w:rPr>
        <w:t xml:space="preserve"> </w:t>
      </w:r>
      <w:r w:rsidRPr="00047BE3">
        <w:rPr>
          <w:rFonts w:cs="Times New Roman"/>
          <w:sz w:val="24"/>
          <w:szCs w:val="24"/>
          <w:lang w:val="en-GB"/>
        </w:rPr>
        <w:t xml:space="preserve">alongside the scripts for all analyses, which were conducted in R </w:t>
      </w:r>
      <w:sdt>
        <w:sdtPr>
          <w:rPr>
            <w:color w:val="000000"/>
            <w:lang w:val="en-GB"/>
          </w:rPr>
          <w:tag w:val="MENDELEY_CITATION_v3_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"/>
          <w:id w:val="881903562"/>
          <w:placeholder>
            <w:docPart w:val="3207810ED6F543F593F2FD713250541A"/>
          </w:placeholder>
        </w:sdtPr>
        <w:sdtContent>
          <w:r w:rsidR="009B4B8B" w:rsidRPr="009B4B8B">
            <w:rPr>
              <w:rFonts w:cs="Times New Roman"/>
              <w:color w:val="000000"/>
              <w:sz w:val="24"/>
              <w:szCs w:val="24"/>
              <w:lang w:val="en-GB"/>
            </w:rPr>
            <w:t>[30]</w:t>
          </w:r>
        </w:sdtContent>
      </w:sdt>
      <w:r w:rsidRPr="00047BE3">
        <w:rPr>
          <w:rFonts w:cs="Times New Roman"/>
          <w:color w:val="000000"/>
          <w:sz w:val="24"/>
          <w:szCs w:val="24"/>
          <w:lang w:val="en-GB"/>
        </w:rPr>
        <w:t xml:space="preserve">. Results can be reproduced through running the scripts </w:t>
      </w:r>
      <w:r w:rsidRPr="00047BE3">
        <w:rPr>
          <w:rFonts w:cs="Times New Roman"/>
          <w:sz w:val="24"/>
          <w:szCs w:val="24"/>
          <w:lang w:val="en-GB"/>
        </w:rPr>
        <w:t>using the simplified ‘</w:t>
      </w:r>
      <w:r w:rsidRPr="00047BE3">
        <w:rPr>
          <w:rFonts w:cs="Times New Roman"/>
          <w:i/>
          <w:iCs/>
          <w:sz w:val="24"/>
          <w:szCs w:val="24"/>
          <w:lang w:val="en-GB"/>
        </w:rPr>
        <w:t>reportfactory’</w:t>
      </w:r>
      <w:r w:rsidRPr="00047BE3">
        <w:rPr>
          <w:rFonts w:cs="Times New Roman"/>
          <w:sz w:val="24"/>
          <w:szCs w:val="24"/>
          <w:lang w:val="en-GB"/>
        </w:rPr>
        <w:t xml:space="preserve"> </w:t>
      </w:r>
      <w:sdt>
        <w:sdtPr>
          <w:rPr>
            <w:color w:val="000000"/>
            <w:lang w:val="en-GB"/>
          </w:rPr>
          <w:tag w:val="MENDELEY_CITATION_v3_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"/>
          <w:id w:val="1298646437"/>
          <w:placeholder>
            <w:docPart w:val="4DCE7729083B49538F47DBFFFC83A728"/>
          </w:placeholder>
        </w:sdtPr>
        <w:sdtContent>
          <w:r w:rsidR="009B4B8B" w:rsidRPr="009B4B8B">
            <w:rPr>
              <w:rFonts w:cs="Times New Roman"/>
              <w:color w:val="000000"/>
              <w:sz w:val="24"/>
              <w:szCs w:val="24"/>
              <w:lang w:val="en-GB"/>
            </w:rPr>
            <w:t>[31]</w:t>
          </w:r>
        </w:sdtContent>
      </w:sdt>
      <w:r w:rsidRPr="00047BE3">
        <w:rPr>
          <w:rFonts w:cs="Times New Roman"/>
          <w:color w:val="000000"/>
          <w:sz w:val="24"/>
          <w:szCs w:val="24"/>
          <w:lang w:val="en-GB"/>
        </w:rPr>
        <w:t xml:space="preserve"> </w:t>
      </w:r>
      <w:r w:rsidRPr="00047BE3">
        <w:rPr>
          <w:rFonts w:cs="Times New Roman"/>
          <w:sz w:val="24"/>
          <w:szCs w:val="24"/>
          <w:lang w:val="en-GB"/>
        </w:rPr>
        <w:t xml:space="preserve">commands. </w:t>
      </w:r>
      <w:r w:rsidRPr="00047BE3">
        <w:rPr>
          <w:rFonts w:cs="Times New Roman"/>
          <w:color w:val="000000"/>
          <w:sz w:val="24"/>
          <w:szCs w:val="24"/>
          <w:lang w:val="en-GB"/>
        </w:rPr>
        <w:t>Key packages include: ‘</w:t>
      </w:r>
      <w:r w:rsidRPr="00047BE3">
        <w:rPr>
          <w:rFonts w:cs="Times New Roman"/>
          <w:i/>
          <w:iCs/>
          <w:color w:val="000000"/>
          <w:sz w:val="24"/>
          <w:szCs w:val="24"/>
          <w:lang w:val="en-GB"/>
        </w:rPr>
        <w:t>tidyverse</w:t>
      </w:r>
      <w:r w:rsidRPr="00047BE3">
        <w:rPr>
          <w:rFonts w:cs="Times New Roman"/>
          <w:color w:val="000000"/>
          <w:sz w:val="24"/>
          <w:szCs w:val="24"/>
          <w:lang w:val="en-GB"/>
        </w:rPr>
        <w:t>’ and ‘</w:t>
      </w:r>
      <w:r w:rsidRPr="00047BE3">
        <w:rPr>
          <w:rFonts w:cs="Times New Roman"/>
          <w:i/>
          <w:iCs/>
          <w:color w:val="000000"/>
          <w:sz w:val="24"/>
          <w:szCs w:val="24"/>
          <w:lang w:val="en-GB"/>
        </w:rPr>
        <w:t>ggplot2</w:t>
      </w:r>
      <w:r w:rsidRPr="00047BE3">
        <w:rPr>
          <w:rFonts w:cs="Times New Roman"/>
          <w:color w:val="000000"/>
          <w:sz w:val="24"/>
          <w:szCs w:val="24"/>
          <w:lang w:val="en-GB"/>
        </w:rPr>
        <w:t xml:space="preserve">’ for data cleaning and visualisation </w:t>
      </w:r>
      <w:sdt>
        <w:sdtPr>
          <w:rPr>
            <w:color w:val="000000"/>
            <w:lang w:val="en-GB"/>
          </w:rPr>
          <w:tag w:val="MENDELEY_CITATION_v3_eyJjaXRhdGlvbklEIjoiTUVOREVMRVlfQ0lUQVRJT05fNTRlYTU0NzgtMWY3YS00ODhiLTkxOTktOGI3NTdkMzc2ZTUwIiwicHJvcGVydGllcyI6eyJub3RlSW5kZXgiOjB9LCJpc0VkaXRlZCI6ZmFsc2UsIm1hbnVhbE92ZXJyaWRlIjp7ImlzTWFudWFsbHlPdmVycmlkZGVuIjpmYWxzZSwiY2l0ZXByb2NUZXh0IjoiWzMyXSIsIm1hbnVhbE92ZXJyaWRlVGV4dCI6IiJ9LCJjaXRhdGlvbkl0ZW1zIjpbeyJpZCI6ImZmMTQxZTQ1LWRmODktM2IwZi04YmUyLTBlMjdjZDQ1YzFhMSIsIml0ZW1EYXRhIjp7InR5cGUiOiJhcnRpY2xlLWpvdXJuYWwiLCJpZCI6ImZmMTQxZTQ1LWRmODktM2IwZi04YmUyLTBlMjdjZDQ1YzFhM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EJyIsImdpdmVuIjoiTHVjeSIsInBhcnNlLW5hbWVzIjpmYWxzZSwiZHJvcHBpbmctcGFydGljbGUiOiIiLCJub24tZHJvcHBpbmctcGFydGljbGUiOiIifSx7ImZhbWlseSI6Ik1jZ293YW4iLCJnaXZlbiI6IkFnb3N0aW5v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cHVibGlzaGVyIjoiVGhlIE9wZW4gSm91cm5hbCIsImlzc3VlIjoiNDMiLCJ2b2x1bWUiOiI0In0sImlzVGVtcG9yYXJ5IjpmYWxzZX1dfQ=="/>
          <w:id w:val="-1260530137"/>
          <w:placeholder>
            <w:docPart w:val="3207810ED6F543F593F2FD713250541A"/>
          </w:placeholder>
        </w:sdtPr>
        <w:sdtContent>
          <w:r w:rsidR="009B4B8B" w:rsidRPr="009B4B8B">
            <w:rPr>
              <w:rFonts w:cs="Times New Roman"/>
              <w:color w:val="000000"/>
              <w:sz w:val="24"/>
              <w:szCs w:val="24"/>
              <w:lang w:val="en-GB"/>
            </w:rPr>
            <w:t>[32]</w:t>
          </w:r>
        </w:sdtContent>
      </w:sdt>
      <w:r w:rsidRPr="00047BE3">
        <w:rPr>
          <w:rFonts w:cs="Times New Roman"/>
          <w:color w:val="000000"/>
          <w:sz w:val="24"/>
          <w:szCs w:val="24"/>
          <w:lang w:val="en-GB"/>
        </w:rPr>
        <w:t>, ‘</w:t>
      </w:r>
      <w:r w:rsidRPr="00047BE3">
        <w:rPr>
          <w:rFonts w:cs="Times New Roman"/>
          <w:i/>
          <w:iCs/>
          <w:color w:val="000000"/>
          <w:sz w:val="24"/>
          <w:szCs w:val="24"/>
          <w:lang w:val="en-GB"/>
        </w:rPr>
        <w:t>stats</w:t>
      </w:r>
      <w:r w:rsidRPr="00047BE3">
        <w:rPr>
          <w:rFonts w:cs="Times New Roman"/>
          <w:color w:val="000000"/>
          <w:sz w:val="24"/>
          <w:szCs w:val="24"/>
          <w:lang w:val="en-GB"/>
        </w:rPr>
        <w:t xml:space="preserve">’ for PCA and linear regression </w:t>
      </w:r>
      <w:sdt>
        <w:sdtPr>
          <w:rPr>
            <w:color w:val="000000"/>
            <w:lang w:val="en-GB"/>
          </w:rPr>
          <w:tag w:val="MENDELEY_CITATION_v3_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"/>
          <w:id w:val="1148241195"/>
          <w:placeholder>
            <w:docPart w:val="3207810ED6F543F593F2FD713250541A"/>
          </w:placeholder>
        </w:sdtPr>
        <w:sdtContent>
          <w:r w:rsidR="009B4B8B" w:rsidRPr="009B4B8B">
            <w:rPr>
              <w:rFonts w:cs="Times New Roman"/>
              <w:color w:val="000000"/>
              <w:sz w:val="24"/>
              <w:szCs w:val="24"/>
              <w:lang w:val="en-GB"/>
            </w:rPr>
            <w:t>[30]</w:t>
          </w:r>
        </w:sdtContent>
      </w:sdt>
      <w:r w:rsidRPr="00047BE3">
        <w:rPr>
          <w:rFonts w:cs="Times New Roman"/>
          <w:color w:val="000000"/>
          <w:sz w:val="24"/>
          <w:szCs w:val="24"/>
          <w:lang w:val="en-GB"/>
        </w:rPr>
        <w:t>, ‘</w:t>
      </w:r>
      <w:r w:rsidRPr="00047BE3">
        <w:rPr>
          <w:rFonts w:cs="Times New Roman"/>
          <w:i/>
          <w:iCs/>
          <w:color w:val="000000"/>
          <w:sz w:val="24"/>
          <w:szCs w:val="24"/>
          <w:lang w:val="en-GB"/>
        </w:rPr>
        <w:t>caret</w:t>
      </w:r>
      <w:r w:rsidRPr="00047BE3">
        <w:rPr>
          <w:rFonts w:cs="Times New Roman"/>
          <w:color w:val="000000"/>
          <w:sz w:val="24"/>
          <w:szCs w:val="24"/>
          <w:lang w:val="en-GB"/>
        </w:rPr>
        <w:t xml:space="preserve">’ for Random Forest </w:t>
      </w:r>
      <w:sdt>
        <w:sdtPr>
          <w:rPr>
            <w:color w:val="000000"/>
            <w:lang w:val="en-GB"/>
          </w:rPr>
          <w:tag w:val="MENDELEY_CITATION_v3_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"/>
          <w:id w:val="686022410"/>
          <w:placeholder>
            <w:docPart w:val="3207810ED6F543F593F2FD713250541A"/>
          </w:placeholder>
        </w:sdtPr>
        <w:sdtContent>
          <w:r w:rsidR="009B4B8B" w:rsidRPr="009B4B8B">
            <w:rPr>
              <w:rFonts w:cs="Times New Roman"/>
              <w:color w:val="000000"/>
              <w:sz w:val="24"/>
              <w:szCs w:val="24"/>
              <w:lang w:val="en-GB"/>
            </w:rPr>
            <w:t>[33]</w:t>
          </w:r>
        </w:sdtContent>
      </w:sdt>
      <w:r w:rsidRPr="00047BE3">
        <w:rPr>
          <w:rFonts w:cs="Times New Roman"/>
          <w:color w:val="000000"/>
          <w:sz w:val="24"/>
          <w:szCs w:val="24"/>
          <w:lang w:val="en-GB"/>
        </w:rPr>
        <w:t>.</w:t>
      </w:r>
    </w:p>
    <w:p w14:paraId="4287278C" w14:textId="77777777" w:rsidR="001821DF" w:rsidRPr="001821DF" w:rsidRDefault="001821DF" w:rsidP="001821DF">
      <w:pPr>
        <w:rPr>
          <w:b/>
          <w:bCs/>
          <w:noProof/>
          <w:lang w:val="en-GB"/>
        </w:rPr>
      </w:pPr>
    </w:p>
    <w:p w14:paraId="4116C9B6" w14:textId="371D85B4" w:rsidR="00A83ED1" w:rsidRPr="00B14A85" w:rsidRDefault="00A83ED1" w:rsidP="00A83ED1">
      <w:pPr>
        <w:spacing w:line="240" w:lineRule="auto"/>
        <w:rPr>
          <w:b/>
          <w:bCs/>
          <w:noProof/>
          <w:lang w:val="en-GB"/>
        </w:rPr>
      </w:pPr>
      <w:r w:rsidRPr="00B14A85">
        <w:rPr>
          <w:b/>
          <w:bCs/>
          <w:noProof/>
          <w:lang w:val="en-GB"/>
        </w:rPr>
        <w:t>References</w:t>
      </w:r>
    </w:p>
    <w:sdt>
      <w:sdtPr>
        <w:rPr>
          <w:noProof/>
          <w:color w:val="000000"/>
          <w:lang w:val="en-GB"/>
        </w:rPr>
        <w:tag w:val="MENDELEY_BIBLIOGRAPHY"/>
        <w:id w:val="663203949"/>
        <w:placeholder>
          <w:docPart w:val="DefaultPlaceholder_-1854013440"/>
        </w:placeholder>
      </w:sdtPr>
      <w:sdtContent>
        <w:p w14:paraId="1EE748D3" w14:textId="77777777" w:rsidR="009B4B8B" w:rsidRDefault="009B4B8B">
          <w:pPr>
            <w:autoSpaceDE w:val="0"/>
            <w:autoSpaceDN w:val="0"/>
            <w:ind w:hanging="640"/>
            <w:divId w:val="251161463"/>
            <w:rPr>
              <w:rFonts w:eastAsia="Times New Roman"/>
              <w:kern w:val="0"/>
              <w:sz w:val="24"/>
              <w:szCs w:val="24"/>
              <w14:ligatures w14:val="none"/>
            </w:rPr>
          </w:pPr>
          <w:r>
            <w:rPr>
              <w:rFonts w:eastAsia="Times New Roman"/>
            </w:rPr>
            <w:t>[1]</w:t>
          </w:r>
          <w:r>
            <w:rPr>
              <w:rFonts w:eastAsia="Times New Roman"/>
            </w:rPr>
            <w:tab/>
            <w:t>Phillips DE, Dieleman JL, Lim SS, Shearer J. Determinants of effective vaccine coverage in low and middle-income countries: A systematic review and interpretive synthesis. BMC Health Serv Res 2017;17:1–17. https://doi.org/10.1186/S12913-017-2626-0/FIGURES/4.</w:t>
          </w:r>
        </w:p>
        <w:p w14:paraId="29E18BD0" w14:textId="77777777" w:rsidR="009B4B8B" w:rsidRDefault="009B4B8B">
          <w:pPr>
            <w:autoSpaceDE w:val="0"/>
            <w:autoSpaceDN w:val="0"/>
            <w:ind w:hanging="640"/>
            <w:divId w:val="1073430170"/>
            <w:rPr>
              <w:rFonts w:eastAsia="Times New Roman"/>
            </w:rPr>
          </w:pPr>
          <w:r>
            <w:rPr>
              <w:rFonts w:eastAsia="Times New Roman"/>
            </w:rPr>
            <w:t>[2]</w:t>
          </w:r>
          <w:r>
            <w:rPr>
              <w:rFonts w:eastAsia="Times New Roman"/>
            </w:rPr>
            <w:tab/>
            <w:t>O’brien KL, Lindstrand A, Cherian T, Chang-Blanc D, Feikin D. The Journal of Infectious Diseases The World of Immunization: Achievements, Challenges, and Strategic Vision for the Next Decade. The Journal of Infectious Diseases ® 2021;224:452–67. https://doi.org/10.1093/infdis/jiab284.</w:t>
          </w:r>
        </w:p>
        <w:p w14:paraId="4CBD7724" w14:textId="77777777" w:rsidR="009B4B8B" w:rsidRDefault="009B4B8B">
          <w:pPr>
            <w:autoSpaceDE w:val="0"/>
            <w:autoSpaceDN w:val="0"/>
            <w:ind w:hanging="640"/>
            <w:divId w:val="326439610"/>
            <w:rPr>
              <w:rFonts w:eastAsia="Times New Roman"/>
            </w:rPr>
          </w:pPr>
          <w:r>
            <w:rPr>
              <w:rFonts w:eastAsia="Times New Roman"/>
            </w:rPr>
            <w:lastRenderedPageBreak/>
            <w:t>[3]</w:t>
          </w:r>
          <w:r>
            <w:rPr>
              <w:rFonts w:eastAsia="Times New Roman"/>
            </w:rPr>
            <w:tab/>
            <w:t>WUENIC. WHO UNICEF Immunization Coverage Estimates 2023 revision 2023. https://data.unicef.org/resources/dataset/immunization/ (accessed August 15, 2023).</w:t>
          </w:r>
        </w:p>
        <w:p w14:paraId="1B906BFC" w14:textId="77777777" w:rsidR="009B4B8B" w:rsidRDefault="009B4B8B">
          <w:pPr>
            <w:autoSpaceDE w:val="0"/>
            <w:autoSpaceDN w:val="0"/>
            <w:ind w:hanging="640"/>
            <w:divId w:val="439688227"/>
            <w:rPr>
              <w:rFonts w:eastAsia="Times New Roman"/>
            </w:rPr>
          </w:pPr>
          <w:r>
            <w:rPr>
              <w:rFonts w:eastAsia="Times New Roman"/>
            </w:rPr>
            <w:t>[4]</w:t>
          </w:r>
          <w:r>
            <w:rPr>
              <w:rFonts w:eastAsia="Times New Roman"/>
            </w:rPr>
            <w:tab/>
            <w:t>Burton A, Monasch R, Lautenbach B, Gacic-Dobo M, Neill M, Karimov R, et al. WHO and UNICEF estimates of national infant immunization coverage: methods and processes. Bull World Health Organ 2009;87:535–41. https://doi.org/10.2471/BLT.08.053819.</w:t>
          </w:r>
        </w:p>
        <w:p w14:paraId="0E8B561A" w14:textId="77777777" w:rsidR="009B4B8B" w:rsidRDefault="009B4B8B">
          <w:pPr>
            <w:autoSpaceDE w:val="0"/>
            <w:autoSpaceDN w:val="0"/>
            <w:ind w:hanging="640"/>
            <w:divId w:val="2145805726"/>
            <w:rPr>
              <w:rFonts w:eastAsia="Times New Roman"/>
            </w:rPr>
          </w:pPr>
          <w:r>
            <w:rPr>
              <w:rFonts w:eastAsia="Times New Roman"/>
            </w:rPr>
            <w:t>[5]</w:t>
          </w:r>
          <w:r>
            <w:rPr>
              <w:rFonts w:eastAsia="Times New Roman"/>
            </w:rPr>
            <w:tab/>
            <w:t>Burton A, Kowalski R, Gacic-Dobo M, Karimov R, Brown D. A Formal Representation of the WHO and UNICEF Estimates of National Immunization Coverage: A Computational Logic Approach. PLoS One 2012;7:e47806. https://doi.org/10.1371/JOURNAL.PONE.0047806.</w:t>
          </w:r>
        </w:p>
        <w:p w14:paraId="1272D5BA" w14:textId="77777777" w:rsidR="009B4B8B" w:rsidRDefault="009B4B8B">
          <w:pPr>
            <w:autoSpaceDE w:val="0"/>
            <w:autoSpaceDN w:val="0"/>
            <w:ind w:hanging="640"/>
            <w:divId w:val="1498423836"/>
            <w:rPr>
              <w:rFonts w:eastAsia="Times New Roman"/>
            </w:rPr>
          </w:pPr>
          <w:r>
            <w:rPr>
              <w:rFonts w:eastAsia="Times New Roman"/>
            </w:rPr>
            <w:t>[6]</w:t>
          </w:r>
          <w:r>
            <w:rPr>
              <w:rFonts w:eastAsia="Times New Roman"/>
            </w:rPr>
            <w:tab/>
            <w:t>World Health Organisation. The World Health Report 2006: Working Together for Health. 2006.</w:t>
          </w:r>
        </w:p>
        <w:p w14:paraId="5A7DEF79" w14:textId="77777777" w:rsidR="009B4B8B" w:rsidRDefault="009B4B8B">
          <w:pPr>
            <w:autoSpaceDE w:val="0"/>
            <w:autoSpaceDN w:val="0"/>
            <w:ind w:hanging="640"/>
            <w:divId w:val="971058344"/>
            <w:rPr>
              <w:rFonts w:eastAsia="Times New Roman"/>
            </w:rPr>
          </w:pPr>
          <w:r>
            <w:rPr>
              <w:rFonts w:eastAsia="Times New Roman"/>
            </w:rPr>
            <w:t>[7]</w:t>
          </w:r>
          <w:r>
            <w:rPr>
              <w:rFonts w:eastAsia="Times New Roman"/>
            </w:rPr>
            <w:tab/>
            <w:t>World Health Organization. The National Health Workforce Accounts database n.d. https://www.who.int/data/gho/data/themes/topics/health-workforce (accessed August 7, 2024).</w:t>
          </w:r>
        </w:p>
        <w:p w14:paraId="2C58E9EC" w14:textId="77777777" w:rsidR="009B4B8B" w:rsidRDefault="009B4B8B">
          <w:pPr>
            <w:autoSpaceDE w:val="0"/>
            <w:autoSpaceDN w:val="0"/>
            <w:ind w:hanging="640"/>
            <w:divId w:val="1335570361"/>
            <w:rPr>
              <w:rFonts w:eastAsia="Times New Roman"/>
            </w:rPr>
          </w:pPr>
          <w:r>
            <w:rPr>
              <w:rFonts w:eastAsia="Times New Roman"/>
            </w:rPr>
            <w:t>[8]</w:t>
          </w:r>
          <w:r>
            <w:rPr>
              <w:rFonts w:eastAsia="Times New Roman"/>
            </w:rPr>
            <w:tab/>
            <w:t>World Health Organisation. Monitoring the building blocks of health systems: a handbook of indicators and their measurement strategies. 2010.</w:t>
          </w:r>
        </w:p>
        <w:p w14:paraId="6A12CAF7" w14:textId="77777777" w:rsidR="009B4B8B" w:rsidRDefault="009B4B8B">
          <w:pPr>
            <w:autoSpaceDE w:val="0"/>
            <w:autoSpaceDN w:val="0"/>
            <w:ind w:hanging="640"/>
            <w:divId w:val="234055354"/>
            <w:rPr>
              <w:rFonts w:eastAsia="Times New Roman"/>
            </w:rPr>
          </w:pPr>
          <w:r>
            <w:rPr>
              <w:rFonts w:eastAsia="Times New Roman"/>
            </w:rPr>
            <w:t>[9]</w:t>
          </w:r>
          <w:r>
            <w:rPr>
              <w:rFonts w:eastAsia="Times New Roman"/>
            </w:rPr>
            <w:tab/>
            <w:t>World Health Organisation. Coverage of essential health services (index based on tracer interventions that include reproductive, maternal, newborn and child health, infectious diseases, non-communicable diseases and service capacity and access) (SDG 3.8.1) n.d. https://platform.who.int/data/maternal-newborn-child-adolescent-ageing/indicator-explorer-new/MCA/coverage-of-essential-health-services-(index-interventions-reproductive-maternal-newborn-and-child-health)-(sdg-3.8.1) (accessed March 5, 2024).</w:t>
          </w:r>
        </w:p>
        <w:p w14:paraId="6E014377" w14:textId="77777777" w:rsidR="009B4B8B" w:rsidRDefault="009B4B8B">
          <w:pPr>
            <w:autoSpaceDE w:val="0"/>
            <w:autoSpaceDN w:val="0"/>
            <w:ind w:hanging="640"/>
            <w:divId w:val="2019848186"/>
            <w:rPr>
              <w:rFonts w:eastAsia="Times New Roman"/>
            </w:rPr>
          </w:pPr>
          <w:r>
            <w:rPr>
              <w:rFonts w:eastAsia="Times New Roman"/>
            </w:rPr>
            <w:t>[10]</w:t>
          </w:r>
          <w:r>
            <w:rPr>
              <w:rFonts w:eastAsia="Times New Roman"/>
            </w:rPr>
            <w:tab/>
            <w:t>World Health Organisation. Health security n.d. https://www.who.int/health-topics/health-security#tab=tab_1 (accessed March 5, 2024).</w:t>
          </w:r>
        </w:p>
        <w:p w14:paraId="41860EFC" w14:textId="77777777" w:rsidR="009B4B8B" w:rsidRDefault="009B4B8B">
          <w:pPr>
            <w:autoSpaceDE w:val="0"/>
            <w:autoSpaceDN w:val="0"/>
            <w:ind w:hanging="640"/>
            <w:divId w:val="290287148"/>
            <w:rPr>
              <w:rFonts w:eastAsia="Times New Roman"/>
            </w:rPr>
          </w:pPr>
          <w:r>
            <w:rPr>
              <w:rFonts w:eastAsia="Times New Roman"/>
            </w:rPr>
            <w:t>[11]</w:t>
          </w:r>
          <w:r>
            <w:rPr>
              <w:rFonts w:eastAsia="Times New Roman"/>
            </w:rPr>
            <w:tab/>
            <w:t>Global Health Security Index. GHS Index n.d. https://ghsindex.org/about/ (accessed February 28, 2024).</w:t>
          </w:r>
        </w:p>
        <w:p w14:paraId="4EF9C2F8" w14:textId="77777777" w:rsidR="009B4B8B" w:rsidRDefault="009B4B8B">
          <w:pPr>
            <w:autoSpaceDE w:val="0"/>
            <w:autoSpaceDN w:val="0"/>
            <w:ind w:hanging="640"/>
            <w:divId w:val="96220512"/>
            <w:rPr>
              <w:rFonts w:eastAsia="Times New Roman"/>
            </w:rPr>
          </w:pPr>
          <w:r>
            <w:rPr>
              <w:rFonts w:eastAsia="Times New Roman"/>
            </w:rPr>
            <w:t>[12]</w:t>
          </w:r>
          <w:r>
            <w:rPr>
              <w:rFonts w:eastAsia="Times New Roman"/>
            </w:rPr>
            <w:tab/>
            <w:t>Economist Impact. GHS Index Methodology. n.d.</w:t>
          </w:r>
        </w:p>
        <w:p w14:paraId="5EB993BC" w14:textId="77777777" w:rsidR="009B4B8B" w:rsidRDefault="009B4B8B">
          <w:pPr>
            <w:autoSpaceDE w:val="0"/>
            <w:autoSpaceDN w:val="0"/>
            <w:ind w:hanging="640"/>
            <w:divId w:val="695353126"/>
            <w:rPr>
              <w:rFonts w:eastAsia="Times New Roman"/>
            </w:rPr>
          </w:pPr>
          <w:r>
            <w:rPr>
              <w:rFonts w:eastAsia="Times New Roman"/>
            </w:rPr>
            <w:t>[13]</w:t>
          </w:r>
          <w:r>
            <w:rPr>
              <w:rFonts w:eastAsia="Times New Roman"/>
            </w:rPr>
            <w:tab/>
            <w:t>World Health Organisation. Third round of the global pulse survey on continuity of essential health services during the COVID-19 pandemic. 2022.</w:t>
          </w:r>
        </w:p>
        <w:p w14:paraId="106585DE" w14:textId="77777777" w:rsidR="009B4B8B" w:rsidRDefault="009B4B8B">
          <w:pPr>
            <w:autoSpaceDE w:val="0"/>
            <w:autoSpaceDN w:val="0"/>
            <w:ind w:hanging="640"/>
            <w:divId w:val="1037049729"/>
            <w:rPr>
              <w:rFonts w:eastAsia="Times New Roman"/>
            </w:rPr>
          </w:pPr>
          <w:r>
            <w:rPr>
              <w:rFonts w:eastAsia="Times New Roman"/>
            </w:rPr>
            <w:t>[14]</w:t>
          </w:r>
          <w:r>
            <w:rPr>
              <w:rFonts w:eastAsia="Times New Roman"/>
            </w:rPr>
            <w:tab/>
            <w:t>United Nations. World Population Prospects - Population Division - United Nations 2024. https://population.un.org/wpp/ (accessed August 25, 2024).</w:t>
          </w:r>
        </w:p>
        <w:p w14:paraId="21CD3EB6" w14:textId="77777777" w:rsidR="009B4B8B" w:rsidRDefault="009B4B8B">
          <w:pPr>
            <w:autoSpaceDE w:val="0"/>
            <w:autoSpaceDN w:val="0"/>
            <w:ind w:hanging="640"/>
            <w:divId w:val="1632053365"/>
            <w:rPr>
              <w:rFonts w:eastAsia="Times New Roman"/>
            </w:rPr>
          </w:pPr>
          <w:r>
            <w:rPr>
              <w:rFonts w:eastAsia="Times New Roman"/>
            </w:rPr>
            <w:t>[15]</w:t>
          </w:r>
          <w:r>
            <w:rPr>
              <w:rFonts w:eastAsia="Times New Roman"/>
            </w:rPr>
            <w:tab/>
            <w:t>World Health Organisation. Pulse survey on continuity of essential health services during the COVID-19 pandemic: interim report, 27 August 2020. 2020.</w:t>
          </w:r>
        </w:p>
        <w:p w14:paraId="59EB9446" w14:textId="77777777" w:rsidR="009B4B8B" w:rsidRDefault="009B4B8B">
          <w:pPr>
            <w:autoSpaceDE w:val="0"/>
            <w:autoSpaceDN w:val="0"/>
            <w:ind w:hanging="640"/>
            <w:divId w:val="197814993"/>
            <w:rPr>
              <w:rFonts w:eastAsia="Times New Roman"/>
            </w:rPr>
          </w:pPr>
          <w:r>
            <w:rPr>
              <w:rFonts w:eastAsia="Times New Roman"/>
            </w:rPr>
            <w:t>[16]</w:t>
          </w:r>
          <w:r>
            <w:rPr>
              <w:rFonts w:eastAsia="Times New Roman"/>
            </w:rPr>
            <w:tab/>
            <w:t>World Health Organisation. Second round of the national pulse survey on continuity of essential health services during the COVID-19 pandemic. 2021.</w:t>
          </w:r>
        </w:p>
        <w:p w14:paraId="3DA41832" w14:textId="77777777" w:rsidR="009B4B8B" w:rsidRDefault="009B4B8B">
          <w:pPr>
            <w:autoSpaceDE w:val="0"/>
            <w:autoSpaceDN w:val="0"/>
            <w:ind w:hanging="640"/>
            <w:divId w:val="1384596262"/>
            <w:rPr>
              <w:rFonts w:eastAsia="Times New Roman"/>
            </w:rPr>
          </w:pPr>
          <w:r>
            <w:rPr>
              <w:rFonts w:eastAsia="Times New Roman"/>
            </w:rPr>
            <w:t>[17]</w:t>
          </w:r>
          <w:r>
            <w:rPr>
              <w:rFonts w:eastAsia="Times New Roman"/>
            </w:rPr>
            <w:tab/>
            <w:t xml:space="preserve">Pinto AMC, Shariq S, Ranasinghe L, Budhathoki SS, Skirrow H, Whittaker E, et al. Reasons for reductions in routine childhood immunisation uptake during the COVID-19 pandemic in low- </w:t>
          </w:r>
          <w:r>
            <w:rPr>
              <w:rFonts w:eastAsia="Times New Roman"/>
            </w:rPr>
            <w:lastRenderedPageBreak/>
            <w:t>and middle-income countries: A systematic review. PLOS Global Public Health 2023;3:e0001415. https://doi.org/10.1371/JOURNAL.PGPH.0001415.</w:t>
          </w:r>
        </w:p>
        <w:p w14:paraId="5B411D0A" w14:textId="77777777" w:rsidR="009B4B8B" w:rsidRDefault="009B4B8B">
          <w:pPr>
            <w:autoSpaceDE w:val="0"/>
            <w:autoSpaceDN w:val="0"/>
            <w:ind w:hanging="640"/>
            <w:divId w:val="993485752"/>
            <w:rPr>
              <w:rFonts w:eastAsia="Times New Roman"/>
            </w:rPr>
          </w:pPr>
          <w:r>
            <w:rPr>
              <w:rFonts w:eastAsia="Times New Roman"/>
            </w:rPr>
            <w:t>[18]</w:t>
          </w:r>
          <w:r>
            <w:rPr>
              <w:rFonts w:eastAsia="Times New Roman"/>
            </w:rPr>
            <w:tab/>
            <w:t>Karlinsky A, Kobak D. Tracking excess mortality across countries during the COVID-19 pandemic with the World Mortality Dataset. Elife 2021;10. https://doi.org/10.7554/ELIFE.69336.</w:t>
          </w:r>
        </w:p>
        <w:p w14:paraId="6C03F188" w14:textId="77777777" w:rsidR="009B4B8B" w:rsidRDefault="009B4B8B">
          <w:pPr>
            <w:autoSpaceDE w:val="0"/>
            <w:autoSpaceDN w:val="0"/>
            <w:ind w:hanging="640"/>
            <w:divId w:val="1063406893"/>
            <w:rPr>
              <w:rFonts w:eastAsia="Times New Roman"/>
            </w:rPr>
          </w:pPr>
          <w:r>
            <w:rPr>
              <w:rFonts w:eastAsia="Times New Roman"/>
            </w:rPr>
            <w:t>[19]</w:t>
          </w:r>
          <w:r>
            <w:rPr>
              <w:rFonts w:eastAsia="Times New Roman"/>
            </w:rPr>
            <w:tab/>
            <w:t>World Health Organisation. Methods for estimating the excess mortality associated with the COVID-19 pandemic. n.d.</w:t>
          </w:r>
        </w:p>
        <w:p w14:paraId="6E55D3A2" w14:textId="77777777" w:rsidR="009B4B8B" w:rsidRDefault="009B4B8B">
          <w:pPr>
            <w:autoSpaceDE w:val="0"/>
            <w:autoSpaceDN w:val="0"/>
            <w:ind w:hanging="640"/>
            <w:divId w:val="2055736211"/>
            <w:rPr>
              <w:rFonts w:eastAsia="Times New Roman"/>
            </w:rPr>
          </w:pPr>
          <w:r>
            <w:rPr>
              <w:rFonts w:eastAsia="Times New Roman"/>
            </w:rPr>
            <w:t>[20]</w:t>
          </w:r>
          <w:r>
            <w:rPr>
              <w:rFonts w:eastAsia="Times New Roman"/>
            </w:rPr>
            <w:tab/>
            <w:t>The Economist. The pandemic’s true death toll 2022. https://www.economist.com/graphic-detail/coronavirus-excess-deaths-estimates (accessed May 3, 2024).</w:t>
          </w:r>
        </w:p>
        <w:p w14:paraId="6DA4D6F9" w14:textId="77777777" w:rsidR="009B4B8B" w:rsidRDefault="009B4B8B">
          <w:pPr>
            <w:autoSpaceDE w:val="0"/>
            <w:autoSpaceDN w:val="0"/>
            <w:ind w:hanging="640"/>
            <w:divId w:val="1855803999"/>
            <w:rPr>
              <w:rFonts w:eastAsia="Times New Roman"/>
            </w:rPr>
          </w:pPr>
          <w:r>
            <w:rPr>
              <w:rFonts w:eastAsia="Times New Roman"/>
            </w:rPr>
            <w:t>[21]</w:t>
          </w:r>
          <w:r>
            <w:rPr>
              <w:rFonts w:eastAsia="Times New Roman"/>
            </w:rPr>
            <w:tab/>
            <w:t>Wang H, Paulson KR, Pease SA, Watson S, Comfort H, Zheng P, et al. Estimating excess mortality due to the COVID-19 pandemic: a systematic analysis of COVID-19-related mortality, 2020–21. Lancet 2022;399:1513. https://doi.org/10.1016/S0140-6736(21)02796-3.</w:t>
          </w:r>
        </w:p>
        <w:p w14:paraId="67D808AA" w14:textId="77777777" w:rsidR="009B4B8B" w:rsidRDefault="009B4B8B">
          <w:pPr>
            <w:autoSpaceDE w:val="0"/>
            <w:autoSpaceDN w:val="0"/>
            <w:ind w:hanging="640"/>
            <w:divId w:val="1398630693"/>
            <w:rPr>
              <w:rFonts w:eastAsia="Times New Roman"/>
            </w:rPr>
          </w:pPr>
          <w:r>
            <w:rPr>
              <w:rFonts w:eastAsia="Times New Roman"/>
            </w:rPr>
            <w:t>[22]</w:t>
          </w:r>
          <w:r>
            <w:rPr>
              <w:rFonts w:eastAsia="Times New Roman"/>
            </w:rPr>
            <w:tab/>
            <w:t>Our World In Data. Estimated cumulative excess deaths per 100,000 people during COVID, from The Economist 2024. https://ourworldindata.org/grapher/excess-deaths-cumulative-per-100k-economist (accessed September 9, 2024).</w:t>
          </w:r>
        </w:p>
        <w:p w14:paraId="65D1457C" w14:textId="77777777" w:rsidR="009B4B8B" w:rsidRDefault="009B4B8B">
          <w:pPr>
            <w:autoSpaceDE w:val="0"/>
            <w:autoSpaceDN w:val="0"/>
            <w:ind w:hanging="640"/>
            <w:divId w:val="832988388"/>
            <w:rPr>
              <w:rFonts w:eastAsia="Times New Roman"/>
            </w:rPr>
          </w:pPr>
          <w:r>
            <w:rPr>
              <w:rFonts w:eastAsia="Times New Roman"/>
            </w:rPr>
            <w:t>[23]</w:t>
          </w:r>
          <w:r>
            <w:rPr>
              <w:rFonts w:eastAsia="Times New Roman"/>
            </w:rPr>
            <w:tab/>
            <w:t>Perra N. Non-pharmaceutical interventions during the COVID-19 pandemic: A review. Phys Rep 2021;913:1–52. https://doi.org/10.1016/J.PHYSREP.2021.02.001.</w:t>
          </w:r>
        </w:p>
        <w:p w14:paraId="28639D2F" w14:textId="77777777" w:rsidR="009B4B8B" w:rsidRDefault="009B4B8B">
          <w:pPr>
            <w:autoSpaceDE w:val="0"/>
            <w:autoSpaceDN w:val="0"/>
            <w:ind w:hanging="640"/>
            <w:divId w:val="1925871269"/>
            <w:rPr>
              <w:rFonts w:eastAsia="Times New Roman"/>
            </w:rPr>
          </w:pPr>
          <w:r>
            <w:rPr>
              <w:rFonts w:eastAsia="Times New Roman"/>
            </w:rPr>
            <w:t>[24]</w:t>
          </w:r>
          <w:r>
            <w:rPr>
              <w:rFonts w:eastAsia="Times New Roman"/>
            </w:rPr>
            <w:tab/>
            <w:t>Hale T, Angrist N, Goldszmidt R, Kira B, Petherick A, Phillips T, et al. A global panel database of pandemic policies (Oxford COVID-19 Government Response Tracker). Nat Hum Behav 2021;5:529–38. https://doi.org/10.1038/S41562-021-01079-8.</w:t>
          </w:r>
        </w:p>
        <w:p w14:paraId="1091E693" w14:textId="77777777" w:rsidR="009B4B8B" w:rsidRDefault="009B4B8B">
          <w:pPr>
            <w:autoSpaceDE w:val="0"/>
            <w:autoSpaceDN w:val="0"/>
            <w:ind w:hanging="640"/>
            <w:divId w:val="482042339"/>
            <w:rPr>
              <w:rFonts w:eastAsia="Times New Roman"/>
            </w:rPr>
          </w:pPr>
          <w:r>
            <w:rPr>
              <w:rFonts w:eastAsia="Times New Roman"/>
            </w:rPr>
            <w:t>[25]</w:t>
          </w:r>
          <w:r>
            <w:rPr>
              <w:rFonts w:eastAsia="Times New Roman"/>
            </w:rPr>
            <w:tab/>
            <w:t>Kira B, Saptarshi ML, Thayslene M, Oliveira M, Nagesh R, Phillips T, et al. BSG Working Paper Series Variation in government responses to COVID-19 2023.</w:t>
          </w:r>
        </w:p>
        <w:p w14:paraId="4847485A" w14:textId="77777777" w:rsidR="009B4B8B" w:rsidRDefault="009B4B8B">
          <w:pPr>
            <w:autoSpaceDE w:val="0"/>
            <w:autoSpaceDN w:val="0"/>
            <w:ind w:hanging="640"/>
            <w:divId w:val="759250963"/>
            <w:rPr>
              <w:rFonts w:eastAsia="Times New Roman"/>
            </w:rPr>
          </w:pPr>
          <w:r>
            <w:rPr>
              <w:rFonts w:eastAsia="Times New Roman"/>
            </w:rPr>
            <w:t>[26]</w:t>
          </w:r>
          <w:r>
            <w:rPr>
              <w:rFonts w:eastAsia="Times New Roman"/>
            </w:rPr>
            <w:tab/>
            <w:t>Saxenian H, Bharali I, Ogbuoji O, Yamey G. A quantitative analysis of sources of changes in government expenditures on health, 2000 to 2015: what can we learn from experience to date? Gates Open Res 2019;3. https://doi.org/10.12688/GATESOPENRES.12900.2.</w:t>
          </w:r>
        </w:p>
        <w:p w14:paraId="71AF9250" w14:textId="77777777" w:rsidR="009B4B8B" w:rsidRDefault="009B4B8B">
          <w:pPr>
            <w:autoSpaceDE w:val="0"/>
            <w:autoSpaceDN w:val="0"/>
            <w:ind w:hanging="640"/>
            <w:divId w:val="1926064479"/>
            <w:rPr>
              <w:rFonts w:eastAsia="Times New Roman"/>
            </w:rPr>
          </w:pPr>
          <w:r>
            <w:rPr>
              <w:rFonts w:eastAsia="Times New Roman"/>
            </w:rPr>
            <w:t>[27]</w:t>
          </w:r>
          <w:r>
            <w:rPr>
              <w:rFonts w:eastAsia="Times New Roman"/>
            </w:rPr>
            <w:tab/>
            <w:t>Gabani J, Mazumdar S, Suhrcke M. The effect of health financing systems on health system outcomes: A cross-country panel analysis. Health Econ 2023;32:574–619. https://doi.org/10.1002/HEC.4635.</w:t>
          </w:r>
        </w:p>
        <w:p w14:paraId="778CFD4C" w14:textId="77777777" w:rsidR="009B4B8B" w:rsidRDefault="009B4B8B">
          <w:pPr>
            <w:autoSpaceDE w:val="0"/>
            <w:autoSpaceDN w:val="0"/>
            <w:ind w:hanging="640"/>
            <w:divId w:val="1888565854"/>
            <w:rPr>
              <w:rFonts w:eastAsia="Times New Roman"/>
            </w:rPr>
          </w:pPr>
          <w:r>
            <w:rPr>
              <w:rFonts w:eastAsia="Times New Roman"/>
            </w:rPr>
            <w:t>[28]</w:t>
          </w:r>
          <w:r>
            <w:rPr>
              <w:rFonts w:eastAsia="Times New Roman"/>
            </w:rPr>
            <w:tab/>
            <w:t>GDP per capita, PPP (current international $) | Data n.d. https://data.worldbank.org/indicator/NY.GDP.PCAP.PP.CD (accessed May 2, 2024).</w:t>
          </w:r>
        </w:p>
        <w:p w14:paraId="76DE3EB9" w14:textId="77777777" w:rsidR="009B4B8B" w:rsidRDefault="009B4B8B">
          <w:pPr>
            <w:autoSpaceDE w:val="0"/>
            <w:autoSpaceDN w:val="0"/>
            <w:ind w:hanging="640"/>
            <w:divId w:val="878668595"/>
            <w:rPr>
              <w:rFonts w:eastAsia="Times New Roman"/>
            </w:rPr>
          </w:pPr>
          <w:r>
            <w:rPr>
              <w:rFonts w:eastAsia="Times New Roman"/>
            </w:rPr>
            <w:t>[29]</w:t>
          </w:r>
          <w:r>
            <w:rPr>
              <w:rFonts w:eastAsia="Times New Roman"/>
            </w:rPr>
            <w:tab/>
            <w:t>Evans B. bevans249/pandemic_RI_coverage_determinants: Data consolidation and cleaning, and linear regression and Random Forest regression analyses for exploring determinants of vaccine coverage associated with Routine Immunisation resilience during the COVID-19 pandemic 2024. https://github.com/bevans249/pandemic_RI_coverage_determinants (accessed September 22, 2024).</w:t>
          </w:r>
        </w:p>
        <w:p w14:paraId="4719319F" w14:textId="77777777" w:rsidR="009B4B8B" w:rsidRDefault="009B4B8B">
          <w:pPr>
            <w:autoSpaceDE w:val="0"/>
            <w:autoSpaceDN w:val="0"/>
            <w:ind w:hanging="640"/>
            <w:divId w:val="1125002742"/>
            <w:rPr>
              <w:rFonts w:eastAsia="Times New Roman"/>
            </w:rPr>
          </w:pPr>
          <w:r>
            <w:rPr>
              <w:rFonts w:eastAsia="Times New Roman"/>
            </w:rPr>
            <w:lastRenderedPageBreak/>
            <w:t>[30]</w:t>
          </w:r>
          <w:r>
            <w:rPr>
              <w:rFonts w:eastAsia="Times New Roman"/>
            </w:rPr>
            <w:tab/>
            <w:t>R Core Team. R: A Language and Environment for Statistical Computing. Vienna, Austria: 2021.</w:t>
          </w:r>
        </w:p>
        <w:p w14:paraId="2C9188B0" w14:textId="77777777" w:rsidR="009B4B8B" w:rsidRDefault="009B4B8B">
          <w:pPr>
            <w:autoSpaceDE w:val="0"/>
            <w:autoSpaceDN w:val="0"/>
            <w:ind w:hanging="640"/>
            <w:divId w:val="1560479836"/>
            <w:rPr>
              <w:rFonts w:eastAsia="Times New Roman"/>
            </w:rPr>
          </w:pPr>
          <w:r>
            <w:rPr>
              <w:rFonts w:eastAsia="Times New Roman"/>
            </w:rPr>
            <w:t>[31]</w:t>
          </w:r>
          <w:r>
            <w:rPr>
              <w:rFonts w:eastAsia="Times New Roman"/>
            </w:rPr>
            <w:tab/>
            <w:t>Jombart T, Gimma A, Taylor T. Lightweight Infrastructure for Handling Multiple R Markdown Documents [R package reportfactory version 0.4.0] 2021. https://doi.org/10.32614/CRAN.PACKAGE.REPORTFACTORY.</w:t>
          </w:r>
        </w:p>
        <w:p w14:paraId="66359F4D" w14:textId="77777777" w:rsidR="009B4B8B" w:rsidRDefault="009B4B8B">
          <w:pPr>
            <w:autoSpaceDE w:val="0"/>
            <w:autoSpaceDN w:val="0"/>
            <w:ind w:hanging="640"/>
            <w:divId w:val="344673653"/>
            <w:rPr>
              <w:rFonts w:eastAsia="Times New Roman"/>
            </w:rPr>
          </w:pPr>
          <w:r>
            <w:rPr>
              <w:rFonts w:eastAsia="Times New Roman"/>
            </w:rPr>
            <w:t>[32]</w:t>
          </w:r>
          <w:r>
            <w:rPr>
              <w:rFonts w:eastAsia="Times New Roman"/>
            </w:rPr>
            <w:tab/>
            <w:t>Wickham H, Averick M, Bryan J, Chang W, D’ L, Mcgowan A, et al. Welcome to the Tidyverse. J Open Source Softw 2019;4:1686. https://doi.org/10.21105/JOSS.01686.</w:t>
          </w:r>
        </w:p>
        <w:p w14:paraId="322D453C" w14:textId="77777777" w:rsidR="009B4B8B" w:rsidRDefault="009B4B8B">
          <w:pPr>
            <w:autoSpaceDE w:val="0"/>
            <w:autoSpaceDN w:val="0"/>
            <w:ind w:hanging="640"/>
            <w:divId w:val="76293791"/>
            <w:rPr>
              <w:rFonts w:eastAsia="Times New Roman"/>
            </w:rPr>
          </w:pPr>
          <w:r>
            <w:rPr>
              <w:rFonts w:eastAsia="Times New Roman"/>
            </w:rPr>
            <w:t>[33]</w:t>
          </w:r>
          <w:r>
            <w:rPr>
              <w:rFonts w:eastAsia="Times New Roman"/>
            </w:rPr>
            <w:tab/>
            <w:t>Kuhn M. Building Predictive Models in R Using the caret Package. J Stat Softw 2008;28:1–26. https://doi.org/10.18637/JSS.V028.I05.</w:t>
          </w:r>
        </w:p>
        <w:p w14:paraId="540BE121" w14:textId="0DC5D6BB" w:rsidR="00A83ED1" w:rsidRPr="00B14A85" w:rsidRDefault="009B4B8B" w:rsidP="00A83ED1">
          <w:pPr>
            <w:spacing w:line="240" w:lineRule="auto"/>
            <w:rPr>
              <w:noProof/>
              <w:lang w:val="en-GB"/>
            </w:rPr>
          </w:pPr>
          <w:r>
            <w:rPr>
              <w:rFonts w:eastAsia="Times New Roman"/>
            </w:rPr>
            <w:t> </w:t>
          </w:r>
        </w:p>
      </w:sdtContent>
    </w:sdt>
    <w:p w14:paraId="5E782B40" w14:textId="77777777" w:rsidR="00A83ED1" w:rsidRPr="00B14A85" w:rsidRDefault="00A83ED1" w:rsidP="00A83ED1">
      <w:pPr>
        <w:spacing w:line="240" w:lineRule="auto"/>
        <w:rPr>
          <w:noProof/>
          <w:lang w:val="en-GB"/>
        </w:rPr>
      </w:pPr>
    </w:p>
    <w:p w14:paraId="43201C74" w14:textId="77777777" w:rsidR="00A83ED1" w:rsidRPr="00B14A85" w:rsidRDefault="00A83ED1" w:rsidP="00A83ED1">
      <w:pPr>
        <w:spacing w:line="240" w:lineRule="auto"/>
        <w:rPr>
          <w:lang w:val="en-GB"/>
        </w:rPr>
      </w:pPr>
    </w:p>
    <w:p w14:paraId="43F68F90" w14:textId="77777777" w:rsidR="00A75C72" w:rsidRPr="00B14A85" w:rsidRDefault="00A75C72">
      <w:pPr>
        <w:rPr>
          <w:lang w:val="en-GB"/>
        </w:rPr>
      </w:pPr>
    </w:p>
    <w:sectPr w:rsidR="00A75C72" w:rsidRPr="00B14A85" w:rsidSect="00A83E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AFAA7" w14:textId="77777777" w:rsidR="00EA12AF" w:rsidRDefault="00EA12AF" w:rsidP="00A83ED1">
      <w:pPr>
        <w:spacing w:after="0" w:line="240" w:lineRule="auto"/>
      </w:pPr>
      <w:r>
        <w:separator/>
      </w:r>
    </w:p>
  </w:endnote>
  <w:endnote w:type="continuationSeparator" w:id="0">
    <w:p w14:paraId="7C098823" w14:textId="77777777" w:rsidR="00EA12AF" w:rsidRDefault="00EA12AF" w:rsidP="00A8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DB6F4" w14:textId="77777777" w:rsidR="00EA12AF" w:rsidRDefault="00EA12AF" w:rsidP="00A83ED1">
      <w:pPr>
        <w:spacing w:after="0" w:line="240" w:lineRule="auto"/>
      </w:pPr>
      <w:r>
        <w:separator/>
      </w:r>
    </w:p>
  </w:footnote>
  <w:footnote w:type="continuationSeparator" w:id="0">
    <w:p w14:paraId="401D83EB" w14:textId="77777777" w:rsidR="00EA12AF" w:rsidRDefault="00EA12AF" w:rsidP="00A83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53914"/>
    <w:multiLevelType w:val="hybridMultilevel"/>
    <w:tmpl w:val="B932343C"/>
    <w:lvl w:ilvl="0" w:tplc="F1B41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9101C"/>
    <w:multiLevelType w:val="multilevel"/>
    <w:tmpl w:val="56705DF2"/>
    <w:lvl w:ilvl="0">
      <w:start w:val="8"/>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2D6DB3"/>
    <w:multiLevelType w:val="hybridMultilevel"/>
    <w:tmpl w:val="06E4D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06434A"/>
    <w:multiLevelType w:val="hybridMultilevel"/>
    <w:tmpl w:val="AC0607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F2659F8"/>
    <w:multiLevelType w:val="hybridMultilevel"/>
    <w:tmpl w:val="A8A67C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78022675">
    <w:abstractNumId w:val="4"/>
  </w:num>
  <w:num w:numId="2" w16cid:durableId="884409213">
    <w:abstractNumId w:val="1"/>
  </w:num>
  <w:num w:numId="3" w16cid:durableId="607395986">
    <w:abstractNumId w:val="2"/>
  </w:num>
  <w:num w:numId="4" w16cid:durableId="1539465344">
    <w:abstractNumId w:val="3"/>
  </w:num>
  <w:num w:numId="5" w16cid:durableId="1735738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D1"/>
    <w:rsid w:val="00001F61"/>
    <w:rsid w:val="00004E26"/>
    <w:rsid w:val="0001028B"/>
    <w:rsid w:val="00035B52"/>
    <w:rsid w:val="000360A6"/>
    <w:rsid w:val="00040817"/>
    <w:rsid w:val="00044276"/>
    <w:rsid w:val="00047BE3"/>
    <w:rsid w:val="00054A8A"/>
    <w:rsid w:val="00057CDB"/>
    <w:rsid w:val="00060401"/>
    <w:rsid w:val="000812CA"/>
    <w:rsid w:val="000847F0"/>
    <w:rsid w:val="00093308"/>
    <w:rsid w:val="00093961"/>
    <w:rsid w:val="000A545C"/>
    <w:rsid w:val="000B64E3"/>
    <w:rsid w:val="000C0526"/>
    <w:rsid w:val="000C0B1A"/>
    <w:rsid w:val="000C4EC3"/>
    <w:rsid w:val="000C76E1"/>
    <w:rsid w:val="000D2B28"/>
    <w:rsid w:val="000D5E53"/>
    <w:rsid w:val="000E1550"/>
    <w:rsid w:val="000E394B"/>
    <w:rsid w:val="00102730"/>
    <w:rsid w:val="001030EF"/>
    <w:rsid w:val="00122CF3"/>
    <w:rsid w:val="00136B46"/>
    <w:rsid w:val="00142DBE"/>
    <w:rsid w:val="00157A1A"/>
    <w:rsid w:val="0016132E"/>
    <w:rsid w:val="00161997"/>
    <w:rsid w:val="001726C3"/>
    <w:rsid w:val="001821DF"/>
    <w:rsid w:val="0019196F"/>
    <w:rsid w:val="001A4772"/>
    <w:rsid w:val="001B7B07"/>
    <w:rsid w:val="001D5DA7"/>
    <w:rsid w:val="001E3BE2"/>
    <w:rsid w:val="001E5FFB"/>
    <w:rsid w:val="001F068E"/>
    <w:rsid w:val="001F3E2F"/>
    <w:rsid w:val="001F4C7D"/>
    <w:rsid w:val="00200E2F"/>
    <w:rsid w:val="002046B4"/>
    <w:rsid w:val="00207178"/>
    <w:rsid w:val="002075EC"/>
    <w:rsid w:val="002119E6"/>
    <w:rsid w:val="00223AC1"/>
    <w:rsid w:val="00236CE5"/>
    <w:rsid w:val="00247FBE"/>
    <w:rsid w:val="002563A1"/>
    <w:rsid w:val="002717A1"/>
    <w:rsid w:val="00286B0F"/>
    <w:rsid w:val="0028725B"/>
    <w:rsid w:val="002A4F42"/>
    <w:rsid w:val="002C626D"/>
    <w:rsid w:val="002C6BCC"/>
    <w:rsid w:val="002D26BD"/>
    <w:rsid w:val="002D7049"/>
    <w:rsid w:val="002E105C"/>
    <w:rsid w:val="002E49CC"/>
    <w:rsid w:val="002F583A"/>
    <w:rsid w:val="002F5A91"/>
    <w:rsid w:val="00315683"/>
    <w:rsid w:val="00325D6E"/>
    <w:rsid w:val="003334DA"/>
    <w:rsid w:val="003430DF"/>
    <w:rsid w:val="00343817"/>
    <w:rsid w:val="0034469E"/>
    <w:rsid w:val="00347D69"/>
    <w:rsid w:val="00355F5F"/>
    <w:rsid w:val="00361D5E"/>
    <w:rsid w:val="00365680"/>
    <w:rsid w:val="003832B9"/>
    <w:rsid w:val="00387AF6"/>
    <w:rsid w:val="003951BD"/>
    <w:rsid w:val="003B36FE"/>
    <w:rsid w:val="003B5147"/>
    <w:rsid w:val="003C0E07"/>
    <w:rsid w:val="003C296A"/>
    <w:rsid w:val="003E0E45"/>
    <w:rsid w:val="00402C4F"/>
    <w:rsid w:val="0041352C"/>
    <w:rsid w:val="004342EC"/>
    <w:rsid w:val="00442552"/>
    <w:rsid w:val="00442AE7"/>
    <w:rsid w:val="004462A4"/>
    <w:rsid w:val="00461BC5"/>
    <w:rsid w:val="00466991"/>
    <w:rsid w:val="004771FE"/>
    <w:rsid w:val="004833E2"/>
    <w:rsid w:val="00483D4F"/>
    <w:rsid w:val="00484ED9"/>
    <w:rsid w:val="00492154"/>
    <w:rsid w:val="004A1306"/>
    <w:rsid w:val="004B7C3A"/>
    <w:rsid w:val="004C0AD7"/>
    <w:rsid w:val="004C1B26"/>
    <w:rsid w:val="004C5131"/>
    <w:rsid w:val="004D1C7E"/>
    <w:rsid w:val="004D1CF2"/>
    <w:rsid w:val="004F406A"/>
    <w:rsid w:val="00501584"/>
    <w:rsid w:val="0050695A"/>
    <w:rsid w:val="00547E97"/>
    <w:rsid w:val="00551058"/>
    <w:rsid w:val="005526CA"/>
    <w:rsid w:val="005707BE"/>
    <w:rsid w:val="005743CE"/>
    <w:rsid w:val="00574A0D"/>
    <w:rsid w:val="00591644"/>
    <w:rsid w:val="00593310"/>
    <w:rsid w:val="005A6227"/>
    <w:rsid w:val="005B0444"/>
    <w:rsid w:val="005C7987"/>
    <w:rsid w:val="005E0A53"/>
    <w:rsid w:val="005E203C"/>
    <w:rsid w:val="005E4BFF"/>
    <w:rsid w:val="005E5741"/>
    <w:rsid w:val="006057C1"/>
    <w:rsid w:val="00605F93"/>
    <w:rsid w:val="00616919"/>
    <w:rsid w:val="00622166"/>
    <w:rsid w:val="00630966"/>
    <w:rsid w:val="0063646C"/>
    <w:rsid w:val="00642D63"/>
    <w:rsid w:val="006436B1"/>
    <w:rsid w:val="00643B13"/>
    <w:rsid w:val="0065309E"/>
    <w:rsid w:val="00657546"/>
    <w:rsid w:val="00660581"/>
    <w:rsid w:val="00671863"/>
    <w:rsid w:val="006736C5"/>
    <w:rsid w:val="00694ED8"/>
    <w:rsid w:val="006C10CA"/>
    <w:rsid w:val="006C37DC"/>
    <w:rsid w:val="006C55CF"/>
    <w:rsid w:val="006C73C0"/>
    <w:rsid w:val="006D5836"/>
    <w:rsid w:val="006E13B3"/>
    <w:rsid w:val="006E590B"/>
    <w:rsid w:val="006E6E1A"/>
    <w:rsid w:val="006F3D99"/>
    <w:rsid w:val="006F55D8"/>
    <w:rsid w:val="00705827"/>
    <w:rsid w:val="00707315"/>
    <w:rsid w:val="00730828"/>
    <w:rsid w:val="00731223"/>
    <w:rsid w:val="0073206B"/>
    <w:rsid w:val="00734DA7"/>
    <w:rsid w:val="00745AAB"/>
    <w:rsid w:val="00746F29"/>
    <w:rsid w:val="0076153F"/>
    <w:rsid w:val="007636E8"/>
    <w:rsid w:val="0076632F"/>
    <w:rsid w:val="00766C74"/>
    <w:rsid w:val="007706F8"/>
    <w:rsid w:val="00770997"/>
    <w:rsid w:val="00782FA3"/>
    <w:rsid w:val="007866B3"/>
    <w:rsid w:val="00787C5F"/>
    <w:rsid w:val="00793795"/>
    <w:rsid w:val="007A53D9"/>
    <w:rsid w:val="007C6FE3"/>
    <w:rsid w:val="007D741D"/>
    <w:rsid w:val="007E5050"/>
    <w:rsid w:val="007E54B4"/>
    <w:rsid w:val="00801A59"/>
    <w:rsid w:val="008123D7"/>
    <w:rsid w:val="008128E3"/>
    <w:rsid w:val="00816A23"/>
    <w:rsid w:val="0082090A"/>
    <w:rsid w:val="008213E9"/>
    <w:rsid w:val="00822620"/>
    <w:rsid w:val="008242CD"/>
    <w:rsid w:val="00835F75"/>
    <w:rsid w:val="00842DD0"/>
    <w:rsid w:val="008466CE"/>
    <w:rsid w:val="00860943"/>
    <w:rsid w:val="00867A75"/>
    <w:rsid w:val="008730F5"/>
    <w:rsid w:val="00881AD1"/>
    <w:rsid w:val="00892C7F"/>
    <w:rsid w:val="008A2664"/>
    <w:rsid w:val="008B1277"/>
    <w:rsid w:val="008B5AF5"/>
    <w:rsid w:val="008C1C4E"/>
    <w:rsid w:val="008C471F"/>
    <w:rsid w:val="008C64C8"/>
    <w:rsid w:val="008C6775"/>
    <w:rsid w:val="008D1782"/>
    <w:rsid w:val="008D3CE7"/>
    <w:rsid w:val="008D5FB6"/>
    <w:rsid w:val="008E4C43"/>
    <w:rsid w:val="008F7132"/>
    <w:rsid w:val="00900746"/>
    <w:rsid w:val="00902ED1"/>
    <w:rsid w:val="00914C5A"/>
    <w:rsid w:val="00924C0A"/>
    <w:rsid w:val="00927381"/>
    <w:rsid w:val="0093141E"/>
    <w:rsid w:val="0093539A"/>
    <w:rsid w:val="00940E3A"/>
    <w:rsid w:val="00946E97"/>
    <w:rsid w:val="00950F96"/>
    <w:rsid w:val="00952B7A"/>
    <w:rsid w:val="0095445C"/>
    <w:rsid w:val="009559E4"/>
    <w:rsid w:val="009740AF"/>
    <w:rsid w:val="009772B1"/>
    <w:rsid w:val="00981EAD"/>
    <w:rsid w:val="009A0ADF"/>
    <w:rsid w:val="009A3AC5"/>
    <w:rsid w:val="009A57B7"/>
    <w:rsid w:val="009B2F29"/>
    <w:rsid w:val="009B4B8B"/>
    <w:rsid w:val="009C5079"/>
    <w:rsid w:val="009E5C9D"/>
    <w:rsid w:val="009F751B"/>
    <w:rsid w:val="00A02B3B"/>
    <w:rsid w:val="00A2185E"/>
    <w:rsid w:val="00A273F5"/>
    <w:rsid w:val="00A3348F"/>
    <w:rsid w:val="00A3370D"/>
    <w:rsid w:val="00A510F7"/>
    <w:rsid w:val="00A645B4"/>
    <w:rsid w:val="00A65562"/>
    <w:rsid w:val="00A70994"/>
    <w:rsid w:val="00A714E3"/>
    <w:rsid w:val="00A73DE4"/>
    <w:rsid w:val="00A75C72"/>
    <w:rsid w:val="00A8134A"/>
    <w:rsid w:val="00A83ED1"/>
    <w:rsid w:val="00A854EF"/>
    <w:rsid w:val="00A90FC4"/>
    <w:rsid w:val="00AA30D2"/>
    <w:rsid w:val="00AA5239"/>
    <w:rsid w:val="00AB32A7"/>
    <w:rsid w:val="00AC350F"/>
    <w:rsid w:val="00AD1424"/>
    <w:rsid w:val="00AD39C0"/>
    <w:rsid w:val="00AD3A18"/>
    <w:rsid w:val="00AF22E3"/>
    <w:rsid w:val="00AF312F"/>
    <w:rsid w:val="00B00038"/>
    <w:rsid w:val="00B14A85"/>
    <w:rsid w:val="00B16BE3"/>
    <w:rsid w:val="00B26D26"/>
    <w:rsid w:val="00B30B5D"/>
    <w:rsid w:val="00B36111"/>
    <w:rsid w:val="00B3674E"/>
    <w:rsid w:val="00B64320"/>
    <w:rsid w:val="00B84AD4"/>
    <w:rsid w:val="00B87161"/>
    <w:rsid w:val="00BB0ED4"/>
    <w:rsid w:val="00BC07D8"/>
    <w:rsid w:val="00BD76ED"/>
    <w:rsid w:val="00BE1881"/>
    <w:rsid w:val="00BF2D49"/>
    <w:rsid w:val="00C106E9"/>
    <w:rsid w:val="00C1274C"/>
    <w:rsid w:val="00C17F2D"/>
    <w:rsid w:val="00C37082"/>
    <w:rsid w:val="00C40105"/>
    <w:rsid w:val="00C420ED"/>
    <w:rsid w:val="00C73F32"/>
    <w:rsid w:val="00C94AC2"/>
    <w:rsid w:val="00C96487"/>
    <w:rsid w:val="00CA6A54"/>
    <w:rsid w:val="00CA6ECE"/>
    <w:rsid w:val="00CB5A87"/>
    <w:rsid w:val="00CB75CD"/>
    <w:rsid w:val="00CC2755"/>
    <w:rsid w:val="00CD1F21"/>
    <w:rsid w:val="00CD6E14"/>
    <w:rsid w:val="00CE23B8"/>
    <w:rsid w:val="00CE5A89"/>
    <w:rsid w:val="00CF032C"/>
    <w:rsid w:val="00CF2AC4"/>
    <w:rsid w:val="00D03B33"/>
    <w:rsid w:val="00D128AD"/>
    <w:rsid w:val="00D1634B"/>
    <w:rsid w:val="00D23E16"/>
    <w:rsid w:val="00D25735"/>
    <w:rsid w:val="00D27A59"/>
    <w:rsid w:val="00D34BEF"/>
    <w:rsid w:val="00D35369"/>
    <w:rsid w:val="00D41690"/>
    <w:rsid w:val="00D4188C"/>
    <w:rsid w:val="00D42191"/>
    <w:rsid w:val="00D61E86"/>
    <w:rsid w:val="00D73E5F"/>
    <w:rsid w:val="00D74669"/>
    <w:rsid w:val="00D85B90"/>
    <w:rsid w:val="00D95A12"/>
    <w:rsid w:val="00D978F5"/>
    <w:rsid w:val="00DA000F"/>
    <w:rsid w:val="00DA2589"/>
    <w:rsid w:val="00DB2F40"/>
    <w:rsid w:val="00DB36C4"/>
    <w:rsid w:val="00E00E7C"/>
    <w:rsid w:val="00E11957"/>
    <w:rsid w:val="00E16812"/>
    <w:rsid w:val="00E235A5"/>
    <w:rsid w:val="00E35385"/>
    <w:rsid w:val="00E406D2"/>
    <w:rsid w:val="00E537CF"/>
    <w:rsid w:val="00E62A27"/>
    <w:rsid w:val="00E730E2"/>
    <w:rsid w:val="00E80F4A"/>
    <w:rsid w:val="00E83B96"/>
    <w:rsid w:val="00E85D75"/>
    <w:rsid w:val="00E86F40"/>
    <w:rsid w:val="00E87DDE"/>
    <w:rsid w:val="00E9492E"/>
    <w:rsid w:val="00EA12AF"/>
    <w:rsid w:val="00EA2AFB"/>
    <w:rsid w:val="00EA2EAF"/>
    <w:rsid w:val="00EB1A77"/>
    <w:rsid w:val="00EB7758"/>
    <w:rsid w:val="00ED45C5"/>
    <w:rsid w:val="00EE0342"/>
    <w:rsid w:val="00EE3FB1"/>
    <w:rsid w:val="00EE5DBD"/>
    <w:rsid w:val="00EF5637"/>
    <w:rsid w:val="00EF5BB0"/>
    <w:rsid w:val="00F32E2B"/>
    <w:rsid w:val="00F32E43"/>
    <w:rsid w:val="00F46FF7"/>
    <w:rsid w:val="00F8376A"/>
    <w:rsid w:val="00F86064"/>
    <w:rsid w:val="00F93ED3"/>
    <w:rsid w:val="00FA20D5"/>
    <w:rsid w:val="00FD0A83"/>
    <w:rsid w:val="00FD17BB"/>
    <w:rsid w:val="00FE4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FB72"/>
  <w15:chartTrackingRefBased/>
  <w15:docId w15:val="{01331D5C-FFE3-43D4-AA64-83E748A4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D1"/>
  </w:style>
  <w:style w:type="paragraph" w:styleId="Heading1">
    <w:name w:val="heading 1"/>
    <w:basedOn w:val="Normal"/>
    <w:next w:val="Normal"/>
    <w:link w:val="Heading1Char"/>
    <w:uiPriority w:val="9"/>
    <w:qFormat/>
    <w:rsid w:val="00A83E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3E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3E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3E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3E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3E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E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E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E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E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3E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3E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3E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3E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3E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E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E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ED1"/>
    <w:rPr>
      <w:rFonts w:eastAsiaTheme="majorEastAsia" w:cstheme="majorBidi"/>
      <w:color w:val="272727" w:themeColor="text1" w:themeTint="D8"/>
    </w:rPr>
  </w:style>
  <w:style w:type="paragraph" w:styleId="Title">
    <w:name w:val="Title"/>
    <w:basedOn w:val="Normal"/>
    <w:next w:val="Normal"/>
    <w:link w:val="TitleChar"/>
    <w:uiPriority w:val="10"/>
    <w:qFormat/>
    <w:rsid w:val="00A83E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E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3E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3E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ED1"/>
    <w:pPr>
      <w:spacing w:before="160"/>
      <w:jc w:val="center"/>
    </w:pPr>
    <w:rPr>
      <w:i/>
      <w:iCs/>
      <w:color w:val="404040" w:themeColor="text1" w:themeTint="BF"/>
    </w:rPr>
  </w:style>
  <w:style w:type="character" w:customStyle="1" w:styleId="QuoteChar">
    <w:name w:val="Quote Char"/>
    <w:basedOn w:val="DefaultParagraphFont"/>
    <w:link w:val="Quote"/>
    <w:uiPriority w:val="29"/>
    <w:rsid w:val="00A83ED1"/>
    <w:rPr>
      <w:i/>
      <w:iCs/>
      <w:color w:val="404040" w:themeColor="text1" w:themeTint="BF"/>
    </w:rPr>
  </w:style>
  <w:style w:type="paragraph" w:styleId="ListParagraph">
    <w:name w:val="List Paragraph"/>
    <w:basedOn w:val="Normal"/>
    <w:uiPriority w:val="34"/>
    <w:qFormat/>
    <w:rsid w:val="00A83ED1"/>
    <w:pPr>
      <w:ind w:left="720"/>
      <w:contextualSpacing/>
    </w:pPr>
  </w:style>
  <w:style w:type="character" w:styleId="IntenseEmphasis">
    <w:name w:val="Intense Emphasis"/>
    <w:basedOn w:val="DefaultParagraphFont"/>
    <w:uiPriority w:val="21"/>
    <w:qFormat/>
    <w:rsid w:val="00A83ED1"/>
    <w:rPr>
      <w:i/>
      <w:iCs/>
      <w:color w:val="0F4761" w:themeColor="accent1" w:themeShade="BF"/>
    </w:rPr>
  </w:style>
  <w:style w:type="paragraph" w:styleId="IntenseQuote">
    <w:name w:val="Intense Quote"/>
    <w:basedOn w:val="Normal"/>
    <w:next w:val="Normal"/>
    <w:link w:val="IntenseQuoteChar"/>
    <w:uiPriority w:val="30"/>
    <w:qFormat/>
    <w:rsid w:val="00A83E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3ED1"/>
    <w:rPr>
      <w:i/>
      <w:iCs/>
      <w:color w:val="0F4761" w:themeColor="accent1" w:themeShade="BF"/>
    </w:rPr>
  </w:style>
  <w:style w:type="character" w:styleId="IntenseReference">
    <w:name w:val="Intense Reference"/>
    <w:basedOn w:val="DefaultParagraphFont"/>
    <w:uiPriority w:val="32"/>
    <w:qFormat/>
    <w:rsid w:val="00A83ED1"/>
    <w:rPr>
      <w:b/>
      <w:bCs/>
      <w:smallCaps/>
      <w:color w:val="0F4761" w:themeColor="accent1" w:themeShade="BF"/>
      <w:spacing w:val="5"/>
    </w:rPr>
  </w:style>
  <w:style w:type="paragraph" w:styleId="FootnoteText">
    <w:name w:val="footnote text"/>
    <w:basedOn w:val="Normal"/>
    <w:link w:val="FootnoteTextChar"/>
    <w:uiPriority w:val="99"/>
    <w:semiHidden/>
    <w:unhideWhenUsed/>
    <w:rsid w:val="00A83E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ED1"/>
    <w:rPr>
      <w:sz w:val="20"/>
      <w:szCs w:val="20"/>
    </w:rPr>
  </w:style>
  <w:style w:type="character" w:styleId="FootnoteReference">
    <w:name w:val="footnote reference"/>
    <w:basedOn w:val="DefaultParagraphFont"/>
    <w:uiPriority w:val="99"/>
    <w:semiHidden/>
    <w:unhideWhenUsed/>
    <w:rsid w:val="00A83ED1"/>
    <w:rPr>
      <w:vertAlign w:val="superscript"/>
    </w:rPr>
  </w:style>
  <w:style w:type="character" w:styleId="PlaceholderText">
    <w:name w:val="Placeholder Text"/>
    <w:basedOn w:val="DefaultParagraphFont"/>
    <w:uiPriority w:val="99"/>
    <w:semiHidden/>
    <w:rsid w:val="00A83ED1"/>
    <w:rPr>
      <w:color w:val="666666"/>
    </w:rPr>
  </w:style>
  <w:style w:type="character" w:styleId="CommentReference">
    <w:name w:val="annotation reference"/>
    <w:basedOn w:val="DefaultParagraphFont"/>
    <w:uiPriority w:val="99"/>
    <w:semiHidden/>
    <w:unhideWhenUsed/>
    <w:rsid w:val="00501584"/>
    <w:rPr>
      <w:sz w:val="16"/>
      <w:szCs w:val="16"/>
    </w:rPr>
  </w:style>
  <w:style w:type="paragraph" w:styleId="CommentText">
    <w:name w:val="annotation text"/>
    <w:basedOn w:val="Normal"/>
    <w:link w:val="CommentTextChar"/>
    <w:uiPriority w:val="99"/>
    <w:unhideWhenUsed/>
    <w:rsid w:val="00501584"/>
    <w:pPr>
      <w:spacing w:line="240" w:lineRule="auto"/>
    </w:pPr>
    <w:rPr>
      <w:sz w:val="20"/>
      <w:szCs w:val="20"/>
    </w:rPr>
  </w:style>
  <w:style w:type="character" w:customStyle="1" w:styleId="CommentTextChar">
    <w:name w:val="Comment Text Char"/>
    <w:basedOn w:val="DefaultParagraphFont"/>
    <w:link w:val="CommentText"/>
    <w:uiPriority w:val="99"/>
    <w:rsid w:val="00501584"/>
    <w:rPr>
      <w:sz w:val="20"/>
      <w:szCs w:val="20"/>
    </w:rPr>
  </w:style>
  <w:style w:type="paragraph" w:styleId="CommentSubject">
    <w:name w:val="annotation subject"/>
    <w:basedOn w:val="CommentText"/>
    <w:next w:val="CommentText"/>
    <w:link w:val="CommentSubjectChar"/>
    <w:uiPriority w:val="99"/>
    <w:semiHidden/>
    <w:unhideWhenUsed/>
    <w:rsid w:val="00501584"/>
    <w:rPr>
      <w:b/>
      <w:bCs/>
    </w:rPr>
  </w:style>
  <w:style w:type="character" w:customStyle="1" w:styleId="CommentSubjectChar">
    <w:name w:val="Comment Subject Char"/>
    <w:basedOn w:val="CommentTextChar"/>
    <w:link w:val="CommentSubject"/>
    <w:uiPriority w:val="99"/>
    <w:semiHidden/>
    <w:rsid w:val="00501584"/>
    <w:rPr>
      <w:b/>
      <w:bCs/>
      <w:sz w:val="20"/>
      <w:szCs w:val="20"/>
    </w:rPr>
  </w:style>
  <w:style w:type="table" w:styleId="TableGrid">
    <w:name w:val="Table Grid"/>
    <w:basedOn w:val="TableNormal"/>
    <w:uiPriority w:val="39"/>
    <w:rsid w:val="0082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321027">
      <w:bodyDiv w:val="1"/>
      <w:marLeft w:val="0"/>
      <w:marRight w:val="0"/>
      <w:marTop w:val="0"/>
      <w:marBottom w:val="0"/>
      <w:divBdr>
        <w:top w:val="none" w:sz="0" w:space="0" w:color="auto"/>
        <w:left w:val="none" w:sz="0" w:space="0" w:color="auto"/>
        <w:bottom w:val="none" w:sz="0" w:space="0" w:color="auto"/>
        <w:right w:val="none" w:sz="0" w:space="0" w:color="auto"/>
      </w:divBdr>
    </w:div>
    <w:div w:id="202985509">
      <w:bodyDiv w:val="1"/>
      <w:marLeft w:val="0"/>
      <w:marRight w:val="0"/>
      <w:marTop w:val="0"/>
      <w:marBottom w:val="0"/>
      <w:divBdr>
        <w:top w:val="none" w:sz="0" w:space="0" w:color="auto"/>
        <w:left w:val="none" w:sz="0" w:space="0" w:color="auto"/>
        <w:bottom w:val="none" w:sz="0" w:space="0" w:color="auto"/>
        <w:right w:val="none" w:sz="0" w:space="0" w:color="auto"/>
      </w:divBdr>
      <w:divsChild>
        <w:div w:id="642009508">
          <w:marLeft w:val="640"/>
          <w:marRight w:val="0"/>
          <w:marTop w:val="0"/>
          <w:marBottom w:val="0"/>
          <w:divBdr>
            <w:top w:val="none" w:sz="0" w:space="0" w:color="auto"/>
            <w:left w:val="none" w:sz="0" w:space="0" w:color="auto"/>
            <w:bottom w:val="none" w:sz="0" w:space="0" w:color="auto"/>
            <w:right w:val="none" w:sz="0" w:space="0" w:color="auto"/>
          </w:divBdr>
        </w:div>
        <w:div w:id="1913664320">
          <w:marLeft w:val="640"/>
          <w:marRight w:val="0"/>
          <w:marTop w:val="0"/>
          <w:marBottom w:val="0"/>
          <w:divBdr>
            <w:top w:val="none" w:sz="0" w:space="0" w:color="auto"/>
            <w:left w:val="none" w:sz="0" w:space="0" w:color="auto"/>
            <w:bottom w:val="none" w:sz="0" w:space="0" w:color="auto"/>
            <w:right w:val="none" w:sz="0" w:space="0" w:color="auto"/>
          </w:divBdr>
        </w:div>
        <w:div w:id="758601746">
          <w:marLeft w:val="640"/>
          <w:marRight w:val="0"/>
          <w:marTop w:val="0"/>
          <w:marBottom w:val="0"/>
          <w:divBdr>
            <w:top w:val="none" w:sz="0" w:space="0" w:color="auto"/>
            <w:left w:val="none" w:sz="0" w:space="0" w:color="auto"/>
            <w:bottom w:val="none" w:sz="0" w:space="0" w:color="auto"/>
            <w:right w:val="none" w:sz="0" w:space="0" w:color="auto"/>
          </w:divBdr>
        </w:div>
        <w:div w:id="711343753">
          <w:marLeft w:val="640"/>
          <w:marRight w:val="0"/>
          <w:marTop w:val="0"/>
          <w:marBottom w:val="0"/>
          <w:divBdr>
            <w:top w:val="none" w:sz="0" w:space="0" w:color="auto"/>
            <w:left w:val="none" w:sz="0" w:space="0" w:color="auto"/>
            <w:bottom w:val="none" w:sz="0" w:space="0" w:color="auto"/>
            <w:right w:val="none" w:sz="0" w:space="0" w:color="auto"/>
          </w:divBdr>
        </w:div>
        <w:div w:id="1976372210">
          <w:marLeft w:val="640"/>
          <w:marRight w:val="0"/>
          <w:marTop w:val="0"/>
          <w:marBottom w:val="0"/>
          <w:divBdr>
            <w:top w:val="none" w:sz="0" w:space="0" w:color="auto"/>
            <w:left w:val="none" w:sz="0" w:space="0" w:color="auto"/>
            <w:bottom w:val="none" w:sz="0" w:space="0" w:color="auto"/>
            <w:right w:val="none" w:sz="0" w:space="0" w:color="auto"/>
          </w:divBdr>
        </w:div>
        <w:div w:id="408234507">
          <w:marLeft w:val="640"/>
          <w:marRight w:val="0"/>
          <w:marTop w:val="0"/>
          <w:marBottom w:val="0"/>
          <w:divBdr>
            <w:top w:val="none" w:sz="0" w:space="0" w:color="auto"/>
            <w:left w:val="none" w:sz="0" w:space="0" w:color="auto"/>
            <w:bottom w:val="none" w:sz="0" w:space="0" w:color="auto"/>
            <w:right w:val="none" w:sz="0" w:space="0" w:color="auto"/>
          </w:divBdr>
        </w:div>
        <w:div w:id="1855457440">
          <w:marLeft w:val="640"/>
          <w:marRight w:val="0"/>
          <w:marTop w:val="0"/>
          <w:marBottom w:val="0"/>
          <w:divBdr>
            <w:top w:val="none" w:sz="0" w:space="0" w:color="auto"/>
            <w:left w:val="none" w:sz="0" w:space="0" w:color="auto"/>
            <w:bottom w:val="none" w:sz="0" w:space="0" w:color="auto"/>
            <w:right w:val="none" w:sz="0" w:space="0" w:color="auto"/>
          </w:divBdr>
        </w:div>
        <w:div w:id="1891182499">
          <w:marLeft w:val="640"/>
          <w:marRight w:val="0"/>
          <w:marTop w:val="0"/>
          <w:marBottom w:val="0"/>
          <w:divBdr>
            <w:top w:val="none" w:sz="0" w:space="0" w:color="auto"/>
            <w:left w:val="none" w:sz="0" w:space="0" w:color="auto"/>
            <w:bottom w:val="none" w:sz="0" w:space="0" w:color="auto"/>
            <w:right w:val="none" w:sz="0" w:space="0" w:color="auto"/>
          </w:divBdr>
        </w:div>
        <w:div w:id="1910263942">
          <w:marLeft w:val="640"/>
          <w:marRight w:val="0"/>
          <w:marTop w:val="0"/>
          <w:marBottom w:val="0"/>
          <w:divBdr>
            <w:top w:val="none" w:sz="0" w:space="0" w:color="auto"/>
            <w:left w:val="none" w:sz="0" w:space="0" w:color="auto"/>
            <w:bottom w:val="none" w:sz="0" w:space="0" w:color="auto"/>
            <w:right w:val="none" w:sz="0" w:space="0" w:color="auto"/>
          </w:divBdr>
        </w:div>
        <w:div w:id="1760253212">
          <w:marLeft w:val="640"/>
          <w:marRight w:val="0"/>
          <w:marTop w:val="0"/>
          <w:marBottom w:val="0"/>
          <w:divBdr>
            <w:top w:val="none" w:sz="0" w:space="0" w:color="auto"/>
            <w:left w:val="none" w:sz="0" w:space="0" w:color="auto"/>
            <w:bottom w:val="none" w:sz="0" w:space="0" w:color="auto"/>
            <w:right w:val="none" w:sz="0" w:space="0" w:color="auto"/>
          </w:divBdr>
        </w:div>
        <w:div w:id="1019311053">
          <w:marLeft w:val="640"/>
          <w:marRight w:val="0"/>
          <w:marTop w:val="0"/>
          <w:marBottom w:val="0"/>
          <w:divBdr>
            <w:top w:val="none" w:sz="0" w:space="0" w:color="auto"/>
            <w:left w:val="none" w:sz="0" w:space="0" w:color="auto"/>
            <w:bottom w:val="none" w:sz="0" w:space="0" w:color="auto"/>
            <w:right w:val="none" w:sz="0" w:space="0" w:color="auto"/>
          </w:divBdr>
        </w:div>
        <w:div w:id="46606697">
          <w:marLeft w:val="640"/>
          <w:marRight w:val="0"/>
          <w:marTop w:val="0"/>
          <w:marBottom w:val="0"/>
          <w:divBdr>
            <w:top w:val="none" w:sz="0" w:space="0" w:color="auto"/>
            <w:left w:val="none" w:sz="0" w:space="0" w:color="auto"/>
            <w:bottom w:val="none" w:sz="0" w:space="0" w:color="auto"/>
            <w:right w:val="none" w:sz="0" w:space="0" w:color="auto"/>
          </w:divBdr>
        </w:div>
        <w:div w:id="650059576">
          <w:marLeft w:val="640"/>
          <w:marRight w:val="0"/>
          <w:marTop w:val="0"/>
          <w:marBottom w:val="0"/>
          <w:divBdr>
            <w:top w:val="none" w:sz="0" w:space="0" w:color="auto"/>
            <w:left w:val="none" w:sz="0" w:space="0" w:color="auto"/>
            <w:bottom w:val="none" w:sz="0" w:space="0" w:color="auto"/>
            <w:right w:val="none" w:sz="0" w:space="0" w:color="auto"/>
          </w:divBdr>
        </w:div>
        <w:div w:id="1023287002">
          <w:marLeft w:val="640"/>
          <w:marRight w:val="0"/>
          <w:marTop w:val="0"/>
          <w:marBottom w:val="0"/>
          <w:divBdr>
            <w:top w:val="none" w:sz="0" w:space="0" w:color="auto"/>
            <w:left w:val="none" w:sz="0" w:space="0" w:color="auto"/>
            <w:bottom w:val="none" w:sz="0" w:space="0" w:color="auto"/>
            <w:right w:val="none" w:sz="0" w:space="0" w:color="auto"/>
          </w:divBdr>
        </w:div>
        <w:div w:id="697315293">
          <w:marLeft w:val="640"/>
          <w:marRight w:val="0"/>
          <w:marTop w:val="0"/>
          <w:marBottom w:val="0"/>
          <w:divBdr>
            <w:top w:val="none" w:sz="0" w:space="0" w:color="auto"/>
            <w:left w:val="none" w:sz="0" w:space="0" w:color="auto"/>
            <w:bottom w:val="none" w:sz="0" w:space="0" w:color="auto"/>
            <w:right w:val="none" w:sz="0" w:space="0" w:color="auto"/>
          </w:divBdr>
        </w:div>
        <w:div w:id="915363667">
          <w:marLeft w:val="640"/>
          <w:marRight w:val="0"/>
          <w:marTop w:val="0"/>
          <w:marBottom w:val="0"/>
          <w:divBdr>
            <w:top w:val="none" w:sz="0" w:space="0" w:color="auto"/>
            <w:left w:val="none" w:sz="0" w:space="0" w:color="auto"/>
            <w:bottom w:val="none" w:sz="0" w:space="0" w:color="auto"/>
            <w:right w:val="none" w:sz="0" w:space="0" w:color="auto"/>
          </w:divBdr>
        </w:div>
        <w:div w:id="577176199">
          <w:marLeft w:val="640"/>
          <w:marRight w:val="0"/>
          <w:marTop w:val="0"/>
          <w:marBottom w:val="0"/>
          <w:divBdr>
            <w:top w:val="none" w:sz="0" w:space="0" w:color="auto"/>
            <w:left w:val="none" w:sz="0" w:space="0" w:color="auto"/>
            <w:bottom w:val="none" w:sz="0" w:space="0" w:color="auto"/>
            <w:right w:val="none" w:sz="0" w:space="0" w:color="auto"/>
          </w:divBdr>
        </w:div>
        <w:div w:id="1466586803">
          <w:marLeft w:val="640"/>
          <w:marRight w:val="0"/>
          <w:marTop w:val="0"/>
          <w:marBottom w:val="0"/>
          <w:divBdr>
            <w:top w:val="none" w:sz="0" w:space="0" w:color="auto"/>
            <w:left w:val="none" w:sz="0" w:space="0" w:color="auto"/>
            <w:bottom w:val="none" w:sz="0" w:space="0" w:color="auto"/>
            <w:right w:val="none" w:sz="0" w:space="0" w:color="auto"/>
          </w:divBdr>
        </w:div>
        <w:div w:id="1148326032">
          <w:marLeft w:val="640"/>
          <w:marRight w:val="0"/>
          <w:marTop w:val="0"/>
          <w:marBottom w:val="0"/>
          <w:divBdr>
            <w:top w:val="none" w:sz="0" w:space="0" w:color="auto"/>
            <w:left w:val="none" w:sz="0" w:space="0" w:color="auto"/>
            <w:bottom w:val="none" w:sz="0" w:space="0" w:color="auto"/>
            <w:right w:val="none" w:sz="0" w:space="0" w:color="auto"/>
          </w:divBdr>
        </w:div>
        <w:div w:id="1115446065">
          <w:marLeft w:val="640"/>
          <w:marRight w:val="0"/>
          <w:marTop w:val="0"/>
          <w:marBottom w:val="0"/>
          <w:divBdr>
            <w:top w:val="none" w:sz="0" w:space="0" w:color="auto"/>
            <w:left w:val="none" w:sz="0" w:space="0" w:color="auto"/>
            <w:bottom w:val="none" w:sz="0" w:space="0" w:color="auto"/>
            <w:right w:val="none" w:sz="0" w:space="0" w:color="auto"/>
          </w:divBdr>
        </w:div>
        <w:div w:id="161823054">
          <w:marLeft w:val="640"/>
          <w:marRight w:val="0"/>
          <w:marTop w:val="0"/>
          <w:marBottom w:val="0"/>
          <w:divBdr>
            <w:top w:val="none" w:sz="0" w:space="0" w:color="auto"/>
            <w:left w:val="none" w:sz="0" w:space="0" w:color="auto"/>
            <w:bottom w:val="none" w:sz="0" w:space="0" w:color="auto"/>
            <w:right w:val="none" w:sz="0" w:space="0" w:color="auto"/>
          </w:divBdr>
        </w:div>
        <w:div w:id="708072423">
          <w:marLeft w:val="640"/>
          <w:marRight w:val="0"/>
          <w:marTop w:val="0"/>
          <w:marBottom w:val="0"/>
          <w:divBdr>
            <w:top w:val="none" w:sz="0" w:space="0" w:color="auto"/>
            <w:left w:val="none" w:sz="0" w:space="0" w:color="auto"/>
            <w:bottom w:val="none" w:sz="0" w:space="0" w:color="auto"/>
            <w:right w:val="none" w:sz="0" w:space="0" w:color="auto"/>
          </w:divBdr>
        </w:div>
        <w:div w:id="268776455">
          <w:marLeft w:val="640"/>
          <w:marRight w:val="0"/>
          <w:marTop w:val="0"/>
          <w:marBottom w:val="0"/>
          <w:divBdr>
            <w:top w:val="none" w:sz="0" w:space="0" w:color="auto"/>
            <w:left w:val="none" w:sz="0" w:space="0" w:color="auto"/>
            <w:bottom w:val="none" w:sz="0" w:space="0" w:color="auto"/>
            <w:right w:val="none" w:sz="0" w:space="0" w:color="auto"/>
          </w:divBdr>
        </w:div>
        <w:div w:id="1064067250">
          <w:marLeft w:val="640"/>
          <w:marRight w:val="0"/>
          <w:marTop w:val="0"/>
          <w:marBottom w:val="0"/>
          <w:divBdr>
            <w:top w:val="none" w:sz="0" w:space="0" w:color="auto"/>
            <w:left w:val="none" w:sz="0" w:space="0" w:color="auto"/>
            <w:bottom w:val="none" w:sz="0" w:space="0" w:color="auto"/>
            <w:right w:val="none" w:sz="0" w:space="0" w:color="auto"/>
          </w:divBdr>
        </w:div>
        <w:div w:id="1407340041">
          <w:marLeft w:val="640"/>
          <w:marRight w:val="0"/>
          <w:marTop w:val="0"/>
          <w:marBottom w:val="0"/>
          <w:divBdr>
            <w:top w:val="none" w:sz="0" w:space="0" w:color="auto"/>
            <w:left w:val="none" w:sz="0" w:space="0" w:color="auto"/>
            <w:bottom w:val="none" w:sz="0" w:space="0" w:color="auto"/>
            <w:right w:val="none" w:sz="0" w:space="0" w:color="auto"/>
          </w:divBdr>
        </w:div>
        <w:div w:id="184756931">
          <w:marLeft w:val="640"/>
          <w:marRight w:val="0"/>
          <w:marTop w:val="0"/>
          <w:marBottom w:val="0"/>
          <w:divBdr>
            <w:top w:val="none" w:sz="0" w:space="0" w:color="auto"/>
            <w:left w:val="none" w:sz="0" w:space="0" w:color="auto"/>
            <w:bottom w:val="none" w:sz="0" w:space="0" w:color="auto"/>
            <w:right w:val="none" w:sz="0" w:space="0" w:color="auto"/>
          </w:divBdr>
        </w:div>
        <w:div w:id="1630628754">
          <w:marLeft w:val="640"/>
          <w:marRight w:val="0"/>
          <w:marTop w:val="0"/>
          <w:marBottom w:val="0"/>
          <w:divBdr>
            <w:top w:val="none" w:sz="0" w:space="0" w:color="auto"/>
            <w:left w:val="none" w:sz="0" w:space="0" w:color="auto"/>
            <w:bottom w:val="none" w:sz="0" w:space="0" w:color="auto"/>
            <w:right w:val="none" w:sz="0" w:space="0" w:color="auto"/>
          </w:divBdr>
        </w:div>
      </w:divsChild>
    </w:div>
    <w:div w:id="214589592">
      <w:bodyDiv w:val="1"/>
      <w:marLeft w:val="0"/>
      <w:marRight w:val="0"/>
      <w:marTop w:val="0"/>
      <w:marBottom w:val="0"/>
      <w:divBdr>
        <w:top w:val="none" w:sz="0" w:space="0" w:color="auto"/>
        <w:left w:val="none" w:sz="0" w:space="0" w:color="auto"/>
        <w:bottom w:val="none" w:sz="0" w:space="0" w:color="auto"/>
        <w:right w:val="none" w:sz="0" w:space="0" w:color="auto"/>
      </w:divBdr>
      <w:divsChild>
        <w:div w:id="1615136154">
          <w:marLeft w:val="640"/>
          <w:marRight w:val="0"/>
          <w:marTop w:val="0"/>
          <w:marBottom w:val="0"/>
          <w:divBdr>
            <w:top w:val="none" w:sz="0" w:space="0" w:color="auto"/>
            <w:left w:val="none" w:sz="0" w:space="0" w:color="auto"/>
            <w:bottom w:val="none" w:sz="0" w:space="0" w:color="auto"/>
            <w:right w:val="none" w:sz="0" w:space="0" w:color="auto"/>
          </w:divBdr>
        </w:div>
        <w:div w:id="1982884666">
          <w:marLeft w:val="640"/>
          <w:marRight w:val="0"/>
          <w:marTop w:val="0"/>
          <w:marBottom w:val="0"/>
          <w:divBdr>
            <w:top w:val="none" w:sz="0" w:space="0" w:color="auto"/>
            <w:left w:val="none" w:sz="0" w:space="0" w:color="auto"/>
            <w:bottom w:val="none" w:sz="0" w:space="0" w:color="auto"/>
            <w:right w:val="none" w:sz="0" w:space="0" w:color="auto"/>
          </w:divBdr>
        </w:div>
        <w:div w:id="1265532555">
          <w:marLeft w:val="640"/>
          <w:marRight w:val="0"/>
          <w:marTop w:val="0"/>
          <w:marBottom w:val="0"/>
          <w:divBdr>
            <w:top w:val="none" w:sz="0" w:space="0" w:color="auto"/>
            <w:left w:val="none" w:sz="0" w:space="0" w:color="auto"/>
            <w:bottom w:val="none" w:sz="0" w:space="0" w:color="auto"/>
            <w:right w:val="none" w:sz="0" w:space="0" w:color="auto"/>
          </w:divBdr>
        </w:div>
        <w:div w:id="806118966">
          <w:marLeft w:val="640"/>
          <w:marRight w:val="0"/>
          <w:marTop w:val="0"/>
          <w:marBottom w:val="0"/>
          <w:divBdr>
            <w:top w:val="none" w:sz="0" w:space="0" w:color="auto"/>
            <w:left w:val="none" w:sz="0" w:space="0" w:color="auto"/>
            <w:bottom w:val="none" w:sz="0" w:space="0" w:color="auto"/>
            <w:right w:val="none" w:sz="0" w:space="0" w:color="auto"/>
          </w:divBdr>
        </w:div>
        <w:div w:id="270210132">
          <w:marLeft w:val="640"/>
          <w:marRight w:val="0"/>
          <w:marTop w:val="0"/>
          <w:marBottom w:val="0"/>
          <w:divBdr>
            <w:top w:val="none" w:sz="0" w:space="0" w:color="auto"/>
            <w:left w:val="none" w:sz="0" w:space="0" w:color="auto"/>
            <w:bottom w:val="none" w:sz="0" w:space="0" w:color="auto"/>
            <w:right w:val="none" w:sz="0" w:space="0" w:color="auto"/>
          </w:divBdr>
        </w:div>
        <w:div w:id="1206287943">
          <w:marLeft w:val="640"/>
          <w:marRight w:val="0"/>
          <w:marTop w:val="0"/>
          <w:marBottom w:val="0"/>
          <w:divBdr>
            <w:top w:val="none" w:sz="0" w:space="0" w:color="auto"/>
            <w:left w:val="none" w:sz="0" w:space="0" w:color="auto"/>
            <w:bottom w:val="none" w:sz="0" w:space="0" w:color="auto"/>
            <w:right w:val="none" w:sz="0" w:space="0" w:color="auto"/>
          </w:divBdr>
        </w:div>
        <w:div w:id="1495533573">
          <w:marLeft w:val="640"/>
          <w:marRight w:val="0"/>
          <w:marTop w:val="0"/>
          <w:marBottom w:val="0"/>
          <w:divBdr>
            <w:top w:val="none" w:sz="0" w:space="0" w:color="auto"/>
            <w:left w:val="none" w:sz="0" w:space="0" w:color="auto"/>
            <w:bottom w:val="none" w:sz="0" w:space="0" w:color="auto"/>
            <w:right w:val="none" w:sz="0" w:space="0" w:color="auto"/>
          </w:divBdr>
        </w:div>
        <w:div w:id="1449011566">
          <w:marLeft w:val="640"/>
          <w:marRight w:val="0"/>
          <w:marTop w:val="0"/>
          <w:marBottom w:val="0"/>
          <w:divBdr>
            <w:top w:val="none" w:sz="0" w:space="0" w:color="auto"/>
            <w:left w:val="none" w:sz="0" w:space="0" w:color="auto"/>
            <w:bottom w:val="none" w:sz="0" w:space="0" w:color="auto"/>
            <w:right w:val="none" w:sz="0" w:space="0" w:color="auto"/>
          </w:divBdr>
        </w:div>
        <w:div w:id="440346191">
          <w:marLeft w:val="640"/>
          <w:marRight w:val="0"/>
          <w:marTop w:val="0"/>
          <w:marBottom w:val="0"/>
          <w:divBdr>
            <w:top w:val="none" w:sz="0" w:space="0" w:color="auto"/>
            <w:left w:val="none" w:sz="0" w:space="0" w:color="auto"/>
            <w:bottom w:val="none" w:sz="0" w:space="0" w:color="auto"/>
            <w:right w:val="none" w:sz="0" w:space="0" w:color="auto"/>
          </w:divBdr>
        </w:div>
        <w:div w:id="1094517631">
          <w:marLeft w:val="640"/>
          <w:marRight w:val="0"/>
          <w:marTop w:val="0"/>
          <w:marBottom w:val="0"/>
          <w:divBdr>
            <w:top w:val="none" w:sz="0" w:space="0" w:color="auto"/>
            <w:left w:val="none" w:sz="0" w:space="0" w:color="auto"/>
            <w:bottom w:val="none" w:sz="0" w:space="0" w:color="auto"/>
            <w:right w:val="none" w:sz="0" w:space="0" w:color="auto"/>
          </w:divBdr>
        </w:div>
        <w:div w:id="1716351968">
          <w:marLeft w:val="640"/>
          <w:marRight w:val="0"/>
          <w:marTop w:val="0"/>
          <w:marBottom w:val="0"/>
          <w:divBdr>
            <w:top w:val="none" w:sz="0" w:space="0" w:color="auto"/>
            <w:left w:val="none" w:sz="0" w:space="0" w:color="auto"/>
            <w:bottom w:val="none" w:sz="0" w:space="0" w:color="auto"/>
            <w:right w:val="none" w:sz="0" w:space="0" w:color="auto"/>
          </w:divBdr>
        </w:div>
        <w:div w:id="623117022">
          <w:marLeft w:val="640"/>
          <w:marRight w:val="0"/>
          <w:marTop w:val="0"/>
          <w:marBottom w:val="0"/>
          <w:divBdr>
            <w:top w:val="none" w:sz="0" w:space="0" w:color="auto"/>
            <w:left w:val="none" w:sz="0" w:space="0" w:color="auto"/>
            <w:bottom w:val="none" w:sz="0" w:space="0" w:color="auto"/>
            <w:right w:val="none" w:sz="0" w:space="0" w:color="auto"/>
          </w:divBdr>
        </w:div>
        <w:div w:id="781611824">
          <w:marLeft w:val="640"/>
          <w:marRight w:val="0"/>
          <w:marTop w:val="0"/>
          <w:marBottom w:val="0"/>
          <w:divBdr>
            <w:top w:val="none" w:sz="0" w:space="0" w:color="auto"/>
            <w:left w:val="none" w:sz="0" w:space="0" w:color="auto"/>
            <w:bottom w:val="none" w:sz="0" w:space="0" w:color="auto"/>
            <w:right w:val="none" w:sz="0" w:space="0" w:color="auto"/>
          </w:divBdr>
        </w:div>
        <w:div w:id="1197230265">
          <w:marLeft w:val="640"/>
          <w:marRight w:val="0"/>
          <w:marTop w:val="0"/>
          <w:marBottom w:val="0"/>
          <w:divBdr>
            <w:top w:val="none" w:sz="0" w:space="0" w:color="auto"/>
            <w:left w:val="none" w:sz="0" w:space="0" w:color="auto"/>
            <w:bottom w:val="none" w:sz="0" w:space="0" w:color="auto"/>
            <w:right w:val="none" w:sz="0" w:space="0" w:color="auto"/>
          </w:divBdr>
        </w:div>
        <w:div w:id="1068184658">
          <w:marLeft w:val="640"/>
          <w:marRight w:val="0"/>
          <w:marTop w:val="0"/>
          <w:marBottom w:val="0"/>
          <w:divBdr>
            <w:top w:val="none" w:sz="0" w:space="0" w:color="auto"/>
            <w:left w:val="none" w:sz="0" w:space="0" w:color="auto"/>
            <w:bottom w:val="none" w:sz="0" w:space="0" w:color="auto"/>
            <w:right w:val="none" w:sz="0" w:space="0" w:color="auto"/>
          </w:divBdr>
        </w:div>
        <w:div w:id="1119838864">
          <w:marLeft w:val="640"/>
          <w:marRight w:val="0"/>
          <w:marTop w:val="0"/>
          <w:marBottom w:val="0"/>
          <w:divBdr>
            <w:top w:val="none" w:sz="0" w:space="0" w:color="auto"/>
            <w:left w:val="none" w:sz="0" w:space="0" w:color="auto"/>
            <w:bottom w:val="none" w:sz="0" w:space="0" w:color="auto"/>
            <w:right w:val="none" w:sz="0" w:space="0" w:color="auto"/>
          </w:divBdr>
        </w:div>
        <w:div w:id="267545307">
          <w:marLeft w:val="640"/>
          <w:marRight w:val="0"/>
          <w:marTop w:val="0"/>
          <w:marBottom w:val="0"/>
          <w:divBdr>
            <w:top w:val="none" w:sz="0" w:space="0" w:color="auto"/>
            <w:left w:val="none" w:sz="0" w:space="0" w:color="auto"/>
            <w:bottom w:val="none" w:sz="0" w:space="0" w:color="auto"/>
            <w:right w:val="none" w:sz="0" w:space="0" w:color="auto"/>
          </w:divBdr>
        </w:div>
        <w:div w:id="828638576">
          <w:marLeft w:val="640"/>
          <w:marRight w:val="0"/>
          <w:marTop w:val="0"/>
          <w:marBottom w:val="0"/>
          <w:divBdr>
            <w:top w:val="none" w:sz="0" w:space="0" w:color="auto"/>
            <w:left w:val="none" w:sz="0" w:space="0" w:color="auto"/>
            <w:bottom w:val="none" w:sz="0" w:space="0" w:color="auto"/>
            <w:right w:val="none" w:sz="0" w:space="0" w:color="auto"/>
          </w:divBdr>
        </w:div>
        <w:div w:id="540173195">
          <w:marLeft w:val="640"/>
          <w:marRight w:val="0"/>
          <w:marTop w:val="0"/>
          <w:marBottom w:val="0"/>
          <w:divBdr>
            <w:top w:val="none" w:sz="0" w:space="0" w:color="auto"/>
            <w:left w:val="none" w:sz="0" w:space="0" w:color="auto"/>
            <w:bottom w:val="none" w:sz="0" w:space="0" w:color="auto"/>
            <w:right w:val="none" w:sz="0" w:space="0" w:color="auto"/>
          </w:divBdr>
        </w:div>
        <w:div w:id="774402201">
          <w:marLeft w:val="640"/>
          <w:marRight w:val="0"/>
          <w:marTop w:val="0"/>
          <w:marBottom w:val="0"/>
          <w:divBdr>
            <w:top w:val="none" w:sz="0" w:space="0" w:color="auto"/>
            <w:left w:val="none" w:sz="0" w:space="0" w:color="auto"/>
            <w:bottom w:val="none" w:sz="0" w:space="0" w:color="auto"/>
            <w:right w:val="none" w:sz="0" w:space="0" w:color="auto"/>
          </w:divBdr>
        </w:div>
        <w:div w:id="250359019">
          <w:marLeft w:val="640"/>
          <w:marRight w:val="0"/>
          <w:marTop w:val="0"/>
          <w:marBottom w:val="0"/>
          <w:divBdr>
            <w:top w:val="none" w:sz="0" w:space="0" w:color="auto"/>
            <w:left w:val="none" w:sz="0" w:space="0" w:color="auto"/>
            <w:bottom w:val="none" w:sz="0" w:space="0" w:color="auto"/>
            <w:right w:val="none" w:sz="0" w:space="0" w:color="auto"/>
          </w:divBdr>
        </w:div>
        <w:div w:id="1979846001">
          <w:marLeft w:val="640"/>
          <w:marRight w:val="0"/>
          <w:marTop w:val="0"/>
          <w:marBottom w:val="0"/>
          <w:divBdr>
            <w:top w:val="none" w:sz="0" w:space="0" w:color="auto"/>
            <w:left w:val="none" w:sz="0" w:space="0" w:color="auto"/>
            <w:bottom w:val="none" w:sz="0" w:space="0" w:color="auto"/>
            <w:right w:val="none" w:sz="0" w:space="0" w:color="auto"/>
          </w:divBdr>
        </w:div>
        <w:div w:id="1513568330">
          <w:marLeft w:val="640"/>
          <w:marRight w:val="0"/>
          <w:marTop w:val="0"/>
          <w:marBottom w:val="0"/>
          <w:divBdr>
            <w:top w:val="none" w:sz="0" w:space="0" w:color="auto"/>
            <w:left w:val="none" w:sz="0" w:space="0" w:color="auto"/>
            <w:bottom w:val="none" w:sz="0" w:space="0" w:color="auto"/>
            <w:right w:val="none" w:sz="0" w:space="0" w:color="auto"/>
          </w:divBdr>
        </w:div>
        <w:div w:id="2104452396">
          <w:marLeft w:val="640"/>
          <w:marRight w:val="0"/>
          <w:marTop w:val="0"/>
          <w:marBottom w:val="0"/>
          <w:divBdr>
            <w:top w:val="none" w:sz="0" w:space="0" w:color="auto"/>
            <w:left w:val="none" w:sz="0" w:space="0" w:color="auto"/>
            <w:bottom w:val="none" w:sz="0" w:space="0" w:color="auto"/>
            <w:right w:val="none" w:sz="0" w:space="0" w:color="auto"/>
          </w:divBdr>
        </w:div>
        <w:div w:id="1201626676">
          <w:marLeft w:val="640"/>
          <w:marRight w:val="0"/>
          <w:marTop w:val="0"/>
          <w:marBottom w:val="0"/>
          <w:divBdr>
            <w:top w:val="none" w:sz="0" w:space="0" w:color="auto"/>
            <w:left w:val="none" w:sz="0" w:space="0" w:color="auto"/>
            <w:bottom w:val="none" w:sz="0" w:space="0" w:color="auto"/>
            <w:right w:val="none" w:sz="0" w:space="0" w:color="auto"/>
          </w:divBdr>
        </w:div>
        <w:div w:id="1290285934">
          <w:marLeft w:val="640"/>
          <w:marRight w:val="0"/>
          <w:marTop w:val="0"/>
          <w:marBottom w:val="0"/>
          <w:divBdr>
            <w:top w:val="none" w:sz="0" w:space="0" w:color="auto"/>
            <w:left w:val="none" w:sz="0" w:space="0" w:color="auto"/>
            <w:bottom w:val="none" w:sz="0" w:space="0" w:color="auto"/>
            <w:right w:val="none" w:sz="0" w:space="0" w:color="auto"/>
          </w:divBdr>
        </w:div>
        <w:div w:id="1873958912">
          <w:marLeft w:val="640"/>
          <w:marRight w:val="0"/>
          <w:marTop w:val="0"/>
          <w:marBottom w:val="0"/>
          <w:divBdr>
            <w:top w:val="none" w:sz="0" w:space="0" w:color="auto"/>
            <w:left w:val="none" w:sz="0" w:space="0" w:color="auto"/>
            <w:bottom w:val="none" w:sz="0" w:space="0" w:color="auto"/>
            <w:right w:val="none" w:sz="0" w:space="0" w:color="auto"/>
          </w:divBdr>
        </w:div>
        <w:div w:id="1131899210">
          <w:marLeft w:val="640"/>
          <w:marRight w:val="0"/>
          <w:marTop w:val="0"/>
          <w:marBottom w:val="0"/>
          <w:divBdr>
            <w:top w:val="none" w:sz="0" w:space="0" w:color="auto"/>
            <w:left w:val="none" w:sz="0" w:space="0" w:color="auto"/>
            <w:bottom w:val="none" w:sz="0" w:space="0" w:color="auto"/>
            <w:right w:val="none" w:sz="0" w:space="0" w:color="auto"/>
          </w:divBdr>
        </w:div>
      </w:divsChild>
    </w:div>
    <w:div w:id="243536055">
      <w:bodyDiv w:val="1"/>
      <w:marLeft w:val="0"/>
      <w:marRight w:val="0"/>
      <w:marTop w:val="0"/>
      <w:marBottom w:val="0"/>
      <w:divBdr>
        <w:top w:val="none" w:sz="0" w:space="0" w:color="auto"/>
        <w:left w:val="none" w:sz="0" w:space="0" w:color="auto"/>
        <w:bottom w:val="none" w:sz="0" w:space="0" w:color="auto"/>
        <w:right w:val="none" w:sz="0" w:space="0" w:color="auto"/>
      </w:divBdr>
      <w:divsChild>
        <w:div w:id="326790283">
          <w:marLeft w:val="640"/>
          <w:marRight w:val="0"/>
          <w:marTop w:val="0"/>
          <w:marBottom w:val="0"/>
          <w:divBdr>
            <w:top w:val="none" w:sz="0" w:space="0" w:color="auto"/>
            <w:left w:val="none" w:sz="0" w:space="0" w:color="auto"/>
            <w:bottom w:val="none" w:sz="0" w:space="0" w:color="auto"/>
            <w:right w:val="none" w:sz="0" w:space="0" w:color="auto"/>
          </w:divBdr>
        </w:div>
        <w:div w:id="1811097466">
          <w:marLeft w:val="640"/>
          <w:marRight w:val="0"/>
          <w:marTop w:val="0"/>
          <w:marBottom w:val="0"/>
          <w:divBdr>
            <w:top w:val="none" w:sz="0" w:space="0" w:color="auto"/>
            <w:left w:val="none" w:sz="0" w:space="0" w:color="auto"/>
            <w:bottom w:val="none" w:sz="0" w:space="0" w:color="auto"/>
            <w:right w:val="none" w:sz="0" w:space="0" w:color="auto"/>
          </w:divBdr>
        </w:div>
        <w:div w:id="1935429664">
          <w:marLeft w:val="640"/>
          <w:marRight w:val="0"/>
          <w:marTop w:val="0"/>
          <w:marBottom w:val="0"/>
          <w:divBdr>
            <w:top w:val="none" w:sz="0" w:space="0" w:color="auto"/>
            <w:left w:val="none" w:sz="0" w:space="0" w:color="auto"/>
            <w:bottom w:val="none" w:sz="0" w:space="0" w:color="auto"/>
            <w:right w:val="none" w:sz="0" w:space="0" w:color="auto"/>
          </w:divBdr>
        </w:div>
        <w:div w:id="1056583578">
          <w:marLeft w:val="640"/>
          <w:marRight w:val="0"/>
          <w:marTop w:val="0"/>
          <w:marBottom w:val="0"/>
          <w:divBdr>
            <w:top w:val="none" w:sz="0" w:space="0" w:color="auto"/>
            <w:left w:val="none" w:sz="0" w:space="0" w:color="auto"/>
            <w:bottom w:val="none" w:sz="0" w:space="0" w:color="auto"/>
            <w:right w:val="none" w:sz="0" w:space="0" w:color="auto"/>
          </w:divBdr>
        </w:div>
        <w:div w:id="1606500081">
          <w:marLeft w:val="640"/>
          <w:marRight w:val="0"/>
          <w:marTop w:val="0"/>
          <w:marBottom w:val="0"/>
          <w:divBdr>
            <w:top w:val="none" w:sz="0" w:space="0" w:color="auto"/>
            <w:left w:val="none" w:sz="0" w:space="0" w:color="auto"/>
            <w:bottom w:val="none" w:sz="0" w:space="0" w:color="auto"/>
            <w:right w:val="none" w:sz="0" w:space="0" w:color="auto"/>
          </w:divBdr>
        </w:div>
        <w:div w:id="418066836">
          <w:marLeft w:val="640"/>
          <w:marRight w:val="0"/>
          <w:marTop w:val="0"/>
          <w:marBottom w:val="0"/>
          <w:divBdr>
            <w:top w:val="none" w:sz="0" w:space="0" w:color="auto"/>
            <w:left w:val="none" w:sz="0" w:space="0" w:color="auto"/>
            <w:bottom w:val="none" w:sz="0" w:space="0" w:color="auto"/>
            <w:right w:val="none" w:sz="0" w:space="0" w:color="auto"/>
          </w:divBdr>
        </w:div>
        <w:div w:id="1814324155">
          <w:marLeft w:val="640"/>
          <w:marRight w:val="0"/>
          <w:marTop w:val="0"/>
          <w:marBottom w:val="0"/>
          <w:divBdr>
            <w:top w:val="none" w:sz="0" w:space="0" w:color="auto"/>
            <w:left w:val="none" w:sz="0" w:space="0" w:color="auto"/>
            <w:bottom w:val="none" w:sz="0" w:space="0" w:color="auto"/>
            <w:right w:val="none" w:sz="0" w:space="0" w:color="auto"/>
          </w:divBdr>
        </w:div>
        <w:div w:id="695695529">
          <w:marLeft w:val="640"/>
          <w:marRight w:val="0"/>
          <w:marTop w:val="0"/>
          <w:marBottom w:val="0"/>
          <w:divBdr>
            <w:top w:val="none" w:sz="0" w:space="0" w:color="auto"/>
            <w:left w:val="none" w:sz="0" w:space="0" w:color="auto"/>
            <w:bottom w:val="none" w:sz="0" w:space="0" w:color="auto"/>
            <w:right w:val="none" w:sz="0" w:space="0" w:color="auto"/>
          </w:divBdr>
        </w:div>
        <w:div w:id="616563581">
          <w:marLeft w:val="640"/>
          <w:marRight w:val="0"/>
          <w:marTop w:val="0"/>
          <w:marBottom w:val="0"/>
          <w:divBdr>
            <w:top w:val="none" w:sz="0" w:space="0" w:color="auto"/>
            <w:left w:val="none" w:sz="0" w:space="0" w:color="auto"/>
            <w:bottom w:val="none" w:sz="0" w:space="0" w:color="auto"/>
            <w:right w:val="none" w:sz="0" w:space="0" w:color="auto"/>
          </w:divBdr>
        </w:div>
        <w:div w:id="1204292686">
          <w:marLeft w:val="640"/>
          <w:marRight w:val="0"/>
          <w:marTop w:val="0"/>
          <w:marBottom w:val="0"/>
          <w:divBdr>
            <w:top w:val="none" w:sz="0" w:space="0" w:color="auto"/>
            <w:left w:val="none" w:sz="0" w:space="0" w:color="auto"/>
            <w:bottom w:val="none" w:sz="0" w:space="0" w:color="auto"/>
            <w:right w:val="none" w:sz="0" w:space="0" w:color="auto"/>
          </w:divBdr>
        </w:div>
        <w:div w:id="78412630">
          <w:marLeft w:val="640"/>
          <w:marRight w:val="0"/>
          <w:marTop w:val="0"/>
          <w:marBottom w:val="0"/>
          <w:divBdr>
            <w:top w:val="none" w:sz="0" w:space="0" w:color="auto"/>
            <w:left w:val="none" w:sz="0" w:space="0" w:color="auto"/>
            <w:bottom w:val="none" w:sz="0" w:space="0" w:color="auto"/>
            <w:right w:val="none" w:sz="0" w:space="0" w:color="auto"/>
          </w:divBdr>
        </w:div>
        <w:div w:id="2002345380">
          <w:marLeft w:val="640"/>
          <w:marRight w:val="0"/>
          <w:marTop w:val="0"/>
          <w:marBottom w:val="0"/>
          <w:divBdr>
            <w:top w:val="none" w:sz="0" w:space="0" w:color="auto"/>
            <w:left w:val="none" w:sz="0" w:space="0" w:color="auto"/>
            <w:bottom w:val="none" w:sz="0" w:space="0" w:color="auto"/>
            <w:right w:val="none" w:sz="0" w:space="0" w:color="auto"/>
          </w:divBdr>
        </w:div>
        <w:div w:id="389812483">
          <w:marLeft w:val="640"/>
          <w:marRight w:val="0"/>
          <w:marTop w:val="0"/>
          <w:marBottom w:val="0"/>
          <w:divBdr>
            <w:top w:val="none" w:sz="0" w:space="0" w:color="auto"/>
            <w:left w:val="none" w:sz="0" w:space="0" w:color="auto"/>
            <w:bottom w:val="none" w:sz="0" w:space="0" w:color="auto"/>
            <w:right w:val="none" w:sz="0" w:space="0" w:color="auto"/>
          </w:divBdr>
        </w:div>
        <w:div w:id="2131319649">
          <w:marLeft w:val="640"/>
          <w:marRight w:val="0"/>
          <w:marTop w:val="0"/>
          <w:marBottom w:val="0"/>
          <w:divBdr>
            <w:top w:val="none" w:sz="0" w:space="0" w:color="auto"/>
            <w:left w:val="none" w:sz="0" w:space="0" w:color="auto"/>
            <w:bottom w:val="none" w:sz="0" w:space="0" w:color="auto"/>
            <w:right w:val="none" w:sz="0" w:space="0" w:color="auto"/>
          </w:divBdr>
        </w:div>
        <w:div w:id="784815107">
          <w:marLeft w:val="640"/>
          <w:marRight w:val="0"/>
          <w:marTop w:val="0"/>
          <w:marBottom w:val="0"/>
          <w:divBdr>
            <w:top w:val="none" w:sz="0" w:space="0" w:color="auto"/>
            <w:left w:val="none" w:sz="0" w:space="0" w:color="auto"/>
            <w:bottom w:val="none" w:sz="0" w:space="0" w:color="auto"/>
            <w:right w:val="none" w:sz="0" w:space="0" w:color="auto"/>
          </w:divBdr>
        </w:div>
        <w:div w:id="637759204">
          <w:marLeft w:val="640"/>
          <w:marRight w:val="0"/>
          <w:marTop w:val="0"/>
          <w:marBottom w:val="0"/>
          <w:divBdr>
            <w:top w:val="none" w:sz="0" w:space="0" w:color="auto"/>
            <w:left w:val="none" w:sz="0" w:space="0" w:color="auto"/>
            <w:bottom w:val="none" w:sz="0" w:space="0" w:color="auto"/>
            <w:right w:val="none" w:sz="0" w:space="0" w:color="auto"/>
          </w:divBdr>
        </w:div>
        <w:div w:id="1192232814">
          <w:marLeft w:val="640"/>
          <w:marRight w:val="0"/>
          <w:marTop w:val="0"/>
          <w:marBottom w:val="0"/>
          <w:divBdr>
            <w:top w:val="none" w:sz="0" w:space="0" w:color="auto"/>
            <w:left w:val="none" w:sz="0" w:space="0" w:color="auto"/>
            <w:bottom w:val="none" w:sz="0" w:space="0" w:color="auto"/>
            <w:right w:val="none" w:sz="0" w:space="0" w:color="auto"/>
          </w:divBdr>
        </w:div>
        <w:div w:id="938373471">
          <w:marLeft w:val="640"/>
          <w:marRight w:val="0"/>
          <w:marTop w:val="0"/>
          <w:marBottom w:val="0"/>
          <w:divBdr>
            <w:top w:val="none" w:sz="0" w:space="0" w:color="auto"/>
            <w:left w:val="none" w:sz="0" w:space="0" w:color="auto"/>
            <w:bottom w:val="none" w:sz="0" w:space="0" w:color="auto"/>
            <w:right w:val="none" w:sz="0" w:space="0" w:color="auto"/>
          </w:divBdr>
        </w:div>
        <w:div w:id="1011176048">
          <w:marLeft w:val="640"/>
          <w:marRight w:val="0"/>
          <w:marTop w:val="0"/>
          <w:marBottom w:val="0"/>
          <w:divBdr>
            <w:top w:val="none" w:sz="0" w:space="0" w:color="auto"/>
            <w:left w:val="none" w:sz="0" w:space="0" w:color="auto"/>
            <w:bottom w:val="none" w:sz="0" w:space="0" w:color="auto"/>
            <w:right w:val="none" w:sz="0" w:space="0" w:color="auto"/>
          </w:divBdr>
        </w:div>
        <w:div w:id="1074467924">
          <w:marLeft w:val="640"/>
          <w:marRight w:val="0"/>
          <w:marTop w:val="0"/>
          <w:marBottom w:val="0"/>
          <w:divBdr>
            <w:top w:val="none" w:sz="0" w:space="0" w:color="auto"/>
            <w:left w:val="none" w:sz="0" w:space="0" w:color="auto"/>
            <w:bottom w:val="none" w:sz="0" w:space="0" w:color="auto"/>
            <w:right w:val="none" w:sz="0" w:space="0" w:color="auto"/>
          </w:divBdr>
        </w:div>
        <w:div w:id="875895167">
          <w:marLeft w:val="640"/>
          <w:marRight w:val="0"/>
          <w:marTop w:val="0"/>
          <w:marBottom w:val="0"/>
          <w:divBdr>
            <w:top w:val="none" w:sz="0" w:space="0" w:color="auto"/>
            <w:left w:val="none" w:sz="0" w:space="0" w:color="auto"/>
            <w:bottom w:val="none" w:sz="0" w:space="0" w:color="auto"/>
            <w:right w:val="none" w:sz="0" w:space="0" w:color="auto"/>
          </w:divBdr>
        </w:div>
        <w:div w:id="1293436004">
          <w:marLeft w:val="640"/>
          <w:marRight w:val="0"/>
          <w:marTop w:val="0"/>
          <w:marBottom w:val="0"/>
          <w:divBdr>
            <w:top w:val="none" w:sz="0" w:space="0" w:color="auto"/>
            <w:left w:val="none" w:sz="0" w:space="0" w:color="auto"/>
            <w:bottom w:val="none" w:sz="0" w:space="0" w:color="auto"/>
            <w:right w:val="none" w:sz="0" w:space="0" w:color="auto"/>
          </w:divBdr>
        </w:div>
        <w:div w:id="1820919825">
          <w:marLeft w:val="640"/>
          <w:marRight w:val="0"/>
          <w:marTop w:val="0"/>
          <w:marBottom w:val="0"/>
          <w:divBdr>
            <w:top w:val="none" w:sz="0" w:space="0" w:color="auto"/>
            <w:left w:val="none" w:sz="0" w:space="0" w:color="auto"/>
            <w:bottom w:val="none" w:sz="0" w:space="0" w:color="auto"/>
            <w:right w:val="none" w:sz="0" w:space="0" w:color="auto"/>
          </w:divBdr>
        </w:div>
        <w:div w:id="116686021">
          <w:marLeft w:val="640"/>
          <w:marRight w:val="0"/>
          <w:marTop w:val="0"/>
          <w:marBottom w:val="0"/>
          <w:divBdr>
            <w:top w:val="none" w:sz="0" w:space="0" w:color="auto"/>
            <w:left w:val="none" w:sz="0" w:space="0" w:color="auto"/>
            <w:bottom w:val="none" w:sz="0" w:space="0" w:color="auto"/>
            <w:right w:val="none" w:sz="0" w:space="0" w:color="auto"/>
          </w:divBdr>
        </w:div>
        <w:div w:id="513887341">
          <w:marLeft w:val="640"/>
          <w:marRight w:val="0"/>
          <w:marTop w:val="0"/>
          <w:marBottom w:val="0"/>
          <w:divBdr>
            <w:top w:val="none" w:sz="0" w:space="0" w:color="auto"/>
            <w:left w:val="none" w:sz="0" w:space="0" w:color="auto"/>
            <w:bottom w:val="none" w:sz="0" w:space="0" w:color="auto"/>
            <w:right w:val="none" w:sz="0" w:space="0" w:color="auto"/>
          </w:divBdr>
        </w:div>
        <w:div w:id="1024744026">
          <w:marLeft w:val="640"/>
          <w:marRight w:val="0"/>
          <w:marTop w:val="0"/>
          <w:marBottom w:val="0"/>
          <w:divBdr>
            <w:top w:val="none" w:sz="0" w:space="0" w:color="auto"/>
            <w:left w:val="none" w:sz="0" w:space="0" w:color="auto"/>
            <w:bottom w:val="none" w:sz="0" w:space="0" w:color="auto"/>
            <w:right w:val="none" w:sz="0" w:space="0" w:color="auto"/>
          </w:divBdr>
        </w:div>
        <w:div w:id="1414821010">
          <w:marLeft w:val="640"/>
          <w:marRight w:val="0"/>
          <w:marTop w:val="0"/>
          <w:marBottom w:val="0"/>
          <w:divBdr>
            <w:top w:val="none" w:sz="0" w:space="0" w:color="auto"/>
            <w:left w:val="none" w:sz="0" w:space="0" w:color="auto"/>
            <w:bottom w:val="none" w:sz="0" w:space="0" w:color="auto"/>
            <w:right w:val="none" w:sz="0" w:space="0" w:color="auto"/>
          </w:divBdr>
        </w:div>
      </w:divsChild>
    </w:div>
    <w:div w:id="315912170">
      <w:bodyDiv w:val="1"/>
      <w:marLeft w:val="0"/>
      <w:marRight w:val="0"/>
      <w:marTop w:val="0"/>
      <w:marBottom w:val="0"/>
      <w:divBdr>
        <w:top w:val="none" w:sz="0" w:space="0" w:color="auto"/>
        <w:left w:val="none" w:sz="0" w:space="0" w:color="auto"/>
        <w:bottom w:val="none" w:sz="0" w:space="0" w:color="auto"/>
        <w:right w:val="none" w:sz="0" w:space="0" w:color="auto"/>
      </w:divBdr>
    </w:div>
    <w:div w:id="324238160">
      <w:bodyDiv w:val="1"/>
      <w:marLeft w:val="0"/>
      <w:marRight w:val="0"/>
      <w:marTop w:val="0"/>
      <w:marBottom w:val="0"/>
      <w:divBdr>
        <w:top w:val="none" w:sz="0" w:space="0" w:color="auto"/>
        <w:left w:val="none" w:sz="0" w:space="0" w:color="auto"/>
        <w:bottom w:val="none" w:sz="0" w:space="0" w:color="auto"/>
        <w:right w:val="none" w:sz="0" w:space="0" w:color="auto"/>
      </w:divBdr>
      <w:divsChild>
        <w:div w:id="702513035">
          <w:marLeft w:val="640"/>
          <w:marRight w:val="0"/>
          <w:marTop w:val="0"/>
          <w:marBottom w:val="0"/>
          <w:divBdr>
            <w:top w:val="none" w:sz="0" w:space="0" w:color="auto"/>
            <w:left w:val="none" w:sz="0" w:space="0" w:color="auto"/>
            <w:bottom w:val="none" w:sz="0" w:space="0" w:color="auto"/>
            <w:right w:val="none" w:sz="0" w:space="0" w:color="auto"/>
          </w:divBdr>
        </w:div>
        <w:div w:id="96101147">
          <w:marLeft w:val="640"/>
          <w:marRight w:val="0"/>
          <w:marTop w:val="0"/>
          <w:marBottom w:val="0"/>
          <w:divBdr>
            <w:top w:val="none" w:sz="0" w:space="0" w:color="auto"/>
            <w:left w:val="none" w:sz="0" w:space="0" w:color="auto"/>
            <w:bottom w:val="none" w:sz="0" w:space="0" w:color="auto"/>
            <w:right w:val="none" w:sz="0" w:space="0" w:color="auto"/>
          </w:divBdr>
        </w:div>
        <w:div w:id="1356886519">
          <w:marLeft w:val="640"/>
          <w:marRight w:val="0"/>
          <w:marTop w:val="0"/>
          <w:marBottom w:val="0"/>
          <w:divBdr>
            <w:top w:val="none" w:sz="0" w:space="0" w:color="auto"/>
            <w:left w:val="none" w:sz="0" w:space="0" w:color="auto"/>
            <w:bottom w:val="none" w:sz="0" w:space="0" w:color="auto"/>
            <w:right w:val="none" w:sz="0" w:space="0" w:color="auto"/>
          </w:divBdr>
        </w:div>
        <w:div w:id="9724269">
          <w:marLeft w:val="640"/>
          <w:marRight w:val="0"/>
          <w:marTop w:val="0"/>
          <w:marBottom w:val="0"/>
          <w:divBdr>
            <w:top w:val="none" w:sz="0" w:space="0" w:color="auto"/>
            <w:left w:val="none" w:sz="0" w:space="0" w:color="auto"/>
            <w:bottom w:val="none" w:sz="0" w:space="0" w:color="auto"/>
            <w:right w:val="none" w:sz="0" w:space="0" w:color="auto"/>
          </w:divBdr>
        </w:div>
        <w:div w:id="1649506862">
          <w:marLeft w:val="640"/>
          <w:marRight w:val="0"/>
          <w:marTop w:val="0"/>
          <w:marBottom w:val="0"/>
          <w:divBdr>
            <w:top w:val="none" w:sz="0" w:space="0" w:color="auto"/>
            <w:left w:val="none" w:sz="0" w:space="0" w:color="auto"/>
            <w:bottom w:val="none" w:sz="0" w:space="0" w:color="auto"/>
            <w:right w:val="none" w:sz="0" w:space="0" w:color="auto"/>
          </w:divBdr>
        </w:div>
        <w:div w:id="1780561853">
          <w:marLeft w:val="640"/>
          <w:marRight w:val="0"/>
          <w:marTop w:val="0"/>
          <w:marBottom w:val="0"/>
          <w:divBdr>
            <w:top w:val="none" w:sz="0" w:space="0" w:color="auto"/>
            <w:left w:val="none" w:sz="0" w:space="0" w:color="auto"/>
            <w:bottom w:val="none" w:sz="0" w:space="0" w:color="auto"/>
            <w:right w:val="none" w:sz="0" w:space="0" w:color="auto"/>
          </w:divBdr>
        </w:div>
        <w:div w:id="1774206629">
          <w:marLeft w:val="640"/>
          <w:marRight w:val="0"/>
          <w:marTop w:val="0"/>
          <w:marBottom w:val="0"/>
          <w:divBdr>
            <w:top w:val="none" w:sz="0" w:space="0" w:color="auto"/>
            <w:left w:val="none" w:sz="0" w:space="0" w:color="auto"/>
            <w:bottom w:val="none" w:sz="0" w:space="0" w:color="auto"/>
            <w:right w:val="none" w:sz="0" w:space="0" w:color="auto"/>
          </w:divBdr>
        </w:div>
        <w:div w:id="2053918514">
          <w:marLeft w:val="640"/>
          <w:marRight w:val="0"/>
          <w:marTop w:val="0"/>
          <w:marBottom w:val="0"/>
          <w:divBdr>
            <w:top w:val="none" w:sz="0" w:space="0" w:color="auto"/>
            <w:left w:val="none" w:sz="0" w:space="0" w:color="auto"/>
            <w:bottom w:val="none" w:sz="0" w:space="0" w:color="auto"/>
            <w:right w:val="none" w:sz="0" w:space="0" w:color="auto"/>
          </w:divBdr>
        </w:div>
        <w:div w:id="100347981">
          <w:marLeft w:val="640"/>
          <w:marRight w:val="0"/>
          <w:marTop w:val="0"/>
          <w:marBottom w:val="0"/>
          <w:divBdr>
            <w:top w:val="none" w:sz="0" w:space="0" w:color="auto"/>
            <w:left w:val="none" w:sz="0" w:space="0" w:color="auto"/>
            <w:bottom w:val="none" w:sz="0" w:space="0" w:color="auto"/>
            <w:right w:val="none" w:sz="0" w:space="0" w:color="auto"/>
          </w:divBdr>
        </w:div>
        <w:div w:id="1364407375">
          <w:marLeft w:val="640"/>
          <w:marRight w:val="0"/>
          <w:marTop w:val="0"/>
          <w:marBottom w:val="0"/>
          <w:divBdr>
            <w:top w:val="none" w:sz="0" w:space="0" w:color="auto"/>
            <w:left w:val="none" w:sz="0" w:space="0" w:color="auto"/>
            <w:bottom w:val="none" w:sz="0" w:space="0" w:color="auto"/>
            <w:right w:val="none" w:sz="0" w:space="0" w:color="auto"/>
          </w:divBdr>
        </w:div>
        <w:div w:id="1267075362">
          <w:marLeft w:val="640"/>
          <w:marRight w:val="0"/>
          <w:marTop w:val="0"/>
          <w:marBottom w:val="0"/>
          <w:divBdr>
            <w:top w:val="none" w:sz="0" w:space="0" w:color="auto"/>
            <w:left w:val="none" w:sz="0" w:space="0" w:color="auto"/>
            <w:bottom w:val="none" w:sz="0" w:space="0" w:color="auto"/>
            <w:right w:val="none" w:sz="0" w:space="0" w:color="auto"/>
          </w:divBdr>
        </w:div>
        <w:div w:id="168571412">
          <w:marLeft w:val="640"/>
          <w:marRight w:val="0"/>
          <w:marTop w:val="0"/>
          <w:marBottom w:val="0"/>
          <w:divBdr>
            <w:top w:val="none" w:sz="0" w:space="0" w:color="auto"/>
            <w:left w:val="none" w:sz="0" w:space="0" w:color="auto"/>
            <w:bottom w:val="none" w:sz="0" w:space="0" w:color="auto"/>
            <w:right w:val="none" w:sz="0" w:space="0" w:color="auto"/>
          </w:divBdr>
        </w:div>
        <w:div w:id="1091589695">
          <w:marLeft w:val="640"/>
          <w:marRight w:val="0"/>
          <w:marTop w:val="0"/>
          <w:marBottom w:val="0"/>
          <w:divBdr>
            <w:top w:val="none" w:sz="0" w:space="0" w:color="auto"/>
            <w:left w:val="none" w:sz="0" w:space="0" w:color="auto"/>
            <w:bottom w:val="none" w:sz="0" w:space="0" w:color="auto"/>
            <w:right w:val="none" w:sz="0" w:space="0" w:color="auto"/>
          </w:divBdr>
        </w:div>
        <w:div w:id="1718552843">
          <w:marLeft w:val="640"/>
          <w:marRight w:val="0"/>
          <w:marTop w:val="0"/>
          <w:marBottom w:val="0"/>
          <w:divBdr>
            <w:top w:val="none" w:sz="0" w:space="0" w:color="auto"/>
            <w:left w:val="none" w:sz="0" w:space="0" w:color="auto"/>
            <w:bottom w:val="none" w:sz="0" w:space="0" w:color="auto"/>
            <w:right w:val="none" w:sz="0" w:space="0" w:color="auto"/>
          </w:divBdr>
        </w:div>
        <w:div w:id="2137064265">
          <w:marLeft w:val="640"/>
          <w:marRight w:val="0"/>
          <w:marTop w:val="0"/>
          <w:marBottom w:val="0"/>
          <w:divBdr>
            <w:top w:val="none" w:sz="0" w:space="0" w:color="auto"/>
            <w:left w:val="none" w:sz="0" w:space="0" w:color="auto"/>
            <w:bottom w:val="none" w:sz="0" w:space="0" w:color="auto"/>
            <w:right w:val="none" w:sz="0" w:space="0" w:color="auto"/>
          </w:divBdr>
        </w:div>
        <w:div w:id="800802084">
          <w:marLeft w:val="640"/>
          <w:marRight w:val="0"/>
          <w:marTop w:val="0"/>
          <w:marBottom w:val="0"/>
          <w:divBdr>
            <w:top w:val="none" w:sz="0" w:space="0" w:color="auto"/>
            <w:left w:val="none" w:sz="0" w:space="0" w:color="auto"/>
            <w:bottom w:val="none" w:sz="0" w:space="0" w:color="auto"/>
            <w:right w:val="none" w:sz="0" w:space="0" w:color="auto"/>
          </w:divBdr>
        </w:div>
        <w:div w:id="824857564">
          <w:marLeft w:val="640"/>
          <w:marRight w:val="0"/>
          <w:marTop w:val="0"/>
          <w:marBottom w:val="0"/>
          <w:divBdr>
            <w:top w:val="none" w:sz="0" w:space="0" w:color="auto"/>
            <w:left w:val="none" w:sz="0" w:space="0" w:color="auto"/>
            <w:bottom w:val="none" w:sz="0" w:space="0" w:color="auto"/>
            <w:right w:val="none" w:sz="0" w:space="0" w:color="auto"/>
          </w:divBdr>
        </w:div>
        <w:div w:id="1577006954">
          <w:marLeft w:val="640"/>
          <w:marRight w:val="0"/>
          <w:marTop w:val="0"/>
          <w:marBottom w:val="0"/>
          <w:divBdr>
            <w:top w:val="none" w:sz="0" w:space="0" w:color="auto"/>
            <w:left w:val="none" w:sz="0" w:space="0" w:color="auto"/>
            <w:bottom w:val="none" w:sz="0" w:space="0" w:color="auto"/>
            <w:right w:val="none" w:sz="0" w:space="0" w:color="auto"/>
          </w:divBdr>
        </w:div>
        <w:div w:id="1616328991">
          <w:marLeft w:val="640"/>
          <w:marRight w:val="0"/>
          <w:marTop w:val="0"/>
          <w:marBottom w:val="0"/>
          <w:divBdr>
            <w:top w:val="none" w:sz="0" w:space="0" w:color="auto"/>
            <w:left w:val="none" w:sz="0" w:space="0" w:color="auto"/>
            <w:bottom w:val="none" w:sz="0" w:space="0" w:color="auto"/>
            <w:right w:val="none" w:sz="0" w:space="0" w:color="auto"/>
          </w:divBdr>
        </w:div>
        <w:div w:id="1490292465">
          <w:marLeft w:val="640"/>
          <w:marRight w:val="0"/>
          <w:marTop w:val="0"/>
          <w:marBottom w:val="0"/>
          <w:divBdr>
            <w:top w:val="none" w:sz="0" w:space="0" w:color="auto"/>
            <w:left w:val="none" w:sz="0" w:space="0" w:color="auto"/>
            <w:bottom w:val="none" w:sz="0" w:space="0" w:color="auto"/>
            <w:right w:val="none" w:sz="0" w:space="0" w:color="auto"/>
          </w:divBdr>
        </w:div>
        <w:div w:id="649015524">
          <w:marLeft w:val="640"/>
          <w:marRight w:val="0"/>
          <w:marTop w:val="0"/>
          <w:marBottom w:val="0"/>
          <w:divBdr>
            <w:top w:val="none" w:sz="0" w:space="0" w:color="auto"/>
            <w:left w:val="none" w:sz="0" w:space="0" w:color="auto"/>
            <w:bottom w:val="none" w:sz="0" w:space="0" w:color="auto"/>
            <w:right w:val="none" w:sz="0" w:space="0" w:color="auto"/>
          </w:divBdr>
        </w:div>
        <w:div w:id="1254705711">
          <w:marLeft w:val="640"/>
          <w:marRight w:val="0"/>
          <w:marTop w:val="0"/>
          <w:marBottom w:val="0"/>
          <w:divBdr>
            <w:top w:val="none" w:sz="0" w:space="0" w:color="auto"/>
            <w:left w:val="none" w:sz="0" w:space="0" w:color="auto"/>
            <w:bottom w:val="none" w:sz="0" w:space="0" w:color="auto"/>
            <w:right w:val="none" w:sz="0" w:space="0" w:color="auto"/>
          </w:divBdr>
        </w:div>
        <w:div w:id="1000426855">
          <w:marLeft w:val="640"/>
          <w:marRight w:val="0"/>
          <w:marTop w:val="0"/>
          <w:marBottom w:val="0"/>
          <w:divBdr>
            <w:top w:val="none" w:sz="0" w:space="0" w:color="auto"/>
            <w:left w:val="none" w:sz="0" w:space="0" w:color="auto"/>
            <w:bottom w:val="none" w:sz="0" w:space="0" w:color="auto"/>
            <w:right w:val="none" w:sz="0" w:space="0" w:color="auto"/>
          </w:divBdr>
        </w:div>
      </w:divsChild>
    </w:div>
    <w:div w:id="324555720">
      <w:bodyDiv w:val="1"/>
      <w:marLeft w:val="0"/>
      <w:marRight w:val="0"/>
      <w:marTop w:val="0"/>
      <w:marBottom w:val="0"/>
      <w:divBdr>
        <w:top w:val="none" w:sz="0" w:space="0" w:color="auto"/>
        <w:left w:val="none" w:sz="0" w:space="0" w:color="auto"/>
        <w:bottom w:val="none" w:sz="0" w:space="0" w:color="auto"/>
        <w:right w:val="none" w:sz="0" w:space="0" w:color="auto"/>
      </w:divBdr>
      <w:divsChild>
        <w:div w:id="883755427">
          <w:marLeft w:val="640"/>
          <w:marRight w:val="0"/>
          <w:marTop w:val="0"/>
          <w:marBottom w:val="0"/>
          <w:divBdr>
            <w:top w:val="none" w:sz="0" w:space="0" w:color="auto"/>
            <w:left w:val="none" w:sz="0" w:space="0" w:color="auto"/>
            <w:bottom w:val="none" w:sz="0" w:space="0" w:color="auto"/>
            <w:right w:val="none" w:sz="0" w:space="0" w:color="auto"/>
          </w:divBdr>
        </w:div>
        <w:div w:id="1994022366">
          <w:marLeft w:val="640"/>
          <w:marRight w:val="0"/>
          <w:marTop w:val="0"/>
          <w:marBottom w:val="0"/>
          <w:divBdr>
            <w:top w:val="none" w:sz="0" w:space="0" w:color="auto"/>
            <w:left w:val="none" w:sz="0" w:space="0" w:color="auto"/>
            <w:bottom w:val="none" w:sz="0" w:space="0" w:color="auto"/>
            <w:right w:val="none" w:sz="0" w:space="0" w:color="auto"/>
          </w:divBdr>
        </w:div>
        <w:div w:id="988943959">
          <w:marLeft w:val="640"/>
          <w:marRight w:val="0"/>
          <w:marTop w:val="0"/>
          <w:marBottom w:val="0"/>
          <w:divBdr>
            <w:top w:val="none" w:sz="0" w:space="0" w:color="auto"/>
            <w:left w:val="none" w:sz="0" w:space="0" w:color="auto"/>
            <w:bottom w:val="none" w:sz="0" w:space="0" w:color="auto"/>
            <w:right w:val="none" w:sz="0" w:space="0" w:color="auto"/>
          </w:divBdr>
        </w:div>
        <w:div w:id="1853253887">
          <w:marLeft w:val="640"/>
          <w:marRight w:val="0"/>
          <w:marTop w:val="0"/>
          <w:marBottom w:val="0"/>
          <w:divBdr>
            <w:top w:val="none" w:sz="0" w:space="0" w:color="auto"/>
            <w:left w:val="none" w:sz="0" w:space="0" w:color="auto"/>
            <w:bottom w:val="none" w:sz="0" w:space="0" w:color="auto"/>
            <w:right w:val="none" w:sz="0" w:space="0" w:color="auto"/>
          </w:divBdr>
        </w:div>
        <w:div w:id="899946877">
          <w:marLeft w:val="640"/>
          <w:marRight w:val="0"/>
          <w:marTop w:val="0"/>
          <w:marBottom w:val="0"/>
          <w:divBdr>
            <w:top w:val="none" w:sz="0" w:space="0" w:color="auto"/>
            <w:left w:val="none" w:sz="0" w:space="0" w:color="auto"/>
            <w:bottom w:val="none" w:sz="0" w:space="0" w:color="auto"/>
            <w:right w:val="none" w:sz="0" w:space="0" w:color="auto"/>
          </w:divBdr>
        </w:div>
        <w:div w:id="1971016349">
          <w:marLeft w:val="640"/>
          <w:marRight w:val="0"/>
          <w:marTop w:val="0"/>
          <w:marBottom w:val="0"/>
          <w:divBdr>
            <w:top w:val="none" w:sz="0" w:space="0" w:color="auto"/>
            <w:left w:val="none" w:sz="0" w:space="0" w:color="auto"/>
            <w:bottom w:val="none" w:sz="0" w:space="0" w:color="auto"/>
            <w:right w:val="none" w:sz="0" w:space="0" w:color="auto"/>
          </w:divBdr>
        </w:div>
        <w:div w:id="1668241080">
          <w:marLeft w:val="640"/>
          <w:marRight w:val="0"/>
          <w:marTop w:val="0"/>
          <w:marBottom w:val="0"/>
          <w:divBdr>
            <w:top w:val="none" w:sz="0" w:space="0" w:color="auto"/>
            <w:left w:val="none" w:sz="0" w:space="0" w:color="auto"/>
            <w:bottom w:val="none" w:sz="0" w:space="0" w:color="auto"/>
            <w:right w:val="none" w:sz="0" w:space="0" w:color="auto"/>
          </w:divBdr>
        </w:div>
        <w:div w:id="782849748">
          <w:marLeft w:val="640"/>
          <w:marRight w:val="0"/>
          <w:marTop w:val="0"/>
          <w:marBottom w:val="0"/>
          <w:divBdr>
            <w:top w:val="none" w:sz="0" w:space="0" w:color="auto"/>
            <w:left w:val="none" w:sz="0" w:space="0" w:color="auto"/>
            <w:bottom w:val="none" w:sz="0" w:space="0" w:color="auto"/>
            <w:right w:val="none" w:sz="0" w:space="0" w:color="auto"/>
          </w:divBdr>
        </w:div>
        <w:div w:id="1500578406">
          <w:marLeft w:val="640"/>
          <w:marRight w:val="0"/>
          <w:marTop w:val="0"/>
          <w:marBottom w:val="0"/>
          <w:divBdr>
            <w:top w:val="none" w:sz="0" w:space="0" w:color="auto"/>
            <w:left w:val="none" w:sz="0" w:space="0" w:color="auto"/>
            <w:bottom w:val="none" w:sz="0" w:space="0" w:color="auto"/>
            <w:right w:val="none" w:sz="0" w:space="0" w:color="auto"/>
          </w:divBdr>
        </w:div>
        <w:div w:id="1221553116">
          <w:marLeft w:val="640"/>
          <w:marRight w:val="0"/>
          <w:marTop w:val="0"/>
          <w:marBottom w:val="0"/>
          <w:divBdr>
            <w:top w:val="none" w:sz="0" w:space="0" w:color="auto"/>
            <w:left w:val="none" w:sz="0" w:space="0" w:color="auto"/>
            <w:bottom w:val="none" w:sz="0" w:space="0" w:color="auto"/>
            <w:right w:val="none" w:sz="0" w:space="0" w:color="auto"/>
          </w:divBdr>
        </w:div>
        <w:div w:id="204146524">
          <w:marLeft w:val="640"/>
          <w:marRight w:val="0"/>
          <w:marTop w:val="0"/>
          <w:marBottom w:val="0"/>
          <w:divBdr>
            <w:top w:val="none" w:sz="0" w:space="0" w:color="auto"/>
            <w:left w:val="none" w:sz="0" w:space="0" w:color="auto"/>
            <w:bottom w:val="none" w:sz="0" w:space="0" w:color="auto"/>
            <w:right w:val="none" w:sz="0" w:space="0" w:color="auto"/>
          </w:divBdr>
        </w:div>
        <w:div w:id="576086899">
          <w:marLeft w:val="640"/>
          <w:marRight w:val="0"/>
          <w:marTop w:val="0"/>
          <w:marBottom w:val="0"/>
          <w:divBdr>
            <w:top w:val="none" w:sz="0" w:space="0" w:color="auto"/>
            <w:left w:val="none" w:sz="0" w:space="0" w:color="auto"/>
            <w:bottom w:val="none" w:sz="0" w:space="0" w:color="auto"/>
            <w:right w:val="none" w:sz="0" w:space="0" w:color="auto"/>
          </w:divBdr>
        </w:div>
        <w:div w:id="112868061">
          <w:marLeft w:val="640"/>
          <w:marRight w:val="0"/>
          <w:marTop w:val="0"/>
          <w:marBottom w:val="0"/>
          <w:divBdr>
            <w:top w:val="none" w:sz="0" w:space="0" w:color="auto"/>
            <w:left w:val="none" w:sz="0" w:space="0" w:color="auto"/>
            <w:bottom w:val="none" w:sz="0" w:space="0" w:color="auto"/>
            <w:right w:val="none" w:sz="0" w:space="0" w:color="auto"/>
          </w:divBdr>
        </w:div>
        <w:div w:id="1963732490">
          <w:marLeft w:val="640"/>
          <w:marRight w:val="0"/>
          <w:marTop w:val="0"/>
          <w:marBottom w:val="0"/>
          <w:divBdr>
            <w:top w:val="none" w:sz="0" w:space="0" w:color="auto"/>
            <w:left w:val="none" w:sz="0" w:space="0" w:color="auto"/>
            <w:bottom w:val="none" w:sz="0" w:space="0" w:color="auto"/>
            <w:right w:val="none" w:sz="0" w:space="0" w:color="auto"/>
          </w:divBdr>
        </w:div>
        <w:div w:id="465926225">
          <w:marLeft w:val="640"/>
          <w:marRight w:val="0"/>
          <w:marTop w:val="0"/>
          <w:marBottom w:val="0"/>
          <w:divBdr>
            <w:top w:val="none" w:sz="0" w:space="0" w:color="auto"/>
            <w:left w:val="none" w:sz="0" w:space="0" w:color="auto"/>
            <w:bottom w:val="none" w:sz="0" w:space="0" w:color="auto"/>
            <w:right w:val="none" w:sz="0" w:space="0" w:color="auto"/>
          </w:divBdr>
        </w:div>
        <w:div w:id="1807358897">
          <w:marLeft w:val="640"/>
          <w:marRight w:val="0"/>
          <w:marTop w:val="0"/>
          <w:marBottom w:val="0"/>
          <w:divBdr>
            <w:top w:val="none" w:sz="0" w:space="0" w:color="auto"/>
            <w:left w:val="none" w:sz="0" w:space="0" w:color="auto"/>
            <w:bottom w:val="none" w:sz="0" w:space="0" w:color="auto"/>
            <w:right w:val="none" w:sz="0" w:space="0" w:color="auto"/>
          </w:divBdr>
        </w:div>
        <w:div w:id="1466850967">
          <w:marLeft w:val="640"/>
          <w:marRight w:val="0"/>
          <w:marTop w:val="0"/>
          <w:marBottom w:val="0"/>
          <w:divBdr>
            <w:top w:val="none" w:sz="0" w:space="0" w:color="auto"/>
            <w:left w:val="none" w:sz="0" w:space="0" w:color="auto"/>
            <w:bottom w:val="none" w:sz="0" w:space="0" w:color="auto"/>
            <w:right w:val="none" w:sz="0" w:space="0" w:color="auto"/>
          </w:divBdr>
        </w:div>
        <w:div w:id="1899389686">
          <w:marLeft w:val="640"/>
          <w:marRight w:val="0"/>
          <w:marTop w:val="0"/>
          <w:marBottom w:val="0"/>
          <w:divBdr>
            <w:top w:val="none" w:sz="0" w:space="0" w:color="auto"/>
            <w:left w:val="none" w:sz="0" w:space="0" w:color="auto"/>
            <w:bottom w:val="none" w:sz="0" w:space="0" w:color="auto"/>
            <w:right w:val="none" w:sz="0" w:space="0" w:color="auto"/>
          </w:divBdr>
        </w:div>
        <w:div w:id="783768111">
          <w:marLeft w:val="640"/>
          <w:marRight w:val="0"/>
          <w:marTop w:val="0"/>
          <w:marBottom w:val="0"/>
          <w:divBdr>
            <w:top w:val="none" w:sz="0" w:space="0" w:color="auto"/>
            <w:left w:val="none" w:sz="0" w:space="0" w:color="auto"/>
            <w:bottom w:val="none" w:sz="0" w:space="0" w:color="auto"/>
            <w:right w:val="none" w:sz="0" w:space="0" w:color="auto"/>
          </w:divBdr>
        </w:div>
      </w:divsChild>
    </w:div>
    <w:div w:id="335153021">
      <w:bodyDiv w:val="1"/>
      <w:marLeft w:val="0"/>
      <w:marRight w:val="0"/>
      <w:marTop w:val="0"/>
      <w:marBottom w:val="0"/>
      <w:divBdr>
        <w:top w:val="none" w:sz="0" w:space="0" w:color="auto"/>
        <w:left w:val="none" w:sz="0" w:space="0" w:color="auto"/>
        <w:bottom w:val="none" w:sz="0" w:space="0" w:color="auto"/>
        <w:right w:val="none" w:sz="0" w:space="0" w:color="auto"/>
      </w:divBdr>
    </w:div>
    <w:div w:id="359359402">
      <w:bodyDiv w:val="1"/>
      <w:marLeft w:val="0"/>
      <w:marRight w:val="0"/>
      <w:marTop w:val="0"/>
      <w:marBottom w:val="0"/>
      <w:divBdr>
        <w:top w:val="none" w:sz="0" w:space="0" w:color="auto"/>
        <w:left w:val="none" w:sz="0" w:space="0" w:color="auto"/>
        <w:bottom w:val="none" w:sz="0" w:space="0" w:color="auto"/>
        <w:right w:val="none" w:sz="0" w:space="0" w:color="auto"/>
      </w:divBdr>
      <w:divsChild>
        <w:div w:id="1929731678">
          <w:marLeft w:val="640"/>
          <w:marRight w:val="0"/>
          <w:marTop w:val="0"/>
          <w:marBottom w:val="0"/>
          <w:divBdr>
            <w:top w:val="none" w:sz="0" w:space="0" w:color="auto"/>
            <w:left w:val="none" w:sz="0" w:space="0" w:color="auto"/>
            <w:bottom w:val="none" w:sz="0" w:space="0" w:color="auto"/>
            <w:right w:val="none" w:sz="0" w:space="0" w:color="auto"/>
          </w:divBdr>
        </w:div>
        <w:div w:id="1461142187">
          <w:marLeft w:val="640"/>
          <w:marRight w:val="0"/>
          <w:marTop w:val="0"/>
          <w:marBottom w:val="0"/>
          <w:divBdr>
            <w:top w:val="none" w:sz="0" w:space="0" w:color="auto"/>
            <w:left w:val="none" w:sz="0" w:space="0" w:color="auto"/>
            <w:bottom w:val="none" w:sz="0" w:space="0" w:color="auto"/>
            <w:right w:val="none" w:sz="0" w:space="0" w:color="auto"/>
          </w:divBdr>
        </w:div>
        <w:div w:id="554001832">
          <w:marLeft w:val="640"/>
          <w:marRight w:val="0"/>
          <w:marTop w:val="0"/>
          <w:marBottom w:val="0"/>
          <w:divBdr>
            <w:top w:val="none" w:sz="0" w:space="0" w:color="auto"/>
            <w:left w:val="none" w:sz="0" w:space="0" w:color="auto"/>
            <w:bottom w:val="none" w:sz="0" w:space="0" w:color="auto"/>
            <w:right w:val="none" w:sz="0" w:space="0" w:color="auto"/>
          </w:divBdr>
        </w:div>
        <w:div w:id="1592396490">
          <w:marLeft w:val="640"/>
          <w:marRight w:val="0"/>
          <w:marTop w:val="0"/>
          <w:marBottom w:val="0"/>
          <w:divBdr>
            <w:top w:val="none" w:sz="0" w:space="0" w:color="auto"/>
            <w:left w:val="none" w:sz="0" w:space="0" w:color="auto"/>
            <w:bottom w:val="none" w:sz="0" w:space="0" w:color="auto"/>
            <w:right w:val="none" w:sz="0" w:space="0" w:color="auto"/>
          </w:divBdr>
        </w:div>
        <w:div w:id="1427921563">
          <w:marLeft w:val="640"/>
          <w:marRight w:val="0"/>
          <w:marTop w:val="0"/>
          <w:marBottom w:val="0"/>
          <w:divBdr>
            <w:top w:val="none" w:sz="0" w:space="0" w:color="auto"/>
            <w:left w:val="none" w:sz="0" w:space="0" w:color="auto"/>
            <w:bottom w:val="none" w:sz="0" w:space="0" w:color="auto"/>
            <w:right w:val="none" w:sz="0" w:space="0" w:color="auto"/>
          </w:divBdr>
        </w:div>
        <w:div w:id="1223759148">
          <w:marLeft w:val="640"/>
          <w:marRight w:val="0"/>
          <w:marTop w:val="0"/>
          <w:marBottom w:val="0"/>
          <w:divBdr>
            <w:top w:val="none" w:sz="0" w:space="0" w:color="auto"/>
            <w:left w:val="none" w:sz="0" w:space="0" w:color="auto"/>
            <w:bottom w:val="none" w:sz="0" w:space="0" w:color="auto"/>
            <w:right w:val="none" w:sz="0" w:space="0" w:color="auto"/>
          </w:divBdr>
        </w:div>
        <w:div w:id="1143887557">
          <w:marLeft w:val="640"/>
          <w:marRight w:val="0"/>
          <w:marTop w:val="0"/>
          <w:marBottom w:val="0"/>
          <w:divBdr>
            <w:top w:val="none" w:sz="0" w:space="0" w:color="auto"/>
            <w:left w:val="none" w:sz="0" w:space="0" w:color="auto"/>
            <w:bottom w:val="none" w:sz="0" w:space="0" w:color="auto"/>
            <w:right w:val="none" w:sz="0" w:space="0" w:color="auto"/>
          </w:divBdr>
        </w:div>
        <w:div w:id="480386186">
          <w:marLeft w:val="640"/>
          <w:marRight w:val="0"/>
          <w:marTop w:val="0"/>
          <w:marBottom w:val="0"/>
          <w:divBdr>
            <w:top w:val="none" w:sz="0" w:space="0" w:color="auto"/>
            <w:left w:val="none" w:sz="0" w:space="0" w:color="auto"/>
            <w:bottom w:val="none" w:sz="0" w:space="0" w:color="auto"/>
            <w:right w:val="none" w:sz="0" w:space="0" w:color="auto"/>
          </w:divBdr>
        </w:div>
        <w:div w:id="177231484">
          <w:marLeft w:val="640"/>
          <w:marRight w:val="0"/>
          <w:marTop w:val="0"/>
          <w:marBottom w:val="0"/>
          <w:divBdr>
            <w:top w:val="none" w:sz="0" w:space="0" w:color="auto"/>
            <w:left w:val="none" w:sz="0" w:space="0" w:color="auto"/>
            <w:bottom w:val="none" w:sz="0" w:space="0" w:color="auto"/>
            <w:right w:val="none" w:sz="0" w:space="0" w:color="auto"/>
          </w:divBdr>
        </w:div>
        <w:div w:id="1448350817">
          <w:marLeft w:val="640"/>
          <w:marRight w:val="0"/>
          <w:marTop w:val="0"/>
          <w:marBottom w:val="0"/>
          <w:divBdr>
            <w:top w:val="none" w:sz="0" w:space="0" w:color="auto"/>
            <w:left w:val="none" w:sz="0" w:space="0" w:color="auto"/>
            <w:bottom w:val="none" w:sz="0" w:space="0" w:color="auto"/>
            <w:right w:val="none" w:sz="0" w:space="0" w:color="auto"/>
          </w:divBdr>
        </w:div>
        <w:div w:id="288049971">
          <w:marLeft w:val="640"/>
          <w:marRight w:val="0"/>
          <w:marTop w:val="0"/>
          <w:marBottom w:val="0"/>
          <w:divBdr>
            <w:top w:val="none" w:sz="0" w:space="0" w:color="auto"/>
            <w:left w:val="none" w:sz="0" w:space="0" w:color="auto"/>
            <w:bottom w:val="none" w:sz="0" w:space="0" w:color="auto"/>
            <w:right w:val="none" w:sz="0" w:space="0" w:color="auto"/>
          </w:divBdr>
        </w:div>
        <w:div w:id="183984285">
          <w:marLeft w:val="640"/>
          <w:marRight w:val="0"/>
          <w:marTop w:val="0"/>
          <w:marBottom w:val="0"/>
          <w:divBdr>
            <w:top w:val="none" w:sz="0" w:space="0" w:color="auto"/>
            <w:left w:val="none" w:sz="0" w:space="0" w:color="auto"/>
            <w:bottom w:val="none" w:sz="0" w:space="0" w:color="auto"/>
            <w:right w:val="none" w:sz="0" w:space="0" w:color="auto"/>
          </w:divBdr>
        </w:div>
        <w:div w:id="989481689">
          <w:marLeft w:val="640"/>
          <w:marRight w:val="0"/>
          <w:marTop w:val="0"/>
          <w:marBottom w:val="0"/>
          <w:divBdr>
            <w:top w:val="none" w:sz="0" w:space="0" w:color="auto"/>
            <w:left w:val="none" w:sz="0" w:space="0" w:color="auto"/>
            <w:bottom w:val="none" w:sz="0" w:space="0" w:color="auto"/>
            <w:right w:val="none" w:sz="0" w:space="0" w:color="auto"/>
          </w:divBdr>
        </w:div>
        <w:div w:id="135876950">
          <w:marLeft w:val="640"/>
          <w:marRight w:val="0"/>
          <w:marTop w:val="0"/>
          <w:marBottom w:val="0"/>
          <w:divBdr>
            <w:top w:val="none" w:sz="0" w:space="0" w:color="auto"/>
            <w:left w:val="none" w:sz="0" w:space="0" w:color="auto"/>
            <w:bottom w:val="none" w:sz="0" w:space="0" w:color="auto"/>
            <w:right w:val="none" w:sz="0" w:space="0" w:color="auto"/>
          </w:divBdr>
        </w:div>
        <w:div w:id="1893615832">
          <w:marLeft w:val="640"/>
          <w:marRight w:val="0"/>
          <w:marTop w:val="0"/>
          <w:marBottom w:val="0"/>
          <w:divBdr>
            <w:top w:val="none" w:sz="0" w:space="0" w:color="auto"/>
            <w:left w:val="none" w:sz="0" w:space="0" w:color="auto"/>
            <w:bottom w:val="none" w:sz="0" w:space="0" w:color="auto"/>
            <w:right w:val="none" w:sz="0" w:space="0" w:color="auto"/>
          </w:divBdr>
        </w:div>
        <w:div w:id="1707487764">
          <w:marLeft w:val="640"/>
          <w:marRight w:val="0"/>
          <w:marTop w:val="0"/>
          <w:marBottom w:val="0"/>
          <w:divBdr>
            <w:top w:val="none" w:sz="0" w:space="0" w:color="auto"/>
            <w:left w:val="none" w:sz="0" w:space="0" w:color="auto"/>
            <w:bottom w:val="none" w:sz="0" w:space="0" w:color="auto"/>
            <w:right w:val="none" w:sz="0" w:space="0" w:color="auto"/>
          </w:divBdr>
        </w:div>
        <w:div w:id="125859671">
          <w:marLeft w:val="640"/>
          <w:marRight w:val="0"/>
          <w:marTop w:val="0"/>
          <w:marBottom w:val="0"/>
          <w:divBdr>
            <w:top w:val="none" w:sz="0" w:space="0" w:color="auto"/>
            <w:left w:val="none" w:sz="0" w:space="0" w:color="auto"/>
            <w:bottom w:val="none" w:sz="0" w:space="0" w:color="auto"/>
            <w:right w:val="none" w:sz="0" w:space="0" w:color="auto"/>
          </w:divBdr>
        </w:div>
        <w:div w:id="319694248">
          <w:marLeft w:val="640"/>
          <w:marRight w:val="0"/>
          <w:marTop w:val="0"/>
          <w:marBottom w:val="0"/>
          <w:divBdr>
            <w:top w:val="none" w:sz="0" w:space="0" w:color="auto"/>
            <w:left w:val="none" w:sz="0" w:space="0" w:color="auto"/>
            <w:bottom w:val="none" w:sz="0" w:space="0" w:color="auto"/>
            <w:right w:val="none" w:sz="0" w:space="0" w:color="auto"/>
          </w:divBdr>
        </w:div>
        <w:div w:id="476998364">
          <w:marLeft w:val="640"/>
          <w:marRight w:val="0"/>
          <w:marTop w:val="0"/>
          <w:marBottom w:val="0"/>
          <w:divBdr>
            <w:top w:val="none" w:sz="0" w:space="0" w:color="auto"/>
            <w:left w:val="none" w:sz="0" w:space="0" w:color="auto"/>
            <w:bottom w:val="none" w:sz="0" w:space="0" w:color="auto"/>
            <w:right w:val="none" w:sz="0" w:space="0" w:color="auto"/>
          </w:divBdr>
        </w:div>
        <w:div w:id="1666784746">
          <w:marLeft w:val="640"/>
          <w:marRight w:val="0"/>
          <w:marTop w:val="0"/>
          <w:marBottom w:val="0"/>
          <w:divBdr>
            <w:top w:val="none" w:sz="0" w:space="0" w:color="auto"/>
            <w:left w:val="none" w:sz="0" w:space="0" w:color="auto"/>
            <w:bottom w:val="none" w:sz="0" w:space="0" w:color="auto"/>
            <w:right w:val="none" w:sz="0" w:space="0" w:color="auto"/>
          </w:divBdr>
        </w:div>
        <w:div w:id="428544822">
          <w:marLeft w:val="640"/>
          <w:marRight w:val="0"/>
          <w:marTop w:val="0"/>
          <w:marBottom w:val="0"/>
          <w:divBdr>
            <w:top w:val="none" w:sz="0" w:space="0" w:color="auto"/>
            <w:left w:val="none" w:sz="0" w:space="0" w:color="auto"/>
            <w:bottom w:val="none" w:sz="0" w:space="0" w:color="auto"/>
            <w:right w:val="none" w:sz="0" w:space="0" w:color="auto"/>
          </w:divBdr>
        </w:div>
        <w:div w:id="224949520">
          <w:marLeft w:val="640"/>
          <w:marRight w:val="0"/>
          <w:marTop w:val="0"/>
          <w:marBottom w:val="0"/>
          <w:divBdr>
            <w:top w:val="none" w:sz="0" w:space="0" w:color="auto"/>
            <w:left w:val="none" w:sz="0" w:space="0" w:color="auto"/>
            <w:bottom w:val="none" w:sz="0" w:space="0" w:color="auto"/>
            <w:right w:val="none" w:sz="0" w:space="0" w:color="auto"/>
          </w:divBdr>
        </w:div>
        <w:div w:id="776408281">
          <w:marLeft w:val="640"/>
          <w:marRight w:val="0"/>
          <w:marTop w:val="0"/>
          <w:marBottom w:val="0"/>
          <w:divBdr>
            <w:top w:val="none" w:sz="0" w:space="0" w:color="auto"/>
            <w:left w:val="none" w:sz="0" w:space="0" w:color="auto"/>
            <w:bottom w:val="none" w:sz="0" w:space="0" w:color="auto"/>
            <w:right w:val="none" w:sz="0" w:space="0" w:color="auto"/>
          </w:divBdr>
        </w:div>
        <w:div w:id="842159494">
          <w:marLeft w:val="640"/>
          <w:marRight w:val="0"/>
          <w:marTop w:val="0"/>
          <w:marBottom w:val="0"/>
          <w:divBdr>
            <w:top w:val="none" w:sz="0" w:space="0" w:color="auto"/>
            <w:left w:val="none" w:sz="0" w:space="0" w:color="auto"/>
            <w:bottom w:val="none" w:sz="0" w:space="0" w:color="auto"/>
            <w:right w:val="none" w:sz="0" w:space="0" w:color="auto"/>
          </w:divBdr>
        </w:div>
        <w:div w:id="1495998716">
          <w:marLeft w:val="640"/>
          <w:marRight w:val="0"/>
          <w:marTop w:val="0"/>
          <w:marBottom w:val="0"/>
          <w:divBdr>
            <w:top w:val="none" w:sz="0" w:space="0" w:color="auto"/>
            <w:left w:val="none" w:sz="0" w:space="0" w:color="auto"/>
            <w:bottom w:val="none" w:sz="0" w:space="0" w:color="auto"/>
            <w:right w:val="none" w:sz="0" w:space="0" w:color="auto"/>
          </w:divBdr>
        </w:div>
        <w:div w:id="229537320">
          <w:marLeft w:val="640"/>
          <w:marRight w:val="0"/>
          <w:marTop w:val="0"/>
          <w:marBottom w:val="0"/>
          <w:divBdr>
            <w:top w:val="none" w:sz="0" w:space="0" w:color="auto"/>
            <w:left w:val="none" w:sz="0" w:space="0" w:color="auto"/>
            <w:bottom w:val="none" w:sz="0" w:space="0" w:color="auto"/>
            <w:right w:val="none" w:sz="0" w:space="0" w:color="auto"/>
          </w:divBdr>
        </w:div>
      </w:divsChild>
    </w:div>
    <w:div w:id="388186556">
      <w:bodyDiv w:val="1"/>
      <w:marLeft w:val="0"/>
      <w:marRight w:val="0"/>
      <w:marTop w:val="0"/>
      <w:marBottom w:val="0"/>
      <w:divBdr>
        <w:top w:val="none" w:sz="0" w:space="0" w:color="auto"/>
        <w:left w:val="none" w:sz="0" w:space="0" w:color="auto"/>
        <w:bottom w:val="none" w:sz="0" w:space="0" w:color="auto"/>
        <w:right w:val="none" w:sz="0" w:space="0" w:color="auto"/>
      </w:divBdr>
      <w:divsChild>
        <w:div w:id="1690595451">
          <w:marLeft w:val="640"/>
          <w:marRight w:val="0"/>
          <w:marTop w:val="0"/>
          <w:marBottom w:val="0"/>
          <w:divBdr>
            <w:top w:val="none" w:sz="0" w:space="0" w:color="auto"/>
            <w:left w:val="none" w:sz="0" w:space="0" w:color="auto"/>
            <w:bottom w:val="none" w:sz="0" w:space="0" w:color="auto"/>
            <w:right w:val="none" w:sz="0" w:space="0" w:color="auto"/>
          </w:divBdr>
        </w:div>
        <w:div w:id="1584800663">
          <w:marLeft w:val="640"/>
          <w:marRight w:val="0"/>
          <w:marTop w:val="0"/>
          <w:marBottom w:val="0"/>
          <w:divBdr>
            <w:top w:val="none" w:sz="0" w:space="0" w:color="auto"/>
            <w:left w:val="none" w:sz="0" w:space="0" w:color="auto"/>
            <w:bottom w:val="none" w:sz="0" w:space="0" w:color="auto"/>
            <w:right w:val="none" w:sz="0" w:space="0" w:color="auto"/>
          </w:divBdr>
        </w:div>
        <w:div w:id="379473827">
          <w:marLeft w:val="640"/>
          <w:marRight w:val="0"/>
          <w:marTop w:val="0"/>
          <w:marBottom w:val="0"/>
          <w:divBdr>
            <w:top w:val="none" w:sz="0" w:space="0" w:color="auto"/>
            <w:left w:val="none" w:sz="0" w:space="0" w:color="auto"/>
            <w:bottom w:val="none" w:sz="0" w:space="0" w:color="auto"/>
            <w:right w:val="none" w:sz="0" w:space="0" w:color="auto"/>
          </w:divBdr>
        </w:div>
        <w:div w:id="1452437275">
          <w:marLeft w:val="640"/>
          <w:marRight w:val="0"/>
          <w:marTop w:val="0"/>
          <w:marBottom w:val="0"/>
          <w:divBdr>
            <w:top w:val="none" w:sz="0" w:space="0" w:color="auto"/>
            <w:left w:val="none" w:sz="0" w:space="0" w:color="auto"/>
            <w:bottom w:val="none" w:sz="0" w:space="0" w:color="auto"/>
            <w:right w:val="none" w:sz="0" w:space="0" w:color="auto"/>
          </w:divBdr>
        </w:div>
        <w:div w:id="1704095179">
          <w:marLeft w:val="640"/>
          <w:marRight w:val="0"/>
          <w:marTop w:val="0"/>
          <w:marBottom w:val="0"/>
          <w:divBdr>
            <w:top w:val="none" w:sz="0" w:space="0" w:color="auto"/>
            <w:left w:val="none" w:sz="0" w:space="0" w:color="auto"/>
            <w:bottom w:val="none" w:sz="0" w:space="0" w:color="auto"/>
            <w:right w:val="none" w:sz="0" w:space="0" w:color="auto"/>
          </w:divBdr>
        </w:div>
        <w:div w:id="1662849091">
          <w:marLeft w:val="640"/>
          <w:marRight w:val="0"/>
          <w:marTop w:val="0"/>
          <w:marBottom w:val="0"/>
          <w:divBdr>
            <w:top w:val="none" w:sz="0" w:space="0" w:color="auto"/>
            <w:left w:val="none" w:sz="0" w:space="0" w:color="auto"/>
            <w:bottom w:val="none" w:sz="0" w:space="0" w:color="auto"/>
            <w:right w:val="none" w:sz="0" w:space="0" w:color="auto"/>
          </w:divBdr>
        </w:div>
        <w:div w:id="632057261">
          <w:marLeft w:val="640"/>
          <w:marRight w:val="0"/>
          <w:marTop w:val="0"/>
          <w:marBottom w:val="0"/>
          <w:divBdr>
            <w:top w:val="none" w:sz="0" w:space="0" w:color="auto"/>
            <w:left w:val="none" w:sz="0" w:space="0" w:color="auto"/>
            <w:bottom w:val="none" w:sz="0" w:space="0" w:color="auto"/>
            <w:right w:val="none" w:sz="0" w:space="0" w:color="auto"/>
          </w:divBdr>
        </w:div>
        <w:div w:id="1397123725">
          <w:marLeft w:val="640"/>
          <w:marRight w:val="0"/>
          <w:marTop w:val="0"/>
          <w:marBottom w:val="0"/>
          <w:divBdr>
            <w:top w:val="none" w:sz="0" w:space="0" w:color="auto"/>
            <w:left w:val="none" w:sz="0" w:space="0" w:color="auto"/>
            <w:bottom w:val="none" w:sz="0" w:space="0" w:color="auto"/>
            <w:right w:val="none" w:sz="0" w:space="0" w:color="auto"/>
          </w:divBdr>
        </w:div>
        <w:div w:id="1417047872">
          <w:marLeft w:val="640"/>
          <w:marRight w:val="0"/>
          <w:marTop w:val="0"/>
          <w:marBottom w:val="0"/>
          <w:divBdr>
            <w:top w:val="none" w:sz="0" w:space="0" w:color="auto"/>
            <w:left w:val="none" w:sz="0" w:space="0" w:color="auto"/>
            <w:bottom w:val="none" w:sz="0" w:space="0" w:color="auto"/>
            <w:right w:val="none" w:sz="0" w:space="0" w:color="auto"/>
          </w:divBdr>
        </w:div>
        <w:div w:id="730419594">
          <w:marLeft w:val="640"/>
          <w:marRight w:val="0"/>
          <w:marTop w:val="0"/>
          <w:marBottom w:val="0"/>
          <w:divBdr>
            <w:top w:val="none" w:sz="0" w:space="0" w:color="auto"/>
            <w:left w:val="none" w:sz="0" w:space="0" w:color="auto"/>
            <w:bottom w:val="none" w:sz="0" w:space="0" w:color="auto"/>
            <w:right w:val="none" w:sz="0" w:space="0" w:color="auto"/>
          </w:divBdr>
        </w:div>
        <w:div w:id="1561017180">
          <w:marLeft w:val="640"/>
          <w:marRight w:val="0"/>
          <w:marTop w:val="0"/>
          <w:marBottom w:val="0"/>
          <w:divBdr>
            <w:top w:val="none" w:sz="0" w:space="0" w:color="auto"/>
            <w:left w:val="none" w:sz="0" w:space="0" w:color="auto"/>
            <w:bottom w:val="none" w:sz="0" w:space="0" w:color="auto"/>
            <w:right w:val="none" w:sz="0" w:space="0" w:color="auto"/>
          </w:divBdr>
        </w:div>
        <w:div w:id="192311444">
          <w:marLeft w:val="640"/>
          <w:marRight w:val="0"/>
          <w:marTop w:val="0"/>
          <w:marBottom w:val="0"/>
          <w:divBdr>
            <w:top w:val="none" w:sz="0" w:space="0" w:color="auto"/>
            <w:left w:val="none" w:sz="0" w:space="0" w:color="auto"/>
            <w:bottom w:val="none" w:sz="0" w:space="0" w:color="auto"/>
            <w:right w:val="none" w:sz="0" w:space="0" w:color="auto"/>
          </w:divBdr>
        </w:div>
        <w:div w:id="879394662">
          <w:marLeft w:val="640"/>
          <w:marRight w:val="0"/>
          <w:marTop w:val="0"/>
          <w:marBottom w:val="0"/>
          <w:divBdr>
            <w:top w:val="none" w:sz="0" w:space="0" w:color="auto"/>
            <w:left w:val="none" w:sz="0" w:space="0" w:color="auto"/>
            <w:bottom w:val="none" w:sz="0" w:space="0" w:color="auto"/>
            <w:right w:val="none" w:sz="0" w:space="0" w:color="auto"/>
          </w:divBdr>
        </w:div>
        <w:div w:id="700937115">
          <w:marLeft w:val="640"/>
          <w:marRight w:val="0"/>
          <w:marTop w:val="0"/>
          <w:marBottom w:val="0"/>
          <w:divBdr>
            <w:top w:val="none" w:sz="0" w:space="0" w:color="auto"/>
            <w:left w:val="none" w:sz="0" w:space="0" w:color="auto"/>
            <w:bottom w:val="none" w:sz="0" w:space="0" w:color="auto"/>
            <w:right w:val="none" w:sz="0" w:space="0" w:color="auto"/>
          </w:divBdr>
        </w:div>
        <w:div w:id="114252549">
          <w:marLeft w:val="640"/>
          <w:marRight w:val="0"/>
          <w:marTop w:val="0"/>
          <w:marBottom w:val="0"/>
          <w:divBdr>
            <w:top w:val="none" w:sz="0" w:space="0" w:color="auto"/>
            <w:left w:val="none" w:sz="0" w:space="0" w:color="auto"/>
            <w:bottom w:val="none" w:sz="0" w:space="0" w:color="auto"/>
            <w:right w:val="none" w:sz="0" w:space="0" w:color="auto"/>
          </w:divBdr>
        </w:div>
        <w:div w:id="352220611">
          <w:marLeft w:val="640"/>
          <w:marRight w:val="0"/>
          <w:marTop w:val="0"/>
          <w:marBottom w:val="0"/>
          <w:divBdr>
            <w:top w:val="none" w:sz="0" w:space="0" w:color="auto"/>
            <w:left w:val="none" w:sz="0" w:space="0" w:color="auto"/>
            <w:bottom w:val="none" w:sz="0" w:space="0" w:color="auto"/>
            <w:right w:val="none" w:sz="0" w:space="0" w:color="auto"/>
          </w:divBdr>
        </w:div>
        <w:div w:id="426582325">
          <w:marLeft w:val="640"/>
          <w:marRight w:val="0"/>
          <w:marTop w:val="0"/>
          <w:marBottom w:val="0"/>
          <w:divBdr>
            <w:top w:val="none" w:sz="0" w:space="0" w:color="auto"/>
            <w:left w:val="none" w:sz="0" w:space="0" w:color="auto"/>
            <w:bottom w:val="none" w:sz="0" w:space="0" w:color="auto"/>
            <w:right w:val="none" w:sz="0" w:space="0" w:color="auto"/>
          </w:divBdr>
        </w:div>
        <w:div w:id="1104306151">
          <w:marLeft w:val="640"/>
          <w:marRight w:val="0"/>
          <w:marTop w:val="0"/>
          <w:marBottom w:val="0"/>
          <w:divBdr>
            <w:top w:val="none" w:sz="0" w:space="0" w:color="auto"/>
            <w:left w:val="none" w:sz="0" w:space="0" w:color="auto"/>
            <w:bottom w:val="none" w:sz="0" w:space="0" w:color="auto"/>
            <w:right w:val="none" w:sz="0" w:space="0" w:color="auto"/>
          </w:divBdr>
        </w:div>
        <w:div w:id="1417899899">
          <w:marLeft w:val="640"/>
          <w:marRight w:val="0"/>
          <w:marTop w:val="0"/>
          <w:marBottom w:val="0"/>
          <w:divBdr>
            <w:top w:val="none" w:sz="0" w:space="0" w:color="auto"/>
            <w:left w:val="none" w:sz="0" w:space="0" w:color="auto"/>
            <w:bottom w:val="none" w:sz="0" w:space="0" w:color="auto"/>
            <w:right w:val="none" w:sz="0" w:space="0" w:color="auto"/>
          </w:divBdr>
        </w:div>
        <w:div w:id="612178302">
          <w:marLeft w:val="640"/>
          <w:marRight w:val="0"/>
          <w:marTop w:val="0"/>
          <w:marBottom w:val="0"/>
          <w:divBdr>
            <w:top w:val="none" w:sz="0" w:space="0" w:color="auto"/>
            <w:left w:val="none" w:sz="0" w:space="0" w:color="auto"/>
            <w:bottom w:val="none" w:sz="0" w:space="0" w:color="auto"/>
            <w:right w:val="none" w:sz="0" w:space="0" w:color="auto"/>
          </w:divBdr>
        </w:div>
        <w:div w:id="1844935053">
          <w:marLeft w:val="640"/>
          <w:marRight w:val="0"/>
          <w:marTop w:val="0"/>
          <w:marBottom w:val="0"/>
          <w:divBdr>
            <w:top w:val="none" w:sz="0" w:space="0" w:color="auto"/>
            <w:left w:val="none" w:sz="0" w:space="0" w:color="auto"/>
            <w:bottom w:val="none" w:sz="0" w:space="0" w:color="auto"/>
            <w:right w:val="none" w:sz="0" w:space="0" w:color="auto"/>
          </w:divBdr>
        </w:div>
        <w:div w:id="36131277">
          <w:marLeft w:val="640"/>
          <w:marRight w:val="0"/>
          <w:marTop w:val="0"/>
          <w:marBottom w:val="0"/>
          <w:divBdr>
            <w:top w:val="none" w:sz="0" w:space="0" w:color="auto"/>
            <w:left w:val="none" w:sz="0" w:space="0" w:color="auto"/>
            <w:bottom w:val="none" w:sz="0" w:space="0" w:color="auto"/>
            <w:right w:val="none" w:sz="0" w:space="0" w:color="auto"/>
          </w:divBdr>
        </w:div>
        <w:div w:id="1826972978">
          <w:marLeft w:val="640"/>
          <w:marRight w:val="0"/>
          <w:marTop w:val="0"/>
          <w:marBottom w:val="0"/>
          <w:divBdr>
            <w:top w:val="none" w:sz="0" w:space="0" w:color="auto"/>
            <w:left w:val="none" w:sz="0" w:space="0" w:color="auto"/>
            <w:bottom w:val="none" w:sz="0" w:space="0" w:color="auto"/>
            <w:right w:val="none" w:sz="0" w:space="0" w:color="auto"/>
          </w:divBdr>
        </w:div>
        <w:div w:id="1749961583">
          <w:marLeft w:val="640"/>
          <w:marRight w:val="0"/>
          <w:marTop w:val="0"/>
          <w:marBottom w:val="0"/>
          <w:divBdr>
            <w:top w:val="none" w:sz="0" w:space="0" w:color="auto"/>
            <w:left w:val="none" w:sz="0" w:space="0" w:color="auto"/>
            <w:bottom w:val="none" w:sz="0" w:space="0" w:color="auto"/>
            <w:right w:val="none" w:sz="0" w:space="0" w:color="auto"/>
          </w:divBdr>
        </w:div>
        <w:div w:id="792791913">
          <w:marLeft w:val="640"/>
          <w:marRight w:val="0"/>
          <w:marTop w:val="0"/>
          <w:marBottom w:val="0"/>
          <w:divBdr>
            <w:top w:val="none" w:sz="0" w:space="0" w:color="auto"/>
            <w:left w:val="none" w:sz="0" w:space="0" w:color="auto"/>
            <w:bottom w:val="none" w:sz="0" w:space="0" w:color="auto"/>
            <w:right w:val="none" w:sz="0" w:space="0" w:color="auto"/>
          </w:divBdr>
        </w:div>
      </w:divsChild>
    </w:div>
    <w:div w:id="420958207">
      <w:bodyDiv w:val="1"/>
      <w:marLeft w:val="0"/>
      <w:marRight w:val="0"/>
      <w:marTop w:val="0"/>
      <w:marBottom w:val="0"/>
      <w:divBdr>
        <w:top w:val="none" w:sz="0" w:space="0" w:color="auto"/>
        <w:left w:val="none" w:sz="0" w:space="0" w:color="auto"/>
        <w:bottom w:val="none" w:sz="0" w:space="0" w:color="auto"/>
        <w:right w:val="none" w:sz="0" w:space="0" w:color="auto"/>
      </w:divBdr>
      <w:divsChild>
        <w:div w:id="1843861157">
          <w:marLeft w:val="640"/>
          <w:marRight w:val="0"/>
          <w:marTop w:val="0"/>
          <w:marBottom w:val="0"/>
          <w:divBdr>
            <w:top w:val="none" w:sz="0" w:space="0" w:color="auto"/>
            <w:left w:val="none" w:sz="0" w:space="0" w:color="auto"/>
            <w:bottom w:val="none" w:sz="0" w:space="0" w:color="auto"/>
            <w:right w:val="none" w:sz="0" w:space="0" w:color="auto"/>
          </w:divBdr>
        </w:div>
        <w:div w:id="330764120">
          <w:marLeft w:val="640"/>
          <w:marRight w:val="0"/>
          <w:marTop w:val="0"/>
          <w:marBottom w:val="0"/>
          <w:divBdr>
            <w:top w:val="none" w:sz="0" w:space="0" w:color="auto"/>
            <w:left w:val="none" w:sz="0" w:space="0" w:color="auto"/>
            <w:bottom w:val="none" w:sz="0" w:space="0" w:color="auto"/>
            <w:right w:val="none" w:sz="0" w:space="0" w:color="auto"/>
          </w:divBdr>
        </w:div>
        <w:div w:id="1331133823">
          <w:marLeft w:val="640"/>
          <w:marRight w:val="0"/>
          <w:marTop w:val="0"/>
          <w:marBottom w:val="0"/>
          <w:divBdr>
            <w:top w:val="none" w:sz="0" w:space="0" w:color="auto"/>
            <w:left w:val="none" w:sz="0" w:space="0" w:color="auto"/>
            <w:bottom w:val="none" w:sz="0" w:space="0" w:color="auto"/>
            <w:right w:val="none" w:sz="0" w:space="0" w:color="auto"/>
          </w:divBdr>
        </w:div>
        <w:div w:id="1508904274">
          <w:marLeft w:val="640"/>
          <w:marRight w:val="0"/>
          <w:marTop w:val="0"/>
          <w:marBottom w:val="0"/>
          <w:divBdr>
            <w:top w:val="none" w:sz="0" w:space="0" w:color="auto"/>
            <w:left w:val="none" w:sz="0" w:space="0" w:color="auto"/>
            <w:bottom w:val="none" w:sz="0" w:space="0" w:color="auto"/>
            <w:right w:val="none" w:sz="0" w:space="0" w:color="auto"/>
          </w:divBdr>
        </w:div>
        <w:div w:id="1119573070">
          <w:marLeft w:val="640"/>
          <w:marRight w:val="0"/>
          <w:marTop w:val="0"/>
          <w:marBottom w:val="0"/>
          <w:divBdr>
            <w:top w:val="none" w:sz="0" w:space="0" w:color="auto"/>
            <w:left w:val="none" w:sz="0" w:space="0" w:color="auto"/>
            <w:bottom w:val="none" w:sz="0" w:space="0" w:color="auto"/>
            <w:right w:val="none" w:sz="0" w:space="0" w:color="auto"/>
          </w:divBdr>
        </w:div>
        <w:div w:id="1441218215">
          <w:marLeft w:val="640"/>
          <w:marRight w:val="0"/>
          <w:marTop w:val="0"/>
          <w:marBottom w:val="0"/>
          <w:divBdr>
            <w:top w:val="none" w:sz="0" w:space="0" w:color="auto"/>
            <w:left w:val="none" w:sz="0" w:space="0" w:color="auto"/>
            <w:bottom w:val="none" w:sz="0" w:space="0" w:color="auto"/>
            <w:right w:val="none" w:sz="0" w:space="0" w:color="auto"/>
          </w:divBdr>
        </w:div>
        <w:div w:id="457838977">
          <w:marLeft w:val="640"/>
          <w:marRight w:val="0"/>
          <w:marTop w:val="0"/>
          <w:marBottom w:val="0"/>
          <w:divBdr>
            <w:top w:val="none" w:sz="0" w:space="0" w:color="auto"/>
            <w:left w:val="none" w:sz="0" w:space="0" w:color="auto"/>
            <w:bottom w:val="none" w:sz="0" w:space="0" w:color="auto"/>
            <w:right w:val="none" w:sz="0" w:space="0" w:color="auto"/>
          </w:divBdr>
        </w:div>
        <w:div w:id="494876925">
          <w:marLeft w:val="640"/>
          <w:marRight w:val="0"/>
          <w:marTop w:val="0"/>
          <w:marBottom w:val="0"/>
          <w:divBdr>
            <w:top w:val="none" w:sz="0" w:space="0" w:color="auto"/>
            <w:left w:val="none" w:sz="0" w:space="0" w:color="auto"/>
            <w:bottom w:val="none" w:sz="0" w:space="0" w:color="auto"/>
            <w:right w:val="none" w:sz="0" w:space="0" w:color="auto"/>
          </w:divBdr>
        </w:div>
        <w:div w:id="1394499665">
          <w:marLeft w:val="640"/>
          <w:marRight w:val="0"/>
          <w:marTop w:val="0"/>
          <w:marBottom w:val="0"/>
          <w:divBdr>
            <w:top w:val="none" w:sz="0" w:space="0" w:color="auto"/>
            <w:left w:val="none" w:sz="0" w:space="0" w:color="auto"/>
            <w:bottom w:val="none" w:sz="0" w:space="0" w:color="auto"/>
            <w:right w:val="none" w:sz="0" w:space="0" w:color="auto"/>
          </w:divBdr>
        </w:div>
        <w:div w:id="424041062">
          <w:marLeft w:val="640"/>
          <w:marRight w:val="0"/>
          <w:marTop w:val="0"/>
          <w:marBottom w:val="0"/>
          <w:divBdr>
            <w:top w:val="none" w:sz="0" w:space="0" w:color="auto"/>
            <w:left w:val="none" w:sz="0" w:space="0" w:color="auto"/>
            <w:bottom w:val="none" w:sz="0" w:space="0" w:color="auto"/>
            <w:right w:val="none" w:sz="0" w:space="0" w:color="auto"/>
          </w:divBdr>
        </w:div>
        <w:div w:id="1346790857">
          <w:marLeft w:val="640"/>
          <w:marRight w:val="0"/>
          <w:marTop w:val="0"/>
          <w:marBottom w:val="0"/>
          <w:divBdr>
            <w:top w:val="none" w:sz="0" w:space="0" w:color="auto"/>
            <w:left w:val="none" w:sz="0" w:space="0" w:color="auto"/>
            <w:bottom w:val="none" w:sz="0" w:space="0" w:color="auto"/>
            <w:right w:val="none" w:sz="0" w:space="0" w:color="auto"/>
          </w:divBdr>
        </w:div>
        <w:div w:id="214392057">
          <w:marLeft w:val="640"/>
          <w:marRight w:val="0"/>
          <w:marTop w:val="0"/>
          <w:marBottom w:val="0"/>
          <w:divBdr>
            <w:top w:val="none" w:sz="0" w:space="0" w:color="auto"/>
            <w:left w:val="none" w:sz="0" w:space="0" w:color="auto"/>
            <w:bottom w:val="none" w:sz="0" w:space="0" w:color="auto"/>
            <w:right w:val="none" w:sz="0" w:space="0" w:color="auto"/>
          </w:divBdr>
        </w:div>
        <w:div w:id="392002171">
          <w:marLeft w:val="640"/>
          <w:marRight w:val="0"/>
          <w:marTop w:val="0"/>
          <w:marBottom w:val="0"/>
          <w:divBdr>
            <w:top w:val="none" w:sz="0" w:space="0" w:color="auto"/>
            <w:left w:val="none" w:sz="0" w:space="0" w:color="auto"/>
            <w:bottom w:val="none" w:sz="0" w:space="0" w:color="auto"/>
            <w:right w:val="none" w:sz="0" w:space="0" w:color="auto"/>
          </w:divBdr>
        </w:div>
        <w:div w:id="436608912">
          <w:marLeft w:val="640"/>
          <w:marRight w:val="0"/>
          <w:marTop w:val="0"/>
          <w:marBottom w:val="0"/>
          <w:divBdr>
            <w:top w:val="none" w:sz="0" w:space="0" w:color="auto"/>
            <w:left w:val="none" w:sz="0" w:space="0" w:color="auto"/>
            <w:bottom w:val="none" w:sz="0" w:space="0" w:color="auto"/>
            <w:right w:val="none" w:sz="0" w:space="0" w:color="auto"/>
          </w:divBdr>
        </w:div>
        <w:div w:id="1860704989">
          <w:marLeft w:val="640"/>
          <w:marRight w:val="0"/>
          <w:marTop w:val="0"/>
          <w:marBottom w:val="0"/>
          <w:divBdr>
            <w:top w:val="none" w:sz="0" w:space="0" w:color="auto"/>
            <w:left w:val="none" w:sz="0" w:space="0" w:color="auto"/>
            <w:bottom w:val="none" w:sz="0" w:space="0" w:color="auto"/>
            <w:right w:val="none" w:sz="0" w:space="0" w:color="auto"/>
          </w:divBdr>
        </w:div>
        <w:div w:id="620116047">
          <w:marLeft w:val="640"/>
          <w:marRight w:val="0"/>
          <w:marTop w:val="0"/>
          <w:marBottom w:val="0"/>
          <w:divBdr>
            <w:top w:val="none" w:sz="0" w:space="0" w:color="auto"/>
            <w:left w:val="none" w:sz="0" w:space="0" w:color="auto"/>
            <w:bottom w:val="none" w:sz="0" w:space="0" w:color="auto"/>
            <w:right w:val="none" w:sz="0" w:space="0" w:color="auto"/>
          </w:divBdr>
        </w:div>
        <w:div w:id="2038041056">
          <w:marLeft w:val="640"/>
          <w:marRight w:val="0"/>
          <w:marTop w:val="0"/>
          <w:marBottom w:val="0"/>
          <w:divBdr>
            <w:top w:val="none" w:sz="0" w:space="0" w:color="auto"/>
            <w:left w:val="none" w:sz="0" w:space="0" w:color="auto"/>
            <w:bottom w:val="none" w:sz="0" w:space="0" w:color="auto"/>
            <w:right w:val="none" w:sz="0" w:space="0" w:color="auto"/>
          </w:divBdr>
        </w:div>
        <w:div w:id="1697659084">
          <w:marLeft w:val="640"/>
          <w:marRight w:val="0"/>
          <w:marTop w:val="0"/>
          <w:marBottom w:val="0"/>
          <w:divBdr>
            <w:top w:val="none" w:sz="0" w:space="0" w:color="auto"/>
            <w:left w:val="none" w:sz="0" w:space="0" w:color="auto"/>
            <w:bottom w:val="none" w:sz="0" w:space="0" w:color="auto"/>
            <w:right w:val="none" w:sz="0" w:space="0" w:color="auto"/>
          </w:divBdr>
        </w:div>
        <w:div w:id="174074228">
          <w:marLeft w:val="640"/>
          <w:marRight w:val="0"/>
          <w:marTop w:val="0"/>
          <w:marBottom w:val="0"/>
          <w:divBdr>
            <w:top w:val="none" w:sz="0" w:space="0" w:color="auto"/>
            <w:left w:val="none" w:sz="0" w:space="0" w:color="auto"/>
            <w:bottom w:val="none" w:sz="0" w:space="0" w:color="auto"/>
            <w:right w:val="none" w:sz="0" w:space="0" w:color="auto"/>
          </w:divBdr>
        </w:div>
        <w:div w:id="185558633">
          <w:marLeft w:val="640"/>
          <w:marRight w:val="0"/>
          <w:marTop w:val="0"/>
          <w:marBottom w:val="0"/>
          <w:divBdr>
            <w:top w:val="none" w:sz="0" w:space="0" w:color="auto"/>
            <w:left w:val="none" w:sz="0" w:space="0" w:color="auto"/>
            <w:bottom w:val="none" w:sz="0" w:space="0" w:color="auto"/>
            <w:right w:val="none" w:sz="0" w:space="0" w:color="auto"/>
          </w:divBdr>
        </w:div>
        <w:div w:id="1267999544">
          <w:marLeft w:val="640"/>
          <w:marRight w:val="0"/>
          <w:marTop w:val="0"/>
          <w:marBottom w:val="0"/>
          <w:divBdr>
            <w:top w:val="none" w:sz="0" w:space="0" w:color="auto"/>
            <w:left w:val="none" w:sz="0" w:space="0" w:color="auto"/>
            <w:bottom w:val="none" w:sz="0" w:space="0" w:color="auto"/>
            <w:right w:val="none" w:sz="0" w:space="0" w:color="auto"/>
          </w:divBdr>
        </w:div>
        <w:div w:id="931934820">
          <w:marLeft w:val="640"/>
          <w:marRight w:val="0"/>
          <w:marTop w:val="0"/>
          <w:marBottom w:val="0"/>
          <w:divBdr>
            <w:top w:val="none" w:sz="0" w:space="0" w:color="auto"/>
            <w:left w:val="none" w:sz="0" w:space="0" w:color="auto"/>
            <w:bottom w:val="none" w:sz="0" w:space="0" w:color="auto"/>
            <w:right w:val="none" w:sz="0" w:space="0" w:color="auto"/>
          </w:divBdr>
        </w:div>
        <w:div w:id="780805332">
          <w:marLeft w:val="640"/>
          <w:marRight w:val="0"/>
          <w:marTop w:val="0"/>
          <w:marBottom w:val="0"/>
          <w:divBdr>
            <w:top w:val="none" w:sz="0" w:space="0" w:color="auto"/>
            <w:left w:val="none" w:sz="0" w:space="0" w:color="auto"/>
            <w:bottom w:val="none" w:sz="0" w:space="0" w:color="auto"/>
            <w:right w:val="none" w:sz="0" w:space="0" w:color="auto"/>
          </w:divBdr>
        </w:div>
        <w:div w:id="1639265422">
          <w:marLeft w:val="640"/>
          <w:marRight w:val="0"/>
          <w:marTop w:val="0"/>
          <w:marBottom w:val="0"/>
          <w:divBdr>
            <w:top w:val="none" w:sz="0" w:space="0" w:color="auto"/>
            <w:left w:val="none" w:sz="0" w:space="0" w:color="auto"/>
            <w:bottom w:val="none" w:sz="0" w:space="0" w:color="auto"/>
            <w:right w:val="none" w:sz="0" w:space="0" w:color="auto"/>
          </w:divBdr>
        </w:div>
        <w:div w:id="584999881">
          <w:marLeft w:val="640"/>
          <w:marRight w:val="0"/>
          <w:marTop w:val="0"/>
          <w:marBottom w:val="0"/>
          <w:divBdr>
            <w:top w:val="none" w:sz="0" w:space="0" w:color="auto"/>
            <w:left w:val="none" w:sz="0" w:space="0" w:color="auto"/>
            <w:bottom w:val="none" w:sz="0" w:space="0" w:color="auto"/>
            <w:right w:val="none" w:sz="0" w:space="0" w:color="auto"/>
          </w:divBdr>
        </w:div>
        <w:div w:id="1326586734">
          <w:marLeft w:val="640"/>
          <w:marRight w:val="0"/>
          <w:marTop w:val="0"/>
          <w:marBottom w:val="0"/>
          <w:divBdr>
            <w:top w:val="none" w:sz="0" w:space="0" w:color="auto"/>
            <w:left w:val="none" w:sz="0" w:space="0" w:color="auto"/>
            <w:bottom w:val="none" w:sz="0" w:space="0" w:color="auto"/>
            <w:right w:val="none" w:sz="0" w:space="0" w:color="auto"/>
          </w:divBdr>
        </w:div>
        <w:div w:id="418019827">
          <w:marLeft w:val="640"/>
          <w:marRight w:val="0"/>
          <w:marTop w:val="0"/>
          <w:marBottom w:val="0"/>
          <w:divBdr>
            <w:top w:val="none" w:sz="0" w:space="0" w:color="auto"/>
            <w:left w:val="none" w:sz="0" w:space="0" w:color="auto"/>
            <w:bottom w:val="none" w:sz="0" w:space="0" w:color="auto"/>
            <w:right w:val="none" w:sz="0" w:space="0" w:color="auto"/>
          </w:divBdr>
        </w:div>
        <w:div w:id="37365283">
          <w:marLeft w:val="640"/>
          <w:marRight w:val="0"/>
          <w:marTop w:val="0"/>
          <w:marBottom w:val="0"/>
          <w:divBdr>
            <w:top w:val="none" w:sz="0" w:space="0" w:color="auto"/>
            <w:left w:val="none" w:sz="0" w:space="0" w:color="auto"/>
            <w:bottom w:val="none" w:sz="0" w:space="0" w:color="auto"/>
            <w:right w:val="none" w:sz="0" w:space="0" w:color="auto"/>
          </w:divBdr>
        </w:div>
      </w:divsChild>
    </w:div>
    <w:div w:id="544683057">
      <w:bodyDiv w:val="1"/>
      <w:marLeft w:val="0"/>
      <w:marRight w:val="0"/>
      <w:marTop w:val="0"/>
      <w:marBottom w:val="0"/>
      <w:divBdr>
        <w:top w:val="none" w:sz="0" w:space="0" w:color="auto"/>
        <w:left w:val="none" w:sz="0" w:space="0" w:color="auto"/>
        <w:bottom w:val="none" w:sz="0" w:space="0" w:color="auto"/>
        <w:right w:val="none" w:sz="0" w:space="0" w:color="auto"/>
      </w:divBdr>
      <w:divsChild>
        <w:div w:id="1748769601">
          <w:marLeft w:val="640"/>
          <w:marRight w:val="0"/>
          <w:marTop w:val="0"/>
          <w:marBottom w:val="0"/>
          <w:divBdr>
            <w:top w:val="none" w:sz="0" w:space="0" w:color="auto"/>
            <w:left w:val="none" w:sz="0" w:space="0" w:color="auto"/>
            <w:bottom w:val="none" w:sz="0" w:space="0" w:color="auto"/>
            <w:right w:val="none" w:sz="0" w:space="0" w:color="auto"/>
          </w:divBdr>
        </w:div>
        <w:div w:id="451630707">
          <w:marLeft w:val="640"/>
          <w:marRight w:val="0"/>
          <w:marTop w:val="0"/>
          <w:marBottom w:val="0"/>
          <w:divBdr>
            <w:top w:val="none" w:sz="0" w:space="0" w:color="auto"/>
            <w:left w:val="none" w:sz="0" w:space="0" w:color="auto"/>
            <w:bottom w:val="none" w:sz="0" w:space="0" w:color="auto"/>
            <w:right w:val="none" w:sz="0" w:space="0" w:color="auto"/>
          </w:divBdr>
        </w:div>
        <w:div w:id="916207814">
          <w:marLeft w:val="640"/>
          <w:marRight w:val="0"/>
          <w:marTop w:val="0"/>
          <w:marBottom w:val="0"/>
          <w:divBdr>
            <w:top w:val="none" w:sz="0" w:space="0" w:color="auto"/>
            <w:left w:val="none" w:sz="0" w:space="0" w:color="auto"/>
            <w:bottom w:val="none" w:sz="0" w:space="0" w:color="auto"/>
            <w:right w:val="none" w:sz="0" w:space="0" w:color="auto"/>
          </w:divBdr>
        </w:div>
        <w:div w:id="91320592">
          <w:marLeft w:val="640"/>
          <w:marRight w:val="0"/>
          <w:marTop w:val="0"/>
          <w:marBottom w:val="0"/>
          <w:divBdr>
            <w:top w:val="none" w:sz="0" w:space="0" w:color="auto"/>
            <w:left w:val="none" w:sz="0" w:space="0" w:color="auto"/>
            <w:bottom w:val="none" w:sz="0" w:space="0" w:color="auto"/>
            <w:right w:val="none" w:sz="0" w:space="0" w:color="auto"/>
          </w:divBdr>
        </w:div>
        <w:div w:id="996767066">
          <w:marLeft w:val="640"/>
          <w:marRight w:val="0"/>
          <w:marTop w:val="0"/>
          <w:marBottom w:val="0"/>
          <w:divBdr>
            <w:top w:val="none" w:sz="0" w:space="0" w:color="auto"/>
            <w:left w:val="none" w:sz="0" w:space="0" w:color="auto"/>
            <w:bottom w:val="none" w:sz="0" w:space="0" w:color="auto"/>
            <w:right w:val="none" w:sz="0" w:space="0" w:color="auto"/>
          </w:divBdr>
        </w:div>
        <w:div w:id="1860196170">
          <w:marLeft w:val="640"/>
          <w:marRight w:val="0"/>
          <w:marTop w:val="0"/>
          <w:marBottom w:val="0"/>
          <w:divBdr>
            <w:top w:val="none" w:sz="0" w:space="0" w:color="auto"/>
            <w:left w:val="none" w:sz="0" w:space="0" w:color="auto"/>
            <w:bottom w:val="none" w:sz="0" w:space="0" w:color="auto"/>
            <w:right w:val="none" w:sz="0" w:space="0" w:color="auto"/>
          </w:divBdr>
        </w:div>
        <w:div w:id="1405953504">
          <w:marLeft w:val="640"/>
          <w:marRight w:val="0"/>
          <w:marTop w:val="0"/>
          <w:marBottom w:val="0"/>
          <w:divBdr>
            <w:top w:val="none" w:sz="0" w:space="0" w:color="auto"/>
            <w:left w:val="none" w:sz="0" w:space="0" w:color="auto"/>
            <w:bottom w:val="none" w:sz="0" w:space="0" w:color="auto"/>
            <w:right w:val="none" w:sz="0" w:space="0" w:color="auto"/>
          </w:divBdr>
        </w:div>
        <w:div w:id="2066441246">
          <w:marLeft w:val="640"/>
          <w:marRight w:val="0"/>
          <w:marTop w:val="0"/>
          <w:marBottom w:val="0"/>
          <w:divBdr>
            <w:top w:val="none" w:sz="0" w:space="0" w:color="auto"/>
            <w:left w:val="none" w:sz="0" w:space="0" w:color="auto"/>
            <w:bottom w:val="none" w:sz="0" w:space="0" w:color="auto"/>
            <w:right w:val="none" w:sz="0" w:space="0" w:color="auto"/>
          </w:divBdr>
        </w:div>
        <w:div w:id="1722167469">
          <w:marLeft w:val="640"/>
          <w:marRight w:val="0"/>
          <w:marTop w:val="0"/>
          <w:marBottom w:val="0"/>
          <w:divBdr>
            <w:top w:val="none" w:sz="0" w:space="0" w:color="auto"/>
            <w:left w:val="none" w:sz="0" w:space="0" w:color="auto"/>
            <w:bottom w:val="none" w:sz="0" w:space="0" w:color="auto"/>
            <w:right w:val="none" w:sz="0" w:space="0" w:color="auto"/>
          </w:divBdr>
        </w:div>
        <w:div w:id="501701717">
          <w:marLeft w:val="640"/>
          <w:marRight w:val="0"/>
          <w:marTop w:val="0"/>
          <w:marBottom w:val="0"/>
          <w:divBdr>
            <w:top w:val="none" w:sz="0" w:space="0" w:color="auto"/>
            <w:left w:val="none" w:sz="0" w:space="0" w:color="auto"/>
            <w:bottom w:val="none" w:sz="0" w:space="0" w:color="auto"/>
            <w:right w:val="none" w:sz="0" w:space="0" w:color="auto"/>
          </w:divBdr>
        </w:div>
        <w:div w:id="342825461">
          <w:marLeft w:val="640"/>
          <w:marRight w:val="0"/>
          <w:marTop w:val="0"/>
          <w:marBottom w:val="0"/>
          <w:divBdr>
            <w:top w:val="none" w:sz="0" w:space="0" w:color="auto"/>
            <w:left w:val="none" w:sz="0" w:space="0" w:color="auto"/>
            <w:bottom w:val="none" w:sz="0" w:space="0" w:color="auto"/>
            <w:right w:val="none" w:sz="0" w:space="0" w:color="auto"/>
          </w:divBdr>
        </w:div>
        <w:div w:id="709257289">
          <w:marLeft w:val="640"/>
          <w:marRight w:val="0"/>
          <w:marTop w:val="0"/>
          <w:marBottom w:val="0"/>
          <w:divBdr>
            <w:top w:val="none" w:sz="0" w:space="0" w:color="auto"/>
            <w:left w:val="none" w:sz="0" w:space="0" w:color="auto"/>
            <w:bottom w:val="none" w:sz="0" w:space="0" w:color="auto"/>
            <w:right w:val="none" w:sz="0" w:space="0" w:color="auto"/>
          </w:divBdr>
        </w:div>
        <w:div w:id="1650472539">
          <w:marLeft w:val="640"/>
          <w:marRight w:val="0"/>
          <w:marTop w:val="0"/>
          <w:marBottom w:val="0"/>
          <w:divBdr>
            <w:top w:val="none" w:sz="0" w:space="0" w:color="auto"/>
            <w:left w:val="none" w:sz="0" w:space="0" w:color="auto"/>
            <w:bottom w:val="none" w:sz="0" w:space="0" w:color="auto"/>
            <w:right w:val="none" w:sz="0" w:space="0" w:color="auto"/>
          </w:divBdr>
        </w:div>
        <w:div w:id="2044598350">
          <w:marLeft w:val="640"/>
          <w:marRight w:val="0"/>
          <w:marTop w:val="0"/>
          <w:marBottom w:val="0"/>
          <w:divBdr>
            <w:top w:val="none" w:sz="0" w:space="0" w:color="auto"/>
            <w:left w:val="none" w:sz="0" w:space="0" w:color="auto"/>
            <w:bottom w:val="none" w:sz="0" w:space="0" w:color="auto"/>
            <w:right w:val="none" w:sz="0" w:space="0" w:color="auto"/>
          </w:divBdr>
        </w:div>
        <w:div w:id="1680501139">
          <w:marLeft w:val="640"/>
          <w:marRight w:val="0"/>
          <w:marTop w:val="0"/>
          <w:marBottom w:val="0"/>
          <w:divBdr>
            <w:top w:val="none" w:sz="0" w:space="0" w:color="auto"/>
            <w:left w:val="none" w:sz="0" w:space="0" w:color="auto"/>
            <w:bottom w:val="none" w:sz="0" w:space="0" w:color="auto"/>
            <w:right w:val="none" w:sz="0" w:space="0" w:color="auto"/>
          </w:divBdr>
        </w:div>
        <w:div w:id="290210158">
          <w:marLeft w:val="640"/>
          <w:marRight w:val="0"/>
          <w:marTop w:val="0"/>
          <w:marBottom w:val="0"/>
          <w:divBdr>
            <w:top w:val="none" w:sz="0" w:space="0" w:color="auto"/>
            <w:left w:val="none" w:sz="0" w:space="0" w:color="auto"/>
            <w:bottom w:val="none" w:sz="0" w:space="0" w:color="auto"/>
            <w:right w:val="none" w:sz="0" w:space="0" w:color="auto"/>
          </w:divBdr>
        </w:div>
        <w:div w:id="879780048">
          <w:marLeft w:val="640"/>
          <w:marRight w:val="0"/>
          <w:marTop w:val="0"/>
          <w:marBottom w:val="0"/>
          <w:divBdr>
            <w:top w:val="none" w:sz="0" w:space="0" w:color="auto"/>
            <w:left w:val="none" w:sz="0" w:space="0" w:color="auto"/>
            <w:bottom w:val="none" w:sz="0" w:space="0" w:color="auto"/>
            <w:right w:val="none" w:sz="0" w:space="0" w:color="auto"/>
          </w:divBdr>
        </w:div>
        <w:div w:id="1358893523">
          <w:marLeft w:val="640"/>
          <w:marRight w:val="0"/>
          <w:marTop w:val="0"/>
          <w:marBottom w:val="0"/>
          <w:divBdr>
            <w:top w:val="none" w:sz="0" w:space="0" w:color="auto"/>
            <w:left w:val="none" w:sz="0" w:space="0" w:color="auto"/>
            <w:bottom w:val="none" w:sz="0" w:space="0" w:color="auto"/>
            <w:right w:val="none" w:sz="0" w:space="0" w:color="auto"/>
          </w:divBdr>
        </w:div>
        <w:div w:id="179241155">
          <w:marLeft w:val="640"/>
          <w:marRight w:val="0"/>
          <w:marTop w:val="0"/>
          <w:marBottom w:val="0"/>
          <w:divBdr>
            <w:top w:val="none" w:sz="0" w:space="0" w:color="auto"/>
            <w:left w:val="none" w:sz="0" w:space="0" w:color="auto"/>
            <w:bottom w:val="none" w:sz="0" w:space="0" w:color="auto"/>
            <w:right w:val="none" w:sz="0" w:space="0" w:color="auto"/>
          </w:divBdr>
        </w:div>
        <w:div w:id="151677722">
          <w:marLeft w:val="640"/>
          <w:marRight w:val="0"/>
          <w:marTop w:val="0"/>
          <w:marBottom w:val="0"/>
          <w:divBdr>
            <w:top w:val="none" w:sz="0" w:space="0" w:color="auto"/>
            <w:left w:val="none" w:sz="0" w:space="0" w:color="auto"/>
            <w:bottom w:val="none" w:sz="0" w:space="0" w:color="auto"/>
            <w:right w:val="none" w:sz="0" w:space="0" w:color="auto"/>
          </w:divBdr>
        </w:div>
        <w:div w:id="1082986963">
          <w:marLeft w:val="640"/>
          <w:marRight w:val="0"/>
          <w:marTop w:val="0"/>
          <w:marBottom w:val="0"/>
          <w:divBdr>
            <w:top w:val="none" w:sz="0" w:space="0" w:color="auto"/>
            <w:left w:val="none" w:sz="0" w:space="0" w:color="auto"/>
            <w:bottom w:val="none" w:sz="0" w:space="0" w:color="auto"/>
            <w:right w:val="none" w:sz="0" w:space="0" w:color="auto"/>
          </w:divBdr>
        </w:div>
        <w:div w:id="1207529756">
          <w:marLeft w:val="640"/>
          <w:marRight w:val="0"/>
          <w:marTop w:val="0"/>
          <w:marBottom w:val="0"/>
          <w:divBdr>
            <w:top w:val="none" w:sz="0" w:space="0" w:color="auto"/>
            <w:left w:val="none" w:sz="0" w:space="0" w:color="auto"/>
            <w:bottom w:val="none" w:sz="0" w:space="0" w:color="auto"/>
            <w:right w:val="none" w:sz="0" w:space="0" w:color="auto"/>
          </w:divBdr>
        </w:div>
        <w:div w:id="246156446">
          <w:marLeft w:val="640"/>
          <w:marRight w:val="0"/>
          <w:marTop w:val="0"/>
          <w:marBottom w:val="0"/>
          <w:divBdr>
            <w:top w:val="none" w:sz="0" w:space="0" w:color="auto"/>
            <w:left w:val="none" w:sz="0" w:space="0" w:color="auto"/>
            <w:bottom w:val="none" w:sz="0" w:space="0" w:color="auto"/>
            <w:right w:val="none" w:sz="0" w:space="0" w:color="auto"/>
          </w:divBdr>
        </w:div>
        <w:div w:id="330720799">
          <w:marLeft w:val="640"/>
          <w:marRight w:val="0"/>
          <w:marTop w:val="0"/>
          <w:marBottom w:val="0"/>
          <w:divBdr>
            <w:top w:val="none" w:sz="0" w:space="0" w:color="auto"/>
            <w:left w:val="none" w:sz="0" w:space="0" w:color="auto"/>
            <w:bottom w:val="none" w:sz="0" w:space="0" w:color="auto"/>
            <w:right w:val="none" w:sz="0" w:space="0" w:color="auto"/>
          </w:divBdr>
        </w:div>
        <w:div w:id="386882246">
          <w:marLeft w:val="640"/>
          <w:marRight w:val="0"/>
          <w:marTop w:val="0"/>
          <w:marBottom w:val="0"/>
          <w:divBdr>
            <w:top w:val="none" w:sz="0" w:space="0" w:color="auto"/>
            <w:left w:val="none" w:sz="0" w:space="0" w:color="auto"/>
            <w:bottom w:val="none" w:sz="0" w:space="0" w:color="auto"/>
            <w:right w:val="none" w:sz="0" w:space="0" w:color="auto"/>
          </w:divBdr>
        </w:div>
        <w:div w:id="1419980415">
          <w:marLeft w:val="640"/>
          <w:marRight w:val="0"/>
          <w:marTop w:val="0"/>
          <w:marBottom w:val="0"/>
          <w:divBdr>
            <w:top w:val="none" w:sz="0" w:space="0" w:color="auto"/>
            <w:left w:val="none" w:sz="0" w:space="0" w:color="auto"/>
            <w:bottom w:val="none" w:sz="0" w:space="0" w:color="auto"/>
            <w:right w:val="none" w:sz="0" w:space="0" w:color="auto"/>
          </w:divBdr>
        </w:div>
        <w:div w:id="781728690">
          <w:marLeft w:val="640"/>
          <w:marRight w:val="0"/>
          <w:marTop w:val="0"/>
          <w:marBottom w:val="0"/>
          <w:divBdr>
            <w:top w:val="none" w:sz="0" w:space="0" w:color="auto"/>
            <w:left w:val="none" w:sz="0" w:space="0" w:color="auto"/>
            <w:bottom w:val="none" w:sz="0" w:space="0" w:color="auto"/>
            <w:right w:val="none" w:sz="0" w:space="0" w:color="auto"/>
          </w:divBdr>
        </w:div>
      </w:divsChild>
    </w:div>
    <w:div w:id="598606100">
      <w:bodyDiv w:val="1"/>
      <w:marLeft w:val="0"/>
      <w:marRight w:val="0"/>
      <w:marTop w:val="0"/>
      <w:marBottom w:val="0"/>
      <w:divBdr>
        <w:top w:val="none" w:sz="0" w:space="0" w:color="auto"/>
        <w:left w:val="none" w:sz="0" w:space="0" w:color="auto"/>
        <w:bottom w:val="none" w:sz="0" w:space="0" w:color="auto"/>
        <w:right w:val="none" w:sz="0" w:space="0" w:color="auto"/>
      </w:divBdr>
      <w:divsChild>
        <w:div w:id="1763070419">
          <w:marLeft w:val="640"/>
          <w:marRight w:val="0"/>
          <w:marTop w:val="0"/>
          <w:marBottom w:val="0"/>
          <w:divBdr>
            <w:top w:val="none" w:sz="0" w:space="0" w:color="auto"/>
            <w:left w:val="none" w:sz="0" w:space="0" w:color="auto"/>
            <w:bottom w:val="none" w:sz="0" w:space="0" w:color="auto"/>
            <w:right w:val="none" w:sz="0" w:space="0" w:color="auto"/>
          </w:divBdr>
        </w:div>
        <w:div w:id="1201434432">
          <w:marLeft w:val="640"/>
          <w:marRight w:val="0"/>
          <w:marTop w:val="0"/>
          <w:marBottom w:val="0"/>
          <w:divBdr>
            <w:top w:val="none" w:sz="0" w:space="0" w:color="auto"/>
            <w:left w:val="none" w:sz="0" w:space="0" w:color="auto"/>
            <w:bottom w:val="none" w:sz="0" w:space="0" w:color="auto"/>
            <w:right w:val="none" w:sz="0" w:space="0" w:color="auto"/>
          </w:divBdr>
        </w:div>
        <w:div w:id="108744702">
          <w:marLeft w:val="640"/>
          <w:marRight w:val="0"/>
          <w:marTop w:val="0"/>
          <w:marBottom w:val="0"/>
          <w:divBdr>
            <w:top w:val="none" w:sz="0" w:space="0" w:color="auto"/>
            <w:left w:val="none" w:sz="0" w:space="0" w:color="auto"/>
            <w:bottom w:val="none" w:sz="0" w:space="0" w:color="auto"/>
            <w:right w:val="none" w:sz="0" w:space="0" w:color="auto"/>
          </w:divBdr>
        </w:div>
        <w:div w:id="323824615">
          <w:marLeft w:val="640"/>
          <w:marRight w:val="0"/>
          <w:marTop w:val="0"/>
          <w:marBottom w:val="0"/>
          <w:divBdr>
            <w:top w:val="none" w:sz="0" w:space="0" w:color="auto"/>
            <w:left w:val="none" w:sz="0" w:space="0" w:color="auto"/>
            <w:bottom w:val="none" w:sz="0" w:space="0" w:color="auto"/>
            <w:right w:val="none" w:sz="0" w:space="0" w:color="auto"/>
          </w:divBdr>
        </w:div>
        <w:div w:id="781194063">
          <w:marLeft w:val="640"/>
          <w:marRight w:val="0"/>
          <w:marTop w:val="0"/>
          <w:marBottom w:val="0"/>
          <w:divBdr>
            <w:top w:val="none" w:sz="0" w:space="0" w:color="auto"/>
            <w:left w:val="none" w:sz="0" w:space="0" w:color="auto"/>
            <w:bottom w:val="none" w:sz="0" w:space="0" w:color="auto"/>
            <w:right w:val="none" w:sz="0" w:space="0" w:color="auto"/>
          </w:divBdr>
        </w:div>
        <w:div w:id="1224029394">
          <w:marLeft w:val="640"/>
          <w:marRight w:val="0"/>
          <w:marTop w:val="0"/>
          <w:marBottom w:val="0"/>
          <w:divBdr>
            <w:top w:val="none" w:sz="0" w:space="0" w:color="auto"/>
            <w:left w:val="none" w:sz="0" w:space="0" w:color="auto"/>
            <w:bottom w:val="none" w:sz="0" w:space="0" w:color="auto"/>
            <w:right w:val="none" w:sz="0" w:space="0" w:color="auto"/>
          </w:divBdr>
        </w:div>
        <w:div w:id="943534003">
          <w:marLeft w:val="640"/>
          <w:marRight w:val="0"/>
          <w:marTop w:val="0"/>
          <w:marBottom w:val="0"/>
          <w:divBdr>
            <w:top w:val="none" w:sz="0" w:space="0" w:color="auto"/>
            <w:left w:val="none" w:sz="0" w:space="0" w:color="auto"/>
            <w:bottom w:val="none" w:sz="0" w:space="0" w:color="auto"/>
            <w:right w:val="none" w:sz="0" w:space="0" w:color="auto"/>
          </w:divBdr>
        </w:div>
        <w:div w:id="1520310633">
          <w:marLeft w:val="640"/>
          <w:marRight w:val="0"/>
          <w:marTop w:val="0"/>
          <w:marBottom w:val="0"/>
          <w:divBdr>
            <w:top w:val="none" w:sz="0" w:space="0" w:color="auto"/>
            <w:left w:val="none" w:sz="0" w:space="0" w:color="auto"/>
            <w:bottom w:val="none" w:sz="0" w:space="0" w:color="auto"/>
            <w:right w:val="none" w:sz="0" w:space="0" w:color="auto"/>
          </w:divBdr>
        </w:div>
        <w:div w:id="1996685821">
          <w:marLeft w:val="640"/>
          <w:marRight w:val="0"/>
          <w:marTop w:val="0"/>
          <w:marBottom w:val="0"/>
          <w:divBdr>
            <w:top w:val="none" w:sz="0" w:space="0" w:color="auto"/>
            <w:left w:val="none" w:sz="0" w:space="0" w:color="auto"/>
            <w:bottom w:val="none" w:sz="0" w:space="0" w:color="auto"/>
            <w:right w:val="none" w:sz="0" w:space="0" w:color="auto"/>
          </w:divBdr>
        </w:div>
        <w:div w:id="829565822">
          <w:marLeft w:val="640"/>
          <w:marRight w:val="0"/>
          <w:marTop w:val="0"/>
          <w:marBottom w:val="0"/>
          <w:divBdr>
            <w:top w:val="none" w:sz="0" w:space="0" w:color="auto"/>
            <w:left w:val="none" w:sz="0" w:space="0" w:color="auto"/>
            <w:bottom w:val="none" w:sz="0" w:space="0" w:color="auto"/>
            <w:right w:val="none" w:sz="0" w:space="0" w:color="auto"/>
          </w:divBdr>
        </w:div>
        <w:div w:id="759450831">
          <w:marLeft w:val="640"/>
          <w:marRight w:val="0"/>
          <w:marTop w:val="0"/>
          <w:marBottom w:val="0"/>
          <w:divBdr>
            <w:top w:val="none" w:sz="0" w:space="0" w:color="auto"/>
            <w:left w:val="none" w:sz="0" w:space="0" w:color="auto"/>
            <w:bottom w:val="none" w:sz="0" w:space="0" w:color="auto"/>
            <w:right w:val="none" w:sz="0" w:space="0" w:color="auto"/>
          </w:divBdr>
        </w:div>
        <w:div w:id="680820098">
          <w:marLeft w:val="640"/>
          <w:marRight w:val="0"/>
          <w:marTop w:val="0"/>
          <w:marBottom w:val="0"/>
          <w:divBdr>
            <w:top w:val="none" w:sz="0" w:space="0" w:color="auto"/>
            <w:left w:val="none" w:sz="0" w:space="0" w:color="auto"/>
            <w:bottom w:val="none" w:sz="0" w:space="0" w:color="auto"/>
            <w:right w:val="none" w:sz="0" w:space="0" w:color="auto"/>
          </w:divBdr>
        </w:div>
        <w:div w:id="1079592553">
          <w:marLeft w:val="640"/>
          <w:marRight w:val="0"/>
          <w:marTop w:val="0"/>
          <w:marBottom w:val="0"/>
          <w:divBdr>
            <w:top w:val="none" w:sz="0" w:space="0" w:color="auto"/>
            <w:left w:val="none" w:sz="0" w:space="0" w:color="auto"/>
            <w:bottom w:val="none" w:sz="0" w:space="0" w:color="auto"/>
            <w:right w:val="none" w:sz="0" w:space="0" w:color="auto"/>
          </w:divBdr>
        </w:div>
        <w:div w:id="367999019">
          <w:marLeft w:val="640"/>
          <w:marRight w:val="0"/>
          <w:marTop w:val="0"/>
          <w:marBottom w:val="0"/>
          <w:divBdr>
            <w:top w:val="none" w:sz="0" w:space="0" w:color="auto"/>
            <w:left w:val="none" w:sz="0" w:space="0" w:color="auto"/>
            <w:bottom w:val="none" w:sz="0" w:space="0" w:color="auto"/>
            <w:right w:val="none" w:sz="0" w:space="0" w:color="auto"/>
          </w:divBdr>
        </w:div>
        <w:div w:id="556404300">
          <w:marLeft w:val="640"/>
          <w:marRight w:val="0"/>
          <w:marTop w:val="0"/>
          <w:marBottom w:val="0"/>
          <w:divBdr>
            <w:top w:val="none" w:sz="0" w:space="0" w:color="auto"/>
            <w:left w:val="none" w:sz="0" w:space="0" w:color="auto"/>
            <w:bottom w:val="none" w:sz="0" w:space="0" w:color="auto"/>
            <w:right w:val="none" w:sz="0" w:space="0" w:color="auto"/>
          </w:divBdr>
        </w:div>
        <w:div w:id="383333300">
          <w:marLeft w:val="640"/>
          <w:marRight w:val="0"/>
          <w:marTop w:val="0"/>
          <w:marBottom w:val="0"/>
          <w:divBdr>
            <w:top w:val="none" w:sz="0" w:space="0" w:color="auto"/>
            <w:left w:val="none" w:sz="0" w:space="0" w:color="auto"/>
            <w:bottom w:val="none" w:sz="0" w:space="0" w:color="auto"/>
            <w:right w:val="none" w:sz="0" w:space="0" w:color="auto"/>
          </w:divBdr>
        </w:div>
        <w:div w:id="2049138791">
          <w:marLeft w:val="640"/>
          <w:marRight w:val="0"/>
          <w:marTop w:val="0"/>
          <w:marBottom w:val="0"/>
          <w:divBdr>
            <w:top w:val="none" w:sz="0" w:space="0" w:color="auto"/>
            <w:left w:val="none" w:sz="0" w:space="0" w:color="auto"/>
            <w:bottom w:val="none" w:sz="0" w:space="0" w:color="auto"/>
            <w:right w:val="none" w:sz="0" w:space="0" w:color="auto"/>
          </w:divBdr>
        </w:div>
        <w:div w:id="1592204641">
          <w:marLeft w:val="640"/>
          <w:marRight w:val="0"/>
          <w:marTop w:val="0"/>
          <w:marBottom w:val="0"/>
          <w:divBdr>
            <w:top w:val="none" w:sz="0" w:space="0" w:color="auto"/>
            <w:left w:val="none" w:sz="0" w:space="0" w:color="auto"/>
            <w:bottom w:val="none" w:sz="0" w:space="0" w:color="auto"/>
            <w:right w:val="none" w:sz="0" w:space="0" w:color="auto"/>
          </w:divBdr>
        </w:div>
        <w:div w:id="1850949890">
          <w:marLeft w:val="640"/>
          <w:marRight w:val="0"/>
          <w:marTop w:val="0"/>
          <w:marBottom w:val="0"/>
          <w:divBdr>
            <w:top w:val="none" w:sz="0" w:space="0" w:color="auto"/>
            <w:left w:val="none" w:sz="0" w:space="0" w:color="auto"/>
            <w:bottom w:val="none" w:sz="0" w:space="0" w:color="auto"/>
            <w:right w:val="none" w:sz="0" w:space="0" w:color="auto"/>
          </w:divBdr>
        </w:div>
        <w:div w:id="1402290724">
          <w:marLeft w:val="640"/>
          <w:marRight w:val="0"/>
          <w:marTop w:val="0"/>
          <w:marBottom w:val="0"/>
          <w:divBdr>
            <w:top w:val="none" w:sz="0" w:space="0" w:color="auto"/>
            <w:left w:val="none" w:sz="0" w:space="0" w:color="auto"/>
            <w:bottom w:val="none" w:sz="0" w:space="0" w:color="auto"/>
            <w:right w:val="none" w:sz="0" w:space="0" w:color="auto"/>
          </w:divBdr>
        </w:div>
        <w:div w:id="526723586">
          <w:marLeft w:val="640"/>
          <w:marRight w:val="0"/>
          <w:marTop w:val="0"/>
          <w:marBottom w:val="0"/>
          <w:divBdr>
            <w:top w:val="none" w:sz="0" w:space="0" w:color="auto"/>
            <w:left w:val="none" w:sz="0" w:space="0" w:color="auto"/>
            <w:bottom w:val="none" w:sz="0" w:space="0" w:color="auto"/>
            <w:right w:val="none" w:sz="0" w:space="0" w:color="auto"/>
          </w:divBdr>
        </w:div>
        <w:div w:id="1762138461">
          <w:marLeft w:val="640"/>
          <w:marRight w:val="0"/>
          <w:marTop w:val="0"/>
          <w:marBottom w:val="0"/>
          <w:divBdr>
            <w:top w:val="none" w:sz="0" w:space="0" w:color="auto"/>
            <w:left w:val="none" w:sz="0" w:space="0" w:color="auto"/>
            <w:bottom w:val="none" w:sz="0" w:space="0" w:color="auto"/>
            <w:right w:val="none" w:sz="0" w:space="0" w:color="auto"/>
          </w:divBdr>
        </w:div>
        <w:div w:id="1186098225">
          <w:marLeft w:val="640"/>
          <w:marRight w:val="0"/>
          <w:marTop w:val="0"/>
          <w:marBottom w:val="0"/>
          <w:divBdr>
            <w:top w:val="none" w:sz="0" w:space="0" w:color="auto"/>
            <w:left w:val="none" w:sz="0" w:space="0" w:color="auto"/>
            <w:bottom w:val="none" w:sz="0" w:space="0" w:color="auto"/>
            <w:right w:val="none" w:sz="0" w:space="0" w:color="auto"/>
          </w:divBdr>
        </w:div>
        <w:div w:id="17513169">
          <w:marLeft w:val="640"/>
          <w:marRight w:val="0"/>
          <w:marTop w:val="0"/>
          <w:marBottom w:val="0"/>
          <w:divBdr>
            <w:top w:val="none" w:sz="0" w:space="0" w:color="auto"/>
            <w:left w:val="none" w:sz="0" w:space="0" w:color="auto"/>
            <w:bottom w:val="none" w:sz="0" w:space="0" w:color="auto"/>
            <w:right w:val="none" w:sz="0" w:space="0" w:color="auto"/>
          </w:divBdr>
        </w:div>
        <w:div w:id="1759477530">
          <w:marLeft w:val="640"/>
          <w:marRight w:val="0"/>
          <w:marTop w:val="0"/>
          <w:marBottom w:val="0"/>
          <w:divBdr>
            <w:top w:val="none" w:sz="0" w:space="0" w:color="auto"/>
            <w:left w:val="none" w:sz="0" w:space="0" w:color="auto"/>
            <w:bottom w:val="none" w:sz="0" w:space="0" w:color="auto"/>
            <w:right w:val="none" w:sz="0" w:space="0" w:color="auto"/>
          </w:divBdr>
        </w:div>
        <w:div w:id="1236354896">
          <w:marLeft w:val="640"/>
          <w:marRight w:val="0"/>
          <w:marTop w:val="0"/>
          <w:marBottom w:val="0"/>
          <w:divBdr>
            <w:top w:val="none" w:sz="0" w:space="0" w:color="auto"/>
            <w:left w:val="none" w:sz="0" w:space="0" w:color="auto"/>
            <w:bottom w:val="none" w:sz="0" w:space="0" w:color="auto"/>
            <w:right w:val="none" w:sz="0" w:space="0" w:color="auto"/>
          </w:divBdr>
        </w:div>
        <w:div w:id="1259174618">
          <w:marLeft w:val="640"/>
          <w:marRight w:val="0"/>
          <w:marTop w:val="0"/>
          <w:marBottom w:val="0"/>
          <w:divBdr>
            <w:top w:val="none" w:sz="0" w:space="0" w:color="auto"/>
            <w:left w:val="none" w:sz="0" w:space="0" w:color="auto"/>
            <w:bottom w:val="none" w:sz="0" w:space="0" w:color="auto"/>
            <w:right w:val="none" w:sz="0" w:space="0" w:color="auto"/>
          </w:divBdr>
        </w:div>
        <w:div w:id="569387903">
          <w:marLeft w:val="640"/>
          <w:marRight w:val="0"/>
          <w:marTop w:val="0"/>
          <w:marBottom w:val="0"/>
          <w:divBdr>
            <w:top w:val="none" w:sz="0" w:space="0" w:color="auto"/>
            <w:left w:val="none" w:sz="0" w:space="0" w:color="auto"/>
            <w:bottom w:val="none" w:sz="0" w:space="0" w:color="auto"/>
            <w:right w:val="none" w:sz="0" w:space="0" w:color="auto"/>
          </w:divBdr>
        </w:div>
        <w:div w:id="769400363">
          <w:marLeft w:val="640"/>
          <w:marRight w:val="0"/>
          <w:marTop w:val="0"/>
          <w:marBottom w:val="0"/>
          <w:divBdr>
            <w:top w:val="none" w:sz="0" w:space="0" w:color="auto"/>
            <w:left w:val="none" w:sz="0" w:space="0" w:color="auto"/>
            <w:bottom w:val="none" w:sz="0" w:space="0" w:color="auto"/>
            <w:right w:val="none" w:sz="0" w:space="0" w:color="auto"/>
          </w:divBdr>
        </w:div>
        <w:div w:id="720714637">
          <w:marLeft w:val="640"/>
          <w:marRight w:val="0"/>
          <w:marTop w:val="0"/>
          <w:marBottom w:val="0"/>
          <w:divBdr>
            <w:top w:val="none" w:sz="0" w:space="0" w:color="auto"/>
            <w:left w:val="none" w:sz="0" w:space="0" w:color="auto"/>
            <w:bottom w:val="none" w:sz="0" w:space="0" w:color="auto"/>
            <w:right w:val="none" w:sz="0" w:space="0" w:color="auto"/>
          </w:divBdr>
        </w:div>
        <w:div w:id="817113247">
          <w:marLeft w:val="640"/>
          <w:marRight w:val="0"/>
          <w:marTop w:val="0"/>
          <w:marBottom w:val="0"/>
          <w:divBdr>
            <w:top w:val="none" w:sz="0" w:space="0" w:color="auto"/>
            <w:left w:val="none" w:sz="0" w:space="0" w:color="auto"/>
            <w:bottom w:val="none" w:sz="0" w:space="0" w:color="auto"/>
            <w:right w:val="none" w:sz="0" w:space="0" w:color="auto"/>
          </w:divBdr>
        </w:div>
        <w:div w:id="175123031">
          <w:marLeft w:val="640"/>
          <w:marRight w:val="0"/>
          <w:marTop w:val="0"/>
          <w:marBottom w:val="0"/>
          <w:divBdr>
            <w:top w:val="none" w:sz="0" w:space="0" w:color="auto"/>
            <w:left w:val="none" w:sz="0" w:space="0" w:color="auto"/>
            <w:bottom w:val="none" w:sz="0" w:space="0" w:color="auto"/>
            <w:right w:val="none" w:sz="0" w:space="0" w:color="auto"/>
          </w:divBdr>
        </w:div>
        <w:div w:id="1797021550">
          <w:marLeft w:val="640"/>
          <w:marRight w:val="0"/>
          <w:marTop w:val="0"/>
          <w:marBottom w:val="0"/>
          <w:divBdr>
            <w:top w:val="none" w:sz="0" w:space="0" w:color="auto"/>
            <w:left w:val="none" w:sz="0" w:space="0" w:color="auto"/>
            <w:bottom w:val="none" w:sz="0" w:space="0" w:color="auto"/>
            <w:right w:val="none" w:sz="0" w:space="0" w:color="auto"/>
          </w:divBdr>
        </w:div>
      </w:divsChild>
    </w:div>
    <w:div w:id="707340703">
      <w:bodyDiv w:val="1"/>
      <w:marLeft w:val="0"/>
      <w:marRight w:val="0"/>
      <w:marTop w:val="0"/>
      <w:marBottom w:val="0"/>
      <w:divBdr>
        <w:top w:val="none" w:sz="0" w:space="0" w:color="auto"/>
        <w:left w:val="none" w:sz="0" w:space="0" w:color="auto"/>
        <w:bottom w:val="none" w:sz="0" w:space="0" w:color="auto"/>
        <w:right w:val="none" w:sz="0" w:space="0" w:color="auto"/>
      </w:divBdr>
      <w:divsChild>
        <w:div w:id="670254177">
          <w:marLeft w:val="640"/>
          <w:marRight w:val="0"/>
          <w:marTop w:val="0"/>
          <w:marBottom w:val="0"/>
          <w:divBdr>
            <w:top w:val="none" w:sz="0" w:space="0" w:color="auto"/>
            <w:left w:val="none" w:sz="0" w:space="0" w:color="auto"/>
            <w:bottom w:val="none" w:sz="0" w:space="0" w:color="auto"/>
            <w:right w:val="none" w:sz="0" w:space="0" w:color="auto"/>
          </w:divBdr>
        </w:div>
        <w:div w:id="1402752462">
          <w:marLeft w:val="640"/>
          <w:marRight w:val="0"/>
          <w:marTop w:val="0"/>
          <w:marBottom w:val="0"/>
          <w:divBdr>
            <w:top w:val="none" w:sz="0" w:space="0" w:color="auto"/>
            <w:left w:val="none" w:sz="0" w:space="0" w:color="auto"/>
            <w:bottom w:val="none" w:sz="0" w:space="0" w:color="auto"/>
            <w:right w:val="none" w:sz="0" w:space="0" w:color="auto"/>
          </w:divBdr>
        </w:div>
        <w:div w:id="1551645444">
          <w:marLeft w:val="640"/>
          <w:marRight w:val="0"/>
          <w:marTop w:val="0"/>
          <w:marBottom w:val="0"/>
          <w:divBdr>
            <w:top w:val="none" w:sz="0" w:space="0" w:color="auto"/>
            <w:left w:val="none" w:sz="0" w:space="0" w:color="auto"/>
            <w:bottom w:val="none" w:sz="0" w:space="0" w:color="auto"/>
            <w:right w:val="none" w:sz="0" w:space="0" w:color="auto"/>
          </w:divBdr>
        </w:div>
        <w:div w:id="1414468415">
          <w:marLeft w:val="640"/>
          <w:marRight w:val="0"/>
          <w:marTop w:val="0"/>
          <w:marBottom w:val="0"/>
          <w:divBdr>
            <w:top w:val="none" w:sz="0" w:space="0" w:color="auto"/>
            <w:left w:val="none" w:sz="0" w:space="0" w:color="auto"/>
            <w:bottom w:val="none" w:sz="0" w:space="0" w:color="auto"/>
            <w:right w:val="none" w:sz="0" w:space="0" w:color="auto"/>
          </w:divBdr>
        </w:div>
        <w:div w:id="466313675">
          <w:marLeft w:val="640"/>
          <w:marRight w:val="0"/>
          <w:marTop w:val="0"/>
          <w:marBottom w:val="0"/>
          <w:divBdr>
            <w:top w:val="none" w:sz="0" w:space="0" w:color="auto"/>
            <w:left w:val="none" w:sz="0" w:space="0" w:color="auto"/>
            <w:bottom w:val="none" w:sz="0" w:space="0" w:color="auto"/>
            <w:right w:val="none" w:sz="0" w:space="0" w:color="auto"/>
          </w:divBdr>
        </w:div>
        <w:div w:id="1507937343">
          <w:marLeft w:val="640"/>
          <w:marRight w:val="0"/>
          <w:marTop w:val="0"/>
          <w:marBottom w:val="0"/>
          <w:divBdr>
            <w:top w:val="none" w:sz="0" w:space="0" w:color="auto"/>
            <w:left w:val="none" w:sz="0" w:space="0" w:color="auto"/>
            <w:bottom w:val="none" w:sz="0" w:space="0" w:color="auto"/>
            <w:right w:val="none" w:sz="0" w:space="0" w:color="auto"/>
          </w:divBdr>
        </w:div>
        <w:div w:id="1677271282">
          <w:marLeft w:val="640"/>
          <w:marRight w:val="0"/>
          <w:marTop w:val="0"/>
          <w:marBottom w:val="0"/>
          <w:divBdr>
            <w:top w:val="none" w:sz="0" w:space="0" w:color="auto"/>
            <w:left w:val="none" w:sz="0" w:space="0" w:color="auto"/>
            <w:bottom w:val="none" w:sz="0" w:space="0" w:color="auto"/>
            <w:right w:val="none" w:sz="0" w:space="0" w:color="auto"/>
          </w:divBdr>
        </w:div>
        <w:div w:id="1418407849">
          <w:marLeft w:val="640"/>
          <w:marRight w:val="0"/>
          <w:marTop w:val="0"/>
          <w:marBottom w:val="0"/>
          <w:divBdr>
            <w:top w:val="none" w:sz="0" w:space="0" w:color="auto"/>
            <w:left w:val="none" w:sz="0" w:space="0" w:color="auto"/>
            <w:bottom w:val="none" w:sz="0" w:space="0" w:color="auto"/>
            <w:right w:val="none" w:sz="0" w:space="0" w:color="auto"/>
          </w:divBdr>
        </w:div>
        <w:div w:id="1814373020">
          <w:marLeft w:val="640"/>
          <w:marRight w:val="0"/>
          <w:marTop w:val="0"/>
          <w:marBottom w:val="0"/>
          <w:divBdr>
            <w:top w:val="none" w:sz="0" w:space="0" w:color="auto"/>
            <w:left w:val="none" w:sz="0" w:space="0" w:color="auto"/>
            <w:bottom w:val="none" w:sz="0" w:space="0" w:color="auto"/>
            <w:right w:val="none" w:sz="0" w:space="0" w:color="auto"/>
          </w:divBdr>
        </w:div>
        <w:div w:id="1042822251">
          <w:marLeft w:val="640"/>
          <w:marRight w:val="0"/>
          <w:marTop w:val="0"/>
          <w:marBottom w:val="0"/>
          <w:divBdr>
            <w:top w:val="none" w:sz="0" w:space="0" w:color="auto"/>
            <w:left w:val="none" w:sz="0" w:space="0" w:color="auto"/>
            <w:bottom w:val="none" w:sz="0" w:space="0" w:color="auto"/>
            <w:right w:val="none" w:sz="0" w:space="0" w:color="auto"/>
          </w:divBdr>
        </w:div>
        <w:div w:id="860167306">
          <w:marLeft w:val="640"/>
          <w:marRight w:val="0"/>
          <w:marTop w:val="0"/>
          <w:marBottom w:val="0"/>
          <w:divBdr>
            <w:top w:val="none" w:sz="0" w:space="0" w:color="auto"/>
            <w:left w:val="none" w:sz="0" w:space="0" w:color="auto"/>
            <w:bottom w:val="none" w:sz="0" w:space="0" w:color="auto"/>
            <w:right w:val="none" w:sz="0" w:space="0" w:color="auto"/>
          </w:divBdr>
        </w:div>
        <w:div w:id="1542859686">
          <w:marLeft w:val="640"/>
          <w:marRight w:val="0"/>
          <w:marTop w:val="0"/>
          <w:marBottom w:val="0"/>
          <w:divBdr>
            <w:top w:val="none" w:sz="0" w:space="0" w:color="auto"/>
            <w:left w:val="none" w:sz="0" w:space="0" w:color="auto"/>
            <w:bottom w:val="none" w:sz="0" w:space="0" w:color="auto"/>
            <w:right w:val="none" w:sz="0" w:space="0" w:color="auto"/>
          </w:divBdr>
        </w:div>
        <w:div w:id="147484716">
          <w:marLeft w:val="640"/>
          <w:marRight w:val="0"/>
          <w:marTop w:val="0"/>
          <w:marBottom w:val="0"/>
          <w:divBdr>
            <w:top w:val="none" w:sz="0" w:space="0" w:color="auto"/>
            <w:left w:val="none" w:sz="0" w:space="0" w:color="auto"/>
            <w:bottom w:val="none" w:sz="0" w:space="0" w:color="auto"/>
            <w:right w:val="none" w:sz="0" w:space="0" w:color="auto"/>
          </w:divBdr>
        </w:div>
        <w:div w:id="882640504">
          <w:marLeft w:val="640"/>
          <w:marRight w:val="0"/>
          <w:marTop w:val="0"/>
          <w:marBottom w:val="0"/>
          <w:divBdr>
            <w:top w:val="none" w:sz="0" w:space="0" w:color="auto"/>
            <w:left w:val="none" w:sz="0" w:space="0" w:color="auto"/>
            <w:bottom w:val="none" w:sz="0" w:space="0" w:color="auto"/>
            <w:right w:val="none" w:sz="0" w:space="0" w:color="auto"/>
          </w:divBdr>
        </w:div>
        <w:div w:id="633482109">
          <w:marLeft w:val="640"/>
          <w:marRight w:val="0"/>
          <w:marTop w:val="0"/>
          <w:marBottom w:val="0"/>
          <w:divBdr>
            <w:top w:val="none" w:sz="0" w:space="0" w:color="auto"/>
            <w:left w:val="none" w:sz="0" w:space="0" w:color="auto"/>
            <w:bottom w:val="none" w:sz="0" w:space="0" w:color="auto"/>
            <w:right w:val="none" w:sz="0" w:space="0" w:color="auto"/>
          </w:divBdr>
        </w:div>
        <w:div w:id="1563059482">
          <w:marLeft w:val="640"/>
          <w:marRight w:val="0"/>
          <w:marTop w:val="0"/>
          <w:marBottom w:val="0"/>
          <w:divBdr>
            <w:top w:val="none" w:sz="0" w:space="0" w:color="auto"/>
            <w:left w:val="none" w:sz="0" w:space="0" w:color="auto"/>
            <w:bottom w:val="none" w:sz="0" w:space="0" w:color="auto"/>
            <w:right w:val="none" w:sz="0" w:space="0" w:color="auto"/>
          </w:divBdr>
        </w:div>
        <w:div w:id="1345933715">
          <w:marLeft w:val="640"/>
          <w:marRight w:val="0"/>
          <w:marTop w:val="0"/>
          <w:marBottom w:val="0"/>
          <w:divBdr>
            <w:top w:val="none" w:sz="0" w:space="0" w:color="auto"/>
            <w:left w:val="none" w:sz="0" w:space="0" w:color="auto"/>
            <w:bottom w:val="none" w:sz="0" w:space="0" w:color="auto"/>
            <w:right w:val="none" w:sz="0" w:space="0" w:color="auto"/>
          </w:divBdr>
        </w:div>
        <w:div w:id="1784886268">
          <w:marLeft w:val="640"/>
          <w:marRight w:val="0"/>
          <w:marTop w:val="0"/>
          <w:marBottom w:val="0"/>
          <w:divBdr>
            <w:top w:val="none" w:sz="0" w:space="0" w:color="auto"/>
            <w:left w:val="none" w:sz="0" w:space="0" w:color="auto"/>
            <w:bottom w:val="none" w:sz="0" w:space="0" w:color="auto"/>
            <w:right w:val="none" w:sz="0" w:space="0" w:color="auto"/>
          </w:divBdr>
        </w:div>
        <w:div w:id="1085031011">
          <w:marLeft w:val="640"/>
          <w:marRight w:val="0"/>
          <w:marTop w:val="0"/>
          <w:marBottom w:val="0"/>
          <w:divBdr>
            <w:top w:val="none" w:sz="0" w:space="0" w:color="auto"/>
            <w:left w:val="none" w:sz="0" w:space="0" w:color="auto"/>
            <w:bottom w:val="none" w:sz="0" w:space="0" w:color="auto"/>
            <w:right w:val="none" w:sz="0" w:space="0" w:color="auto"/>
          </w:divBdr>
        </w:div>
      </w:divsChild>
    </w:div>
    <w:div w:id="748694264">
      <w:bodyDiv w:val="1"/>
      <w:marLeft w:val="0"/>
      <w:marRight w:val="0"/>
      <w:marTop w:val="0"/>
      <w:marBottom w:val="0"/>
      <w:divBdr>
        <w:top w:val="none" w:sz="0" w:space="0" w:color="auto"/>
        <w:left w:val="none" w:sz="0" w:space="0" w:color="auto"/>
        <w:bottom w:val="none" w:sz="0" w:space="0" w:color="auto"/>
        <w:right w:val="none" w:sz="0" w:space="0" w:color="auto"/>
      </w:divBdr>
      <w:divsChild>
        <w:div w:id="1390492210">
          <w:marLeft w:val="640"/>
          <w:marRight w:val="0"/>
          <w:marTop w:val="0"/>
          <w:marBottom w:val="0"/>
          <w:divBdr>
            <w:top w:val="none" w:sz="0" w:space="0" w:color="auto"/>
            <w:left w:val="none" w:sz="0" w:space="0" w:color="auto"/>
            <w:bottom w:val="none" w:sz="0" w:space="0" w:color="auto"/>
            <w:right w:val="none" w:sz="0" w:space="0" w:color="auto"/>
          </w:divBdr>
        </w:div>
        <w:div w:id="1566453198">
          <w:marLeft w:val="640"/>
          <w:marRight w:val="0"/>
          <w:marTop w:val="0"/>
          <w:marBottom w:val="0"/>
          <w:divBdr>
            <w:top w:val="none" w:sz="0" w:space="0" w:color="auto"/>
            <w:left w:val="none" w:sz="0" w:space="0" w:color="auto"/>
            <w:bottom w:val="none" w:sz="0" w:space="0" w:color="auto"/>
            <w:right w:val="none" w:sz="0" w:space="0" w:color="auto"/>
          </w:divBdr>
        </w:div>
        <w:div w:id="1556352335">
          <w:marLeft w:val="640"/>
          <w:marRight w:val="0"/>
          <w:marTop w:val="0"/>
          <w:marBottom w:val="0"/>
          <w:divBdr>
            <w:top w:val="none" w:sz="0" w:space="0" w:color="auto"/>
            <w:left w:val="none" w:sz="0" w:space="0" w:color="auto"/>
            <w:bottom w:val="none" w:sz="0" w:space="0" w:color="auto"/>
            <w:right w:val="none" w:sz="0" w:space="0" w:color="auto"/>
          </w:divBdr>
        </w:div>
        <w:div w:id="1328555820">
          <w:marLeft w:val="640"/>
          <w:marRight w:val="0"/>
          <w:marTop w:val="0"/>
          <w:marBottom w:val="0"/>
          <w:divBdr>
            <w:top w:val="none" w:sz="0" w:space="0" w:color="auto"/>
            <w:left w:val="none" w:sz="0" w:space="0" w:color="auto"/>
            <w:bottom w:val="none" w:sz="0" w:space="0" w:color="auto"/>
            <w:right w:val="none" w:sz="0" w:space="0" w:color="auto"/>
          </w:divBdr>
        </w:div>
        <w:div w:id="888344881">
          <w:marLeft w:val="640"/>
          <w:marRight w:val="0"/>
          <w:marTop w:val="0"/>
          <w:marBottom w:val="0"/>
          <w:divBdr>
            <w:top w:val="none" w:sz="0" w:space="0" w:color="auto"/>
            <w:left w:val="none" w:sz="0" w:space="0" w:color="auto"/>
            <w:bottom w:val="none" w:sz="0" w:space="0" w:color="auto"/>
            <w:right w:val="none" w:sz="0" w:space="0" w:color="auto"/>
          </w:divBdr>
        </w:div>
        <w:div w:id="1920409451">
          <w:marLeft w:val="640"/>
          <w:marRight w:val="0"/>
          <w:marTop w:val="0"/>
          <w:marBottom w:val="0"/>
          <w:divBdr>
            <w:top w:val="none" w:sz="0" w:space="0" w:color="auto"/>
            <w:left w:val="none" w:sz="0" w:space="0" w:color="auto"/>
            <w:bottom w:val="none" w:sz="0" w:space="0" w:color="auto"/>
            <w:right w:val="none" w:sz="0" w:space="0" w:color="auto"/>
          </w:divBdr>
        </w:div>
        <w:div w:id="472719596">
          <w:marLeft w:val="640"/>
          <w:marRight w:val="0"/>
          <w:marTop w:val="0"/>
          <w:marBottom w:val="0"/>
          <w:divBdr>
            <w:top w:val="none" w:sz="0" w:space="0" w:color="auto"/>
            <w:left w:val="none" w:sz="0" w:space="0" w:color="auto"/>
            <w:bottom w:val="none" w:sz="0" w:space="0" w:color="auto"/>
            <w:right w:val="none" w:sz="0" w:space="0" w:color="auto"/>
          </w:divBdr>
        </w:div>
        <w:div w:id="1664822043">
          <w:marLeft w:val="640"/>
          <w:marRight w:val="0"/>
          <w:marTop w:val="0"/>
          <w:marBottom w:val="0"/>
          <w:divBdr>
            <w:top w:val="none" w:sz="0" w:space="0" w:color="auto"/>
            <w:left w:val="none" w:sz="0" w:space="0" w:color="auto"/>
            <w:bottom w:val="none" w:sz="0" w:space="0" w:color="auto"/>
            <w:right w:val="none" w:sz="0" w:space="0" w:color="auto"/>
          </w:divBdr>
        </w:div>
        <w:div w:id="1894072592">
          <w:marLeft w:val="640"/>
          <w:marRight w:val="0"/>
          <w:marTop w:val="0"/>
          <w:marBottom w:val="0"/>
          <w:divBdr>
            <w:top w:val="none" w:sz="0" w:space="0" w:color="auto"/>
            <w:left w:val="none" w:sz="0" w:space="0" w:color="auto"/>
            <w:bottom w:val="none" w:sz="0" w:space="0" w:color="auto"/>
            <w:right w:val="none" w:sz="0" w:space="0" w:color="auto"/>
          </w:divBdr>
        </w:div>
        <w:div w:id="332491500">
          <w:marLeft w:val="640"/>
          <w:marRight w:val="0"/>
          <w:marTop w:val="0"/>
          <w:marBottom w:val="0"/>
          <w:divBdr>
            <w:top w:val="none" w:sz="0" w:space="0" w:color="auto"/>
            <w:left w:val="none" w:sz="0" w:space="0" w:color="auto"/>
            <w:bottom w:val="none" w:sz="0" w:space="0" w:color="auto"/>
            <w:right w:val="none" w:sz="0" w:space="0" w:color="auto"/>
          </w:divBdr>
        </w:div>
        <w:div w:id="890649153">
          <w:marLeft w:val="640"/>
          <w:marRight w:val="0"/>
          <w:marTop w:val="0"/>
          <w:marBottom w:val="0"/>
          <w:divBdr>
            <w:top w:val="none" w:sz="0" w:space="0" w:color="auto"/>
            <w:left w:val="none" w:sz="0" w:space="0" w:color="auto"/>
            <w:bottom w:val="none" w:sz="0" w:space="0" w:color="auto"/>
            <w:right w:val="none" w:sz="0" w:space="0" w:color="auto"/>
          </w:divBdr>
        </w:div>
        <w:div w:id="547841799">
          <w:marLeft w:val="640"/>
          <w:marRight w:val="0"/>
          <w:marTop w:val="0"/>
          <w:marBottom w:val="0"/>
          <w:divBdr>
            <w:top w:val="none" w:sz="0" w:space="0" w:color="auto"/>
            <w:left w:val="none" w:sz="0" w:space="0" w:color="auto"/>
            <w:bottom w:val="none" w:sz="0" w:space="0" w:color="auto"/>
            <w:right w:val="none" w:sz="0" w:space="0" w:color="auto"/>
          </w:divBdr>
        </w:div>
        <w:div w:id="1039670782">
          <w:marLeft w:val="640"/>
          <w:marRight w:val="0"/>
          <w:marTop w:val="0"/>
          <w:marBottom w:val="0"/>
          <w:divBdr>
            <w:top w:val="none" w:sz="0" w:space="0" w:color="auto"/>
            <w:left w:val="none" w:sz="0" w:space="0" w:color="auto"/>
            <w:bottom w:val="none" w:sz="0" w:space="0" w:color="auto"/>
            <w:right w:val="none" w:sz="0" w:space="0" w:color="auto"/>
          </w:divBdr>
        </w:div>
        <w:div w:id="1862472821">
          <w:marLeft w:val="640"/>
          <w:marRight w:val="0"/>
          <w:marTop w:val="0"/>
          <w:marBottom w:val="0"/>
          <w:divBdr>
            <w:top w:val="none" w:sz="0" w:space="0" w:color="auto"/>
            <w:left w:val="none" w:sz="0" w:space="0" w:color="auto"/>
            <w:bottom w:val="none" w:sz="0" w:space="0" w:color="auto"/>
            <w:right w:val="none" w:sz="0" w:space="0" w:color="auto"/>
          </w:divBdr>
        </w:div>
        <w:div w:id="1303462782">
          <w:marLeft w:val="640"/>
          <w:marRight w:val="0"/>
          <w:marTop w:val="0"/>
          <w:marBottom w:val="0"/>
          <w:divBdr>
            <w:top w:val="none" w:sz="0" w:space="0" w:color="auto"/>
            <w:left w:val="none" w:sz="0" w:space="0" w:color="auto"/>
            <w:bottom w:val="none" w:sz="0" w:space="0" w:color="auto"/>
            <w:right w:val="none" w:sz="0" w:space="0" w:color="auto"/>
          </w:divBdr>
        </w:div>
        <w:div w:id="460076622">
          <w:marLeft w:val="640"/>
          <w:marRight w:val="0"/>
          <w:marTop w:val="0"/>
          <w:marBottom w:val="0"/>
          <w:divBdr>
            <w:top w:val="none" w:sz="0" w:space="0" w:color="auto"/>
            <w:left w:val="none" w:sz="0" w:space="0" w:color="auto"/>
            <w:bottom w:val="none" w:sz="0" w:space="0" w:color="auto"/>
            <w:right w:val="none" w:sz="0" w:space="0" w:color="auto"/>
          </w:divBdr>
        </w:div>
        <w:div w:id="1230651169">
          <w:marLeft w:val="640"/>
          <w:marRight w:val="0"/>
          <w:marTop w:val="0"/>
          <w:marBottom w:val="0"/>
          <w:divBdr>
            <w:top w:val="none" w:sz="0" w:space="0" w:color="auto"/>
            <w:left w:val="none" w:sz="0" w:space="0" w:color="auto"/>
            <w:bottom w:val="none" w:sz="0" w:space="0" w:color="auto"/>
            <w:right w:val="none" w:sz="0" w:space="0" w:color="auto"/>
          </w:divBdr>
        </w:div>
        <w:div w:id="361176795">
          <w:marLeft w:val="640"/>
          <w:marRight w:val="0"/>
          <w:marTop w:val="0"/>
          <w:marBottom w:val="0"/>
          <w:divBdr>
            <w:top w:val="none" w:sz="0" w:space="0" w:color="auto"/>
            <w:left w:val="none" w:sz="0" w:space="0" w:color="auto"/>
            <w:bottom w:val="none" w:sz="0" w:space="0" w:color="auto"/>
            <w:right w:val="none" w:sz="0" w:space="0" w:color="auto"/>
          </w:divBdr>
        </w:div>
        <w:div w:id="691538420">
          <w:marLeft w:val="640"/>
          <w:marRight w:val="0"/>
          <w:marTop w:val="0"/>
          <w:marBottom w:val="0"/>
          <w:divBdr>
            <w:top w:val="none" w:sz="0" w:space="0" w:color="auto"/>
            <w:left w:val="none" w:sz="0" w:space="0" w:color="auto"/>
            <w:bottom w:val="none" w:sz="0" w:space="0" w:color="auto"/>
            <w:right w:val="none" w:sz="0" w:space="0" w:color="auto"/>
          </w:divBdr>
        </w:div>
      </w:divsChild>
    </w:div>
    <w:div w:id="750811349">
      <w:bodyDiv w:val="1"/>
      <w:marLeft w:val="0"/>
      <w:marRight w:val="0"/>
      <w:marTop w:val="0"/>
      <w:marBottom w:val="0"/>
      <w:divBdr>
        <w:top w:val="none" w:sz="0" w:space="0" w:color="auto"/>
        <w:left w:val="none" w:sz="0" w:space="0" w:color="auto"/>
        <w:bottom w:val="none" w:sz="0" w:space="0" w:color="auto"/>
        <w:right w:val="none" w:sz="0" w:space="0" w:color="auto"/>
      </w:divBdr>
    </w:div>
    <w:div w:id="751119034">
      <w:bodyDiv w:val="1"/>
      <w:marLeft w:val="0"/>
      <w:marRight w:val="0"/>
      <w:marTop w:val="0"/>
      <w:marBottom w:val="0"/>
      <w:divBdr>
        <w:top w:val="none" w:sz="0" w:space="0" w:color="auto"/>
        <w:left w:val="none" w:sz="0" w:space="0" w:color="auto"/>
        <w:bottom w:val="none" w:sz="0" w:space="0" w:color="auto"/>
        <w:right w:val="none" w:sz="0" w:space="0" w:color="auto"/>
      </w:divBdr>
      <w:divsChild>
        <w:div w:id="385036163">
          <w:marLeft w:val="640"/>
          <w:marRight w:val="0"/>
          <w:marTop w:val="0"/>
          <w:marBottom w:val="0"/>
          <w:divBdr>
            <w:top w:val="none" w:sz="0" w:space="0" w:color="auto"/>
            <w:left w:val="none" w:sz="0" w:space="0" w:color="auto"/>
            <w:bottom w:val="none" w:sz="0" w:space="0" w:color="auto"/>
            <w:right w:val="none" w:sz="0" w:space="0" w:color="auto"/>
          </w:divBdr>
        </w:div>
        <w:div w:id="1018001809">
          <w:marLeft w:val="640"/>
          <w:marRight w:val="0"/>
          <w:marTop w:val="0"/>
          <w:marBottom w:val="0"/>
          <w:divBdr>
            <w:top w:val="none" w:sz="0" w:space="0" w:color="auto"/>
            <w:left w:val="none" w:sz="0" w:space="0" w:color="auto"/>
            <w:bottom w:val="none" w:sz="0" w:space="0" w:color="auto"/>
            <w:right w:val="none" w:sz="0" w:space="0" w:color="auto"/>
          </w:divBdr>
        </w:div>
        <w:div w:id="1660110148">
          <w:marLeft w:val="640"/>
          <w:marRight w:val="0"/>
          <w:marTop w:val="0"/>
          <w:marBottom w:val="0"/>
          <w:divBdr>
            <w:top w:val="none" w:sz="0" w:space="0" w:color="auto"/>
            <w:left w:val="none" w:sz="0" w:space="0" w:color="auto"/>
            <w:bottom w:val="none" w:sz="0" w:space="0" w:color="auto"/>
            <w:right w:val="none" w:sz="0" w:space="0" w:color="auto"/>
          </w:divBdr>
        </w:div>
        <w:div w:id="1385717457">
          <w:marLeft w:val="640"/>
          <w:marRight w:val="0"/>
          <w:marTop w:val="0"/>
          <w:marBottom w:val="0"/>
          <w:divBdr>
            <w:top w:val="none" w:sz="0" w:space="0" w:color="auto"/>
            <w:left w:val="none" w:sz="0" w:space="0" w:color="auto"/>
            <w:bottom w:val="none" w:sz="0" w:space="0" w:color="auto"/>
            <w:right w:val="none" w:sz="0" w:space="0" w:color="auto"/>
          </w:divBdr>
        </w:div>
        <w:div w:id="474762416">
          <w:marLeft w:val="640"/>
          <w:marRight w:val="0"/>
          <w:marTop w:val="0"/>
          <w:marBottom w:val="0"/>
          <w:divBdr>
            <w:top w:val="none" w:sz="0" w:space="0" w:color="auto"/>
            <w:left w:val="none" w:sz="0" w:space="0" w:color="auto"/>
            <w:bottom w:val="none" w:sz="0" w:space="0" w:color="auto"/>
            <w:right w:val="none" w:sz="0" w:space="0" w:color="auto"/>
          </w:divBdr>
        </w:div>
        <w:div w:id="728190079">
          <w:marLeft w:val="640"/>
          <w:marRight w:val="0"/>
          <w:marTop w:val="0"/>
          <w:marBottom w:val="0"/>
          <w:divBdr>
            <w:top w:val="none" w:sz="0" w:space="0" w:color="auto"/>
            <w:left w:val="none" w:sz="0" w:space="0" w:color="auto"/>
            <w:bottom w:val="none" w:sz="0" w:space="0" w:color="auto"/>
            <w:right w:val="none" w:sz="0" w:space="0" w:color="auto"/>
          </w:divBdr>
        </w:div>
        <w:div w:id="1662388825">
          <w:marLeft w:val="640"/>
          <w:marRight w:val="0"/>
          <w:marTop w:val="0"/>
          <w:marBottom w:val="0"/>
          <w:divBdr>
            <w:top w:val="none" w:sz="0" w:space="0" w:color="auto"/>
            <w:left w:val="none" w:sz="0" w:space="0" w:color="auto"/>
            <w:bottom w:val="none" w:sz="0" w:space="0" w:color="auto"/>
            <w:right w:val="none" w:sz="0" w:space="0" w:color="auto"/>
          </w:divBdr>
        </w:div>
        <w:div w:id="654534597">
          <w:marLeft w:val="640"/>
          <w:marRight w:val="0"/>
          <w:marTop w:val="0"/>
          <w:marBottom w:val="0"/>
          <w:divBdr>
            <w:top w:val="none" w:sz="0" w:space="0" w:color="auto"/>
            <w:left w:val="none" w:sz="0" w:space="0" w:color="auto"/>
            <w:bottom w:val="none" w:sz="0" w:space="0" w:color="auto"/>
            <w:right w:val="none" w:sz="0" w:space="0" w:color="auto"/>
          </w:divBdr>
        </w:div>
        <w:div w:id="1240015705">
          <w:marLeft w:val="640"/>
          <w:marRight w:val="0"/>
          <w:marTop w:val="0"/>
          <w:marBottom w:val="0"/>
          <w:divBdr>
            <w:top w:val="none" w:sz="0" w:space="0" w:color="auto"/>
            <w:left w:val="none" w:sz="0" w:space="0" w:color="auto"/>
            <w:bottom w:val="none" w:sz="0" w:space="0" w:color="auto"/>
            <w:right w:val="none" w:sz="0" w:space="0" w:color="auto"/>
          </w:divBdr>
        </w:div>
        <w:div w:id="1806000936">
          <w:marLeft w:val="640"/>
          <w:marRight w:val="0"/>
          <w:marTop w:val="0"/>
          <w:marBottom w:val="0"/>
          <w:divBdr>
            <w:top w:val="none" w:sz="0" w:space="0" w:color="auto"/>
            <w:left w:val="none" w:sz="0" w:space="0" w:color="auto"/>
            <w:bottom w:val="none" w:sz="0" w:space="0" w:color="auto"/>
            <w:right w:val="none" w:sz="0" w:space="0" w:color="auto"/>
          </w:divBdr>
        </w:div>
        <w:div w:id="1439446494">
          <w:marLeft w:val="640"/>
          <w:marRight w:val="0"/>
          <w:marTop w:val="0"/>
          <w:marBottom w:val="0"/>
          <w:divBdr>
            <w:top w:val="none" w:sz="0" w:space="0" w:color="auto"/>
            <w:left w:val="none" w:sz="0" w:space="0" w:color="auto"/>
            <w:bottom w:val="none" w:sz="0" w:space="0" w:color="auto"/>
            <w:right w:val="none" w:sz="0" w:space="0" w:color="auto"/>
          </w:divBdr>
        </w:div>
        <w:div w:id="584607125">
          <w:marLeft w:val="640"/>
          <w:marRight w:val="0"/>
          <w:marTop w:val="0"/>
          <w:marBottom w:val="0"/>
          <w:divBdr>
            <w:top w:val="none" w:sz="0" w:space="0" w:color="auto"/>
            <w:left w:val="none" w:sz="0" w:space="0" w:color="auto"/>
            <w:bottom w:val="none" w:sz="0" w:space="0" w:color="auto"/>
            <w:right w:val="none" w:sz="0" w:space="0" w:color="auto"/>
          </w:divBdr>
        </w:div>
        <w:div w:id="1621065041">
          <w:marLeft w:val="640"/>
          <w:marRight w:val="0"/>
          <w:marTop w:val="0"/>
          <w:marBottom w:val="0"/>
          <w:divBdr>
            <w:top w:val="none" w:sz="0" w:space="0" w:color="auto"/>
            <w:left w:val="none" w:sz="0" w:space="0" w:color="auto"/>
            <w:bottom w:val="none" w:sz="0" w:space="0" w:color="auto"/>
            <w:right w:val="none" w:sz="0" w:space="0" w:color="auto"/>
          </w:divBdr>
        </w:div>
        <w:div w:id="617873644">
          <w:marLeft w:val="640"/>
          <w:marRight w:val="0"/>
          <w:marTop w:val="0"/>
          <w:marBottom w:val="0"/>
          <w:divBdr>
            <w:top w:val="none" w:sz="0" w:space="0" w:color="auto"/>
            <w:left w:val="none" w:sz="0" w:space="0" w:color="auto"/>
            <w:bottom w:val="none" w:sz="0" w:space="0" w:color="auto"/>
            <w:right w:val="none" w:sz="0" w:space="0" w:color="auto"/>
          </w:divBdr>
        </w:div>
        <w:div w:id="1149901548">
          <w:marLeft w:val="640"/>
          <w:marRight w:val="0"/>
          <w:marTop w:val="0"/>
          <w:marBottom w:val="0"/>
          <w:divBdr>
            <w:top w:val="none" w:sz="0" w:space="0" w:color="auto"/>
            <w:left w:val="none" w:sz="0" w:space="0" w:color="auto"/>
            <w:bottom w:val="none" w:sz="0" w:space="0" w:color="auto"/>
            <w:right w:val="none" w:sz="0" w:space="0" w:color="auto"/>
          </w:divBdr>
        </w:div>
        <w:div w:id="933322838">
          <w:marLeft w:val="640"/>
          <w:marRight w:val="0"/>
          <w:marTop w:val="0"/>
          <w:marBottom w:val="0"/>
          <w:divBdr>
            <w:top w:val="none" w:sz="0" w:space="0" w:color="auto"/>
            <w:left w:val="none" w:sz="0" w:space="0" w:color="auto"/>
            <w:bottom w:val="none" w:sz="0" w:space="0" w:color="auto"/>
            <w:right w:val="none" w:sz="0" w:space="0" w:color="auto"/>
          </w:divBdr>
        </w:div>
        <w:div w:id="436020948">
          <w:marLeft w:val="640"/>
          <w:marRight w:val="0"/>
          <w:marTop w:val="0"/>
          <w:marBottom w:val="0"/>
          <w:divBdr>
            <w:top w:val="none" w:sz="0" w:space="0" w:color="auto"/>
            <w:left w:val="none" w:sz="0" w:space="0" w:color="auto"/>
            <w:bottom w:val="none" w:sz="0" w:space="0" w:color="auto"/>
            <w:right w:val="none" w:sz="0" w:space="0" w:color="auto"/>
          </w:divBdr>
        </w:div>
        <w:div w:id="243421814">
          <w:marLeft w:val="640"/>
          <w:marRight w:val="0"/>
          <w:marTop w:val="0"/>
          <w:marBottom w:val="0"/>
          <w:divBdr>
            <w:top w:val="none" w:sz="0" w:space="0" w:color="auto"/>
            <w:left w:val="none" w:sz="0" w:space="0" w:color="auto"/>
            <w:bottom w:val="none" w:sz="0" w:space="0" w:color="auto"/>
            <w:right w:val="none" w:sz="0" w:space="0" w:color="auto"/>
          </w:divBdr>
        </w:div>
        <w:div w:id="1021517579">
          <w:marLeft w:val="640"/>
          <w:marRight w:val="0"/>
          <w:marTop w:val="0"/>
          <w:marBottom w:val="0"/>
          <w:divBdr>
            <w:top w:val="none" w:sz="0" w:space="0" w:color="auto"/>
            <w:left w:val="none" w:sz="0" w:space="0" w:color="auto"/>
            <w:bottom w:val="none" w:sz="0" w:space="0" w:color="auto"/>
            <w:right w:val="none" w:sz="0" w:space="0" w:color="auto"/>
          </w:divBdr>
        </w:div>
        <w:div w:id="1207789905">
          <w:marLeft w:val="640"/>
          <w:marRight w:val="0"/>
          <w:marTop w:val="0"/>
          <w:marBottom w:val="0"/>
          <w:divBdr>
            <w:top w:val="none" w:sz="0" w:space="0" w:color="auto"/>
            <w:left w:val="none" w:sz="0" w:space="0" w:color="auto"/>
            <w:bottom w:val="none" w:sz="0" w:space="0" w:color="auto"/>
            <w:right w:val="none" w:sz="0" w:space="0" w:color="auto"/>
          </w:divBdr>
        </w:div>
        <w:div w:id="312487716">
          <w:marLeft w:val="640"/>
          <w:marRight w:val="0"/>
          <w:marTop w:val="0"/>
          <w:marBottom w:val="0"/>
          <w:divBdr>
            <w:top w:val="none" w:sz="0" w:space="0" w:color="auto"/>
            <w:left w:val="none" w:sz="0" w:space="0" w:color="auto"/>
            <w:bottom w:val="none" w:sz="0" w:space="0" w:color="auto"/>
            <w:right w:val="none" w:sz="0" w:space="0" w:color="auto"/>
          </w:divBdr>
        </w:div>
        <w:div w:id="2116750965">
          <w:marLeft w:val="640"/>
          <w:marRight w:val="0"/>
          <w:marTop w:val="0"/>
          <w:marBottom w:val="0"/>
          <w:divBdr>
            <w:top w:val="none" w:sz="0" w:space="0" w:color="auto"/>
            <w:left w:val="none" w:sz="0" w:space="0" w:color="auto"/>
            <w:bottom w:val="none" w:sz="0" w:space="0" w:color="auto"/>
            <w:right w:val="none" w:sz="0" w:space="0" w:color="auto"/>
          </w:divBdr>
        </w:div>
        <w:div w:id="84769574">
          <w:marLeft w:val="640"/>
          <w:marRight w:val="0"/>
          <w:marTop w:val="0"/>
          <w:marBottom w:val="0"/>
          <w:divBdr>
            <w:top w:val="none" w:sz="0" w:space="0" w:color="auto"/>
            <w:left w:val="none" w:sz="0" w:space="0" w:color="auto"/>
            <w:bottom w:val="none" w:sz="0" w:space="0" w:color="auto"/>
            <w:right w:val="none" w:sz="0" w:space="0" w:color="auto"/>
          </w:divBdr>
        </w:div>
        <w:div w:id="2046713710">
          <w:marLeft w:val="640"/>
          <w:marRight w:val="0"/>
          <w:marTop w:val="0"/>
          <w:marBottom w:val="0"/>
          <w:divBdr>
            <w:top w:val="none" w:sz="0" w:space="0" w:color="auto"/>
            <w:left w:val="none" w:sz="0" w:space="0" w:color="auto"/>
            <w:bottom w:val="none" w:sz="0" w:space="0" w:color="auto"/>
            <w:right w:val="none" w:sz="0" w:space="0" w:color="auto"/>
          </w:divBdr>
        </w:div>
        <w:div w:id="1693456802">
          <w:marLeft w:val="640"/>
          <w:marRight w:val="0"/>
          <w:marTop w:val="0"/>
          <w:marBottom w:val="0"/>
          <w:divBdr>
            <w:top w:val="none" w:sz="0" w:space="0" w:color="auto"/>
            <w:left w:val="none" w:sz="0" w:space="0" w:color="auto"/>
            <w:bottom w:val="none" w:sz="0" w:space="0" w:color="auto"/>
            <w:right w:val="none" w:sz="0" w:space="0" w:color="auto"/>
          </w:divBdr>
        </w:div>
        <w:div w:id="700790183">
          <w:marLeft w:val="640"/>
          <w:marRight w:val="0"/>
          <w:marTop w:val="0"/>
          <w:marBottom w:val="0"/>
          <w:divBdr>
            <w:top w:val="none" w:sz="0" w:space="0" w:color="auto"/>
            <w:left w:val="none" w:sz="0" w:space="0" w:color="auto"/>
            <w:bottom w:val="none" w:sz="0" w:space="0" w:color="auto"/>
            <w:right w:val="none" w:sz="0" w:space="0" w:color="auto"/>
          </w:divBdr>
        </w:div>
        <w:div w:id="1418793831">
          <w:marLeft w:val="640"/>
          <w:marRight w:val="0"/>
          <w:marTop w:val="0"/>
          <w:marBottom w:val="0"/>
          <w:divBdr>
            <w:top w:val="none" w:sz="0" w:space="0" w:color="auto"/>
            <w:left w:val="none" w:sz="0" w:space="0" w:color="auto"/>
            <w:bottom w:val="none" w:sz="0" w:space="0" w:color="auto"/>
            <w:right w:val="none" w:sz="0" w:space="0" w:color="auto"/>
          </w:divBdr>
        </w:div>
        <w:div w:id="1675188087">
          <w:marLeft w:val="640"/>
          <w:marRight w:val="0"/>
          <w:marTop w:val="0"/>
          <w:marBottom w:val="0"/>
          <w:divBdr>
            <w:top w:val="none" w:sz="0" w:space="0" w:color="auto"/>
            <w:left w:val="none" w:sz="0" w:space="0" w:color="auto"/>
            <w:bottom w:val="none" w:sz="0" w:space="0" w:color="auto"/>
            <w:right w:val="none" w:sz="0" w:space="0" w:color="auto"/>
          </w:divBdr>
        </w:div>
      </w:divsChild>
    </w:div>
    <w:div w:id="894655892">
      <w:bodyDiv w:val="1"/>
      <w:marLeft w:val="0"/>
      <w:marRight w:val="0"/>
      <w:marTop w:val="0"/>
      <w:marBottom w:val="0"/>
      <w:divBdr>
        <w:top w:val="none" w:sz="0" w:space="0" w:color="auto"/>
        <w:left w:val="none" w:sz="0" w:space="0" w:color="auto"/>
        <w:bottom w:val="none" w:sz="0" w:space="0" w:color="auto"/>
        <w:right w:val="none" w:sz="0" w:space="0" w:color="auto"/>
      </w:divBdr>
    </w:div>
    <w:div w:id="915745645">
      <w:bodyDiv w:val="1"/>
      <w:marLeft w:val="0"/>
      <w:marRight w:val="0"/>
      <w:marTop w:val="0"/>
      <w:marBottom w:val="0"/>
      <w:divBdr>
        <w:top w:val="none" w:sz="0" w:space="0" w:color="auto"/>
        <w:left w:val="none" w:sz="0" w:space="0" w:color="auto"/>
        <w:bottom w:val="none" w:sz="0" w:space="0" w:color="auto"/>
        <w:right w:val="none" w:sz="0" w:space="0" w:color="auto"/>
      </w:divBdr>
      <w:divsChild>
        <w:div w:id="1256548874">
          <w:marLeft w:val="640"/>
          <w:marRight w:val="0"/>
          <w:marTop w:val="0"/>
          <w:marBottom w:val="0"/>
          <w:divBdr>
            <w:top w:val="none" w:sz="0" w:space="0" w:color="auto"/>
            <w:left w:val="none" w:sz="0" w:space="0" w:color="auto"/>
            <w:bottom w:val="none" w:sz="0" w:space="0" w:color="auto"/>
            <w:right w:val="none" w:sz="0" w:space="0" w:color="auto"/>
          </w:divBdr>
        </w:div>
        <w:div w:id="1910194486">
          <w:marLeft w:val="640"/>
          <w:marRight w:val="0"/>
          <w:marTop w:val="0"/>
          <w:marBottom w:val="0"/>
          <w:divBdr>
            <w:top w:val="none" w:sz="0" w:space="0" w:color="auto"/>
            <w:left w:val="none" w:sz="0" w:space="0" w:color="auto"/>
            <w:bottom w:val="none" w:sz="0" w:space="0" w:color="auto"/>
            <w:right w:val="none" w:sz="0" w:space="0" w:color="auto"/>
          </w:divBdr>
        </w:div>
        <w:div w:id="793250478">
          <w:marLeft w:val="640"/>
          <w:marRight w:val="0"/>
          <w:marTop w:val="0"/>
          <w:marBottom w:val="0"/>
          <w:divBdr>
            <w:top w:val="none" w:sz="0" w:space="0" w:color="auto"/>
            <w:left w:val="none" w:sz="0" w:space="0" w:color="auto"/>
            <w:bottom w:val="none" w:sz="0" w:space="0" w:color="auto"/>
            <w:right w:val="none" w:sz="0" w:space="0" w:color="auto"/>
          </w:divBdr>
        </w:div>
        <w:div w:id="716977365">
          <w:marLeft w:val="640"/>
          <w:marRight w:val="0"/>
          <w:marTop w:val="0"/>
          <w:marBottom w:val="0"/>
          <w:divBdr>
            <w:top w:val="none" w:sz="0" w:space="0" w:color="auto"/>
            <w:left w:val="none" w:sz="0" w:space="0" w:color="auto"/>
            <w:bottom w:val="none" w:sz="0" w:space="0" w:color="auto"/>
            <w:right w:val="none" w:sz="0" w:space="0" w:color="auto"/>
          </w:divBdr>
        </w:div>
        <w:div w:id="1677148280">
          <w:marLeft w:val="640"/>
          <w:marRight w:val="0"/>
          <w:marTop w:val="0"/>
          <w:marBottom w:val="0"/>
          <w:divBdr>
            <w:top w:val="none" w:sz="0" w:space="0" w:color="auto"/>
            <w:left w:val="none" w:sz="0" w:space="0" w:color="auto"/>
            <w:bottom w:val="none" w:sz="0" w:space="0" w:color="auto"/>
            <w:right w:val="none" w:sz="0" w:space="0" w:color="auto"/>
          </w:divBdr>
        </w:div>
        <w:div w:id="1816408210">
          <w:marLeft w:val="640"/>
          <w:marRight w:val="0"/>
          <w:marTop w:val="0"/>
          <w:marBottom w:val="0"/>
          <w:divBdr>
            <w:top w:val="none" w:sz="0" w:space="0" w:color="auto"/>
            <w:left w:val="none" w:sz="0" w:space="0" w:color="auto"/>
            <w:bottom w:val="none" w:sz="0" w:space="0" w:color="auto"/>
            <w:right w:val="none" w:sz="0" w:space="0" w:color="auto"/>
          </w:divBdr>
        </w:div>
        <w:div w:id="193539382">
          <w:marLeft w:val="640"/>
          <w:marRight w:val="0"/>
          <w:marTop w:val="0"/>
          <w:marBottom w:val="0"/>
          <w:divBdr>
            <w:top w:val="none" w:sz="0" w:space="0" w:color="auto"/>
            <w:left w:val="none" w:sz="0" w:space="0" w:color="auto"/>
            <w:bottom w:val="none" w:sz="0" w:space="0" w:color="auto"/>
            <w:right w:val="none" w:sz="0" w:space="0" w:color="auto"/>
          </w:divBdr>
        </w:div>
        <w:div w:id="593634957">
          <w:marLeft w:val="640"/>
          <w:marRight w:val="0"/>
          <w:marTop w:val="0"/>
          <w:marBottom w:val="0"/>
          <w:divBdr>
            <w:top w:val="none" w:sz="0" w:space="0" w:color="auto"/>
            <w:left w:val="none" w:sz="0" w:space="0" w:color="auto"/>
            <w:bottom w:val="none" w:sz="0" w:space="0" w:color="auto"/>
            <w:right w:val="none" w:sz="0" w:space="0" w:color="auto"/>
          </w:divBdr>
        </w:div>
        <w:div w:id="87426715">
          <w:marLeft w:val="640"/>
          <w:marRight w:val="0"/>
          <w:marTop w:val="0"/>
          <w:marBottom w:val="0"/>
          <w:divBdr>
            <w:top w:val="none" w:sz="0" w:space="0" w:color="auto"/>
            <w:left w:val="none" w:sz="0" w:space="0" w:color="auto"/>
            <w:bottom w:val="none" w:sz="0" w:space="0" w:color="auto"/>
            <w:right w:val="none" w:sz="0" w:space="0" w:color="auto"/>
          </w:divBdr>
        </w:div>
        <w:div w:id="367267369">
          <w:marLeft w:val="640"/>
          <w:marRight w:val="0"/>
          <w:marTop w:val="0"/>
          <w:marBottom w:val="0"/>
          <w:divBdr>
            <w:top w:val="none" w:sz="0" w:space="0" w:color="auto"/>
            <w:left w:val="none" w:sz="0" w:space="0" w:color="auto"/>
            <w:bottom w:val="none" w:sz="0" w:space="0" w:color="auto"/>
            <w:right w:val="none" w:sz="0" w:space="0" w:color="auto"/>
          </w:divBdr>
        </w:div>
        <w:div w:id="1678263861">
          <w:marLeft w:val="640"/>
          <w:marRight w:val="0"/>
          <w:marTop w:val="0"/>
          <w:marBottom w:val="0"/>
          <w:divBdr>
            <w:top w:val="none" w:sz="0" w:space="0" w:color="auto"/>
            <w:left w:val="none" w:sz="0" w:space="0" w:color="auto"/>
            <w:bottom w:val="none" w:sz="0" w:space="0" w:color="auto"/>
            <w:right w:val="none" w:sz="0" w:space="0" w:color="auto"/>
          </w:divBdr>
        </w:div>
        <w:div w:id="753938554">
          <w:marLeft w:val="640"/>
          <w:marRight w:val="0"/>
          <w:marTop w:val="0"/>
          <w:marBottom w:val="0"/>
          <w:divBdr>
            <w:top w:val="none" w:sz="0" w:space="0" w:color="auto"/>
            <w:left w:val="none" w:sz="0" w:space="0" w:color="auto"/>
            <w:bottom w:val="none" w:sz="0" w:space="0" w:color="auto"/>
            <w:right w:val="none" w:sz="0" w:space="0" w:color="auto"/>
          </w:divBdr>
        </w:div>
        <w:div w:id="352927170">
          <w:marLeft w:val="640"/>
          <w:marRight w:val="0"/>
          <w:marTop w:val="0"/>
          <w:marBottom w:val="0"/>
          <w:divBdr>
            <w:top w:val="none" w:sz="0" w:space="0" w:color="auto"/>
            <w:left w:val="none" w:sz="0" w:space="0" w:color="auto"/>
            <w:bottom w:val="none" w:sz="0" w:space="0" w:color="auto"/>
            <w:right w:val="none" w:sz="0" w:space="0" w:color="auto"/>
          </w:divBdr>
        </w:div>
        <w:div w:id="1598437939">
          <w:marLeft w:val="640"/>
          <w:marRight w:val="0"/>
          <w:marTop w:val="0"/>
          <w:marBottom w:val="0"/>
          <w:divBdr>
            <w:top w:val="none" w:sz="0" w:space="0" w:color="auto"/>
            <w:left w:val="none" w:sz="0" w:space="0" w:color="auto"/>
            <w:bottom w:val="none" w:sz="0" w:space="0" w:color="auto"/>
            <w:right w:val="none" w:sz="0" w:space="0" w:color="auto"/>
          </w:divBdr>
        </w:div>
        <w:div w:id="514467600">
          <w:marLeft w:val="640"/>
          <w:marRight w:val="0"/>
          <w:marTop w:val="0"/>
          <w:marBottom w:val="0"/>
          <w:divBdr>
            <w:top w:val="none" w:sz="0" w:space="0" w:color="auto"/>
            <w:left w:val="none" w:sz="0" w:space="0" w:color="auto"/>
            <w:bottom w:val="none" w:sz="0" w:space="0" w:color="auto"/>
            <w:right w:val="none" w:sz="0" w:space="0" w:color="auto"/>
          </w:divBdr>
        </w:div>
        <w:div w:id="284849933">
          <w:marLeft w:val="640"/>
          <w:marRight w:val="0"/>
          <w:marTop w:val="0"/>
          <w:marBottom w:val="0"/>
          <w:divBdr>
            <w:top w:val="none" w:sz="0" w:space="0" w:color="auto"/>
            <w:left w:val="none" w:sz="0" w:space="0" w:color="auto"/>
            <w:bottom w:val="none" w:sz="0" w:space="0" w:color="auto"/>
            <w:right w:val="none" w:sz="0" w:space="0" w:color="auto"/>
          </w:divBdr>
        </w:div>
        <w:div w:id="445849856">
          <w:marLeft w:val="640"/>
          <w:marRight w:val="0"/>
          <w:marTop w:val="0"/>
          <w:marBottom w:val="0"/>
          <w:divBdr>
            <w:top w:val="none" w:sz="0" w:space="0" w:color="auto"/>
            <w:left w:val="none" w:sz="0" w:space="0" w:color="auto"/>
            <w:bottom w:val="none" w:sz="0" w:space="0" w:color="auto"/>
            <w:right w:val="none" w:sz="0" w:space="0" w:color="auto"/>
          </w:divBdr>
        </w:div>
        <w:div w:id="1812676653">
          <w:marLeft w:val="640"/>
          <w:marRight w:val="0"/>
          <w:marTop w:val="0"/>
          <w:marBottom w:val="0"/>
          <w:divBdr>
            <w:top w:val="none" w:sz="0" w:space="0" w:color="auto"/>
            <w:left w:val="none" w:sz="0" w:space="0" w:color="auto"/>
            <w:bottom w:val="none" w:sz="0" w:space="0" w:color="auto"/>
            <w:right w:val="none" w:sz="0" w:space="0" w:color="auto"/>
          </w:divBdr>
        </w:div>
        <w:div w:id="924532490">
          <w:marLeft w:val="640"/>
          <w:marRight w:val="0"/>
          <w:marTop w:val="0"/>
          <w:marBottom w:val="0"/>
          <w:divBdr>
            <w:top w:val="none" w:sz="0" w:space="0" w:color="auto"/>
            <w:left w:val="none" w:sz="0" w:space="0" w:color="auto"/>
            <w:bottom w:val="none" w:sz="0" w:space="0" w:color="auto"/>
            <w:right w:val="none" w:sz="0" w:space="0" w:color="auto"/>
          </w:divBdr>
        </w:div>
      </w:divsChild>
    </w:div>
    <w:div w:id="931008534">
      <w:bodyDiv w:val="1"/>
      <w:marLeft w:val="0"/>
      <w:marRight w:val="0"/>
      <w:marTop w:val="0"/>
      <w:marBottom w:val="0"/>
      <w:divBdr>
        <w:top w:val="none" w:sz="0" w:space="0" w:color="auto"/>
        <w:left w:val="none" w:sz="0" w:space="0" w:color="auto"/>
        <w:bottom w:val="none" w:sz="0" w:space="0" w:color="auto"/>
        <w:right w:val="none" w:sz="0" w:space="0" w:color="auto"/>
      </w:divBdr>
      <w:divsChild>
        <w:div w:id="628904321">
          <w:marLeft w:val="640"/>
          <w:marRight w:val="0"/>
          <w:marTop w:val="0"/>
          <w:marBottom w:val="0"/>
          <w:divBdr>
            <w:top w:val="none" w:sz="0" w:space="0" w:color="auto"/>
            <w:left w:val="none" w:sz="0" w:space="0" w:color="auto"/>
            <w:bottom w:val="none" w:sz="0" w:space="0" w:color="auto"/>
            <w:right w:val="none" w:sz="0" w:space="0" w:color="auto"/>
          </w:divBdr>
        </w:div>
        <w:div w:id="22367158">
          <w:marLeft w:val="640"/>
          <w:marRight w:val="0"/>
          <w:marTop w:val="0"/>
          <w:marBottom w:val="0"/>
          <w:divBdr>
            <w:top w:val="none" w:sz="0" w:space="0" w:color="auto"/>
            <w:left w:val="none" w:sz="0" w:space="0" w:color="auto"/>
            <w:bottom w:val="none" w:sz="0" w:space="0" w:color="auto"/>
            <w:right w:val="none" w:sz="0" w:space="0" w:color="auto"/>
          </w:divBdr>
        </w:div>
        <w:div w:id="1309017129">
          <w:marLeft w:val="640"/>
          <w:marRight w:val="0"/>
          <w:marTop w:val="0"/>
          <w:marBottom w:val="0"/>
          <w:divBdr>
            <w:top w:val="none" w:sz="0" w:space="0" w:color="auto"/>
            <w:left w:val="none" w:sz="0" w:space="0" w:color="auto"/>
            <w:bottom w:val="none" w:sz="0" w:space="0" w:color="auto"/>
            <w:right w:val="none" w:sz="0" w:space="0" w:color="auto"/>
          </w:divBdr>
        </w:div>
        <w:div w:id="1734423158">
          <w:marLeft w:val="640"/>
          <w:marRight w:val="0"/>
          <w:marTop w:val="0"/>
          <w:marBottom w:val="0"/>
          <w:divBdr>
            <w:top w:val="none" w:sz="0" w:space="0" w:color="auto"/>
            <w:left w:val="none" w:sz="0" w:space="0" w:color="auto"/>
            <w:bottom w:val="none" w:sz="0" w:space="0" w:color="auto"/>
            <w:right w:val="none" w:sz="0" w:space="0" w:color="auto"/>
          </w:divBdr>
        </w:div>
        <w:div w:id="1837644803">
          <w:marLeft w:val="640"/>
          <w:marRight w:val="0"/>
          <w:marTop w:val="0"/>
          <w:marBottom w:val="0"/>
          <w:divBdr>
            <w:top w:val="none" w:sz="0" w:space="0" w:color="auto"/>
            <w:left w:val="none" w:sz="0" w:space="0" w:color="auto"/>
            <w:bottom w:val="none" w:sz="0" w:space="0" w:color="auto"/>
            <w:right w:val="none" w:sz="0" w:space="0" w:color="auto"/>
          </w:divBdr>
        </w:div>
        <w:div w:id="1937247588">
          <w:marLeft w:val="640"/>
          <w:marRight w:val="0"/>
          <w:marTop w:val="0"/>
          <w:marBottom w:val="0"/>
          <w:divBdr>
            <w:top w:val="none" w:sz="0" w:space="0" w:color="auto"/>
            <w:left w:val="none" w:sz="0" w:space="0" w:color="auto"/>
            <w:bottom w:val="none" w:sz="0" w:space="0" w:color="auto"/>
            <w:right w:val="none" w:sz="0" w:space="0" w:color="auto"/>
          </w:divBdr>
        </w:div>
        <w:div w:id="124858212">
          <w:marLeft w:val="640"/>
          <w:marRight w:val="0"/>
          <w:marTop w:val="0"/>
          <w:marBottom w:val="0"/>
          <w:divBdr>
            <w:top w:val="none" w:sz="0" w:space="0" w:color="auto"/>
            <w:left w:val="none" w:sz="0" w:space="0" w:color="auto"/>
            <w:bottom w:val="none" w:sz="0" w:space="0" w:color="auto"/>
            <w:right w:val="none" w:sz="0" w:space="0" w:color="auto"/>
          </w:divBdr>
        </w:div>
        <w:div w:id="1809130304">
          <w:marLeft w:val="640"/>
          <w:marRight w:val="0"/>
          <w:marTop w:val="0"/>
          <w:marBottom w:val="0"/>
          <w:divBdr>
            <w:top w:val="none" w:sz="0" w:space="0" w:color="auto"/>
            <w:left w:val="none" w:sz="0" w:space="0" w:color="auto"/>
            <w:bottom w:val="none" w:sz="0" w:space="0" w:color="auto"/>
            <w:right w:val="none" w:sz="0" w:space="0" w:color="auto"/>
          </w:divBdr>
        </w:div>
        <w:div w:id="2110738244">
          <w:marLeft w:val="640"/>
          <w:marRight w:val="0"/>
          <w:marTop w:val="0"/>
          <w:marBottom w:val="0"/>
          <w:divBdr>
            <w:top w:val="none" w:sz="0" w:space="0" w:color="auto"/>
            <w:left w:val="none" w:sz="0" w:space="0" w:color="auto"/>
            <w:bottom w:val="none" w:sz="0" w:space="0" w:color="auto"/>
            <w:right w:val="none" w:sz="0" w:space="0" w:color="auto"/>
          </w:divBdr>
        </w:div>
        <w:div w:id="1428692336">
          <w:marLeft w:val="640"/>
          <w:marRight w:val="0"/>
          <w:marTop w:val="0"/>
          <w:marBottom w:val="0"/>
          <w:divBdr>
            <w:top w:val="none" w:sz="0" w:space="0" w:color="auto"/>
            <w:left w:val="none" w:sz="0" w:space="0" w:color="auto"/>
            <w:bottom w:val="none" w:sz="0" w:space="0" w:color="auto"/>
            <w:right w:val="none" w:sz="0" w:space="0" w:color="auto"/>
          </w:divBdr>
        </w:div>
        <w:div w:id="106044146">
          <w:marLeft w:val="640"/>
          <w:marRight w:val="0"/>
          <w:marTop w:val="0"/>
          <w:marBottom w:val="0"/>
          <w:divBdr>
            <w:top w:val="none" w:sz="0" w:space="0" w:color="auto"/>
            <w:left w:val="none" w:sz="0" w:space="0" w:color="auto"/>
            <w:bottom w:val="none" w:sz="0" w:space="0" w:color="auto"/>
            <w:right w:val="none" w:sz="0" w:space="0" w:color="auto"/>
          </w:divBdr>
        </w:div>
        <w:div w:id="768963151">
          <w:marLeft w:val="640"/>
          <w:marRight w:val="0"/>
          <w:marTop w:val="0"/>
          <w:marBottom w:val="0"/>
          <w:divBdr>
            <w:top w:val="none" w:sz="0" w:space="0" w:color="auto"/>
            <w:left w:val="none" w:sz="0" w:space="0" w:color="auto"/>
            <w:bottom w:val="none" w:sz="0" w:space="0" w:color="auto"/>
            <w:right w:val="none" w:sz="0" w:space="0" w:color="auto"/>
          </w:divBdr>
        </w:div>
        <w:div w:id="947204435">
          <w:marLeft w:val="640"/>
          <w:marRight w:val="0"/>
          <w:marTop w:val="0"/>
          <w:marBottom w:val="0"/>
          <w:divBdr>
            <w:top w:val="none" w:sz="0" w:space="0" w:color="auto"/>
            <w:left w:val="none" w:sz="0" w:space="0" w:color="auto"/>
            <w:bottom w:val="none" w:sz="0" w:space="0" w:color="auto"/>
            <w:right w:val="none" w:sz="0" w:space="0" w:color="auto"/>
          </w:divBdr>
        </w:div>
        <w:div w:id="887574477">
          <w:marLeft w:val="640"/>
          <w:marRight w:val="0"/>
          <w:marTop w:val="0"/>
          <w:marBottom w:val="0"/>
          <w:divBdr>
            <w:top w:val="none" w:sz="0" w:space="0" w:color="auto"/>
            <w:left w:val="none" w:sz="0" w:space="0" w:color="auto"/>
            <w:bottom w:val="none" w:sz="0" w:space="0" w:color="auto"/>
            <w:right w:val="none" w:sz="0" w:space="0" w:color="auto"/>
          </w:divBdr>
        </w:div>
        <w:div w:id="680741253">
          <w:marLeft w:val="640"/>
          <w:marRight w:val="0"/>
          <w:marTop w:val="0"/>
          <w:marBottom w:val="0"/>
          <w:divBdr>
            <w:top w:val="none" w:sz="0" w:space="0" w:color="auto"/>
            <w:left w:val="none" w:sz="0" w:space="0" w:color="auto"/>
            <w:bottom w:val="none" w:sz="0" w:space="0" w:color="auto"/>
            <w:right w:val="none" w:sz="0" w:space="0" w:color="auto"/>
          </w:divBdr>
        </w:div>
        <w:div w:id="309600721">
          <w:marLeft w:val="640"/>
          <w:marRight w:val="0"/>
          <w:marTop w:val="0"/>
          <w:marBottom w:val="0"/>
          <w:divBdr>
            <w:top w:val="none" w:sz="0" w:space="0" w:color="auto"/>
            <w:left w:val="none" w:sz="0" w:space="0" w:color="auto"/>
            <w:bottom w:val="none" w:sz="0" w:space="0" w:color="auto"/>
            <w:right w:val="none" w:sz="0" w:space="0" w:color="auto"/>
          </w:divBdr>
        </w:div>
        <w:div w:id="313609523">
          <w:marLeft w:val="640"/>
          <w:marRight w:val="0"/>
          <w:marTop w:val="0"/>
          <w:marBottom w:val="0"/>
          <w:divBdr>
            <w:top w:val="none" w:sz="0" w:space="0" w:color="auto"/>
            <w:left w:val="none" w:sz="0" w:space="0" w:color="auto"/>
            <w:bottom w:val="none" w:sz="0" w:space="0" w:color="auto"/>
            <w:right w:val="none" w:sz="0" w:space="0" w:color="auto"/>
          </w:divBdr>
        </w:div>
        <w:div w:id="136266879">
          <w:marLeft w:val="640"/>
          <w:marRight w:val="0"/>
          <w:marTop w:val="0"/>
          <w:marBottom w:val="0"/>
          <w:divBdr>
            <w:top w:val="none" w:sz="0" w:space="0" w:color="auto"/>
            <w:left w:val="none" w:sz="0" w:space="0" w:color="auto"/>
            <w:bottom w:val="none" w:sz="0" w:space="0" w:color="auto"/>
            <w:right w:val="none" w:sz="0" w:space="0" w:color="auto"/>
          </w:divBdr>
        </w:div>
        <w:div w:id="1845169832">
          <w:marLeft w:val="640"/>
          <w:marRight w:val="0"/>
          <w:marTop w:val="0"/>
          <w:marBottom w:val="0"/>
          <w:divBdr>
            <w:top w:val="none" w:sz="0" w:space="0" w:color="auto"/>
            <w:left w:val="none" w:sz="0" w:space="0" w:color="auto"/>
            <w:bottom w:val="none" w:sz="0" w:space="0" w:color="auto"/>
            <w:right w:val="none" w:sz="0" w:space="0" w:color="auto"/>
          </w:divBdr>
        </w:div>
        <w:div w:id="952133524">
          <w:marLeft w:val="640"/>
          <w:marRight w:val="0"/>
          <w:marTop w:val="0"/>
          <w:marBottom w:val="0"/>
          <w:divBdr>
            <w:top w:val="none" w:sz="0" w:space="0" w:color="auto"/>
            <w:left w:val="none" w:sz="0" w:space="0" w:color="auto"/>
            <w:bottom w:val="none" w:sz="0" w:space="0" w:color="auto"/>
            <w:right w:val="none" w:sz="0" w:space="0" w:color="auto"/>
          </w:divBdr>
        </w:div>
        <w:div w:id="1300837527">
          <w:marLeft w:val="640"/>
          <w:marRight w:val="0"/>
          <w:marTop w:val="0"/>
          <w:marBottom w:val="0"/>
          <w:divBdr>
            <w:top w:val="none" w:sz="0" w:space="0" w:color="auto"/>
            <w:left w:val="none" w:sz="0" w:space="0" w:color="auto"/>
            <w:bottom w:val="none" w:sz="0" w:space="0" w:color="auto"/>
            <w:right w:val="none" w:sz="0" w:space="0" w:color="auto"/>
          </w:divBdr>
        </w:div>
        <w:div w:id="1808431937">
          <w:marLeft w:val="640"/>
          <w:marRight w:val="0"/>
          <w:marTop w:val="0"/>
          <w:marBottom w:val="0"/>
          <w:divBdr>
            <w:top w:val="none" w:sz="0" w:space="0" w:color="auto"/>
            <w:left w:val="none" w:sz="0" w:space="0" w:color="auto"/>
            <w:bottom w:val="none" w:sz="0" w:space="0" w:color="auto"/>
            <w:right w:val="none" w:sz="0" w:space="0" w:color="auto"/>
          </w:divBdr>
        </w:div>
        <w:div w:id="2104648241">
          <w:marLeft w:val="640"/>
          <w:marRight w:val="0"/>
          <w:marTop w:val="0"/>
          <w:marBottom w:val="0"/>
          <w:divBdr>
            <w:top w:val="none" w:sz="0" w:space="0" w:color="auto"/>
            <w:left w:val="none" w:sz="0" w:space="0" w:color="auto"/>
            <w:bottom w:val="none" w:sz="0" w:space="0" w:color="auto"/>
            <w:right w:val="none" w:sz="0" w:space="0" w:color="auto"/>
          </w:divBdr>
        </w:div>
        <w:div w:id="440690237">
          <w:marLeft w:val="640"/>
          <w:marRight w:val="0"/>
          <w:marTop w:val="0"/>
          <w:marBottom w:val="0"/>
          <w:divBdr>
            <w:top w:val="none" w:sz="0" w:space="0" w:color="auto"/>
            <w:left w:val="none" w:sz="0" w:space="0" w:color="auto"/>
            <w:bottom w:val="none" w:sz="0" w:space="0" w:color="auto"/>
            <w:right w:val="none" w:sz="0" w:space="0" w:color="auto"/>
          </w:divBdr>
        </w:div>
        <w:div w:id="584193144">
          <w:marLeft w:val="640"/>
          <w:marRight w:val="0"/>
          <w:marTop w:val="0"/>
          <w:marBottom w:val="0"/>
          <w:divBdr>
            <w:top w:val="none" w:sz="0" w:space="0" w:color="auto"/>
            <w:left w:val="none" w:sz="0" w:space="0" w:color="auto"/>
            <w:bottom w:val="none" w:sz="0" w:space="0" w:color="auto"/>
            <w:right w:val="none" w:sz="0" w:space="0" w:color="auto"/>
          </w:divBdr>
        </w:div>
        <w:div w:id="187452992">
          <w:marLeft w:val="640"/>
          <w:marRight w:val="0"/>
          <w:marTop w:val="0"/>
          <w:marBottom w:val="0"/>
          <w:divBdr>
            <w:top w:val="none" w:sz="0" w:space="0" w:color="auto"/>
            <w:left w:val="none" w:sz="0" w:space="0" w:color="auto"/>
            <w:bottom w:val="none" w:sz="0" w:space="0" w:color="auto"/>
            <w:right w:val="none" w:sz="0" w:space="0" w:color="auto"/>
          </w:divBdr>
        </w:div>
        <w:div w:id="1927573605">
          <w:marLeft w:val="640"/>
          <w:marRight w:val="0"/>
          <w:marTop w:val="0"/>
          <w:marBottom w:val="0"/>
          <w:divBdr>
            <w:top w:val="none" w:sz="0" w:space="0" w:color="auto"/>
            <w:left w:val="none" w:sz="0" w:space="0" w:color="auto"/>
            <w:bottom w:val="none" w:sz="0" w:space="0" w:color="auto"/>
            <w:right w:val="none" w:sz="0" w:space="0" w:color="auto"/>
          </w:divBdr>
        </w:div>
        <w:div w:id="295373759">
          <w:marLeft w:val="640"/>
          <w:marRight w:val="0"/>
          <w:marTop w:val="0"/>
          <w:marBottom w:val="0"/>
          <w:divBdr>
            <w:top w:val="none" w:sz="0" w:space="0" w:color="auto"/>
            <w:left w:val="none" w:sz="0" w:space="0" w:color="auto"/>
            <w:bottom w:val="none" w:sz="0" w:space="0" w:color="auto"/>
            <w:right w:val="none" w:sz="0" w:space="0" w:color="auto"/>
          </w:divBdr>
        </w:div>
      </w:divsChild>
    </w:div>
    <w:div w:id="1012495047">
      <w:bodyDiv w:val="1"/>
      <w:marLeft w:val="0"/>
      <w:marRight w:val="0"/>
      <w:marTop w:val="0"/>
      <w:marBottom w:val="0"/>
      <w:divBdr>
        <w:top w:val="none" w:sz="0" w:space="0" w:color="auto"/>
        <w:left w:val="none" w:sz="0" w:space="0" w:color="auto"/>
        <w:bottom w:val="none" w:sz="0" w:space="0" w:color="auto"/>
        <w:right w:val="none" w:sz="0" w:space="0" w:color="auto"/>
      </w:divBdr>
      <w:divsChild>
        <w:div w:id="1834251603">
          <w:marLeft w:val="640"/>
          <w:marRight w:val="0"/>
          <w:marTop w:val="0"/>
          <w:marBottom w:val="0"/>
          <w:divBdr>
            <w:top w:val="none" w:sz="0" w:space="0" w:color="auto"/>
            <w:left w:val="none" w:sz="0" w:space="0" w:color="auto"/>
            <w:bottom w:val="none" w:sz="0" w:space="0" w:color="auto"/>
            <w:right w:val="none" w:sz="0" w:space="0" w:color="auto"/>
          </w:divBdr>
        </w:div>
        <w:div w:id="1533962159">
          <w:marLeft w:val="640"/>
          <w:marRight w:val="0"/>
          <w:marTop w:val="0"/>
          <w:marBottom w:val="0"/>
          <w:divBdr>
            <w:top w:val="none" w:sz="0" w:space="0" w:color="auto"/>
            <w:left w:val="none" w:sz="0" w:space="0" w:color="auto"/>
            <w:bottom w:val="none" w:sz="0" w:space="0" w:color="auto"/>
            <w:right w:val="none" w:sz="0" w:space="0" w:color="auto"/>
          </w:divBdr>
        </w:div>
        <w:div w:id="141626959">
          <w:marLeft w:val="640"/>
          <w:marRight w:val="0"/>
          <w:marTop w:val="0"/>
          <w:marBottom w:val="0"/>
          <w:divBdr>
            <w:top w:val="none" w:sz="0" w:space="0" w:color="auto"/>
            <w:left w:val="none" w:sz="0" w:space="0" w:color="auto"/>
            <w:bottom w:val="none" w:sz="0" w:space="0" w:color="auto"/>
            <w:right w:val="none" w:sz="0" w:space="0" w:color="auto"/>
          </w:divBdr>
        </w:div>
        <w:div w:id="506100249">
          <w:marLeft w:val="640"/>
          <w:marRight w:val="0"/>
          <w:marTop w:val="0"/>
          <w:marBottom w:val="0"/>
          <w:divBdr>
            <w:top w:val="none" w:sz="0" w:space="0" w:color="auto"/>
            <w:left w:val="none" w:sz="0" w:space="0" w:color="auto"/>
            <w:bottom w:val="none" w:sz="0" w:space="0" w:color="auto"/>
            <w:right w:val="none" w:sz="0" w:space="0" w:color="auto"/>
          </w:divBdr>
        </w:div>
        <w:div w:id="1887141424">
          <w:marLeft w:val="640"/>
          <w:marRight w:val="0"/>
          <w:marTop w:val="0"/>
          <w:marBottom w:val="0"/>
          <w:divBdr>
            <w:top w:val="none" w:sz="0" w:space="0" w:color="auto"/>
            <w:left w:val="none" w:sz="0" w:space="0" w:color="auto"/>
            <w:bottom w:val="none" w:sz="0" w:space="0" w:color="auto"/>
            <w:right w:val="none" w:sz="0" w:space="0" w:color="auto"/>
          </w:divBdr>
        </w:div>
        <w:div w:id="860050399">
          <w:marLeft w:val="640"/>
          <w:marRight w:val="0"/>
          <w:marTop w:val="0"/>
          <w:marBottom w:val="0"/>
          <w:divBdr>
            <w:top w:val="none" w:sz="0" w:space="0" w:color="auto"/>
            <w:left w:val="none" w:sz="0" w:space="0" w:color="auto"/>
            <w:bottom w:val="none" w:sz="0" w:space="0" w:color="auto"/>
            <w:right w:val="none" w:sz="0" w:space="0" w:color="auto"/>
          </w:divBdr>
        </w:div>
        <w:div w:id="717779703">
          <w:marLeft w:val="640"/>
          <w:marRight w:val="0"/>
          <w:marTop w:val="0"/>
          <w:marBottom w:val="0"/>
          <w:divBdr>
            <w:top w:val="none" w:sz="0" w:space="0" w:color="auto"/>
            <w:left w:val="none" w:sz="0" w:space="0" w:color="auto"/>
            <w:bottom w:val="none" w:sz="0" w:space="0" w:color="auto"/>
            <w:right w:val="none" w:sz="0" w:space="0" w:color="auto"/>
          </w:divBdr>
        </w:div>
        <w:div w:id="1323701752">
          <w:marLeft w:val="640"/>
          <w:marRight w:val="0"/>
          <w:marTop w:val="0"/>
          <w:marBottom w:val="0"/>
          <w:divBdr>
            <w:top w:val="none" w:sz="0" w:space="0" w:color="auto"/>
            <w:left w:val="none" w:sz="0" w:space="0" w:color="auto"/>
            <w:bottom w:val="none" w:sz="0" w:space="0" w:color="auto"/>
            <w:right w:val="none" w:sz="0" w:space="0" w:color="auto"/>
          </w:divBdr>
        </w:div>
        <w:div w:id="1627156080">
          <w:marLeft w:val="640"/>
          <w:marRight w:val="0"/>
          <w:marTop w:val="0"/>
          <w:marBottom w:val="0"/>
          <w:divBdr>
            <w:top w:val="none" w:sz="0" w:space="0" w:color="auto"/>
            <w:left w:val="none" w:sz="0" w:space="0" w:color="auto"/>
            <w:bottom w:val="none" w:sz="0" w:space="0" w:color="auto"/>
            <w:right w:val="none" w:sz="0" w:space="0" w:color="auto"/>
          </w:divBdr>
        </w:div>
        <w:div w:id="933635049">
          <w:marLeft w:val="640"/>
          <w:marRight w:val="0"/>
          <w:marTop w:val="0"/>
          <w:marBottom w:val="0"/>
          <w:divBdr>
            <w:top w:val="none" w:sz="0" w:space="0" w:color="auto"/>
            <w:left w:val="none" w:sz="0" w:space="0" w:color="auto"/>
            <w:bottom w:val="none" w:sz="0" w:space="0" w:color="auto"/>
            <w:right w:val="none" w:sz="0" w:space="0" w:color="auto"/>
          </w:divBdr>
        </w:div>
        <w:div w:id="1484808465">
          <w:marLeft w:val="640"/>
          <w:marRight w:val="0"/>
          <w:marTop w:val="0"/>
          <w:marBottom w:val="0"/>
          <w:divBdr>
            <w:top w:val="none" w:sz="0" w:space="0" w:color="auto"/>
            <w:left w:val="none" w:sz="0" w:space="0" w:color="auto"/>
            <w:bottom w:val="none" w:sz="0" w:space="0" w:color="auto"/>
            <w:right w:val="none" w:sz="0" w:space="0" w:color="auto"/>
          </w:divBdr>
        </w:div>
        <w:div w:id="1231043832">
          <w:marLeft w:val="640"/>
          <w:marRight w:val="0"/>
          <w:marTop w:val="0"/>
          <w:marBottom w:val="0"/>
          <w:divBdr>
            <w:top w:val="none" w:sz="0" w:space="0" w:color="auto"/>
            <w:left w:val="none" w:sz="0" w:space="0" w:color="auto"/>
            <w:bottom w:val="none" w:sz="0" w:space="0" w:color="auto"/>
            <w:right w:val="none" w:sz="0" w:space="0" w:color="auto"/>
          </w:divBdr>
        </w:div>
        <w:div w:id="1400202757">
          <w:marLeft w:val="640"/>
          <w:marRight w:val="0"/>
          <w:marTop w:val="0"/>
          <w:marBottom w:val="0"/>
          <w:divBdr>
            <w:top w:val="none" w:sz="0" w:space="0" w:color="auto"/>
            <w:left w:val="none" w:sz="0" w:space="0" w:color="auto"/>
            <w:bottom w:val="none" w:sz="0" w:space="0" w:color="auto"/>
            <w:right w:val="none" w:sz="0" w:space="0" w:color="auto"/>
          </w:divBdr>
        </w:div>
        <w:div w:id="1009407367">
          <w:marLeft w:val="640"/>
          <w:marRight w:val="0"/>
          <w:marTop w:val="0"/>
          <w:marBottom w:val="0"/>
          <w:divBdr>
            <w:top w:val="none" w:sz="0" w:space="0" w:color="auto"/>
            <w:left w:val="none" w:sz="0" w:space="0" w:color="auto"/>
            <w:bottom w:val="none" w:sz="0" w:space="0" w:color="auto"/>
            <w:right w:val="none" w:sz="0" w:space="0" w:color="auto"/>
          </w:divBdr>
        </w:div>
        <w:div w:id="184757246">
          <w:marLeft w:val="640"/>
          <w:marRight w:val="0"/>
          <w:marTop w:val="0"/>
          <w:marBottom w:val="0"/>
          <w:divBdr>
            <w:top w:val="none" w:sz="0" w:space="0" w:color="auto"/>
            <w:left w:val="none" w:sz="0" w:space="0" w:color="auto"/>
            <w:bottom w:val="none" w:sz="0" w:space="0" w:color="auto"/>
            <w:right w:val="none" w:sz="0" w:space="0" w:color="auto"/>
          </w:divBdr>
        </w:div>
        <w:div w:id="1018117494">
          <w:marLeft w:val="640"/>
          <w:marRight w:val="0"/>
          <w:marTop w:val="0"/>
          <w:marBottom w:val="0"/>
          <w:divBdr>
            <w:top w:val="none" w:sz="0" w:space="0" w:color="auto"/>
            <w:left w:val="none" w:sz="0" w:space="0" w:color="auto"/>
            <w:bottom w:val="none" w:sz="0" w:space="0" w:color="auto"/>
            <w:right w:val="none" w:sz="0" w:space="0" w:color="auto"/>
          </w:divBdr>
        </w:div>
        <w:div w:id="389958728">
          <w:marLeft w:val="640"/>
          <w:marRight w:val="0"/>
          <w:marTop w:val="0"/>
          <w:marBottom w:val="0"/>
          <w:divBdr>
            <w:top w:val="none" w:sz="0" w:space="0" w:color="auto"/>
            <w:left w:val="none" w:sz="0" w:space="0" w:color="auto"/>
            <w:bottom w:val="none" w:sz="0" w:space="0" w:color="auto"/>
            <w:right w:val="none" w:sz="0" w:space="0" w:color="auto"/>
          </w:divBdr>
        </w:div>
        <w:div w:id="712392172">
          <w:marLeft w:val="640"/>
          <w:marRight w:val="0"/>
          <w:marTop w:val="0"/>
          <w:marBottom w:val="0"/>
          <w:divBdr>
            <w:top w:val="none" w:sz="0" w:space="0" w:color="auto"/>
            <w:left w:val="none" w:sz="0" w:space="0" w:color="auto"/>
            <w:bottom w:val="none" w:sz="0" w:space="0" w:color="auto"/>
            <w:right w:val="none" w:sz="0" w:space="0" w:color="auto"/>
          </w:divBdr>
        </w:div>
      </w:divsChild>
    </w:div>
    <w:div w:id="1143547409">
      <w:bodyDiv w:val="1"/>
      <w:marLeft w:val="0"/>
      <w:marRight w:val="0"/>
      <w:marTop w:val="0"/>
      <w:marBottom w:val="0"/>
      <w:divBdr>
        <w:top w:val="none" w:sz="0" w:space="0" w:color="auto"/>
        <w:left w:val="none" w:sz="0" w:space="0" w:color="auto"/>
        <w:bottom w:val="none" w:sz="0" w:space="0" w:color="auto"/>
        <w:right w:val="none" w:sz="0" w:space="0" w:color="auto"/>
      </w:divBdr>
      <w:divsChild>
        <w:div w:id="15548571">
          <w:marLeft w:val="640"/>
          <w:marRight w:val="0"/>
          <w:marTop w:val="0"/>
          <w:marBottom w:val="0"/>
          <w:divBdr>
            <w:top w:val="none" w:sz="0" w:space="0" w:color="auto"/>
            <w:left w:val="none" w:sz="0" w:space="0" w:color="auto"/>
            <w:bottom w:val="none" w:sz="0" w:space="0" w:color="auto"/>
            <w:right w:val="none" w:sz="0" w:space="0" w:color="auto"/>
          </w:divBdr>
        </w:div>
        <w:div w:id="1689867141">
          <w:marLeft w:val="640"/>
          <w:marRight w:val="0"/>
          <w:marTop w:val="0"/>
          <w:marBottom w:val="0"/>
          <w:divBdr>
            <w:top w:val="none" w:sz="0" w:space="0" w:color="auto"/>
            <w:left w:val="none" w:sz="0" w:space="0" w:color="auto"/>
            <w:bottom w:val="none" w:sz="0" w:space="0" w:color="auto"/>
            <w:right w:val="none" w:sz="0" w:space="0" w:color="auto"/>
          </w:divBdr>
        </w:div>
        <w:div w:id="189219849">
          <w:marLeft w:val="640"/>
          <w:marRight w:val="0"/>
          <w:marTop w:val="0"/>
          <w:marBottom w:val="0"/>
          <w:divBdr>
            <w:top w:val="none" w:sz="0" w:space="0" w:color="auto"/>
            <w:left w:val="none" w:sz="0" w:space="0" w:color="auto"/>
            <w:bottom w:val="none" w:sz="0" w:space="0" w:color="auto"/>
            <w:right w:val="none" w:sz="0" w:space="0" w:color="auto"/>
          </w:divBdr>
        </w:div>
        <w:div w:id="114717389">
          <w:marLeft w:val="640"/>
          <w:marRight w:val="0"/>
          <w:marTop w:val="0"/>
          <w:marBottom w:val="0"/>
          <w:divBdr>
            <w:top w:val="none" w:sz="0" w:space="0" w:color="auto"/>
            <w:left w:val="none" w:sz="0" w:space="0" w:color="auto"/>
            <w:bottom w:val="none" w:sz="0" w:space="0" w:color="auto"/>
            <w:right w:val="none" w:sz="0" w:space="0" w:color="auto"/>
          </w:divBdr>
        </w:div>
        <w:div w:id="1709988195">
          <w:marLeft w:val="640"/>
          <w:marRight w:val="0"/>
          <w:marTop w:val="0"/>
          <w:marBottom w:val="0"/>
          <w:divBdr>
            <w:top w:val="none" w:sz="0" w:space="0" w:color="auto"/>
            <w:left w:val="none" w:sz="0" w:space="0" w:color="auto"/>
            <w:bottom w:val="none" w:sz="0" w:space="0" w:color="auto"/>
            <w:right w:val="none" w:sz="0" w:space="0" w:color="auto"/>
          </w:divBdr>
        </w:div>
        <w:div w:id="829980653">
          <w:marLeft w:val="640"/>
          <w:marRight w:val="0"/>
          <w:marTop w:val="0"/>
          <w:marBottom w:val="0"/>
          <w:divBdr>
            <w:top w:val="none" w:sz="0" w:space="0" w:color="auto"/>
            <w:left w:val="none" w:sz="0" w:space="0" w:color="auto"/>
            <w:bottom w:val="none" w:sz="0" w:space="0" w:color="auto"/>
            <w:right w:val="none" w:sz="0" w:space="0" w:color="auto"/>
          </w:divBdr>
        </w:div>
        <w:div w:id="182281105">
          <w:marLeft w:val="640"/>
          <w:marRight w:val="0"/>
          <w:marTop w:val="0"/>
          <w:marBottom w:val="0"/>
          <w:divBdr>
            <w:top w:val="none" w:sz="0" w:space="0" w:color="auto"/>
            <w:left w:val="none" w:sz="0" w:space="0" w:color="auto"/>
            <w:bottom w:val="none" w:sz="0" w:space="0" w:color="auto"/>
            <w:right w:val="none" w:sz="0" w:space="0" w:color="auto"/>
          </w:divBdr>
        </w:div>
        <w:div w:id="253782283">
          <w:marLeft w:val="640"/>
          <w:marRight w:val="0"/>
          <w:marTop w:val="0"/>
          <w:marBottom w:val="0"/>
          <w:divBdr>
            <w:top w:val="none" w:sz="0" w:space="0" w:color="auto"/>
            <w:left w:val="none" w:sz="0" w:space="0" w:color="auto"/>
            <w:bottom w:val="none" w:sz="0" w:space="0" w:color="auto"/>
            <w:right w:val="none" w:sz="0" w:space="0" w:color="auto"/>
          </w:divBdr>
        </w:div>
        <w:div w:id="1578246501">
          <w:marLeft w:val="640"/>
          <w:marRight w:val="0"/>
          <w:marTop w:val="0"/>
          <w:marBottom w:val="0"/>
          <w:divBdr>
            <w:top w:val="none" w:sz="0" w:space="0" w:color="auto"/>
            <w:left w:val="none" w:sz="0" w:space="0" w:color="auto"/>
            <w:bottom w:val="none" w:sz="0" w:space="0" w:color="auto"/>
            <w:right w:val="none" w:sz="0" w:space="0" w:color="auto"/>
          </w:divBdr>
        </w:div>
        <w:div w:id="1409501122">
          <w:marLeft w:val="640"/>
          <w:marRight w:val="0"/>
          <w:marTop w:val="0"/>
          <w:marBottom w:val="0"/>
          <w:divBdr>
            <w:top w:val="none" w:sz="0" w:space="0" w:color="auto"/>
            <w:left w:val="none" w:sz="0" w:space="0" w:color="auto"/>
            <w:bottom w:val="none" w:sz="0" w:space="0" w:color="auto"/>
            <w:right w:val="none" w:sz="0" w:space="0" w:color="auto"/>
          </w:divBdr>
        </w:div>
        <w:div w:id="1698847204">
          <w:marLeft w:val="640"/>
          <w:marRight w:val="0"/>
          <w:marTop w:val="0"/>
          <w:marBottom w:val="0"/>
          <w:divBdr>
            <w:top w:val="none" w:sz="0" w:space="0" w:color="auto"/>
            <w:left w:val="none" w:sz="0" w:space="0" w:color="auto"/>
            <w:bottom w:val="none" w:sz="0" w:space="0" w:color="auto"/>
            <w:right w:val="none" w:sz="0" w:space="0" w:color="auto"/>
          </w:divBdr>
        </w:div>
        <w:div w:id="1153987252">
          <w:marLeft w:val="640"/>
          <w:marRight w:val="0"/>
          <w:marTop w:val="0"/>
          <w:marBottom w:val="0"/>
          <w:divBdr>
            <w:top w:val="none" w:sz="0" w:space="0" w:color="auto"/>
            <w:left w:val="none" w:sz="0" w:space="0" w:color="auto"/>
            <w:bottom w:val="none" w:sz="0" w:space="0" w:color="auto"/>
            <w:right w:val="none" w:sz="0" w:space="0" w:color="auto"/>
          </w:divBdr>
        </w:div>
        <w:div w:id="24449847">
          <w:marLeft w:val="640"/>
          <w:marRight w:val="0"/>
          <w:marTop w:val="0"/>
          <w:marBottom w:val="0"/>
          <w:divBdr>
            <w:top w:val="none" w:sz="0" w:space="0" w:color="auto"/>
            <w:left w:val="none" w:sz="0" w:space="0" w:color="auto"/>
            <w:bottom w:val="none" w:sz="0" w:space="0" w:color="auto"/>
            <w:right w:val="none" w:sz="0" w:space="0" w:color="auto"/>
          </w:divBdr>
        </w:div>
        <w:div w:id="2091195534">
          <w:marLeft w:val="640"/>
          <w:marRight w:val="0"/>
          <w:marTop w:val="0"/>
          <w:marBottom w:val="0"/>
          <w:divBdr>
            <w:top w:val="none" w:sz="0" w:space="0" w:color="auto"/>
            <w:left w:val="none" w:sz="0" w:space="0" w:color="auto"/>
            <w:bottom w:val="none" w:sz="0" w:space="0" w:color="auto"/>
            <w:right w:val="none" w:sz="0" w:space="0" w:color="auto"/>
          </w:divBdr>
        </w:div>
        <w:div w:id="1767195179">
          <w:marLeft w:val="640"/>
          <w:marRight w:val="0"/>
          <w:marTop w:val="0"/>
          <w:marBottom w:val="0"/>
          <w:divBdr>
            <w:top w:val="none" w:sz="0" w:space="0" w:color="auto"/>
            <w:left w:val="none" w:sz="0" w:space="0" w:color="auto"/>
            <w:bottom w:val="none" w:sz="0" w:space="0" w:color="auto"/>
            <w:right w:val="none" w:sz="0" w:space="0" w:color="auto"/>
          </w:divBdr>
        </w:div>
        <w:div w:id="935865465">
          <w:marLeft w:val="640"/>
          <w:marRight w:val="0"/>
          <w:marTop w:val="0"/>
          <w:marBottom w:val="0"/>
          <w:divBdr>
            <w:top w:val="none" w:sz="0" w:space="0" w:color="auto"/>
            <w:left w:val="none" w:sz="0" w:space="0" w:color="auto"/>
            <w:bottom w:val="none" w:sz="0" w:space="0" w:color="auto"/>
            <w:right w:val="none" w:sz="0" w:space="0" w:color="auto"/>
          </w:divBdr>
        </w:div>
        <w:div w:id="226182934">
          <w:marLeft w:val="640"/>
          <w:marRight w:val="0"/>
          <w:marTop w:val="0"/>
          <w:marBottom w:val="0"/>
          <w:divBdr>
            <w:top w:val="none" w:sz="0" w:space="0" w:color="auto"/>
            <w:left w:val="none" w:sz="0" w:space="0" w:color="auto"/>
            <w:bottom w:val="none" w:sz="0" w:space="0" w:color="auto"/>
            <w:right w:val="none" w:sz="0" w:space="0" w:color="auto"/>
          </w:divBdr>
        </w:div>
        <w:div w:id="1741321243">
          <w:marLeft w:val="640"/>
          <w:marRight w:val="0"/>
          <w:marTop w:val="0"/>
          <w:marBottom w:val="0"/>
          <w:divBdr>
            <w:top w:val="none" w:sz="0" w:space="0" w:color="auto"/>
            <w:left w:val="none" w:sz="0" w:space="0" w:color="auto"/>
            <w:bottom w:val="none" w:sz="0" w:space="0" w:color="auto"/>
            <w:right w:val="none" w:sz="0" w:space="0" w:color="auto"/>
          </w:divBdr>
        </w:div>
        <w:div w:id="1454127501">
          <w:marLeft w:val="640"/>
          <w:marRight w:val="0"/>
          <w:marTop w:val="0"/>
          <w:marBottom w:val="0"/>
          <w:divBdr>
            <w:top w:val="none" w:sz="0" w:space="0" w:color="auto"/>
            <w:left w:val="none" w:sz="0" w:space="0" w:color="auto"/>
            <w:bottom w:val="none" w:sz="0" w:space="0" w:color="auto"/>
            <w:right w:val="none" w:sz="0" w:space="0" w:color="auto"/>
          </w:divBdr>
        </w:div>
        <w:div w:id="433981840">
          <w:marLeft w:val="640"/>
          <w:marRight w:val="0"/>
          <w:marTop w:val="0"/>
          <w:marBottom w:val="0"/>
          <w:divBdr>
            <w:top w:val="none" w:sz="0" w:space="0" w:color="auto"/>
            <w:left w:val="none" w:sz="0" w:space="0" w:color="auto"/>
            <w:bottom w:val="none" w:sz="0" w:space="0" w:color="auto"/>
            <w:right w:val="none" w:sz="0" w:space="0" w:color="auto"/>
          </w:divBdr>
        </w:div>
        <w:div w:id="1741245989">
          <w:marLeft w:val="640"/>
          <w:marRight w:val="0"/>
          <w:marTop w:val="0"/>
          <w:marBottom w:val="0"/>
          <w:divBdr>
            <w:top w:val="none" w:sz="0" w:space="0" w:color="auto"/>
            <w:left w:val="none" w:sz="0" w:space="0" w:color="auto"/>
            <w:bottom w:val="none" w:sz="0" w:space="0" w:color="auto"/>
            <w:right w:val="none" w:sz="0" w:space="0" w:color="auto"/>
          </w:divBdr>
        </w:div>
        <w:div w:id="295764825">
          <w:marLeft w:val="640"/>
          <w:marRight w:val="0"/>
          <w:marTop w:val="0"/>
          <w:marBottom w:val="0"/>
          <w:divBdr>
            <w:top w:val="none" w:sz="0" w:space="0" w:color="auto"/>
            <w:left w:val="none" w:sz="0" w:space="0" w:color="auto"/>
            <w:bottom w:val="none" w:sz="0" w:space="0" w:color="auto"/>
            <w:right w:val="none" w:sz="0" w:space="0" w:color="auto"/>
          </w:divBdr>
        </w:div>
        <w:div w:id="1146625163">
          <w:marLeft w:val="640"/>
          <w:marRight w:val="0"/>
          <w:marTop w:val="0"/>
          <w:marBottom w:val="0"/>
          <w:divBdr>
            <w:top w:val="none" w:sz="0" w:space="0" w:color="auto"/>
            <w:left w:val="none" w:sz="0" w:space="0" w:color="auto"/>
            <w:bottom w:val="none" w:sz="0" w:space="0" w:color="auto"/>
            <w:right w:val="none" w:sz="0" w:space="0" w:color="auto"/>
          </w:divBdr>
        </w:div>
        <w:div w:id="2063746921">
          <w:marLeft w:val="640"/>
          <w:marRight w:val="0"/>
          <w:marTop w:val="0"/>
          <w:marBottom w:val="0"/>
          <w:divBdr>
            <w:top w:val="none" w:sz="0" w:space="0" w:color="auto"/>
            <w:left w:val="none" w:sz="0" w:space="0" w:color="auto"/>
            <w:bottom w:val="none" w:sz="0" w:space="0" w:color="auto"/>
            <w:right w:val="none" w:sz="0" w:space="0" w:color="auto"/>
          </w:divBdr>
        </w:div>
        <w:div w:id="1818263014">
          <w:marLeft w:val="640"/>
          <w:marRight w:val="0"/>
          <w:marTop w:val="0"/>
          <w:marBottom w:val="0"/>
          <w:divBdr>
            <w:top w:val="none" w:sz="0" w:space="0" w:color="auto"/>
            <w:left w:val="none" w:sz="0" w:space="0" w:color="auto"/>
            <w:bottom w:val="none" w:sz="0" w:space="0" w:color="auto"/>
            <w:right w:val="none" w:sz="0" w:space="0" w:color="auto"/>
          </w:divBdr>
        </w:div>
        <w:div w:id="1802725637">
          <w:marLeft w:val="640"/>
          <w:marRight w:val="0"/>
          <w:marTop w:val="0"/>
          <w:marBottom w:val="0"/>
          <w:divBdr>
            <w:top w:val="none" w:sz="0" w:space="0" w:color="auto"/>
            <w:left w:val="none" w:sz="0" w:space="0" w:color="auto"/>
            <w:bottom w:val="none" w:sz="0" w:space="0" w:color="auto"/>
            <w:right w:val="none" w:sz="0" w:space="0" w:color="auto"/>
          </w:divBdr>
        </w:div>
        <w:div w:id="2131586655">
          <w:marLeft w:val="640"/>
          <w:marRight w:val="0"/>
          <w:marTop w:val="0"/>
          <w:marBottom w:val="0"/>
          <w:divBdr>
            <w:top w:val="none" w:sz="0" w:space="0" w:color="auto"/>
            <w:left w:val="none" w:sz="0" w:space="0" w:color="auto"/>
            <w:bottom w:val="none" w:sz="0" w:space="0" w:color="auto"/>
            <w:right w:val="none" w:sz="0" w:space="0" w:color="auto"/>
          </w:divBdr>
        </w:div>
      </w:divsChild>
    </w:div>
    <w:div w:id="1146698950">
      <w:bodyDiv w:val="1"/>
      <w:marLeft w:val="0"/>
      <w:marRight w:val="0"/>
      <w:marTop w:val="0"/>
      <w:marBottom w:val="0"/>
      <w:divBdr>
        <w:top w:val="none" w:sz="0" w:space="0" w:color="auto"/>
        <w:left w:val="none" w:sz="0" w:space="0" w:color="auto"/>
        <w:bottom w:val="none" w:sz="0" w:space="0" w:color="auto"/>
        <w:right w:val="none" w:sz="0" w:space="0" w:color="auto"/>
      </w:divBdr>
    </w:div>
    <w:div w:id="1188249557">
      <w:bodyDiv w:val="1"/>
      <w:marLeft w:val="0"/>
      <w:marRight w:val="0"/>
      <w:marTop w:val="0"/>
      <w:marBottom w:val="0"/>
      <w:divBdr>
        <w:top w:val="none" w:sz="0" w:space="0" w:color="auto"/>
        <w:left w:val="none" w:sz="0" w:space="0" w:color="auto"/>
        <w:bottom w:val="none" w:sz="0" w:space="0" w:color="auto"/>
        <w:right w:val="none" w:sz="0" w:space="0" w:color="auto"/>
      </w:divBdr>
      <w:divsChild>
        <w:div w:id="126895007">
          <w:marLeft w:val="640"/>
          <w:marRight w:val="0"/>
          <w:marTop w:val="0"/>
          <w:marBottom w:val="0"/>
          <w:divBdr>
            <w:top w:val="none" w:sz="0" w:space="0" w:color="auto"/>
            <w:left w:val="none" w:sz="0" w:space="0" w:color="auto"/>
            <w:bottom w:val="none" w:sz="0" w:space="0" w:color="auto"/>
            <w:right w:val="none" w:sz="0" w:space="0" w:color="auto"/>
          </w:divBdr>
        </w:div>
        <w:div w:id="434012147">
          <w:marLeft w:val="640"/>
          <w:marRight w:val="0"/>
          <w:marTop w:val="0"/>
          <w:marBottom w:val="0"/>
          <w:divBdr>
            <w:top w:val="none" w:sz="0" w:space="0" w:color="auto"/>
            <w:left w:val="none" w:sz="0" w:space="0" w:color="auto"/>
            <w:bottom w:val="none" w:sz="0" w:space="0" w:color="auto"/>
            <w:right w:val="none" w:sz="0" w:space="0" w:color="auto"/>
          </w:divBdr>
        </w:div>
        <w:div w:id="1662780018">
          <w:marLeft w:val="640"/>
          <w:marRight w:val="0"/>
          <w:marTop w:val="0"/>
          <w:marBottom w:val="0"/>
          <w:divBdr>
            <w:top w:val="none" w:sz="0" w:space="0" w:color="auto"/>
            <w:left w:val="none" w:sz="0" w:space="0" w:color="auto"/>
            <w:bottom w:val="none" w:sz="0" w:space="0" w:color="auto"/>
            <w:right w:val="none" w:sz="0" w:space="0" w:color="auto"/>
          </w:divBdr>
        </w:div>
        <w:div w:id="36468898">
          <w:marLeft w:val="640"/>
          <w:marRight w:val="0"/>
          <w:marTop w:val="0"/>
          <w:marBottom w:val="0"/>
          <w:divBdr>
            <w:top w:val="none" w:sz="0" w:space="0" w:color="auto"/>
            <w:left w:val="none" w:sz="0" w:space="0" w:color="auto"/>
            <w:bottom w:val="none" w:sz="0" w:space="0" w:color="auto"/>
            <w:right w:val="none" w:sz="0" w:space="0" w:color="auto"/>
          </w:divBdr>
        </w:div>
        <w:div w:id="1249188930">
          <w:marLeft w:val="640"/>
          <w:marRight w:val="0"/>
          <w:marTop w:val="0"/>
          <w:marBottom w:val="0"/>
          <w:divBdr>
            <w:top w:val="none" w:sz="0" w:space="0" w:color="auto"/>
            <w:left w:val="none" w:sz="0" w:space="0" w:color="auto"/>
            <w:bottom w:val="none" w:sz="0" w:space="0" w:color="auto"/>
            <w:right w:val="none" w:sz="0" w:space="0" w:color="auto"/>
          </w:divBdr>
        </w:div>
        <w:div w:id="1477189301">
          <w:marLeft w:val="640"/>
          <w:marRight w:val="0"/>
          <w:marTop w:val="0"/>
          <w:marBottom w:val="0"/>
          <w:divBdr>
            <w:top w:val="none" w:sz="0" w:space="0" w:color="auto"/>
            <w:left w:val="none" w:sz="0" w:space="0" w:color="auto"/>
            <w:bottom w:val="none" w:sz="0" w:space="0" w:color="auto"/>
            <w:right w:val="none" w:sz="0" w:space="0" w:color="auto"/>
          </w:divBdr>
        </w:div>
        <w:div w:id="2127966600">
          <w:marLeft w:val="640"/>
          <w:marRight w:val="0"/>
          <w:marTop w:val="0"/>
          <w:marBottom w:val="0"/>
          <w:divBdr>
            <w:top w:val="none" w:sz="0" w:space="0" w:color="auto"/>
            <w:left w:val="none" w:sz="0" w:space="0" w:color="auto"/>
            <w:bottom w:val="none" w:sz="0" w:space="0" w:color="auto"/>
            <w:right w:val="none" w:sz="0" w:space="0" w:color="auto"/>
          </w:divBdr>
        </w:div>
        <w:div w:id="1369181894">
          <w:marLeft w:val="640"/>
          <w:marRight w:val="0"/>
          <w:marTop w:val="0"/>
          <w:marBottom w:val="0"/>
          <w:divBdr>
            <w:top w:val="none" w:sz="0" w:space="0" w:color="auto"/>
            <w:left w:val="none" w:sz="0" w:space="0" w:color="auto"/>
            <w:bottom w:val="none" w:sz="0" w:space="0" w:color="auto"/>
            <w:right w:val="none" w:sz="0" w:space="0" w:color="auto"/>
          </w:divBdr>
        </w:div>
        <w:div w:id="1371032456">
          <w:marLeft w:val="640"/>
          <w:marRight w:val="0"/>
          <w:marTop w:val="0"/>
          <w:marBottom w:val="0"/>
          <w:divBdr>
            <w:top w:val="none" w:sz="0" w:space="0" w:color="auto"/>
            <w:left w:val="none" w:sz="0" w:space="0" w:color="auto"/>
            <w:bottom w:val="none" w:sz="0" w:space="0" w:color="auto"/>
            <w:right w:val="none" w:sz="0" w:space="0" w:color="auto"/>
          </w:divBdr>
        </w:div>
        <w:div w:id="1961379258">
          <w:marLeft w:val="640"/>
          <w:marRight w:val="0"/>
          <w:marTop w:val="0"/>
          <w:marBottom w:val="0"/>
          <w:divBdr>
            <w:top w:val="none" w:sz="0" w:space="0" w:color="auto"/>
            <w:left w:val="none" w:sz="0" w:space="0" w:color="auto"/>
            <w:bottom w:val="none" w:sz="0" w:space="0" w:color="auto"/>
            <w:right w:val="none" w:sz="0" w:space="0" w:color="auto"/>
          </w:divBdr>
        </w:div>
        <w:div w:id="1827239335">
          <w:marLeft w:val="640"/>
          <w:marRight w:val="0"/>
          <w:marTop w:val="0"/>
          <w:marBottom w:val="0"/>
          <w:divBdr>
            <w:top w:val="none" w:sz="0" w:space="0" w:color="auto"/>
            <w:left w:val="none" w:sz="0" w:space="0" w:color="auto"/>
            <w:bottom w:val="none" w:sz="0" w:space="0" w:color="auto"/>
            <w:right w:val="none" w:sz="0" w:space="0" w:color="auto"/>
          </w:divBdr>
        </w:div>
        <w:div w:id="1167280890">
          <w:marLeft w:val="640"/>
          <w:marRight w:val="0"/>
          <w:marTop w:val="0"/>
          <w:marBottom w:val="0"/>
          <w:divBdr>
            <w:top w:val="none" w:sz="0" w:space="0" w:color="auto"/>
            <w:left w:val="none" w:sz="0" w:space="0" w:color="auto"/>
            <w:bottom w:val="none" w:sz="0" w:space="0" w:color="auto"/>
            <w:right w:val="none" w:sz="0" w:space="0" w:color="auto"/>
          </w:divBdr>
        </w:div>
        <w:div w:id="1938365289">
          <w:marLeft w:val="640"/>
          <w:marRight w:val="0"/>
          <w:marTop w:val="0"/>
          <w:marBottom w:val="0"/>
          <w:divBdr>
            <w:top w:val="none" w:sz="0" w:space="0" w:color="auto"/>
            <w:left w:val="none" w:sz="0" w:space="0" w:color="auto"/>
            <w:bottom w:val="none" w:sz="0" w:space="0" w:color="auto"/>
            <w:right w:val="none" w:sz="0" w:space="0" w:color="auto"/>
          </w:divBdr>
        </w:div>
        <w:div w:id="2130051201">
          <w:marLeft w:val="640"/>
          <w:marRight w:val="0"/>
          <w:marTop w:val="0"/>
          <w:marBottom w:val="0"/>
          <w:divBdr>
            <w:top w:val="none" w:sz="0" w:space="0" w:color="auto"/>
            <w:left w:val="none" w:sz="0" w:space="0" w:color="auto"/>
            <w:bottom w:val="none" w:sz="0" w:space="0" w:color="auto"/>
            <w:right w:val="none" w:sz="0" w:space="0" w:color="auto"/>
          </w:divBdr>
        </w:div>
        <w:div w:id="855850224">
          <w:marLeft w:val="640"/>
          <w:marRight w:val="0"/>
          <w:marTop w:val="0"/>
          <w:marBottom w:val="0"/>
          <w:divBdr>
            <w:top w:val="none" w:sz="0" w:space="0" w:color="auto"/>
            <w:left w:val="none" w:sz="0" w:space="0" w:color="auto"/>
            <w:bottom w:val="none" w:sz="0" w:space="0" w:color="auto"/>
            <w:right w:val="none" w:sz="0" w:space="0" w:color="auto"/>
          </w:divBdr>
        </w:div>
        <w:div w:id="303971257">
          <w:marLeft w:val="640"/>
          <w:marRight w:val="0"/>
          <w:marTop w:val="0"/>
          <w:marBottom w:val="0"/>
          <w:divBdr>
            <w:top w:val="none" w:sz="0" w:space="0" w:color="auto"/>
            <w:left w:val="none" w:sz="0" w:space="0" w:color="auto"/>
            <w:bottom w:val="none" w:sz="0" w:space="0" w:color="auto"/>
            <w:right w:val="none" w:sz="0" w:space="0" w:color="auto"/>
          </w:divBdr>
        </w:div>
        <w:div w:id="397092590">
          <w:marLeft w:val="640"/>
          <w:marRight w:val="0"/>
          <w:marTop w:val="0"/>
          <w:marBottom w:val="0"/>
          <w:divBdr>
            <w:top w:val="none" w:sz="0" w:space="0" w:color="auto"/>
            <w:left w:val="none" w:sz="0" w:space="0" w:color="auto"/>
            <w:bottom w:val="none" w:sz="0" w:space="0" w:color="auto"/>
            <w:right w:val="none" w:sz="0" w:space="0" w:color="auto"/>
          </w:divBdr>
        </w:div>
        <w:div w:id="198054281">
          <w:marLeft w:val="640"/>
          <w:marRight w:val="0"/>
          <w:marTop w:val="0"/>
          <w:marBottom w:val="0"/>
          <w:divBdr>
            <w:top w:val="none" w:sz="0" w:space="0" w:color="auto"/>
            <w:left w:val="none" w:sz="0" w:space="0" w:color="auto"/>
            <w:bottom w:val="none" w:sz="0" w:space="0" w:color="auto"/>
            <w:right w:val="none" w:sz="0" w:space="0" w:color="auto"/>
          </w:divBdr>
        </w:div>
        <w:div w:id="1181891634">
          <w:marLeft w:val="640"/>
          <w:marRight w:val="0"/>
          <w:marTop w:val="0"/>
          <w:marBottom w:val="0"/>
          <w:divBdr>
            <w:top w:val="none" w:sz="0" w:space="0" w:color="auto"/>
            <w:left w:val="none" w:sz="0" w:space="0" w:color="auto"/>
            <w:bottom w:val="none" w:sz="0" w:space="0" w:color="auto"/>
            <w:right w:val="none" w:sz="0" w:space="0" w:color="auto"/>
          </w:divBdr>
        </w:div>
        <w:div w:id="645203315">
          <w:marLeft w:val="640"/>
          <w:marRight w:val="0"/>
          <w:marTop w:val="0"/>
          <w:marBottom w:val="0"/>
          <w:divBdr>
            <w:top w:val="none" w:sz="0" w:space="0" w:color="auto"/>
            <w:left w:val="none" w:sz="0" w:space="0" w:color="auto"/>
            <w:bottom w:val="none" w:sz="0" w:space="0" w:color="auto"/>
            <w:right w:val="none" w:sz="0" w:space="0" w:color="auto"/>
          </w:divBdr>
        </w:div>
        <w:div w:id="811603956">
          <w:marLeft w:val="640"/>
          <w:marRight w:val="0"/>
          <w:marTop w:val="0"/>
          <w:marBottom w:val="0"/>
          <w:divBdr>
            <w:top w:val="none" w:sz="0" w:space="0" w:color="auto"/>
            <w:left w:val="none" w:sz="0" w:space="0" w:color="auto"/>
            <w:bottom w:val="none" w:sz="0" w:space="0" w:color="auto"/>
            <w:right w:val="none" w:sz="0" w:space="0" w:color="auto"/>
          </w:divBdr>
        </w:div>
        <w:div w:id="1907763432">
          <w:marLeft w:val="640"/>
          <w:marRight w:val="0"/>
          <w:marTop w:val="0"/>
          <w:marBottom w:val="0"/>
          <w:divBdr>
            <w:top w:val="none" w:sz="0" w:space="0" w:color="auto"/>
            <w:left w:val="none" w:sz="0" w:space="0" w:color="auto"/>
            <w:bottom w:val="none" w:sz="0" w:space="0" w:color="auto"/>
            <w:right w:val="none" w:sz="0" w:space="0" w:color="auto"/>
          </w:divBdr>
        </w:div>
        <w:div w:id="991106291">
          <w:marLeft w:val="640"/>
          <w:marRight w:val="0"/>
          <w:marTop w:val="0"/>
          <w:marBottom w:val="0"/>
          <w:divBdr>
            <w:top w:val="none" w:sz="0" w:space="0" w:color="auto"/>
            <w:left w:val="none" w:sz="0" w:space="0" w:color="auto"/>
            <w:bottom w:val="none" w:sz="0" w:space="0" w:color="auto"/>
            <w:right w:val="none" w:sz="0" w:space="0" w:color="auto"/>
          </w:divBdr>
        </w:div>
        <w:div w:id="445779596">
          <w:marLeft w:val="640"/>
          <w:marRight w:val="0"/>
          <w:marTop w:val="0"/>
          <w:marBottom w:val="0"/>
          <w:divBdr>
            <w:top w:val="none" w:sz="0" w:space="0" w:color="auto"/>
            <w:left w:val="none" w:sz="0" w:space="0" w:color="auto"/>
            <w:bottom w:val="none" w:sz="0" w:space="0" w:color="auto"/>
            <w:right w:val="none" w:sz="0" w:space="0" w:color="auto"/>
          </w:divBdr>
        </w:div>
        <w:div w:id="1388458295">
          <w:marLeft w:val="640"/>
          <w:marRight w:val="0"/>
          <w:marTop w:val="0"/>
          <w:marBottom w:val="0"/>
          <w:divBdr>
            <w:top w:val="none" w:sz="0" w:space="0" w:color="auto"/>
            <w:left w:val="none" w:sz="0" w:space="0" w:color="auto"/>
            <w:bottom w:val="none" w:sz="0" w:space="0" w:color="auto"/>
            <w:right w:val="none" w:sz="0" w:space="0" w:color="auto"/>
          </w:divBdr>
        </w:div>
        <w:div w:id="1198927107">
          <w:marLeft w:val="640"/>
          <w:marRight w:val="0"/>
          <w:marTop w:val="0"/>
          <w:marBottom w:val="0"/>
          <w:divBdr>
            <w:top w:val="none" w:sz="0" w:space="0" w:color="auto"/>
            <w:left w:val="none" w:sz="0" w:space="0" w:color="auto"/>
            <w:bottom w:val="none" w:sz="0" w:space="0" w:color="auto"/>
            <w:right w:val="none" w:sz="0" w:space="0" w:color="auto"/>
          </w:divBdr>
        </w:div>
        <w:div w:id="1085607735">
          <w:marLeft w:val="640"/>
          <w:marRight w:val="0"/>
          <w:marTop w:val="0"/>
          <w:marBottom w:val="0"/>
          <w:divBdr>
            <w:top w:val="none" w:sz="0" w:space="0" w:color="auto"/>
            <w:left w:val="none" w:sz="0" w:space="0" w:color="auto"/>
            <w:bottom w:val="none" w:sz="0" w:space="0" w:color="auto"/>
            <w:right w:val="none" w:sz="0" w:space="0" w:color="auto"/>
          </w:divBdr>
        </w:div>
        <w:div w:id="2115856991">
          <w:marLeft w:val="640"/>
          <w:marRight w:val="0"/>
          <w:marTop w:val="0"/>
          <w:marBottom w:val="0"/>
          <w:divBdr>
            <w:top w:val="none" w:sz="0" w:space="0" w:color="auto"/>
            <w:left w:val="none" w:sz="0" w:space="0" w:color="auto"/>
            <w:bottom w:val="none" w:sz="0" w:space="0" w:color="auto"/>
            <w:right w:val="none" w:sz="0" w:space="0" w:color="auto"/>
          </w:divBdr>
        </w:div>
      </w:divsChild>
    </w:div>
    <w:div w:id="1196769126">
      <w:bodyDiv w:val="1"/>
      <w:marLeft w:val="0"/>
      <w:marRight w:val="0"/>
      <w:marTop w:val="0"/>
      <w:marBottom w:val="0"/>
      <w:divBdr>
        <w:top w:val="none" w:sz="0" w:space="0" w:color="auto"/>
        <w:left w:val="none" w:sz="0" w:space="0" w:color="auto"/>
        <w:bottom w:val="none" w:sz="0" w:space="0" w:color="auto"/>
        <w:right w:val="none" w:sz="0" w:space="0" w:color="auto"/>
      </w:divBdr>
      <w:divsChild>
        <w:div w:id="560140636">
          <w:marLeft w:val="640"/>
          <w:marRight w:val="0"/>
          <w:marTop w:val="0"/>
          <w:marBottom w:val="0"/>
          <w:divBdr>
            <w:top w:val="none" w:sz="0" w:space="0" w:color="auto"/>
            <w:left w:val="none" w:sz="0" w:space="0" w:color="auto"/>
            <w:bottom w:val="none" w:sz="0" w:space="0" w:color="auto"/>
            <w:right w:val="none" w:sz="0" w:space="0" w:color="auto"/>
          </w:divBdr>
        </w:div>
        <w:div w:id="446043648">
          <w:marLeft w:val="640"/>
          <w:marRight w:val="0"/>
          <w:marTop w:val="0"/>
          <w:marBottom w:val="0"/>
          <w:divBdr>
            <w:top w:val="none" w:sz="0" w:space="0" w:color="auto"/>
            <w:left w:val="none" w:sz="0" w:space="0" w:color="auto"/>
            <w:bottom w:val="none" w:sz="0" w:space="0" w:color="auto"/>
            <w:right w:val="none" w:sz="0" w:space="0" w:color="auto"/>
          </w:divBdr>
        </w:div>
        <w:div w:id="811410882">
          <w:marLeft w:val="640"/>
          <w:marRight w:val="0"/>
          <w:marTop w:val="0"/>
          <w:marBottom w:val="0"/>
          <w:divBdr>
            <w:top w:val="none" w:sz="0" w:space="0" w:color="auto"/>
            <w:left w:val="none" w:sz="0" w:space="0" w:color="auto"/>
            <w:bottom w:val="none" w:sz="0" w:space="0" w:color="auto"/>
            <w:right w:val="none" w:sz="0" w:space="0" w:color="auto"/>
          </w:divBdr>
        </w:div>
        <w:div w:id="1650400043">
          <w:marLeft w:val="640"/>
          <w:marRight w:val="0"/>
          <w:marTop w:val="0"/>
          <w:marBottom w:val="0"/>
          <w:divBdr>
            <w:top w:val="none" w:sz="0" w:space="0" w:color="auto"/>
            <w:left w:val="none" w:sz="0" w:space="0" w:color="auto"/>
            <w:bottom w:val="none" w:sz="0" w:space="0" w:color="auto"/>
            <w:right w:val="none" w:sz="0" w:space="0" w:color="auto"/>
          </w:divBdr>
        </w:div>
        <w:div w:id="106893110">
          <w:marLeft w:val="640"/>
          <w:marRight w:val="0"/>
          <w:marTop w:val="0"/>
          <w:marBottom w:val="0"/>
          <w:divBdr>
            <w:top w:val="none" w:sz="0" w:space="0" w:color="auto"/>
            <w:left w:val="none" w:sz="0" w:space="0" w:color="auto"/>
            <w:bottom w:val="none" w:sz="0" w:space="0" w:color="auto"/>
            <w:right w:val="none" w:sz="0" w:space="0" w:color="auto"/>
          </w:divBdr>
        </w:div>
        <w:div w:id="1854873716">
          <w:marLeft w:val="640"/>
          <w:marRight w:val="0"/>
          <w:marTop w:val="0"/>
          <w:marBottom w:val="0"/>
          <w:divBdr>
            <w:top w:val="none" w:sz="0" w:space="0" w:color="auto"/>
            <w:left w:val="none" w:sz="0" w:space="0" w:color="auto"/>
            <w:bottom w:val="none" w:sz="0" w:space="0" w:color="auto"/>
            <w:right w:val="none" w:sz="0" w:space="0" w:color="auto"/>
          </w:divBdr>
        </w:div>
        <w:div w:id="158547184">
          <w:marLeft w:val="640"/>
          <w:marRight w:val="0"/>
          <w:marTop w:val="0"/>
          <w:marBottom w:val="0"/>
          <w:divBdr>
            <w:top w:val="none" w:sz="0" w:space="0" w:color="auto"/>
            <w:left w:val="none" w:sz="0" w:space="0" w:color="auto"/>
            <w:bottom w:val="none" w:sz="0" w:space="0" w:color="auto"/>
            <w:right w:val="none" w:sz="0" w:space="0" w:color="auto"/>
          </w:divBdr>
        </w:div>
        <w:div w:id="2069451051">
          <w:marLeft w:val="640"/>
          <w:marRight w:val="0"/>
          <w:marTop w:val="0"/>
          <w:marBottom w:val="0"/>
          <w:divBdr>
            <w:top w:val="none" w:sz="0" w:space="0" w:color="auto"/>
            <w:left w:val="none" w:sz="0" w:space="0" w:color="auto"/>
            <w:bottom w:val="none" w:sz="0" w:space="0" w:color="auto"/>
            <w:right w:val="none" w:sz="0" w:space="0" w:color="auto"/>
          </w:divBdr>
        </w:div>
        <w:div w:id="1270242144">
          <w:marLeft w:val="640"/>
          <w:marRight w:val="0"/>
          <w:marTop w:val="0"/>
          <w:marBottom w:val="0"/>
          <w:divBdr>
            <w:top w:val="none" w:sz="0" w:space="0" w:color="auto"/>
            <w:left w:val="none" w:sz="0" w:space="0" w:color="auto"/>
            <w:bottom w:val="none" w:sz="0" w:space="0" w:color="auto"/>
            <w:right w:val="none" w:sz="0" w:space="0" w:color="auto"/>
          </w:divBdr>
        </w:div>
        <w:div w:id="1319769418">
          <w:marLeft w:val="640"/>
          <w:marRight w:val="0"/>
          <w:marTop w:val="0"/>
          <w:marBottom w:val="0"/>
          <w:divBdr>
            <w:top w:val="none" w:sz="0" w:space="0" w:color="auto"/>
            <w:left w:val="none" w:sz="0" w:space="0" w:color="auto"/>
            <w:bottom w:val="none" w:sz="0" w:space="0" w:color="auto"/>
            <w:right w:val="none" w:sz="0" w:space="0" w:color="auto"/>
          </w:divBdr>
        </w:div>
        <w:div w:id="1271401895">
          <w:marLeft w:val="640"/>
          <w:marRight w:val="0"/>
          <w:marTop w:val="0"/>
          <w:marBottom w:val="0"/>
          <w:divBdr>
            <w:top w:val="none" w:sz="0" w:space="0" w:color="auto"/>
            <w:left w:val="none" w:sz="0" w:space="0" w:color="auto"/>
            <w:bottom w:val="none" w:sz="0" w:space="0" w:color="auto"/>
            <w:right w:val="none" w:sz="0" w:space="0" w:color="auto"/>
          </w:divBdr>
        </w:div>
        <w:div w:id="1448507734">
          <w:marLeft w:val="640"/>
          <w:marRight w:val="0"/>
          <w:marTop w:val="0"/>
          <w:marBottom w:val="0"/>
          <w:divBdr>
            <w:top w:val="none" w:sz="0" w:space="0" w:color="auto"/>
            <w:left w:val="none" w:sz="0" w:space="0" w:color="auto"/>
            <w:bottom w:val="none" w:sz="0" w:space="0" w:color="auto"/>
            <w:right w:val="none" w:sz="0" w:space="0" w:color="auto"/>
          </w:divBdr>
        </w:div>
        <w:div w:id="1803768365">
          <w:marLeft w:val="640"/>
          <w:marRight w:val="0"/>
          <w:marTop w:val="0"/>
          <w:marBottom w:val="0"/>
          <w:divBdr>
            <w:top w:val="none" w:sz="0" w:space="0" w:color="auto"/>
            <w:left w:val="none" w:sz="0" w:space="0" w:color="auto"/>
            <w:bottom w:val="none" w:sz="0" w:space="0" w:color="auto"/>
            <w:right w:val="none" w:sz="0" w:space="0" w:color="auto"/>
          </w:divBdr>
        </w:div>
        <w:div w:id="1433742090">
          <w:marLeft w:val="640"/>
          <w:marRight w:val="0"/>
          <w:marTop w:val="0"/>
          <w:marBottom w:val="0"/>
          <w:divBdr>
            <w:top w:val="none" w:sz="0" w:space="0" w:color="auto"/>
            <w:left w:val="none" w:sz="0" w:space="0" w:color="auto"/>
            <w:bottom w:val="none" w:sz="0" w:space="0" w:color="auto"/>
            <w:right w:val="none" w:sz="0" w:space="0" w:color="auto"/>
          </w:divBdr>
        </w:div>
        <w:div w:id="1538354485">
          <w:marLeft w:val="640"/>
          <w:marRight w:val="0"/>
          <w:marTop w:val="0"/>
          <w:marBottom w:val="0"/>
          <w:divBdr>
            <w:top w:val="none" w:sz="0" w:space="0" w:color="auto"/>
            <w:left w:val="none" w:sz="0" w:space="0" w:color="auto"/>
            <w:bottom w:val="none" w:sz="0" w:space="0" w:color="auto"/>
            <w:right w:val="none" w:sz="0" w:space="0" w:color="auto"/>
          </w:divBdr>
        </w:div>
        <w:div w:id="1203597875">
          <w:marLeft w:val="640"/>
          <w:marRight w:val="0"/>
          <w:marTop w:val="0"/>
          <w:marBottom w:val="0"/>
          <w:divBdr>
            <w:top w:val="none" w:sz="0" w:space="0" w:color="auto"/>
            <w:left w:val="none" w:sz="0" w:space="0" w:color="auto"/>
            <w:bottom w:val="none" w:sz="0" w:space="0" w:color="auto"/>
            <w:right w:val="none" w:sz="0" w:space="0" w:color="auto"/>
          </w:divBdr>
        </w:div>
        <w:div w:id="1521966674">
          <w:marLeft w:val="640"/>
          <w:marRight w:val="0"/>
          <w:marTop w:val="0"/>
          <w:marBottom w:val="0"/>
          <w:divBdr>
            <w:top w:val="none" w:sz="0" w:space="0" w:color="auto"/>
            <w:left w:val="none" w:sz="0" w:space="0" w:color="auto"/>
            <w:bottom w:val="none" w:sz="0" w:space="0" w:color="auto"/>
            <w:right w:val="none" w:sz="0" w:space="0" w:color="auto"/>
          </w:divBdr>
        </w:div>
        <w:div w:id="1677611180">
          <w:marLeft w:val="640"/>
          <w:marRight w:val="0"/>
          <w:marTop w:val="0"/>
          <w:marBottom w:val="0"/>
          <w:divBdr>
            <w:top w:val="none" w:sz="0" w:space="0" w:color="auto"/>
            <w:left w:val="none" w:sz="0" w:space="0" w:color="auto"/>
            <w:bottom w:val="none" w:sz="0" w:space="0" w:color="auto"/>
            <w:right w:val="none" w:sz="0" w:space="0" w:color="auto"/>
          </w:divBdr>
        </w:div>
        <w:div w:id="1666739244">
          <w:marLeft w:val="640"/>
          <w:marRight w:val="0"/>
          <w:marTop w:val="0"/>
          <w:marBottom w:val="0"/>
          <w:divBdr>
            <w:top w:val="none" w:sz="0" w:space="0" w:color="auto"/>
            <w:left w:val="none" w:sz="0" w:space="0" w:color="auto"/>
            <w:bottom w:val="none" w:sz="0" w:space="0" w:color="auto"/>
            <w:right w:val="none" w:sz="0" w:space="0" w:color="auto"/>
          </w:divBdr>
        </w:div>
        <w:div w:id="2063824717">
          <w:marLeft w:val="640"/>
          <w:marRight w:val="0"/>
          <w:marTop w:val="0"/>
          <w:marBottom w:val="0"/>
          <w:divBdr>
            <w:top w:val="none" w:sz="0" w:space="0" w:color="auto"/>
            <w:left w:val="none" w:sz="0" w:space="0" w:color="auto"/>
            <w:bottom w:val="none" w:sz="0" w:space="0" w:color="auto"/>
            <w:right w:val="none" w:sz="0" w:space="0" w:color="auto"/>
          </w:divBdr>
        </w:div>
        <w:div w:id="770780270">
          <w:marLeft w:val="640"/>
          <w:marRight w:val="0"/>
          <w:marTop w:val="0"/>
          <w:marBottom w:val="0"/>
          <w:divBdr>
            <w:top w:val="none" w:sz="0" w:space="0" w:color="auto"/>
            <w:left w:val="none" w:sz="0" w:space="0" w:color="auto"/>
            <w:bottom w:val="none" w:sz="0" w:space="0" w:color="auto"/>
            <w:right w:val="none" w:sz="0" w:space="0" w:color="auto"/>
          </w:divBdr>
        </w:div>
        <w:div w:id="1377699559">
          <w:marLeft w:val="640"/>
          <w:marRight w:val="0"/>
          <w:marTop w:val="0"/>
          <w:marBottom w:val="0"/>
          <w:divBdr>
            <w:top w:val="none" w:sz="0" w:space="0" w:color="auto"/>
            <w:left w:val="none" w:sz="0" w:space="0" w:color="auto"/>
            <w:bottom w:val="none" w:sz="0" w:space="0" w:color="auto"/>
            <w:right w:val="none" w:sz="0" w:space="0" w:color="auto"/>
          </w:divBdr>
        </w:div>
        <w:div w:id="2123528322">
          <w:marLeft w:val="640"/>
          <w:marRight w:val="0"/>
          <w:marTop w:val="0"/>
          <w:marBottom w:val="0"/>
          <w:divBdr>
            <w:top w:val="none" w:sz="0" w:space="0" w:color="auto"/>
            <w:left w:val="none" w:sz="0" w:space="0" w:color="auto"/>
            <w:bottom w:val="none" w:sz="0" w:space="0" w:color="auto"/>
            <w:right w:val="none" w:sz="0" w:space="0" w:color="auto"/>
          </w:divBdr>
        </w:div>
        <w:div w:id="2111315455">
          <w:marLeft w:val="640"/>
          <w:marRight w:val="0"/>
          <w:marTop w:val="0"/>
          <w:marBottom w:val="0"/>
          <w:divBdr>
            <w:top w:val="none" w:sz="0" w:space="0" w:color="auto"/>
            <w:left w:val="none" w:sz="0" w:space="0" w:color="auto"/>
            <w:bottom w:val="none" w:sz="0" w:space="0" w:color="auto"/>
            <w:right w:val="none" w:sz="0" w:space="0" w:color="auto"/>
          </w:divBdr>
        </w:div>
        <w:div w:id="521749872">
          <w:marLeft w:val="640"/>
          <w:marRight w:val="0"/>
          <w:marTop w:val="0"/>
          <w:marBottom w:val="0"/>
          <w:divBdr>
            <w:top w:val="none" w:sz="0" w:space="0" w:color="auto"/>
            <w:left w:val="none" w:sz="0" w:space="0" w:color="auto"/>
            <w:bottom w:val="none" w:sz="0" w:space="0" w:color="auto"/>
            <w:right w:val="none" w:sz="0" w:space="0" w:color="auto"/>
          </w:divBdr>
        </w:div>
        <w:div w:id="1111165037">
          <w:marLeft w:val="640"/>
          <w:marRight w:val="0"/>
          <w:marTop w:val="0"/>
          <w:marBottom w:val="0"/>
          <w:divBdr>
            <w:top w:val="none" w:sz="0" w:space="0" w:color="auto"/>
            <w:left w:val="none" w:sz="0" w:space="0" w:color="auto"/>
            <w:bottom w:val="none" w:sz="0" w:space="0" w:color="auto"/>
            <w:right w:val="none" w:sz="0" w:space="0" w:color="auto"/>
          </w:divBdr>
        </w:div>
        <w:div w:id="1592156824">
          <w:marLeft w:val="640"/>
          <w:marRight w:val="0"/>
          <w:marTop w:val="0"/>
          <w:marBottom w:val="0"/>
          <w:divBdr>
            <w:top w:val="none" w:sz="0" w:space="0" w:color="auto"/>
            <w:left w:val="none" w:sz="0" w:space="0" w:color="auto"/>
            <w:bottom w:val="none" w:sz="0" w:space="0" w:color="auto"/>
            <w:right w:val="none" w:sz="0" w:space="0" w:color="auto"/>
          </w:divBdr>
        </w:div>
        <w:div w:id="878470601">
          <w:marLeft w:val="640"/>
          <w:marRight w:val="0"/>
          <w:marTop w:val="0"/>
          <w:marBottom w:val="0"/>
          <w:divBdr>
            <w:top w:val="none" w:sz="0" w:space="0" w:color="auto"/>
            <w:left w:val="none" w:sz="0" w:space="0" w:color="auto"/>
            <w:bottom w:val="none" w:sz="0" w:space="0" w:color="auto"/>
            <w:right w:val="none" w:sz="0" w:space="0" w:color="auto"/>
          </w:divBdr>
        </w:div>
        <w:div w:id="766925183">
          <w:marLeft w:val="640"/>
          <w:marRight w:val="0"/>
          <w:marTop w:val="0"/>
          <w:marBottom w:val="0"/>
          <w:divBdr>
            <w:top w:val="none" w:sz="0" w:space="0" w:color="auto"/>
            <w:left w:val="none" w:sz="0" w:space="0" w:color="auto"/>
            <w:bottom w:val="none" w:sz="0" w:space="0" w:color="auto"/>
            <w:right w:val="none" w:sz="0" w:space="0" w:color="auto"/>
          </w:divBdr>
        </w:div>
        <w:div w:id="1351250777">
          <w:marLeft w:val="640"/>
          <w:marRight w:val="0"/>
          <w:marTop w:val="0"/>
          <w:marBottom w:val="0"/>
          <w:divBdr>
            <w:top w:val="none" w:sz="0" w:space="0" w:color="auto"/>
            <w:left w:val="none" w:sz="0" w:space="0" w:color="auto"/>
            <w:bottom w:val="none" w:sz="0" w:space="0" w:color="auto"/>
            <w:right w:val="none" w:sz="0" w:space="0" w:color="auto"/>
          </w:divBdr>
        </w:div>
        <w:div w:id="390888613">
          <w:marLeft w:val="640"/>
          <w:marRight w:val="0"/>
          <w:marTop w:val="0"/>
          <w:marBottom w:val="0"/>
          <w:divBdr>
            <w:top w:val="none" w:sz="0" w:space="0" w:color="auto"/>
            <w:left w:val="none" w:sz="0" w:space="0" w:color="auto"/>
            <w:bottom w:val="none" w:sz="0" w:space="0" w:color="auto"/>
            <w:right w:val="none" w:sz="0" w:space="0" w:color="auto"/>
          </w:divBdr>
        </w:div>
        <w:div w:id="739522761">
          <w:marLeft w:val="640"/>
          <w:marRight w:val="0"/>
          <w:marTop w:val="0"/>
          <w:marBottom w:val="0"/>
          <w:divBdr>
            <w:top w:val="none" w:sz="0" w:space="0" w:color="auto"/>
            <w:left w:val="none" w:sz="0" w:space="0" w:color="auto"/>
            <w:bottom w:val="none" w:sz="0" w:space="0" w:color="auto"/>
            <w:right w:val="none" w:sz="0" w:space="0" w:color="auto"/>
          </w:divBdr>
        </w:div>
        <w:div w:id="1325737452">
          <w:marLeft w:val="640"/>
          <w:marRight w:val="0"/>
          <w:marTop w:val="0"/>
          <w:marBottom w:val="0"/>
          <w:divBdr>
            <w:top w:val="none" w:sz="0" w:space="0" w:color="auto"/>
            <w:left w:val="none" w:sz="0" w:space="0" w:color="auto"/>
            <w:bottom w:val="none" w:sz="0" w:space="0" w:color="auto"/>
            <w:right w:val="none" w:sz="0" w:space="0" w:color="auto"/>
          </w:divBdr>
        </w:div>
      </w:divsChild>
    </w:div>
    <w:div w:id="1197236144">
      <w:bodyDiv w:val="1"/>
      <w:marLeft w:val="0"/>
      <w:marRight w:val="0"/>
      <w:marTop w:val="0"/>
      <w:marBottom w:val="0"/>
      <w:divBdr>
        <w:top w:val="none" w:sz="0" w:space="0" w:color="auto"/>
        <w:left w:val="none" w:sz="0" w:space="0" w:color="auto"/>
        <w:bottom w:val="none" w:sz="0" w:space="0" w:color="auto"/>
        <w:right w:val="none" w:sz="0" w:space="0" w:color="auto"/>
      </w:divBdr>
      <w:divsChild>
        <w:div w:id="1412313283">
          <w:marLeft w:val="640"/>
          <w:marRight w:val="0"/>
          <w:marTop w:val="0"/>
          <w:marBottom w:val="0"/>
          <w:divBdr>
            <w:top w:val="none" w:sz="0" w:space="0" w:color="auto"/>
            <w:left w:val="none" w:sz="0" w:space="0" w:color="auto"/>
            <w:bottom w:val="none" w:sz="0" w:space="0" w:color="auto"/>
            <w:right w:val="none" w:sz="0" w:space="0" w:color="auto"/>
          </w:divBdr>
        </w:div>
        <w:div w:id="1920166883">
          <w:marLeft w:val="640"/>
          <w:marRight w:val="0"/>
          <w:marTop w:val="0"/>
          <w:marBottom w:val="0"/>
          <w:divBdr>
            <w:top w:val="none" w:sz="0" w:space="0" w:color="auto"/>
            <w:left w:val="none" w:sz="0" w:space="0" w:color="auto"/>
            <w:bottom w:val="none" w:sz="0" w:space="0" w:color="auto"/>
            <w:right w:val="none" w:sz="0" w:space="0" w:color="auto"/>
          </w:divBdr>
        </w:div>
        <w:div w:id="2100788565">
          <w:marLeft w:val="640"/>
          <w:marRight w:val="0"/>
          <w:marTop w:val="0"/>
          <w:marBottom w:val="0"/>
          <w:divBdr>
            <w:top w:val="none" w:sz="0" w:space="0" w:color="auto"/>
            <w:left w:val="none" w:sz="0" w:space="0" w:color="auto"/>
            <w:bottom w:val="none" w:sz="0" w:space="0" w:color="auto"/>
            <w:right w:val="none" w:sz="0" w:space="0" w:color="auto"/>
          </w:divBdr>
        </w:div>
        <w:div w:id="28378338">
          <w:marLeft w:val="640"/>
          <w:marRight w:val="0"/>
          <w:marTop w:val="0"/>
          <w:marBottom w:val="0"/>
          <w:divBdr>
            <w:top w:val="none" w:sz="0" w:space="0" w:color="auto"/>
            <w:left w:val="none" w:sz="0" w:space="0" w:color="auto"/>
            <w:bottom w:val="none" w:sz="0" w:space="0" w:color="auto"/>
            <w:right w:val="none" w:sz="0" w:space="0" w:color="auto"/>
          </w:divBdr>
        </w:div>
        <w:div w:id="349455769">
          <w:marLeft w:val="640"/>
          <w:marRight w:val="0"/>
          <w:marTop w:val="0"/>
          <w:marBottom w:val="0"/>
          <w:divBdr>
            <w:top w:val="none" w:sz="0" w:space="0" w:color="auto"/>
            <w:left w:val="none" w:sz="0" w:space="0" w:color="auto"/>
            <w:bottom w:val="none" w:sz="0" w:space="0" w:color="auto"/>
            <w:right w:val="none" w:sz="0" w:space="0" w:color="auto"/>
          </w:divBdr>
        </w:div>
        <w:div w:id="1323004767">
          <w:marLeft w:val="640"/>
          <w:marRight w:val="0"/>
          <w:marTop w:val="0"/>
          <w:marBottom w:val="0"/>
          <w:divBdr>
            <w:top w:val="none" w:sz="0" w:space="0" w:color="auto"/>
            <w:left w:val="none" w:sz="0" w:space="0" w:color="auto"/>
            <w:bottom w:val="none" w:sz="0" w:space="0" w:color="auto"/>
            <w:right w:val="none" w:sz="0" w:space="0" w:color="auto"/>
          </w:divBdr>
        </w:div>
        <w:div w:id="1528524911">
          <w:marLeft w:val="640"/>
          <w:marRight w:val="0"/>
          <w:marTop w:val="0"/>
          <w:marBottom w:val="0"/>
          <w:divBdr>
            <w:top w:val="none" w:sz="0" w:space="0" w:color="auto"/>
            <w:left w:val="none" w:sz="0" w:space="0" w:color="auto"/>
            <w:bottom w:val="none" w:sz="0" w:space="0" w:color="auto"/>
            <w:right w:val="none" w:sz="0" w:space="0" w:color="auto"/>
          </w:divBdr>
        </w:div>
        <w:div w:id="1249071627">
          <w:marLeft w:val="640"/>
          <w:marRight w:val="0"/>
          <w:marTop w:val="0"/>
          <w:marBottom w:val="0"/>
          <w:divBdr>
            <w:top w:val="none" w:sz="0" w:space="0" w:color="auto"/>
            <w:left w:val="none" w:sz="0" w:space="0" w:color="auto"/>
            <w:bottom w:val="none" w:sz="0" w:space="0" w:color="auto"/>
            <w:right w:val="none" w:sz="0" w:space="0" w:color="auto"/>
          </w:divBdr>
        </w:div>
        <w:div w:id="1589541212">
          <w:marLeft w:val="640"/>
          <w:marRight w:val="0"/>
          <w:marTop w:val="0"/>
          <w:marBottom w:val="0"/>
          <w:divBdr>
            <w:top w:val="none" w:sz="0" w:space="0" w:color="auto"/>
            <w:left w:val="none" w:sz="0" w:space="0" w:color="auto"/>
            <w:bottom w:val="none" w:sz="0" w:space="0" w:color="auto"/>
            <w:right w:val="none" w:sz="0" w:space="0" w:color="auto"/>
          </w:divBdr>
        </w:div>
        <w:div w:id="985007804">
          <w:marLeft w:val="640"/>
          <w:marRight w:val="0"/>
          <w:marTop w:val="0"/>
          <w:marBottom w:val="0"/>
          <w:divBdr>
            <w:top w:val="none" w:sz="0" w:space="0" w:color="auto"/>
            <w:left w:val="none" w:sz="0" w:space="0" w:color="auto"/>
            <w:bottom w:val="none" w:sz="0" w:space="0" w:color="auto"/>
            <w:right w:val="none" w:sz="0" w:space="0" w:color="auto"/>
          </w:divBdr>
        </w:div>
        <w:div w:id="643003611">
          <w:marLeft w:val="640"/>
          <w:marRight w:val="0"/>
          <w:marTop w:val="0"/>
          <w:marBottom w:val="0"/>
          <w:divBdr>
            <w:top w:val="none" w:sz="0" w:space="0" w:color="auto"/>
            <w:left w:val="none" w:sz="0" w:space="0" w:color="auto"/>
            <w:bottom w:val="none" w:sz="0" w:space="0" w:color="auto"/>
            <w:right w:val="none" w:sz="0" w:space="0" w:color="auto"/>
          </w:divBdr>
        </w:div>
        <w:div w:id="1224412912">
          <w:marLeft w:val="640"/>
          <w:marRight w:val="0"/>
          <w:marTop w:val="0"/>
          <w:marBottom w:val="0"/>
          <w:divBdr>
            <w:top w:val="none" w:sz="0" w:space="0" w:color="auto"/>
            <w:left w:val="none" w:sz="0" w:space="0" w:color="auto"/>
            <w:bottom w:val="none" w:sz="0" w:space="0" w:color="auto"/>
            <w:right w:val="none" w:sz="0" w:space="0" w:color="auto"/>
          </w:divBdr>
        </w:div>
        <w:div w:id="410198269">
          <w:marLeft w:val="640"/>
          <w:marRight w:val="0"/>
          <w:marTop w:val="0"/>
          <w:marBottom w:val="0"/>
          <w:divBdr>
            <w:top w:val="none" w:sz="0" w:space="0" w:color="auto"/>
            <w:left w:val="none" w:sz="0" w:space="0" w:color="auto"/>
            <w:bottom w:val="none" w:sz="0" w:space="0" w:color="auto"/>
            <w:right w:val="none" w:sz="0" w:space="0" w:color="auto"/>
          </w:divBdr>
        </w:div>
        <w:div w:id="655106975">
          <w:marLeft w:val="640"/>
          <w:marRight w:val="0"/>
          <w:marTop w:val="0"/>
          <w:marBottom w:val="0"/>
          <w:divBdr>
            <w:top w:val="none" w:sz="0" w:space="0" w:color="auto"/>
            <w:left w:val="none" w:sz="0" w:space="0" w:color="auto"/>
            <w:bottom w:val="none" w:sz="0" w:space="0" w:color="auto"/>
            <w:right w:val="none" w:sz="0" w:space="0" w:color="auto"/>
          </w:divBdr>
        </w:div>
        <w:div w:id="805897593">
          <w:marLeft w:val="640"/>
          <w:marRight w:val="0"/>
          <w:marTop w:val="0"/>
          <w:marBottom w:val="0"/>
          <w:divBdr>
            <w:top w:val="none" w:sz="0" w:space="0" w:color="auto"/>
            <w:left w:val="none" w:sz="0" w:space="0" w:color="auto"/>
            <w:bottom w:val="none" w:sz="0" w:space="0" w:color="auto"/>
            <w:right w:val="none" w:sz="0" w:space="0" w:color="auto"/>
          </w:divBdr>
        </w:div>
        <w:div w:id="1470511933">
          <w:marLeft w:val="640"/>
          <w:marRight w:val="0"/>
          <w:marTop w:val="0"/>
          <w:marBottom w:val="0"/>
          <w:divBdr>
            <w:top w:val="none" w:sz="0" w:space="0" w:color="auto"/>
            <w:left w:val="none" w:sz="0" w:space="0" w:color="auto"/>
            <w:bottom w:val="none" w:sz="0" w:space="0" w:color="auto"/>
            <w:right w:val="none" w:sz="0" w:space="0" w:color="auto"/>
          </w:divBdr>
        </w:div>
        <w:div w:id="1859151306">
          <w:marLeft w:val="640"/>
          <w:marRight w:val="0"/>
          <w:marTop w:val="0"/>
          <w:marBottom w:val="0"/>
          <w:divBdr>
            <w:top w:val="none" w:sz="0" w:space="0" w:color="auto"/>
            <w:left w:val="none" w:sz="0" w:space="0" w:color="auto"/>
            <w:bottom w:val="none" w:sz="0" w:space="0" w:color="auto"/>
            <w:right w:val="none" w:sz="0" w:space="0" w:color="auto"/>
          </w:divBdr>
        </w:div>
        <w:div w:id="96600971">
          <w:marLeft w:val="640"/>
          <w:marRight w:val="0"/>
          <w:marTop w:val="0"/>
          <w:marBottom w:val="0"/>
          <w:divBdr>
            <w:top w:val="none" w:sz="0" w:space="0" w:color="auto"/>
            <w:left w:val="none" w:sz="0" w:space="0" w:color="auto"/>
            <w:bottom w:val="none" w:sz="0" w:space="0" w:color="auto"/>
            <w:right w:val="none" w:sz="0" w:space="0" w:color="auto"/>
          </w:divBdr>
        </w:div>
        <w:div w:id="758407807">
          <w:marLeft w:val="640"/>
          <w:marRight w:val="0"/>
          <w:marTop w:val="0"/>
          <w:marBottom w:val="0"/>
          <w:divBdr>
            <w:top w:val="none" w:sz="0" w:space="0" w:color="auto"/>
            <w:left w:val="none" w:sz="0" w:space="0" w:color="auto"/>
            <w:bottom w:val="none" w:sz="0" w:space="0" w:color="auto"/>
            <w:right w:val="none" w:sz="0" w:space="0" w:color="auto"/>
          </w:divBdr>
        </w:div>
        <w:div w:id="1486318892">
          <w:marLeft w:val="640"/>
          <w:marRight w:val="0"/>
          <w:marTop w:val="0"/>
          <w:marBottom w:val="0"/>
          <w:divBdr>
            <w:top w:val="none" w:sz="0" w:space="0" w:color="auto"/>
            <w:left w:val="none" w:sz="0" w:space="0" w:color="auto"/>
            <w:bottom w:val="none" w:sz="0" w:space="0" w:color="auto"/>
            <w:right w:val="none" w:sz="0" w:space="0" w:color="auto"/>
          </w:divBdr>
        </w:div>
        <w:div w:id="607781096">
          <w:marLeft w:val="640"/>
          <w:marRight w:val="0"/>
          <w:marTop w:val="0"/>
          <w:marBottom w:val="0"/>
          <w:divBdr>
            <w:top w:val="none" w:sz="0" w:space="0" w:color="auto"/>
            <w:left w:val="none" w:sz="0" w:space="0" w:color="auto"/>
            <w:bottom w:val="none" w:sz="0" w:space="0" w:color="auto"/>
            <w:right w:val="none" w:sz="0" w:space="0" w:color="auto"/>
          </w:divBdr>
        </w:div>
        <w:div w:id="835925482">
          <w:marLeft w:val="640"/>
          <w:marRight w:val="0"/>
          <w:marTop w:val="0"/>
          <w:marBottom w:val="0"/>
          <w:divBdr>
            <w:top w:val="none" w:sz="0" w:space="0" w:color="auto"/>
            <w:left w:val="none" w:sz="0" w:space="0" w:color="auto"/>
            <w:bottom w:val="none" w:sz="0" w:space="0" w:color="auto"/>
            <w:right w:val="none" w:sz="0" w:space="0" w:color="auto"/>
          </w:divBdr>
        </w:div>
        <w:div w:id="1854759578">
          <w:marLeft w:val="640"/>
          <w:marRight w:val="0"/>
          <w:marTop w:val="0"/>
          <w:marBottom w:val="0"/>
          <w:divBdr>
            <w:top w:val="none" w:sz="0" w:space="0" w:color="auto"/>
            <w:left w:val="none" w:sz="0" w:space="0" w:color="auto"/>
            <w:bottom w:val="none" w:sz="0" w:space="0" w:color="auto"/>
            <w:right w:val="none" w:sz="0" w:space="0" w:color="auto"/>
          </w:divBdr>
        </w:div>
      </w:divsChild>
    </w:div>
    <w:div w:id="1214393467">
      <w:bodyDiv w:val="1"/>
      <w:marLeft w:val="0"/>
      <w:marRight w:val="0"/>
      <w:marTop w:val="0"/>
      <w:marBottom w:val="0"/>
      <w:divBdr>
        <w:top w:val="none" w:sz="0" w:space="0" w:color="auto"/>
        <w:left w:val="none" w:sz="0" w:space="0" w:color="auto"/>
        <w:bottom w:val="none" w:sz="0" w:space="0" w:color="auto"/>
        <w:right w:val="none" w:sz="0" w:space="0" w:color="auto"/>
      </w:divBdr>
      <w:divsChild>
        <w:div w:id="314723938">
          <w:marLeft w:val="640"/>
          <w:marRight w:val="0"/>
          <w:marTop w:val="0"/>
          <w:marBottom w:val="0"/>
          <w:divBdr>
            <w:top w:val="none" w:sz="0" w:space="0" w:color="auto"/>
            <w:left w:val="none" w:sz="0" w:space="0" w:color="auto"/>
            <w:bottom w:val="none" w:sz="0" w:space="0" w:color="auto"/>
            <w:right w:val="none" w:sz="0" w:space="0" w:color="auto"/>
          </w:divBdr>
        </w:div>
        <w:div w:id="1297838683">
          <w:marLeft w:val="640"/>
          <w:marRight w:val="0"/>
          <w:marTop w:val="0"/>
          <w:marBottom w:val="0"/>
          <w:divBdr>
            <w:top w:val="none" w:sz="0" w:space="0" w:color="auto"/>
            <w:left w:val="none" w:sz="0" w:space="0" w:color="auto"/>
            <w:bottom w:val="none" w:sz="0" w:space="0" w:color="auto"/>
            <w:right w:val="none" w:sz="0" w:space="0" w:color="auto"/>
          </w:divBdr>
        </w:div>
        <w:div w:id="793989392">
          <w:marLeft w:val="640"/>
          <w:marRight w:val="0"/>
          <w:marTop w:val="0"/>
          <w:marBottom w:val="0"/>
          <w:divBdr>
            <w:top w:val="none" w:sz="0" w:space="0" w:color="auto"/>
            <w:left w:val="none" w:sz="0" w:space="0" w:color="auto"/>
            <w:bottom w:val="none" w:sz="0" w:space="0" w:color="auto"/>
            <w:right w:val="none" w:sz="0" w:space="0" w:color="auto"/>
          </w:divBdr>
        </w:div>
        <w:div w:id="746028528">
          <w:marLeft w:val="640"/>
          <w:marRight w:val="0"/>
          <w:marTop w:val="0"/>
          <w:marBottom w:val="0"/>
          <w:divBdr>
            <w:top w:val="none" w:sz="0" w:space="0" w:color="auto"/>
            <w:left w:val="none" w:sz="0" w:space="0" w:color="auto"/>
            <w:bottom w:val="none" w:sz="0" w:space="0" w:color="auto"/>
            <w:right w:val="none" w:sz="0" w:space="0" w:color="auto"/>
          </w:divBdr>
        </w:div>
        <w:div w:id="99037618">
          <w:marLeft w:val="640"/>
          <w:marRight w:val="0"/>
          <w:marTop w:val="0"/>
          <w:marBottom w:val="0"/>
          <w:divBdr>
            <w:top w:val="none" w:sz="0" w:space="0" w:color="auto"/>
            <w:left w:val="none" w:sz="0" w:space="0" w:color="auto"/>
            <w:bottom w:val="none" w:sz="0" w:space="0" w:color="auto"/>
            <w:right w:val="none" w:sz="0" w:space="0" w:color="auto"/>
          </w:divBdr>
        </w:div>
        <w:div w:id="1050036791">
          <w:marLeft w:val="640"/>
          <w:marRight w:val="0"/>
          <w:marTop w:val="0"/>
          <w:marBottom w:val="0"/>
          <w:divBdr>
            <w:top w:val="none" w:sz="0" w:space="0" w:color="auto"/>
            <w:left w:val="none" w:sz="0" w:space="0" w:color="auto"/>
            <w:bottom w:val="none" w:sz="0" w:space="0" w:color="auto"/>
            <w:right w:val="none" w:sz="0" w:space="0" w:color="auto"/>
          </w:divBdr>
        </w:div>
        <w:div w:id="1084037593">
          <w:marLeft w:val="640"/>
          <w:marRight w:val="0"/>
          <w:marTop w:val="0"/>
          <w:marBottom w:val="0"/>
          <w:divBdr>
            <w:top w:val="none" w:sz="0" w:space="0" w:color="auto"/>
            <w:left w:val="none" w:sz="0" w:space="0" w:color="auto"/>
            <w:bottom w:val="none" w:sz="0" w:space="0" w:color="auto"/>
            <w:right w:val="none" w:sz="0" w:space="0" w:color="auto"/>
          </w:divBdr>
        </w:div>
        <w:div w:id="760107323">
          <w:marLeft w:val="640"/>
          <w:marRight w:val="0"/>
          <w:marTop w:val="0"/>
          <w:marBottom w:val="0"/>
          <w:divBdr>
            <w:top w:val="none" w:sz="0" w:space="0" w:color="auto"/>
            <w:left w:val="none" w:sz="0" w:space="0" w:color="auto"/>
            <w:bottom w:val="none" w:sz="0" w:space="0" w:color="auto"/>
            <w:right w:val="none" w:sz="0" w:space="0" w:color="auto"/>
          </w:divBdr>
        </w:div>
        <w:div w:id="373700366">
          <w:marLeft w:val="640"/>
          <w:marRight w:val="0"/>
          <w:marTop w:val="0"/>
          <w:marBottom w:val="0"/>
          <w:divBdr>
            <w:top w:val="none" w:sz="0" w:space="0" w:color="auto"/>
            <w:left w:val="none" w:sz="0" w:space="0" w:color="auto"/>
            <w:bottom w:val="none" w:sz="0" w:space="0" w:color="auto"/>
            <w:right w:val="none" w:sz="0" w:space="0" w:color="auto"/>
          </w:divBdr>
        </w:div>
        <w:div w:id="1077821513">
          <w:marLeft w:val="640"/>
          <w:marRight w:val="0"/>
          <w:marTop w:val="0"/>
          <w:marBottom w:val="0"/>
          <w:divBdr>
            <w:top w:val="none" w:sz="0" w:space="0" w:color="auto"/>
            <w:left w:val="none" w:sz="0" w:space="0" w:color="auto"/>
            <w:bottom w:val="none" w:sz="0" w:space="0" w:color="auto"/>
            <w:right w:val="none" w:sz="0" w:space="0" w:color="auto"/>
          </w:divBdr>
        </w:div>
        <w:div w:id="1455177984">
          <w:marLeft w:val="640"/>
          <w:marRight w:val="0"/>
          <w:marTop w:val="0"/>
          <w:marBottom w:val="0"/>
          <w:divBdr>
            <w:top w:val="none" w:sz="0" w:space="0" w:color="auto"/>
            <w:left w:val="none" w:sz="0" w:space="0" w:color="auto"/>
            <w:bottom w:val="none" w:sz="0" w:space="0" w:color="auto"/>
            <w:right w:val="none" w:sz="0" w:space="0" w:color="auto"/>
          </w:divBdr>
        </w:div>
        <w:div w:id="1275206583">
          <w:marLeft w:val="640"/>
          <w:marRight w:val="0"/>
          <w:marTop w:val="0"/>
          <w:marBottom w:val="0"/>
          <w:divBdr>
            <w:top w:val="none" w:sz="0" w:space="0" w:color="auto"/>
            <w:left w:val="none" w:sz="0" w:space="0" w:color="auto"/>
            <w:bottom w:val="none" w:sz="0" w:space="0" w:color="auto"/>
            <w:right w:val="none" w:sz="0" w:space="0" w:color="auto"/>
          </w:divBdr>
        </w:div>
        <w:div w:id="1989748632">
          <w:marLeft w:val="640"/>
          <w:marRight w:val="0"/>
          <w:marTop w:val="0"/>
          <w:marBottom w:val="0"/>
          <w:divBdr>
            <w:top w:val="none" w:sz="0" w:space="0" w:color="auto"/>
            <w:left w:val="none" w:sz="0" w:space="0" w:color="auto"/>
            <w:bottom w:val="none" w:sz="0" w:space="0" w:color="auto"/>
            <w:right w:val="none" w:sz="0" w:space="0" w:color="auto"/>
          </w:divBdr>
        </w:div>
        <w:div w:id="331370040">
          <w:marLeft w:val="640"/>
          <w:marRight w:val="0"/>
          <w:marTop w:val="0"/>
          <w:marBottom w:val="0"/>
          <w:divBdr>
            <w:top w:val="none" w:sz="0" w:space="0" w:color="auto"/>
            <w:left w:val="none" w:sz="0" w:space="0" w:color="auto"/>
            <w:bottom w:val="none" w:sz="0" w:space="0" w:color="auto"/>
            <w:right w:val="none" w:sz="0" w:space="0" w:color="auto"/>
          </w:divBdr>
        </w:div>
        <w:div w:id="948394812">
          <w:marLeft w:val="640"/>
          <w:marRight w:val="0"/>
          <w:marTop w:val="0"/>
          <w:marBottom w:val="0"/>
          <w:divBdr>
            <w:top w:val="none" w:sz="0" w:space="0" w:color="auto"/>
            <w:left w:val="none" w:sz="0" w:space="0" w:color="auto"/>
            <w:bottom w:val="none" w:sz="0" w:space="0" w:color="auto"/>
            <w:right w:val="none" w:sz="0" w:space="0" w:color="auto"/>
          </w:divBdr>
        </w:div>
        <w:div w:id="2132939638">
          <w:marLeft w:val="640"/>
          <w:marRight w:val="0"/>
          <w:marTop w:val="0"/>
          <w:marBottom w:val="0"/>
          <w:divBdr>
            <w:top w:val="none" w:sz="0" w:space="0" w:color="auto"/>
            <w:left w:val="none" w:sz="0" w:space="0" w:color="auto"/>
            <w:bottom w:val="none" w:sz="0" w:space="0" w:color="auto"/>
            <w:right w:val="none" w:sz="0" w:space="0" w:color="auto"/>
          </w:divBdr>
        </w:div>
        <w:div w:id="6099401">
          <w:marLeft w:val="640"/>
          <w:marRight w:val="0"/>
          <w:marTop w:val="0"/>
          <w:marBottom w:val="0"/>
          <w:divBdr>
            <w:top w:val="none" w:sz="0" w:space="0" w:color="auto"/>
            <w:left w:val="none" w:sz="0" w:space="0" w:color="auto"/>
            <w:bottom w:val="none" w:sz="0" w:space="0" w:color="auto"/>
            <w:right w:val="none" w:sz="0" w:space="0" w:color="auto"/>
          </w:divBdr>
        </w:div>
        <w:div w:id="1852597134">
          <w:marLeft w:val="640"/>
          <w:marRight w:val="0"/>
          <w:marTop w:val="0"/>
          <w:marBottom w:val="0"/>
          <w:divBdr>
            <w:top w:val="none" w:sz="0" w:space="0" w:color="auto"/>
            <w:left w:val="none" w:sz="0" w:space="0" w:color="auto"/>
            <w:bottom w:val="none" w:sz="0" w:space="0" w:color="auto"/>
            <w:right w:val="none" w:sz="0" w:space="0" w:color="auto"/>
          </w:divBdr>
        </w:div>
        <w:div w:id="466435508">
          <w:marLeft w:val="640"/>
          <w:marRight w:val="0"/>
          <w:marTop w:val="0"/>
          <w:marBottom w:val="0"/>
          <w:divBdr>
            <w:top w:val="none" w:sz="0" w:space="0" w:color="auto"/>
            <w:left w:val="none" w:sz="0" w:space="0" w:color="auto"/>
            <w:bottom w:val="none" w:sz="0" w:space="0" w:color="auto"/>
            <w:right w:val="none" w:sz="0" w:space="0" w:color="auto"/>
          </w:divBdr>
        </w:div>
        <w:div w:id="2076929052">
          <w:marLeft w:val="640"/>
          <w:marRight w:val="0"/>
          <w:marTop w:val="0"/>
          <w:marBottom w:val="0"/>
          <w:divBdr>
            <w:top w:val="none" w:sz="0" w:space="0" w:color="auto"/>
            <w:left w:val="none" w:sz="0" w:space="0" w:color="auto"/>
            <w:bottom w:val="none" w:sz="0" w:space="0" w:color="auto"/>
            <w:right w:val="none" w:sz="0" w:space="0" w:color="auto"/>
          </w:divBdr>
        </w:div>
      </w:divsChild>
    </w:div>
    <w:div w:id="1251505063">
      <w:bodyDiv w:val="1"/>
      <w:marLeft w:val="0"/>
      <w:marRight w:val="0"/>
      <w:marTop w:val="0"/>
      <w:marBottom w:val="0"/>
      <w:divBdr>
        <w:top w:val="none" w:sz="0" w:space="0" w:color="auto"/>
        <w:left w:val="none" w:sz="0" w:space="0" w:color="auto"/>
        <w:bottom w:val="none" w:sz="0" w:space="0" w:color="auto"/>
        <w:right w:val="none" w:sz="0" w:space="0" w:color="auto"/>
      </w:divBdr>
    </w:div>
    <w:div w:id="1256135118">
      <w:bodyDiv w:val="1"/>
      <w:marLeft w:val="0"/>
      <w:marRight w:val="0"/>
      <w:marTop w:val="0"/>
      <w:marBottom w:val="0"/>
      <w:divBdr>
        <w:top w:val="none" w:sz="0" w:space="0" w:color="auto"/>
        <w:left w:val="none" w:sz="0" w:space="0" w:color="auto"/>
        <w:bottom w:val="none" w:sz="0" w:space="0" w:color="auto"/>
        <w:right w:val="none" w:sz="0" w:space="0" w:color="auto"/>
      </w:divBdr>
      <w:divsChild>
        <w:div w:id="1210845251">
          <w:marLeft w:val="640"/>
          <w:marRight w:val="0"/>
          <w:marTop w:val="0"/>
          <w:marBottom w:val="0"/>
          <w:divBdr>
            <w:top w:val="none" w:sz="0" w:space="0" w:color="auto"/>
            <w:left w:val="none" w:sz="0" w:space="0" w:color="auto"/>
            <w:bottom w:val="none" w:sz="0" w:space="0" w:color="auto"/>
            <w:right w:val="none" w:sz="0" w:space="0" w:color="auto"/>
          </w:divBdr>
        </w:div>
        <w:div w:id="199778905">
          <w:marLeft w:val="640"/>
          <w:marRight w:val="0"/>
          <w:marTop w:val="0"/>
          <w:marBottom w:val="0"/>
          <w:divBdr>
            <w:top w:val="none" w:sz="0" w:space="0" w:color="auto"/>
            <w:left w:val="none" w:sz="0" w:space="0" w:color="auto"/>
            <w:bottom w:val="none" w:sz="0" w:space="0" w:color="auto"/>
            <w:right w:val="none" w:sz="0" w:space="0" w:color="auto"/>
          </w:divBdr>
        </w:div>
        <w:div w:id="1062602735">
          <w:marLeft w:val="640"/>
          <w:marRight w:val="0"/>
          <w:marTop w:val="0"/>
          <w:marBottom w:val="0"/>
          <w:divBdr>
            <w:top w:val="none" w:sz="0" w:space="0" w:color="auto"/>
            <w:left w:val="none" w:sz="0" w:space="0" w:color="auto"/>
            <w:bottom w:val="none" w:sz="0" w:space="0" w:color="auto"/>
            <w:right w:val="none" w:sz="0" w:space="0" w:color="auto"/>
          </w:divBdr>
        </w:div>
        <w:div w:id="1911382294">
          <w:marLeft w:val="640"/>
          <w:marRight w:val="0"/>
          <w:marTop w:val="0"/>
          <w:marBottom w:val="0"/>
          <w:divBdr>
            <w:top w:val="none" w:sz="0" w:space="0" w:color="auto"/>
            <w:left w:val="none" w:sz="0" w:space="0" w:color="auto"/>
            <w:bottom w:val="none" w:sz="0" w:space="0" w:color="auto"/>
            <w:right w:val="none" w:sz="0" w:space="0" w:color="auto"/>
          </w:divBdr>
        </w:div>
        <w:div w:id="353960931">
          <w:marLeft w:val="640"/>
          <w:marRight w:val="0"/>
          <w:marTop w:val="0"/>
          <w:marBottom w:val="0"/>
          <w:divBdr>
            <w:top w:val="none" w:sz="0" w:space="0" w:color="auto"/>
            <w:left w:val="none" w:sz="0" w:space="0" w:color="auto"/>
            <w:bottom w:val="none" w:sz="0" w:space="0" w:color="auto"/>
            <w:right w:val="none" w:sz="0" w:space="0" w:color="auto"/>
          </w:divBdr>
        </w:div>
        <w:div w:id="1140540397">
          <w:marLeft w:val="640"/>
          <w:marRight w:val="0"/>
          <w:marTop w:val="0"/>
          <w:marBottom w:val="0"/>
          <w:divBdr>
            <w:top w:val="none" w:sz="0" w:space="0" w:color="auto"/>
            <w:left w:val="none" w:sz="0" w:space="0" w:color="auto"/>
            <w:bottom w:val="none" w:sz="0" w:space="0" w:color="auto"/>
            <w:right w:val="none" w:sz="0" w:space="0" w:color="auto"/>
          </w:divBdr>
        </w:div>
        <w:div w:id="400980916">
          <w:marLeft w:val="640"/>
          <w:marRight w:val="0"/>
          <w:marTop w:val="0"/>
          <w:marBottom w:val="0"/>
          <w:divBdr>
            <w:top w:val="none" w:sz="0" w:space="0" w:color="auto"/>
            <w:left w:val="none" w:sz="0" w:space="0" w:color="auto"/>
            <w:bottom w:val="none" w:sz="0" w:space="0" w:color="auto"/>
            <w:right w:val="none" w:sz="0" w:space="0" w:color="auto"/>
          </w:divBdr>
        </w:div>
        <w:div w:id="441538672">
          <w:marLeft w:val="640"/>
          <w:marRight w:val="0"/>
          <w:marTop w:val="0"/>
          <w:marBottom w:val="0"/>
          <w:divBdr>
            <w:top w:val="none" w:sz="0" w:space="0" w:color="auto"/>
            <w:left w:val="none" w:sz="0" w:space="0" w:color="auto"/>
            <w:bottom w:val="none" w:sz="0" w:space="0" w:color="auto"/>
            <w:right w:val="none" w:sz="0" w:space="0" w:color="auto"/>
          </w:divBdr>
        </w:div>
        <w:div w:id="1422724180">
          <w:marLeft w:val="640"/>
          <w:marRight w:val="0"/>
          <w:marTop w:val="0"/>
          <w:marBottom w:val="0"/>
          <w:divBdr>
            <w:top w:val="none" w:sz="0" w:space="0" w:color="auto"/>
            <w:left w:val="none" w:sz="0" w:space="0" w:color="auto"/>
            <w:bottom w:val="none" w:sz="0" w:space="0" w:color="auto"/>
            <w:right w:val="none" w:sz="0" w:space="0" w:color="auto"/>
          </w:divBdr>
        </w:div>
        <w:div w:id="1828859290">
          <w:marLeft w:val="640"/>
          <w:marRight w:val="0"/>
          <w:marTop w:val="0"/>
          <w:marBottom w:val="0"/>
          <w:divBdr>
            <w:top w:val="none" w:sz="0" w:space="0" w:color="auto"/>
            <w:left w:val="none" w:sz="0" w:space="0" w:color="auto"/>
            <w:bottom w:val="none" w:sz="0" w:space="0" w:color="auto"/>
            <w:right w:val="none" w:sz="0" w:space="0" w:color="auto"/>
          </w:divBdr>
        </w:div>
        <w:div w:id="1197038684">
          <w:marLeft w:val="640"/>
          <w:marRight w:val="0"/>
          <w:marTop w:val="0"/>
          <w:marBottom w:val="0"/>
          <w:divBdr>
            <w:top w:val="none" w:sz="0" w:space="0" w:color="auto"/>
            <w:left w:val="none" w:sz="0" w:space="0" w:color="auto"/>
            <w:bottom w:val="none" w:sz="0" w:space="0" w:color="auto"/>
            <w:right w:val="none" w:sz="0" w:space="0" w:color="auto"/>
          </w:divBdr>
        </w:div>
        <w:div w:id="1290354814">
          <w:marLeft w:val="640"/>
          <w:marRight w:val="0"/>
          <w:marTop w:val="0"/>
          <w:marBottom w:val="0"/>
          <w:divBdr>
            <w:top w:val="none" w:sz="0" w:space="0" w:color="auto"/>
            <w:left w:val="none" w:sz="0" w:space="0" w:color="auto"/>
            <w:bottom w:val="none" w:sz="0" w:space="0" w:color="auto"/>
            <w:right w:val="none" w:sz="0" w:space="0" w:color="auto"/>
          </w:divBdr>
        </w:div>
        <w:div w:id="166022449">
          <w:marLeft w:val="640"/>
          <w:marRight w:val="0"/>
          <w:marTop w:val="0"/>
          <w:marBottom w:val="0"/>
          <w:divBdr>
            <w:top w:val="none" w:sz="0" w:space="0" w:color="auto"/>
            <w:left w:val="none" w:sz="0" w:space="0" w:color="auto"/>
            <w:bottom w:val="none" w:sz="0" w:space="0" w:color="auto"/>
            <w:right w:val="none" w:sz="0" w:space="0" w:color="auto"/>
          </w:divBdr>
        </w:div>
        <w:div w:id="1241061166">
          <w:marLeft w:val="640"/>
          <w:marRight w:val="0"/>
          <w:marTop w:val="0"/>
          <w:marBottom w:val="0"/>
          <w:divBdr>
            <w:top w:val="none" w:sz="0" w:space="0" w:color="auto"/>
            <w:left w:val="none" w:sz="0" w:space="0" w:color="auto"/>
            <w:bottom w:val="none" w:sz="0" w:space="0" w:color="auto"/>
            <w:right w:val="none" w:sz="0" w:space="0" w:color="auto"/>
          </w:divBdr>
        </w:div>
        <w:div w:id="234166952">
          <w:marLeft w:val="640"/>
          <w:marRight w:val="0"/>
          <w:marTop w:val="0"/>
          <w:marBottom w:val="0"/>
          <w:divBdr>
            <w:top w:val="none" w:sz="0" w:space="0" w:color="auto"/>
            <w:left w:val="none" w:sz="0" w:space="0" w:color="auto"/>
            <w:bottom w:val="none" w:sz="0" w:space="0" w:color="auto"/>
            <w:right w:val="none" w:sz="0" w:space="0" w:color="auto"/>
          </w:divBdr>
        </w:div>
        <w:div w:id="319389201">
          <w:marLeft w:val="640"/>
          <w:marRight w:val="0"/>
          <w:marTop w:val="0"/>
          <w:marBottom w:val="0"/>
          <w:divBdr>
            <w:top w:val="none" w:sz="0" w:space="0" w:color="auto"/>
            <w:left w:val="none" w:sz="0" w:space="0" w:color="auto"/>
            <w:bottom w:val="none" w:sz="0" w:space="0" w:color="auto"/>
            <w:right w:val="none" w:sz="0" w:space="0" w:color="auto"/>
          </w:divBdr>
        </w:div>
        <w:div w:id="1978366244">
          <w:marLeft w:val="640"/>
          <w:marRight w:val="0"/>
          <w:marTop w:val="0"/>
          <w:marBottom w:val="0"/>
          <w:divBdr>
            <w:top w:val="none" w:sz="0" w:space="0" w:color="auto"/>
            <w:left w:val="none" w:sz="0" w:space="0" w:color="auto"/>
            <w:bottom w:val="none" w:sz="0" w:space="0" w:color="auto"/>
            <w:right w:val="none" w:sz="0" w:space="0" w:color="auto"/>
          </w:divBdr>
        </w:div>
        <w:div w:id="1143961998">
          <w:marLeft w:val="640"/>
          <w:marRight w:val="0"/>
          <w:marTop w:val="0"/>
          <w:marBottom w:val="0"/>
          <w:divBdr>
            <w:top w:val="none" w:sz="0" w:space="0" w:color="auto"/>
            <w:left w:val="none" w:sz="0" w:space="0" w:color="auto"/>
            <w:bottom w:val="none" w:sz="0" w:space="0" w:color="auto"/>
            <w:right w:val="none" w:sz="0" w:space="0" w:color="auto"/>
          </w:divBdr>
        </w:div>
        <w:div w:id="1953246813">
          <w:marLeft w:val="640"/>
          <w:marRight w:val="0"/>
          <w:marTop w:val="0"/>
          <w:marBottom w:val="0"/>
          <w:divBdr>
            <w:top w:val="none" w:sz="0" w:space="0" w:color="auto"/>
            <w:left w:val="none" w:sz="0" w:space="0" w:color="auto"/>
            <w:bottom w:val="none" w:sz="0" w:space="0" w:color="auto"/>
            <w:right w:val="none" w:sz="0" w:space="0" w:color="auto"/>
          </w:divBdr>
        </w:div>
        <w:div w:id="1312831106">
          <w:marLeft w:val="640"/>
          <w:marRight w:val="0"/>
          <w:marTop w:val="0"/>
          <w:marBottom w:val="0"/>
          <w:divBdr>
            <w:top w:val="none" w:sz="0" w:space="0" w:color="auto"/>
            <w:left w:val="none" w:sz="0" w:space="0" w:color="auto"/>
            <w:bottom w:val="none" w:sz="0" w:space="0" w:color="auto"/>
            <w:right w:val="none" w:sz="0" w:space="0" w:color="auto"/>
          </w:divBdr>
        </w:div>
        <w:div w:id="1240676621">
          <w:marLeft w:val="640"/>
          <w:marRight w:val="0"/>
          <w:marTop w:val="0"/>
          <w:marBottom w:val="0"/>
          <w:divBdr>
            <w:top w:val="none" w:sz="0" w:space="0" w:color="auto"/>
            <w:left w:val="none" w:sz="0" w:space="0" w:color="auto"/>
            <w:bottom w:val="none" w:sz="0" w:space="0" w:color="auto"/>
            <w:right w:val="none" w:sz="0" w:space="0" w:color="auto"/>
          </w:divBdr>
        </w:div>
        <w:div w:id="1878815227">
          <w:marLeft w:val="640"/>
          <w:marRight w:val="0"/>
          <w:marTop w:val="0"/>
          <w:marBottom w:val="0"/>
          <w:divBdr>
            <w:top w:val="none" w:sz="0" w:space="0" w:color="auto"/>
            <w:left w:val="none" w:sz="0" w:space="0" w:color="auto"/>
            <w:bottom w:val="none" w:sz="0" w:space="0" w:color="auto"/>
            <w:right w:val="none" w:sz="0" w:space="0" w:color="auto"/>
          </w:divBdr>
        </w:div>
        <w:div w:id="1465390236">
          <w:marLeft w:val="640"/>
          <w:marRight w:val="0"/>
          <w:marTop w:val="0"/>
          <w:marBottom w:val="0"/>
          <w:divBdr>
            <w:top w:val="none" w:sz="0" w:space="0" w:color="auto"/>
            <w:left w:val="none" w:sz="0" w:space="0" w:color="auto"/>
            <w:bottom w:val="none" w:sz="0" w:space="0" w:color="auto"/>
            <w:right w:val="none" w:sz="0" w:space="0" w:color="auto"/>
          </w:divBdr>
        </w:div>
        <w:div w:id="1075708295">
          <w:marLeft w:val="640"/>
          <w:marRight w:val="0"/>
          <w:marTop w:val="0"/>
          <w:marBottom w:val="0"/>
          <w:divBdr>
            <w:top w:val="none" w:sz="0" w:space="0" w:color="auto"/>
            <w:left w:val="none" w:sz="0" w:space="0" w:color="auto"/>
            <w:bottom w:val="none" w:sz="0" w:space="0" w:color="auto"/>
            <w:right w:val="none" w:sz="0" w:space="0" w:color="auto"/>
          </w:divBdr>
        </w:div>
        <w:div w:id="1335961608">
          <w:marLeft w:val="640"/>
          <w:marRight w:val="0"/>
          <w:marTop w:val="0"/>
          <w:marBottom w:val="0"/>
          <w:divBdr>
            <w:top w:val="none" w:sz="0" w:space="0" w:color="auto"/>
            <w:left w:val="none" w:sz="0" w:space="0" w:color="auto"/>
            <w:bottom w:val="none" w:sz="0" w:space="0" w:color="auto"/>
            <w:right w:val="none" w:sz="0" w:space="0" w:color="auto"/>
          </w:divBdr>
        </w:div>
        <w:div w:id="1610120257">
          <w:marLeft w:val="640"/>
          <w:marRight w:val="0"/>
          <w:marTop w:val="0"/>
          <w:marBottom w:val="0"/>
          <w:divBdr>
            <w:top w:val="none" w:sz="0" w:space="0" w:color="auto"/>
            <w:left w:val="none" w:sz="0" w:space="0" w:color="auto"/>
            <w:bottom w:val="none" w:sz="0" w:space="0" w:color="auto"/>
            <w:right w:val="none" w:sz="0" w:space="0" w:color="auto"/>
          </w:divBdr>
        </w:div>
        <w:div w:id="716513877">
          <w:marLeft w:val="640"/>
          <w:marRight w:val="0"/>
          <w:marTop w:val="0"/>
          <w:marBottom w:val="0"/>
          <w:divBdr>
            <w:top w:val="none" w:sz="0" w:space="0" w:color="auto"/>
            <w:left w:val="none" w:sz="0" w:space="0" w:color="auto"/>
            <w:bottom w:val="none" w:sz="0" w:space="0" w:color="auto"/>
            <w:right w:val="none" w:sz="0" w:space="0" w:color="auto"/>
          </w:divBdr>
        </w:div>
        <w:div w:id="1385568824">
          <w:marLeft w:val="640"/>
          <w:marRight w:val="0"/>
          <w:marTop w:val="0"/>
          <w:marBottom w:val="0"/>
          <w:divBdr>
            <w:top w:val="none" w:sz="0" w:space="0" w:color="auto"/>
            <w:left w:val="none" w:sz="0" w:space="0" w:color="auto"/>
            <w:bottom w:val="none" w:sz="0" w:space="0" w:color="auto"/>
            <w:right w:val="none" w:sz="0" w:space="0" w:color="auto"/>
          </w:divBdr>
        </w:div>
      </w:divsChild>
    </w:div>
    <w:div w:id="1261453664">
      <w:bodyDiv w:val="1"/>
      <w:marLeft w:val="0"/>
      <w:marRight w:val="0"/>
      <w:marTop w:val="0"/>
      <w:marBottom w:val="0"/>
      <w:divBdr>
        <w:top w:val="none" w:sz="0" w:space="0" w:color="auto"/>
        <w:left w:val="none" w:sz="0" w:space="0" w:color="auto"/>
        <w:bottom w:val="none" w:sz="0" w:space="0" w:color="auto"/>
        <w:right w:val="none" w:sz="0" w:space="0" w:color="auto"/>
      </w:divBdr>
      <w:divsChild>
        <w:div w:id="739055616">
          <w:marLeft w:val="640"/>
          <w:marRight w:val="0"/>
          <w:marTop w:val="0"/>
          <w:marBottom w:val="0"/>
          <w:divBdr>
            <w:top w:val="none" w:sz="0" w:space="0" w:color="auto"/>
            <w:left w:val="none" w:sz="0" w:space="0" w:color="auto"/>
            <w:bottom w:val="none" w:sz="0" w:space="0" w:color="auto"/>
            <w:right w:val="none" w:sz="0" w:space="0" w:color="auto"/>
          </w:divBdr>
        </w:div>
        <w:div w:id="1011958043">
          <w:marLeft w:val="640"/>
          <w:marRight w:val="0"/>
          <w:marTop w:val="0"/>
          <w:marBottom w:val="0"/>
          <w:divBdr>
            <w:top w:val="none" w:sz="0" w:space="0" w:color="auto"/>
            <w:left w:val="none" w:sz="0" w:space="0" w:color="auto"/>
            <w:bottom w:val="none" w:sz="0" w:space="0" w:color="auto"/>
            <w:right w:val="none" w:sz="0" w:space="0" w:color="auto"/>
          </w:divBdr>
        </w:div>
        <w:div w:id="422721559">
          <w:marLeft w:val="640"/>
          <w:marRight w:val="0"/>
          <w:marTop w:val="0"/>
          <w:marBottom w:val="0"/>
          <w:divBdr>
            <w:top w:val="none" w:sz="0" w:space="0" w:color="auto"/>
            <w:left w:val="none" w:sz="0" w:space="0" w:color="auto"/>
            <w:bottom w:val="none" w:sz="0" w:space="0" w:color="auto"/>
            <w:right w:val="none" w:sz="0" w:space="0" w:color="auto"/>
          </w:divBdr>
        </w:div>
        <w:div w:id="456799812">
          <w:marLeft w:val="640"/>
          <w:marRight w:val="0"/>
          <w:marTop w:val="0"/>
          <w:marBottom w:val="0"/>
          <w:divBdr>
            <w:top w:val="none" w:sz="0" w:space="0" w:color="auto"/>
            <w:left w:val="none" w:sz="0" w:space="0" w:color="auto"/>
            <w:bottom w:val="none" w:sz="0" w:space="0" w:color="auto"/>
            <w:right w:val="none" w:sz="0" w:space="0" w:color="auto"/>
          </w:divBdr>
        </w:div>
        <w:div w:id="787941628">
          <w:marLeft w:val="640"/>
          <w:marRight w:val="0"/>
          <w:marTop w:val="0"/>
          <w:marBottom w:val="0"/>
          <w:divBdr>
            <w:top w:val="none" w:sz="0" w:space="0" w:color="auto"/>
            <w:left w:val="none" w:sz="0" w:space="0" w:color="auto"/>
            <w:bottom w:val="none" w:sz="0" w:space="0" w:color="auto"/>
            <w:right w:val="none" w:sz="0" w:space="0" w:color="auto"/>
          </w:divBdr>
        </w:div>
        <w:div w:id="1806004139">
          <w:marLeft w:val="640"/>
          <w:marRight w:val="0"/>
          <w:marTop w:val="0"/>
          <w:marBottom w:val="0"/>
          <w:divBdr>
            <w:top w:val="none" w:sz="0" w:space="0" w:color="auto"/>
            <w:left w:val="none" w:sz="0" w:space="0" w:color="auto"/>
            <w:bottom w:val="none" w:sz="0" w:space="0" w:color="auto"/>
            <w:right w:val="none" w:sz="0" w:space="0" w:color="auto"/>
          </w:divBdr>
        </w:div>
        <w:div w:id="2092386195">
          <w:marLeft w:val="640"/>
          <w:marRight w:val="0"/>
          <w:marTop w:val="0"/>
          <w:marBottom w:val="0"/>
          <w:divBdr>
            <w:top w:val="none" w:sz="0" w:space="0" w:color="auto"/>
            <w:left w:val="none" w:sz="0" w:space="0" w:color="auto"/>
            <w:bottom w:val="none" w:sz="0" w:space="0" w:color="auto"/>
            <w:right w:val="none" w:sz="0" w:space="0" w:color="auto"/>
          </w:divBdr>
        </w:div>
        <w:div w:id="19362196">
          <w:marLeft w:val="640"/>
          <w:marRight w:val="0"/>
          <w:marTop w:val="0"/>
          <w:marBottom w:val="0"/>
          <w:divBdr>
            <w:top w:val="none" w:sz="0" w:space="0" w:color="auto"/>
            <w:left w:val="none" w:sz="0" w:space="0" w:color="auto"/>
            <w:bottom w:val="none" w:sz="0" w:space="0" w:color="auto"/>
            <w:right w:val="none" w:sz="0" w:space="0" w:color="auto"/>
          </w:divBdr>
        </w:div>
        <w:div w:id="790782116">
          <w:marLeft w:val="640"/>
          <w:marRight w:val="0"/>
          <w:marTop w:val="0"/>
          <w:marBottom w:val="0"/>
          <w:divBdr>
            <w:top w:val="none" w:sz="0" w:space="0" w:color="auto"/>
            <w:left w:val="none" w:sz="0" w:space="0" w:color="auto"/>
            <w:bottom w:val="none" w:sz="0" w:space="0" w:color="auto"/>
            <w:right w:val="none" w:sz="0" w:space="0" w:color="auto"/>
          </w:divBdr>
        </w:div>
        <w:div w:id="1848786761">
          <w:marLeft w:val="640"/>
          <w:marRight w:val="0"/>
          <w:marTop w:val="0"/>
          <w:marBottom w:val="0"/>
          <w:divBdr>
            <w:top w:val="none" w:sz="0" w:space="0" w:color="auto"/>
            <w:left w:val="none" w:sz="0" w:space="0" w:color="auto"/>
            <w:bottom w:val="none" w:sz="0" w:space="0" w:color="auto"/>
            <w:right w:val="none" w:sz="0" w:space="0" w:color="auto"/>
          </w:divBdr>
        </w:div>
        <w:div w:id="84614609">
          <w:marLeft w:val="640"/>
          <w:marRight w:val="0"/>
          <w:marTop w:val="0"/>
          <w:marBottom w:val="0"/>
          <w:divBdr>
            <w:top w:val="none" w:sz="0" w:space="0" w:color="auto"/>
            <w:left w:val="none" w:sz="0" w:space="0" w:color="auto"/>
            <w:bottom w:val="none" w:sz="0" w:space="0" w:color="auto"/>
            <w:right w:val="none" w:sz="0" w:space="0" w:color="auto"/>
          </w:divBdr>
        </w:div>
        <w:div w:id="1062799530">
          <w:marLeft w:val="640"/>
          <w:marRight w:val="0"/>
          <w:marTop w:val="0"/>
          <w:marBottom w:val="0"/>
          <w:divBdr>
            <w:top w:val="none" w:sz="0" w:space="0" w:color="auto"/>
            <w:left w:val="none" w:sz="0" w:space="0" w:color="auto"/>
            <w:bottom w:val="none" w:sz="0" w:space="0" w:color="auto"/>
            <w:right w:val="none" w:sz="0" w:space="0" w:color="auto"/>
          </w:divBdr>
        </w:div>
        <w:div w:id="831258844">
          <w:marLeft w:val="640"/>
          <w:marRight w:val="0"/>
          <w:marTop w:val="0"/>
          <w:marBottom w:val="0"/>
          <w:divBdr>
            <w:top w:val="none" w:sz="0" w:space="0" w:color="auto"/>
            <w:left w:val="none" w:sz="0" w:space="0" w:color="auto"/>
            <w:bottom w:val="none" w:sz="0" w:space="0" w:color="auto"/>
            <w:right w:val="none" w:sz="0" w:space="0" w:color="auto"/>
          </w:divBdr>
        </w:div>
        <w:div w:id="624850725">
          <w:marLeft w:val="640"/>
          <w:marRight w:val="0"/>
          <w:marTop w:val="0"/>
          <w:marBottom w:val="0"/>
          <w:divBdr>
            <w:top w:val="none" w:sz="0" w:space="0" w:color="auto"/>
            <w:left w:val="none" w:sz="0" w:space="0" w:color="auto"/>
            <w:bottom w:val="none" w:sz="0" w:space="0" w:color="auto"/>
            <w:right w:val="none" w:sz="0" w:space="0" w:color="auto"/>
          </w:divBdr>
        </w:div>
        <w:div w:id="486897322">
          <w:marLeft w:val="640"/>
          <w:marRight w:val="0"/>
          <w:marTop w:val="0"/>
          <w:marBottom w:val="0"/>
          <w:divBdr>
            <w:top w:val="none" w:sz="0" w:space="0" w:color="auto"/>
            <w:left w:val="none" w:sz="0" w:space="0" w:color="auto"/>
            <w:bottom w:val="none" w:sz="0" w:space="0" w:color="auto"/>
            <w:right w:val="none" w:sz="0" w:space="0" w:color="auto"/>
          </w:divBdr>
        </w:div>
        <w:div w:id="564949265">
          <w:marLeft w:val="640"/>
          <w:marRight w:val="0"/>
          <w:marTop w:val="0"/>
          <w:marBottom w:val="0"/>
          <w:divBdr>
            <w:top w:val="none" w:sz="0" w:space="0" w:color="auto"/>
            <w:left w:val="none" w:sz="0" w:space="0" w:color="auto"/>
            <w:bottom w:val="none" w:sz="0" w:space="0" w:color="auto"/>
            <w:right w:val="none" w:sz="0" w:space="0" w:color="auto"/>
          </w:divBdr>
        </w:div>
        <w:div w:id="1049572007">
          <w:marLeft w:val="640"/>
          <w:marRight w:val="0"/>
          <w:marTop w:val="0"/>
          <w:marBottom w:val="0"/>
          <w:divBdr>
            <w:top w:val="none" w:sz="0" w:space="0" w:color="auto"/>
            <w:left w:val="none" w:sz="0" w:space="0" w:color="auto"/>
            <w:bottom w:val="none" w:sz="0" w:space="0" w:color="auto"/>
            <w:right w:val="none" w:sz="0" w:space="0" w:color="auto"/>
          </w:divBdr>
        </w:div>
        <w:div w:id="935792173">
          <w:marLeft w:val="640"/>
          <w:marRight w:val="0"/>
          <w:marTop w:val="0"/>
          <w:marBottom w:val="0"/>
          <w:divBdr>
            <w:top w:val="none" w:sz="0" w:space="0" w:color="auto"/>
            <w:left w:val="none" w:sz="0" w:space="0" w:color="auto"/>
            <w:bottom w:val="none" w:sz="0" w:space="0" w:color="auto"/>
            <w:right w:val="none" w:sz="0" w:space="0" w:color="auto"/>
          </w:divBdr>
        </w:div>
        <w:div w:id="155458575">
          <w:marLeft w:val="640"/>
          <w:marRight w:val="0"/>
          <w:marTop w:val="0"/>
          <w:marBottom w:val="0"/>
          <w:divBdr>
            <w:top w:val="none" w:sz="0" w:space="0" w:color="auto"/>
            <w:left w:val="none" w:sz="0" w:space="0" w:color="auto"/>
            <w:bottom w:val="none" w:sz="0" w:space="0" w:color="auto"/>
            <w:right w:val="none" w:sz="0" w:space="0" w:color="auto"/>
          </w:divBdr>
        </w:div>
        <w:div w:id="1614164918">
          <w:marLeft w:val="640"/>
          <w:marRight w:val="0"/>
          <w:marTop w:val="0"/>
          <w:marBottom w:val="0"/>
          <w:divBdr>
            <w:top w:val="none" w:sz="0" w:space="0" w:color="auto"/>
            <w:left w:val="none" w:sz="0" w:space="0" w:color="auto"/>
            <w:bottom w:val="none" w:sz="0" w:space="0" w:color="auto"/>
            <w:right w:val="none" w:sz="0" w:space="0" w:color="auto"/>
          </w:divBdr>
        </w:div>
        <w:div w:id="1193836440">
          <w:marLeft w:val="640"/>
          <w:marRight w:val="0"/>
          <w:marTop w:val="0"/>
          <w:marBottom w:val="0"/>
          <w:divBdr>
            <w:top w:val="none" w:sz="0" w:space="0" w:color="auto"/>
            <w:left w:val="none" w:sz="0" w:space="0" w:color="auto"/>
            <w:bottom w:val="none" w:sz="0" w:space="0" w:color="auto"/>
            <w:right w:val="none" w:sz="0" w:space="0" w:color="auto"/>
          </w:divBdr>
        </w:div>
        <w:div w:id="1255163237">
          <w:marLeft w:val="640"/>
          <w:marRight w:val="0"/>
          <w:marTop w:val="0"/>
          <w:marBottom w:val="0"/>
          <w:divBdr>
            <w:top w:val="none" w:sz="0" w:space="0" w:color="auto"/>
            <w:left w:val="none" w:sz="0" w:space="0" w:color="auto"/>
            <w:bottom w:val="none" w:sz="0" w:space="0" w:color="auto"/>
            <w:right w:val="none" w:sz="0" w:space="0" w:color="auto"/>
          </w:divBdr>
        </w:div>
        <w:div w:id="1275675465">
          <w:marLeft w:val="640"/>
          <w:marRight w:val="0"/>
          <w:marTop w:val="0"/>
          <w:marBottom w:val="0"/>
          <w:divBdr>
            <w:top w:val="none" w:sz="0" w:space="0" w:color="auto"/>
            <w:left w:val="none" w:sz="0" w:space="0" w:color="auto"/>
            <w:bottom w:val="none" w:sz="0" w:space="0" w:color="auto"/>
            <w:right w:val="none" w:sz="0" w:space="0" w:color="auto"/>
          </w:divBdr>
        </w:div>
        <w:div w:id="1884097299">
          <w:marLeft w:val="640"/>
          <w:marRight w:val="0"/>
          <w:marTop w:val="0"/>
          <w:marBottom w:val="0"/>
          <w:divBdr>
            <w:top w:val="none" w:sz="0" w:space="0" w:color="auto"/>
            <w:left w:val="none" w:sz="0" w:space="0" w:color="auto"/>
            <w:bottom w:val="none" w:sz="0" w:space="0" w:color="auto"/>
            <w:right w:val="none" w:sz="0" w:space="0" w:color="auto"/>
          </w:divBdr>
        </w:div>
        <w:div w:id="191185792">
          <w:marLeft w:val="640"/>
          <w:marRight w:val="0"/>
          <w:marTop w:val="0"/>
          <w:marBottom w:val="0"/>
          <w:divBdr>
            <w:top w:val="none" w:sz="0" w:space="0" w:color="auto"/>
            <w:left w:val="none" w:sz="0" w:space="0" w:color="auto"/>
            <w:bottom w:val="none" w:sz="0" w:space="0" w:color="auto"/>
            <w:right w:val="none" w:sz="0" w:space="0" w:color="auto"/>
          </w:divBdr>
        </w:div>
        <w:div w:id="342587371">
          <w:marLeft w:val="640"/>
          <w:marRight w:val="0"/>
          <w:marTop w:val="0"/>
          <w:marBottom w:val="0"/>
          <w:divBdr>
            <w:top w:val="none" w:sz="0" w:space="0" w:color="auto"/>
            <w:left w:val="none" w:sz="0" w:space="0" w:color="auto"/>
            <w:bottom w:val="none" w:sz="0" w:space="0" w:color="auto"/>
            <w:right w:val="none" w:sz="0" w:space="0" w:color="auto"/>
          </w:divBdr>
        </w:div>
        <w:div w:id="954823780">
          <w:marLeft w:val="640"/>
          <w:marRight w:val="0"/>
          <w:marTop w:val="0"/>
          <w:marBottom w:val="0"/>
          <w:divBdr>
            <w:top w:val="none" w:sz="0" w:space="0" w:color="auto"/>
            <w:left w:val="none" w:sz="0" w:space="0" w:color="auto"/>
            <w:bottom w:val="none" w:sz="0" w:space="0" w:color="auto"/>
            <w:right w:val="none" w:sz="0" w:space="0" w:color="auto"/>
          </w:divBdr>
        </w:div>
        <w:div w:id="867252245">
          <w:marLeft w:val="640"/>
          <w:marRight w:val="0"/>
          <w:marTop w:val="0"/>
          <w:marBottom w:val="0"/>
          <w:divBdr>
            <w:top w:val="none" w:sz="0" w:space="0" w:color="auto"/>
            <w:left w:val="none" w:sz="0" w:space="0" w:color="auto"/>
            <w:bottom w:val="none" w:sz="0" w:space="0" w:color="auto"/>
            <w:right w:val="none" w:sz="0" w:space="0" w:color="auto"/>
          </w:divBdr>
        </w:div>
        <w:div w:id="879437960">
          <w:marLeft w:val="640"/>
          <w:marRight w:val="0"/>
          <w:marTop w:val="0"/>
          <w:marBottom w:val="0"/>
          <w:divBdr>
            <w:top w:val="none" w:sz="0" w:space="0" w:color="auto"/>
            <w:left w:val="none" w:sz="0" w:space="0" w:color="auto"/>
            <w:bottom w:val="none" w:sz="0" w:space="0" w:color="auto"/>
            <w:right w:val="none" w:sz="0" w:space="0" w:color="auto"/>
          </w:divBdr>
        </w:div>
        <w:div w:id="48725312">
          <w:marLeft w:val="640"/>
          <w:marRight w:val="0"/>
          <w:marTop w:val="0"/>
          <w:marBottom w:val="0"/>
          <w:divBdr>
            <w:top w:val="none" w:sz="0" w:space="0" w:color="auto"/>
            <w:left w:val="none" w:sz="0" w:space="0" w:color="auto"/>
            <w:bottom w:val="none" w:sz="0" w:space="0" w:color="auto"/>
            <w:right w:val="none" w:sz="0" w:space="0" w:color="auto"/>
          </w:divBdr>
        </w:div>
        <w:div w:id="161698274">
          <w:marLeft w:val="640"/>
          <w:marRight w:val="0"/>
          <w:marTop w:val="0"/>
          <w:marBottom w:val="0"/>
          <w:divBdr>
            <w:top w:val="none" w:sz="0" w:space="0" w:color="auto"/>
            <w:left w:val="none" w:sz="0" w:space="0" w:color="auto"/>
            <w:bottom w:val="none" w:sz="0" w:space="0" w:color="auto"/>
            <w:right w:val="none" w:sz="0" w:space="0" w:color="auto"/>
          </w:divBdr>
        </w:div>
        <w:div w:id="564921976">
          <w:marLeft w:val="640"/>
          <w:marRight w:val="0"/>
          <w:marTop w:val="0"/>
          <w:marBottom w:val="0"/>
          <w:divBdr>
            <w:top w:val="none" w:sz="0" w:space="0" w:color="auto"/>
            <w:left w:val="none" w:sz="0" w:space="0" w:color="auto"/>
            <w:bottom w:val="none" w:sz="0" w:space="0" w:color="auto"/>
            <w:right w:val="none" w:sz="0" w:space="0" w:color="auto"/>
          </w:divBdr>
        </w:div>
        <w:div w:id="387732328">
          <w:marLeft w:val="640"/>
          <w:marRight w:val="0"/>
          <w:marTop w:val="0"/>
          <w:marBottom w:val="0"/>
          <w:divBdr>
            <w:top w:val="none" w:sz="0" w:space="0" w:color="auto"/>
            <w:left w:val="none" w:sz="0" w:space="0" w:color="auto"/>
            <w:bottom w:val="none" w:sz="0" w:space="0" w:color="auto"/>
            <w:right w:val="none" w:sz="0" w:space="0" w:color="auto"/>
          </w:divBdr>
        </w:div>
      </w:divsChild>
    </w:div>
    <w:div w:id="1275599795">
      <w:bodyDiv w:val="1"/>
      <w:marLeft w:val="0"/>
      <w:marRight w:val="0"/>
      <w:marTop w:val="0"/>
      <w:marBottom w:val="0"/>
      <w:divBdr>
        <w:top w:val="none" w:sz="0" w:space="0" w:color="auto"/>
        <w:left w:val="none" w:sz="0" w:space="0" w:color="auto"/>
        <w:bottom w:val="none" w:sz="0" w:space="0" w:color="auto"/>
        <w:right w:val="none" w:sz="0" w:space="0" w:color="auto"/>
      </w:divBdr>
      <w:divsChild>
        <w:div w:id="1913923580">
          <w:marLeft w:val="640"/>
          <w:marRight w:val="0"/>
          <w:marTop w:val="0"/>
          <w:marBottom w:val="0"/>
          <w:divBdr>
            <w:top w:val="none" w:sz="0" w:space="0" w:color="auto"/>
            <w:left w:val="none" w:sz="0" w:space="0" w:color="auto"/>
            <w:bottom w:val="none" w:sz="0" w:space="0" w:color="auto"/>
            <w:right w:val="none" w:sz="0" w:space="0" w:color="auto"/>
          </w:divBdr>
        </w:div>
        <w:div w:id="417285628">
          <w:marLeft w:val="640"/>
          <w:marRight w:val="0"/>
          <w:marTop w:val="0"/>
          <w:marBottom w:val="0"/>
          <w:divBdr>
            <w:top w:val="none" w:sz="0" w:space="0" w:color="auto"/>
            <w:left w:val="none" w:sz="0" w:space="0" w:color="auto"/>
            <w:bottom w:val="none" w:sz="0" w:space="0" w:color="auto"/>
            <w:right w:val="none" w:sz="0" w:space="0" w:color="auto"/>
          </w:divBdr>
        </w:div>
        <w:div w:id="2010667888">
          <w:marLeft w:val="640"/>
          <w:marRight w:val="0"/>
          <w:marTop w:val="0"/>
          <w:marBottom w:val="0"/>
          <w:divBdr>
            <w:top w:val="none" w:sz="0" w:space="0" w:color="auto"/>
            <w:left w:val="none" w:sz="0" w:space="0" w:color="auto"/>
            <w:bottom w:val="none" w:sz="0" w:space="0" w:color="auto"/>
            <w:right w:val="none" w:sz="0" w:space="0" w:color="auto"/>
          </w:divBdr>
        </w:div>
        <w:div w:id="214464986">
          <w:marLeft w:val="640"/>
          <w:marRight w:val="0"/>
          <w:marTop w:val="0"/>
          <w:marBottom w:val="0"/>
          <w:divBdr>
            <w:top w:val="none" w:sz="0" w:space="0" w:color="auto"/>
            <w:left w:val="none" w:sz="0" w:space="0" w:color="auto"/>
            <w:bottom w:val="none" w:sz="0" w:space="0" w:color="auto"/>
            <w:right w:val="none" w:sz="0" w:space="0" w:color="auto"/>
          </w:divBdr>
        </w:div>
        <w:div w:id="1441758618">
          <w:marLeft w:val="640"/>
          <w:marRight w:val="0"/>
          <w:marTop w:val="0"/>
          <w:marBottom w:val="0"/>
          <w:divBdr>
            <w:top w:val="none" w:sz="0" w:space="0" w:color="auto"/>
            <w:left w:val="none" w:sz="0" w:space="0" w:color="auto"/>
            <w:bottom w:val="none" w:sz="0" w:space="0" w:color="auto"/>
            <w:right w:val="none" w:sz="0" w:space="0" w:color="auto"/>
          </w:divBdr>
        </w:div>
        <w:div w:id="1773936373">
          <w:marLeft w:val="640"/>
          <w:marRight w:val="0"/>
          <w:marTop w:val="0"/>
          <w:marBottom w:val="0"/>
          <w:divBdr>
            <w:top w:val="none" w:sz="0" w:space="0" w:color="auto"/>
            <w:left w:val="none" w:sz="0" w:space="0" w:color="auto"/>
            <w:bottom w:val="none" w:sz="0" w:space="0" w:color="auto"/>
            <w:right w:val="none" w:sz="0" w:space="0" w:color="auto"/>
          </w:divBdr>
        </w:div>
        <w:div w:id="614680838">
          <w:marLeft w:val="640"/>
          <w:marRight w:val="0"/>
          <w:marTop w:val="0"/>
          <w:marBottom w:val="0"/>
          <w:divBdr>
            <w:top w:val="none" w:sz="0" w:space="0" w:color="auto"/>
            <w:left w:val="none" w:sz="0" w:space="0" w:color="auto"/>
            <w:bottom w:val="none" w:sz="0" w:space="0" w:color="auto"/>
            <w:right w:val="none" w:sz="0" w:space="0" w:color="auto"/>
          </w:divBdr>
        </w:div>
        <w:div w:id="701634081">
          <w:marLeft w:val="640"/>
          <w:marRight w:val="0"/>
          <w:marTop w:val="0"/>
          <w:marBottom w:val="0"/>
          <w:divBdr>
            <w:top w:val="none" w:sz="0" w:space="0" w:color="auto"/>
            <w:left w:val="none" w:sz="0" w:space="0" w:color="auto"/>
            <w:bottom w:val="none" w:sz="0" w:space="0" w:color="auto"/>
            <w:right w:val="none" w:sz="0" w:space="0" w:color="auto"/>
          </w:divBdr>
        </w:div>
        <w:div w:id="605968060">
          <w:marLeft w:val="640"/>
          <w:marRight w:val="0"/>
          <w:marTop w:val="0"/>
          <w:marBottom w:val="0"/>
          <w:divBdr>
            <w:top w:val="none" w:sz="0" w:space="0" w:color="auto"/>
            <w:left w:val="none" w:sz="0" w:space="0" w:color="auto"/>
            <w:bottom w:val="none" w:sz="0" w:space="0" w:color="auto"/>
            <w:right w:val="none" w:sz="0" w:space="0" w:color="auto"/>
          </w:divBdr>
        </w:div>
        <w:div w:id="1180045355">
          <w:marLeft w:val="640"/>
          <w:marRight w:val="0"/>
          <w:marTop w:val="0"/>
          <w:marBottom w:val="0"/>
          <w:divBdr>
            <w:top w:val="none" w:sz="0" w:space="0" w:color="auto"/>
            <w:left w:val="none" w:sz="0" w:space="0" w:color="auto"/>
            <w:bottom w:val="none" w:sz="0" w:space="0" w:color="auto"/>
            <w:right w:val="none" w:sz="0" w:space="0" w:color="auto"/>
          </w:divBdr>
        </w:div>
        <w:div w:id="772434114">
          <w:marLeft w:val="640"/>
          <w:marRight w:val="0"/>
          <w:marTop w:val="0"/>
          <w:marBottom w:val="0"/>
          <w:divBdr>
            <w:top w:val="none" w:sz="0" w:space="0" w:color="auto"/>
            <w:left w:val="none" w:sz="0" w:space="0" w:color="auto"/>
            <w:bottom w:val="none" w:sz="0" w:space="0" w:color="auto"/>
            <w:right w:val="none" w:sz="0" w:space="0" w:color="auto"/>
          </w:divBdr>
        </w:div>
        <w:div w:id="1712993217">
          <w:marLeft w:val="640"/>
          <w:marRight w:val="0"/>
          <w:marTop w:val="0"/>
          <w:marBottom w:val="0"/>
          <w:divBdr>
            <w:top w:val="none" w:sz="0" w:space="0" w:color="auto"/>
            <w:left w:val="none" w:sz="0" w:space="0" w:color="auto"/>
            <w:bottom w:val="none" w:sz="0" w:space="0" w:color="auto"/>
            <w:right w:val="none" w:sz="0" w:space="0" w:color="auto"/>
          </w:divBdr>
        </w:div>
        <w:div w:id="2011562918">
          <w:marLeft w:val="640"/>
          <w:marRight w:val="0"/>
          <w:marTop w:val="0"/>
          <w:marBottom w:val="0"/>
          <w:divBdr>
            <w:top w:val="none" w:sz="0" w:space="0" w:color="auto"/>
            <w:left w:val="none" w:sz="0" w:space="0" w:color="auto"/>
            <w:bottom w:val="none" w:sz="0" w:space="0" w:color="auto"/>
            <w:right w:val="none" w:sz="0" w:space="0" w:color="auto"/>
          </w:divBdr>
        </w:div>
        <w:div w:id="1241869663">
          <w:marLeft w:val="640"/>
          <w:marRight w:val="0"/>
          <w:marTop w:val="0"/>
          <w:marBottom w:val="0"/>
          <w:divBdr>
            <w:top w:val="none" w:sz="0" w:space="0" w:color="auto"/>
            <w:left w:val="none" w:sz="0" w:space="0" w:color="auto"/>
            <w:bottom w:val="none" w:sz="0" w:space="0" w:color="auto"/>
            <w:right w:val="none" w:sz="0" w:space="0" w:color="auto"/>
          </w:divBdr>
        </w:div>
        <w:div w:id="644970831">
          <w:marLeft w:val="640"/>
          <w:marRight w:val="0"/>
          <w:marTop w:val="0"/>
          <w:marBottom w:val="0"/>
          <w:divBdr>
            <w:top w:val="none" w:sz="0" w:space="0" w:color="auto"/>
            <w:left w:val="none" w:sz="0" w:space="0" w:color="auto"/>
            <w:bottom w:val="none" w:sz="0" w:space="0" w:color="auto"/>
            <w:right w:val="none" w:sz="0" w:space="0" w:color="auto"/>
          </w:divBdr>
        </w:div>
        <w:div w:id="1805810173">
          <w:marLeft w:val="640"/>
          <w:marRight w:val="0"/>
          <w:marTop w:val="0"/>
          <w:marBottom w:val="0"/>
          <w:divBdr>
            <w:top w:val="none" w:sz="0" w:space="0" w:color="auto"/>
            <w:left w:val="none" w:sz="0" w:space="0" w:color="auto"/>
            <w:bottom w:val="none" w:sz="0" w:space="0" w:color="auto"/>
            <w:right w:val="none" w:sz="0" w:space="0" w:color="auto"/>
          </w:divBdr>
        </w:div>
        <w:div w:id="978874139">
          <w:marLeft w:val="640"/>
          <w:marRight w:val="0"/>
          <w:marTop w:val="0"/>
          <w:marBottom w:val="0"/>
          <w:divBdr>
            <w:top w:val="none" w:sz="0" w:space="0" w:color="auto"/>
            <w:left w:val="none" w:sz="0" w:space="0" w:color="auto"/>
            <w:bottom w:val="none" w:sz="0" w:space="0" w:color="auto"/>
            <w:right w:val="none" w:sz="0" w:space="0" w:color="auto"/>
          </w:divBdr>
        </w:div>
        <w:div w:id="1905601009">
          <w:marLeft w:val="640"/>
          <w:marRight w:val="0"/>
          <w:marTop w:val="0"/>
          <w:marBottom w:val="0"/>
          <w:divBdr>
            <w:top w:val="none" w:sz="0" w:space="0" w:color="auto"/>
            <w:left w:val="none" w:sz="0" w:space="0" w:color="auto"/>
            <w:bottom w:val="none" w:sz="0" w:space="0" w:color="auto"/>
            <w:right w:val="none" w:sz="0" w:space="0" w:color="auto"/>
          </w:divBdr>
        </w:div>
        <w:div w:id="1669402203">
          <w:marLeft w:val="640"/>
          <w:marRight w:val="0"/>
          <w:marTop w:val="0"/>
          <w:marBottom w:val="0"/>
          <w:divBdr>
            <w:top w:val="none" w:sz="0" w:space="0" w:color="auto"/>
            <w:left w:val="none" w:sz="0" w:space="0" w:color="auto"/>
            <w:bottom w:val="none" w:sz="0" w:space="0" w:color="auto"/>
            <w:right w:val="none" w:sz="0" w:space="0" w:color="auto"/>
          </w:divBdr>
        </w:div>
      </w:divsChild>
    </w:div>
    <w:div w:id="1278875573">
      <w:bodyDiv w:val="1"/>
      <w:marLeft w:val="0"/>
      <w:marRight w:val="0"/>
      <w:marTop w:val="0"/>
      <w:marBottom w:val="0"/>
      <w:divBdr>
        <w:top w:val="none" w:sz="0" w:space="0" w:color="auto"/>
        <w:left w:val="none" w:sz="0" w:space="0" w:color="auto"/>
        <w:bottom w:val="none" w:sz="0" w:space="0" w:color="auto"/>
        <w:right w:val="none" w:sz="0" w:space="0" w:color="auto"/>
      </w:divBdr>
      <w:divsChild>
        <w:div w:id="1689797036">
          <w:marLeft w:val="640"/>
          <w:marRight w:val="0"/>
          <w:marTop w:val="0"/>
          <w:marBottom w:val="0"/>
          <w:divBdr>
            <w:top w:val="none" w:sz="0" w:space="0" w:color="auto"/>
            <w:left w:val="none" w:sz="0" w:space="0" w:color="auto"/>
            <w:bottom w:val="none" w:sz="0" w:space="0" w:color="auto"/>
            <w:right w:val="none" w:sz="0" w:space="0" w:color="auto"/>
          </w:divBdr>
        </w:div>
        <w:div w:id="1833910659">
          <w:marLeft w:val="640"/>
          <w:marRight w:val="0"/>
          <w:marTop w:val="0"/>
          <w:marBottom w:val="0"/>
          <w:divBdr>
            <w:top w:val="none" w:sz="0" w:space="0" w:color="auto"/>
            <w:left w:val="none" w:sz="0" w:space="0" w:color="auto"/>
            <w:bottom w:val="none" w:sz="0" w:space="0" w:color="auto"/>
            <w:right w:val="none" w:sz="0" w:space="0" w:color="auto"/>
          </w:divBdr>
        </w:div>
        <w:div w:id="552812590">
          <w:marLeft w:val="640"/>
          <w:marRight w:val="0"/>
          <w:marTop w:val="0"/>
          <w:marBottom w:val="0"/>
          <w:divBdr>
            <w:top w:val="none" w:sz="0" w:space="0" w:color="auto"/>
            <w:left w:val="none" w:sz="0" w:space="0" w:color="auto"/>
            <w:bottom w:val="none" w:sz="0" w:space="0" w:color="auto"/>
            <w:right w:val="none" w:sz="0" w:space="0" w:color="auto"/>
          </w:divBdr>
        </w:div>
        <w:div w:id="2026054327">
          <w:marLeft w:val="640"/>
          <w:marRight w:val="0"/>
          <w:marTop w:val="0"/>
          <w:marBottom w:val="0"/>
          <w:divBdr>
            <w:top w:val="none" w:sz="0" w:space="0" w:color="auto"/>
            <w:left w:val="none" w:sz="0" w:space="0" w:color="auto"/>
            <w:bottom w:val="none" w:sz="0" w:space="0" w:color="auto"/>
            <w:right w:val="none" w:sz="0" w:space="0" w:color="auto"/>
          </w:divBdr>
        </w:div>
        <w:div w:id="221064226">
          <w:marLeft w:val="640"/>
          <w:marRight w:val="0"/>
          <w:marTop w:val="0"/>
          <w:marBottom w:val="0"/>
          <w:divBdr>
            <w:top w:val="none" w:sz="0" w:space="0" w:color="auto"/>
            <w:left w:val="none" w:sz="0" w:space="0" w:color="auto"/>
            <w:bottom w:val="none" w:sz="0" w:space="0" w:color="auto"/>
            <w:right w:val="none" w:sz="0" w:space="0" w:color="auto"/>
          </w:divBdr>
        </w:div>
        <w:div w:id="693073890">
          <w:marLeft w:val="640"/>
          <w:marRight w:val="0"/>
          <w:marTop w:val="0"/>
          <w:marBottom w:val="0"/>
          <w:divBdr>
            <w:top w:val="none" w:sz="0" w:space="0" w:color="auto"/>
            <w:left w:val="none" w:sz="0" w:space="0" w:color="auto"/>
            <w:bottom w:val="none" w:sz="0" w:space="0" w:color="auto"/>
            <w:right w:val="none" w:sz="0" w:space="0" w:color="auto"/>
          </w:divBdr>
        </w:div>
        <w:div w:id="774596923">
          <w:marLeft w:val="640"/>
          <w:marRight w:val="0"/>
          <w:marTop w:val="0"/>
          <w:marBottom w:val="0"/>
          <w:divBdr>
            <w:top w:val="none" w:sz="0" w:space="0" w:color="auto"/>
            <w:left w:val="none" w:sz="0" w:space="0" w:color="auto"/>
            <w:bottom w:val="none" w:sz="0" w:space="0" w:color="auto"/>
            <w:right w:val="none" w:sz="0" w:space="0" w:color="auto"/>
          </w:divBdr>
        </w:div>
        <w:div w:id="2004581423">
          <w:marLeft w:val="640"/>
          <w:marRight w:val="0"/>
          <w:marTop w:val="0"/>
          <w:marBottom w:val="0"/>
          <w:divBdr>
            <w:top w:val="none" w:sz="0" w:space="0" w:color="auto"/>
            <w:left w:val="none" w:sz="0" w:space="0" w:color="auto"/>
            <w:bottom w:val="none" w:sz="0" w:space="0" w:color="auto"/>
            <w:right w:val="none" w:sz="0" w:space="0" w:color="auto"/>
          </w:divBdr>
        </w:div>
        <w:div w:id="705062642">
          <w:marLeft w:val="640"/>
          <w:marRight w:val="0"/>
          <w:marTop w:val="0"/>
          <w:marBottom w:val="0"/>
          <w:divBdr>
            <w:top w:val="none" w:sz="0" w:space="0" w:color="auto"/>
            <w:left w:val="none" w:sz="0" w:space="0" w:color="auto"/>
            <w:bottom w:val="none" w:sz="0" w:space="0" w:color="auto"/>
            <w:right w:val="none" w:sz="0" w:space="0" w:color="auto"/>
          </w:divBdr>
        </w:div>
        <w:div w:id="607545064">
          <w:marLeft w:val="640"/>
          <w:marRight w:val="0"/>
          <w:marTop w:val="0"/>
          <w:marBottom w:val="0"/>
          <w:divBdr>
            <w:top w:val="none" w:sz="0" w:space="0" w:color="auto"/>
            <w:left w:val="none" w:sz="0" w:space="0" w:color="auto"/>
            <w:bottom w:val="none" w:sz="0" w:space="0" w:color="auto"/>
            <w:right w:val="none" w:sz="0" w:space="0" w:color="auto"/>
          </w:divBdr>
        </w:div>
        <w:div w:id="676543309">
          <w:marLeft w:val="640"/>
          <w:marRight w:val="0"/>
          <w:marTop w:val="0"/>
          <w:marBottom w:val="0"/>
          <w:divBdr>
            <w:top w:val="none" w:sz="0" w:space="0" w:color="auto"/>
            <w:left w:val="none" w:sz="0" w:space="0" w:color="auto"/>
            <w:bottom w:val="none" w:sz="0" w:space="0" w:color="auto"/>
            <w:right w:val="none" w:sz="0" w:space="0" w:color="auto"/>
          </w:divBdr>
        </w:div>
        <w:div w:id="935864323">
          <w:marLeft w:val="640"/>
          <w:marRight w:val="0"/>
          <w:marTop w:val="0"/>
          <w:marBottom w:val="0"/>
          <w:divBdr>
            <w:top w:val="none" w:sz="0" w:space="0" w:color="auto"/>
            <w:left w:val="none" w:sz="0" w:space="0" w:color="auto"/>
            <w:bottom w:val="none" w:sz="0" w:space="0" w:color="auto"/>
            <w:right w:val="none" w:sz="0" w:space="0" w:color="auto"/>
          </w:divBdr>
        </w:div>
        <w:div w:id="845553952">
          <w:marLeft w:val="640"/>
          <w:marRight w:val="0"/>
          <w:marTop w:val="0"/>
          <w:marBottom w:val="0"/>
          <w:divBdr>
            <w:top w:val="none" w:sz="0" w:space="0" w:color="auto"/>
            <w:left w:val="none" w:sz="0" w:space="0" w:color="auto"/>
            <w:bottom w:val="none" w:sz="0" w:space="0" w:color="auto"/>
            <w:right w:val="none" w:sz="0" w:space="0" w:color="auto"/>
          </w:divBdr>
        </w:div>
        <w:div w:id="1877961284">
          <w:marLeft w:val="640"/>
          <w:marRight w:val="0"/>
          <w:marTop w:val="0"/>
          <w:marBottom w:val="0"/>
          <w:divBdr>
            <w:top w:val="none" w:sz="0" w:space="0" w:color="auto"/>
            <w:left w:val="none" w:sz="0" w:space="0" w:color="auto"/>
            <w:bottom w:val="none" w:sz="0" w:space="0" w:color="auto"/>
            <w:right w:val="none" w:sz="0" w:space="0" w:color="auto"/>
          </w:divBdr>
        </w:div>
        <w:div w:id="914240278">
          <w:marLeft w:val="640"/>
          <w:marRight w:val="0"/>
          <w:marTop w:val="0"/>
          <w:marBottom w:val="0"/>
          <w:divBdr>
            <w:top w:val="none" w:sz="0" w:space="0" w:color="auto"/>
            <w:left w:val="none" w:sz="0" w:space="0" w:color="auto"/>
            <w:bottom w:val="none" w:sz="0" w:space="0" w:color="auto"/>
            <w:right w:val="none" w:sz="0" w:space="0" w:color="auto"/>
          </w:divBdr>
        </w:div>
        <w:div w:id="1249147023">
          <w:marLeft w:val="640"/>
          <w:marRight w:val="0"/>
          <w:marTop w:val="0"/>
          <w:marBottom w:val="0"/>
          <w:divBdr>
            <w:top w:val="none" w:sz="0" w:space="0" w:color="auto"/>
            <w:left w:val="none" w:sz="0" w:space="0" w:color="auto"/>
            <w:bottom w:val="none" w:sz="0" w:space="0" w:color="auto"/>
            <w:right w:val="none" w:sz="0" w:space="0" w:color="auto"/>
          </w:divBdr>
        </w:div>
        <w:div w:id="1071007014">
          <w:marLeft w:val="640"/>
          <w:marRight w:val="0"/>
          <w:marTop w:val="0"/>
          <w:marBottom w:val="0"/>
          <w:divBdr>
            <w:top w:val="none" w:sz="0" w:space="0" w:color="auto"/>
            <w:left w:val="none" w:sz="0" w:space="0" w:color="auto"/>
            <w:bottom w:val="none" w:sz="0" w:space="0" w:color="auto"/>
            <w:right w:val="none" w:sz="0" w:space="0" w:color="auto"/>
          </w:divBdr>
        </w:div>
        <w:div w:id="1118838540">
          <w:marLeft w:val="640"/>
          <w:marRight w:val="0"/>
          <w:marTop w:val="0"/>
          <w:marBottom w:val="0"/>
          <w:divBdr>
            <w:top w:val="none" w:sz="0" w:space="0" w:color="auto"/>
            <w:left w:val="none" w:sz="0" w:space="0" w:color="auto"/>
            <w:bottom w:val="none" w:sz="0" w:space="0" w:color="auto"/>
            <w:right w:val="none" w:sz="0" w:space="0" w:color="auto"/>
          </w:divBdr>
        </w:div>
        <w:div w:id="450588801">
          <w:marLeft w:val="640"/>
          <w:marRight w:val="0"/>
          <w:marTop w:val="0"/>
          <w:marBottom w:val="0"/>
          <w:divBdr>
            <w:top w:val="none" w:sz="0" w:space="0" w:color="auto"/>
            <w:left w:val="none" w:sz="0" w:space="0" w:color="auto"/>
            <w:bottom w:val="none" w:sz="0" w:space="0" w:color="auto"/>
            <w:right w:val="none" w:sz="0" w:space="0" w:color="auto"/>
          </w:divBdr>
        </w:div>
        <w:div w:id="2019968444">
          <w:marLeft w:val="640"/>
          <w:marRight w:val="0"/>
          <w:marTop w:val="0"/>
          <w:marBottom w:val="0"/>
          <w:divBdr>
            <w:top w:val="none" w:sz="0" w:space="0" w:color="auto"/>
            <w:left w:val="none" w:sz="0" w:space="0" w:color="auto"/>
            <w:bottom w:val="none" w:sz="0" w:space="0" w:color="auto"/>
            <w:right w:val="none" w:sz="0" w:space="0" w:color="auto"/>
          </w:divBdr>
        </w:div>
        <w:div w:id="125437560">
          <w:marLeft w:val="640"/>
          <w:marRight w:val="0"/>
          <w:marTop w:val="0"/>
          <w:marBottom w:val="0"/>
          <w:divBdr>
            <w:top w:val="none" w:sz="0" w:space="0" w:color="auto"/>
            <w:left w:val="none" w:sz="0" w:space="0" w:color="auto"/>
            <w:bottom w:val="none" w:sz="0" w:space="0" w:color="auto"/>
            <w:right w:val="none" w:sz="0" w:space="0" w:color="auto"/>
          </w:divBdr>
        </w:div>
        <w:div w:id="792946078">
          <w:marLeft w:val="640"/>
          <w:marRight w:val="0"/>
          <w:marTop w:val="0"/>
          <w:marBottom w:val="0"/>
          <w:divBdr>
            <w:top w:val="none" w:sz="0" w:space="0" w:color="auto"/>
            <w:left w:val="none" w:sz="0" w:space="0" w:color="auto"/>
            <w:bottom w:val="none" w:sz="0" w:space="0" w:color="auto"/>
            <w:right w:val="none" w:sz="0" w:space="0" w:color="auto"/>
          </w:divBdr>
        </w:div>
        <w:div w:id="1168592729">
          <w:marLeft w:val="640"/>
          <w:marRight w:val="0"/>
          <w:marTop w:val="0"/>
          <w:marBottom w:val="0"/>
          <w:divBdr>
            <w:top w:val="none" w:sz="0" w:space="0" w:color="auto"/>
            <w:left w:val="none" w:sz="0" w:space="0" w:color="auto"/>
            <w:bottom w:val="none" w:sz="0" w:space="0" w:color="auto"/>
            <w:right w:val="none" w:sz="0" w:space="0" w:color="auto"/>
          </w:divBdr>
        </w:div>
        <w:div w:id="1485001518">
          <w:marLeft w:val="640"/>
          <w:marRight w:val="0"/>
          <w:marTop w:val="0"/>
          <w:marBottom w:val="0"/>
          <w:divBdr>
            <w:top w:val="none" w:sz="0" w:space="0" w:color="auto"/>
            <w:left w:val="none" w:sz="0" w:space="0" w:color="auto"/>
            <w:bottom w:val="none" w:sz="0" w:space="0" w:color="auto"/>
            <w:right w:val="none" w:sz="0" w:space="0" w:color="auto"/>
          </w:divBdr>
        </w:div>
        <w:div w:id="1080786765">
          <w:marLeft w:val="640"/>
          <w:marRight w:val="0"/>
          <w:marTop w:val="0"/>
          <w:marBottom w:val="0"/>
          <w:divBdr>
            <w:top w:val="none" w:sz="0" w:space="0" w:color="auto"/>
            <w:left w:val="none" w:sz="0" w:space="0" w:color="auto"/>
            <w:bottom w:val="none" w:sz="0" w:space="0" w:color="auto"/>
            <w:right w:val="none" w:sz="0" w:space="0" w:color="auto"/>
          </w:divBdr>
        </w:div>
        <w:div w:id="1952007250">
          <w:marLeft w:val="640"/>
          <w:marRight w:val="0"/>
          <w:marTop w:val="0"/>
          <w:marBottom w:val="0"/>
          <w:divBdr>
            <w:top w:val="none" w:sz="0" w:space="0" w:color="auto"/>
            <w:left w:val="none" w:sz="0" w:space="0" w:color="auto"/>
            <w:bottom w:val="none" w:sz="0" w:space="0" w:color="auto"/>
            <w:right w:val="none" w:sz="0" w:space="0" w:color="auto"/>
          </w:divBdr>
        </w:div>
        <w:div w:id="1207914">
          <w:marLeft w:val="640"/>
          <w:marRight w:val="0"/>
          <w:marTop w:val="0"/>
          <w:marBottom w:val="0"/>
          <w:divBdr>
            <w:top w:val="none" w:sz="0" w:space="0" w:color="auto"/>
            <w:left w:val="none" w:sz="0" w:space="0" w:color="auto"/>
            <w:bottom w:val="none" w:sz="0" w:space="0" w:color="auto"/>
            <w:right w:val="none" w:sz="0" w:space="0" w:color="auto"/>
          </w:divBdr>
        </w:div>
      </w:divsChild>
    </w:div>
    <w:div w:id="1288584659">
      <w:bodyDiv w:val="1"/>
      <w:marLeft w:val="0"/>
      <w:marRight w:val="0"/>
      <w:marTop w:val="0"/>
      <w:marBottom w:val="0"/>
      <w:divBdr>
        <w:top w:val="none" w:sz="0" w:space="0" w:color="auto"/>
        <w:left w:val="none" w:sz="0" w:space="0" w:color="auto"/>
        <w:bottom w:val="none" w:sz="0" w:space="0" w:color="auto"/>
        <w:right w:val="none" w:sz="0" w:space="0" w:color="auto"/>
      </w:divBdr>
      <w:divsChild>
        <w:div w:id="2092312419">
          <w:marLeft w:val="640"/>
          <w:marRight w:val="0"/>
          <w:marTop w:val="0"/>
          <w:marBottom w:val="0"/>
          <w:divBdr>
            <w:top w:val="none" w:sz="0" w:space="0" w:color="auto"/>
            <w:left w:val="none" w:sz="0" w:space="0" w:color="auto"/>
            <w:bottom w:val="none" w:sz="0" w:space="0" w:color="auto"/>
            <w:right w:val="none" w:sz="0" w:space="0" w:color="auto"/>
          </w:divBdr>
        </w:div>
        <w:div w:id="452486188">
          <w:marLeft w:val="640"/>
          <w:marRight w:val="0"/>
          <w:marTop w:val="0"/>
          <w:marBottom w:val="0"/>
          <w:divBdr>
            <w:top w:val="none" w:sz="0" w:space="0" w:color="auto"/>
            <w:left w:val="none" w:sz="0" w:space="0" w:color="auto"/>
            <w:bottom w:val="none" w:sz="0" w:space="0" w:color="auto"/>
            <w:right w:val="none" w:sz="0" w:space="0" w:color="auto"/>
          </w:divBdr>
        </w:div>
        <w:div w:id="1138910453">
          <w:marLeft w:val="640"/>
          <w:marRight w:val="0"/>
          <w:marTop w:val="0"/>
          <w:marBottom w:val="0"/>
          <w:divBdr>
            <w:top w:val="none" w:sz="0" w:space="0" w:color="auto"/>
            <w:left w:val="none" w:sz="0" w:space="0" w:color="auto"/>
            <w:bottom w:val="none" w:sz="0" w:space="0" w:color="auto"/>
            <w:right w:val="none" w:sz="0" w:space="0" w:color="auto"/>
          </w:divBdr>
        </w:div>
        <w:div w:id="1719544919">
          <w:marLeft w:val="640"/>
          <w:marRight w:val="0"/>
          <w:marTop w:val="0"/>
          <w:marBottom w:val="0"/>
          <w:divBdr>
            <w:top w:val="none" w:sz="0" w:space="0" w:color="auto"/>
            <w:left w:val="none" w:sz="0" w:space="0" w:color="auto"/>
            <w:bottom w:val="none" w:sz="0" w:space="0" w:color="auto"/>
            <w:right w:val="none" w:sz="0" w:space="0" w:color="auto"/>
          </w:divBdr>
        </w:div>
        <w:div w:id="174199837">
          <w:marLeft w:val="640"/>
          <w:marRight w:val="0"/>
          <w:marTop w:val="0"/>
          <w:marBottom w:val="0"/>
          <w:divBdr>
            <w:top w:val="none" w:sz="0" w:space="0" w:color="auto"/>
            <w:left w:val="none" w:sz="0" w:space="0" w:color="auto"/>
            <w:bottom w:val="none" w:sz="0" w:space="0" w:color="auto"/>
            <w:right w:val="none" w:sz="0" w:space="0" w:color="auto"/>
          </w:divBdr>
        </w:div>
        <w:div w:id="183135141">
          <w:marLeft w:val="640"/>
          <w:marRight w:val="0"/>
          <w:marTop w:val="0"/>
          <w:marBottom w:val="0"/>
          <w:divBdr>
            <w:top w:val="none" w:sz="0" w:space="0" w:color="auto"/>
            <w:left w:val="none" w:sz="0" w:space="0" w:color="auto"/>
            <w:bottom w:val="none" w:sz="0" w:space="0" w:color="auto"/>
            <w:right w:val="none" w:sz="0" w:space="0" w:color="auto"/>
          </w:divBdr>
        </w:div>
        <w:div w:id="1033850007">
          <w:marLeft w:val="640"/>
          <w:marRight w:val="0"/>
          <w:marTop w:val="0"/>
          <w:marBottom w:val="0"/>
          <w:divBdr>
            <w:top w:val="none" w:sz="0" w:space="0" w:color="auto"/>
            <w:left w:val="none" w:sz="0" w:space="0" w:color="auto"/>
            <w:bottom w:val="none" w:sz="0" w:space="0" w:color="auto"/>
            <w:right w:val="none" w:sz="0" w:space="0" w:color="auto"/>
          </w:divBdr>
        </w:div>
        <w:div w:id="1883977309">
          <w:marLeft w:val="640"/>
          <w:marRight w:val="0"/>
          <w:marTop w:val="0"/>
          <w:marBottom w:val="0"/>
          <w:divBdr>
            <w:top w:val="none" w:sz="0" w:space="0" w:color="auto"/>
            <w:left w:val="none" w:sz="0" w:space="0" w:color="auto"/>
            <w:bottom w:val="none" w:sz="0" w:space="0" w:color="auto"/>
            <w:right w:val="none" w:sz="0" w:space="0" w:color="auto"/>
          </w:divBdr>
        </w:div>
        <w:div w:id="2019774234">
          <w:marLeft w:val="640"/>
          <w:marRight w:val="0"/>
          <w:marTop w:val="0"/>
          <w:marBottom w:val="0"/>
          <w:divBdr>
            <w:top w:val="none" w:sz="0" w:space="0" w:color="auto"/>
            <w:left w:val="none" w:sz="0" w:space="0" w:color="auto"/>
            <w:bottom w:val="none" w:sz="0" w:space="0" w:color="auto"/>
            <w:right w:val="none" w:sz="0" w:space="0" w:color="auto"/>
          </w:divBdr>
        </w:div>
        <w:div w:id="1905942322">
          <w:marLeft w:val="640"/>
          <w:marRight w:val="0"/>
          <w:marTop w:val="0"/>
          <w:marBottom w:val="0"/>
          <w:divBdr>
            <w:top w:val="none" w:sz="0" w:space="0" w:color="auto"/>
            <w:left w:val="none" w:sz="0" w:space="0" w:color="auto"/>
            <w:bottom w:val="none" w:sz="0" w:space="0" w:color="auto"/>
            <w:right w:val="none" w:sz="0" w:space="0" w:color="auto"/>
          </w:divBdr>
        </w:div>
        <w:div w:id="2122070049">
          <w:marLeft w:val="640"/>
          <w:marRight w:val="0"/>
          <w:marTop w:val="0"/>
          <w:marBottom w:val="0"/>
          <w:divBdr>
            <w:top w:val="none" w:sz="0" w:space="0" w:color="auto"/>
            <w:left w:val="none" w:sz="0" w:space="0" w:color="auto"/>
            <w:bottom w:val="none" w:sz="0" w:space="0" w:color="auto"/>
            <w:right w:val="none" w:sz="0" w:space="0" w:color="auto"/>
          </w:divBdr>
        </w:div>
        <w:div w:id="1154299880">
          <w:marLeft w:val="640"/>
          <w:marRight w:val="0"/>
          <w:marTop w:val="0"/>
          <w:marBottom w:val="0"/>
          <w:divBdr>
            <w:top w:val="none" w:sz="0" w:space="0" w:color="auto"/>
            <w:left w:val="none" w:sz="0" w:space="0" w:color="auto"/>
            <w:bottom w:val="none" w:sz="0" w:space="0" w:color="auto"/>
            <w:right w:val="none" w:sz="0" w:space="0" w:color="auto"/>
          </w:divBdr>
        </w:div>
        <w:div w:id="1684432325">
          <w:marLeft w:val="640"/>
          <w:marRight w:val="0"/>
          <w:marTop w:val="0"/>
          <w:marBottom w:val="0"/>
          <w:divBdr>
            <w:top w:val="none" w:sz="0" w:space="0" w:color="auto"/>
            <w:left w:val="none" w:sz="0" w:space="0" w:color="auto"/>
            <w:bottom w:val="none" w:sz="0" w:space="0" w:color="auto"/>
            <w:right w:val="none" w:sz="0" w:space="0" w:color="auto"/>
          </w:divBdr>
        </w:div>
        <w:div w:id="1094282478">
          <w:marLeft w:val="640"/>
          <w:marRight w:val="0"/>
          <w:marTop w:val="0"/>
          <w:marBottom w:val="0"/>
          <w:divBdr>
            <w:top w:val="none" w:sz="0" w:space="0" w:color="auto"/>
            <w:left w:val="none" w:sz="0" w:space="0" w:color="auto"/>
            <w:bottom w:val="none" w:sz="0" w:space="0" w:color="auto"/>
            <w:right w:val="none" w:sz="0" w:space="0" w:color="auto"/>
          </w:divBdr>
        </w:div>
        <w:div w:id="19162411">
          <w:marLeft w:val="640"/>
          <w:marRight w:val="0"/>
          <w:marTop w:val="0"/>
          <w:marBottom w:val="0"/>
          <w:divBdr>
            <w:top w:val="none" w:sz="0" w:space="0" w:color="auto"/>
            <w:left w:val="none" w:sz="0" w:space="0" w:color="auto"/>
            <w:bottom w:val="none" w:sz="0" w:space="0" w:color="auto"/>
            <w:right w:val="none" w:sz="0" w:space="0" w:color="auto"/>
          </w:divBdr>
        </w:div>
        <w:div w:id="2054649325">
          <w:marLeft w:val="640"/>
          <w:marRight w:val="0"/>
          <w:marTop w:val="0"/>
          <w:marBottom w:val="0"/>
          <w:divBdr>
            <w:top w:val="none" w:sz="0" w:space="0" w:color="auto"/>
            <w:left w:val="none" w:sz="0" w:space="0" w:color="auto"/>
            <w:bottom w:val="none" w:sz="0" w:space="0" w:color="auto"/>
            <w:right w:val="none" w:sz="0" w:space="0" w:color="auto"/>
          </w:divBdr>
        </w:div>
        <w:div w:id="2021227222">
          <w:marLeft w:val="640"/>
          <w:marRight w:val="0"/>
          <w:marTop w:val="0"/>
          <w:marBottom w:val="0"/>
          <w:divBdr>
            <w:top w:val="none" w:sz="0" w:space="0" w:color="auto"/>
            <w:left w:val="none" w:sz="0" w:space="0" w:color="auto"/>
            <w:bottom w:val="none" w:sz="0" w:space="0" w:color="auto"/>
            <w:right w:val="none" w:sz="0" w:space="0" w:color="auto"/>
          </w:divBdr>
        </w:div>
        <w:div w:id="1185250475">
          <w:marLeft w:val="640"/>
          <w:marRight w:val="0"/>
          <w:marTop w:val="0"/>
          <w:marBottom w:val="0"/>
          <w:divBdr>
            <w:top w:val="none" w:sz="0" w:space="0" w:color="auto"/>
            <w:left w:val="none" w:sz="0" w:space="0" w:color="auto"/>
            <w:bottom w:val="none" w:sz="0" w:space="0" w:color="auto"/>
            <w:right w:val="none" w:sz="0" w:space="0" w:color="auto"/>
          </w:divBdr>
        </w:div>
        <w:div w:id="590045314">
          <w:marLeft w:val="640"/>
          <w:marRight w:val="0"/>
          <w:marTop w:val="0"/>
          <w:marBottom w:val="0"/>
          <w:divBdr>
            <w:top w:val="none" w:sz="0" w:space="0" w:color="auto"/>
            <w:left w:val="none" w:sz="0" w:space="0" w:color="auto"/>
            <w:bottom w:val="none" w:sz="0" w:space="0" w:color="auto"/>
            <w:right w:val="none" w:sz="0" w:space="0" w:color="auto"/>
          </w:divBdr>
        </w:div>
        <w:div w:id="2033724190">
          <w:marLeft w:val="640"/>
          <w:marRight w:val="0"/>
          <w:marTop w:val="0"/>
          <w:marBottom w:val="0"/>
          <w:divBdr>
            <w:top w:val="none" w:sz="0" w:space="0" w:color="auto"/>
            <w:left w:val="none" w:sz="0" w:space="0" w:color="auto"/>
            <w:bottom w:val="none" w:sz="0" w:space="0" w:color="auto"/>
            <w:right w:val="none" w:sz="0" w:space="0" w:color="auto"/>
          </w:divBdr>
        </w:div>
      </w:divsChild>
    </w:div>
    <w:div w:id="1309703578">
      <w:bodyDiv w:val="1"/>
      <w:marLeft w:val="0"/>
      <w:marRight w:val="0"/>
      <w:marTop w:val="0"/>
      <w:marBottom w:val="0"/>
      <w:divBdr>
        <w:top w:val="none" w:sz="0" w:space="0" w:color="auto"/>
        <w:left w:val="none" w:sz="0" w:space="0" w:color="auto"/>
        <w:bottom w:val="none" w:sz="0" w:space="0" w:color="auto"/>
        <w:right w:val="none" w:sz="0" w:space="0" w:color="auto"/>
      </w:divBdr>
      <w:divsChild>
        <w:div w:id="448473913">
          <w:marLeft w:val="640"/>
          <w:marRight w:val="0"/>
          <w:marTop w:val="0"/>
          <w:marBottom w:val="0"/>
          <w:divBdr>
            <w:top w:val="none" w:sz="0" w:space="0" w:color="auto"/>
            <w:left w:val="none" w:sz="0" w:space="0" w:color="auto"/>
            <w:bottom w:val="none" w:sz="0" w:space="0" w:color="auto"/>
            <w:right w:val="none" w:sz="0" w:space="0" w:color="auto"/>
          </w:divBdr>
        </w:div>
        <w:div w:id="1664894425">
          <w:marLeft w:val="640"/>
          <w:marRight w:val="0"/>
          <w:marTop w:val="0"/>
          <w:marBottom w:val="0"/>
          <w:divBdr>
            <w:top w:val="none" w:sz="0" w:space="0" w:color="auto"/>
            <w:left w:val="none" w:sz="0" w:space="0" w:color="auto"/>
            <w:bottom w:val="none" w:sz="0" w:space="0" w:color="auto"/>
            <w:right w:val="none" w:sz="0" w:space="0" w:color="auto"/>
          </w:divBdr>
        </w:div>
        <w:div w:id="935600711">
          <w:marLeft w:val="640"/>
          <w:marRight w:val="0"/>
          <w:marTop w:val="0"/>
          <w:marBottom w:val="0"/>
          <w:divBdr>
            <w:top w:val="none" w:sz="0" w:space="0" w:color="auto"/>
            <w:left w:val="none" w:sz="0" w:space="0" w:color="auto"/>
            <w:bottom w:val="none" w:sz="0" w:space="0" w:color="auto"/>
            <w:right w:val="none" w:sz="0" w:space="0" w:color="auto"/>
          </w:divBdr>
        </w:div>
        <w:div w:id="618221795">
          <w:marLeft w:val="640"/>
          <w:marRight w:val="0"/>
          <w:marTop w:val="0"/>
          <w:marBottom w:val="0"/>
          <w:divBdr>
            <w:top w:val="none" w:sz="0" w:space="0" w:color="auto"/>
            <w:left w:val="none" w:sz="0" w:space="0" w:color="auto"/>
            <w:bottom w:val="none" w:sz="0" w:space="0" w:color="auto"/>
            <w:right w:val="none" w:sz="0" w:space="0" w:color="auto"/>
          </w:divBdr>
        </w:div>
        <w:div w:id="306328672">
          <w:marLeft w:val="640"/>
          <w:marRight w:val="0"/>
          <w:marTop w:val="0"/>
          <w:marBottom w:val="0"/>
          <w:divBdr>
            <w:top w:val="none" w:sz="0" w:space="0" w:color="auto"/>
            <w:left w:val="none" w:sz="0" w:space="0" w:color="auto"/>
            <w:bottom w:val="none" w:sz="0" w:space="0" w:color="auto"/>
            <w:right w:val="none" w:sz="0" w:space="0" w:color="auto"/>
          </w:divBdr>
        </w:div>
        <w:div w:id="687945925">
          <w:marLeft w:val="640"/>
          <w:marRight w:val="0"/>
          <w:marTop w:val="0"/>
          <w:marBottom w:val="0"/>
          <w:divBdr>
            <w:top w:val="none" w:sz="0" w:space="0" w:color="auto"/>
            <w:left w:val="none" w:sz="0" w:space="0" w:color="auto"/>
            <w:bottom w:val="none" w:sz="0" w:space="0" w:color="auto"/>
            <w:right w:val="none" w:sz="0" w:space="0" w:color="auto"/>
          </w:divBdr>
        </w:div>
        <w:div w:id="922841749">
          <w:marLeft w:val="640"/>
          <w:marRight w:val="0"/>
          <w:marTop w:val="0"/>
          <w:marBottom w:val="0"/>
          <w:divBdr>
            <w:top w:val="none" w:sz="0" w:space="0" w:color="auto"/>
            <w:left w:val="none" w:sz="0" w:space="0" w:color="auto"/>
            <w:bottom w:val="none" w:sz="0" w:space="0" w:color="auto"/>
            <w:right w:val="none" w:sz="0" w:space="0" w:color="auto"/>
          </w:divBdr>
        </w:div>
        <w:div w:id="959534585">
          <w:marLeft w:val="640"/>
          <w:marRight w:val="0"/>
          <w:marTop w:val="0"/>
          <w:marBottom w:val="0"/>
          <w:divBdr>
            <w:top w:val="none" w:sz="0" w:space="0" w:color="auto"/>
            <w:left w:val="none" w:sz="0" w:space="0" w:color="auto"/>
            <w:bottom w:val="none" w:sz="0" w:space="0" w:color="auto"/>
            <w:right w:val="none" w:sz="0" w:space="0" w:color="auto"/>
          </w:divBdr>
        </w:div>
        <w:div w:id="1928734721">
          <w:marLeft w:val="640"/>
          <w:marRight w:val="0"/>
          <w:marTop w:val="0"/>
          <w:marBottom w:val="0"/>
          <w:divBdr>
            <w:top w:val="none" w:sz="0" w:space="0" w:color="auto"/>
            <w:left w:val="none" w:sz="0" w:space="0" w:color="auto"/>
            <w:bottom w:val="none" w:sz="0" w:space="0" w:color="auto"/>
            <w:right w:val="none" w:sz="0" w:space="0" w:color="auto"/>
          </w:divBdr>
        </w:div>
        <w:div w:id="1974287413">
          <w:marLeft w:val="640"/>
          <w:marRight w:val="0"/>
          <w:marTop w:val="0"/>
          <w:marBottom w:val="0"/>
          <w:divBdr>
            <w:top w:val="none" w:sz="0" w:space="0" w:color="auto"/>
            <w:left w:val="none" w:sz="0" w:space="0" w:color="auto"/>
            <w:bottom w:val="none" w:sz="0" w:space="0" w:color="auto"/>
            <w:right w:val="none" w:sz="0" w:space="0" w:color="auto"/>
          </w:divBdr>
        </w:div>
        <w:div w:id="346639657">
          <w:marLeft w:val="640"/>
          <w:marRight w:val="0"/>
          <w:marTop w:val="0"/>
          <w:marBottom w:val="0"/>
          <w:divBdr>
            <w:top w:val="none" w:sz="0" w:space="0" w:color="auto"/>
            <w:left w:val="none" w:sz="0" w:space="0" w:color="auto"/>
            <w:bottom w:val="none" w:sz="0" w:space="0" w:color="auto"/>
            <w:right w:val="none" w:sz="0" w:space="0" w:color="auto"/>
          </w:divBdr>
        </w:div>
        <w:div w:id="443502004">
          <w:marLeft w:val="640"/>
          <w:marRight w:val="0"/>
          <w:marTop w:val="0"/>
          <w:marBottom w:val="0"/>
          <w:divBdr>
            <w:top w:val="none" w:sz="0" w:space="0" w:color="auto"/>
            <w:left w:val="none" w:sz="0" w:space="0" w:color="auto"/>
            <w:bottom w:val="none" w:sz="0" w:space="0" w:color="auto"/>
            <w:right w:val="none" w:sz="0" w:space="0" w:color="auto"/>
          </w:divBdr>
        </w:div>
        <w:div w:id="1474324578">
          <w:marLeft w:val="640"/>
          <w:marRight w:val="0"/>
          <w:marTop w:val="0"/>
          <w:marBottom w:val="0"/>
          <w:divBdr>
            <w:top w:val="none" w:sz="0" w:space="0" w:color="auto"/>
            <w:left w:val="none" w:sz="0" w:space="0" w:color="auto"/>
            <w:bottom w:val="none" w:sz="0" w:space="0" w:color="auto"/>
            <w:right w:val="none" w:sz="0" w:space="0" w:color="auto"/>
          </w:divBdr>
        </w:div>
        <w:div w:id="1680502125">
          <w:marLeft w:val="640"/>
          <w:marRight w:val="0"/>
          <w:marTop w:val="0"/>
          <w:marBottom w:val="0"/>
          <w:divBdr>
            <w:top w:val="none" w:sz="0" w:space="0" w:color="auto"/>
            <w:left w:val="none" w:sz="0" w:space="0" w:color="auto"/>
            <w:bottom w:val="none" w:sz="0" w:space="0" w:color="auto"/>
            <w:right w:val="none" w:sz="0" w:space="0" w:color="auto"/>
          </w:divBdr>
        </w:div>
        <w:div w:id="1177189843">
          <w:marLeft w:val="640"/>
          <w:marRight w:val="0"/>
          <w:marTop w:val="0"/>
          <w:marBottom w:val="0"/>
          <w:divBdr>
            <w:top w:val="none" w:sz="0" w:space="0" w:color="auto"/>
            <w:left w:val="none" w:sz="0" w:space="0" w:color="auto"/>
            <w:bottom w:val="none" w:sz="0" w:space="0" w:color="auto"/>
            <w:right w:val="none" w:sz="0" w:space="0" w:color="auto"/>
          </w:divBdr>
        </w:div>
        <w:div w:id="1621914655">
          <w:marLeft w:val="640"/>
          <w:marRight w:val="0"/>
          <w:marTop w:val="0"/>
          <w:marBottom w:val="0"/>
          <w:divBdr>
            <w:top w:val="none" w:sz="0" w:space="0" w:color="auto"/>
            <w:left w:val="none" w:sz="0" w:space="0" w:color="auto"/>
            <w:bottom w:val="none" w:sz="0" w:space="0" w:color="auto"/>
            <w:right w:val="none" w:sz="0" w:space="0" w:color="auto"/>
          </w:divBdr>
        </w:div>
        <w:div w:id="900292859">
          <w:marLeft w:val="640"/>
          <w:marRight w:val="0"/>
          <w:marTop w:val="0"/>
          <w:marBottom w:val="0"/>
          <w:divBdr>
            <w:top w:val="none" w:sz="0" w:space="0" w:color="auto"/>
            <w:left w:val="none" w:sz="0" w:space="0" w:color="auto"/>
            <w:bottom w:val="none" w:sz="0" w:space="0" w:color="auto"/>
            <w:right w:val="none" w:sz="0" w:space="0" w:color="auto"/>
          </w:divBdr>
        </w:div>
        <w:div w:id="2105761999">
          <w:marLeft w:val="640"/>
          <w:marRight w:val="0"/>
          <w:marTop w:val="0"/>
          <w:marBottom w:val="0"/>
          <w:divBdr>
            <w:top w:val="none" w:sz="0" w:space="0" w:color="auto"/>
            <w:left w:val="none" w:sz="0" w:space="0" w:color="auto"/>
            <w:bottom w:val="none" w:sz="0" w:space="0" w:color="auto"/>
            <w:right w:val="none" w:sz="0" w:space="0" w:color="auto"/>
          </w:divBdr>
        </w:div>
        <w:div w:id="910234900">
          <w:marLeft w:val="640"/>
          <w:marRight w:val="0"/>
          <w:marTop w:val="0"/>
          <w:marBottom w:val="0"/>
          <w:divBdr>
            <w:top w:val="none" w:sz="0" w:space="0" w:color="auto"/>
            <w:left w:val="none" w:sz="0" w:space="0" w:color="auto"/>
            <w:bottom w:val="none" w:sz="0" w:space="0" w:color="auto"/>
            <w:right w:val="none" w:sz="0" w:space="0" w:color="auto"/>
          </w:divBdr>
        </w:div>
        <w:div w:id="225458731">
          <w:marLeft w:val="640"/>
          <w:marRight w:val="0"/>
          <w:marTop w:val="0"/>
          <w:marBottom w:val="0"/>
          <w:divBdr>
            <w:top w:val="none" w:sz="0" w:space="0" w:color="auto"/>
            <w:left w:val="none" w:sz="0" w:space="0" w:color="auto"/>
            <w:bottom w:val="none" w:sz="0" w:space="0" w:color="auto"/>
            <w:right w:val="none" w:sz="0" w:space="0" w:color="auto"/>
          </w:divBdr>
        </w:div>
        <w:div w:id="182743168">
          <w:marLeft w:val="640"/>
          <w:marRight w:val="0"/>
          <w:marTop w:val="0"/>
          <w:marBottom w:val="0"/>
          <w:divBdr>
            <w:top w:val="none" w:sz="0" w:space="0" w:color="auto"/>
            <w:left w:val="none" w:sz="0" w:space="0" w:color="auto"/>
            <w:bottom w:val="none" w:sz="0" w:space="0" w:color="auto"/>
            <w:right w:val="none" w:sz="0" w:space="0" w:color="auto"/>
          </w:divBdr>
        </w:div>
        <w:div w:id="234973008">
          <w:marLeft w:val="640"/>
          <w:marRight w:val="0"/>
          <w:marTop w:val="0"/>
          <w:marBottom w:val="0"/>
          <w:divBdr>
            <w:top w:val="none" w:sz="0" w:space="0" w:color="auto"/>
            <w:left w:val="none" w:sz="0" w:space="0" w:color="auto"/>
            <w:bottom w:val="none" w:sz="0" w:space="0" w:color="auto"/>
            <w:right w:val="none" w:sz="0" w:space="0" w:color="auto"/>
          </w:divBdr>
        </w:div>
        <w:div w:id="1970935249">
          <w:marLeft w:val="640"/>
          <w:marRight w:val="0"/>
          <w:marTop w:val="0"/>
          <w:marBottom w:val="0"/>
          <w:divBdr>
            <w:top w:val="none" w:sz="0" w:space="0" w:color="auto"/>
            <w:left w:val="none" w:sz="0" w:space="0" w:color="auto"/>
            <w:bottom w:val="none" w:sz="0" w:space="0" w:color="auto"/>
            <w:right w:val="none" w:sz="0" w:space="0" w:color="auto"/>
          </w:divBdr>
        </w:div>
        <w:div w:id="2112387842">
          <w:marLeft w:val="640"/>
          <w:marRight w:val="0"/>
          <w:marTop w:val="0"/>
          <w:marBottom w:val="0"/>
          <w:divBdr>
            <w:top w:val="none" w:sz="0" w:space="0" w:color="auto"/>
            <w:left w:val="none" w:sz="0" w:space="0" w:color="auto"/>
            <w:bottom w:val="none" w:sz="0" w:space="0" w:color="auto"/>
            <w:right w:val="none" w:sz="0" w:space="0" w:color="auto"/>
          </w:divBdr>
        </w:div>
        <w:div w:id="448742421">
          <w:marLeft w:val="640"/>
          <w:marRight w:val="0"/>
          <w:marTop w:val="0"/>
          <w:marBottom w:val="0"/>
          <w:divBdr>
            <w:top w:val="none" w:sz="0" w:space="0" w:color="auto"/>
            <w:left w:val="none" w:sz="0" w:space="0" w:color="auto"/>
            <w:bottom w:val="none" w:sz="0" w:space="0" w:color="auto"/>
            <w:right w:val="none" w:sz="0" w:space="0" w:color="auto"/>
          </w:divBdr>
        </w:div>
        <w:div w:id="262736872">
          <w:marLeft w:val="640"/>
          <w:marRight w:val="0"/>
          <w:marTop w:val="0"/>
          <w:marBottom w:val="0"/>
          <w:divBdr>
            <w:top w:val="none" w:sz="0" w:space="0" w:color="auto"/>
            <w:left w:val="none" w:sz="0" w:space="0" w:color="auto"/>
            <w:bottom w:val="none" w:sz="0" w:space="0" w:color="auto"/>
            <w:right w:val="none" w:sz="0" w:space="0" w:color="auto"/>
          </w:divBdr>
        </w:div>
        <w:div w:id="96565147">
          <w:marLeft w:val="640"/>
          <w:marRight w:val="0"/>
          <w:marTop w:val="0"/>
          <w:marBottom w:val="0"/>
          <w:divBdr>
            <w:top w:val="none" w:sz="0" w:space="0" w:color="auto"/>
            <w:left w:val="none" w:sz="0" w:space="0" w:color="auto"/>
            <w:bottom w:val="none" w:sz="0" w:space="0" w:color="auto"/>
            <w:right w:val="none" w:sz="0" w:space="0" w:color="auto"/>
          </w:divBdr>
        </w:div>
        <w:div w:id="308947403">
          <w:marLeft w:val="640"/>
          <w:marRight w:val="0"/>
          <w:marTop w:val="0"/>
          <w:marBottom w:val="0"/>
          <w:divBdr>
            <w:top w:val="none" w:sz="0" w:space="0" w:color="auto"/>
            <w:left w:val="none" w:sz="0" w:space="0" w:color="auto"/>
            <w:bottom w:val="none" w:sz="0" w:space="0" w:color="auto"/>
            <w:right w:val="none" w:sz="0" w:space="0" w:color="auto"/>
          </w:divBdr>
        </w:div>
        <w:div w:id="1290404634">
          <w:marLeft w:val="640"/>
          <w:marRight w:val="0"/>
          <w:marTop w:val="0"/>
          <w:marBottom w:val="0"/>
          <w:divBdr>
            <w:top w:val="none" w:sz="0" w:space="0" w:color="auto"/>
            <w:left w:val="none" w:sz="0" w:space="0" w:color="auto"/>
            <w:bottom w:val="none" w:sz="0" w:space="0" w:color="auto"/>
            <w:right w:val="none" w:sz="0" w:space="0" w:color="auto"/>
          </w:divBdr>
        </w:div>
        <w:div w:id="634065101">
          <w:marLeft w:val="640"/>
          <w:marRight w:val="0"/>
          <w:marTop w:val="0"/>
          <w:marBottom w:val="0"/>
          <w:divBdr>
            <w:top w:val="none" w:sz="0" w:space="0" w:color="auto"/>
            <w:left w:val="none" w:sz="0" w:space="0" w:color="auto"/>
            <w:bottom w:val="none" w:sz="0" w:space="0" w:color="auto"/>
            <w:right w:val="none" w:sz="0" w:space="0" w:color="auto"/>
          </w:divBdr>
        </w:div>
        <w:div w:id="1284263680">
          <w:marLeft w:val="640"/>
          <w:marRight w:val="0"/>
          <w:marTop w:val="0"/>
          <w:marBottom w:val="0"/>
          <w:divBdr>
            <w:top w:val="none" w:sz="0" w:space="0" w:color="auto"/>
            <w:left w:val="none" w:sz="0" w:space="0" w:color="auto"/>
            <w:bottom w:val="none" w:sz="0" w:space="0" w:color="auto"/>
            <w:right w:val="none" w:sz="0" w:space="0" w:color="auto"/>
          </w:divBdr>
        </w:div>
        <w:div w:id="1437361293">
          <w:marLeft w:val="640"/>
          <w:marRight w:val="0"/>
          <w:marTop w:val="0"/>
          <w:marBottom w:val="0"/>
          <w:divBdr>
            <w:top w:val="none" w:sz="0" w:space="0" w:color="auto"/>
            <w:left w:val="none" w:sz="0" w:space="0" w:color="auto"/>
            <w:bottom w:val="none" w:sz="0" w:space="0" w:color="auto"/>
            <w:right w:val="none" w:sz="0" w:space="0" w:color="auto"/>
          </w:divBdr>
        </w:div>
        <w:div w:id="1857846291">
          <w:marLeft w:val="640"/>
          <w:marRight w:val="0"/>
          <w:marTop w:val="0"/>
          <w:marBottom w:val="0"/>
          <w:divBdr>
            <w:top w:val="none" w:sz="0" w:space="0" w:color="auto"/>
            <w:left w:val="none" w:sz="0" w:space="0" w:color="auto"/>
            <w:bottom w:val="none" w:sz="0" w:space="0" w:color="auto"/>
            <w:right w:val="none" w:sz="0" w:space="0" w:color="auto"/>
          </w:divBdr>
        </w:div>
      </w:divsChild>
    </w:div>
    <w:div w:id="1324967471">
      <w:bodyDiv w:val="1"/>
      <w:marLeft w:val="0"/>
      <w:marRight w:val="0"/>
      <w:marTop w:val="0"/>
      <w:marBottom w:val="0"/>
      <w:divBdr>
        <w:top w:val="none" w:sz="0" w:space="0" w:color="auto"/>
        <w:left w:val="none" w:sz="0" w:space="0" w:color="auto"/>
        <w:bottom w:val="none" w:sz="0" w:space="0" w:color="auto"/>
        <w:right w:val="none" w:sz="0" w:space="0" w:color="auto"/>
      </w:divBdr>
      <w:divsChild>
        <w:div w:id="186213429">
          <w:marLeft w:val="640"/>
          <w:marRight w:val="0"/>
          <w:marTop w:val="0"/>
          <w:marBottom w:val="0"/>
          <w:divBdr>
            <w:top w:val="none" w:sz="0" w:space="0" w:color="auto"/>
            <w:left w:val="none" w:sz="0" w:space="0" w:color="auto"/>
            <w:bottom w:val="none" w:sz="0" w:space="0" w:color="auto"/>
            <w:right w:val="none" w:sz="0" w:space="0" w:color="auto"/>
          </w:divBdr>
        </w:div>
        <w:div w:id="347097273">
          <w:marLeft w:val="640"/>
          <w:marRight w:val="0"/>
          <w:marTop w:val="0"/>
          <w:marBottom w:val="0"/>
          <w:divBdr>
            <w:top w:val="none" w:sz="0" w:space="0" w:color="auto"/>
            <w:left w:val="none" w:sz="0" w:space="0" w:color="auto"/>
            <w:bottom w:val="none" w:sz="0" w:space="0" w:color="auto"/>
            <w:right w:val="none" w:sz="0" w:space="0" w:color="auto"/>
          </w:divBdr>
        </w:div>
        <w:div w:id="194582573">
          <w:marLeft w:val="640"/>
          <w:marRight w:val="0"/>
          <w:marTop w:val="0"/>
          <w:marBottom w:val="0"/>
          <w:divBdr>
            <w:top w:val="none" w:sz="0" w:space="0" w:color="auto"/>
            <w:left w:val="none" w:sz="0" w:space="0" w:color="auto"/>
            <w:bottom w:val="none" w:sz="0" w:space="0" w:color="auto"/>
            <w:right w:val="none" w:sz="0" w:space="0" w:color="auto"/>
          </w:divBdr>
        </w:div>
        <w:div w:id="1108963698">
          <w:marLeft w:val="640"/>
          <w:marRight w:val="0"/>
          <w:marTop w:val="0"/>
          <w:marBottom w:val="0"/>
          <w:divBdr>
            <w:top w:val="none" w:sz="0" w:space="0" w:color="auto"/>
            <w:left w:val="none" w:sz="0" w:space="0" w:color="auto"/>
            <w:bottom w:val="none" w:sz="0" w:space="0" w:color="auto"/>
            <w:right w:val="none" w:sz="0" w:space="0" w:color="auto"/>
          </w:divBdr>
        </w:div>
        <w:div w:id="1521626832">
          <w:marLeft w:val="640"/>
          <w:marRight w:val="0"/>
          <w:marTop w:val="0"/>
          <w:marBottom w:val="0"/>
          <w:divBdr>
            <w:top w:val="none" w:sz="0" w:space="0" w:color="auto"/>
            <w:left w:val="none" w:sz="0" w:space="0" w:color="auto"/>
            <w:bottom w:val="none" w:sz="0" w:space="0" w:color="auto"/>
            <w:right w:val="none" w:sz="0" w:space="0" w:color="auto"/>
          </w:divBdr>
        </w:div>
        <w:div w:id="1740713592">
          <w:marLeft w:val="640"/>
          <w:marRight w:val="0"/>
          <w:marTop w:val="0"/>
          <w:marBottom w:val="0"/>
          <w:divBdr>
            <w:top w:val="none" w:sz="0" w:space="0" w:color="auto"/>
            <w:left w:val="none" w:sz="0" w:space="0" w:color="auto"/>
            <w:bottom w:val="none" w:sz="0" w:space="0" w:color="auto"/>
            <w:right w:val="none" w:sz="0" w:space="0" w:color="auto"/>
          </w:divBdr>
        </w:div>
        <w:div w:id="58942349">
          <w:marLeft w:val="640"/>
          <w:marRight w:val="0"/>
          <w:marTop w:val="0"/>
          <w:marBottom w:val="0"/>
          <w:divBdr>
            <w:top w:val="none" w:sz="0" w:space="0" w:color="auto"/>
            <w:left w:val="none" w:sz="0" w:space="0" w:color="auto"/>
            <w:bottom w:val="none" w:sz="0" w:space="0" w:color="auto"/>
            <w:right w:val="none" w:sz="0" w:space="0" w:color="auto"/>
          </w:divBdr>
        </w:div>
        <w:div w:id="1295987079">
          <w:marLeft w:val="640"/>
          <w:marRight w:val="0"/>
          <w:marTop w:val="0"/>
          <w:marBottom w:val="0"/>
          <w:divBdr>
            <w:top w:val="none" w:sz="0" w:space="0" w:color="auto"/>
            <w:left w:val="none" w:sz="0" w:space="0" w:color="auto"/>
            <w:bottom w:val="none" w:sz="0" w:space="0" w:color="auto"/>
            <w:right w:val="none" w:sz="0" w:space="0" w:color="auto"/>
          </w:divBdr>
        </w:div>
        <w:div w:id="1971397508">
          <w:marLeft w:val="640"/>
          <w:marRight w:val="0"/>
          <w:marTop w:val="0"/>
          <w:marBottom w:val="0"/>
          <w:divBdr>
            <w:top w:val="none" w:sz="0" w:space="0" w:color="auto"/>
            <w:left w:val="none" w:sz="0" w:space="0" w:color="auto"/>
            <w:bottom w:val="none" w:sz="0" w:space="0" w:color="auto"/>
            <w:right w:val="none" w:sz="0" w:space="0" w:color="auto"/>
          </w:divBdr>
        </w:div>
        <w:div w:id="1676608159">
          <w:marLeft w:val="640"/>
          <w:marRight w:val="0"/>
          <w:marTop w:val="0"/>
          <w:marBottom w:val="0"/>
          <w:divBdr>
            <w:top w:val="none" w:sz="0" w:space="0" w:color="auto"/>
            <w:left w:val="none" w:sz="0" w:space="0" w:color="auto"/>
            <w:bottom w:val="none" w:sz="0" w:space="0" w:color="auto"/>
            <w:right w:val="none" w:sz="0" w:space="0" w:color="auto"/>
          </w:divBdr>
        </w:div>
        <w:div w:id="41636219">
          <w:marLeft w:val="640"/>
          <w:marRight w:val="0"/>
          <w:marTop w:val="0"/>
          <w:marBottom w:val="0"/>
          <w:divBdr>
            <w:top w:val="none" w:sz="0" w:space="0" w:color="auto"/>
            <w:left w:val="none" w:sz="0" w:space="0" w:color="auto"/>
            <w:bottom w:val="none" w:sz="0" w:space="0" w:color="auto"/>
            <w:right w:val="none" w:sz="0" w:space="0" w:color="auto"/>
          </w:divBdr>
        </w:div>
        <w:div w:id="1960140473">
          <w:marLeft w:val="640"/>
          <w:marRight w:val="0"/>
          <w:marTop w:val="0"/>
          <w:marBottom w:val="0"/>
          <w:divBdr>
            <w:top w:val="none" w:sz="0" w:space="0" w:color="auto"/>
            <w:left w:val="none" w:sz="0" w:space="0" w:color="auto"/>
            <w:bottom w:val="none" w:sz="0" w:space="0" w:color="auto"/>
            <w:right w:val="none" w:sz="0" w:space="0" w:color="auto"/>
          </w:divBdr>
        </w:div>
        <w:div w:id="589044199">
          <w:marLeft w:val="640"/>
          <w:marRight w:val="0"/>
          <w:marTop w:val="0"/>
          <w:marBottom w:val="0"/>
          <w:divBdr>
            <w:top w:val="none" w:sz="0" w:space="0" w:color="auto"/>
            <w:left w:val="none" w:sz="0" w:space="0" w:color="auto"/>
            <w:bottom w:val="none" w:sz="0" w:space="0" w:color="auto"/>
            <w:right w:val="none" w:sz="0" w:space="0" w:color="auto"/>
          </w:divBdr>
        </w:div>
        <w:div w:id="1725593188">
          <w:marLeft w:val="640"/>
          <w:marRight w:val="0"/>
          <w:marTop w:val="0"/>
          <w:marBottom w:val="0"/>
          <w:divBdr>
            <w:top w:val="none" w:sz="0" w:space="0" w:color="auto"/>
            <w:left w:val="none" w:sz="0" w:space="0" w:color="auto"/>
            <w:bottom w:val="none" w:sz="0" w:space="0" w:color="auto"/>
            <w:right w:val="none" w:sz="0" w:space="0" w:color="auto"/>
          </w:divBdr>
        </w:div>
        <w:div w:id="1975939939">
          <w:marLeft w:val="640"/>
          <w:marRight w:val="0"/>
          <w:marTop w:val="0"/>
          <w:marBottom w:val="0"/>
          <w:divBdr>
            <w:top w:val="none" w:sz="0" w:space="0" w:color="auto"/>
            <w:left w:val="none" w:sz="0" w:space="0" w:color="auto"/>
            <w:bottom w:val="none" w:sz="0" w:space="0" w:color="auto"/>
            <w:right w:val="none" w:sz="0" w:space="0" w:color="auto"/>
          </w:divBdr>
        </w:div>
        <w:div w:id="1839537841">
          <w:marLeft w:val="640"/>
          <w:marRight w:val="0"/>
          <w:marTop w:val="0"/>
          <w:marBottom w:val="0"/>
          <w:divBdr>
            <w:top w:val="none" w:sz="0" w:space="0" w:color="auto"/>
            <w:left w:val="none" w:sz="0" w:space="0" w:color="auto"/>
            <w:bottom w:val="none" w:sz="0" w:space="0" w:color="auto"/>
            <w:right w:val="none" w:sz="0" w:space="0" w:color="auto"/>
          </w:divBdr>
        </w:div>
        <w:div w:id="1729377231">
          <w:marLeft w:val="640"/>
          <w:marRight w:val="0"/>
          <w:marTop w:val="0"/>
          <w:marBottom w:val="0"/>
          <w:divBdr>
            <w:top w:val="none" w:sz="0" w:space="0" w:color="auto"/>
            <w:left w:val="none" w:sz="0" w:space="0" w:color="auto"/>
            <w:bottom w:val="none" w:sz="0" w:space="0" w:color="auto"/>
            <w:right w:val="none" w:sz="0" w:space="0" w:color="auto"/>
          </w:divBdr>
        </w:div>
        <w:div w:id="120541164">
          <w:marLeft w:val="640"/>
          <w:marRight w:val="0"/>
          <w:marTop w:val="0"/>
          <w:marBottom w:val="0"/>
          <w:divBdr>
            <w:top w:val="none" w:sz="0" w:space="0" w:color="auto"/>
            <w:left w:val="none" w:sz="0" w:space="0" w:color="auto"/>
            <w:bottom w:val="none" w:sz="0" w:space="0" w:color="auto"/>
            <w:right w:val="none" w:sz="0" w:space="0" w:color="auto"/>
          </w:divBdr>
        </w:div>
        <w:div w:id="1783762537">
          <w:marLeft w:val="640"/>
          <w:marRight w:val="0"/>
          <w:marTop w:val="0"/>
          <w:marBottom w:val="0"/>
          <w:divBdr>
            <w:top w:val="none" w:sz="0" w:space="0" w:color="auto"/>
            <w:left w:val="none" w:sz="0" w:space="0" w:color="auto"/>
            <w:bottom w:val="none" w:sz="0" w:space="0" w:color="auto"/>
            <w:right w:val="none" w:sz="0" w:space="0" w:color="auto"/>
          </w:divBdr>
        </w:div>
        <w:div w:id="778178847">
          <w:marLeft w:val="640"/>
          <w:marRight w:val="0"/>
          <w:marTop w:val="0"/>
          <w:marBottom w:val="0"/>
          <w:divBdr>
            <w:top w:val="none" w:sz="0" w:space="0" w:color="auto"/>
            <w:left w:val="none" w:sz="0" w:space="0" w:color="auto"/>
            <w:bottom w:val="none" w:sz="0" w:space="0" w:color="auto"/>
            <w:right w:val="none" w:sz="0" w:space="0" w:color="auto"/>
          </w:divBdr>
        </w:div>
        <w:div w:id="1230723993">
          <w:marLeft w:val="640"/>
          <w:marRight w:val="0"/>
          <w:marTop w:val="0"/>
          <w:marBottom w:val="0"/>
          <w:divBdr>
            <w:top w:val="none" w:sz="0" w:space="0" w:color="auto"/>
            <w:left w:val="none" w:sz="0" w:space="0" w:color="auto"/>
            <w:bottom w:val="none" w:sz="0" w:space="0" w:color="auto"/>
            <w:right w:val="none" w:sz="0" w:space="0" w:color="auto"/>
          </w:divBdr>
        </w:div>
        <w:div w:id="98527574">
          <w:marLeft w:val="640"/>
          <w:marRight w:val="0"/>
          <w:marTop w:val="0"/>
          <w:marBottom w:val="0"/>
          <w:divBdr>
            <w:top w:val="none" w:sz="0" w:space="0" w:color="auto"/>
            <w:left w:val="none" w:sz="0" w:space="0" w:color="auto"/>
            <w:bottom w:val="none" w:sz="0" w:space="0" w:color="auto"/>
            <w:right w:val="none" w:sz="0" w:space="0" w:color="auto"/>
          </w:divBdr>
        </w:div>
        <w:div w:id="1896432061">
          <w:marLeft w:val="640"/>
          <w:marRight w:val="0"/>
          <w:marTop w:val="0"/>
          <w:marBottom w:val="0"/>
          <w:divBdr>
            <w:top w:val="none" w:sz="0" w:space="0" w:color="auto"/>
            <w:left w:val="none" w:sz="0" w:space="0" w:color="auto"/>
            <w:bottom w:val="none" w:sz="0" w:space="0" w:color="auto"/>
            <w:right w:val="none" w:sz="0" w:space="0" w:color="auto"/>
          </w:divBdr>
        </w:div>
        <w:div w:id="674962777">
          <w:marLeft w:val="640"/>
          <w:marRight w:val="0"/>
          <w:marTop w:val="0"/>
          <w:marBottom w:val="0"/>
          <w:divBdr>
            <w:top w:val="none" w:sz="0" w:space="0" w:color="auto"/>
            <w:left w:val="none" w:sz="0" w:space="0" w:color="auto"/>
            <w:bottom w:val="none" w:sz="0" w:space="0" w:color="auto"/>
            <w:right w:val="none" w:sz="0" w:space="0" w:color="auto"/>
          </w:divBdr>
        </w:div>
      </w:divsChild>
    </w:div>
    <w:div w:id="1420712939">
      <w:bodyDiv w:val="1"/>
      <w:marLeft w:val="0"/>
      <w:marRight w:val="0"/>
      <w:marTop w:val="0"/>
      <w:marBottom w:val="0"/>
      <w:divBdr>
        <w:top w:val="none" w:sz="0" w:space="0" w:color="auto"/>
        <w:left w:val="none" w:sz="0" w:space="0" w:color="auto"/>
        <w:bottom w:val="none" w:sz="0" w:space="0" w:color="auto"/>
        <w:right w:val="none" w:sz="0" w:space="0" w:color="auto"/>
      </w:divBdr>
      <w:divsChild>
        <w:div w:id="160656076">
          <w:marLeft w:val="640"/>
          <w:marRight w:val="0"/>
          <w:marTop w:val="0"/>
          <w:marBottom w:val="0"/>
          <w:divBdr>
            <w:top w:val="none" w:sz="0" w:space="0" w:color="auto"/>
            <w:left w:val="none" w:sz="0" w:space="0" w:color="auto"/>
            <w:bottom w:val="none" w:sz="0" w:space="0" w:color="auto"/>
            <w:right w:val="none" w:sz="0" w:space="0" w:color="auto"/>
          </w:divBdr>
        </w:div>
        <w:div w:id="1256864324">
          <w:marLeft w:val="640"/>
          <w:marRight w:val="0"/>
          <w:marTop w:val="0"/>
          <w:marBottom w:val="0"/>
          <w:divBdr>
            <w:top w:val="none" w:sz="0" w:space="0" w:color="auto"/>
            <w:left w:val="none" w:sz="0" w:space="0" w:color="auto"/>
            <w:bottom w:val="none" w:sz="0" w:space="0" w:color="auto"/>
            <w:right w:val="none" w:sz="0" w:space="0" w:color="auto"/>
          </w:divBdr>
        </w:div>
        <w:div w:id="395856500">
          <w:marLeft w:val="640"/>
          <w:marRight w:val="0"/>
          <w:marTop w:val="0"/>
          <w:marBottom w:val="0"/>
          <w:divBdr>
            <w:top w:val="none" w:sz="0" w:space="0" w:color="auto"/>
            <w:left w:val="none" w:sz="0" w:space="0" w:color="auto"/>
            <w:bottom w:val="none" w:sz="0" w:space="0" w:color="auto"/>
            <w:right w:val="none" w:sz="0" w:space="0" w:color="auto"/>
          </w:divBdr>
        </w:div>
        <w:div w:id="1548057712">
          <w:marLeft w:val="640"/>
          <w:marRight w:val="0"/>
          <w:marTop w:val="0"/>
          <w:marBottom w:val="0"/>
          <w:divBdr>
            <w:top w:val="none" w:sz="0" w:space="0" w:color="auto"/>
            <w:left w:val="none" w:sz="0" w:space="0" w:color="auto"/>
            <w:bottom w:val="none" w:sz="0" w:space="0" w:color="auto"/>
            <w:right w:val="none" w:sz="0" w:space="0" w:color="auto"/>
          </w:divBdr>
        </w:div>
        <w:div w:id="1821995075">
          <w:marLeft w:val="640"/>
          <w:marRight w:val="0"/>
          <w:marTop w:val="0"/>
          <w:marBottom w:val="0"/>
          <w:divBdr>
            <w:top w:val="none" w:sz="0" w:space="0" w:color="auto"/>
            <w:left w:val="none" w:sz="0" w:space="0" w:color="auto"/>
            <w:bottom w:val="none" w:sz="0" w:space="0" w:color="auto"/>
            <w:right w:val="none" w:sz="0" w:space="0" w:color="auto"/>
          </w:divBdr>
        </w:div>
        <w:div w:id="17438183">
          <w:marLeft w:val="640"/>
          <w:marRight w:val="0"/>
          <w:marTop w:val="0"/>
          <w:marBottom w:val="0"/>
          <w:divBdr>
            <w:top w:val="none" w:sz="0" w:space="0" w:color="auto"/>
            <w:left w:val="none" w:sz="0" w:space="0" w:color="auto"/>
            <w:bottom w:val="none" w:sz="0" w:space="0" w:color="auto"/>
            <w:right w:val="none" w:sz="0" w:space="0" w:color="auto"/>
          </w:divBdr>
        </w:div>
        <w:div w:id="677079250">
          <w:marLeft w:val="640"/>
          <w:marRight w:val="0"/>
          <w:marTop w:val="0"/>
          <w:marBottom w:val="0"/>
          <w:divBdr>
            <w:top w:val="none" w:sz="0" w:space="0" w:color="auto"/>
            <w:left w:val="none" w:sz="0" w:space="0" w:color="auto"/>
            <w:bottom w:val="none" w:sz="0" w:space="0" w:color="auto"/>
            <w:right w:val="none" w:sz="0" w:space="0" w:color="auto"/>
          </w:divBdr>
        </w:div>
        <w:div w:id="922303000">
          <w:marLeft w:val="640"/>
          <w:marRight w:val="0"/>
          <w:marTop w:val="0"/>
          <w:marBottom w:val="0"/>
          <w:divBdr>
            <w:top w:val="none" w:sz="0" w:space="0" w:color="auto"/>
            <w:left w:val="none" w:sz="0" w:space="0" w:color="auto"/>
            <w:bottom w:val="none" w:sz="0" w:space="0" w:color="auto"/>
            <w:right w:val="none" w:sz="0" w:space="0" w:color="auto"/>
          </w:divBdr>
        </w:div>
        <w:div w:id="1623926398">
          <w:marLeft w:val="640"/>
          <w:marRight w:val="0"/>
          <w:marTop w:val="0"/>
          <w:marBottom w:val="0"/>
          <w:divBdr>
            <w:top w:val="none" w:sz="0" w:space="0" w:color="auto"/>
            <w:left w:val="none" w:sz="0" w:space="0" w:color="auto"/>
            <w:bottom w:val="none" w:sz="0" w:space="0" w:color="auto"/>
            <w:right w:val="none" w:sz="0" w:space="0" w:color="auto"/>
          </w:divBdr>
        </w:div>
        <w:div w:id="796534993">
          <w:marLeft w:val="640"/>
          <w:marRight w:val="0"/>
          <w:marTop w:val="0"/>
          <w:marBottom w:val="0"/>
          <w:divBdr>
            <w:top w:val="none" w:sz="0" w:space="0" w:color="auto"/>
            <w:left w:val="none" w:sz="0" w:space="0" w:color="auto"/>
            <w:bottom w:val="none" w:sz="0" w:space="0" w:color="auto"/>
            <w:right w:val="none" w:sz="0" w:space="0" w:color="auto"/>
          </w:divBdr>
        </w:div>
        <w:div w:id="560752624">
          <w:marLeft w:val="640"/>
          <w:marRight w:val="0"/>
          <w:marTop w:val="0"/>
          <w:marBottom w:val="0"/>
          <w:divBdr>
            <w:top w:val="none" w:sz="0" w:space="0" w:color="auto"/>
            <w:left w:val="none" w:sz="0" w:space="0" w:color="auto"/>
            <w:bottom w:val="none" w:sz="0" w:space="0" w:color="auto"/>
            <w:right w:val="none" w:sz="0" w:space="0" w:color="auto"/>
          </w:divBdr>
        </w:div>
        <w:div w:id="1213691244">
          <w:marLeft w:val="640"/>
          <w:marRight w:val="0"/>
          <w:marTop w:val="0"/>
          <w:marBottom w:val="0"/>
          <w:divBdr>
            <w:top w:val="none" w:sz="0" w:space="0" w:color="auto"/>
            <w:left w:val="none" w:sz="0" w:space="0" w:color="auto"/>
            <w:bottom w:val="none" w:sz="0" w:space="0" w:color="auto"/>
            <w:right w:val="none" w:sz="0" w:space="0" w:color="auto"/>
          </w:divBdr>
        </w:div>
        <w:div w:id="1334526911">
          <w:marLeft w:val="640"/>
          <w:marRight w:val="0"/>
          <w:marTop w:val="0"/>
          <w:marBottom w:val="0"/>
          <w:divBdr>
            <w:top w:val="none" w:sz="0" w:space="0" w:color="auto"/>
            <w:left w:val="none" w:sz="0" w:space="0" w:color="auto"/>
            <w:bottom w:val="none" w:sz="0" w:space="0" w:color="auto"/>
            <w:right w:val="none" w:sz="0" w:space="0" w:color="auto"/>
          </w:divBdr>
        </w:div>
        <w:div w:id="2041130549">
          <w:marLeft w:val="640"/>
          <w:marRight w:val="0"/>
          <w:marTop w:val="0"/>
          <w:marBottom w:val="0"/>
          <w:divBdr>
            <w:top w:val="none" w:sz="0" w:space="0" w:color="auto"/>
            <w:left w:val="none" w:sz="0" w:space="0" w:color="auto"/>
            <w:bottom w:val="none" w:sz="0" w:space="0" w:color="auto"/>
            <w:right w:val="none" w:sz="0" w:space="0" w:color="auto"/>
          </w:divBdr>
        </w:div>
        <w:div w:id="1381397193">
          <w:marLeft w:val="640"/>
          <w:marRight w:val="0"/>
          <w:marTop w:val="0"/>
          <w:marBottom w:val="0"/>
          <w:divBdr>
            <w:top w:val="none" w:sz="0" w:space="0" w:color="auto"/>
            <w:left w:val="none" w:sz="0" w:space="0" w:color="auto"/>
            <w:bottom w:val="none" w:sz="0" w:space="0" w:color="auto"/>
            <w:right w:val="none" w:sz="0" w:space="0" w:color="auto"/>
          </w:divBdr>
        </w:div>
        <w:div w:id="227572589">
          <w:marLeft w:val="640"/>
          <w:marRight w:val="0"/>
          <w:marTop w:val="0"/>
          <w:marBottom w:val="0"/>
          <w:divBdr>
            <w:top w:val="none" w:sz="0" w:space="0" w:color="auto"/>
            <w:left w:val="none" w:sz="0" w:space="0" w:color="auto"/>
            <w:bottom w:val="none" w:sz="0" w:space="0" w:color="auto"/>
            <w:right w:val="none" w:sz="0" w:space="0" w:color="auto"/>
          </w:divBdr>
        </w:div>
        <w:div w:id="641158611">
          <w:marLeft w:val="640"/>
          <w:marRight w:val="0"/>
          <w:marTop w:val="0"/>
          <w:marBottom w:val="0"/>
          <w:divBdr>
            <w:top w:val="none" w:sz="0" w:space="0" w:color="auto"/>
            <w:left w:val="none" w:sz="0" w:space="0" w:color="auto"/>
            <w:bottom w:val="none" w:sz="0" w:space="0" w:color="auto"/>
            <w:right w:val="none" w:sz="0" w:space="0" w:color="auto"/>
          </w:divBdr>
        </w:div>
        <w:div w:id="1498568863">
          <w:marLeft w:val="640"/>
          <w:marRight w:val="0"/>
          <w:marTop w:val="0"/>
          <w:marBottom w:val="0"/>
          <w:divBdr>
            <w:top w:val="none" w:sz="0" w:space="0" w:color="auto"/>
            <w:left w:val="none" w:sz="0" w:space="0" w:color="auto"/>
            <w:bottom w:val="none" w:sz="0" w:space="0" w:color="auto"/>
            <w:right w:val="none" w:sz="0" w:space="0" w:color="auto"/>
          </w:divBdr>
        </w:div>
        <w:div w:id="1200360626">
          <w:marLeft w:val="640"/>
          <w:marRight w:val="0"/>
          <w:marTop w:val="0"/>
          <w:marBottom w:val="0"/>
          <w:divBdr>
            <w:top w:val="none" w:sz="0" w:space="0" w:color="auto"/>
            <w:left w:val="none" w:sz="0" w:space="0" w:color="auto"/>
            <w:bottom w:val="none" w:sz="0" w:space="0" w:color="auto"/>
            <w:right w:val="none" w:sz="0" w:space="0" w:color="auto"/>
          </w:divBdr>
        </w:div>
        <w:div w:id="1298880674">
          <w:marLeft w:val="640"/>
          <w:marRight w:val="0"/>
          <w:marTop w:val="0"/>
          <w:marBottom w:val="0"/>
          <w:divBdr>
            <w:top w:val="none" w:sz="0" w:space="0" w:color="auto"/>
            <w:left w:val="none" w:sz="0" w:space="0" w:color="auto"/>
            <w:bottom w:val="none" w:sz="0" w:space="0" w:color="auto"/>
            <w:right w:val="none" w:sz="0" w:space="0" w:color="auto"/>
          </w:divBdr>
        </w:div>
      </w:divsChild>
    </w:div>
    <w:div w:id="1423257176">
      <w:bodyDiv w:val="1"/>
      <w:marLeft w:val="0"/>
      <w:marRight w:val="0"/>
      <w:marTop w:val="0"/>
      <w:marBottom w:val="0"/>
      <w:divBdr>
        <w:top w:val="none" w:sz="0" w:space="0" w:color="auto"/>
        <w:left w:val="none" w:sz="0" w:space="0" w:color="auto"/>
        <w:bottom w:val="none" w:sz="0" w:space="0" w:color="auto"/>
        <w:right w:val="none" w:sz="0" w:space="0" w:color="auto"/>
      </w:divBdr>
      <w:divsChild>
        <w:div w:id="1678343790">
          <w:marLeft w:val="640"/>
          <w:marRight w:val="0"/>
          <w:marTop w:val="0"/>
          <w:marBottom w:val="0"/>
          <w:divBdr>
            <w:top w:val="none" w:sz="0" w:space="0" w:color="auto"/>
            <w:left w:val="none" w:sz="0" w:space="0" w:color="auto"/>
            <w:bottom w:val="none" w:sz="0" w:space="0" w:color="auto"/>
            <w:right w:val="none" w:sz="0" w:space="0" w:color="auto"/>
          </w:divBdr>
        </w:div>
        <w:div w:id="1194731865">
          <w:marLeft w:val="640"/>
          <w:marRight w:val="0"/>
          <w:marTop w:val="0"/>
          <w:marBottom w:val="0"/>
          <w:divBdr>
            <w:top w:val="none" w:sz="0" w:space="0" w:color="auto"/>
            <w:left w:val="none" w:sz="0" w:space="0" w:color="auto"/>
            <w:bottom w:val="none" w:sz="0" w:space="0" w:color="auto"/>
            <w:right w:val="none" w:sz="0" w:space="0" w:color="auto"/>
          </w:divBdr>
        </w:div>
        <w:div w:id="49697375">
          <w:marLeft w:val="640"/>
          <w:marRight w:val="0"/>
          <w:marTop w:val="0"/>
          <w:marBottom w:val="0"/>
          <w:divBdr>
            <w:top w:val="none" w:sz="0" w:space="0" w:color="auto"/>
            <w:left w:val="none" w:sz="0" w:space="0" w:color="auto"/>
            <w:bottom w:val="none" w:sz="0" w:space="0" w:color="auto"/>
            <w:right w:val="none" w:sz="0" w:space="0" w:color="auto"/>
          </w:divBdr>
        </w:div>
        <w:div w:id="1592086150">
          <w:marLeft w:val="640"/>
          <w:marRight w:val="0"/>
          <w:marTop w:val="0"/>
          <w:marBottom w:val="0"/>
          <w:divBdr>
            <w:top w:val="none" w:sz="0" w:space="0" w:color="auto"/>
            <w:left w:val="none" w:sz="0" w:space="0" w:color="auto"/>
            <w:bottom w:val="none" w:sz="0" w:space="0" w:color="auto"/>
            <w:right w:val="none" w:sz="0" w:space="0" w:color="auto"/>
          </w:divBdr>
        </w:div>
        <w:div w:id="2102681577">
          <w:marLeft w:val="640"/>
          <w:marRight w:val="0"/>
          <w:marTop w:val="0"/>
          <w:marBottom w:val="0"/>
          <w:divBdr>
            <w:top w:val="none" w:sz="0" w:space="0" w:color="auto"/>
            <w:left w:val="none" w:sz="0" w:space="0" w:color="auto"/>
            <w:bottom w:val="none" w:sz="0" w:space="0" w:color="auto"/>
            <w:right w:val="none" w:sz="0" w:space="0" w:color="auto"/>
          </w:divBdr>
        </w:div>
        <w:div w:id="71969784">
          <w:marLeft w:val="640"/>
          <w:marRight w:val="0"/>
          <w:marTop w:val="0"/>
          <w:marBottom w:val="0"/>
          <w:divBdr>
            <w:top w:val="none" w:sz="0" w:space="0" w:color="auto"/>
            <w:left w:val="none" w:sz="0" w:space="0" w:color="auto"/>
            <w:bottom w:val="none" w:sz="0" w:space="0" w:color="auto"/>
            <w:right w:val="none" w:sz="0" w:space="0" w:color="auto"/>
          </w:divBdr>
        </w:div>
        <w:div w:id="1526867722">
          <w:marLeft w:val="640"/>
          <w:marRight w:val="0"/>
          <w:marTop w:val="0"/>
          <w:marBottom w:val="0"/>
          <w:divBdr>
            <w:top w:val="none" w:sz="0" w:space="0" w:color="auto"/>
            <w:left w:val="none" w:sz="0" w:space="0" w:color="auto"/>
            <w:bottom w:val="none" w:sz="0" w:space="0" w:color="auto"/>
            <w:right w:val="none" w:sz="0" w:space="0" w:color="auto"/>
          </w:divBdr>
        </w:div>
        <w:div w:id="1225989794">
          <w:marLeft w:val="640"/>
          <w:marRight w:val="0"/>
          <w:marTop w:val="0"/>
          <w:marBottom w:val="0"/>
          <w:divBdr>
            <w:top w:val="none" w:sz="0" w:space="0" w:color="auto"/>
            <w:left w:val="none" w:sz="0" w:space="0" w:color="auto"/>
            <w:bottom w:val="none" w:sz="0" w:space="0" w:color="auto"/>
            <w:right w:val="none" w:sz="0" w:space="0" w:color="auto"/>
          </w:divBdr>
        </w:div>
        <w:div w:id="380596666">
          <w:marLeft w:val="640"/>
          <w:marRight w:val="0"/>
          <w:marTop w:val="0"/>
          <w:marBottom w:val="0"/>
          <w:divBdr>
            <w:top w:val="none" w:sz="0" w:space="0" w:color="auto"/>
            <w:left w:val="none" w:sz="0" w:space="0" w:color="auto"/>
            <w:bottom w:val="none" w:sz="0" w:space="0" w:color="auto"/>
            <w:right w:val="none" w:sz="0" w:space="0" w:color="auto"/>
          </w:divBdr>
        </w:div>
        <w:div w:id="1965772403">
          <w:marLeft w:val="640"/>
          <w:marRight w:val="0"/>
          <w:marTop w:val="0"/>
          <w:marBottom w:val="0"/>
          <w:divBdr>
            <w:top w:val="none" w:sz="0" w:space="0" w:color="auto"/>
            <w:left w:val="none" w:sz="0" w:space="0" w:color="auto"/>
            <w:bottom w:val="none" w:sz="0" w:space="0" w:color="auto"/>
            <w:right w:val="none" w:sz="0" w:space="0" w:color="auto"/>
          </w:divBdr>
        </w:div>
        <w:div w:id="966155812">
          <w:marLeft w:val="640"/>
          <w:marRight w:val="0"/>
          <w:marTop w:val="0"/>
          <w:marBottom w:val="0"/>
          <w:divBdr>
            <w:top w:val="none" w:sz="0" w:space="0" w:color="auto"/>
            <w:left w:val="none" w:sz="0" w:space="0" w:color="auto"/>
            <w:bottom w:val="none" w:sz="0" w:space="0" w:color="auto"/>
            <w:right w:val="none" w:sz="0" w:space="0" w:color="auto"/>
          </w:divBdr>
        </w:div>
        <w:div w:id="1597862700">
          <w:marLeft w:val="640"/>
          <w:marRight w:val="0"/>
          <w:marTop w:val="0"/>
          <w:marBottom w:val="0"/>
          <w:divBdr>
            <w:top w:val="none" w:sz="0" w:space="0" w:color="auto"/>
            <w:left w:val="none" w:sz="0" w:space="0" w:color="auto"/>
            <w:bottom w:val="none" w:sz="0" w:space="0" w:color="auto"/>
            <w:right w:val="none" w:sz="0" w:space="0" w:color="auto"/>
          </w:divBdr>
        </w:div>
        <w:div w:id="165554218">
          <w:marLeft w:val="640"/>
          <w:marRight w:val="0"/>
          <w:marTop w:val="0"/>
          <w:marBottom w:val="0"/>
          <w:divBdr>
            <w:top w:val="none" w:sz="0" w:space="0" w:color="auto"/>
            <w:left w:val="none" w:sz="0" w:space="0" w:color="auto"/>
            <w:bottom w:val="none" w:sz="0" w:space="0" w:color="auto"/>
            <w:right w:val="none" w:sz="0" w:space="0" w:color="auto"/>
          </w:divBdr>
        </w:div>
        <w:div w:id="1945071474">
          <w:marLeft w:val="640"/>
          <w:marRight w:val="0"/>
          <w:marTop w:val="0"/>
          <w:marBottom w:val="0"/>
          <w:divBdr>
            <w:top w:val="none" w:sz="0" w:space="0" w:color="auto"/>
            <w:left w:val="none" w:sz="0" w:space="0" w:color="auto"/>
            <w:bottom w:val="none" w:sz="0" w:space="0" w:color="auto"/>
            <w:right w:val="none" w:sz="0" w:space="0" w:color="auto"/>
          </w:divBdr>
        </w:div>
        <w:div w:id="1815560408">
          <w:marLeft w:val="640"/>
          <w:marRight w:val="0"/>
          <w:marTop w:val="0"/>
          <w:marBottom w:val="0"/>
          <w:divBdr>
            <w:top w:val="none" w:sz="0" w:space="0" w:color="auto"/>
            <w:left w:val="none" w:sz="0" w:space="0" w:color="auto"/>
            <w:bottom w:val="none" w:sz="0" w:space="0" w:color="auto"/>
            <w:right w:val="none" w:sz="0" w:space="0" w:color="auto"/>
          </w:divBdr>
        </w:div>
        <w:div w:id="56515180">
          <w:marLeft w:val="640"/>
          <w:marRight w:val="0"/>
          <w:marTop w:val="0"/>
          <w:marBottom w:val="0"/>
          <w:divBdr>
            <w:top w:val="none" w:sz="0" w:space="0" w:color="auto"/>
            <w:left w:val="none" w:sz="0" w:space="0" w:color="auto"/>
            <w:bottom w:val="none" w:sz="0" w:space="0" w:color="auto"/>
            <w:right w:val="none" w:sz="0" w:space="0" w:color="auto"/>
          </w:divBdr>
        </w:div>
        <w:div w:id="386418214">
          <w:marLeft w:val="640"/>
          <w:marRight w:val="0"/>
          <w:marTop w:val="0"/>
          <w:marBottom w:val="0"/>
          <w:divBdr>
            <w:top w:val="none" w:sz="0" w:space="0" w:color="auto"/>
            <w:left w:val="none" w:sz="0" w:space="0" w:color="auto"/>
            <w:bottom w:val="none" w:sz="0" w:space="0" w:color="auto"/>
            <w:right w:val="none" w:sz="0" w:space="0" w:color="auto"/>
          </w:divBdr>
        </w:div>
        <w:div w:id="518858705">
          <w:marLeft w:val="640"/>
          <w:marRight w:val="0"/>
          <w:marTop w:val="0"/>
          <w:marBottom w:val="0"/>
          <w:divBdr>
            <w:top w:val="none" w:sz="0" w:space="0" w:color="auto"/>
            <w:left w:val="none" w:sz="0" w:space="0" w:color="auto"/>
            <w:bottom w:val="none" w:sz="0" w:space="0" w:color="auto"/>
            <w:right w:val="none" w:sz="0" w:space="0" w:color="auto"/>
          </w:divBdr>
        </w:div>
        <w:div w:id="784495749">
          <w:marLeft w:val="640"/>
          <w:marRight w:val="0"/>
          <w:marTop w:val="0"/>
          <w:marBottom w:val="0"/>
          <w:divBdr>
            <w:top w:val="none" w:sz="0" w:space="0" w:color="auto"/>
            <w:left w:val="none" w:sz="0" w:space="0" w:color="auto"/>
            <w:bottom w:val="none" w:sz="0" w:space="0" w:color="auto"/>
            <w:right w:val="none" w:sz="0" w:space="0" w:color="auto"/>
          </w:divBdr>
        </w:div>
        <w:div w:id="760569710">
          <w:marLeft w:val="640"/>
          <w:marRight w:val="0"/>
          <w:marTop w:val="0"/>
          <w:marBottom w:val="0"/>
          <w:divBdr>
            <w:top w:val="none" w:sz="0" w:space="0" w:color="auto"/>
            <w:left w:val="none" w:sz="0" w:space="0" w:color="auto"/>
            <w:bottom w:val="none" w:sz="0" w:space="0" w:color="auto"/>
            <w:right w:val="none" w:sz="0" w:space="0" w:color="auto"/>
          </w:divBdr>
        </w:div>
        <w:div w:id="1639147535">
          <w:marLeft w:val="640"/>
          <w:marRight w:val="0"/>
          <w:marTop w:val="0"/>
          <w:marBottom w:val="0"/>
          <w:divBdr>
            <w:top w:val="none" w:sz="0" w:space="0" w:color="auto"/>
            <w:left w:val="none" w:sz="0" w:space="0" w:color="auto"/>
            <w:bottom w:val="none" w:sz="0" w:space="0" w:color="auto"/>
            <w:right w:val="none" w:sz="0" w:space="0" w:color="auto"/>
          </w:divBdr>
        </w:div>
        <w:div w:id="58942684">
          <w:marLeft w:val="640"/>
          <w:marRight w:val="0"/>
          <w:marTop w:val="0"/>
          <w:marBottom w:val="0"/>
          <w:divBdr>
            <w:top w:val="none" w:sz="0" w:space="0" w:color="auto"/>
            <w:left w:val="none" w:sz="0" w:space="0" w:color="auto"/>
            <w:bottom w:val="none" w:sz="0" w:space="0" w:color="auto"/>
            <w:right w:val="none" w:sz="0" w:space="0" w:color="auto"/>
          </w:divBdr>
        </w:div>
        <w:div w:id="1256478961">
          <w:marLeft w:val="640"/>
          <w:marRight w:val="0"/>
          <w:marTop w:val="0"/>
          <w:marBottom w:val="0"/>
          <w:divBdr>
            <w:top w:val="none" w:sz="0" w:space="0" w:color="auto"/>
            <w:left w:val="none" w:sz="0" w:space="0" w:color="auto"/>
            <w:bottom w:val="none" w:sz="0" w:space="0" w:color="auto"/>
            <w:right w:val="none" w:sz="0" w:space="0" w:color="auto"/>
          </w:divBdr>
        </w:div>
        <w:div w:id="299117179">
          <w:marLeft w:val="640"/>
          <w:marRight w:val="0"/>
          <w:marTop w:val="0"/>
          <w:marBottom w:val="0"/>
          <w:divBdr>
            <w:top w:val="none" w:sz="0" w:space="0" w:color="auto"/>
            <w:left w:val="none" w:sz="0" w:space="0" w:color="auto"/>
            <w:bottom w:val="none" w:sz="0" w:space="0" w:color="auto"/>
            <w:right w:val="none" w:sz="0" w:space="0" w:color="auto"/>
          </w:divBdr>
        </w:div>
        <w:div w:id="1766733162">
          <w:marLeft w:val="640"/>
          <w:marRight w:val="0"/>
          <w:marTop w:val="0"/>
          <w:marBottom w:val="0"/>
          <w:divBdr>
            <w:top w:val="none" w:sz="0" w:space="0" w:color="auto"/>
            <w:left w:val="none" w:sz="0" w:space="0" w:color="auto"/>
            <w:bottom w:val="none" w:sz="0" w:space="0" w:color="auto"/>
            <w:right w:val="none" w:sz="0" w:space="0" w:color="auto"/>
          </w:divBdr>
        </w:div>
      </w:divsChild>
    </w:div>
    <w:div w:id="1514567590">
      <w:bodyDiv w:val="1"/>
      <w:marLeft w:val="0"/>
      <w:marRight w:val="0"/>
      <w:marTop w:val="0"/>
      <w:marBottom w:val="0"/>
      <w:divBdr>
        <w:top w:val="none" w:sz="0" w:space="0" w:color="auto"/>
        <w:left w:val="none" w:sz="0" w:space="0" w:color="auto"/>
        <w:bottom w:val="none" w:sz="0" w:space="0" w:color="auto"/>
        <w:right w:val="none" w:sz="0" w:space="0" w:color="auto"/>
      </w:divBdr>
      <w:divsChild>
        <w:div w:id="719788389">
          <w:marLeft w:val="640"/>
          <w:marRight w:val="0"/>
          <w:marTop w:val="0"/>
          <w:marBottom w:val="0"/>
          <w:divBdr>
            <w:top w:val="none" w:sz="0" w:space="0" w:color="auto"/>
            <w:left w:val="none" w:sz="0" w:space="0" w:color="auto"/>
            <w:bottom w:val="none" w:sz="0" w:space="0" w:color="auto"/>
            <w:right w:val="none" w:sz="0" w:space="0" w:color="auto"/>
          </w:divBdr>
        </w:div>
        <w:div w:id="1207179731">
          <w:marLeft w:val="640"/>
          <w:marRight w:val="0"/>
          <w:marTop w:val="0"/>
          <w:marBottom w:val="0"/>
          <w:divBdr>
            <w:top w:val="none" w:sz="0" w:space="0" w:color="auto"/>
            <w:left w:val="none" w:sz="0" w:space="0" w:color="auto"/>
            <w:bottom w:val="none" w:sz="0" w:space="0" w:color="auto"/>
            <w:right w:val="none" w:sz="0" w:space="0" w:color="auto"/>
          </w:divBdr>
        </w:div>
        <w:div w:id="1060833166">
          <w:marLeft w:val="640"/>
          <w:marRight w:val="0"/>
          <w:marTop w:val="0"/>
          <w:marBottom w:val="0"/>
          <w:divBdr>
            <w:top w:val="none" w:sz="0" w:space="0" w:color="auto"/>
            <w:left w:val="none" w:sz="0" w:space="0" w:color="auto"/>
            <w:bottom w:val="none" w:sz="0" w:space="0" w:color="auto"/>
            <w:right w:val="none" w:sz="0" w:space="0" w:color="auto"/>
          </w:divBdr>
        </w:div>
        <w:div w:id="2092116014">
          <w:marLeft w:val="640"/>
          <w:marRight w:val="0"/>
          <w:marTop w:val="0"/>
          <w:marBottom w:val="0"/>
          <w:divBdr>
            <w:top w:val="none" w:sz="0" w:space="0" w:color="auto"/>
            <w:left w:val="none" w:sz="0" w:space="0" w:color="auto"/>
            <w:bottom w:val="none" w:sz="0" w:space="0" w:color="auto"/>
            <w:right w:val="none" w:sz="0" w:space="0" w:color="auto"/>
          </w:divBdr>
        </w:div>
        <w:div w:id="1026294219">
          <w:marLeft w:val="640"/>
          <w:marRight w:val="0"/>
          <w:marTop w:val="0"/>
          <w:marBottom w:val="0"/>
          <w:divBdr>
            <w:top w:val="none" w:sz="0" w:space="0" w:color="auto"/>
            <w:left w:val="none" w:sz="0" w:space="0" w:color="auto"/>
            <w:bottom w:val="none" w:sz="0" w:space="0" w:color="auto"/>
            <w:right w:val="none" w:sz="0" w:space="0" w:color="auto"/>
          </w:divBdr>
        </w:div>
        <w:div w:id="882517211">
          <w:marLeft w:val="640"/>
          <w:marRight w:val="0"/>
          <w:marTop w:val="0"/>
          <w:marBottom w:val="0"/>
          <w:divBdr>
            <w:top w:val="none" w:sz="0" w:space="0" w:color="auto"/>
            <w:left w:val="none" w:sz="0" w:space="0" w:color="auto"/>
            <w:bottom w:val="none" w:sz="0" w:space="0" w:color="auto"/>
            <w:right w:val="none" w:sz="0" w:space="0" w:color="auto"/>
          </w:divBdr>
        </w:div>
        <w:div w:id="132677160">
          <w:marLeft w:val="640"/>
          <w:marRight w:val="0"/>
          <w:marTop w:val="0"/>
          <w:marBottom w:val="0"/>
          <w:divBdr>
            <w:top w:val="none" w:sz="0" w:space="0" w:color="auto"/>
            <w:left w:val="none" w:sz="0" w:space="0" w:color="auto"/>
            <w:bottom w:val="none" w:sz="0" w:space="0" w:color="auto"/>
            <w:right w:val="none" w:sz="0" w:space="0" w:color="auto"/>
          </w:divBdr>
        </w:div>
        <w:div w:id="1249273404">
          <w:marLeft w:val="640"/>
          <w:marRight w:val="0"/>
          <w:marTop w:val="0"/>
          <w:marBottom w:val="0"/>
          <w:divBdr>
            <w:top w:val="none" w:sz="0" w:space="0" w:color="auto"/>
            <w:left w:val="none" w:sz="0" w:space="0" w:color="auto"/>
            <w:bottom w:val="none" w:sz="0" w:space="0" w:color="auto"/>
            <w:right w:val="none" w:sz="0" w:space="0" w:color="auto"/>
          </w:divBdr>
        </w:div>
        <w:div w:id="1852914136">
          <w:marLeft w:val="640"/>
          <w:marRight w:val="0"/>
          <w:marTop w:val="0"/>
          <w:marBottom w:val="0"/>
          <w:divBdr>
            <w:top w:val="none" w:sz="0" w:space="0" w:color="auto"/>
            <w:left w:val="none" w:sz="0" w:space="0" w:color="auto"/>
            <w:bottom w:val="none" w:sz="0" w:space="0" w:color="auto"/>
            <w:right w:val="none" w:sz="0" w:space="0" w:color="auto"/>
          </w:divBdr>
        </w:div>
        <w:div w:id="1221208431">
          <w:marLeft w:val="640"/>
          <w:marRight w:val="0"/>
          <w:marTop w:val="0"/>
          <w:marBottom w:val="0"/>
          <w:divBdr>
            <w:top w:val="none" w:sz="0" w:space="0" w:color="auto"/>
            <w:left w:val="none" w:sz="0" w:space="0" w:color="auto"/>
            <w:bottom w:val="none" w:sz="0" w:space="0" w:color="auto"/>
            <w:right w:val="none" w:sz="0" w:space="0" w:color="auto"/>
          </w:divBdr>
        </w:div>
        <w:div w:id="1860464281">
          <w:marLeft w:val="640"/>
          <w:marRight w:val="0"/>
          <w:marTop w:val="0"/>
          <w:marBottom w:val="0"/>
          <w:divBdr>
            <w:top w:val="none" w:sz="0" w:space="0" w:color="auto"/>
            <w:left w:val="none" w:sz="0" w:space="0" w:color="auto"/>
            <w:bottom w:val="none" w:sz="0" w:space="0" w:color="auto"/>
            <w:right w:val="none" w:sz="0" w:space="0" w:color="auto"/>
          </w:divBdr>
        </w:div>
        <w:div w:id="883062981">
          <w:marLeft w:val="640"/>
          <w:marRight w:val="0"/>
          <w:marTop w:val="0"/>
          <w:marBottom w:val="0"/>
          <w:divBdr>
            <w:top w:val="none" w:sz="0" w:space="0" w:color="auto"/>
            <w:left w:val="none" w:sz="0" w:space="0" w:color="auto"/>
            <w:bottom w:val="none" w:sz="0" w:space="0" w:color="auto"/>
            <w:right w:val="none" w:sz="0" w:space="0" w:color="auto"/>
          </w:divBdr>
        </w:div>
        <w:div w:id="66733920">
          <w:marLeft w:val="640"/>
          <w:marRight w:val="0"/>
          <w:marTop w:val="0"/>
          <w:marBottom w:val="0"/>
          <w:divBdr>
            <w:top w:val="none" w:sz="0" w:space="0" w:color="auto"/>
            <w:left w:val="none" w:sz="0" w:space="0" w:color="auto"/>
            <w:bottom w:val="none" w:sz="0" w:space="0" w:color="auto"/>
            <w:right w:val="none" w:sz="0" w:space="0" w:color="auto"/>
          </w:divBdr>
        </w:div>
        <w:div w:id="148521371">
          <w:marLeft w:val="640"/>
          <w:marRight w:val="0"/>
          <w:marTop w:val="0"/>
          <w:marBottom w:val="0"/>
          <w:divBdr>
            <w:top w:val="none" w:sz="0" w:space="0" w:color="auto"/>
            <w:left w:val="none" w:sz="0" w:space="0" w:color="auto"/>
            <w:bottom w:val="none" w:sz="0" w:space="0" w:color="auto"/>
            <w:right w:val="none" w:sz="0" w:space="0" w:color="auto"/>
          </w:divBdr>
        </w:div>
        <w:div w:id="1180201592">
          <w:marLeft w:val="640"/>
          <w:marRight w:val="0"/>
          <w:marTop w:val="0"/>
          <w:marBottom w:val="0"/>
          <w:divBdr>
            <w:top w:val="none" w:sz="0" w:space="0" w:color="auto"/>
            <w:left w:val="none" w:sz="0" w:space="0" w:color="auto"/>
            <w:bottom w:val="none" w:sz="0" w:space="0" w:color="auto"/>
            <w:right w:val="none" w:sz="0" w:space="0" w:color="auto"/>
          </w:divBdr>
        </w:div>
        <w:div w:id="877472054">
          <w:marLeft w:val="640"/>
          <w:marRight w:val="0"/>
          <w:marTop w:val="0"/>
          <w:marBottom w:val="0"/>
          <w:divBdr>
            <w:top w:val="none" w:sz="0" w:space="0" w:color="auto"/>
            <w:left w:val="none" w:sz="0" w:space="0" w:color="auto"/>
            <w:bottom w:val="none" w:sz="0" w:space="0" w:color="auto"/>
            <w:right w:val="none" w:sz="0" w:space="0" w:color="auto"/>
          </w:divBdr>
        </w:div>
        <w:div w:id="1331789168">
          <w:marLeft w:val="640"/>
          <w:marRight w:val="0"/>
          <w:marTop w:val="0"/>
          <w:marBottom w:val="0"/>
          <w:divBdr>
            <w:top w:val="none" w:sz="0" w:space="0" w:color="auto"/>
            <w:left w:val="none" w:sz="0" w:space="0" w:color="auto"/>
            <w:bottom w:val="none" w:sz="0" w:space="0" w:color="auto"/>
            <w:right w:val="none" w:sz="0" w:space="0" w:color="auto"/>
          </w:divBdr>
        </w:div>
        <w:div w:id="657928705">
          <w:marLeft w:val="640"/>
          <w:marRight w:val="0"/>
          <w:marTop w:val="0"/>
          <w:marBottom w:val="0"/>
          <w:divBdr>
            <w:top w:val="none" w:sz="0" w:space="0" w:color="auto"/>
            <w:left w:val="none" w:sz="0" w:space="0" w:color="auto"/>
            <w:bottom w:val="none" w:sz="0" w:space="0" w:color="auto"/>
            <w:right w:val="none" w:sz="0" w:space="0" w:color="auto"/>
          </w:divBdr>
        </w:div>
      </w:divsChild>
    </w:div>
    <w:div w:id="1523323301">
      <w:bodyDiv w:val="1"/>
      <w:marLeft w:val="0"/>
      <w:marRight w:val="0"/>
      <w:marTop w:val="0"/>
      <w:marBottom w:val="0"/>
      <w:divBdr>
        <w:top w:val="none" w:sz="0" w:space="0" w:color="auto"/>
        <w:left w:val="none" w:sz="0" w:space="0" w:color="auto"/>
        <w:bottom w:val="none" w:sz="0" w:space="0" w:color="auto"/>
        <w:right w:val="none" w:sz="0" w:space="0" w:color="auto"/>
      </w:divBdr>
      <w:divsChild>
        <w:div w:id="1512179093">
          <w:marLeft w:val="640"/>
          <w:marRight w:val="0"/>
          <w:marTop w:val="0"/>
          <w:marBottom w:val="0"/>
          <w:divBdr>
            <w:top w:val="none" w:sz="0" w:space="0" w:color="auto"/>
            <w:left w:val="none" w:sz="0" w:space="0" w:color="auto"/>
            <w:bottom w:val="none" w:sz="0" w:space="0" w:color="auto"/>
            <w:right w:val="none" w:sz="0" w:space="0" w:color="auto"/>
          </w:divBdr>
        </w:div>
        <w:div w:id="455415884">
          <w:marLeft w:val="640"/>
          <w:marRight w:val="0"/>
          <w:marTop w:val="0"/>
          <w:marBottom w:val="0"/>
          <w:divBdr>
            <w:top w:val="none" w:sz="0" w:space="0" w:color="auto"/>
            <w:left w:val="none" w:sz="0" w:space="0" w:color="auto"/>
            <w:bottom w:val="none" w:sz="0" w:space="0" w:color="auto"/>
            <w:right w:val="none" w:sz="0" w:space="0" w:color="auto"/>
          </w:divBdr>
        </w:div>
        <w:div w:id="253825308">
          <w:marLeft w:val="640"/>
          <w:marRight w:val="0"/>
          <w:marTop w:val="0"/>
          <w:marBottom w:val="0"/>
          <w:divBdr>
            <w:top w:val="none" w:sz="0" w:space="0" w:color="auto"/>
            <w:left w:val="none" w:sz="0" w:space="0" w:color="auto"/>
            <w:bottom w:val="none" w:sz="0" w:space="0" w:color="auto"/>
            <w:right w:val="none" w:sz="0" w:space="0" w:color="auto"/>
          </w:divBdr>
        </w:div>
        <w:div w:id="475293582">
          <w:marLeft w:val="640"/>
          <w:marRight w:val="0"/>
          <w:marTop w:val="0"/>
          <w:marBottom w:val="0"/>
          <w:divBdr>
            <w:top w:val="none" w:sz="0" w:space="0" w:color="auto"/>
            <w:left w:val="none" w:sz="0" w:space="0" w:color="auto"/>
            <w:bottom w:val="none" w:sz="0" w:space="0" w:color="auto"/>
            <w:right w:val="none" w:sz="0" w:space="0" w:color="auto"/>
          </w:divBdr>
        </w:div>
        <w:div w:id="162596270">
          <w:marLeft w:val="640"/>
          <w:marRight w:val="0"/>
          <w:marTop w:val="0"/>
          <w:marBottom w:val="0"/>
          <w:divBdr>
            <w:top w:val="none" w:sz="0" w:space="0" w:color="auto"/>
            <w:left w:val="none" w:sz="0" w:space="0" w:color="auto"/>
            <w:bottom w:val="none" w:sz="0" w:space="0" w:color="auto"/>
            <w:right w:val="none" w:sz="0" w:space="0" w:color="auto"/>
          </w:divBdr>
        </w:div>
        <w:div w:id="1181894624">
          <w:marLeft w:val="640"/>
          <w:marRight w:val="0"/>
          <w:marTop w:val="0"/>
          <w:marBottom w:val="0"/>
          <w:divBdr>
            <w:top w:val="none" w:sz="0" w:space="0" w:color="auto"/>
            <w:left w:val="none" w:sz="0" w:space="0" w:color="auto"/>
            <w:bottom w:val="none" w:sz="0" w:space="0" w:color="auto"/>
            <w:right w:val="none" w:sz="0" w:space="0" w:color="auto"/>
          </w:divBdr>
        </w:div>
        <w:div w:id="1866668767">
          <w:marLeft w:val="640"/>
          <w:marRight w:val="0"/>
          <w:marTop w:val="0"/>
          <w:marBottom w:val="0"/>
          <w:divBdr>
            <w:top w:val="none" w:sz="0" w:space="0" w:color="auto"/>
            <w:left w:val="none" w:sz="0" w:space="0" w:color="auto"/>
            <w:bottom w:val="none" w:sz="0" w:space="0" w:color="auto"/>
            <w:right w:val="none" w:sz="0" w:space="0" w:color="auto"/>
          </w:divBdr>
        </w:div>
        <w:div w:id="1149053948">
          <w:marLeft w:val="640"/>
          <w:marRight w:val="0"/>
          <w:marTop w:val="0"/>
          <w:marBottom w:val="0"/>
          <w:divBdr>
            <w:top w:val="none" w:sz="0" w:space="0" w:color="auto"/>
            <w:left w:val="none" w:sz="0" w:space="0" w:color="auto"/>
            <w:bottom w:val="none" w:sz="0" w:space="0" w:color="auto"/>
            <w:right w:val="none" w:sz="0" w:space="0" w:color="auto"/>
          </w:divBdr>
        </w:div>
        <w:div w:id="673533017">
          <w:marLeft w:val="640"/>
          <w:marRight w:val="0"/>
          <w:marTop w:val="0"/>
          <w:marBottom w:val="0"/>
          <w:divBdr>
            <w:top w:val="none" w:sz="0" w:space="0" w:color="auto"/>
            <w:left w:val="none" w:sz="0" w:space="0" w:color="auto"/>
            <w:bottom w:val="none" w:sz="0" w:space="0" w:color="auto"/>
            <w:right w:val="none" w:sz="0" w:space="0" w:color="auto"/>
          </w:divBdr>
        </w:div>
        <w:div w:id="1157452685">
          <w:marLeft w:val="640"/>
          <w:marRight w:val="0"/>
          <w:marTop w:val="0"/>
          <w:marBottom w:val="0"/>
          <w:divBdr>
            <w:top w:val="none" w:sz="0" w:space="0" w:color="auto"/>
            <w:left w:val="none" w:sz="0" w:space="0" w:color="auto"/>
            <w:bottom w:val="none" w:sz="0" w:space="0" w:color="auto"/>
            <w:right w:val="none" w:sz="0" w:space="0" w:color="auto"/>
          </w:divBdr>
        </w:div>
        <w:div w:id="2032753260">
          <w:marLeft w:val="640"/>
          <w:marRight w:val="0"/>
          <w:marTop w:val="0"/>
          <w:marBottom w:val="0"/>
          <w:divBdr>
            <w:top w:val="none" w:sz="0" w:space="0" w:color="auto"/>
            <w:left w:val="none" w:sz="0" w:space="0" w:color="auto"/>
            <w:bottom w:val="none" w:sz="0" w:space="0" w:color="auto"/>
            <w:right w:val="none" w:sz="0" w:space="0" w:color="auto"/>
          </w:divBdr>
        </w:div>
        <w:div w:id="11031183">
          <w:marLeft w:val="640"/>
          <w:marRight w:val="0"/>
          <w:marTop w:val="0"/>
          <w:marBottom w:val="0"/>
          <w:divBdr>
            <w:top w:val="none" w:sz="0" w:space="0" w:color="auto"/>
            <w:left w:val="none" w:sz="0" w:space="0" w:color="auto"/>
            <w:bottom w:val="none" w:sz="0" w:space="0" w:color="auto"/>
            <w:right w:val="none" w:sz="0" w:space="0" w:color="auto"/>
          </w:divBdr>
        </w:div>
        <w:div w:id="2056736858">
          <w:marLeft w:val="640"/>
          <w:marRight w:val="0"/>
          <w:marTop w:val="0"/>
          <w:marBottom w:val="0"/>
          <w:divBdr>
            <w:top w:val="none" w:sz="0" w:space="0" w:color="auto"/>
            <w:left w:val="none" w:sz="0" w:space="0" w:color="auto"/>
            <w:bottom w:val="none" w:sz="0" w:space="0" w:color="auto"/>
            <w:right w:val="none" w:sz="0" w:space="0" w:color="auto"/>
          </w:divBdr>
        </w:div>
        <w:div w:id="1176504890">
          <w:marLeft w:val="640"/>
          <w:marRight w:val="0"/>
          <w:marTop w:val="0"/>
          <w:marBottom w:val="0"/>
          <w:divBdr>
            <w:top w:val="none" w:sz="0" w:space="0" w:color="auto"/>
            <w:left w:val="none" w:sz="0" w:space="0" w:color="auto"/>
            <w:bottom w:val="none" w:sz="0" w:space="0" w:color="auto"/>
            <w:right w:val="none" w:sz="0" w:space="0" w:color="auto"/>
          </w:divBdr>
        </w:div>
        <w:div w:id="1133718061">
          <w:marLeft w:val="640"/>
          <w:marRight w:val="0"/>
          <w:marTop w:val="0"/>
          <w:marBottom w:val="0"/>
          <w:divBdr>
            <w:top w:val="none" w:sz="0" w:space="0" w:color="auto"/>
            <w:left w:val="none" w:sz="0" w:space="0" w:color="auto"/>
            <w:bottom w:val="none" w:sz="0" w:space="0" w:color="auto"/>
            <w:right w:val="none" w:sz="0" w:space="0" w:color="auto"/>
          </w:divBdr>
        </w:div>
        <w:div w:id="1468468608">
          <w:marLeft w:val="640"/>
          <w:marRight w:val="0"/>
          <w:marTop w:val="0"/>
          <w:marBottom w:val="0"/>
          <w:divBdr>
            <w:top w:val="none" w:sz="0" w:space="0" w:color="auto"/>
            <w:left w:val="none" w:sz="0" w:space="0" w:color="auto"/>
            <w:bottom w:val="none" w:sz="0" w:space="0" w:color="auto"/>
            <w:right w:val="none" w:sz="0" w:space="0" w:color="auto"/>
          </w:divBdr>
        </w:div>
        <w:div w:id="1348796978">
          <w:marLeft w:val="640"/>
          <w:marRight w:val="0"/>
          <w:marTop w:val="0"/>
          <w:marBottom w:val="0"/>
          <w:divBdr>
            <w:top w:val="none" w:sz="0" w:space="0" w:color="auto"/>
            <w:left w:val="none" w:sz="0" w:space="0" w:color="auto"/>
            <w:bottom w:val="none" w:sz="0" w:space="0" w:color="auto"/>
            <w:right w:val="none" w:sz="0" w:space="0" w:color="auto"/>
          </w:divBdr>
        </w:div>
        <w:div w:id="469173768">
          <w:marLeft w:val="640"/>
          <w:marRight w:val="0"/>
          <w:marTop w:val="0"/>
          <w:marBottom w:val="0"/>
          <w:divBdr>
            <w:top w:val="none" w:sz="0" w:space="0" w:color="auto"/>
            <w:left w:val="none" w:sz="0" w:space="0" w:color="auto"/>
            <w:bottom w:val="none" w:sz="0" w:space="0" w:color="auto"/>
            <w:right w:val="none" w:sz="0" w:space="0" w:color="auto"/>
          </w:divBdr>
        </w:div>
        <w:div w:id="1817606984">
          <w:marLeft w:val="640"/>
          <w:marRight w:val="0"/>
          <w:marTop w:val="0"/>
          <w:marBottom w:val="0"/>
          <w:divBdr>
            <w:top w:val="none" w:sz="0" w:space="0" w:color="auto"/>
            <w:left w:val="none" w:sz="0" w:space="0" w:color="auto"/>
            <w:bottom w:val="none" w:sz="0" w:space="0" w:color="auto"/>
            <w:right w:val="none" w:sz="0" w:space="0" w:color="auto"/>
          </w:divBdr>
        </w:div>
        <w:div w:id="380713239">
          <w:marLeft w:val="640"/>
          <w:marRight w:val="0"/>
          <w:marTop w:val="0"/>
          <w:marBottom w:val="0"/>
          <w:divBdr>
            <w:top w:val="none" w:sz="0" w:space="0" w:color="auto"/>
            <w:left w:val="none" w:sz="0" w:space="0" w:color="auto"/>
            <w:bottom w:val="none" w:sz="0" w:space="0" w:color="auto"/>
            <w:right w:val="none" w:sz="0" w:space="0" w:color="auto"/>
          </w:divBdr>
        </w:div>
        <w:div w:id="1286886878">
          <w:marLeft w:val="640"/>
          <w:marRight w:val="0"/>
          <w:marTop w:val="0"/>
          <w:marBottom w:val="0"/>
          <w:divBdr>
            <w:top w:val="none" w:sz="0" w:space="0" w:color="auto"/>
            <w:left w:val="none" w:sz="0" w:space="0" w:color="auto"/>
            <w:bottom w:val="none" w:sz="0" w:space="0" w:color="auto"/>
            <w:right w:val="none" w:sz="0" w:space="0" w:color="auto"/>
          </w:divBdr>
        </w:div>
        <w:div w:id="1918245159">
          <w:marLeft w:val="640"/>
          <w:marRight w:val="0"/>
          <w:marTop w:val="0"/>
          <w:marBottom w:val="0"/>
          <w:divBdr>
            <w:top w:val="none" w:sz="0" w:space="0" w:color="auto"/>
            <w:left w:val="none" w:sz="0" w:space="0" w:color="auto"/>
            <w:bottom w:val="none" w:sz="0" w:space="0" w:color="auto"/>
            <w:right w:val="none" w:sz="0" w:space="0" w:color="auto"/>
          </w:divBdr>
        </w:div>
        <w:div w:id="872108637">
          <w:marLeft w:val="640"/>
          <w:marRight w:val="0"/>
          <w:marTop w:val="0"/>
          <w:marBottom w:val="0"/>
          <w:divBdr>
            <w:top w:val="none" w:sz="0" w:space="0" w:color="auto"/>
            <w:left w:val="none" w:sz="0" w:space="0" w:color="auto"/>
            <w:bottom w:val="none" w:sz="0" w:space="0" w:color="auto"/>
            <w:right w:val="none" w:sz="0" w:space="0" w:color="auto"/>
          </w:divBdr>
        </w:div>
        <w:div w:id="843209145">
          <w:marLeft w:val="640"/>
          <w:marRight w:val="0"/>
          <w:marTop w:val="0"/>
          <w:marBottom w:val="0"/>
          <w:divBdr>
            <w:top w:val="none" w:sz="0" w:space="0" w:color="auto"/>
            <w:left w:val="none" w:sz="0" w:space="0" w:color="auto"/>
            <w:bottom w:val="none" w:sz="0" w:space="0" w:color="auto"/>
            <w:right w:val="none" w:sz="0" w:space="0" w:color="auto"/>
          </w:divBdr>
        </w:div>
        <w:div w:id="158693422">
          <w:marLeft w:val="640"/>
          <w:marRight w:val="0"/>
          <w:marTop w:val="0"/>
          <w:marBottom w:val="0"/>
          <w:divBdr>
            <w:top w:val="none" w:sz="0" w:space="0" w:color="auto"/>
            <w:left w:val="none" w:sz="0" w:space="0" w:color="auto"/>
            <w:bottom w:val="none" w:sz="0" w:space="0" w:color="auto"/>
            <w:right w:val="none" w:sz="0" w:space="0" w:color="auto"/>
          </w:divBdr>
        </w:div>
        <w:div w:id="1700205825">
          <w:marLeft w:val="640"/>
          <w:marRight w:val="0"/>
          <w:marTop w:val="0"/>
          <w:marBottom w:val="0"/>
          <w:divBdr>
            <w:top w:val="none" w:sz="0" w:space="0" w:color="auto"/>
            <w:left w:val="none" w:sz="0" w:space="0" w:color="auto"/>
            <w:bottom w:val="none" w:sz="0" w:space="0" w:color="auto"/>
            <w:right w:val="none" w:sz="0" w:space="0" w:color="auto"/>
          </w:divBdr>
        </w:div>
      </w:divsChild>
    </w:div>
    <w:div w:id="1576040492">
      <w:bodyDiv w:val="1"/>
      <w:marLeft w:val="0"/>
      <w:marRight w:val="0"/>
      <w:marTop w:val="0"/>
      <w:marBottom w:val="0"/>
      <w:divBdr>
        <w:top w:val="none" w:sz="0" w:space="0" w:color="auto"/>
        <w:left w:val="none" w:sz="0" w:space="0" w:color="auto"/>
        <w:bottom w:val="none" w:sz="0" w:space="0" w:color="auto"/>
        <w:right w:val="none" w:sz="0" w:space="0" w:color="auto"/>
      </w:divBdr>
      <w:divsChild>
        <w:div w:id="671223542">
          <w:marLeft w:val="640"/>
          <w:marRight w:val="0"/>
          <w:marTop w:val="0"/>
          <w:marBottom w:val="0"/>
          <w:divBdr>
            <w:top w:val="none" w:sz="0" w:space="0" w:color="auto"/>
            <w:left w:val="none" w:sz="0" w:space="0" w:color="auto"/>
            <w:bottom w:val="none" w:sz="0" w:space="0" w:color="auto"/>
            <w:right w:val="none" w:sz="0" w:space="0" w:color="auto"/>
          </w:divBdr>
        </w:div>
        <w:div w:id="1173182080">
          <w:marLeft w:val="640"/>
          <w:marRight w:val="0"/>
          <w:marTop w:val="0"/>
          <w:marBottom w:val="0"/>
          <w:divBdr>
            <w:top w:val="none" w:sz="0" w:space="0" w:color="auto"/>
            <w:left w:val="none" w:sz="0" w:space="0" w:color="auto"/>
            <w:bottom w:val="none" w:sz="0" w:space="0" w:color="auto"/>
            <w:right w:val="none" w:sz="0" w:space="0" w:color="auto"/>
          </w:divBdr>
        </w:div>
        <w:div w:id="272713395">
          <w:marLeft w:val="640"/>
          <w:marRight w:val="0"/>
          <w:marTop w:val="0"/>
          <w:marBottom w:val="0"/>
          <w:divBdr>
            <w:top w:val="none" w:sz="0" w:space="0" w:color="auto"/>
            <w:left w:val="none" w:sz="0" w:space="0" w:color="auto"/>
            <w:bottom w:val="none" w:sz="0" w:space="0" w:color="auto"/>
            <w:right w:val="none" w:sz="0" w:space="0" w:color="auto"/>
          </w:divBdr>
        </w:div>
        <w:div w:id="202596841">
          <w:marLeft w:val="640"/>
          <w:marRight w:val="0"/>
          <w:marTop w:val="0"/>
          <w:marBottom w:val="0"/>
          <w:divBdr>
            <w:top w:val="none" w:sz="0" w:space="0" w:color="auto"/>
            <w:left w:val="none" w:sz="0" w:space="0" w:color="auto"/>
            <w:bottom w:val="none" w:sz="0" w:space="0" w:color="auto"/>
            <w:right w:val="none" w:sz="0" w:space="0" w:color="auto"/>
          </w:divBdr>
        </w:div>
        <w:div w:id="1414277947">
          <w:marLeft w:val="640"/>
          <w:marRight w:val="0"/>
          <w:marTop w:val="0"/>
          <w:marBottom w:val="0"/>
          <w:divBdr>
            <w:top w:val="none" w:sz="0" w:space="0" w:color="auto"/>
            <w:left w:val="none" w:sz="0" w:space="0" w:color="auto"/>
            <w:bottom w:val="none" w:sz="0" w:space="0" w:color="auto"/>
            <w:right w:val="none" w:sz="0" w:space="0" w:color="auto"/>
          </w:divBdr>
        </w:div>
        <w:div w:id="84885895">
          <w:marLeft w:val="640"/>
          <w:marRight w:val="0"/>
          <w:marTop w:val="0"/>
          <w:marBottom w:val="0"/>
          <w:divBdr>
            <w:top w:val="none" w:sz="0" w:space="0" w:color="auto"/>
            <w:left w:val="none" w:sz="0" w:space="0" w:color="auto"/>
            <w:bottom w:val="none" w:sz="0" w:space="0" w:color="auto"/>
            <w:right w:val="none" w:sz="0" w:space="0" w:color="auto"/>
          </w:divBdr>
        </w:div>
        <w:div w:id="1859080477">
          <w:marLeft w:val="640"/>
          <w:marRight w:val="0"/>
          <w:marTop w:val="0"/>
          <w:marBottom w:val="0"/>
          <w:divBdr>
            <w:top w:val="none" w:sz="0" w:space="0" w:color="auto"/>
            <w:left w:val="none" w:sz="0" w:space="0" w:color="auto"/>
            <w:bottom w:val="none" w:sz="0" w:space="0" w:color="auto"/>
            <w:right w:val="none" w:sz="0" w:space="0" w:color="auto"/>
          </w:divBdr>
        </w:div>
        <w:div w:id="798186467">
          <w:marLeft w:val="640"/>
          <w:marRight w:val="0"/>
          <w:marTop w:val="0"/>
          <w:marBottom w:val="0"/>
          <w:divBdr>
            <w:top w:val="none" w:sz="0" w:space="0" w:color="auto"/>
            <w:left w:val="none" w:sz="0" w:space="0" w:color="auto"/>
            <w:bottom w:val="none" w:sz="0" w:space="0" w:color="auto"/>
            <w:right w:val="none" w:sz="0" w:space="0" w:color="auto"/>
          </w:divBdr>
        </w:div>
        <w:div w:id="1259175426">
          <w:marLeft w:val="640"/>
          <w:marRight w:val="0"/>
          <w:marTop w:val="0"/>
          <w:marBottom w:val="0"/>
          <w:divBdr>
            <w:top w:val="none" w:sz="0" w:space="0" w:color="auto"/>
            <w:left w:val="none" w:sz="0" w:space="0" w:color="auto"/>
            <w:bottom w:val="none" w:sz="0" w:space="0" w:color="auto"/>
            <w:right w:val="none" w:sz="0" w:space="0" w:color="auto"/>
          </w:divBdr>
        </w:div>
        <w:div w:id="34815734">
          <w:marLeft w:val="640"/>
          <w:marRight w:val="0"/>
          <w:marTop w:val="0"/>
          <w:marBottom w:val="0"/>
          <w:divBdr>
            <w:top w:val="none" w:sz="0" w:space="0" w:color="auto"/>
            <w:left w:val="none" w:sz="0" w:space="0" w:color="auto"/>
            <w:bottom w:val="none" w:sz="0" w:space="0" w:color="auto"/>
            <w:right w:val="none" w:sz="0" w:space="0" w:color="auto"/>
          </w:divBdr>
        </w:div>
        <w:div w:id="606691486">
          <w:marLeft w:val="640"/>
          <w:marRight w:val="0"/>
          <w:marTop w:val="0"/>
          <w:marBottom w:val="0"/>
          <w:divBdr>
            <w:top w:val="none" w:sz="0" w:space="0" w:color="auto"/>
            <w:left w:val="none" w:sz="0" w:space="0" w:color="auto"/>
            <w:bottom w:val="none" w:sz="0" w:space="0" w:color="auto"/>
            <w:right w:val="none" w:sz="0" w:space="0" w:color="auto"/>
          </w:divBdr>
        </w:div>
        <w:div w:id="904533293">
          <w:marLeft w:val="640"/>
          <w:marRight w:val="0"/>
          <w:marTop w:val="0"/>
          <w:marBottom w:val="0"/>
          <w:divBdr>
            <w:top w:val="none" w:sz="0" w:space="0" w:color="auto"/>
            <w:left w:val="none" w:sz="0" w:space="0" w:color="auto"/>
            <w:bottom w:val="none" w:sz="0" w:space="0" w:color="auto"/>
            <w:right w:val="none" w:sz="0" w:space="0" w:color="auto"/>
          </w:divBdr>
        </w:div>
        <w:div w:id="443155064">
          <w:marLeft w:val="640"/>
          <w:marRight w:val="0"/>
          <w:marTop w:val="0"/>
          <w:marBottom w:val="0"/>
          <w:divBdr>
            <w:top w:val="none" w:sz="0" w:space="0" w:color="auto"/>
            <w:left w:val="none" w:sz="0" w:space="0" w:color="auto"/>
            <w:bottom w:val="none" w:sz="0" w:space="0" w:color="auto"/>
            <w:right w:val="none" w:sz="0" w:space="0" w:color="auto"/>
          </w:divBdr>
        </w:div>
        <w:div w:id="1475873700">
          <w:marLeft w:val="640"/>
          <w:marRight w:val="0"/>
          <w:marTop w:val="0"/>
          <w:marBottom w:val="0"/>
          <w:divBdr>
            <w:top w:val="none" w:sz="0" w:space="0" w:color="auto"/>
            <w:left w:val="none" w:sz="0" w:space="0" w:color="auto"/>
            <w:bottom w:val="none" w:sz="0" w:space="0" w:color="auto"/>
            <w:right w:val="none" w:sz="0" w:space="0" w:color="auto"/>
          </w:divBdr>
        </w:div>
        <w:div w:id="1708136187">
          <w:marLeft w:val="640"/>
          <w:marRight w:val="0"/>
          <w:marTop w:val="0"/>
          <w:marBottom w:val="0"/>
          <w:divBdr>
            <w:top w:val="none" w:sz="0" w:space="0" w:color="auto"/>
            <w:left w:val="none" w:sz="0" w:space="0" w:color="auto"/>
            <w:bottom w:val="none" w:sz="0" w:space="0" w:color="auto"/>
            <w:right w:val="none" w:sz="0" w:space="0" w:color="auto"/>
          </w:divBdr>
        </w:div>
        <w:div w:id="1717702795">
          <w:marLeft w:val="640"/>
          <w:marRight w:val="0"/>
          <w:marTop w:val="0"/>
          <w:marBottom w:val="0"/>
          <w:divBdr>
            <w:top w:val="none" w:sz="0" w:space="0" w:color="auto"/>
            <w:left w:val="none" w:sz="0" w:space="0" w:color="auto"/>
            <w:bottom w:val="none" w:sz="0" w:space="0" w:color="auto"/>
            <w:right w:val="none" w:sz="0" w:space="0" w:color="auto"/>
          </w:divBdr>
        </w:div>
        <w:div w:id="1769277920">
          <w:marLeft w:val="640"/>
          <w:marRight w:val="0"/>
          <w:marTop w:val="0"/>
          <w:marBottom w:val="0"/>
          <w:divBdr>
            <w:top w:val="none" w:sz="0" w:space="0" w:color="auto"/>
            <w:left w:val="none" w:sz="0" w:space="0" w:color="auto"/>
            <w:bottom w:val="none" w:sz="0" w:space="0" w:color="auto"/>
            <w:right w:val="none" w:sz="0" w:space="0" w:color="auto"/>
          </w:divBdr>
        </w:div>
        <w:div w:id="1377855680">
          <w:marLeft w:val="640"/>
          <w:marRight w:val="0"/>
          <w:marTop w:val="0"/>
          <w:marBottom w:val="0"/>
          <w:divBdr>
            <w:top w:val="none" w:sz="0" w:space="0" w:color="auto"/>
            <w:left w:val="none" w:sz="0" w:space="0" w:color="auto"/>
            <w:bottom w:val="none" w:sz="0" w:space="0" w:color="auto"/>
            <w:right w:val="none" w:sz="0" w:space="0" w:color="auto"/>
          </w:divBdr>
        </w:div>
        <w:div w:id="281114104">
          <w:marLeft w:val="640"/>
          <w:marRight w:val="0"/>
          <w:marTop w:val="0"/>
          <w:marBottom w:val="0"/>
          <w:divBdr>
            <w:top w:val="none" w:sz="0" w:space="0" w:color="auto"/>
            <w:left w:val="none" w:sz="0" w:space="0" w:color="auto"/>
            <w:bottom w:val="none" w:sz="0" w:space="0" w:color="auto"/>
            <w:right w:val="none" w:sz="0" w:space="0" w:color="auto"/>
          </w:divBdr>
        </w:div>
        <w:div w:id="795683955">
          <w:marLeft w:val="640"/>
          <w:marRight w:val="0"/>
          <w:marTop w:val="0"/>
          <w:marBottom w:val="0"/>
          <w:divBdr>
            <w:top w:val="none" w:sz="0" w:space="0" w:color="auto"/>
            <w:left w:val="none" w:sz="0" w:space="0" w:color="auto"/>
            <w:bottom w:val="none" w:sz="0" w:space="0" w:color="auto"/>
            <w:right w:val="none" w:sz="0" w:space="0" w:color="auto"/>
          </w:divBdr>
        </w:div>
      </w:divsChild>
    </w:div>
    <w:div w:id="1584996335">
      <w:bodyDiv w:val="1"/>
      <w:marLeft w:val="0"/>
      <w:marRight w:val="0"/>
      <w:marTop w:val="0"/>
      <w:marBottom w:val="0"/>
      <w:divBdr>
        <w:top w:val="none" w:sz="0" w:space="0" w:color="auto"/>
        <w:left w:val="none" w:sz="0" w:space="0" w:color="auto"/>
        <w:bottom w:val="none" w:sz="0" w:space="0" w:color="auto"/>
        <w:right w:val="none" w:sz="0" w:space="0" w:color="auto"/>
      </w:divBdr>
      <w:divsChild>
        <w:div w:id="251161463">
          <w:marLeft w:val="640"/>
          <w:marRight w:val="0"/>
          <w:marTop w:val="0"/>
          <w:marBottom w:val="0"/>
          <w:divBdr>
            <w:top w:val="none" w:sz="0" w:space="0" w:color="auto"/>
            <w:left w:val="none" w:sz="0" w:space="0" w:color="auto"/>
            <w:bottom w:val="none" w:sz="0" w:space="0" w:color="auto"/>
            <w:right w:val="none" w:sz="0" w:space="0" w:color="auto"/>
          </w:divBdr>
        </w:div>
        <w:div w:id="1073430170">
          <w:marLeft w:val="640"/>
          <w:marRight w:val="0"/>
          <w:marTop w:val="0"/>
          <w:marBottom w:val="0"/>
          <w:divBdr>
            <w:top w:val="none" w:sz="0" w:space="0" w:color="auto"/>
            <w:left w:val="none" w:sz="0" w:space="0" w:color="auto"/>
            <w:bottom w:val="none" w:sz="0" w:space="0" w:color="auto"/>
            <w:right w:val="none" w:sz="0" w:space="0" w:color="auto"/>
          </w:divBdr>
        </w:div>
        <w:div w:id="326439610">
          <w:marLeft w:val="640"/>
          <w:marRight w:val="0"/>
          <w:marTop w:val="0"/>
          <w:marBottom w:val="0"/>
          <w:divBdr>
            <w:top w:val="none" w:sz="0" w:space="0" w:color="auto"/>
            <w:left w:val="none" w:sz="0" w:space="0" w:color="auto"/>
            <w:bottom w:val="none" w:sz="0" w:space="0" w:color="auto"/>
            <w:right w:val="none" w:sz="0" w:space="0" w:color="auto"/>
          </w:divBdr>
        </w:div>
        <w:div w:id="439688227">
          <w:marLeft w:val="640"/>
          <w:marRight w:val="0"/>
          <w:marTop w:val="0"/>
          <w:marBottom w:val="0"/>
          <w:divBdr>
            <w:top w:val="none" w:sz="0" w:space="0" w:color="auto"/>
            <w:left w:val="none" w:sz="0" w:space="0" w:color="auto"/>
            <w:bottom w:val="none" w:sz="0" w:space="0" w:color="auto"/>
            <w:right w:val="none" w:sz="0" w:space="0" w:color="auto"/>
          </w:divBdr>
        </w:div>
        <w:div w:id="2145805726">
          <w:marLeft w:val="640"/>
          <w:marRight w:val="0"/>
          <w:marTop w:val="0"/>
          <w:marBottom w:val="0"/>
          <w:divBdr>
            <w:top w:val="none" w:sz="0" w:space="0" w:color="auto"/>
            <w:left w:val="none" w:sz="0" w:space="0" w:color="auto"/>
            <w:bottom w:val="none" w:sz="0" w:space="0" w:color="auto"/>
            <w:right w:val="none" w:sz="0" w:space="0" w:color="auto"/>
          </w:divBdr>
        </w:div>
        <w:div w:id="1498423836">
          <w:marLeft w:val="640"/>
          <w:marRight w:val="0"/>
          <w:marTop w:val="0"/>
          <w:marBottom w:val="0"/>
          <w:divBdr>
            <w:top w:val="none" w:sz="0" w:space="0" w:color="auto"/>
            <w:left w:val="none" w:sz="0" w:space="0" w:color="auto"/>
            <w:bottom w:val="none" w:sz="0" w:space="0" w:color="auto"/>
            <w:right w:val="none" w:sz="0" w:space="0" w:color="auto"/>
          </w:divBdr>
        </w:div>
        <w:div w:id="971058344">
          <w:marLeft w:val="640"/>
          <w:marRight w:val="0"/>
          <w:marTop w:val="0"/>
          <w:marBottom w:val="0"/>
          <w:divBdr>
            <w:top w:val="none" w:sz="0" w:space="0" w:color="auto"/>
            <w:left w:val="none" w:sz="0" w:space="0" w:color="auto"/>
            <w:bottom w:val="none" w:sz="0" w:space="0" w:color="auto"/>
            <w:right w:val="none" w:sz="0" w:space="0" w:color="auto"/>
          </w:divBdr>
        </w:div>
        <w:div w:id="1335570361">
          <w:marLeft w:val="640"/>
          <w:marRight w:val="0"/>
          <w:marTop w:val="0"/>
          <w:marBottom w:val="0"/>
          <w:divBdr>
            <w:top w:val="none" w:sz="0" w:space="0" w:color="auto"/>
            <w:left w:val="none" w:sz="0" w:space="0" w:color="auto"/>
            <w:bottom w:val="none" w:sz="0" w:space="0" w:color="auto"/>
            <w:right w:val="none" w:sz="0" w:space="0" w:color="auto"/>
          </w:divBdr>
        </w:div>
        <w:div w:id="234055354">
          <w:marLeft w:val="640"/>
          <w:marRight w:val="0"/>
          <w:marTop w:val="0"/>
          <w:marBottom w:val="0"/>
          <w:divBdr>
            <w:top w:val="none" w:sz="0" w:space="0" w:color="auto"/>
            <w:left w:val="none" w:sz="0" w:space="0" w:color="auto"/>
            <w:bottom w:val="none" w:sz="0" w:space="0" w:color="auto"/>
            <w:right w:val="none" w:sz="0" w:space="0" w:color="auto"/>
          </w:divBdr>
        </w:div>
        <w:div w:id="2019848186">
          <w:marLeft w:val="640"/>
          <w:marRight w:val="0"/>
          <w:marTop w:val="0"/>
          <w:marBottom w:val="0"/>
          <w:divBdr>
            <w:top w:val="none" w:sz="0" w:space="0" w:color="auto"/>
            <w:left w:val="none" w:sz="0" w:space="0" w:color="auto"/>
            <w:bottom w:val="none" w:sz="0" w:space="0" w:color="auto"/>
            <w:right w:val="none" w:sz="0" w:space="0" w:color="auto"/>
          </w:divBdr>
        </w:div>
        <w:div w:id="290287148">
          <w:marLeft w:val="640"/>
          <w:marRight w:val="0"/>
          <w:marTop w:val="0"/>
          <w:marBottom w:val="0"/>
          <w:divBdr>
            <w:top w:val="none" w:sz="0" w:space="0" w:color="auto"/>
            <w:left w:val="none" w:sz="0" w:space="0" w:color="auto"/>
            <w:bottom w:val="none" w:sz="0" w:space="0" w:color="auto"/>
            <w:right w:val="none" w:sz="0" w:space="0" w:color="auto"/>
          </w:divBdr>
        </w:div>
        <w:div w:id="96220512">
          <w:marLeft w:val="640"/>
          <w:marRight w:val="0"/>
          <w:marTop w:val="0"/>
          <w:marBottom w:val="0"/>
          <w:divBdr>
            <w:top w:val="none" w:sz="0" w:space="0" w:color="auto"/>
            <w:left w:val="none" w:sz="0" w:space="0" w:color="auto"/>
            <w:bottom w:val="none" w:sz="0" w:space="0" w:color="auto"/>
            <w:right w:val="none" w:sz="0" w:space="0" w:color="auto"/>
          </w:divBdr>
        </w:div>
        <w:div w:id="695353126">
          <w:marLeft w:val="640"/>
          <w:marRight w:val="0"/>
          <w:marTop w:val="0"/>
          <w:marBottom w:val="0"/>
          <w:divBdr>
            <w:top w:val="none" w:sz="0" w:space="0" w:color="auto"/>
            <w:left w:val="none" w:sz="0" w:space="0" w:color="auto"/>
            <w:bottom w:val="none" w:sz="0" w:space="0" w:color="auto"/>
            <w:right w:val="none" w:sz="0" w:space="0" w:color="auto"/>
          </w:divBdr>
        </w:div>
        <w:div w:id="1037049729">
          <w:marLeft w:val="640"/>
          <w:marRight w:val="0"/>
          <w:marTop w:val="0"/>
          <w:marBottom w:val="0"/>
          <w:divBdr>
            <w:top w:val="none" w:sz="0" w:space="0" w:color="auto"/>
            <w:left w:val="none" w:sz="0" w:space="0" w:color="auto"/>
            <w:bottom w:val="none" w:sz="0" w:space="0" w:color="auto"/>
            <w:right w:val="none" w:sz="0" w:space="0" w:color="auto"/>
          </w:divBdr>
        </w:div>
        <w:div w:id="1632053365">
          <w:marLeft w:val="640"/>
          <w:marRight w:val="0"/>
          <w:marTop w:val="0"/>
          <w:marBottom w:val="0"/>
          <w:divBdr>
            <w:top w:val="none" w:sz="0" w:space="0" w:color="auto"/>
            <w:left w:val="none" w:sz="0" w:space="0" w:color="auto"/>
            <w:bottom w:val="none" w:sz="0" w:space="0" w:color="auto"/>
            <w:right w:val="none" w:sz="0" w:space="0" w:color="auto"/>
          </w:divBdr>
        </w:div>
        <w:div w:id="197814993">
          <w:marLeft w:val="640"/>
          <w:marRight w:val="0"/>
          <w:marTop w:val="0"/>
          <w:marBottom w:val="0"/>
          <w:divBdr>
            <w:top w:val="none" w:sz="0" w:space="0" w:color="auto"/>
            <w:left w:val="none" w:sz="0" w:space="0" w:color="auto"/>
            <w:bottom w:val="none" w:sz="0" w:space="0" w:color="auto"/>
            <w:right w:val="none" w:sz="0" w:space="0" w:color="auto"/>
          </w:divBdr>
        </w:div>
        <w:div w:id="1384596262">
          <w:marLeft w:val="640"/>
          <w:marRight w:val="0"/>
          <w:marTop w:val="0"/>
          <w:marBottom w:val="0"/>
          <w:divBdr>
            <w:top w:val="none" w:sz="0" w:space="0" w:color="auto"/>
            <w:left w:val="none" w:sz="0" w:space="0" w:color="auto"/>
            <w:bottom w:val="none" w:sz="0" w:space="0" w:color="auto"/>
            <w:right w:val="none" w:sz="0" w:space="0" w:color="auto"/>
          </w:divBdr>
        </w:div>
        <w:div w:id="993485752">
          <w:marLeft w:val="640"/>
          <w:marRight w:val="0"/>
          <w:marTop w:val="0"/>
          <w:marBottom w:val="0"/>
          <w:divBdr>
            <w:top w:val="none" w:sz="0" w:space="0" w:color="auto"/>
            <w:left w:val="none" w:sz="0" w:space="0" w:color="auto"/>
            <w:bottom w:val="none" w:sz="0" w:space="0" w:color="auto"/>
            <w:right w:val="none" w:sz="0" w:space="0" w:color="auto"/>
          </w:divBdr>
        </w:div>
        <w:div w:id="1063406893">
          <w:marLeft w:val="640"/>
          <w:marRight w:val="0"/>
          <w:marTop w:val="0"/>
          <w:marBottom w:val="0"/>
          <w:divBdr>
            <w:top w:val="none" w:sz="0" w:space="0" w:color="auto"/>
            <w:left w:val="none" w:sz="0" w:space="0" w:color="auto"/>
            <w:bottom w:val="none" w:sz="0" w:space="0" w:color="auto"/>
            <w:right w:val="none" w:sz="0" w:space="0" w:color="auto"/>
          </w:divBdr>
        </w:div>
        <w:div w:id="2055736211">
          <w:marLeft w:val="640"/>
          <w:marRight w:val="0"/>
          <w:marTop w:val="0"/>
          <w:marBottom w:val="0"/>
          <w:divBdr>
            <w:top w:val="none" w:sz="0" w:space="0" w:color="auto"/>
            <w:left w:val="none" w:sz="0" w:space="0" w:color="auto"/>
            <w:bottom w:val="none" w:sz="0" w:space="0" w:color="auto"/>
            <w:right w:val="none" w:sz="0" w:space="0" w:color="auto"/>
          </w:divBdr>
        </w:div>
        <w:div w:id="1855803999">
          <w:marLeft w:val="640"/>
          <w:marRight w:val="0"/>
          <w:marTop w:val="0"/>
          <w:marBottom w:val="0"/>
          <w:divBdr>
            <w:top w:val="none" w:sz="0" w:space="0" w:color="auto"/>
            <w:left w:val="none" w:sz="0" w:space="0" w:color="auto"/>
            <w:bottom w:val="none" w:sz="0" w:space="0" w:color="auto"/>
            <w:right w:val="none" w:sz="0" w:space="0" w:color="auto"/>
          </w:divBdr>
        </w:div>
        <w:div w:id="1398630693">
          <w:marLeft w:val="640"/>
          <w:marRight w:val="0"/>
          <w:marTop w:val="0"/>
          <w:marBottom w:val="0"/>
          <w:divBdr>
            <w:top w:val="none" w:sz="0" w:space="0" w:color="auto"/>
            <w:left w:val="none" w:sz="0" w:space="0" w:color="auto"/>
            <w:bottom w:val="none" w:sz="0" w:space="0" w:color="auto"/>
            <w:right w:val="none" w:sz="0" w:space="0" w:color="auto"/>
          </w:divBdr>
        </w:div>
        <w:div w:id="832988388">
          <w:marLeft w:val="640"/>
          <w:marRight w:val="0"/>
          <w:marTop w:val="0"/>
          <w:marBottom w:val="0"/>
          <w:divBdr>
            <w:top w:val="none" w:sz="0" w:space="0" w:color="auto"/>
            <w:left w:val="none" w:sz="0" w:space="0" w:color="auto"/>
            <w:bottom w:val="none" w:sz="0" w:space="0" w:color="auto"/>
            <w:right w:val="none" w:sz="0" w:space="0" w:color="auto"/>
          </w:divBdr>
        </w:div>
        <w:div w:id="1925871269">
          <w:marLeft w:val="640"/>
          <w:marRight w:val="0"/>
          <w:marTop w:val="0"/>
          <w:marBottom w:val="0"/>
          <w:divBdr>
            <w:top w:val="none" w:sz="0" w:space="0" w:color="auto"/>
            <w:left w:val="none" w:sz="0" w:space="0" w:color="auto"/>
            <w:bottom w:val="none" w:sz="0" w:space="0" w:color="auto"/>
            <w:right w:val="none" w:sz="0" w:space="0" w:color="auto"/>
          </w:divBdr>
        </w:div>
        <w:div w:id="482042339">
          <w:marLeft w:val="640"/>
          <w:marRight w:val="0"/>
          <w:marTop w:val="0"/>
          <w:marBottom w:val="0"/>
          <w:divBdr>
            <w:top w:val="none" w:sz="0" w:space="0" w:color="auto"/>
            <w:left w:val="none" w:sz="0" w:space="0" w:color="auto"/>
            <w:bottom w:val="none" w:sz="0" w:space="0" w:color="auto"/>
            <w:right w:val="none" w:sz="0" w:space="0" w:color="auto"/>
          </w:divBdr>
        </w:div>
        <w:div w:id="759250963">
          <w:marLeft w:val="640"/>
          <w:marRight w:val="0"/>
          <w:marTop w:val="0"/>
          <w:marBottom w:val="0"/>
          <w:divBdr>
            <w:top w:val="none" w:sz="0" w:space="0" w:color="auto"/>
            <w:left w:val="none" w:sz="0" w:space="0" w:color="auto"/>
            <w:bottom w:val="none" w:sz="0" w:space="0" w:color="auto"/>
            <w:right w:val="none" w:sz="0" w:space="0" w:color="auto"/>
          </w:divBdr>
        </w:div>
        <w:div w:id="1926064479">
          <w:marLeft w:val="640"/>
          <w:marRight w:val="0"/>
          <w:marTop w:val="0"/>
          <w:marBottom w:val="0"/>
          <w:divBdr>
            <w:top w:val="none" w:sz="0" w:space="0" w:color="auto"/>
            <w:left w:val="none" w:sz="0" w:space="0" w:color="auto"/>
            <w:bottom w:val="none" w:sz="0" w:space="0" w:color="auto"/>
            <w:right w:val="none" w:sz="0" w:space="0" w:color="auto"/>
          </w:divBdr>
        </w:div>
        <w:div w:id="1888565854">
          <w:marLeft w:val="640"/>
          <w:marRight w:val="0"/>
          <w:marTop w:val="0"/>
          <w:marBottom w:val="0"/>
          <w:divBdr>
            <w:top w:val="none" w:sz="0" w:space="0" w:color="auto"/>
            <w:left w:val="none" w:sz="0" w:space="0" w:color="auto"/>
            <w:bottom w:val="none" w:sz="0" w:space="0" w:color="auto"/>
            <w:right w:val="none" w:sz="0" w:space="0" w:color="auto"/>
          </w:divBdr>
        </w:div>
        <w:div w:id="878668595">
          <w:marLeft w:val="640"/>
          <w:marRight w:val="0"/>
          <w:marTop w:val="0"/>
          <w:marBottom w:val="0"/>
          <w:divBdr>
            <w:top w:val="none" w:sz="0" w:space="0" w:color="auto"/>
            <w:left w:val="none" w:sz="0" w:space="0" w:color="auto"/>
            <w:bottom w:val="none" w:sz="0" w:space="0" w:color="auto"/>
            <w:right w:val="none" w:sz="0" w:space="0" w:color="auto"/>
          </w:divBdr>
        </w:div>
        <w:div w:id="1125002742">
          <w:marLeft w:val="640"/>
          <w:marRight w:val="0"/>
          <w:marTop w:val="0"/>
          <w:marBottom w:val="0"/>
          <w:divBdr>
            <w:top w:val="none" w:sz="0" w:space="0" w:color="auto"/>
            <w:left w:val="none" w:sz="0" w:space="0" w:color="auto"/>
            <w:bottom w:val="none" w:sz="0" w:space="0" w:color="auto"/>
            <w:right w:val="none" w:sz="0" w:space="0" w:color="auto"/>
          </w:divBdr>
        </w:div>
        <w:div w:id="1560479836">
          <w:marLeft w:val="640"/>
          <w:marRight w:val="0"/>
          <w:marTop w:val="0"/>
          <w:marBottom w:val="0"/>
          <w:divBdr>
            <w:top w:val="none" w:sz="0" w:space="0" w:color="auto"/>
            <w:left w:val="none" w:sz="0" w:space="0" w:color="auto"/>
            <w:bottom w:val="none" w:sz="0" w:space="0" w:color="auto"/>
            <w:right w:val="none" w:sz="0" w:space="0" w:color="auto"/>
          </w:divBdr>
        </w:div>
        <w:div w:id="344673653">
          <w:marLeft w:val="640"/>
          <w:marRight w:val="0"/>
          <w:marTop w:val="0"/>
          <w:marBottom w:val="0"/>
          <w:divBdr>
            <w:top w:val="none" w:sz="0" w:space="0" w:color="auto"/>
            <w:left w:val="none" w:sz="0" w:space="0" w:color="auto"/>
            <w:bottom w:val="none" w:sz="0" w:space="0" w:color="auto"/>
            <w:right w:val="none" w:sz="0" w:space="0" w:color="auto"/>
          </w:divBdr>
        </w:div>
        <w:div w:id="76293791">
          <w:marLeft w:val="640"/>
          <w:marRight w:val="0"/>
          <w:marTop w:val="0"/>
          <w:marBottom w:val="0"/>
          <w:divBdr>
            <w:top w:val="none" w:sz="0" w:space="0" w:color="auto"/>
            <w:left w:val="none" w:sz="0" w:space="0" w:color="auto"/>
            <w:bottom w:val="none" w:sz="0" w:space="0" w:color="auto"/>
            <w:right w:val="none" w:sz="0" w:space="0" w:color="auto"/>
          </w:divBdr>
        </w:div>
      </w:divsChild>
    </w:div>
    <w:div w:id="1609846281">
      <w:bodyDiv w:val="1"/>
      <w:marLeft w:val="0"/>
      <w:marRight w:val="0"/>
      <w:marTop w:val="0"/>
      <w:marBottom w:val="0"/>
      <w:divBdr>
        <w:top w:val="none" w:sz="0" w:space="0" w:color="auto"/>
        <w:left w:val="none" w:sz="0" w:space="0" w:color="auto"/>
        <w:bottom w:val="none" w:sz="0" w:space="0" w:color="auto"/>
        <w:right w:val="none" w:sz="0" w:space="0" w:color="auto"/>
      </w:divBdr>
      <w:divsChild>
        <w:div w:id="536046042">
          <w:marLeft w:val="640"/>
          <w:marRight w:val="0"/>
          <w:marTop w:val="0"/>
          <w:marBottom w:val="0"/>
          <w:divBdr>
            <w:top w:val="none" w:sz="0" w:space="0" w:color="auto"/>
            <w:left w:val="none" w:sz="0" w:space="0" w:color="auto"/>
            <w:bottom w:val="none" w:sz="0" w:space="0" w:color="auto"/>
            <w:right w:val="none" w:sz="0" w:space="0" w:color="auto"/>
          </w:divBdr>
        </w:div>
        <w:div w:id="1266615706">
          <w:marLeft w:val="640"/>
          <w:marRight w:val="0"/>
          <w:marTop w:val="0"/>
          <w:marBottom w:val="0"/>
          <w:divBdr>
            <w:top w:val="none" w:sz="0" w:space="0" w:color="auto"/>
            <w:left w:val="none" w:sz="0" w:space="0" w:color="auto"/>
            <w:bottom w:val="none" w:sz="0" w:space="0" w:color="auto"/>
            <w:right w:val="none" w:sz="0" w:space="0" w:color="auto"/>
          </w:divBdr>
        </w:div>
        <w:div w:id="1584483914">
          <w:marLeft w:val="640"/>
          <w:marRight w:val="0"/>
          <w:marTop w:val="0"/>
          <w:marBottom w:val="0"/>
          <w:divBdr>
            <w:top w:val="none" w:sz="0" w:space="0" w:color="auto"/>
            <w:left w:val="none" w:sz="0" w:space="0" w:color="auto"/>
            <w:bottom w:val="none" w:sz="0" w:space="0" w:color="auto"/>
            <w:right w:val="none" w:sz="0" w:space="0" w:color="auto"/>
          </w:divBdr>
        </w:div>
        <w:div w:id="1247960431">
          <w:marLeft w:val="640"/>
          <w:marRight w:val="0"/>
          <w:marTop w:val="0"/>
          <w:marBottom w:val="0"/>
          <w:divBdr>
            <w:top w:val="none" w:sz="0" w:space="0" w:color="auto"/>
            <w:left w:val="none" w:sz="0" w:space="0" w:color="auto"/>
            <w:bottom w:val="none" w:sz="0" w:space="0" w:color="auto"/>
            <w:right w:val="none" w:sz="0" w:space="0" w:color="auto"/>
          </w:divBdr>
        </w:div>
        <w:div w:id="1066874099">
          <w:marLeft w:val="640"/>
          <w:marRight w:val="0"/>
          <w:marTop w:val="0"/>
          <w:marBottom w:val="0"/>
          <w:divBdr>
            <w:top w:val="none" w:sz="0" w:space="0" w:color="auto"/>
            <w:left w:val="none" w:sz="0" w:space="0" w:color="auto"/>
            <w:bottom w:val="none" w:sz="0" w:space="0" w:color="auto"/>
            <w:right w:val="none" w:sz="0" w:space="0" w:color="auto"/>
          </w:divBdr>
        </w:div>
        <w:div w:id="1723017952">
          <w:marLeft w:val="640"/>
          <w:marRight w:val="0"/>
          <w:marTop w:val="0"/>
          <w:marBottom w:val="0"/>
          <w:divBdr>
            <w:top w:val="none" w:sz="0" w:space="0" w:color="auto"/>
            <w:left w:val="none" w:sz="0" w:space="0" w:color="auto"/>
            <w:bottom w:val="none" w:sz="0" w:space="0" w:color="auto"/>
            <w:right w:val="none" w:sz="0" w:space="0" w:color="auto"/>
          </w:divBdr>
        </w:div>
        <w:div w:id="275794303">
          <w:marLeft w:val="640"/>
          <w:marRight w:val="0"/>
          <w:marTop w:val="0"/>
          <w:marBottom w:val="0"/>
          <w:divBdr>
            <w:top w:val="none" w:sz="0" w:space="0" w:color="auto"/>
            <w:left w:val="none" w:sz="0" w:space="0" w:color="auto"/>
            <w:bottom w:val="none" w:sz="0" w:space="0" w:color="auto"/>
            <w:right w:val="none" w:sz="0" w:space="0" w:color="auto"/>
          </w:divBdr>
        </w:div>
        <w:div w:id="865872301">
          <w:marLeft w:val="640"/>
          <w:marRight w:val="0"/>
          <w:marTop w:val="0"/>
          <w:marBottom w:val="0"/>
          <w:divBdr>
            <w:top w:val="none" w:sz="0" w:space="0" w:color="auto"/>
            <w:left w:val="none" w:sz="0" w:space="0" w:color="auto"/>
            <w:bottom w:val="none" w:sz="0" w:space="0" w:color="auto"/>
            <w:right w:val="none" w:sz="0" w:space="0" w:color="auto"/>
          </w:divBdr>
        </w:div>
        <w:div w:id="77215301">
          <w:marLeft w:val="640"/>
          <w:marRight w:val="0"/>
          <w:marTop w:val="0"/>
          <w:marBottom w:val="0"/>
          <w:divBdr>
            <w:top w:val="none" w:sz="0" w:space="0" w:color="auto"/>
            <w:left w:val="none" w:sz="0" w:space="0" w:color="auto"/>
            <w:bottom w:val="none" w:sz="0" w:space="0" w:color="auto"/>
            <w:right w:val="none" w:sz="0" w:space="0" w:color="auto"/>
          </w:divBdr>
        </w:div>
        <w:div w:id="136343039">
          <w:marLeft w:val="640"/>
          <w:marRight w:val="0"/>
          <w:marTop w:val="0"/>
          <w:marBottom w:val="0"/>
          <w:divBdr>
            <w:top w:val="none" w:sz="0" w:space="0" w:color="auto"/>
            <w:left w:val="none" w:sz="0" w:space="0" w:color="auto"/>
            <w:bottom w:val="none" w:sz="0" w:space="0" w:color="auto"/>
            <w:right w:val="none" w:sz="0" w:space="0" w:color="auto"/>
          </w:divBdr>
        </w:div>
        <w:div w:id="1598054534">
          <w:marLeft w:val="640"/>
          <w:marRight w:val="0"/>
          <w:marTop w:val="0"/>
          <w:marBottom w:val="0"/>
          <w:divBdr>
            <w:top w:val="none" w:sz="0" w:space="0" w:color="auto"/>
            <w:left w:val="none" w:sz="0" w:space="0" w:color="auto"/>
            <w:bottom w:val="none" w:sz="0" w:space="0" w:color="auto"/>
            <w:right w:val="none" w:sz="0" w:space="0" w:color="auto"/>
          </w:divBdr>
        </w:div>
        <w:div w:id="1077021268">
          <w:marLeft w:val="640"/>
          <w:marRight w:val="0"/>
          <w:marTop w:val="0"/>
          <w:marBottom w:val="0"/>
          <w:divBdr>
            <w:top w:val="none" w:sz="0" w:space="0" w:color="auto"/>
            <w:left w:val="none" w:sz="0" w:space="0" w:color="auto"/>
            <w:bottom w:val="none" w:sz="0" w:space="0" w:color="auto"/>
            <w:right w:val="none" w:sz="0" w:space="0" w:color="auto"/>
          </w:divBdr>
        </w:div>
        <w:div w:id="2006275301">
          <w:marLeft w:val="640"/>
          <w:marRight w:val="0"/>
          <w:marTop w:val="0"/>
          <w:marBottom w:val="0"/>
          <w:divBdr>
            <w:top w:val="none" w:sz="0" w:space="0" w:color="auto"/>
            <w:left w:val="none" w:sz="0" w:space="0" w:color="auto"/>
            <w:bottom w:val="none" w:sz="0" w:space="0" w:color="auto"/>
            <w:right w:val="none" w:sz="0" w:space="0" w:color="auto"/>
          </w:divBdr>
        </w:div>
        <w:div w:id="1116563097">
          <w:marLeft w:val="640"/>
          <w:marRight w:val="0"/>
          <w:marTop w:val="0"/>
          <w:marBottom w:val="0"/>
          <w:divBdr>
            <w:top w:val="none" w:sz="0" w:space="0" w:color="auto"/>
            <w:left w:val="none" w:sz="0" w:space="0" w:color="auto"/>
            <w:bottom w:val="none" w:sz="0" w:space="0" w:color="auto"/>
            <w:right w:val="none" w:sz="0" w:space="0" w:color="auto"/>
          </w:divBdr>
        </w:div>
        <w:div w:id="1689215392">
          <w:marLeft w:val="640"/>
          <w:marRight w:val="0"/>
          <w:marTop w:val="0"/>
          <w:marBottom w:val="0"/>
          <w:divBdr>
            <w:top w:val="none" w:sz="0" w:space="0" w:color="auto"/>
            <w:left w:val="none" w:sz="0" w:space="0" w:color="auto"/>
            <w:bottom w:val="none" w:sz="0" w:space="0" w:color="auto"/>
            <w:right w:val="none" w:sz="0" w:space="0" w:color="auto"/>
          </w:divBdr>
        </w:div>
        <w:div w:id="668602880">
          <w:marLeft w:val="640"/>
          <w:marRight w:val="0"/>
          <w:marTop w:val="0"/>
          <w:marBottom w:val="0"/>
          <w:divBdr>
            <w:top w:val="none" w:sz="0" w:space="0" w:color="auto"/>
            <w:left w:val="none" w:sz="0" w:space="0" w:color="auto"/>
            <w:bottom w:val="none" w:sz="0" w:space="0" w:color="auto"/>
            <w:right w:val="none" w:sz="0" w:space="0" w:color="auto"/>
          </w:divBdr>
        </w:div>
        <w:div w:id="1315986424">
          <w:marLeft w:val="640"/>
          <w:marRight w:val="0"/>
          <w:marTop w:val="0"/>
          <w:marBottom w:val="0"/>
          <w:divBdr>
            <w:top w:val="none" w:sz="0" w:space="0" w:color="auto"/>
            <w:left w:val="none" w:sz="0" w:space="0" w:color="auto"/>
            <w:bottom w:val="none" w:sz="0" w:space="0" w:color="auto"/>
            <w:right w:val="none" w:sz="0" w:space="0" w:color="auto"/>
          </w:divBdr>
        </w:div>
        <w:div w:id="940915230">
          <w:marLeft w:val="640"/>
          <w:marRight w:val="0"/>
          <w:marTop w:val="0"/>
          <w:marBottom w:val="0"/>
          <w:divBdr>
            <w:top w:val="none" w:sz="0" w:space="0" w:color="auto"/>
            <w:left w:val="none" w:sz="0" w:space="0" w:color="auto"/>
            <w:bottom w:val="none" w:sz="0" w:space="0" w:color="auto"/>
            <w:right w:val="none" w:sz="0" w:space="0" w:color="auto"/>
          </w:divBdr>
        </w:div>
        <w:div w:id="862937035">
          <w:marLeft w:val="640"/>
          <w:marRight w:val="0"/>
          <w:marTop w:val="0"/>
          <w:marBottom w:val="0"/>
          <w:divBdr>
            <w:top w:val="none" w:sz="0" w:space="0" w:color="auto"/>
            <w:left w:val="none" w:sz="0" w:space="0" w:color="auto"/>
            <w:bottom w:val="none" w:sz="0" w:space="0" w:color="auto"/>
            <w:right w:val="none" w:sz="0" w:space="0" w:color="auto"/>
          </w:divBdr>
        </w:div>
      </w:divsChild>
    </w:div>
    <w:div w:id="1697972518">
      <w:bodyDiv w:val="1"/>
      <w:marLeft w:val="0"/>
      <w:marRight w:val="0"/>
      <w:marTop w:val="0"/>
      <w:marBottom w:val="0"/>
      <w:divBdr>
        <w:top w:val="none" w:sz="0" w:space="0" w:color="auto"/>
        <w:left w:val="none" w:sz="0" w:space="0" w:color="auto"/>
        <w:bottom w:val="none" w:sz="0" w:space="0" w:color="auto"/>
        <w:right w:val="none" w:sz="0" w:space="0" w:color="auto"/>
      </w:divBdr>
      <w:divsChild>
        <w:div w:id="272901240">
          <w:marLeft w:val="640"/>
          <w:marRight w:val="0"/>
          <w:marTop w:val="0"/>
          <w:marBottom w:val="0"/>
          <w:divBdr>
            <w:top w:val="none" w:sz="0" w:space="0" w:color="auto"/>
            <w:left w:val="none" w:sz="0" w:space="0" w:color="auto"/>
            <w:bottom w:val="none" w:sz="0" w:space="0" w:color="auto"/>
            <w:right w:val="none" w:sz="0" w:space="0" w:color="auto"/>
          </w:divBdr>
        </w:div>
        <w:div w:id="1079138959">
          <w:marLeft w:val="640"/>
          <w:marRight w:val="0"/>
          <w:marTop w:val="0"/>
          <w:marBottom w:val="0"/>
          <w:divBdr>
            <w:top w:val="none" w:sz="0" w:space="0" w:color="auto"/>
            <w:left w:val="none" w:sz="0" w:space="0" w:color="auto"/>
            <w:bottom w:val="none" w:sz="0" w:space="0" w:color="auto"/>
            <w:right w:val="none" w:sz="0" w:space="0" w:color="auto"/>
          </w:divBdr>
        </w:div>
        <w:div w:id="372846606">
          <w:marLeft w:val="640"/>
          <w:marRight w:val="0"/>
          <w:marTop w:val="0"/>
          <w:marBottom w:val="0"/>
          <w:divBdr>
            <w:top w:val="none" w:sz="0" w:space="0" w:color="auto"/>
            <w:left w:val="none" w:sz="0" w:space="0" w:color="auto"/>
            <w:bottom w:val="none" w:sz="0" w:space="0" w:color="auto"/>
            <w:right w:val="none" w:sz="0" w:space="0" w:color="auto"/>
          </w:divBdr>
        </w:div>
        <w:div w:id="1808624473">
          <w:marLeft w:val="640"/>
          <w:marRight w:val="0"/>
          <w:marTop w:val="0"/>
          <w:marBottom w:val="0"/>
          <w:divBdr>
            <w:top w:val="none" w:sz="0" w:space="0" w:color="auto"/>
            <w:left w:val="none" w:sz="0" w:space="0" w:color="auto"/>
            <w:bottom w:val="none" w:sz="0" w:space="0" w:color="auto"/>
            <w:right w:val="none" w:sz="0" w:space="0" w:color="auto"/>
          </w:divBdr>
        </w:div>
        <w:div w:id="1959068781">
          <w:marLeft w:val="640"/>
          <w:marRight w:val="0"/>
          <w:marTop w:val="0"/>
          <w:marBottom w:val="0"/>
          <w:divBdr>
            <w:top w:val="none" w:sz="0" w:space="0" w:color="auto"/>
            <w:left w:val="none" w:sz="0" w:space="0" w:color="auto"/>
            <w:bottom w:val="none" w:sz="0" w:space="0" w:color="auto"/>
            <w:right w:val="none" w:sz="0" w:space="0" w:color="auto"/>
          </w:divBdr>
        </w:div>
        <w:div w:id="2141339667">
          <w:marLeft w:val="640"/>
          <w:marRight w:val="0"/>
          <w:marTop w:val="0"/>
          <w:marBottom w:val="0"/>
          <w:divBdr>
            <w:top w:val="none" w:sz="0" w:space="0" w:color="auto"/>
            <w:left w:val="none" w:sz="0" w:space="0" w:color="auto"/>
            <w:bottom w:val="none" w:sz="0" w:space="0" w:color="auto"/>
            <w:right w:val="none" w:sz="0" w:space="0" w:color="auto"/>
          </w:divBdr>
        </w:div>
        <w:div w:id="387455230">
          <w:marLeft w:val="640"/>
          <w:marRight w:val="0"/>
          <w:marTop w:val="0"/>
          <w:marBottom w:val="0"/>
          <w:divBdr>
            <w:top w:val="none" w:sz="0" w:space="0" w:color="auto"/>
            <w:left w:val="none" w:sz="0" w:space="0" w:color="auto"/>
            <w:bottom w:val="none" w:sz="0" w:space="0" w:color="auto"/>
            <w:right w:val="none" w:sz="0" w:space="0" w:color="auto"/>
          </w:divBdr>
        </w:div>
        <w:div w:id="303001775">
          <w:marLeft w:val="640"/>
          <w:marRight w:val="0"/>
          <w:marTop w:val="0"/>
          <w:marBottom w:val="0"/>
          <w:divBdr>
            <w:top w:val="none" w:sz="0" w:space="0" w:color="auto"/>
            <w:left w:val="none" w:sz="0" w:space="0" w:color="auto"/>
            <w:bottom w:val="none" w:sz="0" w:space="0" w:color="auto"/>
            <w:right w:val="none" w:sz="0" w:space="0" w:color="auto"/>
          </w:divBdr>
        </w:div>
        <w:div w:id="707875883">
          <w:marLeft w:val="640"/>
          <w:marRight w:val="0"/>
          <w:marTop w:val="0"/>
          <w:marBottom w:val="0"/>
          <w:divBdr>
            <w:top w:val="none" w:sz="0" w:space="0" w:color="auto"/>
            <w:left w:val="none" w:sz="0" w:space="0" w:color="auto"/>
            <w:bottom w:val="none" w:sz="0" w:space="0" w:color="auto"/>
            <w:right w:val="none" w:sz="0" w:space="0" w:color="auto"/>
          </w:divBdr>
        </w:div>
        <w:div w:id="1372999699">
          <w:marLeft w:val="640"/>
          <w:marRight w:val="0"/>
          <w:marTop w:val="0"/>
          <w:marBottom w:val="0"/>
          <w:divBdr>
            <w:top w:val="none" w:sz="0" w:space="0" w:color="auto"/>
            <w:left w:val="none" w:sz="0" w:space="0" w:color="auto"/>
            <w:bottom w:val="none" w:sz="0" w:space="0" w:color="auto"/>
            <w:right w:val="none" w:sz="0" w:space="0" w:color="auto"/>
          </w:divBdr>
        </w:div>
        <w:div w:id="1316566572">
          <w:marLeft w:val="640"/>
          <w:marRight w:val="0"/>
          <w:marTop w:val="0"/>
          <w:marBottom w:val="0"/>
          <w:divBdr>
            <w:top w:val="none" w:sz="0" w:space="0" w:color="auto"/>
            <w:left w:val="none" w:sz="0" w:space="0" w:color="auto"/>
            <w:bottom w:val="none" w:sz="0" w:space="0" w:color="auto"/>
            <w:right w:val="none" w:sz="0" w:space="0" w:color="auto"/>
          </w:divBdr>
        </w:div>
        <w:div w:id="1181628273">
          <w:marLeft w:val="640"/>
          <w:marRight w:val="0"/>
          <w:marTop w:val="0"/>
          <w:marBottom w:val="0"/>
          <w:divBdr>
            <w:top w:val="none" w:sz="0" w:space="0" w:color="auto"/>
            <w:left w:val="none" w:sz="0" w:space="0" w:color="auto"/>
            <w:bottom w:val="none" w:sz="0" w:space="0" w:color="auto"/>
            <w:right w:val="none" w:sz="0" w:space="0" w:color="auto"/>
          </w:divBdr>
        </w:div>
        <w:div w:id="724333863">
          <w:marLeft w:val="640"/>
          <w:marRight w:val="0"/>
          <w:marTop w:val="0"/>
          <w:marBottom w:val="0"/>
          <w:divBdr>
            <w:top w:val="none" w:sz="0" w:space="0" w:color="auto"/>
            <w:left w:val="none" w:sz="0" w:space="0" w:color="auto"/>
            <w:bottom w:val="none" w:sz="0" w:space="0" w:color="auto"/>
            <w:right w:val="none" w:sz="0" w:space="0" w:color="auto"/>
          </w:divBdr>
        </w:div>
        <w:div w:id="1062170026">
          <w:marLeft w:val="640"/>
          <w:marRight w:val="0"/>
          <w:marTop w:val="0"/>
          <w:marBottom w:val="0"/>
          <w:divBdr>
            <w:top w:val="none" w:sz="0" w:space="0" w:color="auto"/>
            <w:left w:val="none" w:sz="0" w:space="0" w:color="auto"/>
            <w:bottom w:val="none" w:sz="0" w:space="0" w:color="auto"/>
            <w:right w:val="none" w:sz="0" w:space="0" w:color="auto"/>
          </w:divBdr>
        </w:div>
        <w:div w:id="515927449">
          <w:marLeft w:val="640"/>
          <w:marRight w:val="0"/>
          <w:marTop w:val="0"/>
          <w:marBottom w:val="0"/>
          <w:divBdr>
            <w:top w:val="none" w:sz="0" w:space="0" w:color="auto"/>
            <w:left w:val="none" w:sz="0" w:space="0" w:color="auto"/>
            <w:bottom w:val="none" w:sz="0" w:space="0" w:color="auto"/>
            <w:right w:val="none" w:sz="0" w:space="0" w:color="auto"/>
          </w:divBdr>
        </w:div>
        <w:div w:id="854031318">
          <w:marLeft w:val="640"/>
          <w:marRight w:val="0"/>
          <w:marTop w:val="0"/>
          <w:marBottom w:val="0"/>
          <w:divBdr>
            <w:top w:val="none" w:sz="0" w:space="0" w:color="auto"/>
            <w:left w:val="none" w:sz="0" w:space="0" w:color="auto"/>
            <w:bottom w:val="none" w:sz="0" w:space="0" w:color="auto"/>
            <w:right w:val="none" w:sz="0" w:space="0" w:color="auto"/>
          </w:divBdr>
        </w:div>
        <w:div w:id="67969078">
          <w:marLeft w:val="640"/>
          <w:marRight w:val="0"/>
          <w:marTop w:val="0"/>
          <w:marBottom w:val="0"/>
          <w:divBdr>
            <w:top w:val="none" w:sz="0" w:space="0" w:color="auto"/>
            <w:left w:val="none" w:sz="0" w:space="0" w:color="auto"/>
            <w:bottom w:val="none" w:sz="0" w:space="0" w:color="auto"/>
            <w:right w:val="none" w:sz="0" w:space="0" w:color="auto"/>
          </w:divBdr>
        </w:div>
        <w:div w:id="1643777486">
          <w:marLeft w:val="640"/>
          <w:marRight w:val="0"/>
          <w:marTop w:val="0"/>
          <w:marBottom w:val="0"/>
          <w:divBdr>
            <w:top w:val="none" w:sz="0" w:space="0" w:color="auto"/>
            <w:left w:val="none" w:sz="0" w:space="0" w:color="auto"/>
            <w:bottom w:val="none" w:sz="0" w:space="0" w:color="auto"/>
            <w:right w:val="none" w:sz="0" w:space="0" w:color="auto"/>
          </w:divBdr>
        </w:div>
        <w:div w:id="1172719901">
          <w:marLeft w:val="640"/>
          <w:marRight w:val="0"/>
          <w:marTop w:val="0"/>
          <w:marBottom w:val="0"/>
          <w:divBdr>
            <w:top w:val="none" w:sz="0" w:space="0" w:color="auto"/>
            <w:left w:val="none" w:sz="0" w:space="0" w:color="auto"/>
            <w:bottom w:val="none" w:sz="0" w:space="0" w:color="auto"/>
            <w:right w:val="none" w:sz="0" w:space="0" w:color="auto"/>
          </w:divBdr>
        </w:div>
        <w:div w:id="1393965937">
          <w:marLeft w:val="640"/>
          <w:marRight w:val="0"/>
          <w:marTop w:val="0"/>
          <w:marBottom w:val="0"/>
          <w:divBdr>
            <w:top w:val="none" w:sz="0" w:space="0" w:color="auto"/>
            <w:left w:val="none" w:sz="0" w:space="0" w:color="auto"/>
            <w:bottom w:val="none" w:sz="0" w:space="0" w:color="auto"/>
            <w:right w:val="none" w:sz="0" w:space="0" w:color="auto"/>
          </w:divBdr>
        </w:div>
        <w:div w:id="241723458">
          <w:marLeft w:val="640"/>
          <w:marRight w:val="0"/>
          <w:marTop w:val="0"/>
          <w:marBottom w:val="0"/>
          <w:divBdr>
            <w:top w:val="none" w:sz="0" w:space="0" w:color="auto"/>
            <w:left w:val="none" w:sz="0" w:space="0" w:color="auto"/>
            <w:bottom w:val="none" w:sz="0" w:space="0" w:color="auto"/>
            <w:right w:val="none" w:sz="0" w:space="0" w:color="auto"/>
          </w:divBdr>
        </w:div>
        <w:div w:id="1751543584">
          <w:marLeft w:val="640"/>
          <w:marRight w:val="0"/>
          <w:marTop w:val="0"/>
          <w:marBottom w:val="0"/>
          <w:divBdr>
            <w:top w:val="none" w:sz="0" w:space="0" w:color="auto"/>
            <w:left w:val="none" w:sz="0" w:space="0" w:color="auto"/>
            <w:bottom w:val="none" w:sz="0" w:space="0" w:color="auto"/>
            <w:right w:val="none" w:sz="0" w:space="0" w:color="auto"/>
          </w:divBdr>
        </w:div>
        <w:div w:id="2058359548">
          <w:marLeft w:val="640"/>
          <w:marRight w:val="0"/>
          <w:marTop w:val="0"/>
          <w:marBottom w:val="0"/>
          <w:divBdr>
            <w:top w:val="none" w:sz="0" w:space="0" w:color="auto"/>
            <w:left w:val="none" w:sz="0" w:space="0" w:color="auto"/>
            <w:bottom w:val="none" w:sz="0" w:space="0" w:color="auto"/>
            <w:right w:val="none" w:sz="0" w:space="0" w:color="auto"/>
          </w:divBdr>
        </w:div>
        <w:div w:id="1424758920">
          <w:marLeft w:val="640"/>
          <w:marRight w:val="0"/>
          <w:marTop w:val="0"/>
          <w:marBottom w:val="0"/>
          <w:divBdr>
            <w:top w:val="none" w:sz="0" w:space="0" w:color="auto"/>
            <w:left w:val="none" w:sz="0" w:space="0" w:color="auto"/>
            <w:bottom w:val="none" w:sz="0" w:space="0" w:color="auto"/>
            <w:right w:val="none" w:sz="0" w:space="0" w:color="auto"/>
          </w:divBdr>
        </w:div>
        <w:div w:id="302195704">
          <w:marLeft w:val="640"/>
          <w:marRight w:val="0"/>
          <w:marTop w:val="0"/>
          <w:marBottom w:val="0"/>
          <w:divBdr>
            <w:top w:val="none" w:sz="0" w:space="0" w:color="auto"/>
            <w:left w:val="none" w:sz="0" w:space="0" w:color="auto"/>
            <w:bottom w:val="none" w:sz="0" w:space="0" w:color="auto"/>
            <w:right w:val="none" w:sz="0" w:space="0" w:color="auto"/>
          </w:divBdr>
        </w:div>
        <w:div w:id="877083426">
          <w:marLeft w:val="640"/>
          <w:marRight w:val="0"/>
          <w:marTop w:val="0"/>
          <w:marBottom w:val="0"/>
          <w:divBdr>
            <w:top w:val="none" w:sz="0" w:space="0" w:color="auto"/>
            <w:left w:val="none" w:sz="0" w:space="0" w:color="auto"/>
            <w:bottom w:val="none" w:sz="0" w:space="0" w:color="auto"/>
            <w:right w:val="none" w:sz="0" w:space="0" w:color="auto"/>
          </w:divBdr>
        </w:div>
        <w:div w:id="2081752595">
          <w:marLeft w:val="640"/>
          <w:marRight w:val="0"/>
          <w:marTop w:val="0"/>
          <w:marBottom w:val="0"/>
          <w:divBdr>
            <w:top w:val="none" w:sz="0" w:space="0" w:color="auto"/>
            <w:left w:val="none" w:sz="0" w:space="0" w:color="auto"/>
            <w:bottom w:val="none" w:sz="0" w:space="0" w:color="auto"/>
            <w:right w:val="none" w:sz="0" w:space="0" w:color="auto"/>
          </w:divBdr>
        </w:div>
        <w:div w:id="1290012424">
          <w:marLeft w:val="640"/>
          <w:marRight w:val="0"/>
          <w:marTop w:val="0"/>
          <w:marBottom w:val="0"/>
          <w:divBdr>
            <w:top w:val="none" w:sz="0" w:space="0" w:color="auto"/>
            <w:left w:val="none" w:sz="0" w:space="0" w:color="auto"/>
            <w:bottom w:val="none" w:sz="0" w:space="0" w:color="auto"/>
            <w:right w:val="none" w:sz="0" w:space="0" w:color="auto"/>
          </w:divBdr>
        </w:div>
      </w:divsChild>
    </w:div>
    <w:div w:id="1725638038">
      <w:bodyDiv w:val="1"/>
      <w:marLeft w:val="0"/>
      <w:marRight w:val="0"/>
      <w:marTop w:val="0"/>
      <w:marBottom w:val="0"/>
      <w:divBdr>
        <w:top w:val="none" w:sz="0" w:space="0" w:color="auto"/>
        <w:left w:val="none" w:sz="0" w:space="0" w:color="auto"/>
        <w:bottom w:val="none" w:sz="0" w:space="0" w:color="auto"/>
        <w:right w:val="none" w:sz="0" w:space="0" w:color="auto"/>
      </w:divBdr>
      <w:divsChild>
        <w:div w:id="665212220">
          <w:marLeft w:val="640"/>
          <w:marRight w:val="0"/>
          <w:marTop w:val="0"/>
          <w:marBottom w:val="0"/>
          <w:divBdr>
            <w:top w:val="none" w:sz="0" w:space="0" w:color="auto"/>
            <w:left w:val="none" w:sz="0" w:space="0" w:color="auto"/>
            <w:bottom w:val="none" w:sz="0" w:space="0" w:color="auto"/>
            <w:right w:val="none" w:sz="0" w:space="0" w:color="auto"/>
          </w:divBdr>
        </w:div>
        <w:div w:id="449277746">
          <w:marLeft w:val="640"/>
          <w:marRight w:val="0"/>
          <w:marTop w:val="0"/>
          <w:marBottom w:val="0"/>
          <w:divBdr>
            <w:top w:val="none" w:sz="0" w:space="0" w:color="auto"/>
            <w:left w:val="none" w:sz="0" w:space="0" w:color="auto"/>
            <w:bottom w:val="none" w:sz="0" w:space="0" w:color="auto"/>
            <w:right w:val="none" w:sz="0" w:space="0" w:color="auto"/>
          </w:divBdr>
        </w:div>
        <w:div w:id="1746606428">
          <w:marLeft w:val="640"/>
          <w:marRight w:val="0"/>
          <w:marTop w:val="0"/>
          <w:marBottom w:val="0"/>
          <w:divBdr>
            <w:top w:val="none" w:sz="0" w:space="0" w:color="auto"/>
            <w:left w:val="none" w:sz="0" w:space="0" w:color="auto"/>
            <w:bottom w:val="none" w:sz="0" w:space="0" w:color="auto"/>
            <w:right w:val="none" w:sz="0" w:space="0" w:color="auto"/>
          </w:divBdr>
        </w:div>
        <w:div w:id="376705813">
          <w:marLeft w:val="640"/>
          <w:marRight w:val="0"/>
          <w:marTop w:val="0"/>
          <w:marBottom w:val="0"/>
          <w:divBdr>
            <w:top w:val="none" w:sz="0" w:space="0" w:color="auto"/>
            <w:left w:val="none" w:sz="0" w:space="0" w:color="auto"/>
            <w:bottom w:val="none" w:sz="0" w:space="0" w:color="auto"/>
            <w:right w:val="none" w:sz="0" w:space="0" w:color="auto"/>
          </w:divBdr>
        </w:div>
        <w:div w:id="632098883">
          <w:marLeft w:val="640"/>
          <w:marRight w:val="0"/>
          <w:marTop w:val="0"/>
          <w:marBottom w:val="0"/>
          <w:divBdr>
            <w:top w:val="none" w:sz="0" w:space="0" w:color="auto"/>
            <w:left w:val="none" w:sz="0" w:space="0" w:color="auto"/>
            <w:bottom w:val="none" w:sz="0" w:space="0" w:color="auto"/>
            <w:right w:val="none" w:sz="0" w:space="0" w:color="auto"/>
          </w:divBdr>
        </w:div>
        <w:div w:id="979073783">
          <w:marLeft w:val="640"/>
          <w:marRight w:val="0"/>
          <w:marTop w:val="0"/>
          <w:marBottom w:val="0"/>
          <w:divBdr>
            <w:top w:val="none" w:sz="0" w:space="0" w:color="auto"/>
            <w:left w:val="none" w:sz="0" w:space="0" w:color="auto"/>
            <w:bottom w:val="none" w:sz="0" w:space="0" w:color="auto"/>
            <w:right w:val="none" w:sz="0" w:space="0" w:color="auto"/>
          </w:divBdr>
        </w:div>
        <w:div w:id="838889644">
          <w:marLeft w:val="640"/>
          <w:marRight w:val="0"/>
          <w:marTop w:val="0"/>
          <w:marBottom w:val="0"/>
          <w:divBdr>
            <w:top w:val="none" w:sz="0" w:space="0" w:color="auto"/>
            <w:left w:val="none" w:sz="0" w:space="0" w:color="auto"/>
            <w:bottom w:val="none" w:sz="0" w:space="0" w:color="auto"/>
            <w:right w:val="none" w:sz="0" w:space="0" w:color="auto"/>
          </w:divBdr>
        </w:div>
        <w:div w:id="1367099126">
          <w:marLeft w:val="640"/>
          <w:marRight w:val="0"/>
          <w:marTop w:val="0"/>
          <w:marBottom w:val="0"/>
          <w:divBdr>
            <w:top w:val="none" w:sz="0" w:space="0" w:color="auto"/>
            <w:left w:val="none" w:sz="0" w:space="0" w:color="auto"/>
            <w:bottom w:val="none" w:sz="0" w:space="0" w:color="auto"/>
            <w:right w:val="none" w:sz="0" w:space="0" w:color="auto"/>
          </w:divBdr>
        </w:div>
        <w:div w:id="50619994">
          <w:marLeft w:val="640"/>
          <w:marRight w:val="0"/>
          <w:marTop w:val="0"/>
          <w:marBottom w:val="0"/>
          <w:divBdr>
            <w:top w:val="none" w:sz="0" w:space="0" w:color="auto"/>
            <w:left w:val="none" w:sz="0" w:space="0" w:color="auto"/>
            <w:bottom w:val="none" w:sz="0" w:space="0" w:color="auto"/>
            <w:right w:val="none" w:sz="0" w:space="0" w:color="auto"/>
          </w:divBdr>
        </w:div>
        <w:div w:id="70516938">
          <w:marLeft w:val="640"/>
          <w:marRight w:val="0"/>
          <w:marTop w:val="0"/>
          <w:marBottom w:val="0"/>
          <w:divBdr>
            <w:top w:val="none" w:sz="0" w:space="0" w:color="auto"/>
            <w:left w:val="none" w:sz="0" w:space="0" w:color="auto"/>
            <w:bottom w:val="none" w:sz="0" w:space="0" w:color="auto"/>
            <w:right w:val="none" w:sz="0" w:space="0" w:color="auto"/>
          </w:divBdr>
        </w:div>
        <w:div w:id="1058934806">
          <w:marLeft w:val="640"/>
          <w:marRight w:val="0"/>
          <w:marTop w:val="0"/>
          <w:marBottom w:val="0"/>
          <w:divBdr>
            <w:top w:val="none" w:sz="0" w:space="0" w:color="auto"/>
            <w:left w:val="none" w:sz="0" w:space="0" w:color="auto"/>
            <w:bottom w:val="none" w:sz="0" w:space="0" w:color="auto"/>
            <w:right w:val="none" w:sz="0" w:space="0" w:color="auto"/>
          </w:divBdr>
        </w:div>
        <w:div w:id="1235821022">
          <w:marLeft w:val="640"/>
          <w:marRight w:val="0"/>
          <w:marTop w:val="0"/>
          <w:marBottom w:val="0"/>
          <w:divBdr>
            <w:top w:val="none" w:sz="0" w:space="0" w:color="auto"/>
            <w:left w:val="none" w:sz="0" w:space="0" w:color="auto"/>
            <w:bottom w:val="none" w:sz="0" w:space="0" w:color="auto"/>
            <w:right w:val="none" w:sz="0" w:space="0" w:color="auto"/>
          </w:divBdr>
        </w:div>
        <w:div w:id="1147405543">
          <w:marLeft w:val="640"/>
          <w:marRight w:val="0"/>
          <w:marTop w:val="0"/>
          <w:marBottom w:val="0"/>
          <w:divBdr>
            <w:top w:val="none" w:sz="0" w:space="0" w:color="auto"/>
            <w:left w:val="none" w:sz="0" w:space="0" w:color="auto"/>
            <w:bottom w:val="none" w:sz="0" w:space="0" w:color="auto"/>
            <w:right w:val="none" w:sz="0" w:space="0" w:color="auto"/>
          </w:divBdr>
        </w:div>
        <w:div w:id="679621498">
          <w:marLeft w:val="640"/>
          <w:marRight w:val="0"/>
          <w:marTop w:val="0"/>
          <w:marBottom w:val="0"/>
          <w:divBdr>
            <w:top w:val="none" w:sz="0" w:space="0" w:color="auto"/>
            <w:left w:val="none" w:sz="0" w:space="0" w:color="auto"/>
            <w:bottom w:val="none" w:sz="0" w:space="0" w:color="auto"/>
            <w:right w:val="none" w:sz="0" w:space="0" w:color="auto"/>
          </w:divBdr>
        </w:div>
        <w:div w:id="1032917862">
          <w:marLeft w:val="640"/>
          <w:marRight w:val="0"/>
          <w:marTop w:val="0"/>
          <w:marBottom w:val="0"/>
          <w:divBdr>
            <w:top w:val="none" w:sz="0" w:space="0" w:color="auto"/>
            <w:left w:val="none" w:sz="0" w:space="0" w:color="auto"/>
            <w:bottom w:val="none" w:sz="0" w:space="0" w:color="auto"/>
            <w:right w:val="none" w:sz="0" w:space="0" w:color="auto"/>
          </w:divBdr>
        </w:div>
        <w:div w:id="574630904">
          <w:marLeft w:val="640"/>
          <w:marRight w:val="0"/>
          <w:marTop w:val="0"/>
          <w:marBottom w:val="0"/>
          <w:divBdr>
            <w:top w:val="none" w:sz="0" w:space="0" w:color="auto"/>
            <w:left w:val="none" w:sz="0" w:space="0" w:color="auto"/>
            <w:bottom w:val="none" w:sz="0" w:space="0" w:color="auto"/>
            <w:right w:val="none" w:sz="0" w:space="0" w:color="auto"/>
          </w:divBdr>
        </w:div>
        <w:div w:id="1838812695">
          <w:marLeft w:val="640"/>
          <w:marRight w:val="0"/>
          <w:marTop w:val="0"/>
          <w:marBottom w:val="0"/>
          <w:divBdr>
            <w:top w:val="none" w:sz="0" w:space="0" w:color="auto"/>
            <w:left w:val="none" w:sz="0" w:space="0" w:color="auto"/>
            <w:bottom w:val="none" w:sz="0" w:space="0" w:color="auto"/>
            <w:right w:val="none" w:sz="0" w:space="0" w:color="auto"/>
          </w:divBdr>
        </w:div>
        <w:div w:id="2012759955">
          <w:marLeft w:val="640"/>
          <w:marRight w:val="0"/>
          <w:marTop w:val="0"/>
          <w:marBottom w:val="0"/>
          <w:divBdr>
            <w:top w:val="none" w:sz="0" w:space="0" w:color="auto"/>
            <w:left w:val="none" w:sz="0" w:space="0" w:color="auto"/>
            <w:bottom w:val="none" w:sz="0" w:space="0" w:color="auto"/>
            <w:right w:val="none" w:sz="0" w:space="0" w:color="auto"/>
          </w:divBdr>
        </w:div>
        <w:div w:id="1711762806">
          <w:marLeft w:val="640"/>
          <w:marRight w:val="0"/>
          <w:marTop w:val="0"/>
          <w:marBottom w:val="0"/>
          <w:divBdr>
            <w:top w:val="none" w:sz="0" w:space="0" w:color="auto"/>
            <w:left w:val="none" w:sz="0" w:space="0" w:color="auto"/>
            <w:bottom w:val="none" w:sz="0" w:space="0" w:color="auto"/>
            <w:right w:val="none" w:sz="0" w:space="0" w:color="auto"/>
          </w:divBdr>
        </w:div>
        <w:div w:id="1455831226">
          <w:marLeft w:val="640"/>
          <w:marRight w:val="0"/>
          <w:marTop w:val="0"/>
          <w:marBottom w:val="0"/>
          <w:divBdr>
            <w:top w:val="none" w:sz="0" w:space="0" w:color="auto"/>
            <w:left w:val="none" w:sz="0" w:space="0" w:color="auto"/>
            <w:bottom w:val="none" w:sz="0" w:space="0" w:color="auto"/>
            <w:right w:val="none" w:sz="0" w:space="0" w:color="auto"/>
          </w:divBdr>
        </w:div>
      </w:divsChild>
    </w:div>
    <w:div w:id="1741244490">
      <w:bodyDiv w:val="1"/>
      <w:marLeft w:val="0"/>
      <w:marRight w:val="0"/>
      <w:marTop w:val="0"/>
      <w:marBottom w:val="0"/>
      <w:divBdr>
        <w:top w:val="none" w:sz="0" w:space="0" w:color="auto"/>
        <w:left w:val="none" w:sz="0" w:space="0" w:color="auto"/>
        <w:bottom w:val="none" w:sz="0" w:space="0" w:color="auto"/>
        <w:right w:val="none" w:sz="0" w:space="0" w:color="auto"/>
      </w:divBdr>
      <w:divsChild>
        <w:div w:id="1623026886">
          <w:marLeft w:val="640"/>
          <w:marRight w:val="0"/>
          <w:marTop w:val="0"/>
          <w:marBottom w:val="0"/>
          <w:divBdr>
            <w:top w:val="none" w:sz="0" w:space="0" w:color="auto"/>
            <w:left w:val="none" w:sz="0" w:space="0" w:color="auto"/>
            <w:bottom w:val="none" w:sz="0" w:space="0" w:color="auto"/>
            <w:right w:val="none" w:sz="0" w:space="0" w:color="auto"/>
          </w:divBdr>
        </w:div>
        <w:div w:id="122113973">
          <w:marLeft w:val="640"/>
          <w:marRight w:val="0"/>
          <w:marTop w:val="0"/>
          <w:marBottom w:val="0"/>
          <w:divBdr>
            <w:top w:val="none" w:sz="0" w:space="0" w:color="auto"/>
            <w:left w:val="none" w:sz="0" w:space="0" w:color="auto"/>
            <w:bottom w:val="none" w:sz="0" w:space="0" w:color="auto"/>
            <w:right w:val="none" w:sz="0" w:space="0" w:color="auto"/>
          </w:divBdr>
        </w:div>
        <w:div w:id="1495414259">
          <w:marLeft w:val="640"/>
          <w:marRight w:val="0"/>
          <w:marTop w:val="0"/>
          <w:marBottom w:val="0"/>
          <w:divBdr>
            <w:top w:val="none" w:sz="0" w:space="0" w:color="auto"/>
            <w:left w:val="none" w:sz="0" w:space="0" w:color="auto"/>
            <w:bottom w:val="none" w:sz="0" w:space="0" w:color="auto"/>
            <w:right w:val="none" w:sz="0" w:space="0" w:color="auto"/>
          </w:divBdr>
        </w:div>
        <w:div w:id="425230095">
          <w:marLeft w:val="640"/>
          <w:marRight w:val="0"/>
          <w:marTop w:val="0"/>
          <w:marBottom w:val="0"/>
          <w:divBdr>
            <w:top w:val="none" w:sz="0" w:space="0" w:color="auto"/>
            <w:left w:val="none" w:sz="0" w:space="0" w:color="auto"/>
            <w:bottom w:val="none" w:sz="0" w:space="0" w:color="auto"/>
            <w:right w:val="none" w:sz="0" w:space="0" w:color="auto"/>
          </w:divBdr>
        </w:div>
        <w:div w:id="727416590">
          <w:marLeft w:val="640"/>
          <w:marRight w:val="0"/>
          <w:marTop w:val="0"/>
          <w:marBottom w:val="0"/>
          <w:divBdr>
            <w:top w:val="none" w:sz="0" w:space="0" w:color="auto"/>
            <w:left w:val="none" w:sz="0" w:space="0" w:color="auto"/>
            <w:bottom w:val="none" w:sz="0" w:space="0" w:color="auto"/>
            <w:right w:val="none" w:sz="0" w:space="0" w:color="auto"/>
          </w:divBdr>
        </w:div>
        <w:div w:id="1201673869">
          <w:marLeft w:val="640"/>
          <w:marRight w:val="0"/>
          <w:marTop w:val="0"/>
          <w:marBottom w:val="0"/>
          <w:divBdr>
            <w:top w:val="none" w:sz="0" w:space="0" w:color="auto"/>
            <w:left w:val="none" w:sz="0" w:space="0" w:color="auto"/>
            <w:bottom w:val="none" w:sz="0" w:space="0" w:color="auto"/>
            <w:right w:val="none" w:sz="0" w:space="0" w:color="auto"/>
          </w:divBdr>
        </w:div>
        <w:div w:id="1611014893">
          <w:marLeft w:val="640"/>
          <w:marRight w:val="0"/>
          <w:marTop w:val="0"/>
          <w:marBottom w:val="0"/>
          <w:divBdr>
            <w:top w:val="none" w:sz="0" w:space="0" w:color="auto"/>
            <w:left w:val="none" w:sz="0" w:space="0" w:color="auto"/>
            <w:bottom w:val="none" w:sz="0" w:space="0" w:color="auto"/>
            <w:right w:val="none" w:sz="0" w:space="0" w:color="auto"/>
          </w:divBdr>
        </w:div>
        <w:div w:id="2073767217">
          <w:marLeft w:val="640"/>
          <w:marRight w:val="0"/>
          <w:marTop w:val="0"/>
          <w:marBottom w:val="0"/>
          <w:divBdr>
            <w:top w:val="none" w:sz="0" w:space="0" w:color="auto"/>
            <w:left w:val="none" w:sz="0" w:space="0" w:color="auto"/>
            <w:bottom w:val="none" w:sz="0" w:space="0" w:color="auto"/>
            <w:right w:val="none" w:sz="0" w:space="0" w:color="auto"/>
          </w:divBdr>
        </w:div>
        <w:div w:id="889194922">
          <w:marLeft w:val="640"/>
          <w:marRight w:val="0"/>
          <w:marTop w:val="0"/>
          <w:marBottom w:val="0"/>
          <w:divBdr>
            <w:top w:val="none" w:sz="0" w:space="0" w:color="auto"/>
            <w:left w:val="none" w:sz="0" w:space="0" w:color="auto"/>
            <w:bottom w:val="none" w:sz="0" w:space="0" w:color="auto"/>
            <w:right w:val="none" w:sz="0" w:space="0" w:color="auto"/>
          </w:divBdr>
        </w:div>
        <w:div w:id="2146461677">
          <w:marLeft w:val="640"/>
          <w:marRight w:val="0"/>
          <w:marTop w:val="0"/>
          <w:marBottom w:val="0"/>
          <w:divBdr>
            <w:top w:val="none" w:sz="0" w:space="0" w:color="auto"/>
            <w:left w:val="none" w:sz="0" w:space="0" w:color="auto"/>
            <w:bottom w:val="none" w:sz="0" w:space="0" w:color="auto"/>
            <w:right w:val="none" w:sz="0" w:space="0" w:color="auto"/>
          </w:divBdr>
        </w:div>
        <w:div w:id="1994214123">
          <w:marLeft w:val="640"/>
          <w:marRight w:val="0"/>
          <w:marTop w:val="0"/>
          <w:marBottom w:val="0"/>
          <w:divBdr>
            <w:top w:val="none" w:sz="0" w:space="0" w:color="auto"/>
            <w:left w:val="none" w:sz="0" w:space="0" w:color="auto"/>
            <w:bottom w:val="none" w:sz="0" w:space="0" w:color="auto"/>
            <w:right w:val="none" w:sz="0" w:space="0" w:color="auto"/>
          </w:divBdr>
        </w:div>
        <w:div w:id="2019193271">
          <w:marLeft w:val="640"/>
          <w:marRight w:val="0"/>
          <w:marTop w:val="0"/>
          <w:marBottom w:val="0"/>
          <w:divBdr>
            <w:top w:val="none" w:sz="0" w:space="0" w:color="auto"/>
            <w:left w:val="none" w:sz="0" w:space="0" w:color="auto"/>
            <w:bottom w:val="none" w:sz="0" w:space="0" w:color="auto"/>
            <w:right w:val="none" w:sz="0" w:space="0" w:color="auto"/>
          </w:divBdr>
        </w:div>
        <w:div w:id="2133016476">
          <w:marLeft w:val="640"/>
          <w:marRight w:val="0"/>
          <w:marTop w:val="0"/>
          <w:marBottom w:val="0"/>
          <w:divBdr>
            <w:top w:val="none" w:sz="0" w:space="0" w:color="auto"/>
            <w:left w:val="none" w:sz="0" w:space="0" w:color="auto"/>
            <w:bottom w:val="none" w:sz="0" w:space="0" w:color="auto"/>
            <w:right w:val="none" w:sz="0" w:space="0" w:color="auto"/>
          </w:divBdr>
        </w:div>
        <w:div w:id="2023236521">
          <w:marLeft w:val="640"/>
          <w:marRight w:val="0"/>
          <w:marTop w:val="0"/>
          <w:marBottom w:val="0"/>
          <w:divBdr>
            <w:top w:val="none" w:sz="0" w:space="0" w:color="auto"/>
            <w:left w:val="none" w:sz="0" w:space="0" w:color="auto"/>
            <w:bottom w:val="none" w:sz="0" w:space="0" w:color="auto"/>
            <w:right w:val="none" w:sz="0" w:space="0" w:color="auto"/>
          </w:divBdr>
        </w:div>
        <w:div w:id="2088188817">
          <w:marLeft w:val="640"/>
          <w:marRight w:val="0"/>
          <w:marTop w:val="0"/>
          <w:marBottom w:val="0"/>
          <w:divBdr>
            <w:top w:val="none" w:sz="0" w:space="0" w:color="auto"/>
            <w:left w:val="none" w:sz="0" w:space="0" w:color="auto"/>
            <w:bottom w:val="none" w:sz="0" w:space="0" w:color="auto"/>
            <w:right w:val="none" w:sz="0" w:space="0" w:color="auto"/>
          </w:divBdr>
        </w:div>
        <w:div w:id="993415985">
          <w:marLeft w:val="640"/>
          <w:marRight w:val="0"/>
          <w:marTop w:val="0"/>
          <w:marBottom w:val="0"/>
          <w:divBdr>
            <w:top w:val="none" w:sz="0" w:space="0" w:color="auto"/>
            <w:left w:val="none" w:sz="0" w:space="0" w:color="auto"/>
            <w:bottom w:val="none" w:sz="0" w:space="0" w:color="auto"/>
            <w:right w:val="none" w:sz="0" w:space="0" w:color="auto"/>
          </w:divBdr>
        </w:div>
        <w:div w:id="189997861">
          <w:marLeft w:val="640"/>
          <w:marRight w:val="0"/>
          <w:marTop w:val="0"/>
          <w:marBottom w:val="0"/>
          <w:divBdr>
            <w:top w:val="none" w:sz="0" w:space="0" w:color="auto"/>
            <w:left w:val="none" w:sz="0" w:space="0" w:color="auto"/>
            <w:bottom w:val="none" w:sz="0" w:space="0" w:color="auto"/>
            <w:right w:val="none" w:sz="0" w:space="0" w:color="auto"/>
          </w:divBdr>
        </w:div>
        <w:div w:id="1801873875">
          <w:marLeft w:val="640"/>
          <w:marRight w:val="0"/>
          <w:marTop w:val="0"/>
          <w:marBottom w:val="0"/>
          <w:divBdr>
            <w:top w:val="none" w:sz="0" w:space="0" w:color="auto"/>
            <w:left w:val="none" w:sz="0" w:space="0" w:color="auto"/>
            <w:bottom w:val="none" w:sz="0" w:space="0" w:color="auto"/>
            <w:right w:val="none" w:sz="0" w:space="0" w:color="auto"/>
          </w:divBdr>
        </w:div>
      </w:divsChild>
    </w:div>
    <w:div w:id="1744833516">
      <w:bodyDiv w:val="1"/>
      <w:marLeft w:val="0"/>
      <w:marRight w:val="0"/>
      <w:marTop w:val="0"/>
      <w:marBottom w:val="0"/>
      <w:divBdr>
        <w:top w:val="none" w:sz="0" w:space="0" w:color="auto"/>
        <w:left w:val="none" w:sz="0" w:space="0" w:color="auto"/>
        <w:bottom w:val="none" w:sz="0" w:space="0" w:color="auto"/>
        <w:right w:val="none" w:sz="0" w:space="0" w:color="auto"/>
      </w:divBdr>
      <w:divsChild>
        <w:div w:id="1089735824">
          <w:marLeft w:val="640"/>
          <w:marRight w:val="0"/>
          <w:marTop w:val="0"/>
          <w:marBottom w:val="0"/>
          <w:divBdr>
            <w:top w:val="none" w:sz="0" w:space="0" w:color="auto"/>
            <w:left w:val="none" w:sz="0" w:space="0" w:color="auto"/>
            <w:bottom w:val="none" w:sz="0" w:space="0" w:color="auto"/>
            <w:right w:val="none" w:sz="0" w:space="0" w:color="auto"/>
          </w:divBdr>
        </w:div>
        <w:div w:id="1555237409">
          <w:marLeft w:val="640"/>
          <w:marRight w:val="0"/>
          <w:marTop w:val="0"/>
          <w:marBottom w:val="0"/>
          <w:divBdr>
            <w:top w:val="none" w:sz="0" w:space="0" w:color="auto"/>
            <w:left w:val="none" w:sz="0" w:space="0" w:color="auto"/>
            <w:bottom w:val="none" w:sz="0" w:space="0" w:color="auto"/>
            <w:right w:val="none" w:sz="0" w:space="0" w:color="auto"/>
          </w:divBdr>
        </w:div>
        <w:div w:id="542599866">
          <w:marLeft w:val="640"/>
          <w:marRight w:val="0"/>
          <w:marTop w:val="0"/>
          <w:marBottom w:val="0"/>
          <w:divBdr>
            <w:top w:val="none" w:sz="0" w:space="0" w:color="auto"/>
            <w:left w:val="none" w:sz="0" w:space="0" w:color="auto"/>
            <w:bottom w:val="none" w:sz="0" w:space="0" w:color="auto"/>
            <w:right w:val="none" w:sz="0" w:space="0" w:color="auto"/>
          </w:divBdr>
        </w:div>
        <w:div w:id="983462127">
          <w:marLeft w:val="640"/>
          <w:marRight w:val="0"/>
          <w:marTop w:val="0"/>
          <w:marBottom w:val="0"/>
          <w:divBdr>
            <w:top w:val="none" w:sz="0" w:space="0" w:color="auto"/>
            <w:left w:val="none" w:sz="0" w:space="0" w:color="auto"/>
            <w:bottom w:val="none" w:sz="0" w:space="0" w:color="auto"/>
            <w:right w:val="none" w:sz="0" w:space="0" w:color="auto"/>
          </w:divBdr>
        </w:div>
        <w:div w:id="1705714689">
          <w:marLeft w:val="640"/>
          <w:marRight w:val="0"/>
          <w:marTop w:val="0"/>
          <w:marBottom w:val="0"/>
          <w:divBdr>
            <w:top w:val="none" w:sz="0" w:space="0" w:color="auto"/>
            <w:left w:val="none" w:sz="0" w:space="0" w:color="auto"/>
            <w:bottom w:val="none" w:sz="0" w:space="0" w:color="auto"/>
            <w:right w:val="none" w:sz="0" w:space="0" w:color="auto"/>
          </w:divBdr>
        </w:div>
        <w:div w:id="551120673">
          <w:marLeft w:val="640"/>
          <w:marRight w:val="0"/>
          <w:marTop w:val="0"/>
          <w:marBottom w:val="0"/>
          <w:divBdr>
            <w:top w:val="none" w:sz="0" w:space="0" w:color="auto"/>
            <w:left w:val="none" w:sz="0" w:space="0" w:color="auto"/>
            <w:bottom w:val="none" w:sz="0" w:space="0" w:color="auto"/>
            <w:right w:val="none" w:sz="0" w:space="0" w:color="auto"/>
          </w:divBdr>
        </w:div>
        <w:div w:id="2091733943">
          <w:marLeft w:val="640"/>
          <w:marRight w:val="0"/>
          <w:marTop w:val="0"/>
          <w:marBottom w:val="0"/>
          <w:divBdr>
            <w:top w:val="none" w:sz="0" w:space="0" w:color="auto"/>
            <w:left w:val="none" w:sz="0" w:space="0" w:color="auto"/>
            <w:bottom w:val="none" w:sz="0" w:space="0" w:color="auto"/>
            <w:right w:val="none" w:sz="0" w:space="0" w:color="auto"/>
          </w:divBdr>
        </w:div>
        <w:div w:id="1699118879">
          <w:marLeft w:val="640"/>
          <w:marRight w:val="0"/>
          <w:marTop w:val="0"/>
          <w:marBottom w:val="0"/>
          <w:divBdr>
            <w:top w:val="none" w:sz="0" w:space="0" w:color="auto"/>
            <w:left w:val="none" w:sz="0" w:space="0" w:color="auto"/>
            <w:bottom w:val="none" w:sz="0" w:space="0" w:color="auto"/>
            <w:right w:val="none" w:sz="0" w:space="0" w:color="auto"/>
          </w:divBdr>
        </w:div>
        <w:div w:id="2136292282">
          <w:marLeft w:val="640"/>
          <w:marRight w:val="0"/>
          <w:marTop w:val="0"/>
          <w:marBottom w:val="0"/>
          <w:divBdr>
            <w:top w:val="none" w:sz="0" w:space="0" w:color="auto"/>
            <w:left w:val="none" w:sz="0" w:space="0" w:color="auto"/>
            <w:bottom w:val="none" w:sz="0" w:space="0" w:color="auto"/>
            <w:right w:val="none" w:sz="0" w:space="0" w:color="auto"/>
          </w:divBdr>
        </w:div>
        <w:div w:id="1748116460">
          <w:marLeft w:val="640"/>
          <w:marRight w:val="0"/>
          <w:marTop w:val="0"/>
          <w:marBottom w:val="0"/>
          <w:divBdr>
            <w:top w:val="none" w:sz="0" w:space="0" w:color="auto"/>
            <w:left w:val="none" w:sz="0" w:space="0" w:color="auto"/>
            <w:bottom w:val="none" w:sz="0" w:space="0" w:color="auto"/>
            <w:right w:val="none" w:sz="0" w:space="0" w:color="auto"/>
          </w:divBdr>
        </w:div>
        <w:div w:id="1403217036">
          <w:marLeft w:val="640"/>
          <w:marRight w:val="0"/>
          <w:marTop w:val="0"/>
          <w:marBottom w:val="0"/>
          <w:divBdr>
            <w:top w:val="none" w:sz="0" w:space="0" w:color="auto"/>
            <w:left w:val="none" w:sz="0" w:space="0" w:color="auto"/>
            <w:bottom w:val="none" w:sz="0" w:space="0" w:color="auto"/>
            <w:right w:val="none" w:sz="0" w:space="0" w:color="auto"/>
          </w:divBdr>
        </w:div>
        <w:div w:id="129056680">
          <w:marLeft w:val="640"/>
          <w:marRight w:val="0"/>
          <w:marTop w:val="0"/>
          <w:marBottom w:val="0"/>
          <w:divBdr>
            <w:top w:val="none" w:sz="0" w:space="0" w:color="auto"/>
            <w:left w:val="none" w:sz="0" w:space="0" w:color="auto"/>
            <w:bottom w:val="none" w:sz="0" w:space="0" w:color="auto"/>
            <w:right w:val="none" w:sz="0" w:space="0" w:color="auto"/>
          </w:divBdr>
        </w:div>
        <w:div w:id="1056511106">
          <w:marLeft w:val="640"/>
          <w:marRight w:val="0"/>
          <w:marTop w:val="0"/>
          <w:marBottom w:val="0"/>
          <w:divBdr>
            <w:top w:val="none" w:sz="0" w:space="0" w:color="auto"/>
            <w:left w:val="none" w:sz="0" w:space="0" w:color="auto"/>
            <w:bottom w:val="none" w:sz="0" w:space="0" w:color="auto"/>
            <w:right w:val="none" w:sz="0" w:space="0" w:color="auto"/>
          </w:divBdr>
        </w:div>
        <w:div w:id="62921569">
          <w:marLeft w:val="640"/>
          <w:marRight w:val="0"/>
          <w:marTop w:val="0"/>
          <w:marBottom w:val="0"/>
          <w:divBdr>
            <w:top w:val="none" w:sz="0" w:space="0" w:color="auto"/>
            <w:left w:val="none" w:sz="0" w:space="0" w:color="auto"/>
            <w:bottom w:val="none" w:sz="0" w:space="0" w:color="auto"/>
            <w:right w:val="none" w:sz="0" w:space="0" w:color="auto"/>
          </w:divBdr>
        </w:div>
        <w:div w:id="1647978755">
          <w:marLeft w:val="640"/>
          <w:marRight w:val="0"/>
          <w:marTop w:val="0"/>
          <w:marBottom w:val="0"/>
          <w:divBdr>
            <w:top w:val="none" w:sz="0" w:space="0" w:color="auto"/>
            <w:left w:val="none" w:sz="0" w:space="0" w:color="auto"/>
            <w:bottom w:val="none" w:sz="0" w:space="0" w:color="auto"/>
            <w:right w:val="none" w:sz="0" w:space="0" w:color="auto"/>
          </w:divBdr>
        </w:div>
        <w:div w:id="27877652">
          <w:marLeft w:val="640"/>
          <w:marRight w:val="0"/>
          <w:marTop w:val="0"/>
          <w:marBottom w:val="0"/>
          <w:divBdr>
            <w:top w:val="none" w:sz="0" w:space="0" w:color="auto"/>
            <w:left w:val="none" w:sz="0" w:space="0" w:color="auto"/>
            <w:bottom w:val="none" w:sz="0" w:space="0" w:color="auto"/>
            <w:right w:val="none" w:sz="0" w:space="0" w:color="auto"/>
          </w:divBdr>
        </w:div>
        <w:div w:id="677275132">
          <w:marLeft w:val="640"/>
          <w:marRight w:val="0"/>
          <w:marTop w:val="0"/>
          <w:marBottom w:val="0"/>
          <w:divBdr>
            <w:top w:val="none" w:sz="0" w:space="0" w:color="auto"/>
            <w:left w:val="none" w:sz="0" w:space="0" w:color="auto"/>
            <w:bottom w:val="none" w:sz="0" w:space="0" w:color="auto"/>
            <w:right w:val="none" w:sz="0" w:space="0" w:color="auto"/>
          </w:divBdr>
        </w:div>
        <w:div w:id="833566562">
          <w:marLeft w:val="640"/>
          <w:marRight w:val="0"/>
          <w:marTop w:val="0"/>
          <w:marBottom w:val="0"/>
          <w:divBdr>
            <w:top w:val="none" w:sz="0" w:space="0" w:color="auto"/>
            <w:left w:val="none" w:sz="0" w:space="0" w:color="auto"/>
            <w:bottom w:val="none" w:sz="0" w:space="0" w:color="auto"/>
            <w:right w:val="none" w:sz="0" w:space="0" w:color="auto"/>
          </w:divBdr>
        </w:div>
        <w:div w:id="1587420826">
          <w:marLeft w:val="640"/>
          <w:marRight w:val="0"/>
          <w:marTop w:val="0"/>
          <w:marBottom w:val="0"/>
          <w:divBdr>
            <w:top w:val="none" w:sz="0" w:space="0" w:color="auto"/>
            <w:left w:val="none" w:sz="0" w:space="0" w:color="auto"/>
            <w:bottom w:val="none" w:sz="0" w:space="0" w:color="auto"/>
            <w:right w:val="none" w:sz="0" w:space="0" w:color="auto"/>
          </w:divBdr>
        </w:div>
        <w:div w:id="1718166571">
          <w:marLeft w:val="640"/>
          <w:marRight w:val="0"/>
          <w:marTop w:val="0"/>
          <w:marBottom w:val="0"/>
          <w:divBdr>
            <w:top w:val="none" w:sz="0" w:space="0" w:color="auto"/>
            <w:left w:val="none" w:sz="0" w:space="0" w:color="auto"/>
            <w:bottom w:val="none" w:sz="0" w:space="0" w:color="auto"/>
            <w:right w:val="none" w:sz="0" w:space="0" w:color="auto"/>
          </w:divBdr>
        </w:div>
        <w:div w:id="850489111">
          <w:marLeft w:val="640"/>
          <w:marRight w:val="0"/>
          <w:marTop w:val="0"/>
          <w:marBottom w:val="0"/>
          <w:divBdr>
            <w:top w:val="none" w:sz="0" w:space="0" w:color="auto"/>
            <w:left w:val="none" w:sz="0" w:space="0" w:color="auto"/>
            <w:bottom w:val="none" w:sz="0" w:space="0" w:color="auto"/>
            <w:right w:val="none" w:sz="0" w:space="0" w:color="auto"/>
          </w:divBdr>
        </w:div>
        <w:div w:id="1589268727">
          <w:marLeft w:val="640"/>
          <w:marRight w:val="0"/>
          <w:marTop w:val="0"/>
          <w:marBottom w:val="0"/>
          <w:divBdr>
            <w:top w:val="none" w:sz="0" w:space="0" w:color="auto"/>
            <w:left w:val="none" w:sz="0" w:space="0" w:color="auto"/>
            <w:bottom w:val="none" w:sz="0" w:space="0" w:color="auto"/>
            <w:right w:val="none" w:sz="0" w:space="0" w:color="auto"/>
          </w:divBdr>
        </w:div>
        <w:div w:id="690186755">
          <w:marLeft w:val="640"/>
          <w:marRight w:val="0"/>
          <w:marTop w:val="0"/>
          <w:marBottom w:val="0"/>
          <w:divBdr>
            <w:top w:val="none" w:sz="0" w:space="0" w:color="auto"/>
            <w:left w:val="none" w:sz="0" w:space="0" w:color="auto"/>
            <w:bottom w:val="none" w:sz="0" w:space="0" w:color="auto"/>
            <w:right w:val="none" w:sz="0" w:space="0" w:color="auto"/>
          </w:divBdr>
        </w:div>
        <w:div w:id="1535076458">
          <w:marLeft w:val="640"/>
          <w:marRight w:val="0"/>
          <w:marTop w:val="0"/>
          <w:marBottom w:val="0"/>
          <w:divBdr>
            <w:top w:val="none" w:sz="0" w:space="0" w:color="auto"/>
            <w:left w:val="none" w:sz="0" w:space="0" w:color="auto"/>
            <w:bottom w:val="none" w:sz="0" w:space="0" w:color="auto"/>
            <w:right w:val="none" w:sz="0" w:space="0" w:color="auto"/>
          </w:divBdr>
        </w:div>
        <w:div w:id="1643533819">
          <w:marLeft w:val="640"/>
          <w:marRight w:val="0"/>
          <w:marTop w:val="0"/>
          <w:marBottom w:val="0"/>
          <w:divBdr>
            <w:top w:val="none" w:sz="0" w:space="0" w:color="auto"/>
            <w:left w:val="none" w:sz="0" w:space="0" w:color="auto"/>
            <w:bottom w:val="none" w:sz="0" w:space="0" w:color="auto"/>
            <w:right w:val="none" w:sz="0" w:space="0" w:color="auto"/>
          </w:divBdr>
        </w:div>
        <w:div w:id="1119689164">
          <w:marLeft w:val="640"/>
          <w:marRight w:val="0"/>
          <w:marTop w:val="0"/>
          <w:marBottom w:val="0"/>
          <w:divBdr>
            <w:top w:val="none" w:sz="0" w:space="0" w:color="auto"/>
            <w:left w:val="none" w:sz="0" w:space="0" w:color="auto"/>
            <w:bottom w:val="none" w:sz="0" w:space="0" w:color="auto"/>
            <w:right w:val="none" w:sz="0" w:space="0" w:color="auto"/>
          </w:divBdr>
        </w:div>
        <w:div w:id="1187593608">
          <w:marLeft w:val="640"/>
          <w:marRight w:val="0"/>
          <w:marTop w:val="0"/>
          <w:marBottom w:val="0"/>
          <w:divBdr>
            <w:top w:val="none" w:sz="0" w:space="0" w:color="auto"/>
            <w:left w:val="none" w:sz="0" w:space="0" w:color="auto"/>
            <w:bottom w:val="none" w:sz="0" w:space="0" w:color="auto"/>
            <w:right w:val="none" w:sz="0" w:space="0" w:color="auto"/>
          </w:divBdr>
        </w:div>
        <w:div w:id="801120645">
          <w:marLeft w:val="640"/>
          <w:marRight w:val="0"/>
          <w:marTop w:val="0"/>
          <w:marBottom w:val="0"/>
          <w:divBdr>
            <w:top w:val="none" w:sz="0" w:space="0" w:color="auto"/>
            <w:left w:val="none" w:sz="0" w:space="0" w:color="auto"/>
            <w:bottom w:val="none" w:sz="0" w:space="0" w:color="auto"/>
            <w:right w:val="none" w:sz="0" w:space="0" w:color="auto"/>
          </w:divBdr>
        </w:div>
      </w:divsChild>
    </w:div>
    <w:div w:id="1803040740">
      <w:bodyDiv w:val="1"/>
      <w:marLeft w:val="0"/>
      <w:marRight w:val="0"/>
      <w:marTop w:val="0"/>
      <w:marBottom w:val="0"/>
      <w:divBdr>
        <w:top w:val="none" w:sz="0" w:space="0" w:color="auto"/>
        <w:left w:val="none" w:sz="0" w:space="0" w:color="auto"/>
        <w:bottom w:val="none" w:sz="0" w:space="0" w:color="auto"/>
        <w:right w:val="none" w:sz="0" w:space="0" w:color="auto"/>
      </w:divBdr>
      <w:divsChild>
        <w:div w:id="1023746359">
          <w:marLeft w:val="640"/>
          <w:marRight w:val="0"/>
          <w:marTop w:val="0"/>
          <w:marBottom w:val="0"/>
          <w:divBdr>
            <w:top w:val="none" w:sz="0" w:space="0" w:color="auto"/>
            <w:left w:val="none" w:sz="0" w:space="0" w:color="auto"/>
            <w:bottom w:val="none" w:sz="0" w:space="0" w:color="auto"/>
            <w:right w:val="none" w:sz="0" w:space="0" w:color="auto"/>
          </w:divBdr>
        </w:div>
        <w:div w:id="405152672">
          <w:marLeft w:val="640"/>
          <w:marRight w:val="0"/>
          <w:marTop w:val="0"/>
          <w:marBottom w:val="0"/>
          <w:divBdr>
            <w:top w:val="none" w:sz="0" w:space="0" w:color="auto"/>
            <w:left w:val="none" w:sz="0" w:space="0" w:color="auto"/>
            <w:bottom w:val="none" w:sz="0" w:space="0" w:color="auto"/>
            <w:right w:val="none" w:sz="0" w:space="0" w:color="auto"/>
          </w:divBdr>
        </w:div>
        <w:div w:id="320736639">
          <w:marLeft w:val="640"/>
          <w:marRight w:val="0"/>
          <w:marTop w:val="0"/>
          <w:marBottom w:val="0"/>
          <w:divBdr>
            <w:top w:val="none" w:sz="0" w:space="0" w:color="auto"/>
            <w:left w:val="none" w:sz="0" w:space="0" w:color="auto"/>
            <w:bottom w:val="none" w:sz="0" w:space="0" w:color="auto"/>
            <w:right w:val="none" w:sz="0" w:space="0" w:color="auto"/>
          </w:divBdr>
        </w:div>
        <w:div w:id="531186223">
          <w:marLeft w:val="640"/>
          <w:marRight w:val="0"/>
          <w:marTop w:val="0"/>
          <w:marBottom w:val="0"/>
          <w:divBdr>
            <w:top w:val="none" w:sz="0" w:space="0" w:color="auto"/>
            <w:left w:val="none" w:sz="0" w:space="0" w:color="auto"/>
            <w:bottom w:val="none" w:sz="0" w:space="0" w:color="auto"/>
            <w:right w:val="none" w:sz="0" w:space="0" w:color="auto"/>
          </w:divBdr>
        </w:div>
        <w:div w:id="753432814">
          <w:marLeft w:val="640"/>
          <w:marRight w:val="0"/>
          <w:marTop w:val="0"/>
          <w:marBottom w:val="0"/>
          <w:divBdr>
            <w:top w:val="none" w:sz="0" w:space="0" w:color="auto"/>
            <w:left w:val="none" w:sz="0" w:space="0" w:color="auto"/>
            <w:bottom w:val="none" w:sz="0" w:space="0" w:color="auto"/>
            <w:right w:val="none" w:sz="0" w:space="0" w:color="auto"/>
          </w:divBdr>
        </w:div>
        <w:div w:id="714619111">
          <w:marLeft w:val="640"/>
          <w:marRight w:val="0"/>
          <w:marTop w:val="0"/>
          <w:marBottom w:val="0"/>
          <w:divBdr>
            <w:top w:val="none" w:sz="0" w:space="0" w:color="auto"/>
            <w:left w:val="none" w:sz="0" w:space="0" w:color="auto"/>
            <w:bottom w:val="none" w:sz="0" w:space="0" w:color="auto"/>
            <w:right w:val="none" w:sz="0" w:space="0" w:color="auto"/>
          </w:divBdr>
        </w:div>
        <w:div w:id="46035250">
          <w:marLeft w:val="640"/>
          <w:marRight w:val="0"/>
          <w:marTop w:val="0"/>
          <w:marBottom w:val="0"/>
          <w:divBdr>
            <w:top w:val="none" w:sz="0" w:space="0" w:color="auto"/>
            <w:left w:val="none" w:sz="0" w:space="0" w:color="auto"/>
            <w:bottom w:val="none" w:sz="0" w:space="0" w:color="auto"/>
            <w:right w:val="none" w:sz="0" w:space="0" w:color="auto"/>
          </w:divBdr>
        </w:div>
        <w:div w:id="1908105809">
          <w:marLeft w:val="640"/>
          <w:marRight w:val="0"/>
          <w:marTop w:val="0"/>
          <w:marBottom w:val="0"/>
          <w:divBdr>
            <w:top w:val="none" w:sz="0" w:space="0" w:color="auto"/>
            <w:left w:val="none" w:sz="0" w:space="0" w:color="auto"/>
            <w:bottom w:val="none" w:sz="0" w:space="0" w:color="auto"/>
            <w:right w:val="none" w:sz="0" w:space="0" w:color="auto"/>
          </w:divBdr>
        </w:div>
        <w:div w:id="1475484701">
          <w:marLeft w:val="640"/>
          <w:marRight w:val="0"/>
          <w:marTop w:val="0"/>
          <w:marBottom w:val="0"/>
          <w:divBdr>
            <w:top w:val="none" w:sz="0" w:space="0" w:color="auto"/>
            <w:left w:val="none" w:sz="0" w:space="0" w:color="auto"/>
            <w:bottom w:val="none" w:sz="0" w:space="0" w:color="auto"/>
            <w:right w:val="none" w:sz="0" w:space="0" w:color="auto"/>
          </w:divBdr>
        </w:div>
        <w:div w:id="292566522">
          <w:marLeft w:val="640"/>
          <w:marRight w:val="0"/>
          <w:marTop w:val="0"/>
          <w:marBottom w:val="0"/>
          <w:divBdr>
            <w:top w:val="none" w:sz="0" w:space="0" w:color="auto"/>
            <w:left w:val="none" w:sz="0" w:space="0" w:color="auto"/>
            <w:bottom w:val="none" w:sz="0" w:space="0" w:color="auto"/>
            <w:right w:val="none" w:sz="0" w:space="0" w:color="auto"/>
          </w:divBdr>
        </w:div>
        <w:div w:id="224032824">
          <w:marLeft w:val="640"/>
          <w:marRight w:val="0"/>
          <w:marTop w:val="0"/>
          <w:marBottom w:val="0"/>
          <w:divBdr>
            <w:top w:val="none" w:sz="0" w:space="0" w:color="auto"/>
            <w:left w:val="none" w:sz="0" w:space="0" w:color="auto"/>
            <w:bottom w:val="none" w:sz="0" w:space="0" w:color="auto"/>
            <w:right w:val="none" w:sz="0" w:space="0" w:color="auto"/>
          </w:divBdr>
        </w:div>
        <w:div w:id="1613710476">
          <w:marLeft w:val="640"/>
          <w:marRight w:val="0"/>
          <w:marTop w:val="0"/>
          <w:marBottom w:val="0"/>
          <w:divBdr>
            <w:top w:val="none" w:sz="0" w:space="0" w:color="auto"/>
            <w:left w:val="none" w:sz="0" w:space="0" w:color="auto"/>
            <w:bottom w:val="none" w:sz="0" w:space="0" w:color="auto"/>
            <w:right w:val="none" w:sz="0" w:space="0" w:color="auto"/>
          </w:divBdr>
        </w:div>
        <w:div w:id="1372610167">
          <w:marLeft w:val="640"/>
          <w:marRight w:val="0"/>
          <w:marTop w:val="0"/>
          <w:marBottom w:val="0"/>
          <w:divBdr>
            <w:top w:val="none" w:sz="0" w:space="0" w:color="auto"/>
            <w:left w:val="none" w:sz="0" w:space="0" w:color="auto"/>
            <w:bottom w:val="none" w:sz="0" w:space="0" w:color="auto"/>
            <w:right w:val="none" w:sz="0" w:space="0" w:color="auto"/>
          </w:divBdr>
        </w:div>
        <w:div w:id="1257864857">
          <w:marLeft w:val="640"/>
          <w:marRight w:val="0"/>
          <w:marTop w:val="0"/>
          <w:marBottom w:val="0"/>
          <w:divBdr>
            <w:top w:val="none" w:sz="0" w:space="0" w:color="auto"/>
            <w:left w:val="none" w:sz="0" w:space="0" w:color="auto"/>
            <w:bottom w:val="none" w:sz="0" w:space="0" w:color="auto"/>
            <w:right w:val="none" w:sz="0" w:space="0" w:color="auto"/>
          </w:divBdr>
        </w:div>
        <w:div w:id="1416587964">
          <w:marLeft w:val="640"/>
          <w:marRight w:val="0"/>
          <w:marTop w:val="0"/>
          <w:marBottom w:val="0"/>
          <w:divBdr>
            <w:top w:val="none" w:sz="0" w:space="0" w:color="auto"/>
            <w:left w:val="none" w:sz="0" w:space="0" w:color="auto"/>
            <w:bottom w:val="none" w:sz="0" w:space="0" w:color="auto"/>
            <w:right w:val="none" w:sz="0" w:space="0" w:color="auto"/>
          </w:divBdr>
        </w:div>
        <w:div w:id="209150644">
          <w:marLeft w:val="640"/>
          <w:marRight w:val="0"/>
          <w:marTop w:val="0"/>
          <w:marBottom w:val="0"/>
          <w:divBdr>
            <w:top w:val="none" w:sz="0" w:space="0" w:color="auto"/>
            <w:left w:val="none" w:sz="0" w:space="0" w:color="auto"/>
            <w:bottom w:val="none" w:sz="0" w:space="0" w:color="auto"/>
            <w:right w:val="none" w:sz="0" w:space="0" w:color="auto"/>
          </w:divBdr>
        </w:div>
        <w:div w:id="1297564132">
          <w:marLeft w:val="640"/>
          <w:marRight w:val="0"/>
          <w:marTop w:val="0"/>
          <w:marBottom w:val="0"/>
          <w:divBdr>
            <w:top w:val="none" w:sz="0" w:space="0" w:color="auto"/>
            <w:left w:val="none" w:sz="0" w:space="0" w:color="auto"/>
            <w:bottom w:val="none" w:sz="0" w:space="0" w:color="auto"/>
            <w:right w:val="none" w:sz="0" w:space="0" w:color="auto"/>
          </w:divBdr>
        </w:div>
        <w:div w:id="1970084661">
          <w:marLeft w:val="640"/>
          <w:marRight w:val="0"/>
          <w:marTop w:val="0"/>
          <w:marBottom w:val="0"/>
          <w:divBdr>
            <w:top w:val="none" w:sz="0" w:space="0" w:color="auto"/>
            <w:left w:val="none" w:sz="0" w:space="0" w:color="auto"/>
            <w:bottom w:val="none" w:sz="0" w:space="0" w:color="auto"/>
            <w:right w:val="none" w:sz="0" w:space="0" w:color="auto"/>
          </w:divBdr>
        </w:div>
        <w:div w:id="1889871611">
          <w:marLeft w:val="640"/>
          <w:marRight w:val="0"/>
          <w:marTop w:val="0"/>
          <w:marBottom w:val="0"/>
          <w:divBdr>
            <w:top w:val="none" w:sz="0" w:space="0" w:color="auto"/>
            <w:left w:val="none" w:sz="0" w:space="0" w:color="auto"/>
            <w:bottom w:val="none" w:sz="0" w:space="0" w:color="auto"/>
            <w:right w:val="none" w:sz="0" w:space="0" w:color="auto"/>
          </w:divBdr>
        </w:div>
        <w:div w:id="1378430586">
          <w:marLeft w:val="640"/>
          <w:marRight w:val="0"/>
          <w:marTop w:val="0"/>
          <w:marBottom w:val="0"/>
          <w:divBdr>
            <w:top w:val="none" w:sz="0" w:space="0" w:color="auto"/>
            <w:left w:val="none" w:sz="0" w:space="0" w:color="auto"/>
            <w:bottom w:val="none" w:sz="0" w:space="0" w:color="auto"/>
            <w:right w:val="none" w:sz="0" w:space="0" w:color="auto"/>
          </w:divBdr>
        </w:div>
        <w:div w:id="1043601997">
          <w:marLeft w:val="640"/>
          <w:marRight w:val="0"/>
          <w:marTop w:val="0"/>
          <w:marBottom w:val="0"/>
          <w:divBdr>
            <w:top w:val="none" w:sz="0" w:space="0" w:color="auto"/>
            <w:left w:val="none" w:sz="0" w:space="0" w:color="auto"/>
            <w:bottom w:val="none" w:sz="0" w:space="0" w:color="auto"/>
            <w:right w:val="none" w:sz="0" w:space="0" w:color="auto"/>
          </w:divBdr>
        </w:div>
        <w:div w:id="2035691264">
          <w:marLeft w:val="640"/>
          <w:marRight w:val="0"/>
          <w:marTop w:val="0"/>
          <w:marBottom w:val="0"/>
          <w:divBdr>
            <w:top w:val="none" w:sz="0" w:space="0" w:color="auto"/>
            <w:left w:val="none" w:sz="0" w:space="0" w:color="auto"/>
            <w:bottom w:val="none" w:sz="0" w:space="0" w:color="auto"/>
            <w:right w:val="none" w:sz="0" w:space="0" w:color="auto"/>
          </w:divBdr>
        </w:div>
        <w:div w:id="1306397273">
          <w:marLeft w:val="640"/>
          <w:marRight w:val="0"/>
          <w:marTop w:val="0"/>
          <w:marBottom w:val="0"/>
          <w:divBdr>
            <w:top w:val="none" w:sz="0" w:space="0" w:color="auto"/>
            <w:left w:val="none" w:sz="0" w:space="0" w:color="auto"/>
            <w:bottom w:val="none" w:sz="0" w:space="0" w:color="auto"/>
            <w:right w:val="none" w:sz="0" w:space="0" w:color="auto"/>
          </w:divBdr>
        </w:div>
        <w:div w:id="849374500">
          <w:marLeft w:val="640"/>
          <w:marRight w:val="0"/>
          <w:marTop w:val="0"/>
          <w:marBottom w:val="0"/>
          <w:divBdr>
            <w:top w:val="none" w:sz="0" w:space="0" w:color="auto"/>
            <w:left w:val="none" w:sz="0" w:space="0" w:color="auto"/>
            <w:bottom w:val="none" w:sz="0" w:space="0" w:color="auto"/>
            <w:right w:val="none" w:sz="0" w:space="0" w:color="auto"/>
          </w:divBdr>
        </w:div>
        <w:div w:id="2038193226">
          <w:marLeft w:val="640"/>
          <w:marRight w:val="0"/>
          <w:marTop w:val="0"/>
          <w:marBottom w:val="0"/>
          <w:divBdr>
            <w:top w:val="none" w:sz="0" w:space="0" w:color="auto"/>
            <w:left w:val="none" w:sz="0" w:space="0" w:color="auto"/>
            <w:bottom w:val="none" w:sz="0" w:space="0" w:color="auto"/>
            <w:right w:val="none" w:sz="0" w:space="0" w:color="auto"/>
          </w:divBdr>
        </w:div>
        <w:div w:id="394621453">
          <w:marLeft w:val="640"/>
          <w:marRight w:val="0"/>
          <w:marTop w:val="0"/>
          <w:marBottom w:val="0"/>
          <w:divBdr>
            <w:top w:val="none" w:sz="0" w:space="0" w:color="auto"/>
            <w:left w:val="none" w:sz="0" w:space="0" w:color="auto"/>
            <w:bottom w:val="none" w:sz="0" w:space="0" w:color="auto"/>
            <w:right w:val="none" w:sz="0" w:space="0" w:color="auto"/>
          </w:divBdr>
        </w:div>
        <w:div w:id="585117212">
          <w:marLeft w:val="640"/>
          <w:marRight w:val="0"/>
          <w:marTop w:val="0"/>
          <w:marBottom w:val="0"/>
          <w:divBdr>
            <w:top w:val="none" w:sz="0" w:space="0" w:color="auto"/>
            <w:left w:val="none" w:sz="0" w:space="0" w:color="auto"/>
            <w:bottom w:val="none" w:sz="0" w:space="0" w:color="auto"/>
            <w:right w:val="none" w:sz="0" w:space="0" w:color="auto"/>
          </w:divBdr>
        </w:div>
        <w:div w:id="434331963">
          <w:marLeft w:val="640"/>
          <w:marRight w:val="0"/>
          <w:marTop w:val="0"/>
          <w:marBottom w:val="0"/>
          <w:divBdr>
            <w:top w:val="none" w:sz="0" w:space="0" w:color="auto"/>
            <w:left w:val="none" w:sz="0" w:space="0" w:color="auto"/>
            <w:bottom w:val="none" w:sz="0" w:space="0" w:color="auto"/>
            <w:right w:val="none" w:sz="0" w:space="0" w:color="auto"/>
          </w:divBdr>
        </w:div>
      </w:divsChild>
    </w:div>
    <w:div w:id="1874609803">
      <w:bodyDiv w:val="1"/>
      <w:marLeft w:val="0"/>
      <w:marRight w:val="0"/>
      <w:marTop w:val="0"/>
      <w:marBottom w:val="0"/>
      <w:divBdr>
        <w:top w:val="none" w:sz="0" w:space="0" w:color="auto"/>
        <w:left w:val="none" w:sz="0" w:space="0" w:color="auto"/>
        <w:bottom w:val="none" w:sz="0" w:space="0" w:color="auto"/>
        <w:right w:val="none" w:sz="0" w:space="0" w:color="auto"/>
      </w:divBdr>
      <w:divsChild>
        <w:div w:id="1001348842">
          <w:marLeft w:val="640"/>
          <w:marRight w:val="0"/>
          <w:marTop w:val="0"/>
          <w:marBottom w:val="0"/>
          <w:divBdr>
            <w:top w:val="none" w:sz="0" w:space="0" w:color="auto"/>
            <w:left w:val="none" w:sz="0" w:space="0" w:color="auto"/>
            <w:bottom w:val="none" w:sz="0" w:space="0" w:color="auto"/>
            <w:right w:val="none" w:sz="0" w:space="0" w:color="auto"/>
          </w:divBdr>
        </w:div>
        <w:div w:id="378827069">
          <w:marLeft w:val="640"/>
          <w:marRight w:val="0"/>
          <w:marTop w:val="0"/>
          <w:marBottom w:val="0"/>
          <w:divBdr>
            <w:top w:val="none" w:sz="0" w:space="0" w:color="auto"/>
            <w:left w:val="none" w:sz="0" w:space="0" w:color="auto"/>
            <w:bottom w:val="none" w:sz="0" w:space="0" w:color="auto"/>
            <w:right w:val="none" w:sz="0" w:space="0" w:color="auto"/>
          </w:divBdr>
        </w:div>
        <w:div w:id="243103587">
          <w:marLeft w:val="640"/>
          <w:marRight w:val="0"/>
          <w:marTop w:val="0"/>
          <w:marBottom w:val="0"/>
          <w:divBdr>
            <w:top w:val="none" w:sz="0" w:space="0" w:color="auto"/>
            <w:left w:val="none" w:sz="0" w:space="0" w:color="auto"/>
            <w:bottom w:val="none" w:sz="0" w:space="0" w:color="auto"/>
            <w:right w:val="none" w:sz="0" w:space="0" w:color="auto"/>
          </w:divBdr>
        </w:div>
        <w:div w:id="982778160">
          <w:marLeft w:val="640"/>
          <w:marRight w:val="0"/>
          <w:marTop w:val="0"/>
          <w:marBottom w:val="0"/>
          <w:divBdr>
            <w:top w:val="none" w:sz="0" w:space="0" w:color="auto"/>
            <w:left w:val="none" w:sz="0" w:space="0" w:color="auto"/>
            <w:bottom w:val="none" w:sz="0" w:space="0" w:color="auto"/>
            <w:right w:val="none" w:sz="0" w:space="0" w:color="auto"/>
          </w:divBdr>
        </w:div>
        <w:div w:id="262687566">
          <w:marLeft w:val="640"/>
          <w:marRight w:val="0"/>
          <w:marTop w:val="0"/>
          <w:marBottom w:val="0"/>
          <w:divBdr>
            <w:top w:val="none" w:sz="0" w:space="0" w:color="auto"/>
            <w:left w:val="none" w:sz="0" w:space="0" w:color="auto"/>
            <w:bottom w:val="none" w:sz="0" w:space="0" w:color="auto"/>
            <w:right w:val="none" w:sz="0" w:space="0" w:color="auto"/>
          </w:divBdr>
        </w:div>
        <w:div w:id="1301618297">
          <w:marLeft w:val="640"/>
          <w:marRight w:val="0"/>
          <w:marTop w:val="0"/>
          <w:marBottom w:val="0"/>
          <w:divBdr>
            <w:top w:val="none" w:sz="0" w:space="0" w:color="auto"/>
            <w:left w:val="none" w:sz="0" w:space="0" w:color="auto"/>
            <w:bottom w:val="none" w:sz="0" w:space="0" w:color="auto"/>
            <w:right w:val="none" w:sz="0" w:space="0" w:color="auto"/>
          </w:divBdr>
        </w:div>
        <w:div w:id="252010180">
          <w:marLeft w:val="640"/>
          <w:marRight w:val="0"/>
          <w:marTop w:val="0"/>
          <w:marBottom w:val="0"/>
          <w:divBdr>
            <w:top w:val="none" w:sz="0" w:space="0" w:color="auto"/>
            <w:left w:val="none" w:sz="0" w:space="0" w:color="auto"/>
            <w:bottom w:val="none" w:sz="0" w:space="0" w:color="auto"/>
            <w:right w:val="none" w:sz="0" w:space="0" w:color="auto"/>
          </w:divBdr>
        </w:div>
        <w:div w:id="2025546899">
          <w:marLeft w:val="640"/>
          <w:marRight w:val="0"/>
          <w:marTop w:val="0"/>
          <w:marBottom w:val="0"/>
          <w:divBdr>
            <w:top w:val="none" w:sz="0" w:space="0" w:color="auto"/>
            <w:left w:val="none" w:sz="0" w:space="0" w:color="auto"/>
            <w:bottom w:val="none" w:sz="0" w:space="0" w:color="auto"/>
            <w:right w:val="none" w:sz="0" w:space="0" w:color="auto"/>
          </w:divBdr>
        </w:div>
        <w:div w:id="1947032377">
          <w:marLeft w:val="640"/>
          <w:marRight w:val="0"/>
          <w:marTop w:val="0"/>
          <w:marBottom w:val="0"/>
          <w:divBdr>
            <w:top w:val="none" w:sz="0" w:space="0" w:color="auto"/>
            <w:left w:val="none" w:sz="0" w:space="0" w:color="auto"/>
            <w:bottom w:val="none" w:sz="0" w:space="0" w:color="auto"/>
            <w:right w:val="none" w:sz="0" w:space="0" w:color="auto"/>
          </w:divBdr>
        </w:div>
        <w:div w:id="188839844">
          <w:marLeft w:val="640"/>
          <w:marRight w:val="0"/>
          <w:marTop w:val="0"/>
          <w:marBottom w:val="0"/>
          <w:divBdr>
            <w:top w:val="none" w:sz="0" w:space="0" w:color="auto"/>
            <w:left w:val="none" w:sz="0" w:space="0" w:color="auto"/>
            <w:bottom w:val="none" w:sz="0" w:space="0" w:color="auto"/>
            <w:right w:val="none" w:sz="0" w:space="0" w:color="auto"/>
          </w:divBdr>
        </w:div>
        <w:div w:id="854733923">
          <w:marLeft w:val="640"/>
          <w:marRight w:val="0"/>
          <w:marTop w:val="0"/>
          <w:marBottom w:val="0"/>
          <w:divBdr>
            <w:top w:val="none" w:sz="0" w:space="0" w:color="auto"/>
            <w:left w:val="none" w:sz="0" w:space="0" w:color="auto"/>
            <w:bottom w:val="none" w:sz="0" w:space="0" w:color="auto"/>
            <w:right w:val="none" w:sz="0" w:space="0" w:color="auto"/>
          </w:divBdr>
        </w:div>
        <w:div w:id="1563445034">
          <w:marLeft w:val="640"/>
          <w:marRight w:val="0"/>
          <w:marTop w:val="0"/>
          <w:marBottom w:val="0"/>
          <w:divBdr>
            <w:top w:val="none" w:sz="0" w:space="0" w:color="auto"/>
            <w:left w:val="none" w:sz="0" w:space="0" w:color="auto"/>
            <w:bottom w:val="none" w:sz="0" w:space="0" w:color="auto"/>
            <w:right w:val="none" w:sz="0" w:space="0" w:color="auto"/>
          </w:divBdr>
        </w:div>
        <w:div w:id="1690638483">
          <w:marLeft w:val="640"/>
          <w:marRight w:val="0"/>
          <w:marTop w:val="0"/>
          <w:marBottom w:val="0"/>
          <w:divBdr>
            <w:top w:val="none" w:sz="0" w:space="0" w:color="auto"/>
            <w:left w:val="none" w:sz="0" w:space="0" w:color="auto"/>
            <w:bottom w:val="none" w:sz="0" w:space="0" w:color="auto"/>
            <w:right w:val="none" w:sz="0" w:space="0" w:color="auto"/>
          </w:divBdr>
        </w:div>
        <w:div w:id="1804614054">
          <w:marLeft w:val="640"/>
          <w:marRight w:val="0"/>
          <w:marTop w:val="0"/>
          <w:marBottom w:val="0"/>
          <w:divBdr>
            <w:top w:val="none" w:sz="0" w:space="0" w:color="auto"/>
            <w:left w:val="none" w:sz="0" w:space="0" w:color="auto"/>
            <w:bottom w:val="none" w:sz="0" w:space="0" w:color="auto"/>
            <w:right w:val="none" w:sz="0" w:space="0" w:color="auto"/>
          </w:divBdr>
        </w:div>
        <w:div w:id="1001352529">
          <w:marLeft w:val="640"/>
          <w:marRight w:val="0"/>
          <w:marTop w:val="0"/>
          <w:marBottom w:val="0"/>
          <w:divBdr>
            <w:top w:val="none" w:sz="0" w:space="0" w:color="auto"/>
            <w:left w:val="none" w:sz="0" w:space="0" w:color="auto"/>
            <w:bottom w:val="none" w:sz="0" w:space="0" w:color="auto"/>
            <w:right w:val="none" w:sz="0" w:space="0" w:color="auto"/>
          </w:divBdr>
        </w:div>
        <w:div w:id="2103643654">
          <w:marLeft w:val="640"/>
          <w:marRight w:val="0"/>
          <w:marTop w:val="0"/>
          <w:marBottom w:val="0"/>
          <w:divBdr>
            <w:top w:val="none" w:sz="0" w:space="0" w:color="auto"/>
            <w:left w:val="none" w:sz="0" w:space="0" w:color="auto"/>
            <w:bottom w:val="none" w:sz="0" w:space="0" w:color="auto"/>
            <w:right w:val="none" w:sz="0" w:space="0" w:color="auto"/>
          </w:divBdr>
        </w:div>
        <w:div w:id="1879466824">
          <w:marLeft w:val="640"/>
          <w:marRight w:val="0"/>
          <w:marTop w:val="0"/>
          <w:marBottom w:val="0"/>
          <w:divBdr>
            <w:top w:val="none" w:sz="0" w:space="0" w:color="auto"/>
            <w:left w:val="none" w:sz="0" w:space="0" w:color="auto"/>
            <w:bottom w:val="none" w:sz="0" w:space="0" w:color="auto"/>
            <w:right w:val="none" w:sz="0" w:space="0" w:color="auto"/>
          </w:divBdr>
        </w:div>
        <w:div w:id="162164420">
          <w:marLeft w:val="640"/>
          <w:marRight w:val="0"/>
          <w:marTop w:val="0"/>
          <w:marBottom w:val="0"/>
          <w:divBdr>
            <w:top w:val="none" w:sz="0" w:space="0" w:color="auto"/>
            <w:left w:val="none" w:sz="0" w:space="0" w:color="auto"/>
            <w:bottom w:val="none" w:sz="0" w:space="0" w:color="auto"/>
            <w:right w:val="none" w:sz="0" w:space="0" w:color="auto"/>
          </w:divBdr>
        </w:div>
        <w:div w:id="713502592">
          <w:marLeft w:val="640"/>
          <w:marRight w:val="0"/>
          <w:marTop w:val="0"/>
          <w:marBottom w:val="0"/>
          <w:divBdr>
            <w:top w:val="none" w:sz="0" w:space="0" w:color="auto"/>
            <w:left w:val="none" w:sz="0" w:space="0" w:color="auto"/>
            <w:bottom w:val="none" w:sz="0" w:space="0" w:color="auto"/>
            <w:right w:val="none" w:sz="0" w:space="0" w:color="auto"/>
          </w:divBdr>
        </w:div>
        <w:div w:id="1840846071">
          <w:marLeft w:val="640"/>
          <w:marRight w:val="0"/>
          <w:marTop w:val="0"/>
          <w:marBottom w:val="0"/>
          <w:divBdr>
            <w:top w:val="none" w:sz="0" w:space="0" w:color="auto"/>
            <w:left w:val="none" w:sz="0" w:space="0" w:color="auto"/>
            <w:bottom w:val="none" w:sz="0" w:space="0" w:color="auto"/>
            <w:right w:val="none" w:sz="0" w:space="0" w:color="auto"/>
          </w:divBdr>
        </w:div>
      </w:divsChild>
    </w:div>
    <w:div w:id="1940600986">
      <w:bodyDiv w:val="1"/>
      <w:marLeft w:val="0"/>
      <w:marRight w:val="0"/>
      <w:marTop w:val="0"/>
      <w:marBottom w:val="0"/>
      <w:divBdr>
        <w:top w:val="none" w:sz="0" w:space="0" w:color="auto"/>
        <w:left w:val="none" w:sz="0" w:space="0" w:color="auto"/>
        <w:bottom w:val="none" w:sz="0" w:space="0" w:color="auto"/>
        <w:right w:val="none" w:sz="0" w:space="0" w:color="auto"/>
      </w:divBdr>
      <w:divsChild>
        <w:div w:id="850602321">
          <w:marLeft w:val="640"/>
          <w:marRight w:val="0"/>
          <w:marTop w:val="0"/>
          <w:marBottom w:val="0"/>
          <w:divBdr>
            <w:top w:val="none" w:sz="0" w:space="0" w:color="auto"/>
            <w:left w:val="none" w:sz="0" w:space="0" w:color="auto"/>
            <w:bottom w:val="none" w:sz="0" w:space="0" w:color="auto"/>
            <w:right w:val="none" w:sz="0" w:space="0" w:color="auto"/>
          </w:divBdr>
        </w:div>
        <w:div w:id="682435664">
          <w:marLeft w:val="640"/>
          <w:marRight w:val="0"/>
          <w:marTop w:val="0"/>
          <w:marBottom w:val="0"/>
          <w:divBdr>
            <w:top w:val="none" w:sz="0" w:space="0" w:color="auto"/>
            <w:left w:val="none" w:sz="0" w:space="0" w:color="auto"/>
            <w:bottom w:val="none" w:sz="0" w:space="0" w:color="auto"/>
            <w:right w:val="none" w:sz="0" w:space="0" w:color="auto"/>
          </w:divBdr>
        </w:div>
        <w:div w:id="542836149">
          <w:marLeft w:val="640"/>
          <w:marRight w:val="0"/>
          <w:marTop w:val="0"/>
          <w:marBottom w:val="0"/>
          <w:divBdr>
            <w:top w:val="none" w:sz="0" w:space="0" w:color="auto"/>
            <w:left w:val="none" w:sz="0" w:space="0" w:color="auto"/>
            <w:bottom w:val="none" w:sz="0" w:space="0" w:color="auto"/>
            <w:right w:val="none" w:sz="0" w:space="0" w:color="auto"/>
          </w:divBdr>
        </w:div>
        <w:div w:id="1635524438">
          <w:marLeft w:val="640"/>
          <w:marRight w:val="0"/>
          <w:marTop w:val="0"/>
          <w:marBottom w:val="0"/>
          <w:divBdr>
            <w:top w:val="none" w:sz="0" w:space="0" w:color="auto"/>
            <w:left w:val="none" w:sz="0" w:space="0" w:color="auto"/>
            <w:bottom w:val="none" w:sz="0" w:space="0" w:color="auto"/>
            <w:right w:val="none" w:sz="0" w:space="0" w:color="auto"/>
          </w:divBdr>
        </w:div>
        <w:div w:id="1126460719">
          <w:marLeft w:val="640"/>
          <w:marRight w:val="0"/>
          <w:marTop w:val="0"/>
          <w:marBottom w:val="0"/>
          <w:divBdr>
            <w:top w:val="none" w:sz="0" w:space="0" w:color="auto"/>
            <w:left w:val="none" w:sz="0" w:space="0" w:color="auto"/>
            <w:bottom w:val="none" w:sz="0" w:space="0" w:color="auto"/>
            <w:right w:val="none" w:sz="0" w:space="0" w:color="auto"/>
          </w:divBdr>
        </w:div>
        <w:div w:id="1824731725">
          <w:marLeft w:val="640"/>
          <w:marRight w:val="0"/>
          <w:marTop w:val="0"/>
          <w:marBottom w:val="0"/>
          <w:divBdr>
            <w:top w:val="none" w:sz="0" w:space="0" w:color="auto"/>
            <w:left w:val="none" w:sz="0" w:space="0" w:color="auto"/>
            <w:bottom w:val="none" w:sz="0" w:space="0" w:color="auto"/>
            <w:right w:val="none" w:sz="0" w:space="0" w:color="auto"/>
          </w:divBdr>
        </w:div>
        <w:div w:id="957219048">
          <w:marLeft w:val="640"/>
          <w:marRight w:val="0"/>
          <w:marTop w:val="0"/>
          <w:marBottom w:val="0"/>
          <w:divBdr>
            <w:top w:val="none" w:sz="0" w:space="0" w:color="auto"/>
            <w:left w:val="none" w:sz="0" w:space="0" w:color="auto"/>
            <w:bottom w:val="none" w:sz="0" w:space="0" w:color="auto"/>
            <w:right w:val="none" w:sz="0" w:space="0" w:color="auto"/>
          </w:divBdr>
        </w:div>
        <w:div w:id="1418209076">
          <w:marLeft w:val="640"/>
          <w:marRight w:val="0"/>
          <w:marTop w:val="0"/>
          <w:marBottom w:val="0"/>
          <w:divBdr>
            <w:top w:val="none" w:sz="0" w:space="0" w:color="auto"/>
            <w:left w:val="none" w:sz="0" w:space="0" w:color="auto"/>
            <w:bottom w:val="none" w:sz="0" w:space="0" w:color="auto"/>
            <w:right w:val="none" w:sz="0" w:space="0" w:color="auto"/>
          </w:divBdr>
        </w:div>
        <w:div w:id="69234868">
          <w:marLeft w:val="640"/>
          <w:marRight w:val="0"/>
          <w:marTop w:val="0"/>
          <w:marBottom w:val="0"/>
          <w:divBdr>
            <w:top w:val="none" w:sz="0" w:space="0" w:color="auto"/>
            <w:left w:val="none" w:sz="0" w:space="0" w:color="auto"/>
            <w:bottom w:val="none" w:sz="0" w:space="0" w:color="auto"/>
            <w:right w:val="none" w:sz="0" w:space="0" w:color="auto"/>
          </w:divBdr>
        </w:div>
        <w:div w:id="1175146677">
          <w:marLeft w:val="640"/>
          <w:marRight w:val="0"/>
          <w:marTop w:val="0"/>
          <w:marBottom w:val="0"/>
          <w:divBdr>
            <w:top w:val="none" w:sz="0" w:space="0" w:color="auto"/>
            <w:left w:val="none" w:sz="0" w:space="0" w:color="auto"/>
            <w:bottom w:val="none" w:sz="0" w:space="0" w:color="auto"/>
            <w:right w:val="none" w:sz="0" w:space="0" w:color="auto"/>
          </w:divBdr>
        </w:div>
        <w:div w:id="288820579">
          <w:marLeft w:val="640"/>
          <w:marRight w:val="0"/>
          <w:marTop w:val="0"/>
          <w:marBottom w:val="0"/>
          <w:divBdr>
            <w:top w:val="none" w:sz="0" w:space="0" w:color="auto"/>
            <w:left w:val="none" w:sz="0" w:space="0" w:color="auto"/>
            <w:bottom w:val="none" w:sz="0" w:space="0" w:color="auto"/>
            <w:right w:val="none" w:sz="0" w:space="0" w:color="auto"/>
          </w:divBdr>
        </w:div>
        <w:div w:id="1017459967">
          <w:marLeft w:val="640"/>
          <w:marRight w:val="0"/>
          <w:marTop w:val="0"/>
          <w:marBottom w:val="0"/>
          <w:divBdr>
            <w:top w:val="none" w:sz="0" w:space="0" w:color="auto"/>
            <w:left w:val="none" w:sz="0" w:space="0" w:color="auto"/>
            <w:bottom w:val="none" w:sz="0" w:space="0" w:color="auto"/>
            <w:right w:val="none" w:sz="0" w:space="0" w:color="auto"/>
          </w:divBdr>
        </w:div>
        <w:div w:id="1565263362">
          <w:marLeft w:val="640"/>
          <w:marRight w:val="0"/>
          <w:marTop w:val="0"/>
          <w:marBottom w:val="0"/>
          <w:divBdr>
            <w:top w:val="none" w:sz="0" w:space="0" w:color="auto"/>
            <w:left w:val="none" w:sz="0" w:space="0" w:color="auto"/>
            <w:bottom w:val="none" w:sz="0" w:space="0" w:color="auto"/>
            <w:right w:val="none" w:sz="0" w:space="0" w:color="auto"/>
          </w:divBdr>
        </w:div>
        <w:div w:id="1009330286">
          <w:marLeft w:val="640"/>
          <w:marRight w:val="0"/>
          <w:marTop w:val="0"/>
          <w:marBottom w:val="0"/>
          <w:divBdr>
            <w:top w:val="none" w:sz="0" w:space="0" w:color="auto"/>
            <w:left w:val="none" w:sz="0" w:space="0" w:color="auto"/>
            <w:bottom w:val="none" w:sz="0" w:space="0" w:color="auto"/>
            <w:right w:val="none" w:sz="0" w:space="0" w:color="auto"/>
          </w:divBdr>
        </w:div>
        <w:div w:id="585268099">
          <w:marLeft w:val="640"/>
          <w:marRight w:val="0"/>
          <w:marTop w:val="0"/>
          <w:marBottom w:val="0"/>
          <w:divBdr>
            <w:top w:val="none" w:sz="0" w:space="0" w:color="auto"/>
            <w:left w:val="none" w:sz="0" w:space="0" w:color="auto"/>
            <w:bottom w:val="none" w:sz="0" w:space="0" w:color="auto"/>
            <w:right w:val="none" w:sz="0" w:space="0" w:color="auto"/>
          </w:divBdr>
        </w:div>
        <w:div w:id="61829951">
          <w:marLeft w:val="640"/>
          <w:marRight w:val="0"/>
          <w:marTop w:val="0"/>
          <w:marBottom w:val="0"/>
          <w:divBdr>
            <w:top w:val="none" w:sz="0" w:space="0" w:color="auto"/>
            <w:left w:val="none" w:sz="0" w:space="0" w:color="auto"/>
            <w:bottom w:val="none" w:sz="0" w:space="0" w:color="auto"/>
            <w:right w:val="none" w:sz="0" w:space="0" w:color="auto"/>
          </w:divBdr>
        </w:div>
        <w:div w:id="1629892958">
          <w:marLeft w:val="640"/>
          <w:marRight w:val="0"/>
          <w:marTop w:val="0"/>
          <w:marBottom w:val="0"/>
          <w:divBdr>
            <w:top w:val="none" w:sz="0" w:space="0" w:color="auto"/>
            <w:left w:val="none" w:sz="0" w:space="0" w:color="auto"/>
            <w:bottom w:val="none" w:sz="0" w:space="0" w:color="auto"/>
            <w:right w:val="none" w:sz="0" w:space="0" w:color="auto"/>
          </w:divBdr>
        </w:div>
        <w:div w:id="866138775">
          <w:marLeft w:val="640"/>
          <w:marRight w:val="0"/>
          <w:marTop w:val="0"/>
          <w:marBottom w:val="0"/>
          <w:divBdr>
            <w:top w:val="none" w:sz="0" w:space="0" w:color="auto"/>
            <w:left w:val="none" w:sz="0" w:space="0" w:color="auto"/>
            <w:bottom w:val="none" w:sz="0" w:space="0" w:color="auto"/>
            <w:right w:val="none" w:sz="0" w:space="0" w:color="auto"/>
          </w:divBdr>
        </w:div>
        <w:div w:id="1087726429">
          <w:marLeft w:val="640"/>
          <w:marRight w:val="0"/>
          <w:marTop w:val="0"/>
          <w:marBottom w:val="0"/>
          <w:divBdr>
            <w:top w:val="none" w:sz="0" w:space="0" w:color="auto"/>
            <w:left w:val="none" w:sz="0" w:space="0" w:color="auto"/>
            <w:bottom w:val="none" w:sz="0" w:space="0" w:color="auto"/>
            <w:right w:val="none" w:sz="0" w:space="0" w:color="auto"/>
          </w:divBdr>
        </w:div>
        <w:div w:id="4132557">
          <w:marLeft w:val="640"/>
          <w:marRight w:val="0"/>
          <w:marTop w:val="0"/>
          <w:marBottom w:val="0"/>
          <w:divBdr>
            <w:top w:val="none" w:sz="0" w:space="0" w:color="auto"/>
            <w:left w:val="none" w:sz="0" w:space="0" w:color="auto"/>
            <w:bottom w:val="none" w:sz="0" w:space="0" w:color="auto"/>
            <w:right w:val="none" w:sz="0" w:space="0" w:color="auto"/>
          </w:divBdr>
        </w:div>
        <w:div w:id="2009672211">
          <w:marLeft w:val="640"/>
          <w:marRight w:val="0"/>
          <w:marTop w:val="0"/>
          <w:marBottom w:val="0"/>
          <w:divBdr>
            <w:top w:val="none" w:sz="0" w:space="0" w:color="auto"/>
            <w:left w:val="none" w:sz="0" w:space="0" w:color="auto"/>
            <w:bottom w:val="none" w:sz="0" w:space="0" w:color="auto"/>
            <w:right w:val="none" w:sz="0" w:space="0" w:color="auto"/>
          </w:divBdr>
        </w:div>
        <w:div w:id="844174895">
          <w:marLeft w:val="640"/>
          <w:marRight w:val="0"/>
          <w:marTop w:val="0"/>
          <w:marBottom w:val="0"/>
          <w:divBdr>
            <w:top w:val="none" w:sz="0" w:space="0" w:color="auto"/>
            <w:left w:val="none" w:sz="0" w:space="0" w:color="auto"/>
            <w:bottom w:val="none" w:sz="0" w:space="0" w:color="auto"/>
            <w:right w:val="none" w:sz="0" w:space="0" w:color="auto"/>
          </w:divBdr>
        </w:div>
        <w:div w:id="1690057275">
          <w:marLeft w:val="640"/>
          <w:marRight w:val="0"/>
          <w:marTop w:val="0"/>
          <w:marBottom w:val="0"/>
          <w:divBdr>
            <w:top w:val="none" w:sz="0" w:space="0" w:color="auto"/>
            <w:left w:val="none" w:sz="0" w:space="0" w:color="auto"/>
            <w:bottom w:val="none" w:sz="0" w:space="0" w:color="auto"/>
            <w:right w:val="none" w:sz="0" w:space="0" w:color="auto"/>
          </w:divBdr>
        </w:div>
        <w:div w:id="785078039">
          <w:marLeft w:val="640"/>
          <w:marRight w:val="0"/>
          <w:marTop w:val="0"/>
          <w:marBottom w:val="0"/>
          <w:divBdr>
            <w:top w:val="none" w:sz="0" w:space="0" w:color="auto"/>
            <w:left w:val="none" w:sz="0" w:space="0" w:color="auto"/>
            <w:bottom w:val="none" w:sz="0" w:space="0" w:color="auto"/>
            <w:right w:val="none" w:sz="0" w:space="0" w:color="auto"/>
          </w:divBdr>
        </w:div>
        <w:div w:id="301692667">
          <w:marLeft w:val="640"/>
          <w:marRight w:val="0"/>
          <w:marTop w:val="0"/>
          <w:marBottom w:val="0"/>
          <w:divBdr>
            <w:top w:val="none" w:sz="0" w:space="0" w:color="auto"/>
            <w:left w:val="none" w:sz="0" w:space="0" w:color="auto"/>
            <w:bottom w:val="none" w:sz="0" w:space="0" w:color="auto"/>
            <w:right w:val="none" w:sz="0" w:space="0" w:color="auto"/>
          </w:divBdr>
        </w:div>
        <w:div w:id="1191187369">
          <w:marLeft w:val="640"/>
          <w:marRight w:val="0"/>
          <w:marTop w:val="0"/>
          <w:marBottom w:val="0"/>
          <w:divBdr>
            <w:top w:val="none" w:sz="0" w:space="0" w:color="auto"/>
            <w:left w:val="none" w:sz="0" w:space="0" w:color="auto"/>
            <w:bottom w:val="none" w:sz="0" w:space="0" w:color="auto"/>
            <w:right w:val="none" w:sz="0" w:space="0" w:color="auto"/>
          </w:divBdr>
        </w:div>
        <w:div w:id="1029916698">
          <w:marLeft w:val="640"/>
          <w:marRight w:val="0"/>
          <w:marTop w:val="0"/>
          <w:marBottom w:val="0"/>
          <w:divBdr>
            <w:top w:val="none" w:sz="0" w:space="0" w:color="auto"/>
            <w:left w:val="none" w:sz="0" w:space="0" w:color="auto"/>
            <w:bottom w:val="none" w:sz="0" w:space="0" w:color="auto"/>
            <w:right w:val="none" w:sz="0" w:space="0" w:color="auto"/>
          </w:divBdr>
        </w:div>
        <w:div w:id="162017108">
          <w:marLeft w:val="640"/>
          <w:marRight w:val="0"/>
          <w:marTop w:val="0"/>
          <w:marBottom w:val="0"/>
          <w:divBdr>
            <w:top w:val="none" w:sz="0" w:space="0" w:color="auto"/>
            <w:left w:val="none" w:sz="0" w:space="0" w:color="auto"/>
            <w:bottom w:val="none" w:sz="0" w:space="0" w:color="auto"/>
            <w:right w:val="none" w:sz="0" w:space="0" w:color="auto"/>
          </w:divBdr>
        </w:div>
        <w:div w:id="1145002386">
          <w:marLeft w:val="640"/>
          <w:marRight w:val="0"/>
          <w:marTop w:val="0"/>
          <w:marBottom w:val="0"/>
          <w:divBdr>
            <w:top w:val="none" w:sz="0" w:space="0" w:color="auto"/>
            <w:left w:val="none" w:sz="0" w:space="0" w:color="auto"/>
            <w:bottom w:val="none" w:sz="0" w:space="0" w:color="auto"/>
            <w:right w:val="none" w:sz="0" w:space="0" w:color="auto"/>
          </w:divBdr>
        </w:div>
        <w:div w:id="905409948">
          <w:marLeft w:val="640"/>
          <w:marRight w:val="0"/>
          <w:marTop w:val="0"/>
          <w:marBottom w:val="0"/>
          <w:divBdr>
            <w:top w:val="none" w:sz="0" w:space="0" w:color="auto"/>
            <w:left w:val="none" w:sz="0" w:space="0" w:color="auto"/>
            <w:bottom w:val="none" w:sz="0" w:space="0" w:color="auto"/>
            <w:right w:val="none" w:sz="0" w:space="0" w:color="auto"/>
          </w:divBdr>
        </w:div>
        <w:div w:id="1843277620">
          <w:marLeft w:val="640"/>
          <w:marRight w:val="0"/>
          <w:marTop w:val="0"/>
          <w:marBottom w:val="0"/>
          <w:divBdr>
            <w:top w:val="none" w:sz="0" w:space="0" w:color="auto"/>
            <w:left w:val="none" w:sz="0" w:space="0" w:color="auto"/>
            <w:bottom w:val="none" w:sz="0" w:space="0" w:color="auto"/>
            <w:right w:val="none" w:sz="0" w:space="0" w:color="auto"/>
          </w:divBdr>
        </w:div>
        <w:div w:id="923221222">
          <w:marLeft w:val="640"/>
          <w:marRight w:val="0"/>
          <w:marTop w:val="0"/>
          <w:marBottom w:val="0"/>
          <w:divBdr>
            <w:top w:val="none" w:sz="0" w:space="0" w:color="auto"/>
            <w:left w:val="none" w:sz="0" w:space="0" w:color="auto"/>
            <w:bottom w:val="none" w:sz="0" w:space="0" w:color="auto"/>
            <w:right w:val="none" w:sz="0" w:space="0" w:color="auto"/>
          </w:divBdr>
        </w:div>
        <w:div w:id="1856770183">
          <w:marLeft w:val="640"/>
          <w:marRight w:val="0"/>
          <w:marTop w:val="0"/>
          <w:marBottom w:val="0"/>
          <w:divBdr>
            <w:top w:val="none" w:sz="0" w:space="0" w:color="auto"/>
            <w:left w:val="none" w:sz="0" w:space="0" w:color="auto"/>
            <w:bottom w:val="none" w:sz="0" w:space="0" w:color="auto"/>
            <w:right w:val="none" w:sz="0" w:space="0" w:color="auto"/>
          </w:divBdr>
        </w:div>
      </w:divsChild>
    </w:div>
    <w:div w:id="1943956005">
      <w:bodyDiv w:val="1"/>
      <w:marLeft w:val="0"/>
      <w:marRight w:val="0"/>
      <w:marTop w:val="0"/>
      <w:marBottom w:val="0"/>
      <w:divBdr>
        <w:top w:val="none" w:sz="0" w:space="0" w:color="auto"/>
        <w:left w:val="none" w:sz="0" w:space="0" w:color="auto"/>
        <w:bottom w:val="none" w:sz="0" w:space="0" w:color="auto"/>
        <w:right w:val="none" w:sz="0" w:space="0" w:color="auto"/>
      </w:divBdr>
    </w:div>
    <w:div w:id="2008361359">
      <w:bodyDiv w:val="1"/>
      <w:marLeft w:val="0"/>
      <w:marRight w:val="0"/>
      <w:marTop w:val="0"/>
      <w:marBottom w:val="0"/>
      <w:divBdr>
        <w:top w:val="none" w:sz="0" w:space="0" w:color="auto"/>
        <w:left w:val="none" w:sz="0" w:space="0" w:color="auto"/>
        <w:bottom w:val="none" w:sz="0" w:space="0" w:color="auto"/>
        <w:right w:val="none" w:sz="0" w:space="0" w:color="auto"/>
      </w:divBdr>
      <w:divsChild>
        <w:div w:id="1440686962">
          <w:marLeft w:val="640"/>
          <w:marRight w:val="0"/>
          <w:marTop w:val="0"/>
          <w:marBottom w:val="0"/>
          <w:divBdr>
            <w:top w:val="none" w:sz="0" w:space="0" w:color="auto"/>
            <w:left w:val="none" w:sz="0" w:space="0" w:color="auto"/>
            <w:bottom w:val="none" w:sz="0" w:space="0" w:color="auto"/>
            <w:right w:val="none" w:sz="0" w:space="0" w:color="auto"/>
          </w:divBdr>
        </w:div>
        <w:div w:id="2069186875">
          <w:marLeft w:val="640"/>
          <w:marRight w:val="0"/>
          <w:marTop w:val="0"/>
          <w:marBottom w:val="0"/>
          <w:divBdr>
            <w:top w:val="none" w:sz="0" w:space="0" w:color="auto"/>
            <w:left w:val="none" w:sz="0" w:space="0" w:color="auto"/>
            <w:bottom w:val="none" w:sz="0" w:space="0" w:color="auto"/>
            <w:right w:val="none" w:sz="0" w:space="0" w:color="auto"/>
          </w:divBdr>
        </w:div>
        <w:div w:id="1328512062">
          <w:marLeft w:val="640"/>
          <w:marRight w:val="0"/>
          <w:marTop w:val="0"/>
          <w:marBottom w:val="0"/>
          <w:divBdr>
            <w:top w:val="none" w:sz="0" w:space="0" w:color="auto"/>
            <w:left w:val="none" w:sz="0" w:space="0" w:color="auto"/>
            <w:bottom w:val="none" w:sz="0" w:space="0" w:color="auto"/>
            <w:right w:val="none" w:sz="0" w:space="0" w:color="auto"/>
          </w:divBdr>
        </w:div>
        <w:div w:id="1001008568">
          <w:marLeft w:val="640"/>
          <w:marRight w:val="0"/>
          <w:marTop w:val="0"/>
          <w:marBottom w:val="0"/>
          <w:divBdr>
            <w:top w:val="none" w:sz="0" w:space="0" w:color="auto"/>
            <w:left w:val="none" w:sz="0" w:space="0" w:color="auto"/>
            <w:bottom w:val="none" w:sz="0" w:space="0" w:color="auto"/>
            <w:right w:val="none" w:sz="0" w:space="0" w:color="auto"/>
          </w:divBdr>
        </w:div>
        <w:div w:id="303387031">
          <w:marLeft w:val="640"/>
          <w:marRight w:val="0"/>
          <w:marTop w:val="0"/>
          <w:marBottom w:val="0"/>
          <w:divBdr>
            <w:top w:val="none" w:sz="0" w:space="0" w:color="auto"/>
            <w:left w:val="none" w:sz="0" w:space="0" w:color="auto"/>
            <w:bottom w:val="none" w:sz="0" w:space="0" w:color="auto"/>
            <w:right w:val="none" w:sz="0" w:space="0" w:color="auto"/>
          </w:divBdr>
        </w:div>
        <w:div w:id="237058126">
          <w:marLeft w:val="640"/>
          <w:marRight w:val="0"/>
          <w:marTop w:val="0"/>
          <w:marBottom w:val="0"/>
          <w:divBdr>
            <w:top w:val="none" w:sz="0" w:space="0" w:color="auto"/>
            <w:left w:val="none" w:sz="0" w:space="0" w:color="auto"/>
            <w:bottom w:val="none" w:sz="0" w:space="0" w:color="auto"/>
            <w:right w:val="none" w:sz="0" w:space="0" w:color="auto"/>
          </w:divBdr>
        </w:div>
        <w:div w:id="1311517415">
          <w:marLeft w:val="640"/>
          <w:marRight w:val="0"/>
          <w:marTop w:val="0"/>
          <w:marBottom w:val="0"/>
          <w:divBdr>
            <w:top w:val="none" w:sz="0" w:space="0" w:color="auto"/>
            <w:left w:val="none" w:sz="0" w:space="0" w:color="auto"/>
            <w:bottom w:val="none" w:sz="0" w:space="0" w:color="auto"/>
            <w:right w:val="none" w:sz="0" w:space="0" w:color="auto"/>
          </w:divBdr>
        </w:div>
        <w:div w:id="748884978">
          <w:marLeft w:val="640"/>
          <w:marRight w:val="0"/>
          <w:marTop w:val="0"/>
          <w:marBottom w:val="0"/>
          <w:divBdr>
            <w:top w:val="none" w:sz="0" w:space="0" w:color="auto"/>
            <w:left w:val="none" w:sz="0" w:space="0" w:color="auto"/>
            <w:bottom w:val="none" w:sz="0" w:space="0" w:color="auto"/>
            <w:right w:val="none" w:sz="0" w:space="0" w:color="auto"/>
          </w:divBdr>
        </w:div>
        <w:div w:id="1969317817">
          <w:marLeft w:val="640"/>
          <w:marRight w:val="0"/>
          <w:marTop w:val="0"/>
          <w:marBottom w:val="0"/>
          <w:divBdr>
            <w:top w:val="none" w:sz="0" w:space="0" w:color="auto"/>
            <w:left w:val="none" w:sz="0" w:space="0" w:color="auto"/>
            <w:bottom w:val="none" w:sz="0" w:space="0" w:color="auto"/>
            <w:right w:val="none" w:sz="0" w:space="0" w:color="auto"/>
          </w:divBdr>
        </w:div>
        <w:div w:id="80953260">
          <w:marLeft w:val="640"/>
          <w:marRight w:val="0"/>
          <w:marTop w:val="0"/>
          <w:marBottom w:val="0"/>
          <w:divBdr>
            <w:top w:val="none" w:sz="0" w:space="0" w:color="auto"/>
            <w:left w:val="none" w:sz="0" w:space="0" w:color="auto"/>
            <w:bottom w:val="none" w:sz="0" w:space="0" w:color="auto"/>
            <w:right w:val="none" w:sz="0" w:space="0" w:color="auto"/>
          </w:divBdr>
        </w:div>
        <w:div w:id="245187534">
          <w:marLeft w:val="640"/>
          <w:marRight w:val="0"/>
          <w:marTop w:val="0"/>
          <w:marBottom w:val="0"/>
          <w:divBdr>
            <w:top w:val="none" w:sz="0" w:space="0" w:color="auto"/>
            <w:left w:val="none" w:sz="0" w:space="0" w:color="auto"/>
            <w:bottom w:val="none" w:sz="0" w:space="0" w:color="auto"/>
            <w:right w:val="none" w:sz="0" w:space="0" w:color="auto"/>
          </w:divBdr>
        </w:div>
        <w:div w:id="817958272">
          <w:marLeft w:val="640"/>
          <w:marRight w:val="0"/>
          <w:marTop w:val="0"/>
          <w:marBottom w:val="0"/>
          <w:divBdr>
            <w:top w:val="none" w:sz="0" w:space="0" w:color="auto"/>
            <w:left w:val="none" w:sz="0" w:space="0" w:color="auto"/>
            <w:bottom w:val="none" w:sz="0" w:space="0" w:color="auto"/>
            <w:right w:val="none" w:sz="0" w:space="0" w:color="auto"/>
          </w:divBdr>
        </w:div>
        <w:div w:id="396437101">
          <w:marLeft w:val="640"/>
          <w:marRight w:val="0"/>
          <w:marTop w:val="0"/>
          <w:marBottom w:val="0"/>
          <w:divBdr>
            <w:top w:val="none" w:sz="0" w:space="0" w:color="auto"/>
            <w:left w:val="none" w:sz="0" w:space="0" w:color="auto"/>
            <w:bottom w:val="none" w:sz="0" w:space="0" w:color="auto"/>
            <w:right w:val="none" w:sz="0" w:space="0" w:color="auto"/>
          </w:divBdr>
        </w:div>
        <w:div w:id="604770352">
          <w:marLeft w:val="640"/>
          <w:marRight w:val="0"/>
          <w:marTop w:val="0"/>
          <w:marBottom w:val="0"/>
          <w:divBdr>
            <w:top w:val="none" w:sz="0" w:space="0" w:color="auto"/>
            <w:left w:val="none" w:sz="0" w:space="0" w:color="auto"/>
            <w:bottom w:val="none" w:sz="0" w:space="0" w:color="auto"/>
            <w:right w:val="none" w:sz="0" w:space="0" w:color="auto"/>
          </w:divBdr>
        </w:div>
        <w:div w:id="765080225">
          <w:marLeft w:val="640"/>
          <w:marRight w:val="0"/>
          <w:marTop w:val="0"/>
          <w:marBottom w:val="0"/>
          <w:divBdr>
            <w:top w:val="none" w:sz="0" w:space="0" w:color="auto"/>
            <w:left w:val="none" w:sz="0" w:space="0" w:color="auto"/>
            <w:bottom w:val="none" w:sz="0" w:space="0" w:color="auto"/>
            <w:right w:val="none" w:sz="0" w:space="0" w:color="auto"/>
          </w:divBdr>
        </w:div>
        <w:div w:id="1285500681">
          <w:marLeft w:val="640"/>
          <w:marRight w:val="0"/>
          <w:marTop w:val="0"/>
          <w:marBottom w:val="0"/>
          <w:divBdr>
            <w:top w:val="none" w:sz="0" w:space="0" w:color="auto"/>
            <w:left w:val="none" w:sz="0" w:space="0" w:color="auto"/>
            <w:bottom w:val="none" w:sz="0" w:space="0" w:color="auto"/>
            <w:right w:val="none" w:sz="0" w:space="0" w:color="auto"/>
          </w:divBdr>
        </w:div>
        <w:div w:id="158616932">
          <w:marLeft w:val="640"/>
          <w:marRight w:val="0"/>
          <w:marTop w:val="0"/>
          <w:marBottom w:val="0"/>
          <w:divBdr>
            <w:top w:val="none" w:sz="0" w:space="0" w:color="auto"/>
            <w:left w:val="none" w:sz="0" w:space="0" w:color="auto"/>
            <w:bottom w:val="none" w:sz="0" w:space="0" w:color="auto"/>
            <w:right w:val="none" w:sz="0" w:space="0" w:color="auto"/>
          </w:divBdr>
        </w:div>
        <w:div w:id="213350104">
          <w:marLeft w:val="640"/>
          <w:marRight w:val="0"/>
          <w:marTop w:val="0"/>
          <w:marBottom w:val="0"/>
          <w:divBdr>
            <w:top w:val="none" w:sz="0" w:space="0" w:color="auto"/>
            <w:left w:val="none" w:sz="0" w:space="0" w:color="auto"/>
            <w:bottom w:val="none" w:sz="0" w:space="0" w:color="auto"/>
            <w:right w:val="none" w:sz="0" w:space="0" w:color="auto"/>
          </w:divBdr>
        </w:div>
        <w:div w:id="552886234">
          <w:marLeft w:val="640"/>
          <w:marRight w:val="0"/>
          <w:marTop w:val="0"/>
          <w:marBottom w:val="0"/>
          <w:divBdr>
            <w:top w:val="none" w:sz="0" w:space="0" w:color="auto"/>
            <w:left w:val="none" w:sz="0" w:space="0" w:color="auto"/>
            <w:bottom w:val="none" w:sz="0" w:space="0" w:color="auto"/>
            <w:right w:val="none" w:sz="0" w:space="0" w:color="auto"/>
          </w:divBdr>
        </w:div>
        <w:div w:id="1991473666">
          <w:marLeft w:val="640"/>
          <w:marRight w:val="0"/>
          <w:marTop w:val="0"/>
          <w:marBottom w:val="0"/>
          <w:divBdr>
            <w:top w:val="none" w:sz="0" w:space="0" w:color="auto"/>
            <w:left w:val="none" w:sz="0" w:space="0" w:color="auto"/>
            <w:bottom w:val="none" w:sz="0" w:space="0" w:color="auto"/>
            <w:right w:val="none" w:sz="0" w:space="0" w:color="auto"/>
          </w:divBdr>
        </w:div>
        <w:div w:id="1386442691">
          <w:marLeft w:val="640"/>
          <w:marRight w:val="0"/>
          <w:marTop w:val="0"/>
          <w:marBottom w:val="0"/>
          <w:divBdr>
            <w:top w:val="none" w:sz="0" w:space="0" w:color="auto"/>
            <w:left w:val="none" w:sz="0" w:space="0" w:color="auto"/>
            <w:bottom w:val="none" w:sz="0" w:space="0" w:color="auto"/>
            <w:right w:val="none" w:sz="0" w:space="0" w:color="auto"/>
          </w:divBdr>
        </w:div>
        <w:div w:id="758479589">
          <w:marLeft w:val="640"/>
          <w:marRight w:val="0"/>
          <w:marTop w:val="0"/>
          <w:marBottom w:val="0"/>
          <w:divBdr>
            <w:top w:val="none" w:sz="0" w:space="0" w:color="auto"/>
            <w:left w:val="none" w:sz="0" w:space="0" w:color="auto"/>
            <w:bottom w:val="none" w:sz="0" w:space="0" w:color="auto"/>
            <w:right w:val="none" w:sz="0" w:space="0" w:color="auto"/>
          </w:divBdr>
        </w:div>
      </w:divsChild>
    </w:div>
    <w:div w:id="2010406397">
      <w:bodyDiv w:val="1"/>
      <w:marLeft w:val="0"/>
      <w:marRight w:val="0"/>
      <w:marTop w:val="0"/>
      <w:marBottom w:val="0"/>
      <w:divBdr>
        <w:top w:val="none" w:sz="0" w:space="0" w:color="auto"/>
        <w:left w:val="none" w:sz="0" w:space="0" w:color="auto"/>
        <w:bottom w:val="none" w:sz="0" w:space="0" w:color="auto"/>
        <w:right w:val="none" w:sz="0" w:space="0" w:color="auto"/>
      </w:divBdr>
      <w:divsChild>
        <w:div w:id="47733311">
          <w:marLeft w:val="640"/>
          <w:marRight w:val="0"/>
          <w:marTop w:val="0"/>
          <w:marBottom w:val="0"/>
          <w:divBdr>
            <w:top w:val="none" w:sz="0" w:space="0" w:color="auto"/>
            <w:left w:val="none" w:sz="0" w:space="0" w:color="auto"/>
            <w:bottom w:val="none" w:sz="0" w:space="0" w:color="auto"/>
            <w:right w:val="none" w:sz="0" w:space="0" w:color="auto"/>
          </w:divBdr>
        </w:div>
        <w:div w:id="852917385">
          <w:marLeft w:val="640"/>
          <w:marRight w:val="0"/>
          <w:marTop w:val="0"/>
          <w:marBottom w:val="0"/>
          <w:divBdr>
            <w:top w:val="none" w:sz="0" w:space="0" w:color="auto"/>
            <w:left w:val="none" w:sz="0" w:space="0" w:color="auto"/>
            <w:bottom w:val="none" w:sz="0" w:space="0" w:color="auto"/>
            <w:right w:val="none" w:sz="0" w:space="0" w:color="auto"/>
          </w:divBdr>
        </w:div>
        <w:div w:id="1609434355">
          <w:marLeft w:val="640"/>
          <w:marRight w:val="0"/>
          <w:marTop w:val="0"/>
          <w:marBottom w:val="0"/>
          <w:divBdr>
            <w:top w:val="none" w:sz="0" w:space="0" w:color="auto"/>
            <w:left w:val="none" w:sz="0" w:space="0" w:color="auto"/>
            <w:bottom w:val="none" w:sz="0" w:space="0" w:color="auto"/>
            <w:right w:val="none" w:sz="0" w:space="0" w:color="auto"/>
          </w:divBdr>
        </w:div>
        <w:div w:id="455485786">
          <w:marLeft w:val="640"/>
          <w:marRight w:val="0"/>
          <w:marTop w:val="0"/>
          <w:marBottom w:val="0"/>
          <w:divBdr>
            <w:top w:val="none" w:sz="0" w:space="0" w:color="auto"/>
            <w:left w:val="none" w:sz="0" w:space="0" w:color="auto"/>
            <w:bottom w:val="none" w:sz="0" w:space="0" w:color="auto"/>
            <w:right w:val="none" w:sz="0" w:space="0" w:color="auto"/>
          </w:divBdr>
        </w:div>
        <w:div w:id="1336958577">
          <w:marLeft w:val="640"/>
          <w:marRight w:val="0"/>
          <w:marTop w:val="0"/>
          <w:marBottom w:val="0"/>
          <w:divBdr>
            <w:top w:val="none" w:sz="0" w:space="0" w:color="auto"/>
            <w:left w:val="none" w:sz="0" w:space="0" w:color="auto"/>
            <w:bottom w:val="none" w:sz="0" w:space="0" w:color="auto"/>
            <w:right w:val="none" w:sz="0" w:space="0" w:color="auto"/>
          </w:divBdr>
        </w:div>
        <w:div w:id="1801651203">
          <w:marLeft w:val="640"/>
          <w:marRight w:val="0"/>
          <w:marTop w:val="0"/>
          <w:marBottom w:val="0"/>
          <w:divBdr>
            <w:top w:val="none" w:sz="0" w:space="0" w:color="auto"/>
            <w:left w:val="none" w:sz="0" w:space="0" w:color="auto"/>
            <w:bottom w:val="none" w:sz="0" w:space="0" w:color="auto"/>
            <w:right w:val="none" w:sz="0" w:space="0" w:color="auto"/>
          </w:divBdr>
        </w:div>
        <w:div w:id="449322394">
          <w:marLeft w:val="640"/>
          <w:marRight w:val="0"/>
          <w:marTop w:val="0"/>
          <w:marBottom w:val="0"/>
          <w:divBdr>
            <w:top w:val="none" w:sz="0" w:space="0" w:color="auto"/>
            <w:left w:val="none" w:sz="0" w:space="0" w:color="auto"/>
            <w:bottom w:val="none" w:sz="0" w:space="0" w:color="auto"/>
            <w:right w:val="none" w:sz="0" w:space="0" w:color="auto"/>
          </w:divBdr>
        </w:div>
        <w:div w:id="412701576">
          <w:marLeft w:val="640"/>
          <w:marRight w:val="0"/>
          <w:marTop w:val="0"/>
          <w:marBottom w:val="0"/>
          <w:divBdr>
            <w:top w:val="none" w:sz="0" w:space="0" w:color="auto"/>
            <w:left w:val="none" w:sz="0" w:space="0" w:color="auto"/>
            <w:bottom w:val="none" w:sz="0" w:space="0" w:color="auto"/>
            <w:right w:val="none" w:sz="0" w:space="0" w:color="auto"/>
          </w:divBdr>
        </w:div>
        <w:div w:id="1516387463">
          <w:marLeft w:val="640"/>
          <w:marRight w:val="0"/>
          <w:marTop w:val="0"/>
          <w:marBottom w:val="0"/>
          <w:divBdr>
            <w:top w:val="none" w:sz="0" w:space="0" w:color="auto"/>
            <w:left w:val="none" w:sz="0" w:space="0" w:color="auto"/>
            <w:bottom w:val="none" w:sz="0" w:space="0" w:color="auto"/>
            <w:right w:val="none" w:sz="0" w:space="0" w:color="auto"/>
          </w:divBdr>
        </w:div>
        <w:div w:id="1519079208">
          <w:marLeft w:val="640"/>
          <w:marRight w:val="0"/>
          <w:marTop w:val="0"/>
          <w:marBottom w:val="0"/>
          <w:divBdr>
            <w:top w:val="none" w:sz="0" w:space="0" w:color="auto"/>
            <w:left w:val="none" w:sz="0" w:space="0" w:color="auto"/>
            <w:bottom w:val="none" w:sz="0" w:space="0" w:color="auto"/>
            <w:right w:val="none" w:sz="0" w:space="0" w:color="auto"/>
          </w:divBdr>
        </w:div>
        <w:div w:id="2091272105">
          <w:marLeft w:val="640"/>
          <w:marRight w:val="0"/>
          <w:marTop w:val="0"/>
          <w:marBottom w:val="0"/>
          <w:divBdr>
            <w:top w:val="none" w:sz="0" w:space="0" w:color="auto"/>
            <w:left w:val="none" w:sz="0" w:space="0" w:color="auto"/>
            <w:bottom w:val="none" w:sz="0" w:space="0" w:color="auto"/>
            <w:right w:val="none" w:sz="0" w:space="0" w:color="auto"/>
          </w:divBdr>
        </w:div>
        <w:div w:id="86580446">
          <w:marLeft w:val="640"/>
          <w:marRight w:val="0"/>
          <w:marTop w:val="0"/>
          <w:marBottom w:val="0"/>
          <w:divBdr>
            <w:top w:val="none" w:sz="0" w:space="0" w:color="auto"/>
            <w:left w:val="none" w:sz="0" w:space="0" w:color="auto"/>
            <w:bottom w:val="none" w:sz="0" w:space="0" w:color="auto"/>
            <w:right w:val="none" w:sz="0" w:space="0" w:color="auto"/>
          </w:divBdr>
        </w:div>
        <w:div w:id="431585372">
          <w:marLeft w:val="640"/>
          <w:marRight w:val="0"/>
          <w:marTop w:val="0"/>
          <w:marBottom w:val="0"/>
          <w:divBdr>
            <w:top w:val="none" w:sz="0" w:space="0" w:color="auto"/>
            <w:left w:val="none" w:sz="0" w:space="0" w:color="auto"/>
            <w:bottom w:val="none" w:sz="0" w:space="0" w:color="auto"/>
            <w:right w:val="none" w:sz="0" w:space="0" w:color="auto"/>
          </w:divBdr>
        </w:div>
        <w:div w:id="1927036633">
          <w:marLeft w:val="640"/>
          <w:marRight w:val="0"/>
          <w:marTop w:val="0"/>
          <w:marBottom w:val="0"/>
          <w:divBdr>
            <w:top w:val="none" w:sz="0" w:space="0" w:color="auto"/>
            <w:left w:val="none" w:sz="0" w:space="0" w:color="auto"/>
            <w:bottom w:val="none" w:sz="0" w:space="0" w:color="auto"/>
            <w:right w:val="none" w:sz="0" w:space="0" w:color="auto"/>
          </w:divBdr>
        </w:div>
        <w:div w:id="1977951984">
          <w:marLeft w:val="640"/>
          <w:marRight w:val="0"/>
          <w:marTop w:val="0"/>
          <w:marBottom w:val="0"/>
          <w:divBdr>
            <w:top w:val="none" w:sz="0" w:space="0" w:color="auto"/>
            <w:left w:val="none" w:sz="0" w:space="0" w:color="auto"/>
            <w:bottom w:val="none" w:sz="0" w:space="0" w:color="auto"/>
            <w:right w:val="none" w:sz="0" w:space="0" w:color="auto"/>
          </w:divBdr>
        </w:div>
        <w:div w:id="266548728">
          <w:marLeft w:val="640"/>
          <w:marRight w:val="0"/>
          <w:marTop w:val="0"/>
          <w:marBottom w:val="0"/>
          <w:divBdr>
            <w:top w:val="none" w:sz="0" w:space="0" w:color="auto"/>
            <w:left w:val="none" w:sz="0" w:space="0" w:color="auto"/>
            <w:bottom w:val="none" w:sz="0" w:space="0" w:color="auto"/>
            <w:right w:val="none" w:sz="0" w:space="0" w:color="auto"/>
          </w:divBdr>
        </w:div>
        <w:div w:id="1552382050">
          <w:marLeft w:val="640"/>
          <w:marRight w:val="0"/>
          <w:marTop w:val="0"/>
          <w:marBottom w:val="0"/>
          <w:divBdr>
            <w:top w:val="none" w:sz="0" w:space="0" w:color="auto"/>
            <w:left w:val="none" w:sz="0" w:space="0" w:color="auto"/>
            <w:bottom w:val="none" w:sz="0" w:space="0" w:color="auto"/>
            <w:right w:val="none" w:sz="0" w:space="0" w:color="auto"/>
          </w:divBdr>
        </w:div>
        <w:div w:id="1083527117">
          <w:marLeft w:val="640"/>
          <w:marRight w:val="0"/>
          <w:marTop w:val="0"/>
          <w:marBottom w:val="0"/>
          <w:divBdr>
            <w:top w:val="none" w:sz="0" w:space="0" w:color="auto"/>
            <w:left w:val="none" w:sz="0" w:space="0" w:color="auto"/>
            <w:bottom w:val="none" w:sz="0" w:space="0" w:color="auto"/>
            <w:right w:val="none" w:sz="0" w:space="0" w:color="auto"/>
          </w:divBdr>
        </w:div>
        <w:div w:id="288827550">
          <w:marLeft w:val="640"/>
          <w:marRight w:val="0"/>
          <w:marTop w:val="0"/>
          <w:marBottom w:val="0"/>
          <w:divBdr>
            <w:top w:val="none" w:sz="0" w:space="0" w:color="auto"/>
            <w:left w:val="none" w:sz="0" w:space="0" w:color="auto"/>
            <w:bottom w:val="none" w:sz="0" w:space="0" w:color="auto"/>
            <w:right w:val="none" w:sz="0" w:space="0" w:color="auto"/>
          </w:divBdr>
        </w:div>
        <w:div w:id="584850779">
          <w:marLeft w:val="640"/>
          <w:marRight w:val="0"/>
          <w:marTop w:val="0"/>
          <w:marBottom w:val="0"/>
          <w:divBdr>
            <w:top w:val="none" w:sz="0" w:space="0" w:color="auto"/>
            <w:left w:val="none" w:sz="0" w:space="0" w:color="auto"/>
            <w:bottom w:val="none" w:sz="0" w:space="0" w:color="auto"/>
            <w:right w:val="none" w:sz="0" w:space="0" w:color="auto"/>
          </w:divBdr>
        </w:div>
        <w:div w:id="1419332212">
          <w:marLeft w:val="640"/>
          <w:marRight w:val="0"/>
          <w:marTop w:val="0"/>
          <w:marBottom w:val="0"/>
          <w:divBdr>
            <w:top w:val="none" w:sz="0" w:space="0" w:color="auto"/>
            <w:left w:val="none" w:sz="0" w:space="0" w:color="auto"/>
            <w:bottom w:val="none" w:sz="0" w:space="0" w:color="auto"/>
            <w:right w:val="none" w:sz="0" w:space="0" w:color="auto"/>
          </w:divBdr>
        </w:div>
        <w:div w:id="1318268768">
          <w:marLeft w:val="640"/>
          <w:marRight w:val="0"/>
          <w:marTop w:val="0"/>
          <w:marBottom w:val="0"/>
          <w:divBdr>
            <w:top w:val="none" w:sz="0" w:space="0" w:color="auto"/>
            <w:left w:val="none" w:sz="0" w:space="0" w:color="auto"/>
            <w:bottom w:val="none" w:sz="0" w:space="0" w:color="auto"/>
            <w:right w:val="none" w:sz="0" w:space="0" w:color="auto"/>
          </w:divBdr>
        </w:div>
        <w:div w:id="337773613">
          <w:marLeft w:val="640"/>
          <w:marRight w:val="0"/>
          <w:marTop w:val="0"/>
          <w:marBottom w:val="0"/>
          <w:divBdr>
            <w:top w:val="none" w:sz="0" w:space="0" w:color="auto"/>
            <w:left w:val="none" w:sz="0" w:space="0" w:color="auto"/>
            <w:bottom w:val="none" w:sz="0" w:space="0" w:color="auto"/>
            <w:right w:val="none" w:sz="0" w:space="0" w:color="auto"/>
          </w:divBdr>
        </w:div>
        <w:div w:id="1000891287">
          <w:marLeft w:val="640"/>
          <w:marRight w:val="0"/>
          <w:marTop w:val="0"/>
          <w:marBottom w:val="0"/>
          <w:divBdr>
            <w:top w:val="none" w:sz="0" w:space="0" w:color="auto"/>
            <w:left w:val="none" w:sz="0" w:space="0" w:color="auto"/>
            <w:bottom w:val="none" w:sz="0" w:space="0" w:color="auto"/>
            <w:right w:val="none" w:sz="0" w:space="0" w:color="auto"/>
          </w:divBdr>
        </w:div>
        <w:div w:id="957178241">
          <w:marLeft w:val="640"/>
          <w:marRight w:val="0"/>
          <w:marTop w:val="0"/>
          <w:marBottom w:val="0"/>
          <w:divBdr>
            <w:top w:val="none" w:sz="0" w:space="0" w:color="auto"/>
            <w:left w:val="none" w:sz="0" w:space="0" w:color="auto"/>
            <w:bottom w:val="none" w:sz="0" w:space="0" w:color="auto"/>
            <w:right w:val="none" w:sz="0" w:space="0" w:color="auto"/>
          </w:divBdr>
        </w:div>
        <w:div w:id="1873809853">
          <w:marLeft w:val="640"/>
          <w:marRight w:val="0"/>
          <w:marTop w:val="0"/>
          <w:marBottom w:val="0"/>
          <w:divBdr>
            <w:top w:val="none" w:sz="0" w:space="0" w:color="auto"/>
            <w:left w:val="none" w:sz="0" w:space="0" w:color="auto"/>
            <w:bottom w:val="none" w:sz="0" w:space="0" w:color="auto"/>
            <w:right w:val="none" w:sz="0" w:space="0" w:color="auto"/>
          </w:divBdr>
        </w:div>
        <w:div w:id="1148327850">
          <w:marLeft w:val="640"/>
          <w:marRight w:val="0"/>
          <w:marTop w:val="0"/>
          <w:marBottom w:val="0"/>
          <w:divBdr>
            <w:top w:val="none" w:sz="0" w:space="0" w:color="auto"/>
            <w:left w:val="none" w:sz="0" w:space="0" w:color="auto"/>
            <w:bottom w:val="none" w:sz="0" w:space="0" w:color="auto"/>
            <w:right w:val="none" w:sz="0" w:space="0" w:color="auto"/>
          </w:divBdr>
        </w:div>
        <w:div w:id="1908296407">
          <w:marLeft w:val="640"/>
          <w:marRight w:val="0"/>
          <w:marTop w:val="0"/>
          <w:marBottom w:val="0"/>
          <w:divBdr>
            <w:top w:val="none" w:sz="0" w:space="0" w:color="auto"/>
            <w:left w:val="none" w:sz="0" w:space="0" w:color="auto"/>
            <w:bottom w:val="none" w:sz="0" w:space="0" w:color="auto"/>
            <w:right w:val="none" w:sz="0" w:space="0" w:color="auto"/>
          </w:divBdr>
        </w:div>
      </w:divsChild>
    </w:div>
    <w:div w:id="2016416041">
      <w:bodyDiv w:val="1"/>
      <w:marLeft w:val="0"/>
      <w:marRight w:val="0"/>
      <w:marTop w:val="0"/>
      <w:marBottom w:val="0"/>
      <w:divBdr>
        <w:top w:val="none" w:sz="0" w:space="0" w:color="auto"/>
        <w:left w:val="none" w:sz="0" w:space="0" w:color="auto"/>
        <w:bottom w:val="none" w:sz="0" w:space="0" w:color="auto"/>
        <w:right w:val="none" w:sz="0" w:space="0" w:color="auto"/>
      </w:divBdr>
      <w:divsChild>
        <w:div w:id="823545517">
          <w:marLeft w:val="640"/>
          <w:marRight w:val="0"/>
          <w:marTop w:val="0"/>
          <w:marBottom w:val="0"/>
          <w:divBdr>
            <w:top w:val="none" w:sz="0" w:space="0" w:color="auto"/>
            <w:left w:val="none" w:sz="0" w:space="0" w:color="auto"/>
            <w:bottom w:val="none" w:sz="0" w:space="0" w:color="auto"/>
            <w:right w:val="none" w:sz="0" w:space="0" w:color="auto"/>
          </w:divBdr>
        </w:div>
        <w:div w:id="1606159547">
          <w:marLeft w:val="640"/>
          <w:marRight w:val="0"/>
          <w:marTop w:val="0"/>
          <w:marBottom w:val="0"/>
          <w:divBdr>
            <w:top w:val="none" w:sz="0" w:space="0" w:color="auto"/>
            <w:left w:val="none" w:sz="0" w:space="0" w:color="auto"/>
            <w:bottom w:val="none" w:sz="0" w:space="0" w:color="auto"/>
            <w:right w:val="none" w:sz="0" w:space="0" w:color="auto"/>
          </w:divBdr>
        </w:div>
        <w:div w:id="1776711348">
          <w:marLeft w:val="640"/>
          <w:marRight w:val="0"/>
          <w:marTop w:val="0"/>
          <w:marBottom w:val="0"/>
          <w:divBdr>
            <w:top w:val="none" w:sz="0" w:space="0" w:color="auto"/>
            <w:left w:val="none" w:sz="0" w:space="0" w:color="auto"/>
            <w:bottom w:val="none" w:sz="0" w:space="0" w:color="auto"/>
            <w:right w:val="none" w:sz="0" w:space="0" w:color="auto"/>
          </w:divBdr>
        </w:div>
        <w:div w:id="1601404000">
          <w:marLeft w:val="640"/>
          <w:marRight w:val="0"/>
          <w:marTop w:val="0"/>
          <w:marBottom w:val="0"/>
          <w:divBdr>
            <w:top w:val="none" w:sz="0" w:space="0" w:color="auto"/>
            <w:left w:val="none" w:sz="0" w:space="0" w:color="auto"/>
            <w:bottom w:val="none" w:sz="0" w:space="0" w:color="auto"/>
            <w:right w:val="none" w:sz="0" w:space="0" w:color="auto"/>
          </w:divBdr>
        </w:div>
        <w:div w:id="1048921683">
          <w:marLeft w:val="640"/>
          <w:marRight w:val="0"/>
          <w:marTop w:val="0"/>
          <w:marBottom w:val="0"/>
          <w:divBdr>
            <w:top w:val="none" w:sz="0" w:space="0" w:color="auto"/>
            <w:left w:val="none" w:sz="0" w:space="0" w:color="auto"/>
            <w:bottom w:val="none" w:sz="0" w:space="0" w:color="auto"/>
            <w:right w:val="none" w:sz="0" w:space="0" w:color="auto"/>
          </w:divBdr>
        </w:div>
        <w:div w:id="1994412138">
          <w:marLeft w:val="640"/>
          <w:marRight w:val="0"/>
          <w:marTop w:val="0"/>
          <w:marBottom w:val="0"/>
          <w:divBdr>
            <w:top w:val="none" w:sz="0" w:space="0" w:color="auto"/>
            <w:left w:val="none" w:sz="0" w:space="0" w:color="auto"/>
            <w:bottom w:val="none" w:sz="0" w:space="0" w:color="auto"/>
            <w:right w:val="none" w:sz="0" w:space="0" w:color="auto"/>
          </w:divBdr>
        </w:div>
        <w:div w:id="766734018">
          <w:marLeft w:val="640"/>
          <w:marRight w:val="0"/>
          <w:marTop w:val="0"/>
          <w:marBottom w:val="0"/>
          <w:divBdr>
            <w:top w:val="none" w:sz="0" w:space="0" w:color="auto"/>
            <w:left w:val="none" w:sz="0" w:space="0" w:color="auto"/>
            <w:bottom w:val="none" w:sz="0" w:space="0" w:color="auto"/>
            <w:right w:val="none" w:sz="0" w:space="0" w:color="auto"/>
          </w:divBdr>
        </w:div>
        <w:div w:id="1287810062">
          <w:marLeft w:val="640"/>
          <w:marRight w:val="0"/>
          <w:marTop w:val="0"/>
          <w:marBottom w:val="0"/>
          <w:divBdr>
            <w:top w:val="none" w:sz="0" w:space="0" w:color="auto"/>
            <w:left w:val="none" w:sz="0" w:space="0" w:color="auto"/>
            <w:bottom w:val="none" w:sz="0" w:space="0" w:color="auto"/>
            <w:right w:val="none" w:sz="0" w:space="0" w:color="auto"/>
          </w:divBdr>
        </w:div>
        <w:div w:id="1199203378">
          <w:marLeft w:val="640"/>
          <w:marRight w:val="0"/>
          <w:marTop w:val="0"/>
          <w:marBottom w:val="0"/>
          <w:divBdr>
            <w:top w:val="none" w:sz="0" w:space="0" w:color="auto"/>
            <w:left w:val="none" w:sz="0" w:space="0" w:color="auto"/>
            <w:bottom w:val="none" w:sz="0" w:space="0" w:color="auto"/>
            <w:right w:val="none" w:sz="0" w:space="0" w:color="auto"/>
          </w:divBdr>
        </w:div>
        <w:div w:id="45031984">
          <w:marLeft w:val="640"/>
          <w:marRight w:val="0"/>
          <w:marTop w:val="0"/>
          <w:marBottom w:val="0"/>
          <w:divBdr>
            <w:top w:val="none" w:sz="0" w:space="0" w:color="auto"/>
            <w:left w:val="none" w:sz="0" w:space="0" w:color="auto"/>
            <w:bottom w:val="none" w:sz="0" w:space="0" w:color="auto"/>
            <w:right w:val="none" w:sz="0" w:space="0" w:color="auto"/>
          </w:divBdr>
        </w:div>
        <w:div w:id="554242103">
          <w:marLeft w:val="640"/>
          <w:marRight w:val="0"/>
          <w:marTop w:val="0"/>
          <w:marBottom w:val="0"/>
          <w:divBdr>
            <w:top w:val="none" w:sz="0" w:space="0" w:color="auto"/>
            <w:left w:val="none" w:sz="0" w:space="0" w:color="auto"/>
            <w:bottom w:val="none" w:sz="0" w:space="0" w:color="auto"/>
            <w:right w:val="none" w:sz="0" w:space="0" w:color="auto"/>
          </w:divBdr>
        </w:div>
        <w:div w:id="228346401">
          <w:marLeft w:val="640"/>
          <w:marRight w:val="0"/>
          <w:marTop w:val="0"/>
          <w:marBottom w:val="0"/>
          <w:divBdr>
            <w:top w:val="none" w:sz="0" w:space="0" w:color="auto"/>
            <w:left w:val="none" w:sz="0" w:space="0" w:color="auto"/>
            <w:bottom w:val="none" w:sz="0" w:space="0" w:color="auto"/>
            <w:right w:val="none" w:sz="0" w:space="0" w:color="auto"/>
          </w:divBdr>
        </w:div>
        <w:div w:id="861095699">
          <w:marLeft w:val="640"/>
          <w:marRight w:val="0"/>
          <w:marTop w:val="0"/>
          <w:marBottom w:val="0"/>
          <w:divBdr>
            <w:top w:val="none" w:sz="0" w:space="0" w:color="auto"/>
            <w:left w:val="none" w:sz="0" w:space="0" w:color="auto"/>
            <w:bottom w:val="none" w:sz="0" w:space="0" w:color="auto"/>
            <w:right w:val="none" w:sz="0" w:space="0" w:color="auto"/>
          </w:divBdr>
        </w:div>
        <w:div w:id="2123915671">
          <w:marLeft w:val="640"/>
          <w:marRight w:val="0"/>
          <w:marTop w:val="0"/>
          <w:marBottom w:val="0"/>
          <w:divBdr>
            <w:top w:val="none" w:sz="0" w:space="0" w:color="auto"/>
            <w:left w:val="none" w:sz="0" w:space="0" w:color="auto"/>
            <w:bottom w:val="none" w:sz="0" w:space="0" w:color="auto"/>
            <w:right w:val="none" w:sz="0" w:space="0" w:color="auto"/>
          </w:divBdr>
        </w:div>
        <w:div w:id="2128425803">
          <w:marLeft w:val="640"/>
          <w:marRight w:val="0"/>
          <w:marTop w:val="0"/>
          <w:marBottom w:val="0"/>
          <w:divBdr>
            <w:top w:val="none" w:sz="0" w:space="0" w:color="auto"/>
            <w:left w:val="none" w:sz="0" w:space="0" w:color="auto"/>
            <w:bottom w:val="none" w:sz="0" w:space="0" w:color="auto"/>
            <w:right w:val="none" w:sz="0" w:space="0" w:color="auto"/>
          </w:divBdr>
        </w:div>
        <w:div w:id="1148715243">
          <w:marLeft w:val="640"/>
          <w:marRight w:val="0"/>
          <w:marTop w:val="0"/>
          <w:marBottom w:val="0"/>
          <w:divBdr>
            <w:top w:val="none" w:sz="0" w:space="0" w:color="auto"/>
            <w:left w:val="none" w:sz="0" w:space="0" w:color="auto"/>
            <w:bottom w:val="none" w:sz="0" w:space="0" w:color="auto"/>
            <w:right w:val="none" w:sz="0" w:space="0" w:color="auto"/>
          </w:divBdr>
        </w:div>
        <w:div w:id="514343168">
          <w:marLeft w:val="640"/>
          <w:marRight w:val="0"/>
          <w:marTop w:val="0"/>
          <w:marBottom w:val="0"/>
          <w:divBdr>
            <w:top w:val="none" w:sz="0" w:space="0" w:color="auto"/>
            <w:left w:val="none" w:sz="0" w:space="0" w:color="auto"/>
            <w:bottom w:val="none" w:sz="0" w:space="0" w:color="auto"/>
            <w:right w:val="none" w:sz="0" w:space="0" w:color="auto"/>
          </w:divBdr>
        </w:div>
        <w:div w:id="1672365457">
          <w:marLeft w:val="640"/>
          <w:marRight w:val="0"/>
          <w:marTop w:val="0"/>
          <w:marBottom w:val="0"/>
          <w:divBdr>
            <w:top w:val="none" w:sz="0" w:space="0" w:color="auto"/>
            <w:left w:val="none" w:sz="0" w:space="0" w:color="auto"/>
            <w:bottom w:val="none" w:sz="0" w:space="0" w:color="auto"/>
            <w:right w:val="none" w:sz="0" w:space="0" w:color="auto"/>
          </w:divBdr>
        </w:div>
        <w:div w:id="2123069593">
          <w:marLeft w:val="640"/>
          <w:marRight w:val="0"/>
          <w:marTop w:val="0"/>
          <w:marBottom w:val="0"/>
          <w:divBdr>
            <w:top w:val="none" w:sz="0" w:space="0" w:color="auto"/>
            <w:left w:val="none" w:sz="0" w:space="0" w:color="auto"/>
            <w:bottom w:val="none" w:sz="0" w:space="0" w:color="auto"/>
            <w:right w:val="none" w:sz="0" w:space="0" w:color="auto"/>
          </w:divBdr>
        </w:div>
        <w:div w:id="447705361">
          <w:marLeft w:val="640"/>
          <w:marRight w:val="0"/>
          <w:marTop w:val="0"/>
          <w:marBottom w:val="0"/>
          <w:divBdr>
            <w:top w:val="none" w:sz="0" w:space="0" w:color="auto"/>
            <w:left w:val="none" w:sz="0" w:space="0" w:color="auto"/>
            <w:bottom w:val="none" w:sz="0" w:space="0" w:color="auto"/>
            <w:right w:val="none" w:sz="0" w:space="0" w:color="auto"/>
          </w:divBdr>
        </w:div>
        <w:div w:id="183247285">
          <w:marLeft w:val="640"/>
          <w:marRight w:val="0"/>
          <w:marTop w:val="0"/>
          <w:marBottom w:val="0"/>
          <w:divBdr>
            <w:top w:val="none" w:sz="0" w:space="0" w:color="auto"/>
            <w:left w:val="none" w:sz="0" w:space="0" w:color="auto"/>
            <w:bottom w:val="none" w:sz="0" w:space="0" w:color="auto"/>
            <w:right w:val="none" w:sz="0" w:space="0" w:color="auto"/>
          </w:divBdr>
        </w:div>
        <w:div w:id="1948001824">
          <w:marLeft w:val="640"/>
          <w:marRight w:val="0"/>
          <w:marTop w:val="0"/>
          <w:marBottom w:val="0"/>
          <w:divBdr>
            <w:top w:val="none" w:sz="0" w:space="0" w:color="auto"/>
            <w:left w:val="none" w:sz="0" w:space="0" w:color="auto"/>
            <w:bottom w:val="none" w:sz="0" w:space="0" w:color="auto"/>
            <w:right w:val="none" w:sz="0" w:space="0" w:color="auto"/>
          </w:divBdr>
        </w:div>
        <w:div w:id="254869858">
          <w:marLeft w:val="640"/>
          <w:marRight w:val="0"/>
          <w:marTop w:val="0"/>
          <w:marBottom w:val="0"/>
          <w:divBdr>
            <w:top w:val="none" w:sz="0" w:space="0" w:color="auto"/>
            <w:left w:val="none" w:sz="0" w:space="0" w:color="auto"/>
            <w:bottom w:val="none" w:sz="0" w:space="0" w:color="auto"/>
            <w:right w:val="none" w:sz="0" w:space="0" w:color="auto"/>
          </w:divBdr>
        </w:div>
        <w:div w:id="374504031">
          <w:marLeft w:val="640"/>
          <w:marRight w:val="0"/>
          <w:marTop w:val="0"/>
          <w:marBottom w:val="0"/>
          <w:divBdr>
            <w:top w:val="none" w:sz="0" w:space="0" w:color="auto"/>
            <w:left w:val="none" w:sz="0" w:space="0" w:color="auto"/>
            <w:bottom w:val="none" w:sz="0" w:space="0" w:color="auto"/>
            <w:right w:val="none" w:sz="0" w:space="0" w:color="auto"/>
          </w:divBdr>
        </w:div>
        <w:div w:id="627593949">
          <w:marLeft w:val="640"/>
          <w:marRight w:val="0"/>
          <w:marTop w:val="0"/>
          <w:marBottom w:val="0"/>
          <w:divBdr>
            <w:top w:val="none" w:sz="0" w:space="0" w:color="auto"/>
            <w:left w:val="none" w:sz="0" w:space="0" w:color="auto"/>
            <w:bottom w:val="none" w:sz="0" w:space="0" w:color="auto"/>
            <w:right w:val="none" w:sz="0" w:space="0" w:color="auto"/>
          </w:divBdr>
        </w:div>
        <w:div w:id="2147158025">
          <w:marLeft w:val="640"/>
          <w:marRight w:val="0"/>
          <w:marTop w:val="0"/>
          <w:marBottom w:val="0"/>
          <w:divBdr>
            <w:top w:val="none" w:sz="0" w:space="0" w:color="auto"/>
            <w:left w:val="none" w:sz="0" w:space="0" w:color="auto"/>
            <w:bottom w:val="none" w:sz="0" w:space="0" w:color="auto"/>
            <w:right w:val="none" w:sz="0" w:space="0" w:color="auto"/>
          </w:divBdr>
        </w:div>
        <w:div w:id="854853143">
          <w:marLeft w:val="640"/>
          <w:marRight w:val="0"/>
          <w:marTop w:val="0"/>
          <w:marBottom w:val="0"/>
          <w:divBdr>
            <w:top w:val="none" w:sz="0" w:space="0" w:color="auto"/>
            <w:left w:val="none" w:sz="0" w:space="0" w:color="auto"/>
            <w:bottom w:val="none" w:sz="0" w:space="0" w:color="auto"/>
            <w:right w:val="none" w:sz="0" w:space="0" w:color="auto"/>
          </w:divBdr>
        </w:div>
      </w:divsChild>
    </w:div>
    <w:div w:id="2084719362">
      <w:bodyDiv w:val="1"/>
      <w:marLeft w:val="0"/>
      <w:marRight w:val="0"/>
      <w:marTop w:val="0"/>
      <w:marBottom w:val="0"/>
      <w:divBdr>
        <w:top w:val="none" w:sz="0" w:space="0" w:color="auto"/>
        <w:left w:val="none" w:sz="0" w:space="0" w:color="auto"/>
        <w:bottom w:val="none" w:sz="0" w:space="0" w:color="auto"/>
        <w:right w:val="none" w:sz="0" w:space="0" w:color="auto"/>
      </w:divBdr>
      <w:divsChild>
        <w:div w:id="1467819313">
          <w:marLeft w:val="640"/>
          <w:marRight w:val="0"/>
          <w:marTop w:val="0"/>
          <w:marBottom w:val="0"/>
          <w:divBdr>
            <w:top w:val="none" w:sz="0" w:space="0" w:color="auto"/>
            <w:left w:val="none" w:sz="0" w:space="0" w:color="auto"/>
            <w:bottom w:val="none" w:sz="0" w:space="0" w:color="auto"/>
            <w:right w:val="none" w:sz="0" w:space="0" w:color="auto"/>
          </w:divBdr>
        </w:div>
        <w:div w:id="1904557488">
          <w:marLeft w:val="640"/>
          <w:marRight w:val="0"/>
          <w:marTop w:val="0"/>
          <w:marBottom w:val="0"/>
          <w:divBdr>
            <w:top w:val="none" w:sz="0" w:space="0" w:color="auto"/>
            <w:left w:val="none" w:sz="0" w:space="0" w:color="auto"/>
            <w:bottom w:val="none" w:sz="0" w:space="0" w:color="auto"/>
            <w:right w:val="none" w:sz="0" w:space="0" w:color="auto"/>
          </w:divBdr>
        </w:div>
        <w:div w:id="1960256345">
          <w:marLeft w:val="640"/>
          <w:marRight w:val="0"/>
          <w:marTop w:val="0"/>
          <w:marBottom w:val="0"/>
          <w:divBdr>
            <w:top w:val="none" w:sz="0" w:space="0" w:color="auto"/>
            <w:left w:val="none" w:sz="0" w:space="0" w:color="auto"/>
            <w:bottom w:val="none" w:sz="0" w:space="0" w:color="auto"/>
            <w:right w:val="none" w:sz="0" w:space="0" w:color="auto"/>
          </w:divBdr>
        </w:div>
        <w:div w:id="882061431">
          <w:marLeft w:val="640"/>
          <w:marRight w:val="0"/>
          <w:marTop w:val="0"/>
          <w:marBottom w:val="0"/>
          <w:divBdr>
            <w:top w:val="none" w:sz="0" w:space="0" w:color="auto"/>
            <w:left w:val="none" w:sz="0" w:space="0" w:color="auto"/>
            <w:bottom w:val="none" w:sz="0" w:space="0" w:color="auto"/>
            <w:right w:val="none" w:sz="0" w:space="0" w:color="auto"/>
          </w:divBdr>
        </w:div>
        <w:div w:id="1232543988">
          <w:marLeft w:val="640"/>
          <w:marRight w:val="0"/>
          <w:marTop w:val="0"/>
          <w:marBottom w:val="0"/>
          <w:divBdr>
            <w:top w:val="none" w:sz="0" w:space="0" w:color="auto"/>
            <w:left w:val="none" w:sz="0" w:space="0" w:color="auto"/>
            <w:bottom w:val="none" w:sz="0" w:space="0" w:color="auto"/>
            <w:right w:val="none" w:sz="0" w:space="0" w:color="auto"/>
          </w:divBdr>
        </w:div>
        <w:div w:id="2138796850">
          <w:marLeft w:val="640"/>
          <w:marRight w:val="0"/>
          <w:marTop w:val="0"/>
          <w:marBottom w:val="0"/>
          <w:divBdr>
            <w:top w:val="none" w:sz="0" w:space="0" w:color="auto"/>
            <w:left w:val="none" w:sz="0" w:space="0" w:color="auto"/>
            <w:bottom w:val="none" w:sz="0" w:space="0" w:color="auto"/>
            <w:right w:val="none" w:sz="0" w:space="0" w:color="auto"/>
          </w:divBdr>
        </w:div>
        <w:div w:id="592594033">
          <w:marLeft w:val="640"/>
          <w:marRight w:val="0"/>
          <w:marTop w:val="0"/>
          <w:marBottom w:val="0"/>
          <w:divBdr>
            <w:top w:val="none" w:sz="0" w:space="0" w:color="auto"/>
            <w:left w:val="none" w:sz="0" w:space="0" w:color="auto"/>
            <w:bottom w:val="none" w:sz="0" w:space="0" w:color="auto"/>
            <w:right w:val="none" w:sz="0" w:space="0" w:color="auto"/>
          </w:divBdr>
        </w:div>
        <w:div w:id="797382831">
          <w:marLeft w:val="640"/>
          <w:marRight w:val="0"/>
          <w:marTop w:val="0"/>
          <w:marBottom w:val="0"/>
          <w:divBdr>
            <w:top w:val="none" w:sz="0" w:space="0" w:color="auto"/>
            <w:left w:val="none" w:sz="0" w:space="0" w:color="auto"/>
            <w:bottom w:val="none" w:sz="0" w:space="0" w:color="auto"/>
            <w:right w:val="none" w:sz="0" w:space="0" w:color="auto"/>
          </w:divBdr>
        </w:div>
        <w:div w:id="707989972">
          <w:marLeft w:val="640"/>
          <w:marRight w:val="0"/>
          <w:marTop w:val="0"/>
          <w:marBottom w:val="0"/>
          <w:divBdr>
            <w:top w:val="none" w:sz="0" w:space="0" w:color="auto"/>
            <w:left w:val="none" w:sz="0" w:space="0" w:color="auto"/>
            <w:bottom w:val="none" w:sz="0" w:space="0" w:color="auto"/>
            <w:right w:val="none" w:sz="0" w:space="0" w:color="auto"/>
          </w:divBdr>
        </w:div>
        <w:div w:id="1309671743">
          <w:marLeft w:val="640"/>
          <w:marRight w:val="0"/>
          <w:marTop w:val="0"/>
          <w:marBottom w:val="0"/>
          <w:divBdr>
            <w:top w:val="none" w:sz="0" w:space="0" w:color="auto"/>
            <w:left w:val="none" w:sz="0" w:space="0" w:color="auto"/>
            <w:bottom w:val="none" w:sz="0" w:space="0" w:color="auto"/>
            <w:right w:val="none" w:sz="0" w:space="0" w:color="auto"/>
          </w:divBdr>
        </w:div>
        <w:div w:id="1774275952">
          <w:marLeft w:val="640"/>
          <w:marRight w:val="0"/>
          <w:marTop w:val="0"/>
          <w:marBottom w:val="0"/>
          <w:divBdr>
            <w:top w:val="none" w:sz="0" w:space="0" w:color="auto"/>
            <w:left w:val="none" w:sz="0" w:space="0" w:color="auto"/>
            <w:bottom w:val="none" w:sz="0" w:space="0" w:color="auto"/>
            <w:right w:val="none" w:sz="0" w:space="0" w:color="auto"/>
          </w:divBdr>
        </w:div>
        <w:div w:id="685909860">
          <w:marLeft w:val="640"/>
          <w:marRight w:val="0"/>
          <w:marTop w:val="0"/>
          <w:marBottom w:val="0"/>
          <w:divBdr>
            <w:top w:val="none" w:sz="0" w:space="0" w:color="auto"/>
            <w:left w:val="none" w:sz="0" w:space="0" w:color="auto"/>
            <w:bottom w:val="none" w:sz="0" w:space="0" w:color="auto"/>
            <w:right w:val="none" w:sz="0" w:space="0" w:color="auto"/>
          </w:divBdr>
        </w:div>
        <w:div w:id="394401218">
          <w:marLeft w:val="640"/>
          <w:marRight w:val="0"/>
          <w:marTop w:val="0"/>
          <w:marBottom w:val="0"/>
          <w:divBdr>
            <w:top w:val="none" w:sz="0" w:space="0" w:color="auto"/>
            <w:left w:val="none" w:sz="0" w:space="0" w:color="auto"/>
            <w:bottom w:val="none" w:sz="0" w:space="0" w:color="auto"/>
            <w:right w:val="none" w:sz="0" w:space="0" w:color="auto"/>
          </w:divBdr>
        </w:div>
        <w:div w:id="1931157394">
          <w:marLeft w:val="640"/>
          <w:marRight w:val="0"/>
          <w:marTop w:val="0"/>
          <w:marBottom w:val="0"/>
          <w:divBdr>
            <w:top w:val="none" w:sz="0" w:space="0" w:color="auto"/>
            <w:left w:val="none" w:sz="0" w:space="0" w:color="auto"/>
            <w:bottom w:val="none" w:sz="0" w:space="0" w:color="auto"/>
            <w:right w:val="none" w:sz="0" w:space="0" w:color="auto"/>
          </w:divBdr>
        </w:div>
        <w:div w:id="1675574285">
          <w:marLeft w:val="640"/>
          <w:marRight w:val="0"/>
          <w:marTop w:val="0"/>
          <w:marBottom w:val="0"/>
          <w:divBdr>
            <w:top w:val="none" w:sz="0" w:space="0" w:color="auto"/>
            <w:left w:val="none" w:sz="0" w:space="0" w:color="auto"/>
            <w:bottom w:val="none" w:sz="0" w:space="0" w:color="auto"/>
            <w:right w:val="none" w:sz="0" w:space="0" w:color="auto"/>
          </w:divBdr>
        </w:div>
        <w:div w:id="757824910">
          <w:marLeft w:val="640"/>
          <w:marRight w:val="0"/>
          <w:marTop w:val="0"/>
          <w:marBottom w:val="0"/>
          <w:divBdr>
            <w:top w:val="none" w:sz="0" w:space="0" w:color="auto"/>
            <w:left w:val="none" w:sz="0" w:space="0" w:color="auto"/>
            <w:bottom w:val="none" w:sz="0" w:space="0" w:color="auto"/>
            <w:right w:val="none" w:sz="0" w:space="0" w:color="auto"/>
          </w:divBdr>
        </w:div>
        <w:div w:id="1828324502">
          <w:marLeft w:val="640"/>
          <w:marRight w:val="0"/>
          <w:marTop w:val="0"/>
          <w:marBottom w:val="0"/>
          <w:divBdr>
            <w:top w:val="none" w:sz="0" w:space="0" w:color="auto"/>
            <w:left w:val="none" w:sz="0" w:space="0" w:color="auto"/>
            <w:bottom w:val="none" w:sz="0" w:space="0" w:color="auto"/>
            <w:right w:val="none" w:sz="0" w:space="0" w:color="auto"/>
          </w:divBdr>
        </w:div>
        <w:div w:id="308637604">
          <w:marLeft w:val="640"/>
          <w:marRight w:val="0"/>
          <w:marTop w:val="0"/>
          <w:marBottom w:val="0"/>
          <w:divBdr>
            <w:top w:val="none" w:sz="0" w:space="0" w:color="auto"/>
            <w:left w:val="none" w:sz="0" w:space="0" w:color="auto"/>
            <w:bottom w:val="none" w:sz="0" w:space="0" w:color="auto"/>
            <w:right w:val="none" w:sz="0" w:space="0" w:color="auto"/>
          </w:divBdr>
        </w:div>
        <w:div w:id="1912233749">
          <w:marLeft w:val="640"/>
          <w:marRight w:val="0"/>
          <w:marTop w:val="0"/>
          <w:marBottom w:val="0"/>
          <w:divBdr>
            <w:top w:val="none" w:sz="0" w:space="0" w:color="auto"/>
            <w:left w:val="none" w:sz="0" w:space="0" w:color="auto"/>
            <w:bottom w:val="none" w:sz="0" w:space="0" w:color="auto"/>
            <w:right w:val="none" w:sz="0" w:space="0" w:color="auto"/>
          </w:divBdr>
        </w:div>
      </w:divsChild>
    </w:div>
    <w:div w:id="2085832250">
      <w:bodyDiv w:val="1"/>
      <w:marLeft w:val="0"/>
      <w:marRight w:val="0"/>
      <w:marTop w:val="0"/>
      <w:marBottom w:val="0"/>
      <w:divBdr>
        <w:top w:val="none" w:sz="0" w:space="0" w:color="auto"/>
        <w:left w:val="none" w:sz="0" w:space="0" w:color="auto"/>
        <w:bottom w:val="none" w:sz="0" w:space="0" w:color="auto"/>
        <w:right w:val="none" w:sz="0" w:space="0" w:color="auto"/>
      </w:divBdr>
      <w:divsChild>
        <w:div w:id="182130924">
          <w:marLeft w:val="640"/>
          <w:marRight w:val="0"/>
          <w:marTop w:val="0"/>
          <w:marBottom w:val="0"/>
          <w:divBdr>
            <w:top w:val="none" w:sz="0" w:space="0" w:color="auto"/>
            <w:left w:val="none" w:sz="0" w:space="0" w:color="auto"/>
            <w:bottom w:val="none" w:sz="0" w:space="0" w:color="auto"/>
            <w:right w:val="none" w:sz="0" w:space="0" w:color="auto"/>
          </w:divBdr>
        </w:div>
        <w:div w:id="1762067834">
          <w:marLeft w:val="640"/>
          <w:marRight w:val="0"/>
          <w:marTop w:val="0"/>
          <w:marBottom w:val="0"/>
          <w:divBdr>
            <w:top w:val="none" w:sz="0" w:space="0" w:color="auto"/>
            <w:left w:val="none" w:sz="0" w:space="0" w:color="auto"/>
            <w:bottom w:val="none" w:sz="0" w:space="0" w:color="auto"/>
            <w:right w:val="none" w:sz="0" w:space="0" w:color="auto"/>
          </w:divBdr>
        </w:div>
        <w:div w:id="1000428614">
          <w:marLeft w:val="640"/>
          <w:marRight w:val="0"/>
          <w:marTop w:val="0"/>
          <w:marBottom w:val="0"/>
          <w:divBdr>
            <w:top w:val="none" w:sz="0" w:space="0" w:color="auto"/>
            <w:left w:val="none" w:sz="0" w:space="0" w:color="auto"/>
            <w:bottom w:val="none" w:sz="0" w:space="0" w:color="auto"/>
            <w:right w:val="none" w:sz="0" w:space="0" w:color="auto"/>
          </w:divBdr>
        </w:div>
        <w:div w:id="454638599">
          <w:marLeft w:val="640"/>
          <w:marRight w:val="0"/>
          <w:marTop w:val="0"/>
          <w:marBottom w:val="0"/>
          <w:divBdr>
            <w:top w:val="none" w:sz="0" w:space="0" w:color="auto"/>
            <w:left w:val="none" w:sz="0" w:space="0" w:color="auto"/>
            <w:bottom w:val="none" w:sz="0" w:space="0" w:color="auto"/>
            <w:right w:val="none" w:sz="0" w:space="0" w:color="auto"/>
          </w:divBdr>
        </w:div>
        <w:div w:id="1960449866">
          <w:marLeft w:val="640"/>
          <w:marRight w:val="0"/>
          <w:marTop w:val="0"/>
          <w:marBottom w:val="0"/>
          <w:divBdr>
            <w:top w:val="none" w:sz="0" w:space="0" w:color="auto"/>
            <w:left w:val="none" w:sz="0" w:space="0" w:color="auto"/>
            <w:bottom w:val="none" w:sz="0" w:space="0" w:color="auto"/>
            <w:right w:val="none" w:sz="0" w:space="0" w:color="auto"/>
          </w:divBdr>
        </w:div>
        <w:div w:id="1527912031">
          <w:marLeft w:val="640"/>
          <w:marRight w:val="0"/>
          <w:marTop w:val="0"/>
          <w:marBottom w:val="0"/>
          <w:divBdr>
            <w:top w:val="none" w:sz="0" w:space="0" w:color="auto"/>
            <w:left w:val="none" w:sz="0" w:space="0" w:color="auto"/>
            <w:bottom w:val="none" w:sz="0" w:space="0" w:color="auto"/>
            <w:right w:val="none" w:sz="0" w:space="0" w:color="auto"/>
          </w:divBdr>
        </w:div>
        <w:div w:id="1526291007">
          <w:marLeft w:val="640"/>
          <w:marRight w:val="0"/>
          <w:marTop w:val="0"/>
          <w:marBottom w:val="0"/>
          <w:divBdr>
            <w:top w:val="none" w:sz="0" w:space="0" w:color="auto"/>
            <w:left w:val="none" w:sz="0" w:space="0" w:color="auto"/>
            <w:bottom w:val="none" w:sz="0" w:space="0" w:color="auto"/>
            <w:right w:val="none" w:sz="0" w:space="0" w:color="auto"/>
          </w:divBdr>
        </w:div>
        <w:div w:id="1614164783">
          <w:marLeft w:val="640"/>
          <w:marRight w:val="0"/>
          <w:marTop w:val="0"/>
          <w:marBottom w:val="0"/>
          <w:divBdr>
            <w:top w:val="none" w:sz="0" w:space="0" w:color="auto"/>
            <w:left w:val="none" w:sz="0" w:space="0" w:color="auto"/>
            <w:bottom w:val="none" w:sz="0" w:space="0" w:color="auto"/>
            <w:right w:val="none" w:sz="0" w:space="0" w:color="auto"/>
          </w:divBdr>
        </w:div>
        <w:div w:id="886524632">
          <w:marLeft w:val="640"/>
          <w:marRight w:val="0"/>
          <w:marTop w:val="0"/>
          <w:marBottom w:val="0"/>
          <w:divBdr>
            <w:top w:val="none" w:sz="0" w:space="0" w:color="auto"/>
            <w:left w:val="none" w:sz="0" w:space="0" w:color="auto"/>
            <w:bottom w:val="none" w:sz="0" w:space="0" w:color="auto"/>
            <w:right w:val="none" w:sz="0" w:space="0" w:color="auto"/>
          </w:divBdr>
        </w:div>
        <w:div w:id="1052196333">
          <w:marLeft w:val="640"/>
          <w:marRight w:val="0"/>
          <w:marTop w:val="0"/>
          <w:marBottom w:val="0"/>
          <w:divBdr>
            <w:top w:val="none" w:sz="0" w:space="0" w:color="auto"/>
            <w:left w:val="none" w:sz="0" w:space="0" w:color="auto"/>
            <w:bottom w:val="none" w:sz="0" w:space="0" w:color="auto"/>
            <w:right w:val="none" w:sz="0" w:space="0" w:color="auto"/>
          </w:divBdr>
        </w:div>
        <w:div w:id="2098208826">
          <w:marLeft w:val="640"/>
          <w:marRight w:val="0"/>
          <w:marTop w:val="0"/>
          <w:marBottom w:val="0"/>
          <w:divBdr>
            <w:top w:val="none" w:sz="0" w:space="0" w:color="auto"/>
            <w:left w:val="none" w:sz="0" w:space="0" w:color="auto"/>
            <w:bottom w:val="none" w:sz="0" w:space="0" w:color="auto"/>
            <w:right w:val="none" w:sz="0" w:space="0" w:color="auto"/>
          </w:divBdr>
        </w:div>
        <w:div w:id="1173184372">
          <w:marLeft w:val="640"/>
          <w:marRight w:val="0"/>
          <w:marTop w:val="0"/>
          <w:marBottom w:val="0"/>
          <w:divBdr>
            <w:top w:val="none" w:sz="0" w:space="0" w:color="auto"/>
            <w:left w:val="none" w:sz="0" w:space="0" w:color="auto"/>
            <w:bottom w:val="none" w:sz="0" w:space="0" w:color="auto"/>
            <w:right w:val="none" w:sz="0" w:space="0" w:color="auto"/>
          </w:divBdr>
        </w:div>
        <w:div w:id="1303578791">
          <w:marLeft w:val="640"/>
          <w:marRight w:val="0"/>
          <w:marTop w:val="0"/>
          <w:marBottom w:val="0"/>
          <w:divBdr>
            <w:top w:val="none" w:sz="0" w:space="0" w:color="auto"/>
            <w:left w:val="none" w:sz="0" w:space="0" w:color="auto"/>
            <w:bottom w:val="none" w:sz="0" w:space="0" w:color="auto"/>
            <w:right w:val="none" w:sz="0" w:space="0" w:color="auto"/>
          </w:divBdr>
        </w:div>
        <w:div w:id="1751153605">
          <w:marLeft w:val="640"/>
          <w:marRight w:val="0"/>
          <w:marTop w:val="0"/>
          <w:marBottom w:val="0"/>
          <w:divBdr>
            <w:top w:val="none" w:sz="0" w:space="0" w:color="auto"/>
            <w:left w:val="none" w:sz="0" w:space="0" w:color="auto"/>
            <w:bottom w:val="none" w:sz="0" w:space="0" w:color="auto"/>
            <w:right w:val="none" w:sz="0" w:space="0" w:color="auto"/>
          </w:divBdr>
        </w:div>
        <w:div w:id="1715153035">
          <w:marLeft w:val="640"/>
          <w:marRight w:val="0"/>
          <w:marTop w:val="0"/>
          <w:marBottom w:val="0"/>
          <w:divBdr>
            <w:top w:val="none" w:sz="0" w:space="0" w:color="auto"/>
            <w:left w:val="none" w:sz="0" w:space="0" w:color="auto"/>
            <w:bottom w:val="none" w:sz="0" w:space="0" w:color="auto"/>
            <w:right w:val="none" w:sz="0" w:space="0" w:color="auto"/>
          </w:divBdr>
        </w:div>
        <w:div w:id="101610738">
          <w:marLeft w:val="640"/>
          <w:marRight w:val="0"/>
          <w:marTop w:val="0"/>
          <w:marBottom w:val="0"/>
          <w:divBdr>
            <w:top w:val="none" w:sz="0" w:space="0" w:color="auto"/>
            <w:left w:val="none" w:sz="0" w:space="0" w:color="auto"/>
            <w:bottom w:val="none" w:sz="0" w:space="0" w:color="auto"/>
            <w:right w:val="none" w:sz="0" w:space="0" w:color="auto"/>
          </w:divBdr>
        </w:div>
        <w:div w:id="868957170">
          <w:marLeft w:val="640"/>
          <w:marRight w:val="0"/>
          <w:marTop w:val="0"/>
          <w:marBottom w:val="0"/>
          <w:divBdr>
            <w:top w:val="none" w:sz="0" w:space="0" w:color="auto"/>
            <w:left w:val="none" w:sz="0" w:space="0" w:color="auto"/>
            <w:bottom w:val="none" w:sz="0" w:space="0" w:color="auto"/>
            <w:right w:val="none" w:sz="0" w:space="0" w:color="auto"/>
          </w:divBdr>
        </w:div>
        <w:div w:id="760106320">
          <w:marLeft w:val="640"/>
          <w:marRight w:val="0"/>
          <w:marTop w:val="0"/>
          <w:marBottom w:val="0"/>
          <w:divBdr>
            <w:top w:val="none" w:sz="0" w:space="0" w:color="auto"/>
            <w:left w:val="none" w:sz="0" w:space="0" w:color="auto"/>
            <w:bottom w:val="none" w:sz="0" w:space="0" w:color="auto"/>
            <w:right w:val="none" w:sz="0" w:space="0" w:color="auto"/>
          </w:divBdr>
        </w:div>
        <w:div w:id="78673464">
          <w:marLeft w:val="640"/>
          <w:marRight w:val="0"/>
          <w:marTop w:val="0"/>
          <w:marBottom w:val="0"/>
          <w:divBdr>
            <w:top w:val="none" w:sz="0" w:space="0" w:color="auto"/>
            <w:left w:val="none" w:sz="0" w:space="0" w:color="auto"/>
            <w:bottom w:val="none" w:sz="0" w:space="0" w:color="auto"/>
            <w:right w:val="none" w:sz="0" w:space="0" w:color="auto"/>
          </w:divBdr>
        </w:div>
        <w:div w:id="1396203443">
          <w:marLeft w:val="640"/>
          <w:marRight w:val="0"/>
          <w:marTop w:val="0"/>
          <w:marBottom w:val="0"/>
          <w:divBdr>
            <w:top w:val="none" w:sz="0" w:space="0" w:color="auto"/>
            <w:left w:val="none" w:sz="0" w:space="0" w:color="auto"/>
            <w:bottom w:val="none" w:sz="0" w:space="0" w:color="auto"/>
            <w:right w:val="none" w:sz="0" w:space="0" w:color="auto"/>
          </w:divBdr>
        </w:div>
        <w:div w:id="794714645">
          <w:marLeft w:val="640"/>
          <w:marRight w:val="0"/>
          <w:marTop w:val="0"/>
          <w:marBottom w:val="0"/>
          <w:divBdr>
            <w:top w:val="none" w:sz="0" w:space="0" w:color="auto"/>
            <w:left w:val="none" w:sz="0" w:space="0" w:color="auto"/>
            <w:bottom w:val="none" w:sz="0" w:space="0" w:color="auto"/>
            <w:right w:val="none" w:sz="0" w:space="0" w:color="auto"/>
          </w:divBdr>
        </w:div>
        <w:div w:id="499660555">
          <w:marLeft w:val="640"/>
          <w:marRight w:val="0"/>
          <w:marTop w:val="0"/>
          <w:marBottom w:val="0"/>
          <w:divBdr>
            <w:top w:val="none" w:sz="0" w:space="0" w:color="auto"/>
            <w:left w:val="none" w:sz="0" w:space="0" w:color="auto"/>
            <w:bottom w:val="none" w:sz="0" w:space="0" w:color="auto"/>
            <w:right w:val="none" w:sz="0" w:space="0" w:color="auto"/>
          </w:divBdr>
        </w:div>
        <w:div w:id="307589810">
          <w:marLeft w:val="640"/>
          <w:marRight w:val="0"/>
          <w:marTop w:val="0"/>
          <w:marBottom w:val="0"/>
          <w:divBdr>
            <w:top w:val="none" w:sz="0" w:space="0" w:color="auto"/>
            <w:left w:val="none" w:sz="0" w:space="0" w:color="auto"/>
            <w:bottom w:val="none" w:sz="0" w:space="0" w:color="auto"/>
            <w:right w:val="none" w:sz="0" w:space="0" w:color="auto"/>
          </w:divBdr>
        </w:div>
        <w:div w:id="1864632604">
          <w:marLeft w:val="640"/>
          <w:marRight w:val="0"/>
          <w:marTop w:val="0"/>
          <w:marBottom w:val="0"/>
          <w:divBdr>
            <w:top w:val="none" w:sz="0" w:space="0" w:color="auto"/>
            <w:left w:val="none" w:sz="0" w:space="0" w:color="auto"/>
            <w:bottom w:val="none" w:sz="0" w:space="0" w:color="auto"/>
            <w:right w:val="none" w:sz="0" w:space="0" w:color="auto"/>
          </w:divBdr>
        </w:div>
        <w:div w:id="707220568">
          <w:marLeft w:val="640"/>
          <w:marRight w:val="0"/>
          <w:marTop w:val="0"/>
          <w:marBottom w:val="0"/>
          <w:divBdr>
            <w:top w:val="none" w:sz="0" w:space="0" w:color="auto"/>
            <w:left w:val="none" w:sz="0" w:space="0" w:color="auto"/>
            <w:bottom w:val="none" w:sz="0" w:space="0" w:color="auto"/>
            <w:right w:val="none" w:sz="0" w:space="0" w:color="auto"/>
          </w:divBdr>
        </w:div>
        <w:div w:id="1168208767">
          <w:marLeft w:val="640"/>
          <w:marRight w:val="0"/>
          <w:marTop w:val="0"/>
          <w:marBottom w:val="0"/>
          <w:divBdr>
            <w:top w:val="none" w:sz="0" w:space="0" w:color="auto"/>
            <w:left w:val="none" w:sz="0" w:space="0" w:color="auto"/>
            <w:bottom w:val="none" w:sz="0" w:space="0" w:color="auto"/>
            <w:right w:val="none" w:sz="0" w:space="0" w:color="auto"/>
          </w:divBdr>
        </w:div>
        <w:div w:id="377046648">
          <w:marLeft w:val="640"/>
          <w:marRight w:val="0"/>
          <w:marTop w:val="0"/>
          <w:marBottom w:val="0"/>
          <w:divBdr>
            <w:top w:val="none" w:sz="0" w:space="0" w:color="auto"/>
            <w:left w:val="none" w:sz="0" w:space="0" w:color="auto"/>
            <w:bottom w:val="none" w:sz="0" w:space="0" w:color="auto"/>
            <w:right w:val="none" w:sz="0" w:space="0" w:color="auto"/>
          </w:divBdr>
        </w:div>
        <w:div w:id="1134253172">
          <w:marLeft w:val="640"/>
          <w:marRight w:val="0"/>
          <w:marTop w:val="0"/>
          <w:marBottom w:val="0"/>
          <w:divBdr>
            <w:top w:val="none" w:sz="0" w:space="0" w:color="auto"/>
            <w:left w:val="none" w:sz="0" w:space="0" w:color="auto"/>
            <w:bottom w:val="none" w:sz="0" w:space="0" w:color="auto"/>
            <w:right w:val="none" w:sz="0" w:space="0" w:color="auto"/>
          </w:divBdr>
        </w:div>
      </w:divsChild>
    </w:div>
    <w:div w:id="2109108815">
      <w:bodyDiv w:val="1"/>
      <w:marLeft w:val="0"/>
      <w:marRight w:val="0"/>
      <w:marTop w:val="0"/>
      <w:marBottom w:val="0"/>
      <w:divBdr>
        <w:top w:val="none" w:sz="0" w:space="0" w:color="auto"/>
        <w:left w:val="none" w:sz="0" w:space="0" w:color="auto"/>
        <w:bottom w:val="none" w:sz="0" w:space="0" w:color="auto"/>
        <w:right w:val="none" w:sz="0" w:space="0" w:color="auto"/>
      </w:divBdr>
      <w:divsChild>
        <w:div w:id="1477143567">
          <w:marLeft w:val="640"/>
          <w:marRight w:val="0"/>
          <w:marTop w:val="0"/>
          <w:marBottom w:val="0"/>
          <w:divBdr>
            <w:top w:val="none" w:sz="0" w:space="0" w:color="auto"/>
            <w:left w:val="none" w:sz="0" w:space="0" w:color="auto"/>
            <w:bottom w:val="none" w:sz="0" w:space="0" w:color="auto"/>
            <w:right w:val="none" w:sz="0" w:space="0" w:color="auto"/>
          </w:divBdr>
        </w:div>
        <w:div w:id="1600065898">
          <w:marLeft w:val="640"/>
          <w:marRight w:val="0"/>
          <w:marTop w:val="0"/>
          <w:marBottom w:val="0"/>
          <w:divBdr>
            <w:top w:val="none" w:sz="0" w:space="0" w:color="auto"/>
            <w:left w:val="none" w:sz="0" w:space="0" w:color="auto"/>
            <w:bottom w:val="none" w:sz="0" w:space="0" w:color="auto"/>
            <w:right w:val="none" w:sz="0" w:space="0" w:color="auto"/>
          </w:divBdr>
        </w:div>
        <w:div w:id="1647465497">
          <w:marLeft w:val="640"/>
          <w:marRight w:val="0"/>
          <w:marTop w:val="0"/>
          <w:marBottom w:val="0"/>
          <w:divBdr>
            <w:top w:val="none" w:sz="0" w:space="0" w:color="auto"/>
            <w:left w:val="none" w:sz="0" w:space="0" w:color="auto"/>
            <w:bottom w:val="none" w:sz="0" w:space="0" w:color="auto"/>
            <w:right w:val="none" w:sz="0" w:space="0" w:color="auto"/>
          </w:divBdr>
        </w:div>
        <w:div w:id="1841430849">
          <w:marLeft w:val="640"/>
          <w:marRight w:val="0"/>
          <w:marTop w:val="0"/>
          <w:marBottom w:val="0"/>
          <w:divBdr>
            <w:top w:val="none" w:sz="0" w:space="0" w:color="auto"/>
            <w:left w:val="none" w:sz="0" w:space="0" w:color="auto"/>
            <w:bottom w:val="none" w:sz="0" w:space="0" w:color="auto"/>
            <w:right w:val="none" w:sz="0" w:space="0" w:color="auto"/>
          </w:divBdr>
        </w:div>
        <w:div w:id="364259598">
          <w:marLeft w:val="640"/>
          <w:marRight w:val="0"/>
          <w:marTop w:val="0"/>
          <w:marBottom w:val="0"/>
          <w:divBdr>
            <w:top w:val="none" w:sz="0" w:space="0" w:color="auto"/>
            <w:left w:val="none" w:sz="0" w:space="0" w:color="auto"/>
            <w:bottom w:val="none" w:sz="0" w:space="0" w:color="auto"/>
            <w:right w:val="none" w:sz="0" w:space="0" w:color="auto"/>
          </w:divBdr>
        </w:div>
        <w:div w:id="574163791">
          <w:marLeft w:val="640"/>
          <w:marRight w:val="0"/>
          <w:marTop w:val="0"/>
          <w:marBottom w:val="0"/>
          <w:divBdr>
            <w:top w:val="none" w:sz="0" w:space="0" w:color="auto"/>
            <w:left w:val="none" w:sz="0" w:space="0" w:color="auto"/>
            <w:bottom w:val="none" w:sz="0" w:space="0" w:color="auto"/>
            <w:right w:val="none" w:sz="0" w:space="0" w:color="auto"/>
          </w:divBdr>
        </w:div>
        <w:div w:id="406660181">
          <w:marLeft w:val="640"/>
          <w:marRight w:val="0"/>
          <w:marTop w:val="0"/>
          <w:marBottom w:val="0"/>
          <w:divBdr>
            <w:top w:val="none" w:sz="0" w:space="0" w:color="auto"/>
            <w:left w:val="none" w:sz="0" w:space="0" w:color="auto"/>
            <w:bottom w:val="none" w:sz="0" w:space="0" w:color="auto"/>
            <w:right w:val="none" w:sz="0" w:space="0" w:color="auto"/>
          </w:divBdr>
        </w:div>
        <w:div w:id="268778360">
          <w:marLeft w:val="640"/>
          <w:marRight w:val="0"/>
          <w:marTop w:val="0"/>
          <w:marBottom w:val="0"/>
          <w:divBdr>
            <w:top w:val="none" w:sz="0" w:space="0" w:color="auto"/>
            <w:left w:val="none" w:sz="0" w:space="0" w:color="auto"/>
            <w:bottom w:val="none" w:sz="0" w:space="0" w:color="auto"/>
            <w:right w:val="none" w:sz="0" w:space="0" w:color="auto"/>
          </w:divBdr>
        </w:div>
        <w:div w:id="50227933">
          <w:marLeft w:val="640"/>
          <w:marRight w:val="0"/>
          <w:marTop w:val="0"/>
          <w:marBottom w:val="0"/>
          <w:divBdr>
            <w:top w:val="none" w:sz="0" w:space="0" w:color="auto"/>
            <w:left w:val="none" w:sz="0" w:space="0" w:color="auto"/>
            <w:bottom w:val="none" w:sz="0" w:space="0" w:color="auto"/>
            <w:right w:val="none" w:sz="0" w:space="0" w:color="auto"/>
          </w:divBdr>
        </w:div>
        <w:div w:id="104036070">
          <w:marLeft w:val="640"/>
          <w:marRight w:val="0"/>
          <w:marTop w:val="0"/>
          <w:marBottom w:val="0"/>
          <w:divBdr>
            <w:top w:val="none" w:sz="0" w:space="0" w:color="auto"/>
            <w:left w:val="none" w:sz="0" w:space="0" w:color="auto"/>
            <w:bottom w:val="none" w:sz="0" w:space="0" w:color="auto"/>
            <w:right w:val="none" w:sz="0" w:space="0" w:color="auto"/>
          </w:divBdr>
        </w:div>
        <w:div w:id="282081154">
          <w:marLeft w:val="640"/>
          <w:marRight w:val="0"/>
          <w:marTop w:val="0"/>
          <w:marBottom w:val="0"/>
          <w:divBdr>
            <w:top w:val="none" w:sz="0" w:space="0" w:color="auto"/>
            <w:left w:val="none" w:sz="0" w:space="0" w:color="auto"/>
            <w:bottom w:val="none" w:sz="0" w:space="0" w:color="auto"/>
            <w:right w:val="none" w:sz="0" w:space="0" w:color="auto"/>
          </w:divBdr>
        </w:div>
        <w:div w:id="497888293">
          <w:marLeft w:val="640"/>
          <w:marRight w:val="0"/>
          <w:marTop w:val="0"/>
          <w:marBottom w:val="0"/>
          <w:divBdr>
            <w:top w:val="none" w:sz="0" w:space="0" w:color="auto"/>
            <w:left w:val="none" w:sz="0" w:space="0" w:color="auto"/>
            <w:bottom w:val="none" w:sz="0" w:space="0" w:color="auto"/>
            <w:right w:val="none" w:sz="0" w:space="0" w:color="auto"/>
          </w:divBdr>
        </w:div>
        <w:div w:id="173038867">
          <w:marLeft w:val="640"/>
          <w:marRight w:val="0"/>
          <w:marTop w:val="0"/>
          <w:marBottom w:val="0"/>
          <w:divBdr>
            <w:top w:val="none" w:sz="0" w:space="0" w:color="auto"/>
            <w:left w:val="none" w:sz="0" w:space="0" w:color="auto"/>
            <w:bottom w:val="none" w:sz="0" w:space="0" w:color="auto"/>
            <w:right w:val="none" w:sz="0" w:space="0" w:color="auto"/>
          </w:divBdr>
        </w:div>
        <w:div w:id="1194149890">
          <w:marLeft w:val="640"/>
          <w:marRight w:val="0"/>
          <w:marTop w:val="0"/>
          <w:marBottom w:val="0"/>
          <w:divBdr>
            <w:top w:val="none" w:sz="0" w:space="0" w:color="auto"/>
            <w:left w:val="none" w:sz="0" w:space="0" w:color="auto"/>
            <w:bottom w:val="none" w:sz="0" w:space="0" w:color="auto"/>
            <w:right w:val="none" w:sz="0" w:space="0" w:color="auto"/>
          </w:divBdr>
        </w:div>
        <w:div w:id="983005353">
          <w:marLeft w:val="640"/>
          <w:marRight w:val="0"/>
          <w:marTop w:val="0"/>
          <w:marBottom w:val="0"/>
          <w:divBdr>
            <w:top w:val="none" w:sz="0" w:space="0" w:color="auto"/>
            <w:left w:val="none" w:sz="0" w:space="0" w:color="auto"/>
            <w:bottom w:val="none" w:sz="0" w:space="0" w:color="auto"/>
            <w:right w:val="none" w:sz="0" w:space="0" w:color="auto"/>
          </w:divBdr>
        </w:div>
        <w:div w:id="1018775794">
          <w:marLeft w:val="640"/>
          <w:marRight w:val="0"/>
          <w:marTop w:val="0"/>
          <w:marBottom w:val="0"/>
          <w:divBdr>
            <w:top w:val="none" w:sz="0" w:space="0" w:color="auto"/>
            <w:left w:val="none" w:sz="0" w:space="0" w:color="auto"/>
            <w:bottom w:val="none" w:sz="0" w:space="0" w:color="auto"/>
            <w:right w:val="none" w:sz="0" w:space="0" w:color="auto"/>
          </w:divBdr>
        </w:div>
        <w:div w:id="80276917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5478B368364B058FB0D1F5C222B374"/>
        <w:category>
          <w:name w:val="General"/>
          <w:gallery w:val="placeholder"/>
        </w:category>
        <w:types>
          <w:type w:val="bbPlcHdr"/>
        </w:types>
        <w:behaviors>
          <w:behavior w:val="content"/>
        </w:behaviors>
        <w:guid w:val="{6B4EEB7E-CDC1-4B67-B519-49D3CF5B53E9}"/>
      </w:docPartPr>
      <w:docPartBody>
        <w:p w:rsidR="000878EA" w:rsidRDefault="000878EA" w:rsidP="000878EA">
          <w:pPr>
            <w:pStyle w:val="7F5478B368364B058FB0D1F5C222B374"/>
          </w:pPr>
          <w:r w:rsidRPr="00D9035D">
            <w:rPr>
              <w:rStyle w:val="PlaceholderText"/>
            </w:rPr>
            <w:t>Click or tap here to enter text.</w:t>
          </w:r>
        </w:p>
      </w:docPartBody>
    </w:docPart>
    <w:docPart>
      <w:docPartPr>
        <w:name w:val="B064D8471DA44270AC9C6B40763E35E0"/>
        <w:category>
          <w:name w:val="General"/>
          <w:gallery w:val="placeholder"/>
        </w:category>
        <w:types>
          <w:type w:val="bbPlcHdr"/>
        </w:types>
        <w:behaviors>
          <w:behavior w:val="content"/>
        </w:behaviors>
        <w:guid w:val="{F77C7CED-7EC9-47D4-98E0-CCCEA0F4F423}"/>
      </w:docPartPr>
      <w:docPartBody>
        <w:p w:rsidR="000878EA" w:rsidRDefault="000878EA" w:rsidP="000878EA">
          <w:pPr>
            <w:pStyle w:val="B064D8471DA44270AC9C6B40763E35E0"/>
          </w:pPr>
          <w:r w:rsidRPr="00D9035D">
            <w:rPr>
              <w:rStyle w:val="PlaceholderText"/>
            </w:rPr>
            <w:t>Click or tap here to enter text.</w:t>
          </w:r>
        </w:p>
      </w:docPartBody>
    </w:docPart>
    <w:docPart>
      <w:docPartPr>
        <w:name w:val="8EF984C0FDC343FF9A5DBE0766C3F09B"/>
        <w:category>
          <w:name w:val="General"/>
          <w:gallery w:val="placeholder"/>
        </w:category>
        <w:types>
          <w:type w:val="bbPlcHdr"/>
        </w:types>
        <w:behaviors>
          <w:behavior w:val="content"/>
        </w:behaviors>
        <w:guid w:val="{87F1D796-0E73-483F-AF15-908D49717E86}"/>
      </w:docPartPr>
      <w:docPartBody>
        <w:p w:rsidR="000878EA" w:rsidRDefault="000878EA" w:rsidP="000878EA">
          <w:pPr>
            <w:pStyle w:val="8EF984C0FDC343FF9A5DBE0766C3F09B"/>
          </w:pPr>
          <w:r w:rsidRPr="00D9035D">
            <w:rPr>
              <w:rStyle w:val="PlaceholderText"/>
            </w:rPr>
            <w:t>Click or tap here to enter text.</w:t>
          </w:r>
        </w:p>
      </w:docPartBody>
    </w:docPart>
    <w:docPart>
      <w:docPartPr>
        <w:name w:val="CE9C5AB4EEB44CF792AC8537C4C040D9"/>
        <w:category>
          <w:name w:val="General"/>
          <w:gallery w:val="placeholder"/>
        </w:category>
        <w:types>
          <w:type w:val="bbPlcHdr"/>
        </w:types>
        <w:behaviors>
          <w:behavior w:val="content"/>
        </w:behaviors>
        <w:guid w:val="{D26B878F-0092-4CC4-A1D8-A213470E1B79}"/>
      </w:docPartPr>
      <w:docPartBody>
        <w:p w:rsidR="000878EA" w:rsidRDefault="000878EA" w:rsidP="000878EA">
          <w:pPr>
            <w:pStyle w:val="CE9C5AB4EEB44CF792AC8537C4C040D9"/>
          </w:pPr>
          <w:r w:rsidRPr="00D9035D">
            <w:rPr>
              <w:rStyle w:val="PlaceholderText"/>
            </w:rPr>
            <w:t>Click or tap here to enter text.</w:t>
          </w:r>
        </w:p>
      </w:docPartBody>
    </w:docPart>
    <w:docPart>
      <w:docPartPr>
        <w:name w:val="532761DAF22946889C2F0E5169AE6C43"/>
        <w:category>
          <w:name w:val="General"/>
          <w:gallery w:val="placeholder"/>
        </w:category>
        <w:types>
          <w:type w:val="bbPlcHdr"/>
        </w:types>
        <w:behaviors>
          <w:behavior w:val="content"/>
        </w:behaviors>
        <w:guid w:val="{CB376637-B4D2-4C6B-B889-75F835E6BD02}"/>
      </w:docPartPr>
      <w:docPartBody>
        <w:p w:rsidR="000878EA" w:rsidRDefault="000878EA" w:rsidP="000878EA">
          <w:pPr>
            <w:pStyle w:val="532761DAF22946889C2F0E5169AE6C43"/>
          </w:pPr>
          <w:r w:rsidRPr="00D9035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A13C28C-D62C-414B-9A6B-F0E08C4BA3DC}"/>
      </w:docPartPr>
      <w:docPartBody>
        <w:p w:rsidR="000878EA" w:rsidRDefault="000878EA">
          <w:r w:rsidRPr="008B1105">
            <w:rPr>
              <w:rStyle w:val="PlaceholderText"/>
            </w:rPr>
            <w:t>Click or tap here to enter text.</w:t>
          </w:r>
        </w:p>
      </w:docPartBody>
    </w:docPart>
    <w:docPart>
      <w:docPartPr>
        <w:name w:val="83B05E39EDBD495D9500E9483A8A8760"/>
        <w:category>
          <w:name w:val="General"/>
          <w:gallery w:val="placeholder"/>
        </w:category>
        <w:types>
          <w:type w:val="bbPlcHdr"/>
        </w:types>
        <w:behaviors>
          <w:behavior w:val="content"/>
        </w:behaviors>
        <w:guid w:val="{9EFDB287-0F57-40D2-B199-6A2A402DDD1F}"/>
      </w:docPartPr>
      <w:docPartBody>
        <w:p w:rsidR="00F86580" w:rsidRDefault="00AE3E69" w:rsidP="00AE3E69">
          <w:pPr>
            <w:pStyle w:val="83B05E39EDBD495D9500E9483A8A8760"/>
          </w:pPr>
          <w:r w:rsidRPr="00D9035D">
            <w:rPr>
              <w:rStyle w:val="PlaceholderText"/>
            </w:rPr>
            <w:t>Click or tap here to enter text.</w:t>
          </w:r>
        </w:p>
      </w:docPartBody>
    </w:docPart>
    <w:docPart>
      <w:docPartPr>
        <w:name w:val="86153B419EC949C8B4314E3A67EBD20E"/>
        <w:category>
          <w:name w:val="General"/>
          <w:gallery w:val="placeholder"/>
        </w:category>
        <w:types>
          <w:type w:val="bbPlcHdr"/>
        </w:types>
        <w:behaviors>
          <w:behavior w:val="content"/>
        </w:behaviors>
        <w:guid w:val="{C7E0A777-6DF0-49A0-B668-9A0E3DC58B2E}"/>
      </w:docPartPr>
      <w:docPartBody>
        <w:p w:rsidR="00F86580" w:rsidRDefault="00AE3E69" w:rsidP="00AE3E69">
          <w:pPr>
            <w:pStyle w:val="86153B419EC949C8B4314E3A67EBD20E"/>
          </w:pPr>
          <w:r w:rsidRPr="00D9035D">
            <w:rPr>
              <w:rStyle w:val="PlaceholderText"/>
            </w:rPr>
            <w:t>Click or tap here to enter text.</w:t>
          </w:r>
        </w:p>
      </w:docPartBody>
    </w:docPart>
    <w:docPart>
      <w:docPartPr>
        <w:name w:val="CA4C8670D796485596D787559B5BFF69"/>
        <w:category>
          <w:name w:val="General"/>
          <w:gallery w:val="placeholder"/>
        </w:category>
        <w:types>
          <w:type w:val="bbPlcHdr"/>
        </w:types>
        <w:behaviors>
          <w:behavior w:val="content"/>
        </w:behaviors>
        <w:guid w:val="{546B2BF3-C7C1-4CAE-BA7B-E4F8AAD26508}"/>
      </w:docPartPr>
      <w:docPartBody>
        <w:p w:rsidR="00F86580" w:rsidRDefault="00AE3E69" w:rsidP="00AE3E69">
          <w:pPr>
            <w:pStyle w:val="CA4C8670D796485596D787559B5BFF69"/>
          </w:pPr>
          <w:r w:rsidRPr="00D9035D">
            <w:rPr>
              <w:rStyle w:val="PlaceholderText"/>
            </w:rPr>
            <w:t>Click or tap here to enter text.</w:t>
          </w:r>
        </w:p>
      </w:docPartBody>
    </w:docPart>
    <w:docPart>
      <w:docPartPr>
        <w:name w:val="3207810ED6F543F593F2FD713250541A"/>
        <w:category>
          <w:name w:val="General"/>
          <w:gallery w:val="placeholder"/>
        </w:category>
        <w:types>
          <w:type w:val="bbPlcHdr"/>
        </w:types>
        <w:behaviors>
          <w:behavior w:val="content"/>
        </w:behaviors>
        <w:guid w:val="{529DC376-5932-4BC1-ACFE-BB5D254B09D4}"/>
      </w:docPartPr>
      <w:docPartBody>
        <w:p w:rsidR="005F4401" w:rsidRDefault="004211E6" w:rsidP="004211E6">
          <w:pPr>
            <w:pStyle w:val="3207810ED6F543F593F2FD713250541A"/>
          </w:pPr>
          <w:r w:rsidRPr="00D9035D">
            <w:rPr>
              <w:rStyle w:val="PlaceholderText"/>
            </w:rPr>
            <w:t>Click or tap here to enter text.</w:t>
          </w:r>
        </w:p>
      </w:docPartBody>
    </w:docPart>
    <w:docPart>
      <w:docPartPr>
        <w:name w:val="4DCE7729083B49538F47DBFFFC83A728"/>
        <w:category>
          <w:name w:val="General"/>
          <w:gallery w:val="placeholder"/>
        </w:category>
        <w:types>
          <w:type w:val="bbPlcHdr"/>
        </w:types>
        <w:behaviors>
          <w:behavior w:val="content"/>
        </w:behaviors>
        <w:guid w:val="{C42B4C08-AD53-421D-97E0-4ACAD8851B0C}"/>
      </w:docPartPr>
      <w:docPartBody>
        <w:p w:rsidR="005F4401" w:rsidRDefault="004211E6" w:rsidP="004211E6">
          <w:pPr>
            <w:pStyle w:val="4DCE7729083B49538F47DBFFFC83A728"/>
          </w:pPr>
          <w:r w:rsidRPr="00D903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EA"/>
    <w:rsid w:val="000878EA"/>
    <w:rsid w:val="00093308"/>
    <w:rsid w:val="00142DBE"/>
    <w:rsid w:val="0019196F"/>
    <w:rsid w:val="001B7B07"/>
    <w:rsid w:val="001F068E"/>
    <w:rsid w:val="002916DF"/>
    <w:rsid w:val="00295737"/>
    <w:rsid w:val="002E105C"/>
    <w:rsid w:val="004211E6"/>
    <w:rsid w:val="004771FE"/>
    <w:rsid w:val="00523802"/>
    <w:rsid w:val="005707BE"/>
    <w:rsid w:val="005F4401"/>
    <w:rsid w:val="00605E2B"/>
    <w:rsid w:val="006062AE"/>
    <w:rsid w:val="006D5B9B"/>
    <w:rsid w:val="00714410"/>
    <w:rsid w:val="00955C10"/>
    <w:rsid w:val="00A11092"/>
    <w:rsid w:val="00AC350F"/>
    <w:rsid w:val="00AE3E69"/>
    <w:rsid w:val="00B37CC4"/>
    <w:rsid w:val="00BF2D49"/>
    <w:rsid w:val="00C17F2D"/>
    <w:rsid w:val="00EA2EAF"/>
    <w:rsid w:val="00F8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11E6"/>
    <w:rPr>
      <w:color w:val="666666"/>
    </w:rPr>
  </w:style>
  <w:style w:type="paragraph" w:customStyle="1" w:styleId="83B05E39EDBD495D9500E9483A8A8760">
    <w:name w:val="83B05E39EDBD495D9500E9483A8A8760"/>
    <w:rsid w:val="00AE3E69"/>
  </w:style>
  <w:style w:type="paragraph" w:customStyle="1" w:styleId="7F5478B368364B058FB0D1F5C222B374">
    <w:name w:val="7F5478B368364B058FB0D1F5C222B374"/>
    <w:rsid w:val="000878EA"/>
  </w:style>
  <w:style w:type="paragraph" w:customStyle="1" w:styleId="B064D8471DA44270AC9C6B40763E35E0">
    <w:name w:val="B064D8471DA44270AC9C6B40763E35E0"/>
    <w:rsid w:val="000878EA"/>
  </w:style>
  <w:style w:type="paragraph" w:customStyle="1" w:styleId="8EF984C0FDC343FF9A5DBE0766C3F09B">
    <w:name w:val="8EF984C0FDC343FF9A5DBE0766C3F09B"/>
    <w:rsid w:val="000878EA"/>
  </w:style>
  <w:style w:type="paragraph" w:customStyle="1" w:styleId="CE9C5AB4EEB44CF792AC8537C4C040D9">
    <w:name w:val="CE9C5AB4EEB44CF792AC8537C4C040D9"/>
    <w:rsid w:val="000878EA"/>
  </w:style>
  <w:style w:type="paragraph" w:customStyle="1" w:styleId="532761DAF22946889C2F0E5169AE6C43">
    <w:name w:val="532761DAF22946889C2F0E5169AE6C43"/>
    <w:rsid w:val="000878EA"/>
  </w:style>
  <w:style w:type="paragraph" w:customStyle="1" w:styleId="86153B419EC949C8B4314E3A67EBD20E">
    <w:name w:val="86153B419EC949C8B4314E3A67EBD20E"/>
    <w:rsid w:val="00AE3E69"/>
  </w:style>
  <w:style w:type="paragraph" w:customStyle="1" w:styleId="CA4C8670D796485596D787559B5BFF69">
    <w:name w:val="CA4C8670D796485596D787559B5BFF69"/>
    <w:rsid w:val="00AE3E69"/>
  </w:style>
  <w:style w:type="paragraph" w:customStyle="1" w:styleId="3207810ED6F543F593F2FD713250541A">
    <w:name w:val="3207810ED6F543F593F2FD713250541A"/>
    <w:rsid w:val="004211E6"/>
  </w:style>
  <w:style w:type="paragraph" w:customStyle="1" w:styleId="4DCE7729083B49538F47DBFFFC83A728">
    <w:name w:val="4DCE7729083B49538F47DBFFFC83A728"/>
    <w:rsid w:val="004211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2A72C6-CE5E-4EA6-9853-C292FEA68B77}">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3ebbac5f-e104-446a-812f-cdccbecc1069&quot;,&quot;properties&quot;:{&quot;noteIndex&quot;:0},&quot;isEdited&quot;:false,&quot;manualOverride&quot;:{&quot;isManuallyOverridden&quot;:false,&quot;citeprocText&quot;:&quot;[1]&quot;,&quot;manualOverrideText&quot;:&quot;&quot;},&quot;citationTag&quot;:&quot;MENDELEY_CITATION_v3_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&quot;,&quot;citationItems&quot;:[{&quot;id&quot;:&quot;0c8724a1-1cf0-38dd-89ce-5686ef54a162&quot;,&quot;itemData&quot;:{&quot;type&quot;:&quot;article-journal&quot;,&quot;id&quot;:&quot;0c8724a1-1cf0-38dd-89ce-5686ef54a162&quot;,&quot;title&quot;:&quot;Determinants of effective vaccine coverage in low and middle-income countries: A systematic review and interpretive synthesis&quot;,&quot;author&quot;:[{&quot;family&quot;:&quot;Phillips&quot;,&quot;given&quot;:&quot;David E.&quot;,&quot;parse-names&quot;:false,&quot;dropping-particle&quot;:&quot;&quot;,&quot;non-dropping-particle&quot;:&quot;&quot;},{&quot;family&quot;:&quot;Dieleman&quot;,&quot;given&quot;:&quot;Joseph L.&quot;,&quot;parse-names&quot;:false,&quot;dropping-particle&quot;:&quot;&quot;,&quot;non-dropping-particle&quot;:&quot;&quot;},{&quot;family&quot;:&quot;Lim&quot;,&quot;given&quot;:&quot;Stephen S.&quot;,&quot;parse-names&quot;:false,&quot;dropping-particle&quot;:&quot;&quot;,&quot;non-dropping-particle&quot;:&quot;&quot;},{&quot;family&quot;:&quot;Shearer&quot;,&quot;given&quot;:&quot;Jessica&quot;,&quot;parse-names&quot;:false,&quot;dropping-particle&quot;:&quot;&quot;,&quot;non-dropping-particle&quot;:&quot;&quot;}],&quot;container-title&quot;:&quot;BMC Health Services Research&quot;,&quot;container-title-short&quot;:&quot;BMC Health Serv Res&quot;,&quot;accessed&quot;:{&quot;date-parts&quot;:[[2024,4,16]]},&quot;DOI&quot;:&quot;10.1186/S12913-017-2626-0/FIGURES/4&quot;,&quot;ISSN&quot;:&quot;14726963&quot;,&quot;PMID&quot;:&quot;28950899&quot;,&quot;URL&quot;:&quot;https://link.springer.com/articles/10.1186/s12913-017-2626-0&quot;,&quot;issued&quot;:{&quot;date-parts&quot;:[[2017,9,26]]},&quot;page&quot;:&quot;1-17&quot;,&quot;abstract&quot;:&quot;Background: Many children in low and middle-income countries remain unvaccinated, and vaccines do not always produce immunity. Extensive research has sought to understand why, but most studies have been limited in breadth and depth. This study documents existing evidence on determinants of vaccination and immunization and presents a conceptual framework of determinants. Methods: We used systematic review, content analysis, thematic analysis and interpretive synthesis to document and analyze the existing evidence on determinants of childhood vaccination and immunization. Results: We documented 1609 articles, including content analysis of 78 articles. Three major thematic models were described in the context of one another. Interpretive synthesis identified similarities and differences between studies, resulting in a conceptual framework with three principal vaccine utilization determinants: 1) Intent to Vaccinate, 2) Community Access and 3) Health Facility Readiness. Conclusion: This study presents the most comprehensive systematic review of vaccine determinants to date. The conceptual framework represents a synthesis of multiple existing frameworks, is applicable in low and middle-income countries, and is quantitatively testable. Future researchers can use these results to develop competing conceptual frameworks, or to analyze data in a theoretically-grounded way. This review enables better research in the future, further understanding of immunization determinants, and greater progress against vaccine preventable diseases around the world.&quot;,&quot;publisher&quot;:&quot;BioMed Central Ltd.&quot;,&quot;issue&quot;:&quot;1&quot;,&quot;volume&quot;:&quot;17&quot;},&quot;isTemporary&quot;:false}]},{&quot;citationID&quot;:&quot;MENDELEY_CITATION_3ba8a395-8f67-4329-bddd-f530a155f528&quot;,&quot;properties&quot;:{&quot;noteIndex&quot;:0},&quot;isEdited&quot;:false,&quot;manualOverride&quot;:{&quot;isManuallyOverridden&quot;:false,&quot;citeprocText&quot;:&quot;[2]&quot;,&quot;manualOverrideText&quot;:&quot;&quot;},&quot;citationTag&quot;:&quot;MENDELEY_CITATION_v3_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&quot;,&quot;citationItems&quot;:[{&quot;id&quot;:&quot;a95ab47d-1509-3aab-ae71-e21f19e46b95&quot;,&quot;itemData&quot;:{&quot;type&quot;:&quot;article-journal&quot;,&quot;id&quot;:&quot;a95ab47d-1509-3aab-ae71-e21f19e46b95&quot;,&quot;title&quot;:&quot;The Journal of Infectious Diseases The World of Immunization: Achievements, Challenges, and Strategic Vision for the Next Decade&quot;,&quot;author&quot;:[{&quot;family&quot;:&quot;O'brien&quot;,&quot;given&quot;:&quot;Katherine L&quot;,&quot;parse-names&quot;:false,&quot;dropping-particle&quot;:&quot;&quot;,&quot;non-dropping-particle&quot;:&quot;&quot;},{&quot;family&quot;:&quot;Lindstrand&quot;,&quot;given&quot;:&quot;Ann&quot;,&quot;parse-names&quot;:false,&quot;dropping-particle&quot;:&quot;&quot;,&quot;non-dropping-particle&quot;:&quot;&quot;},{&quot;family&quot;:&quot;Cherian&quot;,&quot;given&quot;:&quot;Thomas&quot;,&quot;parse-names&quot;:false,&quot;dropping-particle&quot;:&quot;&quot;,&quot;non-dropping-particle&quot;:&quot;&quot;},{&quot;family&quot;:&quot;Chang-Blanc&quot;,&quot;given&quot;:&quot;Diana&quot;,&quot;parse-names&quot;:false,&quot;dropping-particle&quot;:&quot;&quot;,&quot;non-dropping-particle&quot;:&quot;&quot;},{&quot;family&quot;:&quot;Feikin&quot;,&quot;given&quot;:&quot;Daniel&quot;,&quot;parse-names&quot;:false,&quot;dropping-particle&quot;:&quot;&quot;,&quot;non-dropping-particle&quot;:&quot;&quot;}],&quot;container-title&quot;:&quot;The Journal of Infectious Diseases ®&quot;,&quot;accessed&quot;:{&quot;date-parts&quot;:[[2024,8,7]]},&quot;DOI&quot;:&quot;10.1093/infdis/jiab284&quot;,&quot;URL&quot;:&quot;https://academic.oup.com/jid/article/224/Supplement_4/S452/6378083&quot;,&quot;issued&quot;:{&quot;date-parts&quot;:[[2021]]},&quot;page&quot;:&quot;452-67&quot;,&quot;abstract&quot;:&quot;Immunization is among the most cost-effective public health interventions available and is estimated to have averted at least 37 million deaths between 2000 and 2019. Since the establishment of the Expanded Programme on Immunization in 1974, global vaccination coverage increased and the coverage gap between rich and poor countries decreased. Creation of Gavi, the Vaccine Alliance, in 2000 allowed the poorest countries in the world to benefit from new, life-saving vaccines and expand the breadth of protection against an increasing number of vaccine-preventable diseases. Despite this progress, inequities in access to and uptake of vaccines persist. Opportunities to realize the full potential of vaccines are within reach but require focused, tailored and committed action by Governments and immunization stakeholders. The Immunization Agenda 2030 provides a framework for action during the next decade to attain a world where everyone, everywhere, at every age fully benefits from vaccines for good health and well-being.&quot;,&quot;issue&quot;:&quot;S4&quot;,&quot;volume&quot;:&quot;224&quot;,&quot;container-title-short&quot;:&quot;&quot;},&quot;isTemporary&quot;:false}]},{&quot;citationID&quot;:&quot;MENDELEY_CITATION_d68f3d17-870e-4881-bf12-6e133ac9ff7c&quot;,&quot;properties&quot;:{&quot;noteIndex&quot;:0},&quot;isEdited&quot;:false,&quot;manualOverride&quot;:{&quot;isManuallyOverridden&quot;:false,&quot;citeprocText&quot;:&quot;[3]&quot;,&quot;manualOverrideText&quot;:&quot;&quot;},&quot;citationTag&quot;:&quot;MENDELEY_CITATION_v3_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&quot;,&quot;citationItems&quot;:[{&quot;id&quot;:&quot;cc4933fc-8987-3c0f-bcc1-35745210a7b1&quot;,&quot;itemData&quot;:{&quot;type&quot;:&quot;webpage&quot;,&quot;id&quot;:&quot;cc4933fc-8987-3c0f-bcc1-35745210a7b1&quot;,&quot;title&quot;:&quot;WHO UNICEF Immunization Coverage Estimates 2023 revision&quot;,&quot;author&quot;:[{&quot;family&quot;:&quot;WUENIC&quot;,&quot;given&quot;:&quot;&quot;,&quot;parse-names&quot;:false,&quot;dropping-particle&quot;:&quot;&quot;,&quot;non-dropping-particle&quot;:&quot;&quot;}],&quot;accessed&quot;:{&quot;date-parts&quot;:[[2023,8,15]]},&quot;URL&quot;:&quot;https://data.unicef.org/resources/dataset/immunization/&quot;,&quot;issued&quot;:{&quot;date-parts&quot;:[[2023]]},&quot;container-title-short&quot;:&quot;&quot;},&quot;isTemporary&quot;:false}]},{&quot;citationID&quot;:&quot;MENDELEY_CITATION_abb77801-b3ea-4079-99b2-bb13c0e20ddd&quot;,&quot;properties&quot;:{&quot;noteIndex&quot;:0},&quot;isEdited&quot;:false,&quot;manualOverride&quot;:{&quot;isManuallyOverridden&quot;:false,&quot;citeprocText&quot;:&quot;[4,5]&quot;,&quot;manualOverrideText&quot;:&quot;&quot;},&quot;citationTag&quot;:&quot;MENDELEY_CITATION_v3_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&quot;,&quot;citationItems&quot;:[{&quot;id&quot;:&quot;2709021f-14fb-3c02-acfe-3293c4a54980&quot;,&quot;itemData&quot;:{&quot;type&quot;:&quot;article-journal&quot;,&quot;id&quot;:&quot;2709021f-14fb-3c02-acfe-3293c4a54980&quot;,&quot;title&quot;:&quot;WHO and UNICEF estimates of national infant immunization coverage: methods and processes&quot;,&quot;author&quot;:[{&quot;family&quot;:&quot;Burton&quot;,&quot;given&quot;:&quot;Anthony&quot;,&quot;parse-names&quot;:false,&quot;dropping-particle&quot;:&quot;&quot;,&quot;non-dropping-particle&quot;:&quot;&quot;},{&quot;family&quot;:&quot;Monasch&quot;,&quot;given&quot;:&quot;Roeland&quot;,&quot;parse-names&quot;:false,&quot;dropping-particle&quot;:&quot;&quot;,&quot;non-dropping-particle&quot;:&quot;&quot;},{&quot;family&quot;:&quot;Lautenbach&quot;,&quot;given&quot;:&quot;Barbara&quot;,&quot;parse-names&quot;:false,&quot;dropping-particle&quot;:&quot;&quot;,&quot;non-dropping-particle&quot;:&quot;&quot;},{&quot;family&quot;:&quot;Gacic-Dobo&quot;,&quot;given&quot;:&quot;Marta&quot;,&quot;parse-names&quot;:false,&quot;dropping-particle&quot;:&quot;&quot;,&quot;non-dropping-particle&quot;:&quot;&quot;},{&quot;family&quot;:&quot;Neill&quot;,&quot;given&quot;:&quot;Maryanne&quot;,&quot;parse-names&quot;:false,&quot;dropping-particle&quot;:&quot;&quot;,&quot;non-dropping-particle&quot;:&quot;&quot;},{&quot;family&quot;:&quot;Karimov&quot;,&quot;given&quot;:&quot;Rouslan&quot;,&quot;parse-names&quot;:false,&quot;dropping-particle&quot;:&quot;&quot;,&quot;non-dropping-particle&quot;:&quot;&quot;},{&quot;family&quot;:&quot;Wolfson&quot;,&quot;given&quot;:&quot;Lara&quot;,&quot;parse-names&quot;:false,&quot;dropping-particle&quot;:&quot;&quot;,&quot;non-dropping-particle&quot;:&quot;&quot;},{&quot;family&quot;:&quot;Jones&quot;,&quot;given&quot;:&quot;Gareth&quot;,&quot;parse-names&quot;:false,&quot;dropping-particle&quot;:&quot;&quot;,&quot;non-dropping-particle&quot;:&quot;&quot;},{&quot;family&quot;:&quot;Birmingham&quot;,&quot;given&quot;:&quot;Maureen&quot;,&quot;parse-names&quot;:false,&quot;dropping-particle&quot;:&quot;&quot;,&quot;non-dropping-particle&quot;:&quot;&quot;}],&quot;container-title&quot;:&quot;Bulletin of the World Health Organization&quot;,&quot;container-title-short&quot;:&quot;Bull World Health Organ&quot;,&quot;accessed&quot;:{&quot;date-parts&quot;:[[2022,11,20]]},&quot;DOI&quot;:&quot;10.2471/BLT.08.053819&quot;,&quot;ISSN&quot;:&quot;1564-0604&quot;,&quot;PMID&quot;:&quot;19649368&quot;,&quot;URL&quot;:&quot;https://pubmed.ncbi.nlm.nih.gov/19649368/&quot;,&quot;issued&quot;:{&quot;date-parts&quot;:[[2009,7]]},&quot;page&quot;:&quot;535-541&quot;,&quot;abstract&quot;:&quot;WHO and the United Nations Children's Fund (UNICEF) annually review data on immunization coverage to estimate national coverage with routine service delivery of the following vaccines: bacille Calmette-Guérin; diphtheria-tetanus-pertussis, first and third doses; either oral polio vaccine or inactivated polio vaccine, third dose of either; hepatitis B, third dose; Haemophilus influenzae type b, third dose; and a measles virus-containing vaccine, either for measles alone or in the form of a combination vaccine, one dose. The estimates are based on government reports submitted to WHO and UNICEF and are supplemented by survey results from the published and grey literature. Local experts, primarily national immunization system managers and WHO/UNICEF regional and national staff, are consulted for additional information on the performance of specific immunization systems. Estimates are derived through a country-bycountry review of available data informed and constrained by a set of heuristics; no statistical or mathematical models are used. Draft estimates are made, sent to national authorities for review and comment and modified in light of their feedback. While the final estimates may not differ from reported data, they constitute an independent technical assessment by WHO and UNICEF of the performance of national immunization systems. These country-specific estimates, available from 1980 onward, are updated annually.&quot;,&quot;publisher&quot;:&quot;Bull World Health Organ&quot;,&quot;issue&quot;:&quot;7&quot;,&quot;volume&quot;:&quot;87&quot;},&quot;isTemporary&quot;:false},{&quot;id&quot;:&quot;5edb25d1-f4a1-3c1e-a568-138b046ca881&quot;,&quot;itemData&quot;:{&quot;type&quot;:&quot;article-journal&quot;,&quot;id&quot;:&quot;5edb25d1-f4a1-3c1e-a568-138b046ca881&quot;,&quot;title&quot;:&quot;A Formal Representation of the WHO and UNICEF Estimates of National Immunization Coverage: A Computational Logic Approach&quot;,&quot;author&quot;:[{&quot;family&quot;:&quot;Burton&quot;,&quot;given&quot;:&quot;Anthony&quot;,&quot;parse-names&quot;:false,&quot;dropping-particle&quot;:&quot;&quot;,&quot;non-dropping-particle&quot;:&quot;&quot;},{&quot;family&quot;:&quot;Kowalski&quot;,&quot;given&quot;:&quot;Robert&quot;,&quot;parse-names&quot;:false,&quot;dropping-particle&quot;:&quot;&quot;,&quot;non-dropping-particle&quot;:&quot;&quot;},{&quot;family&quot;:&quot;Gacic-Dobo&quot;,&quot;given&quot;:&quot;Marta&quot;,&quot;parse-names&quot;:false,&quot;dropping-particle&quot;:&quot;&quot;,&quot;non-dropping-particle&quot;:&quot;&quot;},{&quot;family&quot;:&quot;Karimov&quot;,&quot;given&quot;:&quot;Rouslan&quot;,&quot;parse-names&quot;:false,&quot;dropping-particle&quot;:&quot;&quot;,&quot;non-dropping-particle&quot;:&quot;&quot;},{&quot;family&quot;:&quot;Brown&quot;,&quot;given&quot;:&quot;David&quot;,&quot;parse-names&quot;:false,&quot;dropping-particle&quot;:&quot;&quot;,&quot;non-dropping-particle&quot;:&quot;&quot;}],&quot;container-title&quot;:&quot;PLOS ONE&quot;,&quot;container-title-short&quot;:&quot;PLoS One&quot;,&quot;accessed&quot;:{&quot;date-parts&quot;:[[2022,11,20]]},&quot;DOI&quot;:&quot;10.1371/JOURNAL.PONE.0047806&quot;,&quot;ISSN&quot;:&quot;1932-6203&quot;,&quot;PMID&quot;:&quot;23133527&quot;,&quot;URL&quot;:&quot;https://journals.plos.org/plosone/article?id=10.1371/journal.pone.0047806&quot;,&quot;issued&quot;:{&quot;date-parts&quot;:[[2012,10,25]]},&quot;page&quot;:&quot;e47806&quot;,&quot;abstract&quot;:&quot;Production of official statistics frequently requires expert judgement to evaluate and reconcile data of unknown and varying quality from multiple and potentially conflicting sources. Moreover, exceptional events may be difficult to incorporate in modelled estimates. Computational logic provides a methodology and tools for incorporating analyst's judgement, integrating multiple data sources and modelling methods, ensuring transparency and replicability, and making documentation computationally accessible. Representations using computational logic can be implemented in a variety of computer-based languages for automated production. Computational logic complements standard mathematical and statistical techniques and extends the flexibility of mathematical and statistical modelling. A basic overview of computational logic is presented and its application to official statistics is illustrated with the WHO &amp; UNICEF estimates of national immunization coverage.&quot;,&quot;publisher&quot;:&quot;Public Library of Science&quot;,&quot;issue&quot;:&quot;10&quot;,&quot;volume&quot;:&quot;7&quot;},&quot;isTemporary&quot;:false}]},{&quot;citationID&quot;:&quot;MENDELEY_CITATION_8e381f4b-7787-4a90-92df-30637c74d15d&quot;,&quot;properties&quot;:{&quot;noteIndex&quot;:0},&quot;isEdited&quot;:false,&quot;manualOverride&quot;:{&quot;isManuallyOverridden&quot;:false,&quot;citeprocText&quot;:&quot;[6]&quot;,&quot;manualOverrideText&quot;:&quot;&quot;},&quot;citationTag&quot;:&quot;MENDELEY_CITATION_v3_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&quot;,&quot;citationItems&quot;:[{&quot;id&quot;:&quot;5f2954e2-f630-38f7-bc9a-35b5fded24a9&quot;,&quot;itemData&quot;:{&quot;type&quot;:&quot;book&quot;,&quot;id&quot;:&quot;5f2954e2-f630-38f7-bc9a-35b5fded24a9&quot;,&quot;title&quot;:&quot;The World Health Report 2006: Working Together for Health&quot;,&quot;author&quot;:[{&quot;family&quot;:&quot;World Health Organisation&quot;,&quot;given&quot;:&quot;&quot;,&quot;parse-names&quot;:false,&quot;dropping-particle&quot;:&quot;&quot;,&quot;non-dropping-particle&quot;:&quot;&quot;}],&quot;accessed&quot;:{&quot;date-parts&quot;:[[2024,9,9]]},&quot;URL&quot;:&quot;https://books.google.ch/books?hl=en&amp;lr=&amp;id=taYsDwAAQBAJ&amp;oi=fnd&amp;pg=PR13&amp;dq=World+Health+Organization+The+world+health+report+2006+%E2%80%93+working+together+for+health+2006+Geneva,+Switzerland+World+Health+Organization+&amp;ots=9gi64pFeA2&amp;sig=j6sJwIF3qq2kOeSuB6mdu06wQSg&amp;redir_esc=y#v=onepage&amp;q=World%20Health%20Organization%20The%20world%20health%20report%202006%20%E2%80%93%20working%20together%20for%20health%202006%20Geneva%2C%20Switzerland%20World%20Health%20Organization&amp;f=false&quot;,&quot;issued&quot;:{&quot;date-parts&quot;:[[2006]]},&quot;container-title-short&quot;:&quot;&quot;},&quot;isTemporary&quot;:false}]},{&quot;citationID&quot;:&quot;MENDELEY_CITATION_f8dffbba-09a3-4430-b77f-d2c84baffb1b&quot;,&quot;properties&quot;:{&quot;noteIndex&quot;:0},&quot;isEdited&quot;:false,&quot;manualOverride&quot;:{&quot;isManuallyOverridden&quot;:false,&quot;citeprocText&quot;:&quot;[7]&quot;,&quot;manualOverrideText&quot;:&quot;&quot;},&quot;citationTag&quot;:&quot;MENDELEY_CITATION_v3_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&quot;,&quot;citationItems&quot;:[{&quot;id&quot;:&quot;b3097d50-6f17-3f50-8278-ba675b59455b&quot;,&quot;itemData&quot;:{&quot;type&quot;:&quot;webpage&quot;,&quot;id&quot;:&quot;b3097d50-6f17-3f50-8278-ba675b59455b&quot;,&quot;title&quot;:&quot;Global Health Workforce statistics database&quot;,&quot;author&quot;:[{&quot;family&quot;:&quot;World Health Organization&quot;,&quot;given&quot;:&quot;&quot;,&quot;parse-names&quot;:false,&quot;dropping-particle&quot;:&quot;&quot;,&quot;non-dropping-particle&quot;:&quot;&quot;}],&quot;accessed&quot;:{&quot;date-parts&quot;:[[2024,8,7]]},&quot;URL&quot;:&quot;https://www.who.int/data/gho/data/themes/topics/health-workforce&quot;,&quot;container-title-short&quot;:&quot;&quot;},&quot;isTemporary&quot;:false}]},{&quot;citationID&quot;:&quot;MENDELEY_CITATION_2b08eccf-5baa-4c32-9ecf-d60847cada71&quot;,&quot;properties&quot;:{&quot;noteIndex&quot;:0},&quot;isEdited&quot;:false,&quot;manualOverride&quot;:{&quot;isManuallyOverridden&quot;:false,&quot;citeprocText&quot;:&quot;[8]&quot;,&quot;manualOverrideText&quot;:&quot;&quot;},&quot;citationTag&quot;:&quot;MENDELEY_CITATION_v3_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&quot;,&quot;citationItems&quot;:[{&quot;id&quot;:&quot;5b98e3af-4858-3ec4-b901-ef2516796eb6&quot;,&quot;itemData&quot;:{&quot;type&quot;:&quot;report&quot;,&quot;id&quot;:&quot;5b98e3af-4858-3ec4-b901-ef2516796eb6&quot;,&quot;title&quot;:&quot;Monitoring the building blocks of health systems: a handbook of indicators and their measurement strategies&quot;,&quot;author&quot;:[{&quot;family&quot;:&quot;World Health Organisation&quot;,&quot;given&quot;:&quot;&quot;,&quot;parse-names&quot;:false,&quot;dropping-particle&quot;:&quot;&quot;,&quot;non-dropping-particle&quot;:&quot;&quot;}],&quot;accessed&quot;:{&quot;date-parts&quot;:[[2024,2,27]]},&quot;ISBN&quot;:&quot;9789241564052&quot;,&quot;URL&quot;:&quot;www.iniscommunication.com&quot;,&quot;issued&quot;:{&quot;date-parts&quot;:[[2010]]},&quot;container-title-short&quot;:&quot;&quot;},&quot;isTemporary&quot;:false}]},{&quot;citationID&quot;:&quot;MENDELEY_CITATION_3eaeec9e-b7cd-43f0-ae79-f68e7ab1ef56&quot;,&quot;properties&quot;:{&quot;noteIndex&quot;:0},&quot;isEdited&quot;:false,&quot;manualOverride&quot;:{&quot;isManuallyOverridden&quot;:false,&quot;citeprocText&quot;:&quot;[9]&quot;,&quot;manualOverrideText&quot;:&quot;&quot;},&quot;citationTag&quot;:&quot;MENDELEY_CITATION_v3_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&quot;,&quot;citationItems&quot;:[{&quot;id&quot;:&quot;894d83dd-382a-3c60-8000-a264b9620c54&quot;,&quot;itemData&quot;:{&quot;type&quot;:&quot;webpage&quot;,&quot;id&quot;:&quot;894d83dd-382a-3c60-8000-a264b9620c54&quot;,&quot;title&quot;:&quot;Coverage of essential health services (index based on tracer interventions that include reproductive, maternal, newborn and child health, infectious diseases, non-communicable diseases and service capacity and access) (SDG 3.8.1)&quot;,&quot;accessed&quot;:{&quot;date-parts&quot;:[[2024,3,5]]},&quot;URL&quot;:&quot;https://platform.who.int/data/maternal-newborn-child-adolescent-ageing/indicator-explorer-new/MCA/coverage-of-essential-health-services-(index-interventions-reproductive-maternal-newborn-and-child-health)-(sdg-3.8.1)&quot;,&quot;container-title-short&quot;:&quot;&quot;},&quot;isTemporary&quot;:false}]},{&quot;citationID&quot;:&quot;MENDELEY_CITATION_f17a654c-f391-4ab3-aaf4-cc2be0b7cab6&quot;,&quot;properties&quot;:{&quot;noteIndex&quot;:0},&quot;isEdited&quot;:false,&quot;manualOverride&quot;:{&quot;isManuallyOverridden&quot;:false,&quot;citeprocText&quot;:&quot;[10]&quot;,&quot;manualOverrideText&quot;:&quot;&quot;},&quot;citationTag&quot;:&quot;MENDELEY_CITATION_v3_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&quot;,&quot;citationItems&quot;:[{&quot;id&quot;:&quot;162f0d5c-839d-3c37-8224-43f6bf94bc8d&quot;,&quot;itemData&quot;:{&quot;type&quot;:&quot;webpage&quot;,&quot;id&quot;:&quot;162f0d5c-839d-3c37-8224-43f6bf94bc8d&quot;,&quot;title&quot;:&quot;Health security&quot;,&quot;author&quot;:[{&quot;family&quot;:&quot;World Health Organisation&quot;,&quot;given&quot;:&quot;&quot;,&quot;parse-names&quot;:false,&quot;dropping-particle&quot;:&quot;&quot;,&quot;non-dropping-particle&quot;:&quot;&quot;}],&quot;accessed&quot;:{&quot;date-parts&quot;:[[2024,3,5]]},&quot;URL&quot;:&quot;https://www.who.int/health-topics/health-security#tab=tab_1&quot;,&quot;container-title-short&quot;:&quot;&quot;},&quot;isTemporary&quot;:false}]},{&quot;citationID&quot;:&quot;MENDELEY_CITATION_bcc45aaf-ee78-40cf-938c-d5d2ff5c3a85&quot;,&quot;properties&quot;:{&quot;noteIndex&quot;:0},&quot;isEdited&quot;:false,&quot;manualOverride&quot;:{&quot;isManuallyOverridden&quot;:false,&quot;citeprocText&quot;:&quot;[11]&quot;,&quot;manualOverrideText&quot;:&quot;&quot;},&quot;citationTag&quot;:&quot;MENDELEY_CITATION_v3_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&quot;,&quot;citationItems&quot;:[{&quot;id&quot;:&quot;fcb2d502-f152-3e36-a152-bf8028f083da&quot;,&quot;itemData&quot;:{&quot;type&quot;:&quot;webpage&quot;,&quot;id&quot;:&quot;fcb2d502-f152-3e36-a152-bf8028f083da&quot;,&quot;title&quot;:&quot;GHS Index&quot;,&quot;author&quot;:[{&quot;family&quot;:&quot;Global Health Security Index&quot;,&quot;given&quot;:&quot;&quot;,&quot;parse-names&quot;:false,&quot;dropping-particle&quot;:&quot;&quot;,&quot;non-dropping-particle&quot;:&quot;&quot;}],&quot;accessed&quot;:{&quot;date-parts&quot;:[[2024,2,28]]},&quot;URL&quot;:&quot;https://ghsindex.org/about/&quot;,&quot;container-title-short&quot;:&quot;&quot;},&quot;isTemporary&quot;:false}]},{&quot;citationID&quot;:&quot;MENDELEY_CITATION_480e74e1-70c5-4f6e-b70a-c2abce6bc2ee&quot;,&quot;properties&quot;:{&quot;noteIndex&quot;:0},&quot;isEdited&quot;:false,&quot;manualOverride&quot;:{&quot;isManuallyOverridden&quot;:false,&quot;citeprocText&quot;:&quot;[12]&quot;,&quot;manualOverrideText&quot;:&quot;&quot;},&quot;citationTag&quot;:&quot;MENDELEY_CITATION_v3_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&quot;,&quot;citationItems&quot;:[{&quot;id&quot;:&quot;a381785e-4e24-3908-bd8a-4af930b62a48&quot;,&quot;itemData&quot;:{&quot;type&quot;:&quot;report&quot;,&quot;id&quot;:&quot;a381785e-4e24-3908-bd8a-4af930b62a48&quot;,&quot;title&quot;:&quot;GHS Index Methodology&quot;,&quot;author&quot;:[{&quot;family&quot;:&quot;Economist Impact&quot;,&quot;given&quot;:&quot;&quot;,&quot;parse-names&quot;:false,&quot;dropping-particle&quot;:&quot;&quot;,&quot;non-dropping-particle&quot;:&quot;&quot;}],&quot;accessed&quot;:{&quot;date-parts&quot;:[[2024,3,6]]},&quot;URL&quot;:&quot;www.ghsindex.org&quot;,&quot;container-title-short&quot;:&quot;&quot;},&quot;isTemporary&quot;:false}]},{&quot;citationID&quot;:&quot;MENDELEY_CITATION_5b64d83f-b375-4186-bffe-2297b65327f2&quot;,&quot;properties&quot;:{&quot;noteIndex&quot;:0},&quot;isEdited&quot;:false,&quot;manualOverride&quot;:{&quot;isManuallyOverridden&quot;:false,&quot;citeprocText&quot;:&quot;[13]&quot;,&quot;manualOverrideText&quot;:&quot;&quot;},&quot;citationTag&quot;:&quot;MENDELEY_CITATION_v3_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ddXX0sIlVSTCI6Imh0dHBzOi8vd3d3Lndoby5pbnQvcHVibGljYXRpb25zL2kvaXRlbS9XSE8tMjAxOS1uQ29WLUVIU19jb250aW51aXR5LXN1cnZleS0yMDIyLjEiLCJpc3N1ZWQiOnsiZGF0ZS1wYXJ0cyI6W1syMDIyXV19LCJjb250YWluZXItdGl0bGUtc2hvcnQiOiIifSwiaXNUZW1wb3JhcnkiOmZhbHNlfV19&quot;,&quot;citationItems&quot;:[{&quot;id&quot;:&quot;643d1f65-e3f7-3d29-bc56-83b6666deb3d&quot;,&quot;itemData&quot;:{&quot;type&quot;:&quot;report&quot;,&quot;id&quot;:&quot;643d1f65-e3f7-3d29-bc56-83b6666deb3d&quot;,&quot;title&quot;:&quot;Third round of the global pulse survey on continuity of essential health services during the COVID-19 pandemic&quot;,&quot;author&quot;:[{&quot;family&quot;:&quot;World Health Organisation&quot;,&quot;given&quot;:&quot;&quot;,&quot;parse-names&quot;:false,&quot;dropping-particle&quot;:&quot;&quot;,&quot;non-dropping-particle&quot;:&quot;&quot;}],&quot;accessed&quot;:{&quot;date-parts&quot;:[[2023,8,7]]},&quot;URL&quot;:&quot;https://www.who.int/publications/i/item/WHO-2019-nCoV-EHS_continuity-survey-2022.1&quot;,&quot;issued&quot;:{&quot;date-parts&quot;:[[2022]]},&quot;container-title-short&quot;:&quot;&quot;},&quot;isTemporary&quot;:false}]},{&quot;citationID&quot;:&quot;MENDELEY_CITATION_e0032f56-f309-49b6-9bb6-0f47390c1daa&quot;,&quot;properties&quot;:{&quot;noteIndex&quot;:0},&quot;isEdited&quot;:false,&quot;manualOverride&quot;:{&quot;isManuallyOverridden&quot;:false,&quot;citeprocText&quot;:&quot;[14]&quot;,&quot;manualOverrideText&quot;:&quot;&quot;},&quot;citationTag&quot;:&quot;MENDELEY_CITATION_v3_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&quot;,&quot;citationItems&quot;:[{&quot;id&quot;:&quot;38fd7522-2216-3bb1-b273-ce22c54eb10b&quot;,&quot;itemData&quot;:{&quot;type&quot;:&quot;webpage&quot;,&quot;id&quot;:&quot;38fd7522-2216-3bb1-b273-ce22c54eb10b&quot;,&quot;title&quot;:&quot;World Population Prospects - Population Division - United Nations&quot;,&quot;author&quot;:[{&quot;family&quot;:&quot;United Nations&quot;,&quot;given&quot;:&quot;&quot;,&quot;parse-names&quot;:false,&quot;dropping-particle&quot;:&quot;&quot;,&quot;non-dropping-particle&quot;:&quot;&quot;}],&quot;accessed&quot;:{&quot;date-parts&quot;:[[2024,8,25]]},&quot;URL&quot;:&quot;https://population.un.org/wpp/&quot;,&quot;issued&quot;:{&quot;date-parts&quot;:[[2024]]},&quot;container-title-short&quot;:&quot;&quot;},&quot;isTemporary&quot;:false}]},{&quot;citationID&quot;:&quot;MENDELEY_CITATION_72b4be23-fd8d-46be-bf40-ec5f2fe30a37&quot;,&quot;properties&quot;:{&quot;noteIndex&quot;:0},&quot;isEdited&quot;:false,&quot;manualOverride&quot;:{&quot;isManuallyOverridden&quot;:false,&quot;citeprocText&quot;:&quot;[13,15,16]&quot;,&quot;manualOverrideText&quot;:&quot;&quot;},&quot;citationTag&quot;:&quot;MENDELEY_CITATION_v3_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&quot;,&quot;citationItems&quot;:[{&quot;id&quot;:&quot;b0a3af6d-9158-32c9-be67-ebb2a9072a66&quot;,&quot;itemData&quot;:{&quot;type&quot;:&quot;report&quot;,&quot;id&quot;:&quot;b0a3af6d-9158-32c9-be67-ebb2a9072a66&quot;,&quot;title&quot;:&quot;Pulse survey on continuity of essential health services during the COVID-19 pandemic: interim report, 27 August 2020&quot;,&quot;author&quot;:[{&quot;family&quot;:&quot;World Health Organisation&quot;,&quot;given&quot;:&quot;&quot;,&quot;parse-names&quot;:false,&quot;dropping-particle&quot;:&quot;&quot;,&quot;non-dropping-particle&quot;:&quot;&quot;}],&quot;accessed&quot;:{&quot;date-parts&quot;:[[2023,8,19]]},&quot;URL&quot;:&quot;https://www.who.int/publications/i/item/WHO-2019-nCoV-EHS_continuity-survey-2020.1&quot;,&quot;issued&quot;:{&quot;date-parts&quot;:[[2020]]},&quot;container-title-short&quot;:&quot;&quot;},&quot;isTemporary&quot;:false},{&quot;id&quot;:&quot;e9745734-f01b-3a12-993f-09f2cd1508e1&quot;,&quot;itemData&quot;:{&quot;type&quot;:&quot;report&quot;,&quot;id&quot;:&quot;e9745734-f01b-3a12-993f-09f2cd1508e1&quot;,&quot;title&quot;:&quot;Second round of the national pulse survey on continuity of essential health services during the COVID-19 pandemic&quot;,&quot;author&quot;:[{&quot;family&quot;:&quot;World Health Organisation&quot;,&quot;given&quot;:&quot;&quot;,&quot;parse-names&quot;:false,&quot;dropping-particle&quot;:&quot;&quot;,&quot;non-dropping-particle&quot;:&quot;&quot;}],&quot;accessed&quot;:{&quot;date-parts&quot;:[[2023,8,19]]},&quot;URL&quot;:&quot;https://www.who.int/publications/i/item/WHO-2019-nCoV-EHS-continuity-survey-2021.1&quot;,&quot;issued&quot;:{&quot;date-parts&quot;:[[2021]]},&quot;container-title-short&quot;:&quot;&quot;},&quot;isTemporary&quot;:false},{&quot;id&quot;:&quot;643d1f65-e3f7-3d29-bc56-83b6666deb3d&quot;,&quot;itemData&quot;:{&quot;type&quot;:&quot;report&quot;,&quot;id&quot;:&quot;643d1f65-e3f7-3d29-bc56-83b6666deb3d&quot;,&quot;title&quot;:&quot;Third round of the global pulse survey on continuity of essential health services during the COVID-19 pandemic&quot;,&quot;author&quot;:[{&quot;family&quot;:&quot;World Health Organisation&quot;,&quot;given&quot;:&quot;&quot;,&quot;parse-names&quot;:false,&quot;dropping-particle&quot;:&quot;&quot;,&quot;non-dropping-particle&quot;:&quot;&quot;}],&quot;accessed&quot;:{&quot;date-parts&quot;:[[2023,8,7]]},&quot;URL&quot;:&quot;https://www.who.int/publications/i/item/WHO-2019-nCoV-EHS_continuity-survey-2022.1&quot;,&quot;issued&quot;:{&quot;date-parts&quot;:[[2022]]},&quot;container-title-short&quot;:&quot;&quot;},&quot;isTemporary&quot;:false}]},{&quot;citationID&quot;:&quot;MENDELEY_CITATION_daddf8ea-92b0-4018-b53b-39922a8c5b9e&quot;,&quot;properties&quot;:{&quot;noteIndex&quot;:0},&quot;isEdited&quot;:false,&quot;manualOverride&quot;:{&quot;isManuallyOverridden&quot;:false,&quot;citeprocText&quot;:&quot;[17]&quot;,&quot;manualOverrideText&quot;:&quot;&quot;},&quot;citationTag&quot;:&quot;MENDELEY_CITATION_v3_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&quot;,&quot;citationItems&quot;:[{&quot;id&quot;:&quot;5fc9d035-1ff0-37cc-9bf4-685037ccaa0f&quot;,&quot;itemData&quot;:{&quot;type&quot;:&quot;article-journal&quot;,&quot;id&quot;:&quot;5fc9d035-1ff0-37cc-9bf4-685037ccaa0f&quot;,&quot;title&quot;:&quot;Reasons for reductions in routine childhood immunisation uptake during the COVID-19 pandemic in low- and middle-income countries: A systematic review&quot;,&quot;author&quot;:[{&quot;family&quot;:&quot;Pinto&quot;,&quot;given&quot;:&quot;Alexandra M.Cardoso&quot;,&quot;parse-names&quot;:false,&quot;dropping-particle&quot;:&quot;&quot;,&quot;non-dropping-particle&quot;:&quot;&quot;},{&quot;family&quot;:&quot;Shariq&quot;,&quot;given&quot;:&quot;Sameed&quot;,&quot;parse-names&quot;:false,&quot;dropping-particle&quot;:&quot;&quot;,&quot;non-dropping-particle&quot;:&quot;&quot;},{&quot;family&quot;:&quot;Ranasinghe&quot;,&quot;given&quot;:&quot;Lasith&quot;,&quot;parse-names&quot;:false,&quot;dropping-particle&quot;:&quot;&quot;,&quot;non-dropping-particle&quot;:&quot;&quot;},{&quot;family&quot;:&quot;Budhathoki&quot;,&quot;given&quot;:&quot;Shyam Sundar&quot;,&quot;parse-names&quot;:false,&quot;dropping-particle&quot;:&quot;&quot;,&quot;non-dropping-particle&quot;:&quot;&quot;},{&quot;family&quot;:&quot;Skirrow&quot;,&quot;given&quot;:&quot;Helen&quot;,&quot;parse-names&quot;:false,&quot;dropping-particle&quot;:&quot;&quot;,&quot;non-dropping-particle&quot;:&quot;&quot;},{&quot;family&quot;:&quot;Whittaker&quot;,&quot;given&quot;:&quot;Elizabeth&quot;,&quot;parse-names&quot;:false,&quot;dropping-particle&quot;:&quot;&quot;,&quot;non-dropping-particle&quot;:&quot;&quot;},{&quot;family&quot;:&quot;Seddon&quot;,&quot;given&quot;:&quot;James A.&quot;,&quot;parse-names&quot;:false,&quot;dropping-particle&quot;:&quot;&quot;,&quot;non-dropping-particle&quot;:&quot;&quot;}],&quot;container-title&quot;:&quot;PLOS Global Public Health&quot;,&quot;accessed&quot;:{&quot;date-parts&quot;:[[2024,9,8]]},&quot;DOI&quot;:&quot;10.1371/JOURNAL.PGPH.0001415&quot;,&quot;ISBN&quot;:&quot;1111111111&quot;,&quot;ISSN&quot;:&quot;2767-3375&quot;,&quot;URL&quot;:&quot;https://journals.plos.org/globalpublichealth/article?id=10.1371/journal.pgph.0001415&quot;,&quot;issued&quot;:{&quot;date-parts&quot;:[[2023,1,24]]},&quot;page&quot;:&quot;e0001415&quot;,&quot;abstract&quot;:&quot;The coronavirus disease 2019 (COVID-19) pandemic has resulted in a substantial decline in routine immunisation coverage in children globally, especially in low- and middle-income countries (LMICs). This study summarises the reasons for disruptions to routine child immunisations in LMICs. A systematic review (PROSPERO CRD42021286386) was conducted following PRISMA 2020 guidelines. Six databases were searched: MEDLINE, Embase, Global Health, CINAHL, Scopus and MedRxiv, on 11/02/2022. Observational and qualitative studies published from January 2020 onwards were included if exploring reasons for missed immunisations during the COVID-19 pandemic in LMICs. Study appraisal used National Heart, Lung, and Blood Institute and Critical Appraisal Skills Programme tools. Reasons for disruption were defined with descriptive codes; cross-sectional (quantitative) data were summarised as mean percentages of responses weighted by study population, and qualitative data were summarised narratively. A total of thirteen studies were included describing reasons behind disruptions; 7 cross-sectional (quantitative), 5 qualitative and 1 mixed methods. Seventeen reasons for disruptions were identified. In quantitative studies (total respondents = 2,853), the most common reasons identified were fear of COVID-19 and consequential avoidance of health centres (41.2%, SD ±13.3%), followed by transport challenges preventing both families and healthcare professionals from reaching vaccination services (11.1% SD ±16.6%). Most reasons stemmed from reduced healthcare-seeking (83.4%), as opposed to healthcare-delivery issues (15.2%). Qualitative studies showed a more even balance of healthcare-seeking (49.5%) and healthcare-delivery issues (50.5%), with fear of COVID-19 remaining a major identified issue (total respondents = 92). The most common reasons for disruption were parental fear of COVID-19 and avoidance of health services. Health systems must therefore prioritise public health messaging to encourage vaccine uptake and recovery of missed immunisations.&quot;,&quot;publisher&quot;:&quot;Public Library of Science&quot;,&quot;issue&quot;:&quot;1&quot;,&quot;volume&quot;:&quot;3&quot;,&quot;container-title-short&quot;:&quot;&quot;},&quot;isTemporary&quot;:false}]},{&quot;citationID&quot;:&quot;MENDELEY_CITATION_0cca3b29-a6a3-4b5c-92e1-b80dbb51ad08&quot;,&quot;properties&quot;:{&quot;noteIndex&quot;:0},&quot;isEdited&quot;:false,&quot;manualOverride&quot;:{&quot;isManuallyOverridden&quot;:false,&quot;citeprocText&quot;:&quot;[18]&quot;,&quot;manualOverrideText&quot;:&quot;&quot;},&quot;citationTag&quot;:&quot;MENDELEY_CITATION_v3_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&quot;,&quot;citationItems&quot;:[{&quot;id&quot;:&quot;1cc67b9f-b096-39d8-8d94-eafaad5707c4&quot;,&quot;itemData&quot;:{&quot;type&quot;:&quot;article-journal&quot;,&quot;id&quot;:&quot;1cc67b9f-b096-39d8-8d94-eafaad5707c4&quot;,&quot;title&quot;:&quot;Tracking excess mortality across countries during the COVID-19 pandemic with the World Mortality Dataset&quot;,&quot;author&quot;:[{&quot;family&quot;:&quot;Karlinsky&quot;,&quot;given&quot;:&quot;Ariel&quot;,&quot;parse-names&quot;:false,&quot;dropping-particle&quot;:&quot;&quot;,&quot;non-dropping-particle&quot;:&quot;&quot;},{&quot;family&quot;:&quot;Kobak&quot;,&quot;given&quot;:&quot;Dmitry&quot;,&quot;parse-names&quot;:false,&quot;dropping-particle&quot;:&quot;&quot;,&quot;non-dropping-particle&quot;:&quot;&quot;}],&quot;container-title&quot;:&quot;eLife&quot;,&quot;container-title-short&quot;:&quot;Elife&quot;,&quot;accessed&quot;:{&quot;date-parts&quot;:[[2024,7,22]]},&quot;DOI&quot;:&quot;10.7554/ELIFE.69336&quot;,&quot;ISSN&quot;:&quot;2050084X&quot;,&quot;PMID&quot;:&quot;34190045&quot;,&quot;URL&quot;:&quot;/pmc/articles/PMC8331176/&quot;,&quot;issued&quot;:{&quot;date-parts&quot;:[[2021,6,1]]},&quot;abstract&quot;:&quot;Comparing the impact of the COVID-19 pandemic between countries or across time is difficult because the reported numbers of cases and deaths can be strongly affected by testing capacity and reporting policy. Excess mortality, defined as the increase in all-cause mortality relative to the expected mortality, is widely considered as a more objective indicator of the COVID-19 death toll. However, there has been no global, frequently-updated repository of the all-cause mortality data across countries. To fill this gap, we have collected weekly, monthly, or quarterly all-cause mortality data from 94 countries and territories, openly available as the regularly-updated World Mortality Dataset. We used this dataset to compute the excess mortality in each country during the COVID-19 pandemic. We found that in several worst-affected countries (Peru, Ecuador, Bolivia, Mexico) the excess mortality was above 50% of the expected annual mortality. At the same time, in several other countries (Australia, New Zealand) mortality during the pandemic was below the usual level, presumably due to social distancing measures decreasing the non-COVID infectious mortality. Furthermore, we found that while many countries have been reporting the COVID-19 deaths very accurately, some countries have been substantially underreporting their COVID-19 deaths (e.g. Nicaragua, Russia, Uzbekistan), sometimes by two orders of magnitude (Tajikistan). Our results highlight the importance of open and rapid all-cause mortality reporting for pandemic monitoring.&quot;,&quot;publisher&quot;:&quot;eLife Sciences Publications, Ltd&quot;,&quot;volume&quot;:&quot;10&quot;},&quot;isTemporary&quot;:false}]},{&quot;citationID&quot;:&quot;MENDELEY_CITATION_c620a2b3-45ff-45c1-b5e7-90eab7790357&quot;,&quot;properties&quot;:{&quot;noteIndex&quot;:0},&quot;isEdited&quot;:false,&quot;manualOverride&quot;:{&quot;isManuallyOverridden&quot;:false,&quot;citeprocText&quot;:&quot;[19]&quot;,&quot;manualOverrideText&quot;:&quot;&quot;},&quot;citationTag&quot;:&quot;MENDELEY_CITATION_v3_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&quot;,&quot;citationItems&quot;:[{&quot;id&quot;:&quot;283e5ece-9153-3202-a5ee-f4ff9de65894&quot;,&quot;itemData&quot;:{&quot;type&quot;:&quot;report&quot;,&quot;id&quot;:&quot;283e5ece-9153-3202-a5ee-f4ff9de65894&quot;,&quot;title&quot;:&quot;Methods for estimating the excess mortality associated with the COVID-19 pandemic&quot;,&quot;author&quot;:[{&quot;family&quot;:&quot;World Health Organisation&quot;,&quot;given&quot;:&quot;&quot;,&quot;parse-names&quot;:false,&quot;dropping-particle&quot;:&quot;&quot;,&quot;non-dropping-particle&quot;:&quot;&quot;}],&quot;accessed&quot;:{&quot;date-parts&quot;:[[2024,3,5]]},&quot;URL&quot;:&quot;https://www.who.int/publications/m/item/methods-for-estimating-the-excess-mortality-associatedwith-the-covid-19-pandemic&quot;,&quot;container-title-short&quot;:&quot;&quot;},&quot;isTemporary&quot;:false}]},{&quot;citationID&quot;:&quot;MENDELEY_CITATION_0d6f7761-269b-453e-9d12-6bbb297853a2&quot;,&quot;properties&quot;:{&quot;noteIndex&quot;:0},&quot;isEdited&quot;:false,&quot;manualOverride&quot;:{&quot;isManuallyOverridden&quot;:false,&quot;citeprocText&quot;:&quot;[20]&quot;,&quot;manualOverrideText&quot;:&quot;&quot;},&quot;citationTag&quot;:&quot;MENDELEY_CITATION_v3_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&quot;,&quot;citationItems&quot;:[{&quot;id&quot;:&quot;fe20e2a6-5fc5-3e99-8333-6b515aa7b348&quot;,&quot;itemData&quot;:{&quot;type&quot;:&quot;webpage&quot;,&quot;id&quot;:&quot;fe20e2a6-5fc5-3e99-8333-6b515aa7b348&quot;,&quot;title&quot;:&quot;The pandemic’s true death toll&quot;,&quot;author&quot;:[{&quot;family&quot;:&quot;The Economist&quot;,&quot;given&quot;:&quot;&quot;,&quot;parse-names&quot;:false,&quot;dropping-particle&quot;:&quot;&quot;,&quot;non-dropping-particle&quot;:&quot;&quot;}],&quot;accessed&quot;:{&quot;date-parts&quot;:[[2024,5,3]]},&quot;URL&quot;:&quot;https://www.economist.com/graphic-detail/coronavirus-excess-deaths-estimates&quot;,&quot;issued&quot;:{&quot;date-parts&quot;:[[2022]]},&quot;container-title-short&quot;:&quot;&quot;},&quot;isTemporary&quot;:false}]},{&quot;citationID&quot;:&quot;MENDELEY_CITATION_96bedacb-2a04-429a-9c7e-e5d8dbf9a418&quot;,&quot;properties&quot;:{&quot;noteIndex&quot;:0},&quot;isEdited&quot;:false,&quot;manualOverride&quot;:{&quot;isManuallyOverridden&quot;:false,&quot;citeprocText&quot;:&quot;[21]&quot;,&quot;manualOverrideText&quot;:&quot;&quot;},&quot;citationTag&quot;:&quot;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&quot;,&quot;citationItems&quot;:[{&quot;id&quot;:&quot;60a7d315-74d2-3d6f-900e-7d25818ef404&quot;,&quot;itemData&quot;:{&quot;type&quot;:&quot;article-journal&quot;,&quot;id&quot;:&quot;60a7d315-74d2-3d6f-900e-7d25818ef404&quot;,&quot;title&quot;:&quot;Estimating excess mortality due to the COVID-19 pandemic: a systematic analysis of COVID-19-related mortality, 2020–21&quot;,&quot;author&quot;:[{&quot;family&quot;:&quot;Wang&quot;,&quot;given&quot;:&quot;Haidong&quot;,&quot;parse-names&quot;:false,&quot;dropping-particle&quot;:&quot;&quot;,&quot;non-dropping-particle&quot;:&quot;&quot;},{&quot;family&quot;:&quot;Paulson&quot;,&quot;given&quot;:&quot;Katherine R.&quot;,&quot;parse-names&quot;:false,&quot;dropping-particle&quot;:&quot;&quot;,&quot;non-dropping-particle&quot;:&quot;&quot;},{&quot;family&quot;:&quot;Pease&quot;,&quot;given&quot;:&quot;Spencer A.&quot;,&quot;parse-names&quot;:false,&quot;dropping-particle&quot;:&quot;&quot;,&quot;non-dropping-particle&quot;:&quot;&quot;},{&quot;family&quot;:&quot;Watson&quot;,&quot;given&quot;:&quot;Stefanie&quot;,&quot;parse-names&quot;:false,&quot;dropping-particle&quot;:&quot;&quot;,&quot;non-dropping-particle&quot;:&quot;&quot;},{&quot;family&quot;:&quot;Comfort&quot;,&quot;given&quot;:&quot;Haley&quot;,&quot;parse-names&quot;:false,&quot;dropping-particle&quot;:&quot;&quot;,&quot;non-dropping-particle&quot;:&quot;&quot;},{&quot;family&quot;:&quot;Zheng&quot;,&quot;given&quot;:&quot;Peng&quot;,&quot;parse-names&quot;:false,&quot;dropping-particle&quot;:&quot;&quot;,&quot;non-dropping-particle&quot;:&quot;&quot;},{&quot;family&quot;:&quot;Aravkin&quot;,&quot;given&quot;:&quot;Aleksandr Y.&quot;,&quot;parse-names&quot;:false,&quot;dropping-particle&quot;:&quot;&quot;,&quot;non-dropping-particle&quot;:&quot;&quot;},{&quot;family&quot;:&quot;Bisignano&quot;,&quot;given&quot;:&quot;Catherine&quot;,&quot;parse-names&quot;:false,&quot;dropping-particle&quot;:&quot;&quot;,&quot;non-dropping-particle&quot;:&quot;&quot;},{&quot;family&quot;:&quot;Barber&quot;,&quot;given&quot;:&quot;Ryan M.&quot;,&quot;parse-names&quot;:false,&quot;dropping-particle&quot;:&quot;&quot;,&quot;non-dropping-particle&quot;:&quot;&quot;},{&quot;family&quot;:&quot;Alam&quot;,&quot;given&quot;:&quot;Tahiya&quot;,&quot;parse-names&quot;:false,&quot;dropping-particle&quot;:&quot;&quot;,&quot;non-dropping-particle&quot;:&quot;&quot;},{&quot;family&quot;:&quot;Fuller&quot;,&quot;given&quot;:&quot;John E.&quot;,&quot;parse-names&quot;:false,&quot;dropping-particle&quot;:&quot;&quot;,&quot;non-dropping-particle&quot;:&quot;&quot;},{&quot;family&quot;:&quot;May&quot;,&quot;given&quot;:&quot;Erin A.&quot;,&quot;parse-names&quot;:false,&quot;dropping-particle&quot;:&quot;&quot;,&quot;non-dropping-particle&quot;:&quot;&quot;},{&quot;family&quot;:&quot;Jones&quot;,&quot;given&quot;:&quot;Darwin Phan&quot;,&quot;parse-names&quot;:false,&quot;dropping-particle&quot;:&quot;&quot;,&quot;non-dropping-particle&quot;:&quot;&quot;},{&quot;family&quot;:&quot;Frisch&quot;,&quot;given&quot;:&quot;Meghan E.&quot;,&quot;parse-names&quot;:false,&quot;dropping-particle&quot;:&quot;&quot;,&quot;non-dropping-particle&quot;:&quot;&quot;},{&quot;family&quot;:&quot;Abbafati&quot;,&quot;given&quot;:&quot;Cristiana&quot;,&quot;parse-names&quot;:false,&quot;dropping-particle&quot;:&quot;&quot;,&quot;non-dropping-particle&quot;:&quot;&quot;},{&quot;family&quot;:&quot;Adolph&quot;,&quot;given&quot;:&quot;Christopher&quot;,&quot;parse-names&quot;:false,&quot;dropping-particle&quot;:&quot;&quot;,&quot;non-dropping-particle&quot;:&quot;&quot;},{&quot;family&quot;:&quot;Allorant&quot;,&quot;given&quot;:&quot;Adrien&quot;,&quot;parse-names&quot;:false,&quot;dropping-particle&quot;:&quot;&quot;,&quot;non-dropping-particle&quot;:&quot;&quot;},{&quot;family&quot;:&quot;Amlag&quot;,&quot;given&quot;:&quot;Joanne O.&quot;,&quot;parse-names&quot;:false,&quot;dropping-particle&quot;:&quot;&quot;,&quot;non-dropping-particle&quot;:&quot;&quot;},{&quot;family&quot;:&quot;Bang-Jensen&quot;,&quot;given&quot;:&quot;Bree&quot;,&quot;parse-names&quot;:false,&quot;dropping-particle&quot;:&quot;&quot;,&quot;non-dropping-particle&quot;:&quot;&quot;},{&quot;family&quot;:&quot;Bertolacci&quot;,&quot;given&quot;:&quot;Gregory J.&quot;,&quot;parse-names&quot;:false,&quot;dropping-particle&quot;:&quot;&quot;,&quot;non-dropping-particle&quot;:&quot;&quot;},{&quot;family&quot;:&quot;Bloom&quot;,&quot;given&quot;:&quot;Sabina S.&quot;,&quot;parse-names&quot;:false,&quot;dropping-particle&quot;:&quot;&quot;,&quot;non-dropping-particle&quot;:&quot;&quot;},{&quot;family&quot;:&quot;Carter&quot;,&quot;given&quot;:&quot;Austin&quot;,&quot;parse-names&quot;:false,&quot;dropping-particle&quot;:&quot;&quot;,&quot;non-dropping-particle&quot;:&quot;&quot;},{&quot;family&quot;:&quot;Castro&quot;,&quot;given&quot;:&quot;Emma&quot;,&quot;parse-names&quot;:false,&quot;dropping-particle&quot;:&quot;&quot;,&quot;non-dropping-particle&quot;:&quot;&quot;},{&quot;family&quot;:&quot;Chakrabarti&quot;,&quot;given&quot;:&quot;Suman&quot;,&quot;parse-names&quot;:false,&quot;dropping-particle&quot;:&quot;&quot;,&quot;non-dropping-particle&quot;:&quot;&quot;},{&quot;family&quot;:&quot;Chattopadhyay&quot;,&quot;given&quot;:&quot;Jhilik&quot;,&quot;parse-names&quot;:false,&quot;dropping-particle&quot;:&quot;&quot;,&quot;non-dropping-particle&quot;:&quot;&quot;},{&quot;family&quot;:&quot;Cogen&quot;,&quot;given&quot;:&quot;Rebecca M.&quot;,&quot;parse-names&quot;:false,&quot;dropping-particle&quot;:&quot;&quot;,&quot;non-dropping-particle&quot;:&quot;&quot;},{&quot;family&quot;:&quot;Collins&quot;,&quot;given&quot;:&quot;James K.&quot;,&quot;parse-names&quot;:false,&quot;dropping-particle&quot;:&quot;&quot;,&quot;non-dropping-particle&quot;:&quot;&quot;},{&quot;family&quot;:&quot;Cooperrider&quot;,&quot;given&quot;:&quot;Kimberly&quot;,&quot;parse-names&quot;:false,&quot;dropping-particle&quot;:&quot;&quot;,&quot;non-dropping-particle&quot;:&quot;&quot;},{&quot;family&quot;:&quot;Dai&quot;,&quot;given&quot;:&quot;Xiaochen&quot;,&quot;parse-names&quot;:false,&quot;dropping-particle&quot;:&quot;&quot;,&quot;non-dropping-particle&quot;:&quot;&quot;},{&quot;family&quot;:&quot;Dangel&quot;,&quot;given&quot;:&quot;William James&quot;,&quot;parse-names&quot;:false,&quot;dropping-particle&quot;:&quot;&quot;,&quot;non-dropping-particle&quot;:&quot;&quot;},{&quot;family&quot;:&quot;Daoud&quot;,&quot;given&quot;:&quot;Farah&quot;,&quot;parse-names&quot;:false,&quot;dropping-particle&quot;:&quot;&quot;,&quot;non-dropping-particle&quot;:&quot;&quot;},{&quot;family&quot;:&quot;Dapper&quot;,&quot;given&quot;:&quot;Carolyn&quot;,&quot;parse-names&quot;:false,&quot;dropping-particle&quot;:&quot;&quot;,&quot;non-dropping-particle&quot;:&quot;&quot;},{&quot;family&quot;:&quot;Deen&quot;,&quot;given&quot;:&quot;Amanda&quot;,&quot;parse-names&quot;:false,&quot;dropping-particle&quot;:&quot;&quot;,&quot;non-dropping-particle&quot;:&quot;&quot;},{&quot;family&quot;:&quot;Duncan&quot;,&quot;given&quot;:&quot;Bruce B.&quot;,&quot;parse-names&quot;:false,&quot;dropping-particle&quot;:&quot;&quot;,&quot;non-dropping-particle&quot;:&quot;&quot;},{&quot;family&quot;:&quot;Erickson&quot;,&quot;given&quot;:&quot;Megan&quot;,&quot;parse-names&quot;:false,&quot;dropping-particle&quot;:&quot;&quot;,&quot;non-dropping-particle&quot;:&quot;&quot;},{&quot;family&quot;:&quot;Ewald&quot;,&quot;given&quot;:&quot;Samuel B.&quot;,&quot;parse-names&quot;:false,&quot;dropping-particle&quot;:&quot;&quot;,&quot;non-dropping-particle&quot;:&quot;&quot;},{&quot;family&quot;:&quot;Fedosseeva&quot;,&quot;given&quot;:&quot;Tatiana&quot;,&quot;parse-names&quot;:false,&quot;dropping-particle&quot;:&quot;&quot;,&quot;non-dropping-particle&quot;:&quot;&quot;},{&quot;family&quot;:&quot;Ferrari&quot;,&quot;given&quot;:&quot;Alize J.&quot;,&quot;parse-names&quot;:false,&quot;dropping-particle&quot;:&quot;&quot;,&quot;non-dropping-particle&quot;:&quot;&quot;},{&quot;family&quot;:&quot;Frostad&quot;,&quot;given&quot;:&quot;Joseph Jon&quot;,&quot;parse-names&quot;:false,&quot;dropping-particle&quot;:&quot;&quot;,&quot;non-dropping-particle&quot;:&quot;&quot;},{&quot;family&quot;:&quot;Fullman&quot;,&quot;given&quot;:&quot;Nancy&quot;,&quot;parse-names&quot;:false,&quot;dropping-particle&quot;:&quot;&quot;,&quot;non-dropping-particle&quot;:&quot;&quot;},{&quot;family&quot;:&quot;Gallagher&quot;,&quot;given&quot;:&quot;John&quot;,&quot;parse-names&quot;:false,&quot;dropping-particle&quot;:&quot;&quot;,&quot;non-dropping-particle&quot;:&quot;&quot;},{&quot;family&quot;:&quot;Gamkrelidze&quot;,&quot;given&quot;:&quot;Amiran&quot;,&quot;parse-names&quot;:false,&quot;dropping-particle&quot;:&quot;&quot;,&quot;non-dropping-particle&quot;:&quot;&quot;},{&quot;family&quot;:&quot;Guo&quot;,&quot;given&quot;:&quot;Gaorui&quot;,&quot;parse-names&quot;:false,&quot;dropping-particle&quot;:&quot;&quot;,&quot;non-dropping-particle&quot;:&quot;&quot;},{&quot;family&quot;:&quot;He&quot;,&quot;given&quot;:&quot;Jiawei&quot;,&quot;parse-names&quot;:false,&quot;dropping-particle&quot;:&quot;&quot;,&quot;non-dropping-particle&quot;:&quot;&quot;},{&quot;family&quot;:&quot;Helak&quot;,&quot;given&quot;:&quot;Monika&quot;,&quot;parse-names&quot;:false,&quot;dropping-particle&quot;:&quot;&quot;,&quot;non-dropping-particle&quot;:&quot;&quot;},{&quot;family&quot;:&quot;Henry&quot;,&quot;given&quot;:&quot;Nathaniel J.&quot;,&quot;parse-names&quot;:false,&quot;dropping-particle&quot;:&quot;&quot;,&quot;non-dropping-particle&quot;:&quot;&quot;},{&quot;family&quot;:&quot;Hulland&quot;,&quot;given&quot;:&quot;Erin N.&quot;,&quot;parse-names&quot;:false,&quot;dropping-particle&quot;:&quot;&quot;,&quot;non-dropping-particle&quot;:&quot;&quot;},{&quot;family&quot;:&quot;Huntley&quot;,&quot;given&quot;:&quot;Bethany M.&quot;,&quot;parse-names&quot;:false,&quot;dropping-particle&quot;:&quot;&quot;,&quot;non-dropping-particle&quot;:&quot;&quot;},{&quot;family&quot;:&quot;Kereselidze&quot;,&quot;given&quot;:&quot;Maia&quot;,&quot;parse-names&quot;:false,&quot;dropping-particle&quot;:&quot;&quot;,&quot;non-dropping-particle&quot;:&quot;&quot;},{&quot;family&quot;:&quot;Lazzar-Atwood&quot;,&quot;given&quot;:&quot;Alice&quot;,&quot;parse-names&quot;:false,&quot;dropping-particle&quot;:&quot;&quot;,&quot;non-dropping-particle&quot;:&quot;&quot;},{&quot;family&quot;:&quot;LeGrand&quot;,&quot;given&quot;:&quot;Kate E.&quot;,&quot;parse-names&quot;:false,&quot;dropping-particle&quot;:&quot;&quot;,&quot;non-dropping-particle&quot;:&quot;&quot;},{&quot;family&quot;:&quot;Lindstrom&quot;,&quot;given&quot;:&quot;Akiaja&quot;,&quot;parse-names&quot;:false,&quot;dropping-particle&quot;:&quot;&quot;,&quot;non-dropping-particle&quot;:&quot;&quot;},{&quot;family&quot;:&quot;Linebarger&quot;,&quot;given&quot;:&quot;Emily&quot;,&quot;parse-names&quot;:false,&quot;dropping-particle&quot;:&quot;&quot;,&quot;non-dropping-particle&quot;:&quot;&quot;},{&quot;family&quot;:&quot;Lotufo&quot;,&quot;given&quot;:&quot;Paulo A.&quot;,&quot;parse-names&quot;:false,&quot;dropping-particle&quot;:&quot;&quot;,&quot;non-dropping-particle&quot;:&quot;&quot;},{&quot;family&quot;:&quot;Lozano&quot;,&quot;given&quot;:&quot;Rafael&quot;,&quot;parse-names&quot;:false,&quot;dropping-particle&quot;:&quot;&quot;,&quot;non-dropping-particle&quot;:&quot;&quot;},{&quot;family&quot;:&quot;Magistro&quot;,&quot;given&quot;:&quot;Beatrice&quot;,&quot;parse-names&quot;:false,&quot;dropping-particle&quot;:&quot;&quot;,&quot;non-dropping-particle&quot;:&quot;&quot;},{&quot;family&quot;:&quot;Malta&quot;,&quot;given&quot;:&quot;Deborah Carvalho&quot;,&quot;parse-names&quot;:false,&quot;dropping-particle&quot;:&quot;&quot;,&quot;non-dropping-particle&quot;:&quot;&quot;},{&quot;family&quot;:&quot;Månsson&quot;,&quot;given&quot;:&quot;Johan&quot;,&quot;parse-names&quot;:false,&quot;dropping-particle&quot;:&quot;&quot;,&quot;non-dropping-particle&quot;:&quot;&quot;},{&quot;family&quot;:&quot;Mantilla Herrera&quot;,&quot;given&quot;:&quot;Ana M.&quot;,&quot;parse-names&quot;:false,&quot;dropping-particle&quot;:&quot;&quot;,&quot;non-dropping-particle&quot;:&quot;&quot;},{&quot;family&quot;:&quot;Marinho&quot;,&quot;given&quot;:&quot;Fatima&quot;,&quot;parse-names&quot;:false,&quot;dropping-particle&quot;:&quot;&quot;,&quot;non-dropping-particle&quot;:&quot;&quot;},{&quot;family&quot;:&quot;Mirkuzie&quot;,&quot;given&quot;:&quot;Alemnesh H.&quot;,&quot;parse-names&quot;:false,&quot;dropping-particle&quot;:&quot;&quot;,&quot;non-dropping-particle&quot;:&quot;&quot;},{&quot;family&quot;:&quot;Misganaw&quot;,&quot;given&quot;:&quot;Awoke Temesgen&quot;,&quot;parse-names&quot;:false,&quot;dropping-particle&quot;:&quot;&quot;,&quot;non-dropping-particle&quot;:&quot;&quot;},{&quot;family&quot;:&quot;Monasta&quot;,&quot;given&quot;:&quot;Lorenzo&quot;,&quot;parse-names&quot;:false,&quot;dropping-particle&quot;:&quot;&quot;,&quot;non-dropping-particle&quot;:&quot;&quot;},{&quot;family&quot;:&quot;Naik&quot;,&quot;given&quot;:&quot;Paulami&quot;,&quot;parse-names&quot;:false,&quot;dropping-particle&quot;:&quot;&quot;,&quot;non-dropping-particle&quot;:&quot;&quot;},{&quot;family&quot;:&quot;Nomura&quot;,&quot;given&quot;:&quot;Shuhei&quot;,&quot;parse-names&quot;:false,&quot;dropping-particle&quot;:&quot;&quot;,&quot;non-dropping-particle&quot;:&quot;&quot;},{&quot;family&quot;:&quot;O'Brien&quot;,&quot;given&quot;:&quot;Edward G.&quot;,&quot;parse-names&quot;:false,&quot;dropping-particle&quot;:&quot;&quot;,&quot;non-dropping-particle&quot;:&quot;&quot;},{&quot;family&quot;:&quot;O'Halloran&quot;,&quot;given&quot;:&quot;James Kevin&quot;,&quot;parse-names&quot;:false,&quot;dropping-particle&quot;:&quot;&quot;,&quot;non-dropping-particle&quot;:&quot;&quot;},{&quot;family&quot;:&quot;Olana&quot;,&quot;given&quot;:&quot;Latera Tesfaye&quot;,&quot;parse-names&quot;:false,&quot;dropping-particle&quot;:&quot;&quot;,&quot;non-dropping-particle&quot;:&quot;&quot;},{&quot;family&quot;:&quot;Ostroff&quot;,&quot;given&quot;:&quot;Samuel M.&quot;,&quot;parse-names&quot;:false,&quot;dropping-particle&quot;:&quot;&quot;,&quot;non-dropping-particle&quot;:&quot;&quot;},{&quot;family&quot;:&quot;Penberthy&quot;,&quot;given&quot;:&quot;Louise&quot;,&quot;parse-names&quot;:false,&quot;dropping-particle&quot;:&quot;&quot;,&quot;non-dropping-particle&quot;:&quot;&quot;},{&quot;family&quot;:&quot;Reiner&quot;,&quot;given&quot;:&quot;Robert C.&quot;,&quot;parse-names&quot;:false,&quot;dropping-particle&quot;:&quot;&quot;,&quot;non-dropping-particle&quot;:&quot;&quot;},{&quot;family&quot;:&quot;Reinke&quot;,&quot;given&quot;:&quot;Grace&quot;,&quot;parse-names&quot;:false,&quot;dropping-particle&quot;:&quot;&quot;,&quot;non-dropping-particle&quot;:&quot;&quot;},{&quot;family&quot;:&quot;Ribeiro&quot;,&quot;given&quot;:&quot;Antonio Luiz P.&quot;,&quot;parse-names&quot;:false,&quot;dropping-particle&quot;:&quot;&quot;,&quot;non-dropping-particle&quot;:&quot;&quot;},{&quot;family&quot;:&quot;Santomauro&quot;,&quot;given&quot;:&quot;Damian Francesco&quot;,&quot;parse-names&quot;:false,&quot;dropping-particle&quot;:&quot;&quot;,&quot;non-dropping-particle&quot;:&quot;&quot;},{&quot;family&quot;:&quot;Schmidt&quot;,&quot;given&quot;:&quot;Maria Inês&quot;,&quot;parse-names&quot;:false,&quot;dropping-particle&quot;:&quot;&quot;,&quot;non-dropping-particle&quot;:&quot;&quot;},{&quot;family&quot;:&quot;Shaw&quot;,&quot;given&quot;:&quot;David H.&quot;,&quot;parse-names&quot;:false,&quot;dropping-particle&quot;:&quot;&quot;,&quot;non-dropping-particle&quot;:&quot;&quot;},{&quot;family&quot;:&quot;Sheena&quot;,&quot;given&quot;:&quot;Brittney S.&quot;,&quot;parse-names&quot;:false,&quot;dropping-particle&quot;:&quot;&quot;,&quot;non-dropping-particle&quot;:&quot;&quot;},{&quot;family&quot;:&quot;Sholokhov&quot;,&quot;given&quot;:&quot;Aleksei&quot;,&quot;parse-names&quot;:false,&quot;dropping-particle&quot;:&quot;&quot;,&quot;non-dropping-particle&quot;:&quot;&quot;},{&quot;family&quot;:&quot;Skhvitaridze&quot;,&quot;given&quot;:&quot;Natia&quot;,&quot;parse-names&quot;:false,&quot;dropping-particle&quot;:&quot;&quot;,&quot;non-dropping-particle&quot;:&quot;&quot;},{&quot;family&quot;:&quot;Sorensen&quot;,&quot;given&quot;:&quot;Reed J.D.&quot;,&quot;parse-names&quot;:false,&quot;dropping-particle&quot;:&quot;&quot;,&quot;non-dropping-particle&quot;:&quot;&quot;},{&quot;family&quot;:&quot;Spurlock&quot;,&quot;given&quot;:&quot;Emma Elizabeth&quot;,&quot;parse-names&quot;:false,&quot;dropping-particle&quot;:&quot;&quot;,&quot;non-dropping-particle&quot;:&quot;&quot;},{&quot;family&quot;:&quot;Syailendrawati&quot;,&quot;given&quot;:&quot;Ruri&quot;,&quot;parse-names&quot;:false,&quot;dropping-particle&quot;:&quot;&quot;,&quot;non-dropping-particle&quot;:&quot;&quot;},{&quot;family&quot;:&quot;Topor-Madry&quot;,&quot;given&quot;:&quot;Roman&quot;,&quot;parse-names&quot;:false,&quot;dropping-particle&quot;:&quot;&quot;,&quot;non-dropping-particle&quot;:&quot;&quot;},{&quot;family&quot;:&quot;Troeger&quot;,&quot;given&quot;:&quot;Christopher E.&quot;,&quot;parse-names&quot;:false,&quot;dropping-particle&quot;:&quot;&quot;,&quot;non-dropping-particle&quot;:&quot;&quot;},{&quot;family&quot;:&quot;Walcott&quot;,&quot;given&quot;:&quot;Rebecca&quot;,&quot;parse-names&quot;:false,&quot;dropping-particle&quot;:&quot;&quot;,&quot;non-dropping-particle&quot;:&quot;&quot;},{&quot;family&quot;:&quot;Walker&quot;,&quot;given&quot;:&quot;Ally&quot;,&quot;parse-names&quot;:false,&quot;dropping-particle&quot;:&quot;&quot;,&quot;non-dropping-particle&quot;:&quot;&quot;},{&quot;family&quot;:&quot;Wiysonge&quot;,&quot;given&quot;:&quot;Charles Shey&quot;,&quot;parse-names&quot;:false,&quot;dropping-particle&quot;:&quot;&quot;,&quot;non-dropping-particle&quot;:&quot;&quot;},{&quot;family&quot;:&quot;Worku&quot;,&quot;given&quot;:&quot;Nahom Alemseged&quot;,&quot;parse-names&quot;:false,&quot;dropping-particle&quot;:&quot;&quot;,&quot;non-dropping-particle&quot;:&quot;&quot;},{&quot;family&quot;:&quot;Zigler&quot;,&quot;given&quot;:&quot;Bethany&quot;,&quot;parse-names&quot;:false,&quot;dropping-particle&quot;:&quot;&quot;,&quot;non-dropping-particle&quot;:&quot;&quot;},{&quot;family&quot;:&quot;Pigott&quot;,&quot;given&quot;:&quot;David M.&quot;,&quot;parse-names&quot;:false,&quot;dropping-particle&quot;:&quot;&quot;,&quot;non-dropping-particle&quot;:&quot;&quot;},{&quot;family&quot;:&quot;Naghavi&quot;,&quot;given&quot;:&quot;Mohsen&quot;,&quot;parse-names&quot;:false,&quot;dropping-particle&quot;:&quot;&quot;,&quot;non-dropping-particle&quot;:&quot;&quot;},{&quot;family&quot;:&quot;Mokdad&quot;,&quot;given&quot;:&quot;Ali H.&quot;,&quot;parse-names&quot;:false,&quot;dropping-particle&quot;:&quot;&quot;,&quot;non-dropping-particle&quot;:&quot;&quot;},{&quot;family&quot;:&quot;Lim&quot;,&quot;given&quot;:&quot;Stephen S.&quot;,&quot;parse-names&quot;:false,&quot;dropping-particle&quot;:&quot;&quot;,&quot;non-dropping-particle&quot;:&quot;&quot;},{&quot;family&quot;:&quot;Hay&quot;,&quot;given&quot;:&quot;Simon I.&quot;,&quot;parse-names&quot;:false,&quot;dropping-particle&quot;:&quot;&quot;,&quot;non-dropping-particle&quot;:&quot;&quot;},{&quot;family&quot;:&quot;Gakidou&quot;,&quot;given&quot;:&quot;Emmanuela&quot;,&quot;parse-names&quot;:false,&quot;dropping-particle&quot;:&quot;&quot;,&quot;non-dropping-particle&quot;:&quot;&quot;},{&quot;family&quot;:&quot;Murray&quot;,&quot;given&quot;:&quot;Christopher J.L.&quot;,&quot;parse-names&quot;:false,&quot;dropping-particle&quot;:&quot;&quot;,&quot;non-dropping-particle&quot;:&quot;&quot;}],&quot;container-title&quot;:&quot;Lancet (London, England)&quot;,&quot;container-title-short&quot;:&quot;Lancet&quot;,&quot;accessed&quot;:{&quot;date-parts&quot;:[[2024,5,3]]},&quot;DOI&quot;:&quot;10.1016/S0140-6736(21)02796-3&quot;,&quot;ISSN&quot;:&quot;1474547X&quot;,&quot;PMID&quot;:&quot;35279232&quot;,&quot;URL&quot;:&quot;/pmc/articles/PMC8912932/&quot;,&quot;issued&quot;:{&quot;date-parts&quot;:[[2022,4,4]]},&quot;page&quot;:&quot;1513&quot;,&quot;abstract&quot;:&quot;Background: Mortality statistics are fundamental to public health decision making. Mortality varies by time and location, and its measurement is affected by well known biases that have been exacerbated during the COVID-19 pandemic. This paper aims to estimate excess mortality from the COVID-19 pandemic in 191 countries and territories, and 252 subnational units for selected countries, from Jan 1, 2020, to Dec 31, 2021. Methods: All-cause mortality reports were collected for 74 countries and territories and 266 subnational locations (including 31 locations in low-income and middle-income countries) that had reported either weekly or monthly deaths from all causes during the pandemic in 2020 and 2021, and for up to 11 year previously. In addition, we obtained excess mortality data for 12 states in India. Excess mortality over time was calculated as observed mortality, after excluding data from periods affected by late registration and anomalies such as heat waves, minus expected mortality. Six models were used to estimate expected mortality; final estimates of expected mortality were based on an ensemble of these models. Ensemble weights were based on root mean squared errors derived from an out-of-sample predictive validity test. As mortality records are incomplete worldwide, we built a statistical model that predicted the excess mortality rate for locations and periods where all-cause mortality data were not available. We used least absolute shrinkage and selection operator (LASSO) regression as a variable selection mechanism and selected 15 covariates, including both covariates pertaining to the COVID-19 pandemic, such as seroprevalence, and to background population health metrics, such as the Healthcare Access and Quality Index, with direction of effects on excess mortality concordant with a meta-analysis by the US Centers for Disease Control and Prevention. With the selected best model, we ran a prediction process using 100 draws for each covariate and 100 draws of estimated coefficients and residuals, estimated from the regressions run at the draw level using draw-level input data on both excess mortality and covariates. Mean values and 95% uncertainty intervals were then generated at national, regional, and global levels. Out-of-sample predictive validity testing was done on the basis of our final model specification. Findings: Although reported COVID-19 deaths between Jan 1, 2020, and Dec 31, 2021, totalled 5·94 million worldwide, we estimate that 18·2 million (95% uncertainty interval 17·1–19·6) people died worldwide because of the COVID-19 pandemic (as measured by excess mortality) over that period. The global all-age rate of excess mortality due to the COVID-19 pandemic was 120·3 deaths (113·1–129·3) per 100 000 of the population, and excess mortality rate exceeded 300 deaths per 100 000 of the population in 21 countries. The number of excess deaths due to COVID-19 was largest in the regions of south Asia, north Africa and the Middle East, and eastern Europe. At the country level, the highest numbers of cumulative excess deaths due to COVID-19 were estimated in India (4·07 million [3·71–4·36]), the USA (1·13 million [1·08–1·18]), Russia (1·07 million [1·06–1·08]), Mexico (798 000 [741 000–867 000]), Brazil (792 000 [730 000–847 000]), Indonesia (736 000 [594 000–955 000]), and Pakistan (664 000 [498 000–847 000]). Among these countries, the excess mortality rate was highest in Russia (374·6 deaths [369·7–378·4] per 100 000) and Mexico (325·1 [301·6–353·3] per 100 000), and was similar in Brazil (186·9 [172·2–199·8] per 100 000) and the USA (179·3 [170·7–187·5] per 100 000). Interpretation: The full impact of the pandemic has been much greater than what is indicated by reported deaths due to COVID-19 alone. Strengthening death registration systems around the world, long understood to be crucial to global public health strategy, is necessary for improved monitoring of this pandemic and future pandemics. In addition, further research is warranted to help distinguish the proportion of excess mortality that was directly caused by SARS-CoV-2 infection and the changes in causes of death as an indirect consequence of the pandemic. Funding: Bill &amp; Melinda Gates Foundation, J Stanton, T Gillespie, and J and E Nordstrom&quot;,&quot;publisher&quot;:&quot;Elsevier&quot;,&quot;issue&quot;:&quot;10334&quot;,&quot;volume&quot;:&quot;399&quot;},&quot;isTemporary&quot;:false}]},{&quot;citationID&quot;:&quot;MENDELEY_CITATION_e9762e86-73fd-4d56-a24a-c78881cbcdb6&quot;,&quot;properties&quot;:{&quot;noteIndex&quot;:0},&quot;isEdited&quot;:false,&quot;manualOverride&quot;:{&quot;isManuallyOverridden&quot;:false,&quot;citeprocText&quot;:&quot;[22]&quot;,&quot;manualOverrideText&quot;:&quot;&quot;},&quot;citationTag&quot;:&quot;MENDELEY_CITATION_v3_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&quot;,&quot;citationItems&quot;:[{&quot;id&quot;:&quot;62b9fa22-bd91-3bf3-ba65-6f8e1ced30b4&quot;,&quot;itemData&quot;:{&quot;type&quot;:&quot;webpage&quot;,&quot;id&quot;:&quot;62b9fa22-bd91-3bf3-ba65-6f8e1ced30b4&quot;,&quot;title&quot;:&quot;Estimated cumulative excess deaths per 100,000 people during COVID, from The Economist, Jun 17, 2024&quot;,&quot;accessed&quot;:{&quot;date-parts&quot;:[[2024,9,9]]},&quot;URL&quot;:&quot;https://ourworldindata.org/grapher/excess-deaths-cumulative-per-100k-economist&quot;,&quot;container-title-short&quot;:&quot;&quot;},&quot;isTemporary&quot;:false}]},{&quot;citationID&quot;:&quot;MENDELEY_CITATION_316560a6-a609-4e4b-994f-e991baadbadc&quot;,&quot;properties&quot;:{&quot;noteIndex&quot;:0},&quot;isEdited&quot;:false,&quot;manualOverride&quot;:{&quot;isManuallyOverridden&quot;:false,&quot;citeprocText&quot;:&quot;[23]&quot;,&quot;manualOverrideText&quot;:&quot;&quot;},&quot;citationTag&quot;:&quot;MENDELEY_CITATION_v3_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&quot;,&quot;citationItems&quot;:[{&quot;id&quot;:&quot;86b990e9-f229-3808-8fd8-4f9075fe421e&quot;,&quot;itemData&quot;:{&quot;type&quot;:&quot;article-journal&quot;,&quot;id&quot;:&quot;86b990e9-f229-3808-8fd8-4f9075fe421e&quot;,&quot;title&quot;:&quot;Non-pharmaceutical interventions during the COVID-19 pandemic: A review&quot;,&quot;author&quot;:[{&quot;family&quot;:&quot;Perra&quot;,&quot;given&quot;:&quot;Nicola&quot;,&quot;parse-names&quot;:false,&quot;dropping-particle&quot;:&quot;&quot;,&quot;non-dropping-particle&quot;:&quot;&quot;}],&quot;container-title&quot;:&quot;Physics Reports&quot;,&quot;container-title-short&quot;:&quot;Phys Rep&quot;,&quot;accessed&quot;:{&quot;date-parts&quot;:[[2022,11,22]]},&quot;DOI&quot;:&quot;10.1016/J.PHYSREP.2021.02.001&quot;,&quot;ISSN&quot;:&quot;0370-1573&quot;,&quot;PMID&quot;:&quot;33612922&quot;,&quot;issued&quot;:{&quot;date-parts&quot;:[[2021,5,23]]},&quot;page&quot;:&quot;1-52&quot;,&quot;abstract&quot;:&quot;Infectious diseases and human behavior are intertwined. On one side, our movements and interactions are the engines of transmission. On the other, the unfolding of viruses might induce changes to our daily activities. While intuitive, our understanding of such feedback loop is still limited. Before COVID-19 the literature on the subject was mainly theoretical and largely missed validation. The main issue was the lack of empirical data capturing behavioral change induced by diseases. Things have dramatically changed in 2020. Non-pharmaceutical interventions (NPIs) have been the key weapon against the SARS-CoV-2 virus and affected virtually any societal process. Travel bans, events cancellation, social distancing, curfews, and lockdowns have become unfortunately very familiar. The scale of the emergency, the ease of survey as well as crowdsourcing deployment guaranteed by the latest technology, several Data for Good programs developed by tech giants, major mobile phone providers, and other companies have allowed unprecedented access to data describing behavioral changes induced by the pandemic. Here, I review some of the vast literature written on the subject of NPIs during the COVID-19 pandemic. In doing so, I analyze 348 articles written by more than 2518 authors in the first 12 months of the emergency. While the large majority of the sample was obtained by querying PubMed, it includes also a hand-curated list. Considering the focus, and methodology I have classified the sample into seven main categories: epidemic models, surveys, comments/perspectives, papers aiming to quantify the effects of NPIs, reviews, articles using data proxies to measure NPIs, and publicly available datasets describing NPIs. I summarize the methodology, data used, findings of the articles in each category and provide an outlook highlighting future challenges as well as opportunities.&quot;,&quot;publisher&quot;:&quot;North-Holland&quot;,&quot;volume&quot;:&quot;913&quot;},&quot;isTemporary&quot;:false}]},{&quot;citationID&quot;:&quot;MENDELEY_CITATION_0f358fea-eb25-48a7-9fff-06026e646de4&quot;,&quot;properties&quot;:{&quot;noteIndex&quot;:0},&quot;isEdited&quot;:false,&quot;manualOverride&quot;:{&quot;isManuallyOverridden&quot;:false,&quot;citeprocText&quot;:&quot;[24]&quot;,&quot;manualOverrideText&quot;:&quot;&quot;},&quot;citationTag&quot;:&quot;MENDELEY_CITATION_v3_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&quot;,&quot;citationItems&quot;:[{&quot;id&quot;:&quot;7cddfd41-6a56-3880-bfc7-b9c514c30a61&quot;,&quot;itemData&quot;:{&quot;type&quot;:&quot;article-journal&quot;,&quot;id&quot;:&quot;7cddfd41-6a56-3880-bfc7-b9c514c30a61&quot;,&quot;title&quot;:&quot;A global panel database of pandemic policies (Oxford COVID-19 Government Response Tracker)&quot;,&quot;author&quot;:[{&quot;family&quot;:&quot;Hale&quot;,&quot;given&quot;:&quot;Thomas&quot;,&quot;parse-names&quot;:false,&quot;dropping-particle&quot;:&quot;&quot;,&quot;non-dropping-particle&quot;:&quot;&quot;},{&quot;family&quot;:&quot;Angrist&quot;,&quot;given&quot;:&quot;Noam&quot;,&quot;parse-names&quot;:false,&quot;dropping-particle&quot;:&quot;&quot;,&quot;non-dropping-particle&quot;:&quot;&quot;},{&quot;family&quot;:&quot;Goldszmidt&quot;,&quot;given&quot;:&quot;Rafael&quot;,&quot;parse-names&quot;:false,&quot;dropping-particle&quot;:&quot;&quot;,&quot;non-dropping-particle&quot;:&quot;&quot;},{&quot;family&quot;:&quot;Kira&quot;,&quot;given&quot;:&quot;Beatriz&quot;,&quot;parse-names&quot;:false,&quot;dropping-particle&quot;:&quot;&quot;,&quot;non-dropping-particle&quot;:&quot;&quot;},{&quot;family&quot;:&quot;Petherick&quot;,&quot;given&quot;:&quot;Anna&quot;,&quot;parse-names&quot;:false,&quot;dropping-particle&quot;:&quot;&quot;,&quot;non-dropping-particle&quot;:&quot;&quot;},{&quot;family&quot;:&quot;Phillips&quot;,&quot;given&quot;:&quot;Toby&quot;,&quot;parse-names&quot;:false,&quot;dropping-particle&quot;:&quot;&quot;,&quot;non-dropping-particle&quot;:&quot;&quot;},{&quot;family&quot;:&quot;Webster&quot;,&quot;given&quot;:&quot;Samuel&quot;,&quot;parse-names&quot;:false,&quot;dropping-particle&quot;:&quot;&quot;,&quot;non-dropping-particle&quot;:&quot;&quot;},{&quot;family&quot;:&quot;Cameron-Blake&quot;,&quot;given&quot;:&quot;Emily&quot;,&quot;parse-names&quot;:false,&quot;dropping-particle&quot;:&quot;&quot;,&quot;non-dropping-particle&quot;:&quot;&quot;},{&quot;family&quot;:&quot;Hallas&quot;,&quot;given&quot;:&quot;Laura&quot;,&quot;parse-names&quot;:false,&quot;dropping-particle&quot;:&quot;&quot;,&quot;non-dropping-particle&quot;:&quot;&quot;},{&quot;family&quot;:&quot;Majumdar&quot;,&quot;given&quot;:&quot;Saptarshi&quot;,&quot;parse-names&quot;:false,&quot;dropping-particle&quot;:&quot;&quot;,&quot;non-dropping-particle&quot;:&quot;&quot;},{&quot;family&quot;:&quot;Tatlow&quot;,&quot;given&quot;:&quot;Helen&quot;,&quot;parse-names&quot;:false,&quot;dropping-particle&quot;:&quot;&quot;,&quot;non-dropping-particle&quot;:&quot;&quot;}],&quot;container-title&quot;:&quot;Nature Human Behaviour&quot;,&quot;container-title-short&quot;:&quot;Nat Hum Behav&quot;,&quot;accessed&quot;:{&quot;date-parts&quot;:[[2022,11,22]]},&quot;DOI&quot;:&quot;10.1038/S41562-021-01079-8&quot;,&quot;ISSN&quot;:&quot;23973374&quot;,&quot;PMID&quot;:&quot;33686204&quot;,&quot;URL&quot;:&quot;https://www.bsg.ox.ac.uk/research/covid-19-government-response-tracker&quot;,&quot;issued&quot;:{&quot;date-parts&quot;:[[2021,4,1]]},&quot;page&quot;:&quot;529-538&quot;,&quot;abstract&quot;:&quo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quot;,&quot;publisher&quot;:&quot;Nature Research&quot;,&quot;issue&quot;:&quot;4&quot;,&quot;volume&quot;:&quot;5&quot;},&quot;isTemporary&quot;:false}]},{&quot;citationID&quot;:&quot;MENDELEY_CITATION_1ba0de4f-4caa-498c-a90b-3210919b493d&quot;,&quot;properties&quot;:{&quot;noteIndex&quot;:0},&quot;isEdited&quot;:false,&quot;manualOverride&quot;:{&quot;isManuallyOverridden&quot;:false,&quot;citeprocText&quot;:&quot;[25]&quot;,&quot;manualOverrideText&quot;:&quot;&quot;},&quot;citationTag&quot;:&quot;MENDELEY_CITATION_v3_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&quot;,&quot;citationItems&quot;:[{&quot;id&quot;:&quot;1304003c-f3c2-39d4-ba7a-e60e872cd903&quot;,&quot;itemData&quot;:{&quot;type&quot;:&quot;article-journal&quot;,&quot;id&quot;:&quot;1304003c-f3c2-39d4-ba7a-e60e872cd903&quot;,&quot;title&quot;:&quot;BSG Working Paper Series Variation in government responses to COVID-19&quot;,&quot;author&quot;:[{&quot;family&quot;:&quot;Kira&quot;,&quot;given&quot;:&quot;Beatriz&quot;,&quot;parse-names&quot;:false,&quot;dropping-particle&quot;:&quot;&quot;,&quot;non-dropping-particle&quot;:&quot;&quot;},{&quot;family&quot;:&quot;Saptarshi&quot;,&quot;given&quot;:&quot;Maria Luciano&quot;,&quot;parse-names&quot;:false,&quot;dropping-particle&quot;:&quot;&quot;,&quot;non-dropping-particle&quot;:&quot;&quot;},{&quot;family&quot;:&quot;Thayslene&quot;,&quot;given&quot;:&quot;Majumdar&quot;,&quot;parse-names&quot;:false,&quot;dropping-particle&quot;:&quot;&quot;,&quot;non-dropping-particle&quot;:&quot;&quot;},{&quot;family&quot;:&quot;Oliveira&quot;,&quot;given&quot;:&quot;Marques&quot;,&quot;parse-names&quot;:false,&quot;dropping-particle&quot;:&quot;&quot;,&quot;non-dropping-particle&quot;:&quot;&quot;},{&quot;family&quot;:&quot;Nagesh&quot;,&quot;given&quot;:&quot;Radhika&quot;,&quot;parse-names&quot;:false,&quot;dropping-particle&quot;:&quot;&quot;,&quot;non-dropping-particle&quot;:&quot;&quot;},{&quot;family&quot;:&quot;Phillips&quot;,&quot;given&quot;:&quot;Toby&quot;,&quot;parse-names&quot;:false,&quot;dropping-particle&quot;:&quot;&quot;,&quot;non-dropping-particle&quot;:&quot;&quot;},{&quot;family&quot;:&quot;Pott&quot;,&quot;given&quot;:&quot;Annalena&quot;,&quot;parse-names&quot;:false,&quot;dropping-particle&quot;:&quot;&quot;,&quot;non-dropping-particle&quot;:&quot;&quot;},{&quot;family&quot;:&quot;Sampaio&quot;,&quot;given&quot;:&quot;Julia&quot;,&quot;parse-names&quot;:false,&quot;dropping-particle&quot;:&quot;&quot;,&quot;non-dropping-particle&quot;:&quot;&quot;},{&quot;family&quot;:&quot;Tatlow&quot;,&quot;given&quot;:&quot;Helen&quot;,&quot;parse-names&quot;:false,&quot;dropping-particle&quot;:&quot;&quot;,&quot;non-dropping-particle&quot;:&quot;&quot;},{&quot;family&quot;:&quot;Wade&quot;,&quot;given&quot;:&quot;Adam&quot;,&quot;parse-names&quot;:false,&quot;dropping-particle&quot;:&quot;&quot;,&quot;non-dropping-particle&quot;:&quot;&quot;},{&quot;family&quot;:&quot;Webster&quot;,&quot;given&quot;:&quot;Samuel&quot;,&quot;parse-names&quot;:false,&quot;dropping-particle&quot;:&quot;&quot;,&quot;non-dropping-particle&quot;:&quot;&quot;},{&quot;family&quot;:&quot;Wood&quot;,&quot;given&quot;:&quot;Andrew&quot;,&quot;parse-names&quot;:false,&quot;dropping-particle&quot;:&quot;&quot;,&quot;non-dropping-particle&quot;:&quot;&quot;},{&quot;family&quot;:&quot;Zha&quot;,&quot;given&quot;:&quot;Hao&quot;,&quot;parse-names&quot;:false,&quot;dropping-particle&quot;:&quot;&quot;,&quot;non-dropping-particle&quot;:&quot;&quot;},{&quot;family&quot;:&quot;Zhang&quot;,&quot;given&quot;:&quot;Yuxi&quot;,&quot;parse-names&quot;:false,&quot;dropping-particle&quot;:&quot;&quot;,&quot;non-dropping-particle&quot;:&quot;&quot;},{&quot;family&quot;:&quot;Torness&quot;,&quot;given&quot;:&quot;Will&quot;,&quot;parse-names&quot;:false,&quot;dropping-particle&quot;:&quot;&quot;,&quot;non-dropping-particle&quot;:&quot;&quot;},{&quot;family&quot;:&quot;Vaccaro&quot;,&quot;given&quot;:&quot;Andrea&quot;,&quot;parse-names&quot;:false,&quot;dropping-particle&quot;:&quot;&quot;,&quot;non-dropping-particle&quot;:&quot;&quot;},{&quot;family&quot;:&quot;Laping&quot;,&quot;given&quot;:&quot;Sandhya&quot;,&quot;parse-names&quot;:false,&quot;dropping-particle&quot;:&quot;&quot;,&quot;non-dropping-particle&quot;:&quot;&quot;},{&quot;family&quot;:&quot;Kamenkovich&quot;,&quot;given&quot;:&quot;Nadya&quot;,&quot;parse-names&quot;:false,&quot;dropping-particle&quot;:&quot;&quot;,&quot;non-dropping-particle&quot;:&quot;&quot;},{&quot;family&quot;:&quot;Ren&quot;,&quot;given&quot;:&quot;Luyao&quot;,&quot;parse-names&quot;:false,&quot;dropping-particle&quot;:&quot;&quot;,&quot;non-dropping-particle&quot;:&quot;&quot;},{&quot;family&quot;:&quot;Hale&quot;,&quot;given&quot;:&quot;Thomas&quot;,&quot;parse-names&quot;:false,&quot;dropping-particle&quot;:&quot;&quot;,&quot;non-dropping-particle&quot;:&quot;&quot;},{&quot;family&quot;:&quot;Petherick&quot;,&quot;given&quot;:&quot;Anna&quot;,&quot;parse-names&quot;:false,&quot;dropping-particle&quot;:&quot;&quot;,&quot;non-dropping-particle&quot;:&quot;&quot;},{&quot;family&quot;:&quot;Anania&quot;,&quot;given&quot;:&quot;Jessica&quot;,&quot;parse-names&quot;:false,&quot;dropping-particle&quot;:&quot;&quot;,&quot;non-dropping-particle&quot;:&quot;&quot;},{&quot;family&quot;:&quot;Andretti De Mello&quot;,&quot;given&quot;:&quot;Bernardo&quot;,&quot;parse-names&quot;:false,&quot;dropping-particle&quot;:&quot;&quot;,&quot;non-dropping-particle&quot;:&quot;&quot;},{&quot;family&quot;:&quot;Angrist&quot;,&quot;given&quot;:&quot;Noam&quot;,&quot;parse-names&quot;:false,&quot;dropping-particle&quot;:&quot;&quot;,&quot;non-dropping-particle&quot;:&quot;&quot;},{&quot;family&quot;:&quot;Barnes&quot;,&quot;given&quot;:&quot;Roy&quot;,&quot;parse-names&quot;:false,&quot;dropping-particle&quot;:&quot;&quot;,&quot;non-dropping-particle&quot;:&quot;&quot;},{&quot;family&quot;:&quot;Boby&quot;,&quot;given&quot;:&quot;Thomas&quot;,&quot;parse-names&quot;:false,&quot;dropping-particle&quot;:&quot;&quot;,&quot;non-dropping-particle&quot;:&quot;&quot;},{&quot;family&quot;:&quot;Cameron-Blake&quot;,&quot;given&quot;:&quot;Emily&quot;,&quot;parse-names&quot;:false,&quot;dropping-particle&quot;:&quot;&quot;,&quot;non-dropping-particle&quot;:&quot;&quot;},{&quot;family&quot;:&quot;Cavalieri&quot;,&quot;given&quot;:&quot;Alice&quot;,&quot;parse-names&quot;:false,&quot;dropping-particle&quot;:&quot;&quot;,&quot;non-dropping-particle&quot;:&quot;&quot;},{&quot;family&quot;:&quot;Folco&quot;,&quot;given&quot;:&quot;Martina&quot;,&quot;parse-names&quot;:false,&quot;dropping-particle&quot;:&quot;Di&quot;,&quot;non-dropping-particle&quot;:&quot;&quot;},{&quot;family&quot;:&quot;Lucy&quot;,&quot;given&quot;:&quot;Benjamin Edwards&quot;,&quot;parse-names&quot;:false,&quot;dropping-particle&quot;:&quot;&quot;,&quot;non-dropping-particle&quot;:&quot;&quot;},{&quot;family&quot;:&quot;Elms&quot;,&quot;given&quot;:&quot;Ellen Jodie&quot;,&quot;parse-names&quot;:false,&quot;dropping-particle&quot;:&quot;&quot;,&quot;non-dropping-particle&quot;:&quot;&quot;},{&quot;family&quot;:&quot;Furst&quot;,&quot;given&quot;:&quot;Rodrigo&quot;,&quot;parse-names&quot;:false,&quot;dropping-particle&quot;:&quot;&quot;,&quot;non-dropping-particle&quot;:&quot;&quot;},{&quot;family&quot;:&quot;Green&quot;,&quot;given&quot;:&quot;Kaitlyn&quot;,&quot;parse-names&quot;:false,&quot;dropping-particle&quot;:&quot;&quot;,&quot;non-dropping-particle&quot;:&quot;&quot;},{&quot;family&quot;:&quot;Goldszmidt&quot;,&quot;given&quot;:&quot;Rafael&quot;,&quot;parse-names&quot;:false,&quot;dropping-particle&quot;:&quot;&quot;,&quot;non-dropping-particle&quot;:&quot;&quot;},{&quot;family&quot;:&quot;Hallas&quot;,&quot;given&quot;:&quot;Laura&quot;,&quot;parse-names&quot;:false,&quot;dropping-particle&quot;:&quot;&quot;,&quot;non-dropping-particle&quot;:&quot;&quot;}],&quot;accessed&quot;:{&quot;date-parts&quot;:[[2024,3,19]]},&quot;URL&quot;:&quot;www.bsg.ox.ac.uk/covidtracker&quot;,&quot;issued&quot;:{&quot;date-parts&quot;:[[2023]]},&quot;container-title-short&quot;:&quot;&quot;},&quot;isTemporary&quot;:false}]},{&quot;citationID&quot;:&quot;MENDELEY_CITATION_69ea06e8-540e-41f1-a70a-682fc29c3d1b&quot;,&quot;properties&quot;:{&quot;noteIndex&quot;:0},&quot;isEdited&quot;:false,&quot;manualOverride&quot;:{&quot;isManuallyOverridden&quot;:false,&quot;citeprocText&quot;:&quot;[26]&quot;,&quot;manualOverrideText&quot;:&quot;&quot;},&quot;citationTag&quot;:&quot;MENDELEY_CITATION_v3_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&quot;,&quot;citationItems&quot;:[{&quot;id&quot;:&quot;8a0792f5-e33a-3e3a-808b-84c6c06ea9ee&quot;,&quot;itemData&quot;:{&quot;type&quot;:&quot;article-journal&quot;,&quot;id&quot;:&quot;8a0792f5-e33a-3e3a-808b-84c6c06ea9ee&quot;,&quot;title&quot;:&quot;A quantitative analysis of sources of changes in government expenditures on health, 2000 to 2015: what can we learn from experience to date?&quot;,&quot;author&quot;:[{&quot;family&quot;:&quot;Saxenian&quot;,&quot;given&quot;:&quot;Helen&quot;,&quot;parse-names&quot;:false,&quot;dropping-particle&quot;:&quot;&quot;,&quot;non-dropping-particle&quot;:&quot;&quot;},{&quot;family&quot;:&quot;Bharali&quot;,&quot;given&quot;:&quot;Ipchita&quot;,&quot;parse-names&quot;:false,&quot;dropping-particle&quot;:&quot;&quot;,&quot;non-dropping-particle&quot;:&quot;&quot;},{&quot;family&quot;:&quot;Ogbuoji&quot;,&quot;given&quot;:&quot;Osondu&quot;,&quot;parse-names&quot;:false,&quot;dropping-particle&quot;:&quot;&quot;,&quot;non-dropping-particle&quot;:&quot;&quot;},{&quot;family&quot;:&quot;Yamey&quot;,&quot;given&quot;:&quot;Gavin&quot;,&quot;parse-names&quot;:false,&quot;dropping-particle&quot;:&quot;&quot;,&quot;non-dropping-particle&quot;:&quot;&quot;}],&quot;container-title&quot;:&quot;Gates Open Research&quot;,&quot;container-title-short&quot;:&quot;Gates Open Res&quot;,&quot;accessed&quot;:{&quot;date-parts&quot;:[[2024,3,9]]},&quot;DOI&quot;:&quot;10.12688/GATESOPENRES.12900.2&quot;,&quot;ISSN&quot;:&quot;25724754&quot;,&quot;PMID&quot;:&quot;34504997&quot;,&quot;URL&quot;:&quot;/pmc/articles/PMC8408342/&quot;,&quot;issued&quot;:{&quot;date-parts&quot;:[[2019]]},&quot;abstract&quot;:&quot;Background: Achieving universal health coverage (UHC) requires increased domestic financing of health by low-income countries (LICs) and middle-income countries (MICs). It is critical to understand how much governments have devoted to health from domestic sources and how much growth might be realistic over time. Methods: Using data from WHO's Global Health Expenditure Database, we examined how the composition of current health expenditure changed by financing source and the sources of growth in health expenditures from 2000-2015 across different income groups. We disaggregated how much growth in government expenditures on health from domestic sources was due to economic growth, growth in government spending as a share of GDP, and reallocations in government expenditures towards health. Results: Lower MICs (LMICs) and upper MICs (UMICs), as a group, saw a significant reduction in out-of-pocket expenditures and a significant growth in government expenditures on health from domestic sources as a share of current health expenditures over the period. This trend indicates likely progress in the pathway to UHC. For LICs, these trends were more muted. Growth in government expenditure on health from domestic sources was driven primarily by economic growth in LICs, LMICs, and UMICs. Growth in government expenditure on health due to increased government spending as a share of GDP was high in UMICs. For the high-income country group, where economic growth was relatively slower and government spending was already high with strong tax bases, the largest driver of growth in government expenditure on health from domestic sources was reallocation of the government budget towards health. Conclusions: Dialogue on domestic resource mobilization needs to emphasize overall economic growth and growth in the government spending as a share of GDP as well as the share of health in the government budget.&quot;,&quot;publisher&quot;:&quot;Bill &amp; Melinda Gates Foundation&quot;,&quot;volume&quot;:&quot;3&quot;},&quot;isTemporary&quot;:false}]},{&quot;citationID&quot;:&quot;MENDELEY_CITATION_ff407cd9-f9db-485d-832d-3d5f807e565b&quot;,&quot;properties&quot;:{&quot;noteIndex&quot;:0},&quot;isEdited&quot;:false,&quot;manualOverride&quot;:{&quot;isManuallyOverridden&quot;:false,&quot;citeprocText&quot;:&quot;[27]&quot;,&quot;manualOverrideText&quot;:&quot;&quot;},&quot;citationTag&quot;:&quot;MENDELEY_CITATION_v3_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&quot;,&quot;citationItems&quot;:[{&quot;id&quot;:&quot;3728f9e6-bdd8-386d-8201-ce3bc0b126ac&quot;,&quot;itemData&quot;:{&quot;type&quot;:&quot;article-journal&quot;,&quot;id&quot;:&quot;3728f9e6-bdd8-386d-8201-ce3bc0b126ac&quot;,&quot;title&quot;:&quot;The effect of health financing systems on health system outcomes: A cross-country panel analysis&quot;,&quot;author&quot;:[{&quot;family&quot;:&quot;Gabani&quot;,&quot;given&quot;:&quot;Jacopo&quot;,&quot;parse-names&quot;:false,&quot;dropping-particle&quot;:&quot;&quot;,&quot;non-dropping-particle&quot;:&quot;&quot;},{&quot;family&quot;:&quot;Mazumdar&quot;,&quot;given&quot;:&quot;Sumit&quot;,&quot;parse-names&quot;:false,&quot;dropping-particle&quot;:&quot;&quot;,&quot;non-dropping-particle&quot;:&quot;&quot;},{&quot;family&quot;:&quot;Suhrcke&quot;,&quot;given&quot;:&quot;Marc&quot;,&quot;parse-names&quot;:false,&quot;dropping-particle&quot;:&quot;&quot;,&quot;non-dropping-particle&quot;:&quot;&quot;}],&quot;container-title&quot;:&quot;Health Economics&quot;,&quot;container-title-short&quot;:&quot;Health Econ&quot;,&quot;accessed&quot;:{&quot;date-parts&quot;:[[2024,5,2]]},&quot;DOI&quot;:&quot;10.1002/HEC.4635&quot;,&quot;ISSN&quot;:&quot;1099-1050&quot;,&quot;PMID&quot;:&quot;36480236&quot;,&quot;URL&quot;:&quot;https://onlinelibrary.wiley.com/doi/full/10.1002/hec.4635&quot;,&quot;issued&quot;:{&quot;date-parts&quot;:[[2023,3,1]]},&quot;page&quot;:&quot;574-619&quot;,&quot;abstract&quot;:&quot;Several low- and middle-income countries are considering health financing system reforms to accelerate progress toward universal health coverage (UHC). However, empirical evidence of the effect of health financing systems on health system outcomes is scarce, partly because it is difficult to quantitatively capture the ‘health financing system’. We assign country-year observations to one of three health financing systems (i.e., predominantly out-of-pocket, social health insurance (SHI) or government-financed), using clustering based on out-of-pocket, contributory SHI and non-contributory government expenditure, as a percentage of total health expenditures. We then estimate the effect of these different systems on health system outcomes, using fixed effects regressions. We find that transitions from OOP-dominant to government-financed systems improved most outcomes more than did transitions to SHI systems. Transitions to government financing increases life expectancy (+1.3 years, p &lt; 0.05) and reduces under-5 mortality (−8.7%, p &lt; 0.05) and catastrophic health expenditure incidence (−3.3 percentage points, p &lt; 0.05). Results are robust to several sensitivity tests. It is more likely that increases in non-contributory government financing rather than SHI financing improve health system outcomes. Notable reasons include SHI's higher implementation costs and more limited coverage. These results may raise a warning for policymakers considering SHI reforms to reach UHC.&quot;,&quot;publisher&quot;:&quot;John Wiley &amp; Sons, Ltd&quot;,&quot;issue&quot;:&quot;3&quot;,&quot;volume&quot;:&quot;32&quot;},&quot;isTemporary&quot;:false}]},{&quot;citationID&quot;:&quot;MENDELEY_CITATION_e9b2e0bc-f2c6-463e-976c-7be0d4510eb7&quot;,&quot;properties&quot;:{&quot;noteIndex&quot;:0},&quot;isEdited&quot;:false,&quot;manualOverride&quot;:{&quot;isManuallyOverridden&quot;:false,&quot;citeprocText&quot;:&quot;[28]&quot;,&quot;manualOverrideText&quot;:&quot;&quot;},&quot;citationTag&quot;:&quot;MENDELEY_CITATION_v3_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&quot;,&quot;citationItems&quot;:[{&quot;id&quot;:&quot;edce63d2-ebf2-3aee-b8a5-f75e14fbe417&quot;,&quot;itemData&quot;:{&quot;type&quot;:&quot;webpage&quot;,&quot;id&quot;:&quot;edce63d2-ebf2-3aee-b8a5-f75e14fbe417&quot;,&quot;title&quot;:&quot;GDP per capita, PPP (current international $) | Data&quot;,&quot;accessed&quot;:{&quot;date-parts&quot;:[[2024,5,2]]},&quot;URL&quot;:&quot;https://data.worldbank.org/indicator/NY.GDP.PCAP.PP.CD&quot;,&quot;container-title-short&quot;:&quot;&quot;},&quot;isTemporary&quot;:false}]},{&quot;citationID&quot;:&quot;MENDELEY_CITATION_b4d9e8d8-003b-4ce2-a974-3686e75f288b&quot;,&quot;properties&quot;:{&quot;noteIndex&quot;:0},&quot;isEdited&quot;:false,&quot;manualOverride&quot;:{&quot;isManuallyOverridden&quot;:false,&quot;citeprocText&quot;:&quot;[29]&quot;,&quot;manualOverrideText&quot;:&quot;&quot;},&quot;citationTag&quot;:&quot;MENDELEY_CITATION_v3_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&quot;,&quot;citationItems&quot;:[{&quot;id&quot;:&quot;baab61a8-b4ae-3144-a027-5e97a760923b&quot;,&quot;itemData&quot;:{&quot;type&quot;:&quot;webpage&quot;,&quot;id&quot;:&quot;baab61a8-b4ae-3144-a027-5e97a760923b&quot;,&quot;title&quot;:&quot;bevans249/pandemic_RI_coverage_determinants: Data consolidation and cleaning, and linear regression and Random Forest regression analyses for exploring determinants of vaccine coverage associated with Routine Immunisation resilience during the COVID-19 pandemic&quot;,&quot;author&quot;:[{&quot;family&quot;:&quot;Evans&quot;,&quot;given&quot;:&quot;Beth&quot;,&quot;parse-names&quot;:false,&quot;dropping-particle&quot;:&quot;&quot;,&quot;non-dropping-particle&quot;:&quot;&quot;}],&quot;accessed&quot;:{&quot;date-parts&quot;:[[2024,9,22]]},&quot;URL&quot;:&quot;https://github.com/bevans249/pandemic_RI_coverage_determinants&quot;,&quot;issued&quot;:{&quot;date-parts&quot;:[[2024]]},&quot;container-title-short&quot;:&quot;&quot;},&quot;isTemporary&quot;:false}]},{&quot;citationID&quot;:&quot;MENDELEY_CITATION_9cff44ea-efa3-43db-ba0d-26f9d3d4ab22&quot;,&quot;properties&quot;:{&quot;noteIndex&quot;:0},&quot;isEdited&quot;:false,&quot;manualOverride&quot;:{&quot;isManuallyOverridden&quot;:false,&quot;citeprocText&quot;:&quot;[30]&quot;,&quot;manualOverrideText&quot;:&quot;&quot;},&quot;citationTag&quot;:&quot;MENDELEY_CITATION_v3_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&quot;,&quot;citationItems&quot;:[{&quot;id&quot;:&quot;3c9e0fe2-8202-3810-acd9-9c773cd5d715&quot;,&quot;itemData&quot;:{&quot;type&quot;:&quot;report&quot;,&quot;id&quot;:&quot;3c9e0fe2-8202-3810-acd9-9c773cd5d715&quot;,&quot;title&quot;:&quot;R: A Language and Environment for Statistical Computing&quot;,&quot;author&quot;:[{&quot;family&quot;:&quot;R Core Team&quot;,&quot;given&quot;:&quot;&quot;,&quot;parse-names&quot;:false,&quot;dropping-particle&quot;:&quot;&quot;,&quot;non-dropping-particle&quot;:&quot;&quot;}],&quot;issued&quot;:{&quot;date-parts&quot;:[[2021]]},&quot;publisher-place&quot;:&quot;Vienna, Austria&quot;,&quot;container-title-short&quot;:&quot;&quot;},&quot;isTemporary&quot;:false}]},{&quot;citationID&quot;:&quot;MENDELEY_CITATION_1e2b4e9a-e31d-478a-8c64-73c80973b1d6&quot;,&quot;properties&quot;:{&quot;noteIndex&quot;:0},&quot;isEdited&quot;:false,&quot;manualOverride&quot;:{&quot;isManuallyOverridden&quot;:false,&quot;citeprocText&quot;:&quot;[31]&quot;,&quot;manualOverrideText&quot;:&quot;&quot;},&quot;citationTag&quot;:&quot;MENDELEY_CITATION_v3_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&quot;,&quot;citationItems&quot;:[{&quot;id&quot;:&quot;96f4e076-f759-3f4a-bbfc-551fe9a193a4&quot;,&quot;itemData&quot;:{&quot;type&quot;:&quot;article-journal&quot;,&quot;id&quot;:&quot;96f4e076-f759-3f4a-bbfc-551fe9a193a4&quot;,&quot;title&quot;:&quot;Lightweight Infrastructure for Handling Multiple R Markdown Documents [R package reportfactory version 0.4.0]&quot;,&quot;author&quot;:[{&quot;family&quot;:&quot;Jombart&quot;,&quot;given&quot;:&quot;Thibaut&quot;,&quot;parse-names&quot;:false,&quot;dropping-particle&quot;:&quot;&quot;,&quot;non-dropping-particle&quot;:&quot;&quot;},{&quot;family&quot;:&quot;Gimma&quot;,&quot;given&quot;:&quot;Amy&quot;,&quot;parse-names&quot;:false,&quot;dropping-particle&quot;:&quot;&quot;,&quot;non-dropping-particle&quot;:&quot;&quot;},{&quot;family&quot;:&quot;Taylor&quot;,&quot;given&quot;:&quot;Tim&quot;,&quot;parse-names&quot;:false,&quot;dropping-particle&quot;:&quot;&quot;,&quot;non-dropping-particle&quot;:&quot;&quot;}],&quot;accessed&quot;:{&quot;date-parts&quot;:[[2024,8,9]]},&quot;DOI&quot;:&quot;10.32614/CRAN.PACKAGE.REPORTFACTORY&quot;,&quot;URL&quot;:&quot;https://CRAN.R-project.org/package=reportfactory&quot;,&quot;issued&quot;:{&quot;date-parts&quot;:[[2021,8,9]]},&quot;publisher&quot;:&quot;Comprehensive R Archive Network (CRAN)&quot;,&quot;container-title-short&quot;:&quot;&quot;},&quot;isTemporary&quot;:false}]},{&quot;citationID&quot;:&quot;MENDELEY_CITATION_54ea5478-1f7a-488b-9199-8b757d376e50&quot;,&quot;properties&quot;:{&quot;noteIndex&quot;:0},&quot;isEdited&quot;:false,&quot;manualOverride&quot;:{&quot;isManuallyOverridden&quot;:false,&quot;citeprocText&quot;:&quot;[32]&quot;,&quot;manualOverrideText&quot;:&quot;&quot;},&quot;citationTag&quot;:&quot;MENDELEY_CITATION_v3_eyJjaXRhdGlvbklEIjoiTUVOREVMRVlfQ0lUQVRJT05fNTRlYTU0NzgtMWY3YS00ODhiLTkxOTktOGI3NTdkMzc2ZTUwIiwicHJvcGVydGllcyI6eyJub3RlSW5kZXgiOjB9LCJpc0VkaXRlZCI6ZmFsc2UsIm1hbnVhbE92ZXJyaWRlIjp7ImlzTWFudWFsbHlPdmVycmlkZGVuIjpmYWxzZSwiY2l0ZXByb2NUZXh0IjoiWzMyXSIsIm1hbnVhbE92ZXJyaWRlVGV4dCI6IiJ9LCJjaXRhdGlvbkl0ZW1zIjpbeyJpZCI6ImZmMTQxZTQ1LWRmODktM2IwZi04YmUyLTBlMjdjZDQ1YzFhMSIsIml0ZW1EYXRhIjp7InR5cGUiOiJhcnRpY2xlLWpvdXJuYWwiLCJpZCI6ImZmMTQxZTQ1LWRmODktM2IwZi04YmUyLTBlMjdjZDQ1YzFhM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EJyIsImdpdmVuIjoiTHVjeSIsInBhcnNlLW5hbWVzIjpmYWxzZSwiZHJvcHBpbmctcGFydGljbGUiOiIiLCJub24tZHJvcHBpbmctcGFydGljbGUiOiIifSx7ImZhbWlseSI6Ik1jZ293YW4iLCJnaXZlbiI6IkFnb3N0aW5v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cHVibGlzaGVyIjoiVGhlIE9wZW4gSm91cm5hbCIsImlzc3VlIjoiNDMiLCJ2b2x1bWUiOiI0In0sImlzVGVtcG9yYXJ5IjpmYWxzZX1dfQ==&quot;,&quot;citationItems&quot;:[{&quot;id&quot;:&quot;ff141e45-df89-3b0f-8be2-0e27cd45c1a1&quot;,&quot;itemData&quot;:{&quot;type&quot;:&quot;article-journal&quot;,&quot;id&quot;:&quot;ff141e45-df89-3b0f-8be2-0e27cd45c1a1&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D'&quot;,&quot;given&quot;:&quot;Lucy&quot;,&quot;parse-names&quot;:false,&quot;dropping-particle&quot;:&quot;&quot;,&quot;non-dropping-particle&quot;:&quot;&quot;},{&quot;family&quot;:&quot;Mcgowan&quot;,&quot;given&quot;:&quot;Agostino&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Lin 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 Milto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 Paige&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container-title-short&quot;:&quot;J Open Source Softw&quot;,&quot;accessed&quot;:{&quot;date-parts&quot;:[[2024,8,9]]},&quot;DOI&quot;:&quot;10.21105/JOSS.01686&quot;,&quot;ISSN&quot;:&quot;2475-9066&quot;,&quot;URL&quot;:&quot;https://joss.theoj.org/papers/10.21105/joss.01686&quot;,&quot;issued&quot;:{&quot;date-parts&quot;:[[2019,11,21]]},&quot;page&quot;:&quot;1686&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The Open Journal&quot;,&quot;issue&quot;:&quot;43&quot;,&quot;volume&quot;:&quot;4&quot;},&quot;isTemporary&quot;:false}]},{&quot;citationID&quot;:&quot;MENDELEY_CITATION_1312a2c4-57e1-4dd1-9e1e-82efc8a93789&quot;,&quot;properties&quot;:{&quot;noteIndex&quot;:0},&quot;isEdited&quot;:false,&quot;manualOverride&quot;:{&quot;isManuallyOverridden&quot;:false,&quot;citeprocText&quot;:&quot;[30]&quot;,&quot;manualOverrideText&quot;:&quot;&quot;},&quot;citationTag&quot;:&quot;MENDELEY_CITATION_v3_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&quot;,&quot;citationItems&quot;:[{&quot;id&quot;:&quot;3c9e0fe2-8202-3810-acd9-9c773cd5d715&quot;,&quot;itemData&quot;:{&quot;type&quot;:&quot;report&quot;,&quot;id&quot;:&quot;3c9e0fe2-8202-3810-acd9-9c773cd5d715&quot;,&quot;title&quot;:&quot;R: A Language and Environment for Statistical Computing&quot;,&quot;author&quot;:[{&quot;family&quot;:&quot;R Core Team&quot;,&quot;given&quot;:&quot;&quot;,&quot;parse-names&quot;:false,&quot;dropping-particle&quot;:&quot;&quot;,&quot;non-dropping-particle&quot;:&quot;&quot;}],&quot;issued&quot;:{&quot;date-parts&quot;:[[2021]]},&quot;publisher-place&quot;:&quot;Vienna, Austria&quot;,&quot;container-title-short&quot;:&quot;&quot;},&quot;isTemporary&quot;:false}]},{&quot;citationID&quot;:&quot;MENDELEY_CITATION_1a48bcae-f1ba-4827-be00-1dc5e44a1e52&quot;,&quot;properties&quot;:{&quot;noteIndex&quot;:0},&quot;isEdited&quot;:false,&quot;manualOverride&quot;:{&quot;isManuallyOverridden&quot;:false,&quot;citeprocText&quot;:&quot;[33]&quot;,&quot;manualOverrideText&quot;:&quot;&quot;},&quot;citationTag&quot;:&quot;MENDELEY_CITATION_v3_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&quot;,&quot;citationItems&quot;:[{&quot;id&quot;:&quot;68f0d2b8-8073-35de-ba6b-b298a424e122&quot;,&quot;itemData&quot;:{&quot;type&quot;:&quot;article-journal&quot;,&quot;id&quot;:&quot;68f0d2b8-8073-35de-ba6b-b298a424e122&quot;,&quot;title&quot;:&quot;Building Predictive Models in R Using the caret Package&quot;,&quot;author&quot;:[{&quot;family&quot;:&quot;Kuhn&quot;,&quot;given&quot;:&quot;Max&quot;,&quot;parse-names&quot;:false,&quot;dropping-particle&quot;:&quot;&quot;,&quot;non-dropping-particle&quot;:&quot;&quot;}],&quot;container-title&quot;:&quot;Journal of Statistical Software&quot;,&quot;container-title-short&quot;:&quot;J Stat Softw&quot;,&quot;accessed&quot;:{&quot;date-parts&quot;:[[2024,8,7]]},&quot;DOI&quot;:&quot;10.18637/JSS.V028.I05&quot;,&quot;ISSN&quot;:&quot;1548-7660&quot;,&quot;URL&quot;:&quot;https://www.jstatsoft.org/index.php/jss/article/view/v028i05&quot;,&quot;issued&quot;:{&quot;date-parts&quot;:[[2008,11,10]]},&quot;page&quot;:&quot;1-26&quot;,&quot;abstract&quot;:&quot;The caret package, short for classification and regression training, contains numerous tools for developing predictive models using the rich set of models available in R. The package focuses on simplifying model training and tuning across a wide variety of modeling techniques. It also includes methods for pre-processing training data, calculating variable importance, and model visualizations. An example from computational chemistry is used to illustrate the functionality on a real data set and to benchmark the benefits of parallel processing with several types of models.&quot;,&quot;publisher&quot;:&quot;American Statistical Association&quot;,&quot;issue&quot;:&quot;5&quot;,&quot;volume&quot;:&quot;28&quot;},&quot;isTemporary&quot;:false}]}]"/>
    <we:property name="MENDELEY_CITATIONS_LOCALE_CODE" value="&quot;en-US&quot;"/>
    <we:property name="MENDELEY_CITATIONS_STYLE" value="{&quot;id&quot;:&quot;https://www.zotero.org/styles/journal-of-infection-and-public-health&quot;,&quot;title&quot;:&quot;Journal of Infection and Public Health&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63921-E015-4B97-985F-B356943E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3628</TotalTime>
  <Pages>30</Pages>
  <Words>8846</Words>
  <Characters>50426</Characters>
  <Application>Microsoft Office Word</Application>
  <DocSecurity>0</DocSecurity>
  <Lines>420</Lines>
  <Paragraphs>118</Paragraphs>
  <ScaleCrop>false</ScaleCrop>
  <Company>GAVI</Company>
  <LinksUpToDate>false</LinksUpToDate>
  <CharactersWithSpaces>59154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Evans</dc:creator>
  <cp:keywords/>
  <dc:description/>
  <cp:lastModifiedBy>Beth Evans</cp:lastModifiedBy>
  <cp:revision>314</cp:revision>
  <dcterms:created xsi:type="dcterms:W3CDTF">2024-08-25T13:08:00Z</dcterms:created>
  <dcterms:modified xsi:type="dcterms:W3CDTF">2024-10-05T18:07:00Z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2024-08-25T13:12:41Z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32c0a5ea-0e80-412c-97a0-9d0526e1c751</vt:lpwstr>
  </property>
  <property fmtid="{D5CDD505-2E9C-101B-9397-08002B2CF9AE}" pid="8" name="MSIP_Label_0a957285-7815-485a-9751-5b273b784ad5_ContentBits">
    <vt:lpwstr>0</vt:lpwstr>
  </property>
</Properties>
</file>