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Supplementary material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Table 2: List of unique policies by frameworks and number of mentions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Food environment</w:t>
      </w:r>
    </w:p>
    <w:tbl>
      <w:tblPr>
        <w:tblStyle w:val="Table1"/>
        <w:tblW w:w="9322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054"/>
        <w:gridCol w:w="2268"/>
        <w:tblGridChange w:id="0">
          <w:tblGrid>
            <w:gridCol w:w="7054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 mentions*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Nutrition label standards and regulations on the use of claims and implied claims on foods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Eco food labelling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Mandating Health Star Rating system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Country of origin package labelling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Health warning labels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Offer healthy foods and set standards in public institutions and other specific settings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Garden to plate programmes in schools</w:t>
            </w:r>
          </w:p>
        </w:tc>
        <w:tc>
          <w:tcPr>
            <w:tcBorders>
              <w:top w:color="bfbfbf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Healthy food and drink policies in schools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Incorporate sustainability in MOH eating and activity guidelines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Access to food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Playgrounds for tamariki to connect with food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Local gardens and veggie boxes for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Reorientate shelving of products in supermarkets that compliment each  other for meals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Mandatory sustainability guidelines for supermarkets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Use economic tools to address food affordability and purchase incentives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Food prices and taxes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Food taxes and subsidies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Increasing incomes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Increase incomes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Remove GST from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Remove GST from core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Increase affordability and availability of healthy and sustainable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Increase affordability and availability of healthy and sustainable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Wealth taxes e.g. capital gains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Low-cost food bags at supermarkets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Subsidise local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Remove taxes on organic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Wealth taxes e.g. capital gains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Low-cost food bags at supermarkets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Make local food cheaper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Remove taxes on organic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Restrict food advertising and other forms of commercial promotion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Advertising limits on unhealthy food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Improve the quality of the food supply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Make sugary foods healthier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Diversifying food retail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Set incentives and rules to create a healthy retail environment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Government-funded school lunches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Address financial debt of farmers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Reducing food deserts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Food industry regulation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Pricing agricultural emissions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Encourage supermarkets to have local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Shelf placement interventions for healthy and sustainable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Strategies/policies for junk food and healthy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Pay farmers more for organic farming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Healthy and sustainable 'my food bag'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Supermarkets promote recipes and their variations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Zoning limits on fast food outlets in low-income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*Includes initial mention of original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rPr/>
      </w:pPr>
      <w:r w:rsidDel="00000000" w:rsidR="00000000" w:rsidRPr="00000000">
        <w:rPr>
          <w:rtl w:val="0"/>
        </w:rPr>
        <w:t xml:space="preserve">Food system</w:t>
      </w:r>
    </w:p>
    <w:tbl>
      <w:tblPr>
        <w:tblStyle w:val="Table2"/>
        <w:tblW w:w="9322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054"/>
        <w:gridCol w:w="2268"/>
        <w:tblGridChange w:id="0">
          <w:tblGrid>
            <w:gridCol w:w="7054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 mentions*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Harness supply chain and actions across sectors to ensure coherence with health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Processing and packaging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Diverting food waste back into the food system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Composting service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Removing access to plastic when buying food e.g. using potato plastic instead of regular plastic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Production systems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Supporting community gardens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Land use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Incentives for farmers to do sustainable farming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Prohibit unnecessarily destructive fishing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Regenerative agriculture policies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Enable rural communities to barter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Freshwater policies that support Māori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Phasing out synthetic nitrogen fertiliser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Policies to address use of chemicals, growth hormones in commerically     produced animal-based products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Policies to support local milk production and home 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Support for land owners to monitor biodiversity on their land/farms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Support for Māori business in youth participation and workforce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Support for vertical farming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Support to revive traditional practices such as maramataka, maara kai,  mahinga kai, fishing and hunting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Support local growers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Encourage growers to diversify their crops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Review pesticides and herbicides laws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Reduce the cap on nitrogen use for farmers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Independent measuring systems for farmers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Price mechanisms for farmers to focus on quality instead of 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Community engagement with farmers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Promoting hedgerows on 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Promoting agroforestry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Increase access to gathered wild food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Mahinga kai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Nationwide permaculture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Nationwide food forests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Implement polyculture paddocks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Alternatives to imported food eg. Grow indoor citrus/tropical fruits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Incentivise farmers to make more sustainable 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Retail and markets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areas at supermarkets for kids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Product stewardship policies for food companies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Storage and distribution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.55468749999994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Feeding NZ first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Food safety reform to prevent food waste from hunted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Local governments supporting community/weekend markets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Producer to consumer more directly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Shaping environments – regional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6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General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Food sensitive urban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Establishing a Ministry of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National food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Private investment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‘Double duty’ or triple duty’ policies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Collect information on peoples diets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Current MPI priorities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Evidence based policy and NZ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Free up funding for local communities to work on local solutions for water/pest control/ soil health 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Greater engagement across sectors/ministries/ making trade offs more  explicit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Health goals for prevention of disease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Health in all policies approach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Holistic wellbeing measure for governments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Improve housing affordability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Integrate New Zealand’s biodiversity strategy across other governmental 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Involve young people in decision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Mana whenua say on local agriculture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Supporting Treasury Wellbeing Framework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Sustainable Food Commission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Te Tiriti based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True cost 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Updated national nutrition survey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Remove pharmaceutical lobby groups from the political sector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Facilitate discussions between farmers and farming organisations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Allowing New Zealanders to waive their rights to the health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*Includes initial mention of original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2"/>
        <w:rPr>
          <w:b w:val="1"/>
        </w:rPr>
      </w:pPr>
      <w:r w:rsidDel="00000000" w:rsidR="00000000" w:rsidRPr="00000000">
        <w:rPr>
          <w:rtl w:val="0"/>
        </w:rPr>
        <w:t xml:space="preserve">Behaviour change communication</w:t>
      </w: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054"/>
        <w:gridCol w:w="2268"/>
        <w:tblGridChange w:id="0">
          <w:tblGrid>
            <w:gridCol w:w="7054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 mentions*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Inform people about food and nutrition through public awareness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Public awareness campaign about sustainable and healthy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Educational support for land use changes among farmers and communities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Educate communities to address food waste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Education on gardening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Reestablish peoples connection with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Promote natural remedies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Policy area: Give nutrition education and skills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Education about sustainable and healthy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Cooking classes and tailored recipes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Education in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Education on the impact of pharmaceuticals on farming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Food literacy programmes in kura, marae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bfbfbf" w:space="0" w:sz="6" w:val="single"/>
              <w:right w:color="bfbfbf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*Includes initial mention of original policy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rtl w:val="0"/>
        </w:rPr>
        <w:t xml:space="preserve">Table 3: Te Reo Māori glossary</w:t>
      </w:r>
    </w:p>
    <w:p w:rsidR="00000000" w:rsidDel="00000000" w:rsidP="00000000" w:rsidRDefault="00000000" w:rsidRPr="00000000" w14:paraId="0000011A">
      <w:pPr>
        <w:pStyle w:val="Heading2"/>
        <w:rPr/>
      </w:pPr>
      <w:bookmarkStart w:colFirst="0" w:colLast="0" w:name="_heading=h.8uy7sxf1jset" w:id="1"/>
      <w:bookmarkEnd w:id="1"/>
      <w:r w:rsidDel="00000000" w:rsidR="00000000" w:rsidRPr="00000000">
        <w:rPr>
          <w:rtl w:val="0"/>
        </w:rPr>
        <w:t xml:space="preserve">Te Reo Māori glossary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3"/>
            <w:gridCol w:w="4513"/>
            <w:tblGridChange w:id="0">
              <w:tblGrid>
                <w:gridCol w:w="4513"/>
                <w:gridCol w:w="4513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C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Kupu (word)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Definition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Aotearoa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F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land of the long white cloud, otherwise known as New Zealand (NZ)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Atua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god, being of spiritual significance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hui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meeting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2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food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kaupapa Māori</w:t>
                </w:r>
              </w:p>
            </w:tc>
            <w:tc>
              <w:tcPr/>
              <w:p w:rsidR="00000000" w:rsidDel="00000000" w:rsidP="00000000" w:rsidRDefault="00000000" w:rsidRPr="00000000" w14:paraId="00000127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 collaborative approach to an issue which is uniquely Māori.</w:t>
                </w:r>
              </w:p>
            </w:tc>
          </w:tr>
          <w:tr>
            <w:trPr>
              <w:cantSplit w:val="0"/>
              <w:trHeight w:val="732" w:hRule="atLeast"/>
              <w:tblHeader w:val="0"/>
            </w:trPr>
            <w:tc>
              <w:tcPr/>
              <w:p w:rsidR="00000000" w:rsidDel="00000000" w:rsidP="00000000" w:rsidRDefault="00000000" w:rsidRPr="00000000" w14:paraId="0000012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Kura</w:t>
                </w:r>
              </w:p>
            </w:tc>
            <w:tc>
              <w:tcPr/>
              <w:p w:rsidR="00000000" w:rsidDel="00000000" w:rsidP="00000000" w:rsidRDefault="00000000" w:rsidRPr="00000000" w14:paraId="00000129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school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Mahinga kai</w:t>
                </w:r>
              </w:p>
            </w:tc>
            <w:tc>
              <w:tcPr/>
              <w:p w:rsidR="00000000" w:rsidDel="00000000" w:rsidP="00000000" w:rsidRDefault="00000000" w:rsidRPr="00000000" w14:paraId="0000012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the practice of gathering kai, occurs within the domain of Haumia atua of uncultivated foods.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C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Mana whenua</w:t>
                </w:r>
              </w:p>
            </w:tc>
            <w:tc>
              <w:tcPr/>
              <w:p w:rsidR="00000000" w:rsidDel="00000000" w:rsidP="00000000" w:rsidRDefault="00000000" w:rsidRPr="00000000" w14:paraId="0000012D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Iwi Māori who are from this place, this area is their Tūrangawaewae (a place they stand and their ancestors stood before them and for generations to come).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E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Manaaki</w:t>
                </w:r>
              </w:p>
            </w:tc>
            <w:tc>
              <w:tcPr/>
              <w:p w:rsidR="00000000" w:rsidDel="00000000" w:rsidP="00000000" w:rsidRDefault="00000000" w:rsidRPr="00000000" w14:paraId="0000012F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to share, to give, to collaborate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0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Māori</w:t>
                </w:r>
              </w:p>
            </w:tc>
            <w:tc>
              <w:tcPr/>
              <w:p w:rsidR="00000000" w:rsidDel="00000000" w:rsidP="00000000" w:rsidRDefault="00000000" w:rsidRPr="00000000" w14:paraId="00000131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Person who is Indigenous to Aotearoa and not Moriori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2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māra</w:t>
                </w:r>
              </w:p>
            </w:tc>
            <w:tc>
              <w:tcPr/>
              <w:p w:rsidR="00000000" w:rsidDel="00000000" w:rsidP="00000000" w:rsidRDefault="00000000" w:rsidRPr="00000000" w14:paraId="00000133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garden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4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Māra kai</w:t>
                </w:r>
              </w:p>
            </w:tc>
            <w:tc>
              <w:tcPr/>
              <w:p w:rsidR="00000000" w:rsidDel="00000000" w:rsidP="00000000" w:rsidRDefault="00000000" w:rsidRPr="00000000" w14:paraId="00000135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a place of storytelling, Indigenous praxis and a communal kai resource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6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Marae</w:t>
                </w:r>
              </w:p>
            </w:tc>
            <w:tc>
              <w:tcPr/>
              <w:p w:rsidR="00000000" w:rsidDel="00000000" w:rsidP="00000000" w:rsidRDefault="00000000" w:rsidRPr="00000000" w14:paraId="00000137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whenua that the people belong to, meet others and which their wharenui lives on. 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Maramataka</w:t>
                </w:r>
              </w:p>
            </w:tc>
            <w:tc>
              <w:tcPr/>
              <w:p w:rsidR="00000000" w:rsidDel="00000000" w:rsidP="00000000" w:rsidRDefault="00000000" w:rsidRPr="00000000" w14:paraId="00000139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Māori lunar calendar (Maramataka)</w:t>
                </w:r>
              </w:p>
            </w:tc>
          </w:tr>
          <w:tr>
            <w:trPr>
              <w:cantSplit w:val="0"/>
              <w:trHeight w:val="732" w:hRule="atLeast"/>
              <w:tblHeader w:val="0"/>
            </w:trPr>
            <w:tc>
              <w:tcPr/>
              <w:p w:rsidR="00000000" w:rsidDel="00000000" w:rsidP="00000000" w:rsidRDefault="00000000" w:rsidRPr="00000000" w14:paraId="0000013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tamariki</w:t>
                </w:r>
              </w:p>
            </w:tc>
            <w:tc>
              <w:tcPr/>
              <w:p w:rsidR="00000000" w:rsidDel="00000000" w:rsidP="00000000" w:rsidRDefault="00000000" w:rsidRPr="00000000" w14:paraId="0000013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children</w:t>
                </w:r>
              </w:p>
            </w:tc>
          </w:tr>
          <w:tr>
            <w:trPr>
              <w:cantSplit w:val="0"/>
              <w:trHeight w:val="732" w:hRule="atLeast"/>
              <w:tblHeader w:val="0"/>
            </w:trPr>
            <w:tc>
              <w:tcPr/>
              <w:p w:rsidR="00000000" w:rsidDel="00000000" w:rsidP="00000000" w:rsidRDefault="00000000" w:rsidRPr="00000000" w14:paraId="0000013C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Tangata whenua</w:t>
                  <w:tab/>
                </w:r>
              </w:p>
            </w:tc>
            <w:tc>
              <w:tcPr/>
              <w:p w:rsidR="00000000" w:rsidDel="00000000" w:rsidP="00000000" w:rsidRDefault="00000000" w:rsidRPr="00000000" w14:paraId="0000013D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the Indigenous people of Aotearoa (excludes Moriori)</w:t>
                </w:r>
              </w:p>
            </w:tc>
          </w:tr>
          <w:tr>
            <w:trPr>
              <w:cantSplit w:val="0"/>
              <w:trHeight w:val="732" w:hRule="atLeast"/>
              <w:tblHeader w:val="0"/>
            </w:trPr>
            <w:tc>
              <w:tcPr/>
              <w:p w:rsidR="00000000" w:rsidDel="00000000" w:rsidP="00000000" w:rsidRDefault="00000000" w:rsidRPr="00000000" w14:paraId="0000013E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Te Tiriti o Waitangi</w:t>
                </w:r>
              </w:p>
            </w:tc>
            <w:tc>
              <w:tcPr/>
              <w:p w:rsidR="00000000" w:rsidDel="00000000" w:rsidP="00000000" w:rsidRDefault="00000000" w:rsidRPr="00000000" w14:paraId="0000013F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Treaty of Waitangi written in Te Reo Māori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4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Whānau</w:t>
                </w:r>
              </w:p>
            </w:tc>
            <w:tc>
              <w:tcPr/>
              <w:p w:rsidR="00000000" w:rsidDel="00000000" w:rsidP="00000000" w:rsidRDefault="00000000" w:rsidRPr="00000000" w14:paraId="00000141">
                <w:pPr>
                  <w:spacing w:after="16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family, collective that embraces the individual, biological and/or chosen</w:t>
                </w:r>
              </w:p>
            </w:tc>
          </w:tr>
        </w:tbl>
      </w:sdtContent>
    </w:sdt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lnNumType w:countBy="1" w:start="0" w:restart="continuous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0627"/>
  </w:style>
  <w:style w:type="paragraph" w:styleId="Heading1">
    <w:name w:val="heading 1"/>
    <w:basedOn w:val="Normal"/>
    <w:next w:val="Normal"/>
    <w:link w:val="Heading1Char"/>
    <w:uiPriority w:val="9"/>
    <w:qFormat w:val="1"/>
    <w:rsid w:val="0070062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0062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700627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val="en-NZ"/>
    </w:rPr>
  </w:style>
  <w:style w:type="paragraph" w:styleId="Footer">
    <w:name w:val="footer"/>
    <w:basedOn w:val="Normal"/>
    <w:link w:val="FooterChar"/>
    <w:uiPriority w:val="99"/>
    <w:unhideWhenUsed w:val="1"/>
    <w:rsid w:val="0070062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0627"/>
    <w:rPr>
      <w:kern w:val="0"/>
      <w:lang w:val="en-NZ"/>
    </w:rPr>
  </w:style>
  <w:style w:type="paragraph" w:styleId="Content" w:customStyle="1">
    <w:name w:val="Content"/>
    <w:basedOn w:val="Normal"/>
    <w:link w:val="ContentChar"/>
    <w:qFormat w:val="1"/>
    <w:rsid w:val="00700627"/>
    <w:pPr>
      <w:spacing w:after="0"/>
      <w:jc w:val="both"/>
    </w:pPr>
    <w:rPr>
      <w:rFonts w:eastAsiaTheme="minorEastAsia"/>
      <w:color w:val="082a75"/>
    </w:rPr>
  </w:style>
  <w:style w:type="character" w:styleId="ContentChar" w:customStyle="1">
    <w:name w:val="Content Char"/>
    <w:basedOn w:val="DefaultParagraphFont"/>
    <w:link w:val="Content"/>
    <w:rsid w:val="00700627"/>
    <w:rPr>
      <w:rFonts w:eastAsiaTheme="minorEastAsia"/>
      <w:color w:val="082a75"/>
      <w:kern w:val="0"/>
      <w:lang w:val="en-NZ"/>
    </w:rPr>
  </w:style>
  <w:style w:type="table" w:styleId="TableGridLight">
    <w:name w:val="Grid Table Light"/>
    <w:basedOn w:val="TableNormal"/>
    <w:uiPriority w:val="40"/>
    <w:rsid w:val="00700627"/>
    <w:pPr>
      <w:spacing w:after="0" w:line="240" w:lineRule="auto"/>
    </w:pPr>
    <w:rPr>
      <w:sz w:val="24"/>
      <w:szCs w:val="24"/>
      <w:lang w:val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LineNumber">
    <w:name w:val="line number"/>
    <w:basedOn w:val="DefaultParagraphFont"/>
    <w:uiPriority w:val="99"/>
    <w:semiHidden w:val="1"/>
    <w:unhideWhenUsed w:val="1"/>
    <w:rsid w:val="00700627"/>
  </w:style>
  <w:style w:type="character" w:styleId="Heading2Char" w:customStyle="1">
    <w:name w:val="Heading 2 Char"/>
    <w:basedOn w:val="DefaultParagraphFont"/>
    <w:link w:val="Heading2"/>
    <w:uiPriority w:val="9"/>
    <w:rsid w:val="00700627"/>
    <w:rPr>
      <w:rFonts w:asciiTheme="majorHAnsi" w:cstheme="majorBidi" w:eastAsiaTheme="majorEastAsia" w:hAnsiTheme="majorHAnsi"/>
      <w:color w:val="2f5496" w:themeColor="accent1" w:themeShade="0000BF"/>
      <w:kern w:val="0"/>
      <w:sz w:val="26"/>
      <w:szCs w:val="26"/>
      <w:lang w:val="en-NZ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Revision">
    <w:name w:val="Revision"/>
    <w:hidden w:val="1"/>
    <w:uiPriority w:val="99"/>
    <w:semiHidden w:val="1"/>
    <w:rsid w:val="00C9149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/LnMMLeZt/TIkuH46X70kTmAsQ==">CgMxLjAaHwoBMBIaChgICVIUChJ0YWJsZS5la3pna2JibDRpc2EyCGguZ2pkZ3hzMg5oLjh1eTdzeGYxanNldDgAciExODZ3WHBBU0FaZzE0WGRIMzEzT2I0TzhOeDBBLTJINEE=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2024-03-09T14:33:00Z</dcterms:created>
  <dc:creator>Bruce Kidd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d7f7902b9020f06a85e5db538e02e5bf931debe8c81667bfe900f61128a2b218</vt:lpwstr>
  </property>
</Properties>
</file>