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20" w:firstRow="1" w:lastRow="0" w:firstColumn="0" w:lastColumn="0" w:noHBand="0" w:noVBand="1"/>
      </w:tblPr>
      <w:tblGrid>
        <w:gridCol w:w="4690"/>
        <w:gridCol w:w="1357"/>
        <w:gridCol w:w="829"/>
        <w:gridCol w:w="871"/>
        <w:gridCol w:w="1508"/>
        <w:gridCol w:w="1508"/>
        <w:gridCol w:w="1757"/>
        <w:gridCol w:w="1484"/>
      </w:tblGrid>
      <w:tr w:rsidR="0012670F" w:rsidTr="00153139">
        <w:trPr>
          <w:tblHeader/>
          <w:jc w:val="center"/>
        </w:trPr>
        <w:tc>
          <w:tcPr>
            <w:tcW w:w="0" w:type="auto"/>
            <w:gridSpan w:val="8"/>
            <w:tcBorders>
              <w:top w:val="none" w:sz="0" w:space="0" w:color="666666"/>
              <w:left w:val="none" w:sz="0" w:space="0" w:color="000000"/>
              <w:bottom w:val="none" w:sz="0" w:space="0" w:color="666666"/>
              <w:right w:val="none" w:sz="0" w:space="0" w:color="000000"/>
            </w:tcBorders>
            <w:shd w:val="clear" w:color="auto" w:fill="FFFFFF"/>
            <w:tcMar>
              <w:top w:w="0" w:type="dxa"/>
              <w:left w:w="0" w:type="dxa"/>
              <w:bottom w:w="0" w:type="dxa"/>
              <w:right w:w="0" w:type="dxa"/>
            </w:tcMar>
            <w:vAlign w:val="center"/>
          </w:tcPr>
          <w:p w:rsidR="0012670F" w:rsidRDefault="004C1D97" w:rsidP="00786FF4">
            <w:pPr>
              <w:pBdr>
                <w:top w:val="none" w:sz="0" w:space="0" w:color="000000"/>
                <w:left w:val="none" w:sz="0" w:space="0" w:color="000000"/>
                <w:bottom w:val="none" w:sz="0" w:space="0" w:color="000000"/>
                <w:right w:val="none" w:sz="0" w:space="0" w:color="000000"/>
              </w:pBdr>
              <w:spacing w:before="100" w:after="100" w:line="276" w:lineRule="auto"/>
              <w:ind w:left="100" w:right="100"/>
            </w:pPr>
            <w:r>
              <w:rPr>
                <w:rFonts w:ascii="Times New Roman" w:eastAsia="Times New Roman" w:hAnsi="Times New Roman" w:cs="Times New Roman"/>
                <w:b/>
                <w:color w:val="000000"/>
                <w:sz w:val="20"/>
                <w:szCs w:val="20"/>
              </w:rPr>
              <w:t xml:space="preserve">Supplementary Table </w:t>
            </w:r>
            <w:r w:rsidR="00786FF4">
              <w:rPr>
                <w:rFonts w:ascii="Times New Roman" w:eastAsia="Times New Roman" w:hAnsi="Times New Roman" w:cs="Times New Roman"/>
                <w:b/>
                <w:color w:val="000000"/>
                <w:sz w:val="20"/>
                <w:szCs w:val="20"/>
              </w:rPr>
              <w:t>8</w:t>
            </w:r>
            <w:bookmarkStart w:id="0" w:name="_GoBack"/>
            <w:bookmarkEnd w:id="0"/>
          </w:p>
        </w:tc>
      </w:tr>
      <w:tr w:rsidR="0012670F" w:rsidTr="00153139">
        <w:trPr>
          <w:tblHeader/>
          <w:jc w:val="center"/>
        </w:trPr>
        <w:tc>
          <w:tcPr>
            <w:tcW w:w="0" w:type="auto"/>
            <w:gridSpan w:val="8"/>
            <w:tcBorders>
              <w:top w:val="none" w:sz="0" w:space="0" w:color="666666"/>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12670F" w:rsidRDefault="007B7DF0" w:rsidP="00774F2A">
            <w:pPr>
              <w:pBdr>
                <w:top w:val="none" w:sz="0" w:space="0" w:color="000000"/>
                <w:left w:val="none" w:sz="0" w:space="0" w:color="000000"/>
                <w:bottom w:val="none" w:sz="0" w:space="0" w:color="000000"/>
                <w:right w:val="none" w:sz="0" w:space="0" w:color="000000"/>
              </w:pBdr>
              <w:spacing w:before="100" w:after="100" w:line="276" w:lineRule="auto"/>
              <w:ind w:left="100" w:right="100"/>
            </w:pPr>
            <w:r>
              <w:rPr>
                <w:rFonts w:ascii="Times New Roman" w:eastAsia="Times New Roman" w:hAnsi="Times New Roman" w:cs="Times New Roman"/>
                <w:i/>
                <w:color w:val="000000"/>
                <w:sz w:val="20"/>
                <w:szCs w:val="20"/>
              </w:rPr>
              <w:t xml:space="preserve">Population-level effects of the response latency model in </w:t>
            </w:r>
            <w:r w:rsidR="00774F2A">
              <w:rPr>
                <w:rFonts w:ascii="Times New Roman" w:eastAsia="Times New Roman" w:hAnsi="Times New Roman" w:cs="Times New Roman"/>
                <w:i/>
                <w:color w:val="000000"/>
                <w:sz w:val="20"/>
                <w:szCs w:val="20"/>
              </w:rPr>
              <w:t>pwR</w:t>
            </w:r>
            <w:r w:rsidR="00B7057D">
              <w:rPr>
                <w:rFonts w:ascii="Times New Roman" w:eastAsia="Times New Roman" w:hAnsi="Times New Roman" w:cs="Times New Roman"/>
                <w:i/>
                <w:color w:val="000000"/>
                <w:sz w:val="20"/>
                <w:szCs w:val="20"/>
              </w:rPr>
              <w:t>MS</w:t>
            </w:r>
            <w:r>
              <w:rPr>
                <w:rFonts w:ascii="Times New Roman" w:eastAsia="Times New Roman" w:hAnsi="Times New Roman" w:cs="Times New Roman"/>
                <w:i/>
                <w:color w:val="000000"/>
                <w:sz w:val="20"/>
                <w:szCs w:val="20"/>
              </w:rPr>
              <w:t>.</w:t>
            </w:r>
          </w:p>
        </w:tc>
      </w:tr>
      <w:tr w:rsidR="0012670F" w:rsidTr="00153139">
        <w:trPr>
          <w:tblHeader/>
          <w:jc w:val="center"/>
        </w:trPr>
        <w:tc>
          <w:tcPr>
            <w:tcW w:w="0" w:type="auto"/>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Parameter</w:t>
            </w:r>
          </w:p>
        </w:tc>
        <w:tc>
          <w:tcPr>
            <w:tcW w:w="0" w:type="auto"/>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Estimate</w:t>
            </w:r>
          </w:p>
        </w:tc>
        <w:tc>
          <w:tcPr>
            <w:tcW w:w="0" w:type="auto"/>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i/>
                <w:color w:val="000000"/>
                <w:sz w:val="20"/>
                <w:szCs w:val="20"/>
              </w:rPr>
              <w:t>SE</w:t>
            </w:r>
          </w:p>
        </w:tc>
        <w:tc>
          <w:tcPr>
            <w:tcW w:w="0" w:type="auto"/>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Rhat</w:t>
            </w:r>
          </w:p>
        </w:tc>
        <w:tc>
          <w:tcPr>
            <w:tcW w:w="0" w:type="auto"/>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Bulk ESS</w:t>
            </w:r>
          </w:p>
        </w:tc>
        <w:tc>
          <w:tcPr>
            <w:tcW w:w="0" w:type="auto"/>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Tail ESS</w:t>
            </w:r>
          </w:p>
        </w:tc>
        <w:tc>
          <w:tcPr>
            <w:tcW w:w="0" w:type="auto"/>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Evidence ratio</w:t>
            </w:r>
          </w:p>
        </w:tc>
        <w:tc>
          <w:tcPr>
            <w:tcW w:w="0" w:type="auto"/>
            <w:tcBorders>
              <w:top w:val="single" w:sz="4"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95% CI</w:t>
            </w:r>
          </w:p>
        </w:tc>
      </w:tr>
      <w:tr w:rsidR="0012670F" w:rsidTr="00153139">
        <w:trPr>
          <w:jc w:val="center"/>
        </w:trPr>
        <w:tc>
          <w:tcPr>
            <w:tcW w:w="0" w:type="auto"/>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pPr>
            <w:r>
              <w:rPr>
                <w:rFonts w:ascii="Times New Roman" w:eastAsia="Times New Roman" w:hAnsi="Times New Roman" w:cs="Times New Roman"/>
                <w:color w:val="000000"/>
                <w:sz w:val="20"/>
                <w:szCs w:val="20"/>
              </w:rPr>
              <w:t>Intercept</w:t>
            </w:r>
          </w:p>
        </w:tc>
        <w:tc>
          <w:tcPr>
            <w:tcW w:w="0" w:type="auto"/>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0.64</w:t>
            </w:r>
          </w:p>
        </w:tc>
        <w:tc>
          <w:tcPr>
            <w:tcW w:w="0" w:type="auto"/>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0.05</w:t>
            </w:r>
          </w:p>
        </w:tc>
        <w:tc>
          <w:tcPr>
            <w:tcW w:w="0" w:type="auto"/>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1.00</w:t>
            </w:r>
          </w:p>
        </w:tc>
        <w:tc>
          <w:tcPr>
            <w:tcW w:w="0" w:type="auto"/>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8,897.20</w:t>
            </w:r>
          </w:p>
        </w:tc>
        <w:tc>
          <w:tcPr>
            <w:tcW w:w="0" w:type="auto"/>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11,061.25</w:t>
            </w:r>
          </w:p>
        </w:tc>
        <w:tc>
          <w:tcPr>
            <w:tcW w:w="0" w:type="auto"/>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Pr="007C00DF" w:rsidRDefault="007558DB">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7C00DF">
              <w:rPr>
                <w:rFonts w:ascii="Times New Roman" w:hAnsi="Times New Roman" w:cs="Times New Roman"/>
                <w:sz w:val="20"/>
                <w:szCs w:val="20"/>
              </w:rPr>
              <w:t>∞</w:t>
            </w:r>
            <w:r w:rsidRPr="007C00DF">
              <w:rPr>
                <w:rFonts w:ascii="Times New Roman" w:hAnsi="Times New Roman" w:cs="Times New Roman"/>
                <w:sz w:val="20"/>
                <w:szCs w:val="20"/>
                <w:vertAlign w:val="superscript"/>
              </w:rPr>
              <w:t>1</w:t>
            </w:r>
          </w:p>
        </w:tc>
        <w:tc>
          <w:tcPr>
            <w:tcW w:w="0" w:type="auto"/>
            <w:tcBorders>
              <w:top w:val="single" w:sz="4"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[0.54, 0.73]</w:t>
            </w:r>
          </w:p>
        </w:tc>
      </w:tr>
      <w:tr w:rsidR="0012670F" w:rsidTr="0015313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pPr>
            <w:r>
              <w:rPr>
                <w:rFonts w:ascii="Times New Roman" w:eastAsia="Times New Roman" w:hAnsi="Times New Roman" w:cs="Times New Roman"/>
                <w:color w:val="000000"/>
                <w:sz w:val="20"/>
                <w:szCs w:val="20"/>
              </w:rPr>
              <w:t>Stimulation type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22,009.93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16,863.68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Pr="007C00D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7C00DF">
              <w:rPr>
                <w:rFonts w:ascii="Times New Roman" w:eastAsia="Times New Roman" w:hAnsi="Times New Roman" w:cs="Times New Roman"/>
                <w:color w:val="000000"/>
                <w:sz w:val="20"/>
                <w:szCs w:val="20"/>
              </w:rPr>
              <w:t>1.76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[-0.01, 0.01]</w:t>
            </w:r>
          </w:p>
        </w:tc>
      </w:tr>
      <w:tr w:rsidR="0012670F" w:rsidTr="0015313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pPr>
            <w:r>
              <w:rPr>
                <w:rFonts w:ascii="Times New Roman" w:eastAsia="Times New Roman" w:hAnsi="Times New Roman" w:cs="Times New Roman"/>
                <w:color w:val="000000"/>
                <w:sz w:val="20"/>
                <w:szCs w:val="20"/>
              </w:rPr>
              <w:t>Stimulation polarity</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9,168.97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11,106.05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Pr="007C00D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7C00DF">
              <w:rPr>
                <w:rFonts w:ascii="Times New Roman" w:eastAsia="Times New Roman" w:hAnsi="Times New Roman" w:cs="Times New Roman"/>
                <w:color w:val="000000"/>
                <w:sz w:val="20"/>
                <w:szCs w:val="20"/>
              </w:rPr>
              <w:t>2.75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[-0.16, 0.08]</w:t>
            </w:r>
          </w:p>
        </w:tc>
      </w:tr>
      <w:tr w:rsidR="0012670F" w:rsidTr="0015313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pPr>
            <w:r>
              <w:rPr>
                <w:rFonts w:ascii="Times New Roman" w:eastAsia="Times New Roman" w:hAnsi="Times New Roman" w:cs="Times New Roman"/>
                <w:color w:val="000000"/>
                <w:sz w:val="20"/>
                <w:szCs w:val="20"/>
              </w:rPr>
              <w:t>SDMT n correct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11,243.72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12,201.57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Pr="007C00D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7C00DF">
              <w:rPr>
                <w:rFonts w:ascii="Times New Roman" w:eastAsia="Times New Roman" w:hAnsi="Times New Roman" w:cs="Times New Roman"/>
                <w:color w:val="000000"/>
                <w:sz w:val="20"/>
                <w:szCs w:val="20"/>
              </w:rPr>
              <w:t>157.94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[-0.21, -0.03]</w:t>
            </w:r>
          </w:p>
        </w:tc>
      </w:tr>
      <w:tr w:rsidR="0012670F" w:rsidTr="0015313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pPr>
            <w:r>
              <w:rPr>
                <w:rFonts w:ascii="Times New Roman" w:eastAsia="Times New Roman" w:hAnsi="Times New Roman" w:cs="Times New Roman"/>
                <w:color w:val="000000"/>
                <w:sz w:val="20"/>
                <w:szCs w:val="20"/>
              </w:rPr>
              <w:t>TMT-A time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12,411.58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12,053.85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Pr="007C00D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7C00DF">
              <w:rPr>
                <w:rFonts w:ascii="Times New Roman" w:eastAsia="Times New Roman" w:hAnsi="Times New Roman" w:cs="Times New Roman"/>
                <w:color w:val="000000"/>
                <w:sz w:val="20"/>
                <w:szCs w:val="20"/>
              </w:rPr>
              <w:t>116.07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[0.01, 0.13]</w:t>
            </w:r>
          </w:p>
        </w:tc>
      </w:tr>
      <w:tr w:rsidR="0012670F" w:rsidTr="0015313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pPr>
            <w:r>
              <w:rPr>
                <w:rFonts w:ascii="Times New Roman" w:eastAsia="Times New Roman" w:hAnsi="Times New Roman" w:cs="Times New Roman"/>
                <w:color w:val="000000"/>
                <w:sz w:val="20"/>
                <w:szCs w:val="20"/>
              </w:rPr>
              <w:t>Session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23,680.12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15,989.75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Pr="007C00DF" w:rsidRDefault="007558DB">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7C00DF">
              <w:rPr>
                <w:rFonts w:ascii="Times New Roman" w:hAnsi="Times New Roman" w:cs="Times New Roman"/>
                <w:sz w:val="20"/>
                <w:szCs w:val="20"/>
              </w:rPr>
              <w:t>∞</w:t>
            </w:r>
            <w:r w:rsidRPr="007C00DF">
              <w:rPr>
                <w:rFonts w:ascii="Times New Roman" w:hAnsi="Times New Roman" w:cs="Times New Roman"/>
                <w:sz w:val="20"/>
                <w:szCs w:val="20"/>
                <w:vertAlign w:val="superscript"/>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[-0.13, -0.12]</w:t>
            </w:r>
          </w:p>
        </w:tc>
      </w:tr>
      <w:tr w:rsidR="0012670F" w:rsidTr="0015313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pPr>
            <w:r>
              <w:rPr>
                <w:rFonts w:ascii="Times New Roman" w:eastAsia="Times New Roman" w:hAnsi="Times New Roman" w:cs="Times New Roman"/>
                <w:color w:val="000000"/>
                <w:sz w:val="20"/>
                <w:szCs w:val="20"/>
              </w:rPr>
              <w:t>Stimulation type × Stimulation polarity</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22,014.91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18,107.13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Pr="007C00D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7C00DF">
              <w:rPr>
                <w:rFonts w:ascii="Times New Roman" w:eastAsia="Times New Roman" w:hAnsi="Times New Roman" w:cs="Times New Roman"/>
                <w:color w:val="000000"/>
                <w:sz w:val="20"/>
                <w:szCs w:val="20"/>
              </w:rPr>
              <w:t>7.87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[-0.02, 0.01]</w:t>
            </w:r>
          </w:p>
        </w:tc>
      </w:tr>
      <w:tr w:rsidR="0012670F" w:rsidTr="0015313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pPr>
            <w:r>
              <w:rPr>
                <w:rFonts w:ascii="Times New Roman" w:eastAsia="Times New Roman" w:hAnsi="Times New Roman" w:cs="Times New Roman"/>
                <w:color w:val="000000"/>
                <w:sz w:val="20"/>
                <w:szCs w:val="20"/>
              </w:rPr>
              <w:t>Stimulation type × SDMT n correct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22,129.22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18,084.50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Pr="007C00D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7C00DF">
              <w:rPr>
                <w:rFonts w:ascii="Times New Roman" w:eastAsia="Times New Roman" w:hAnsi="Times New Roman" w:cs="Times New Roman"/>
                <w:color w:val="000000"/>
                <w:sz w:val="20"/>
                <w:szCs w:val="20"/>
              </w:rPr>
              <w:t>799.00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[-0.03, -0.01]</w:t>
            </w:r>
          </w:p>
        </w:tc>
      </w:tr>
      <w:tr w:rsidR="0012670F" w:rsidTr="0015313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pPr>
            <w:r>
              <w:rPr>
                <w:rFonts w:ascii="Times New Roman" w:eastAsia="Times New Roman" w:hAnsi="Times New Roman" w:cs="Times New Roman"/>
                <w:color w:val="000000"/>
                <w:sz w:val="20"/>
                <w:szCs w:val="20"/>
              </w:rPr>
              <w:t>Stimulation polarity × SDMT n correct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11,493.03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12,605.57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Pr="007C00D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7C00DF">
              <w:rPr>
                <w:rFonts w:ascii="Times New Roman" w:eastAsia="Times New Roman" w:hAnsi="Times New Roman" w:cs="Times New Roman"/>
                <w:color w:val="000000"/>
                <w:sz w:val="20"/>
                <w:szCs w:val="20"/>
              </w:rPr>
              <w:t>19.05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[-0.20, 0.02]</w:t>
            </w:r>
          </w:p>
        </w:tc>
      </w:tr>
      <w:tr w:rsidR="0012670F" w:rsidTr="00153139">
        <w:trPr>
          <w:jc w:val="center"/>
        </w:trPr>
        <w:tc>
          <w:tcPr>
            <w:tcW w:w="0" w:type="auto"/>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pPr>
            <w:r>
              <w:rPr>
                <w:rFonts w:ascii="Times New Roman" w:eastAsia="Times New Roman" w:hAnsi="Times New Roman" w:cs="Times New Roman"/>
                <w:color w:val="000000"/>
                <w:sz w:val="20"/>
                <w:szCs w:val="20"/>
              </w:rPr>
              <w:t>Stimulation type × Stimulation polarity × SDMT n correct</w:t>
            </w:r>
          </w:p>
        </w:tc>
        <w:tc>
          <w:tcPr>
            <w:tcW w:w="0" w:type="auto"/>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0.10</w:t>
            </w:r>
          </w:p>
        </w:tc>
        <w:tc>
          <w:tcPr>
            <w:tcW w:w="0" w:type="auto"/>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0.01</w:t>
            </w:r>
          </w:p>
        </w:tc>
        <w:tc>
          <w:tcPr>
            <w:tcW w:w="0" w:type="auto"/>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1.00</w:t>
            </w:r>
          </w:p>
        </w:tc>
        <w:tc>
          <w:tcPr>
            <w:tcW w:w="0" w:type="auto"/>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21,703.93</w:t>
            </w:r>
          </w:p>
        </w:tc>
        <w:tc>
          <w:tcPr>
            <w:tcW w:w="0" w:type="auto"/>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17,318.63</w:t>
            </w:r>
          </w:p>
        </w:tc>
        <w:tc>
          <w:tcPr>
            <w:tcW w:w="0" w:type="auto"/>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12670F" w:rsidRPr="007C00DF" w:rsidRDefault="007558DB">
            <w:pPr>
              <w:pBdr>
                <w:top w:val="none" w:sz="0" w:space="0" w:color="000000"/>
                <w:left w:val="none" w:sz="0" w:space="0" w:color="000000"/>
                <w:bottom w:val="none" w:sz="0" w:space="0" w:color="000000"/>
                <w:right w:val="none" w:sz="0" w:space="0" w:color="000000"/>
              </w:pBdr>
              <w:spacing w:before="100" w:after="100" w:line="276" w:lineRule="auto"/>
              <w:ind w:left="100" w:right="100"/>
              <w:jc w:val="center"/>
              <w:rPr>
                <w:sz w:val="20"/>
                <w:szCs w:val="20"/>
              </w:rPr>
            </w:pPr>
            <w:r w:rsidRPr="007C00DF">
              <w:rPr>
                <w:rFonts w:ascii="Times New Roman" w:hAnsi="Times New Roman" w:cs="Times New Roman"/>
                <w:sz w:val="20"/>
                <w:szCs w:val="20"/>
              </w:rPr>
              <w:t>∞</w:t>
            </w:r>
            <w:r w:rsidRPr="007C00DF">
              <w:rPr>
                <w:rFonts w:ascii="Times New Roman" w:hAnsi="Times New Roman" w:cs="Times New Roman"/>
                <w:sz w:val="20"/>
                <w:szCs w:val="20"/>
                <w:vertAlign w:val="superscript"/>
              </w:rPr>
              <w:t>1</w:t>
            </w:r>
          </w:p>
        </w:tc>
        <w:tc>
          <w:tcPr>
            <w:tcW w:w="0" w:type="auto"/>
            <w:tcBorders>
              <w:top w:val="none" w:sz="0" w:space="0" w:color="000000"/>
              <w:left w:val="none" w:sz="0" w:space="0" w:color="000000"/>
              <w:bottom w:val="single" w:sz="4" w:space="0" w:color="000000"/>
              <w:right w:val="none" w:sz="0" w:space="0" w:color="000000"/>
            </w:tcBorders>
            <w:shd w:val="clear" w:color="auto" w:fill="FFFFFF"/>
            <w:tcMar>
              <w:top w:w="0" w:type="dxa"/>
              <w:left w:w="0" w:type="dxa"/>
              <w:bottom w:w="0" w:type="dxa"/>
              <w:right w:w="0" w:type="dxa"/>
            </w:tcMar>
            <w:vAlign w:val="center"/>
          </w:tcPr>
          <w:p w:rsidR="0012670F" w:rsidRDefault="007B7DF0">
            <w:pPr>
              <w:pBdr>
                <w:top w:val="none" w:sz="0" w:space="0" w:color="000000"/>
                <w:left w:val="none" w:sz="0" w:space="0" w:color="000000"/>
                <w:bottom w:val="none" w:sz="0" w:space="0" w:color="000000"/>
                <w:right w:val="none" w:sz="0" w:space="0" w:color="000000"/>
              </w:pBdr>
              <w:spacing w:before="100" w:after="100" w:line="276" w:lineRule="auto"/>
              <w:ind w:left="100" w:right="100"/>
              <w:jc w:val="center"/>
            </w:pPr>
            <w:r>
              <w:rPr>
                <w:rFonts w:ascii="Times New Roman" w:eastAsia="Times New Roman" w:hAnsi="Times New Roman" w:cs="Times New Roman"/>
                <w:color w:val="000000"/>
                <w:sz w:val="20"/>
                <w:szCs w:val="20"/>
              </w:rPr>
              <w:t>[0.09, 0.12]</w:t>
            </w:r>
          </w:p>
        </w:tc>
      </w:tr>
      <w:tr w:rsidR="0012670F" w:rsidTr="00153139">
        <w:trPr>
          <w:jc w:val="center"/>
        </w:trPr>
        <w:tc>
          <w:tcPr>
            <w:tcW w:w="0" w:type="auto"/>
            <w:gridSpan w:val="8"/>
            <w:tcBorders>
              <w:top w:val="single" w:sz="4"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rsidR="00774F2A" w:rsidRPr="00F76AAD" w:rsidRDefault="007B7DF0" w:rsidP="00774F2A">
            <w:pPr>
              <w:pBdr>
                <w:top w:val="none" w:sz="0" w:space="0" w:color="000000"/>
                <w:left w:val="none" w:sz="0" w:space="0" w:color="000000"/>
                <w:bottom w:val="none" w:sz="0" w:space="0" w:color="000000"/>
                <w:right w:val="none" w:sz="0" w:space="0" w:color="000000"/>
              </w:pBdr>
              <w:spacing w:before="100" w:after="100"/>
              <w:ind w:left="100" w:right="100"/>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Note. </w:t>
            </w:r>
            <w:r>
              <w:rPr>
                <w:rFonts w:ascii="Times New Roman" w:eastAsia="Times New Roman" w:hAnsi="Times New Roman" w:cs="Times New Roman"/>
                <w:color w:val="000000"/>
                <w:sz w:val="20"/>
                <w:szCs w:val="20"/>
              </w:rPr>
              <w:t xml:space="preserve">Subject group-level intercepts Estimate: 0.13 (95%CI [0.1, 0.18]). Rhat: 1, Bulk ESS: 7694.48; Tail ESS: 11714.05. Rhat values should be close to 1 to indicate convergence. Bulk ESS and Tail ESS indicate the effective sample size of the MCMC chains. Evidence ratio indicate the ratio of draws that were in the direction of the estimate relative to the number of draws that were in the opposite direction, e.g., for the TMT-A time effect, there were </w:t>
            </w:r>
            <w:r w:rsidR="00EE0152">
              <w:rPr>
                <w:rFonts w:ascii="Times New Roman" w:eastAsia="Times New Roman" w:hAnsi="Times New Roman" w:cs="Times New Roman"/>
                <w:color w:val="000000"/>
                <w:sz w:val="20"/>
                <w:szCs w:val="20"/>
              </w:rPr>
              <w:t>116.07</w:t>
            </w:r>
            <w:r>
              <w:rPr>
                <w:rFonts w:ascii="Times New Roman" w:eastAsia="Times New Roman" w:hAnsi="Times New Roman" w:cs="Times New Roman"/>
                <w:color w:val="000000"/>
                <w:sz w:val="20"/>
                <w:szCs w:val="20"/>
              </w:rPr>
              <w:t xml:space="preserve"> times more positive draws than negative draws. Simulations in linear models show, that an evidence ratio of 19 is equivalent to p-value of 0.05 (Mako</w:t>
            </w:r>
            <w:r w:rsidRPr="007558DB">
              <w:rPr>
                <w:rFonts w:ascii="Times New Roman" w:eastAsia="Times New Roman" w:hAnsi="Times New Roman" w:cs="Times New Roman"/>
                <w:color w:val="000000"/>
                <w:sz w:val="20"/>
                <w:szCs w:val="20"/>
              </w:rPr>
              <w:t>wski et al., 2019</w:t>
            </w:r>
            <w:r w:rsidR="00774F2A" w:rsidRPr="00F76AAD">
              <w:rPr>
                <w:rFonts w:ascii="Times New Roman" w:eastAsia="Times New Roman" w:hAnsi="Times New Roman" w:cs="Times New Roman"/>
                <w:color w:val="000000"/>
                <w:sz w:val="20"/>
                <w:szCs w:val="20"/>
              </w:rPr>
              <w:t>). SE=Standard error. ESS=Effective sample size. TMT-A=Trail making test version A. SDMT=Symbol-digits-modalities-test.</w:t>
            </w:r>
            <w:r w:rsidR="00774F2A">
              <w:rPr>
                <w:rFonts w:ascii="Times New Roman" w:eastAsia="Times New Roman" w:hAnsi="Times New Roman" w:cs="Times New Roman"/>
                <w:color w:val="000000"/>
                <w:sz w:val="20"/>
                <w:szCs w:val="20"/>
              </w:rPr>
              <w:t xml:space="preserve"> pwRMS=patients with relapsing multiple scerlosis.</w:t>
            </w:r>
          </w:p>
          <w:p w:rsidR="007558DB" w:rsidRDefault="00774F2A" w:rsidP="00774F2A">
            <w:pPr>
              <w:pBdr>
                <w:top w:val="none" w:sz="0" w:space="0" w:color="000000"/>
                <w:left w:val="none" w:sz="0" w:space="0" w:color="000000"/>
                <w:bottom w:val="none" w:sz="0" w:space="0" w:color="000000"/>
                <w:right w:val="none" w:sz="0" w:space="0" w:color="000000"/>
              </w:pBdr>
              <w:spacing w:before="100" w:after="100" w:line="276" w:lineRule="auto"/>
              <w:ind w:left="100" w:right="100"/>
            </w:pPr>
            <w:r w:rsidRPr="00F76AAD">
              <w:rPr>
                <w:rFonts w:ascii="Times New Roman" w:eastAsia="Times New Roman" w:hAnsi="Times New Roman" w:cs="Times New Roman"/>
                <w:color w:val="000000"/>
                <w:sz w:val="20"/>
                <w:szCs w:val="20"/>
                <w:vertAlign w:val="superscript"/>
              </w:rPr>
              <w:t xml:space="preserve">1 </w:t>
            </w:r>
            <w:r w:rsidRPr="00F76AAD">
              <w:rPr>
                <w:rFonts w:ascii="Times New Roman" w:eastAsia="Times New Roman" w:hAnsi="Times New Roman" w:cs="Times New Roman"/>
                <w:color w:val="000000"/>
                <w:sz w:val="20"/>
                <w:szCs w:val="20"/>
              </w:rPr>
              <w:t xml:space="preserve">Evidence ratios equal to </w:t>
            </w:r>
            <w:r w:rsidRPr="00F76AAD">
              <w:rPr>
                <w:rFonts w:ascii="Times New Roman" w:hAnsi="Times New Roman" w:cs="Times New Roman"/>
                <w:sz w:val="20"/>
                <w:szCs w:val="20"/>
              </w:rPr>
              <w:t>∞ indicate that all posterior draws were in favor of the estimate direction.</w:t>
            </w:r>
          </w:p>
        </w:tc>
      </w:tr>
    </w:tbl>
    <w:p w:rsidR="007B7DF0" w:rsidRDefault="007B7DF0"/>
    <w:sectPr w:rsidR="007B7DF0">
      <w:type w:val="continuous"/>
      <w:pgSz w:w="16838" w:h="11906" w:orient="landscape"/>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25FD"/>
    <w:multiLevelType w:val="multilevel"/>
    <w:tmpl w:val="88F45F08"/>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882B35"/>
    <w:multiLevelType w:val="multilevel"/>
    <w:tmpl w:val="6F30E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FC3234"/>
    <w:multiLevelType w:val="multilevel"/>
    <w:tmpl w:val="0A8631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czszQzMLUwMDQ0sTRR0lEKTi0uzszPAykwrgUAY3mU7CwAAAA="/>
  </w:docVars>
  <w:rsids>
    <w:rsidRoot w:val="0012670F"/>
    <w:rsid w:val="0012670F"/>
    <w:rsid w:val="00153139"/>
    <w:rsid w:val="004C1D97"/>
    <w:rsid w:val="007558DB"/>
    <w:rsid w:val="00774F2A"/>
    <w:rsid w:val="00786FF4"/>
    <w:rsid w:val="007B7DF0"/>
    <w:rsid w:val="007C00DF"/>
    <w:rsid w:val="00B7057D"/>
    <w:rsid w:val="00CC79C4"/>
    <w:rsid w:val="00EE0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65D1"/>
  <w15:docId w15:val="{1659F957-593B-4BA2-B1B6-4029FE20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62E65"/>
    <w:pPr>
      <w:keepNext/>
      <w:keepLines/>
      <w:numPr>
        <w:numId w:val="3"/>
      </w:numPr>
      <w:pBdr>
        <w:bottom w:val="single" w:sz="4" w:space="1" w:color="auto"/>
      </w:pBdr>
      <w:spacing w:before="480"/>
      <w:outlineLvl w:val="0"/>
    </w:pPr>
    <w:rPr>
      <w:rFonts w:asciiTheme="majorHAnsi" w:eastAsiaTheme="majorEastAsia" w:hAnsiTheme="majorHAnsi" w:cstheme="majorBidi"/>
      <w:b/>
      <w:bCs/>
      <w:sz w:val="32"/>
      <w:szCs w:val="32"/>
    </w:rPr>
  </w:style>
  <w:style w:type="paragraph" w:styleId="berschrift2">
    <w:name w:val="heading 2"/>
    <w:basedOn w:val="Standard"/>
    <w:next w:val="Standard"/>
    <w:link w:val="berschrift2Zchn"/>
    <w:uiPriority w:val="9"/>
    <w:semiHidden/>
    <w:unhideWhenUsed/>
    <w:qFormat/>
    <w:rsid w:val="00362E65"/>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362E65"/>
    <w:pPr>
      <w:keepNext/>
      <w:keepLines/>
      <w:numPr>
        <w:ilvl w:val="2"/>
        <w:numId w:val="3"/>
      </w:numPr>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ett1">
    <w:name w:val="Fett1"/>
    <w:basedOn w:val="Absatz-Standardschriftart"/>
    <w:uiPriority w:val="1"/>
    <w:qFormat/>
    <w:rsid w:val="007B3E96"/>
    <w:rPr>
      <w:b/>
    </w:rPr>
  </w:style>
  <w:style w:type="paragraph" w:customStyle="1" w:styleId="centered">
    <w:name w:val="centered"/>
    <w:basedOn w:val="Standard"/>
    <w:qFormat/>
    <w:rsid w:val="001D75AB"/>
    <w:pPr>
      <w:jc w:val="center"/>
    </w:pPr>
  </w:style>
  <w:style w:type="table" w:customStyle="1" w:styleId="tabletemplate">
    <w:name w:val="table_template"/>
    <w:basedOn w:val="NormaleTabelle"/>
    <w:uiPriority w:val="59"/>
    <w:rsid w:val="00F12158"/>
    <w:pPr>
      <w:jc w:val="right"/>
    </w:pPr>
    <w:tblPr>
      <w:jc w:val="center"/>
      <w:tblBorders>
        <w:top w:val="single" w:sz="8" w:space="0" w:color="auto"/>
        <w:bottom w:val="single" w:sz="8" w:space="0" w:color="auto"/>
        <w:insideH w:val="single" w:sz="8" w:space="0" w:color="auto"/>
      </w:tblBorders>
    </w:tblPr>
    <w:trPr>
      <w:jc w:val="center"/>
    </w:trPr>
    <w:tblStylePr w:type="firstRow">
      <w:rPr>
        <w:b/>
      </w:rPr>
      <w:tblPr/>
      <w:tcPr>
        <w:tcBorders>
          <w:top w:val="nil"/>
          <w:left w:val="nil"/>
          <w:bottom w:val="single" w:sz="18" w:space="0" w:color="auto"/>
          <w:right w:val="nil"/>
          <w:insideH w:val="nil"/>
          <w:insideV w:val="nil"/>
          <w:tl2br w:val="nil"/>
          <w:tr2bl w:val="nil"/>
        </w:tcBorders>
      </w:tcPr>
    </w:tblStylePr>
  </w:style>
  <w:style w:type="table" w:styleId="HelleListe-Akzent2">
    <w:name w:val="Light List Accent 2"/>
    <w:basedOn w:val="NormaleTabelle"/>
    <w:uiPriority w:val="61"/>
    <w:rsid w:val="00FC557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berschrift1Zchn">
    <w:name w:val="Überschrift 1 Zchn"/>
    <w:basedOn w:val="Absatz-Standardschriftart"/>
    <w:link w:val="berschrift1"/>
    <w:uiPriority w:val="9"/>
    <w:rsid w:val="00362E65"/>
    <w:rPr>
      <w:rFonts w:asciiTheme="majorHAnsi" w:eastAsiaTheme="majorEastAsia" w:hAnsiTheme="majorHAnsi" w:cstheme="majorBidi"/>
      <w:b/>
      <w:bCs/>
      <w:sz w:val="32"/>
      <w:szCs w:val="32"/>
    </w:rPr>
  </w:style>
  <w:style w:type="character" w:customStyle="1" w:styleId="berschrift2Zchn">
    <w:name w:val="Überschrift 2 Zchn"/>
    <w:basedOn w:val="Absatz-Standardschriftart"/>
    <w:link w:val="berschrift2"/>
    <w:uiPriority w:val="9"/>
    <w:semiHidden/>
    <w:rsid w:val="00362E65"/>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semiHidden/>
    <w:rsid w:val="00362E65"/>
    <w:rPr>
      <w:rFonts w:asciiTheme="majorHAnsi" w:eastAsiaTheme="majorEastAsia" w:hAnsiTheme="majorHAnsi" w:cstheme="majorBidi"/>
      <w:b/>
      <w:bCs/>
    </w:rPr>
  </w:style>
  <w:style w:type="paragraph" w:customStyle="1" w:styleId="ImageCaption">
    <w:name w:val="Image Caption"/>
    <w:basedOn w:val="Standard"/>
    <w:qFormat/>
    <w:rsid w:val="00AE18EF"/>
    <w:pPr>
      <w:jc w:val="center"/>
    </w:pPr>
    <w:rPr>
      <w:b/>
      <w:i/>
    </w:rPr>
  </w:style>
  <w:style w:type="paragraph" w:customStyle="1" w:styleId="TableCaption">
    <w:name w:val="Table Caption"/>
    <w:basedOn w:val="ImageCaption"/>
    <w:qFormat/>
    <w:rsid w:val="00AE18EF"/>
  </w:style>
  <w:style w:type="table" w:styleId="TabelleProfessionell">
    <w:name w:val="Table Professional"/>
    <w:basedOn w:val="NormaleTabelle"/>
    <w:uiPriority w:val="99"/>
    <w:semiHidden/>
    <w:unhideWhenUsed/>
    <w:rsid w:val="00C31E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Verzeichnis1">
    <w:name w:val="toc 1"/>
    <w:basedOn w:val="Standard"/>
    <w:next w:val="Standard"/>
    <w:autoRedefine/>
    <w:uiPriority w:val="39"/>
    <w:unhideWhenUsed/>
    <w:rsid w:val="00FB63E7"/>
    <w:pPr>
      <w:spacing w:after="100"/>
    </w:pPr>
  </w:style>
  <w:style w:type="paragraph" w:styleId="Verzeichnis2">
    <w:name w:val="toc 2"/>
    <w:basedOn w:val="Standard"/>
    <w:next w:val="Standard"/>
    <w:autoRedefine/>
    <w:uiPriority w:val="39"/>
    <w:unhideWhenUsed/>
    <w:rsid w:val="00FB63E7"/>
    <w:pPr>
      <w:spacing w:after="100"/>
      <w:ind w:left="240"/>
    </w:pPr>
  </w:style>
  <w:style w:type="paragraph" w:styleId="Sprechblasentext">
    <w:name w:val="Balloon Text"/>
    <w:basedOn w:val="Standard"/>
    <w:link w:val="SprechblasentextZchn"/>
    <w:uiPriority w:val="99"/>
    <w:semiHidden/>
    <w:unhideWhenUsed/>
    <w:rsid w:val="00FB63E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B63E7"/>
    <w:rPr>
      <w:rFonts w:ascii="Lucida Grande" w:hAnsi="Lucida Grande"/>
      <w:sz w:val="18"/>
      <w:szCs w:val="18"/>
    </w:rPr>
  </w:style>
  <w:style w:type="character" w:customStyle="1" w:styleId="referenceid">
    <w:name w:val="reference_id"/>
    <w:basedOn w:val="Absatz-Standardschriftart"/>
    <w:uiPriority w:val="1"/>
    <w:rsid w:val="00457CF1"/>
    <w:rPr>
      <w:vertAlign w:val="superscript"/>
    </w:rPr>
  </w:style>
  <w:style w:type="paragraph" w:customStyle="1" w:styleId="graphictitle">
    <w:name w:val="graphic title"/>
    <w:basedOn w:val="ImageCaption"/>
    <w:next w:val="Standard"/>
    <w:rsid w:val="0035500D"/>
  </w:style>
  <w:style w:type="paragraph" w:customStyle="1" w:styleId="tabletitle">
    <w:name w:val="table title"/>
    <w:basedOn w:val="TableCaption"/>
    <w:next w:val="Standard"/>
    <w:rsid w:val="00901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1612</Characters>
  <Application>Microsoft Office Word</Application>
  <DocSecurity>0</DocSecurity>
  <Lines>13</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Meinzer, Marcus</dc:creator>
  <cp:keywords/>
  <dc:description/>
  <cp:lastModifiedBy>Meinzer, Marcus</cp:lastModifiedBy>
  <cp:revision>2</cp:revision>
  <dcterms:created xsi:type="dcterms:W3CDTF">2024-09-26T11:28:00Z</dcterms:created>
  <dcterms:modified xsi:type="dcterms:W3CDTF">2024-09-26T11:28:00Z</dcterms:modified>
  <cp:category/>
</cp:coreProperties>
</file>