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/>
        <w:jc w:val="left"/>
        <w:textAlignment w:val="center"/>
        <w:rPr>
          <w:rFonts w:ascii="Calibri" w:hAnsi="Calibri" w:eastAsia="宋体" w:cs="Calibri"/>
          <w:b/>
          <w:bCs/>
          <w:i w:val="0"/>
          <w:iCs w:val="0"/>
          <w:color w:val="000000"/>
          <w:sz w:val="22"/>
          <w:szCs w:val="22"/>
          <w:u w:val="none"/>
        </w:rPr>
      </w:pPr>
      <w:r>
        <w:rPr>
          <w:rFonts w:hint="default" w:ascii="Calibri" w:hAnsi="Calibri" w:eastAsia="宋体" w:cs="Calibri"/>
          <w:b/>
          <w:bCs/>
          <w:i w:val="0"/>
          <w:iCs w:val="0"/>
          <w:color w:val="000000"/>
          <w:kern w:val="0"/>
          <w:sz w:val="22"/>
          <w:szCs w:val="22"/>
          <w:u w:val="none"/>
          <w:lang w:val="en-US" w:eastAsia="zh-CN" w:bidi="ar"/>
        </w:rPr>
        <w:t>Table 1</w:t>
      </w:r>
      <w:r>
        <w:rPr>
          <w:rFonts w:hint="eastAsia" w:ascii="Calibri" w:hAnsi="Calibri" w:eastAsia="宋体" w:cs="Calibri"/>
          <w:b/>
          <w:bCs/>
          <w:i w:val="0"/>
          <w:iCs w:val="0"/>
          <w:color w:val="000000"/>
          <w:kern w:val="0"/>
          <w:sz w:val="22"/>
          <w:szCs w:val="22"/>
          <w:u w:val="none"/>
          <w:lang w:val="en-US" w:eastAsia="zh-CN" w:bidi="ar"/>
        </w:rPr>
        <w:t>-</w:t>
      </w:r>
      <w:r>
        <w:rPr>
          <w:rFonts w:hint="default" w:ascii="Calibri" w:hAnsi="Calibri" w:eastAsia="宋体" w:cs="Calibri"/>
          <w:b/>
          <w:bCs/>
          <w:i w:val="0"/>
          <w:iCs w:val="0"/>
          <w:color w:val="000000"/>
          <w:kern w:val="0"/>
          <w:sz w:val="22"/>
          <w:szCs w:val="22"/>
          <w:u w:val="none"/>
          <w:lang w:val="en-US" w:eastAsia="zh-CN" w:bidi="ar"/>
        </w:rPr>
        <w:t>Baseline</w:t>
      </w:r>
      <w:r>
        <w:rPr>
          <w:rFonts w:hint="eastAsia" w:ascii="Calibri" w:hAnsi="Calibri" w:eastAsia="宋体" w:cs="Calibri"/>
          <w:b/>
          <w:bCs/>
          <w:i w:val="0"/>
          <w:iCs w:val="0"/>
          <w:color w:val="000000"/>
          <w:kern w:val="0"/>
          <w:sz w:val="22"/>
          <w:szCs w:val="22"/>
          <w:u w:val="none"/>
          <w:lang w:val="en-US" w:eastAsia="zh-CN" w:bidi="ar"/>
        </w:rPr>
        <w:t xml:space="preserve"> </w:t>
      </w:r>
      <w:r>
        <w:rPr>
          <w:rFonts w:hint="default" w:ascii="Calibri" w:hAnsi="Calibri" w:eastAsia="宋体" w:cs="Calibri"/>
          <w:b/>
          <w:bCs/>
          <w:i w:val="0"/>
          <w:iCs w:val="0"/>
          <w:color w:val="000000"/>
          <w:kern w:val="0"/>
          <w:sz w:val="22"/>
          <w:szCs w:val="22"/>
          <w:u w:val="none"/>
          <w:lang w:val="en-US" w:eastAsia="zh-CN" w:bidi="ar"/>
        </w:rPr>
        <w:t>characteristics of the study population classified by CVH status.</w:t>
      </w:r>
    </w:p>
    <w:tbl>
      <w:tblPr>
        <w:tblStyle w:val="5"/>
        <w:tblpPr w:leftFromText="180" w:rightFromText="180" w:vertAnchor="text" w:horzAnchor="page" w:tblpX="1202" w:tblpY="327"/>
        <w:tblOverlap w:val="never"/>
        <w:tblW w:w="1009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5"/>
        <w:gridCol w:w="1835"/>
        <w:gridCol w:w="1635"/>
        <w:gridCol w:w="1835"/>
        <w:gridCol w:w="1744"/>
        <w:gridCol w:w="91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vMerge w:val="restart"/>
            <w:tcBorders>
              <w:top w:val="single" w:color="000000" w:sz="12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Characteristics</w:t>
            </w:r>
          </w:p>
        </w:tc>
        <w:tc>
          <w:tcPr>
            <w:tcW w:w="1835" w:type="dxa"/>
            <w:vMerge w:val="restart"/>
            <w:tcBorders>
              <w:top w:val="single" w:color="000000" w:sz="12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Overall</w:t>
            </w:r>
          </w:p>
        </w:tc>
        <w:tc>
          <w:tcPr>
            <w:tcW w:w="5214" w:type="dxa"/>
            <w:gridSpan w:val="3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CVH status (LE8 score)</w:t>
            </w:r>
          </w:p>
        </w:tc>
        <w:tc>
          <w:tcPr>
            <w:tcW w:w="915" w:type="dxa"/>
            <w:vMerge w:val="restart"/>
            <w:tcBorders>
              <w:top w:val="single" w:color="000000" w:sz="12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vMerge w:val="continue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835" w:type="dxa"/>
            <w:vMerge w:val="continue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635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High(80-100)</w:t>
            </w:r>
          </w:p>
        </w:tc>
        <w:tc>
          <w:tcPr>
            <w:tcW w:w="1835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Moderate(50-79)</w:t>
            </w:r>
          </w:p>
        </w:tc>
        <w:tc>
          <w:tcPr>
            <w:tcW w:w="1744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Low(0-49)</w:t>
            </w:r>
          </w:p>
        </w:tc>
        <w:tc>
          <w:tcPr>
            <w:tcW w:w="915" w:type="dxa"/>
            <w:vMerge w:val="continue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Weighted N</w:t>
            </w:r>
          </w:p>
        </w:tc>
        <w:tc>
          <w:tcPr>
            <w:tcW w:w="1835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226 million</w:t>
            </w:r>
          </w:p>
        </w:tc>
        <w:tc>
          <w:tcPr>
            <w:tcW w:w="1635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7.0 (15.8 million)</w:t>
            </w:r>
          </w:p>
        </w:tc>
        <w:tc>
          <w:tcPr>
            <w:tcW w:w="1835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76.7 (173.3 million)</w:t>
            </w:r>
          </w:p>
        </w:tc>
        <w:tc>
          <w:tcPr>
            <w:tcW w:w="1744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13.6 (36.9 million)</w:t>
            </w:r>
          </w:p>
        </w:tc>
        <w:tc>
          <w:tcPr>
            <w:tcW w:w="915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Age , years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52.86 (15.87)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44.73 (17.38)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53.24 (15.93)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54.58 (13.75)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Sex 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0.008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160" w:firstLineChars="10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Male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51.6 (116.6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57.4 (9.1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52.3 (90.7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45.7 (16.8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宋体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160" w:firstLineChars="10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Female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48.4 (109.4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42.6 (6.7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47.7 (82.6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54.3 (20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Ethnicity 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160" w:firstLineChars="10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Black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15.1 (34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11.0 (1.7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14.7 (25.5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18.3 (6.8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160" w:firstLineChars="10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Other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20.2 (45.6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25.7 (4.1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20.1 (34.9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18.1 (6.7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160" w:firstLineChars="10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White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64.7 (146.3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63.3 (10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65.1 (112.9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63.6 (23.4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PIR*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2.97(1.64)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3.30(1.59 )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3.05(1.63)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2.34(1.58)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Drinker*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59.4 (134.3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53.6 (8.5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59.0 (102.3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63.9 (23.6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0.049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Smoker*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48.6 (109.7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21.7 (3.4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45.3 (78.5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75.4 (27.8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BMI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30.14 (6.83)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24.80 (3.75)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29.72 (6.37)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34.40 (7.63)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Sleep duration, hours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6.77 (1.66)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7.20 (0.91)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6.82 (1.21)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6.35 (3.06)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Creatinine, mmol/L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0.89 (0.38)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0.87 (0.19)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0.90 (0.41)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0.87 (0.26)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0.151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Glucose, mmol/L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102.19 (20.34)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95.73 (10.04)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101.58 (18.67)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107.81 (28.36)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TC, mmol/L 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196.91 (41.58)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175.14 (29.26)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194.84 (40.58)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216.00 (43.65)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SBP,mmHg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124.06 (17.00)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114.90 (12.86)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123.56 (16.29)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130.34 (19.41)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DBP,mmHg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69.95 (12.56)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67.58 (8.87)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69.57 (12.37)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72.73 (14.26)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CVD 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9.3 (21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7.2 (1.1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8.7 (15.1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13.0 (4.8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0.006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Diabetes 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17.8 (40.3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0.7 (0.1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16.1 (27.9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33.3 (12.3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Hypertension 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38.1 (86.1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14.2 (2.3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37.6 (65.2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50.4 (18.6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Anemia 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1.8 (4.1 million )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0.6 (0.1 million )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1.8 (3.1 million )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2.5 (0.9 million )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</w:trPr>
        <w:tc>
          <w:tcPr>
            <w:tcW w:w="2135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LE8</w:t>
            </w:r>
          </w:p>
        </w:tc>
        <w:tc>
          <w:tcPr>
            <w:tcW w:w="1835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62.17 (12.03)</w:t>
            </w:r>
          </w:p>
        </w:tc>
        <w:tc>
          <w:tcPr>
            <w:tcW w:w="1635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83.77 (3.16)</w:t>
            </w:r>
          </w:p>
        </w:tc>
        <w:tc>
          <w:tcPr>
            <w:tcW w:w="1835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64.12 (8.02)</w:t>
            </w:r>
          </w:p>
        </w:tc>
        <w:tc>
          <w:tcPr>
            <w:tcW w:w="1744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43.76 (4.91)</w:t>
            </w:r>
          </w:p>
        </w:tc>
        <w:tc>
          <w:tcPr>
            <w:tcW w:w="915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eastAsia="宋体" w:cs="Calibri" w:asciiTheme="minorAscii" w:hAnsiTheme="minorAscii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&lt;0.001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right="0" w:rightChars="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20" w:lineRule="auto"/>
        <w:ind w:left="-630" w:leftChars="-300" w:right="-630" w:rightChars="-300"/>
        <w:textAlignment w:val="auto"/>
        <w:rPr>
          <w:rFonts w:hint="default" w:asciiTheme="minorHAnsi" w:hAnsiTheme="minorHAnsi" w:eastAsiaTheme="minorEastAsia" w:cstheme="minorBidi"/>
          <w:kern w:val="2"/>
          <w:sz w:val="20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i/>
          <w:iCs/>
          <w:kern w:val="2"/>
          <w:sz w:val="20"/>
          <w:szCs w:val="22"/>
          <w:lang w:val="en-US" w:eastAsia="zh-CN" w:bidi="ar-SA"/>
        </w:rPr>
        <w:t>Note</w:t>
      </w:r>
      <w:r>
        <w:rPr>
          <w:rFonts w:hint="eastAsia" w:asciiTheme="minorHAnsi" w:hAnsiTheme="minorHAnsi" w:eastAsiaTheme="minorEastAsia" w:cstheme="minorBidi"/>
          <w:kern w:val="2"/>
          <w:sz w:val="20"/>
          <w:szCs w:val="22"/>
          <w:lang w:val="en-US" w:eastAsia="zh-CN" w:bidi="ar-SA"/>
        </w:rPr>
        <w:t>：Data are %（weighted N） for categorical measures or mean (SD) for continuous measures. *PIR :the ratio of family income to poverty; Smoker:smoked at least 100 cigarettes in lifetime; Drinker: had at least 12 alcohol drinkers in lifetime</w:t>
      </w:r>
      <w:r>
        <w:rPr>
          <w:rFonts w:hint="eastAsia" w:cstheme="minorBidi"/>
          <w:kern w:val="2"/>
          <w:sz w:val="20"/>
          <w:szCs w:val="22"/>
          <w:lang w:val="en-US" w:eastAsia="zh-CN" w:bidi="ar-SA"/>
        </w:rPr>
        <w:t xml:space="preserve">; </w:t>
      </w:r>
      <w:r>
        <w:rPr>
          <w:rFonts w:hint="eastAsia" w:asciiTheme="minorHAnsi" w:hAnsiTheme="minorHAnsi" w:eastAsiaTheme="minorEastAsia" w:cstheme="minorBidi"/>
          <w:kern w:val="2"/>
          <w:sz w:val="20"/>
          <w:szCs w:val="22"/>
          <w:lang w:val="en-US" w:eastAsia="zh-CN" w:bidi="ar-SA"/>
        </w:rPr>
        <w:t>TC:total cholesterol.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0" w:rightChars="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0" w:rightChars="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0" w:rightChars="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0" w:rightChars="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Table 2-Hazard ratios of cardiovascular health status to all-cause mortality in prediabetes.</w:t>
      </w:r>
    </w:p>
    <w:tbl>
      <w:tblPr>
        <w:tblStyle w:val="6"/>
        <w:tblpPr w:leftFromText="180" w:rightFromText="180" w:vertAnchor="text" w:horzAnchor="page" w:tblpX="1194" w:tblpY="276"/>
        <w:tblOverlap w:val="never"/>
        <w:tblW w:w="1011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19"/>
        <w:gridCol w:w="545"/>
        <w:gridCol w:w="1428"/>
        <w:gridCol w:w="837"/>
        <w:gridCol w:w="296"/>
        <w:gridCol w:w="1609"/>
        <w:gridCol w:w="837"/>
        <w:gridCol w:w="296"/>
        <w:gridCol w:w="1609"/>
        <w:gridCol w:w="83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819" w:type="dxa"/>
            <w:tcBorders>
              <w:top w:val="single" w:color="auto" w:sz="12" w:space="0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8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545" w:type="dxa"/>
            <w:tcBorders>
              <w:top w:val="single" w:color="auto" w:sz="12" w:space="0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8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8" w:type="dxa"/>
            <w:tcBorders>
              <w:top w:val="single" w:color="auto" w:sz="12" w:space="0"/>
              <w:left w:val="nil"/>
              <w:bottom w:val="single" w:color="auto" w:sz="6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b/>
                <w:bCs/>
                <w:sz w:val="18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18"/>
                <w:szCs w:val="21"/>
                <w:vertAlign w:val="baseline"/>
                <w:lang w:val="en-US" w:eastAsia="zh-CN"/>
              </w:rPr>
              <w:t>Model1</w:t>
            </w:r>
          </w:p>
        </w:tc>
        <w:tc>
          <w:tcPr>
            <w:tcW w:w="837" w:type="dxa"/>
            <w:tcBorders>
              <w:top w:val="single" w:color="auto" w:sz="12" w:space="0"/>
              <w:left w:val="nil"/>
              <w:bottom w:val="single" w:color="auto" w:sz="6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b/>
                <w:bCs/>
                <w:sz w:val="18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96" w:type="dxa"/>
            <w:tcBorders>
              <w:top w:val="single" w:color="auto" w:sz="12" w:space="0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/>
                <w:b/>
                <w:bCs/>
                <w:sz w:val="18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09" w:type="dxa"/>
            <w:tcBorders>
              <w:top w:val="single" w:color="auto" w:sz="12" w:space="0"/>
              <w:left w:val="nil"/>
              <w:bottom w:val="single" w:color="auto" w:sz="6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b/>
                <w:bCs/>
                <w:sz w:val="18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18"/>
                <w:szCs w:val="21"/>
                <w:vertAlign w:val="baseline"/>
                <w:lang w:val="en-US" w:eastAsia="zh-CN"/>
              </w:rPr>
              <w:t>Model2</w:t>
            </w:r>
          </w:p>
        </w:tc>
        <w:tc>
          <w:tcPr>
            <w:tcW w:w="837" w:type="dxa"/>
            <w:tcBorders>
              <w:top w:val="single" w:color="auto" w:sz="12" w:space="0"/>
              <w:left w:val="nil"/>
              <w:bottom w:val="single" w:color="auto" w:sz="6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b/>
                <w:bCs/>
                <w:sz w:val="18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96" w:type="dxa"/>
            <w:tcBorders>
              <w:top w:val="single" w:color="auto" w:sz="12" w:space="0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/>
                <w:b/>
                <w:bCs/>
                <w:sz w:val="18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09" w:type="dxa"/>
            <w:tcBorders>
              <w:top w:val="single" w:color="auto" w:sz="12" w:space="0"/>
              <w:left w:val="nil"/>
              <w:bottom w:val="single" w:color="auto" w:sz="6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b/>
                <w:bCs/>
                <w:sz w:val="18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18"/>
                <w:szCs w:val="21"/>
                <w:vertAlign w:val="baseline"/>
                <w:lang w:val="en-US" w:eastAsia="zh-CN"/>
              </w:rPr>
              <w:t>Model3</w:t>
            </w:r>
          </w:p>
        </w:tc>
        <w:tc>
          <w:tcPr>
            <w:tcW w:w="838" w:type="dxa"/>
            <w:tcBorders>
              <w:top w:val="single" w:color="auto" w:sz="12" w:space="0"/>
              <w:left w:val="nil"/>
              <w:bottom w:val="single" w:color="auto" w:sz="6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8"/>
                <w:szCs w:val="21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18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Theme="minorAscii" w:hAnsiTheme="minorAscii"/>
                <w:b/>
                <w:bCs/>
                <w:sz w:val="16"/>
                <w:szCs w:val="20"/>
                <w:vertAlign w:val="baseline"/>
                <w:lang w:val="en-US" w:eastAsia="zh-CN"/>
              </w:rPr>
              <w:t>CVH status(</w:t>
            </w:r>
            <w:r>
              <w:rPr>
                <w:rFonts w:hint="default" w:asciiTheme="minorAscii" w:hAnsiTheme="minorAscii"/>
                <w:b/>
                <w:bCs/>
                <w:sz w:val="16"/>
                <w:szCs w:val="20"/>
                <w:vertAlign w:val="baseline"/>
                <w:lang w:val="en-US" w:eastAsia="zh-CN"/>
              </w:rPr>
              <w:t>LE8 score</w:t>
            </w:r>
            <w:r>
              <w:rPr>
                <w:rFonts w:hint="eastAsia" w:asciiTheme="minorAscii" w:hAnsiTheme="minorAscii"/>
                <w:b/>
                <w:bCs/>
                <w:sz w:val="16"/>
                <w:szCs w:val="20"/>
                <w:vertAlign w:val="baseline"/>
                <w:lang w:val="en-US" w:eastAsia="zh-CN"/>
              </w:rPr>
              <w:t>)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b/>
                <w:bCs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16"/>
                <w:szCs w:val="20"/>
                <w:vertAlign w:val="baseline"/>
                <w:lang w:val="en-US" w:eastAsia="zh-CN"/>
              </w:rPr>
              <w:t>N</w:t>
            </w:r>
          </w:p>
        </w:tc>
        <w:tc>
          <w:tcPr>
            <w:tcW w:w="1428" w:type="dxa"/>
            <w:tcBorders>
              <w:top w:val="single" w:color="auto" w:sz="6" w:space="0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b/>
                <w:bCs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16"/>
                <w:szCs w:val="20"/>
                <w:vertAlign w:val="baseline"/>
                <w:lang w:val="en-US" w:eastAsia="zh-CN"/>
              </w:rPr>
              <w:t>HR(95%CI)</w:t>
            </w:r>
          </w:p>
        </w:tc>
        <w:tc>
          <w:tcPr>
            <w:tcW w:w="837" w:type="dxa"/>
            <w:tcBorders>
              <w:top w:val="single" w:color="auto" w:sz="6" w:space="0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b/>
                <w:bCs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16"/>
                <w:szCs w:val="20"/>
                <w:vertAlign w:val="baseline"/>
                <w:lang w:val="en-US" w:eastAsia="zh-CN"/>
              </w:rPr>
              <w:t>P-value</w:t>
            </w: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/>
                <w:b/>
                <w:bCs/>
                <w:sz w:val="16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1609" w:type="dxa"/>
            <w:tcBorders>
              <w:top w:val="single" w:color="auto" w:sz="6" w:space="0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b/>
                <w:bCs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16"/>
                <w:szCs w:val="20"/>
                <w:vertAlign w:val="baseline"/>
                <w:lang w:val="en-US" w:eastAsia="zh-CN"/>
              </w:rPr>
              <w:t>HR(95%CI)</w:t>
            </w:r>
          </w:p>
        </w:tc>
        <w:tc>
          <w:tcPr>
            <w:tcW w:w="837" w:type="dxa"/>
            <w:tcBorders>
              <w:top w:val="single" w:color="auto" w:sz="6" w:space="0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b/>
                <w:bCs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16"/>
                <w:szCs w:val="20"/>
                <w:vertAlign w:val="baseline"/>
                <w:lang w:val="en-US" w:eastAsia="zh-CN"/>
              </w:rPr>
              <w:t>P-value</w:t>
            </w: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/>
                <w:b/>
                <w:bCs/>
                <w:sz w:val="16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1609" w:type="dxa"/>
            <w:tcBorders>
              <w:top w:val="single" w:color="auto" w:sz="6" w:space="0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b/>
                <w:bCs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16"/>
                <w:szCs w:val="20"/>
                <w:vertAlign w:val="baseline"/>
                <w:lang w:val="en-US" w:eastAsia="zh-CN"/>
              </w:rPr>
              <w:t>HR(95%CI)</w:t>
            </w:r>
          </w:p>
        </w:tc>
        <w:tc>
          <w:tcPr>
            <w:tcW w:w="838" w:type="dxa"/>
            <w:tcBorders>
              <w:top w:val="single" w:color="auto" w:sz="6" w:space="0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b/>
                <w:bCs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16"/>
                <w:szCs w:val="20"/>
                <w:vertAlign w:val="baseline"/>
                <w:lang w:val="en-US" w:eastAsia="zh-CN"/>
              </w:rPr>
              <w:t>P-value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8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High(80-100)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199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Reference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Reference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Reference</w:t>
            </w:r>
          </w:p>
        </w:tc>
        <w:tc>
          <w:tcPr>
            <w:tcW w:w="8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7" w:hRule="atLeast"/>
        </w:trPr>
        <w:tc>
          <w:tcPr>
            <w:tcW w:w="18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Moderate(50-79)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3943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4.32(2.10,8.91)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&lt;0.001</w:t>
            </w: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2.68(1.34，5.36)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0.005</w:t>
            </w: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2.55(1.23，5.31)</w:t>
            </w:r>
          </w:p>
        </w:tc>
        <w:tc>
          <w:tcPr>
            <w:tcW w:w="8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0.012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819" w:type="dxa"/>
            <w:tcBorders>
              <w:top w:val="nil"/>
              <w:left w:val="nil"/>
              <w:bottom w:val="single" w:color="auto" w:sz="12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Low(0-49)</w:t>
            </w:r>
          </w:p>
        </w:tc>
        <w:tc>
          <w:tcPr>
            <w:tcW w:w="545" w:type="dxa"/>
            <w:tcBorders>
              <w:top w:val="nil"/>
              <w:left w:val="nil"/>
              <w:bottom w:val="single" w:color="auto" w:sz="12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1202</w:t>
            </w:r>
          </w:p>
        </w:tc>
        <w:tc>
          <w:tcPr>
            <w:tcW w:w="1428" w:type="dxa"/>
            <w:tcBorders>
              <w:top w:val="nil"/>
              <w:left w:val="nil"/>
              <w:bottom w:val="single" w:color="auto" w:sz="12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8.39(4.03,17.48)</w:t>
            </w:r>
          </w:p>
        </w:tc>
        <w:tc>
          <w:tcPr>
            <w:tcW w:w="837" w:type="dxa"/>
            <w:tcBorders>
              <w:top w:val="nil"/>
              <w:left w:val="nil"/>
              <w:bottom w:val="single" w:color="auto" w:sz="12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/>
                <w:sz w:val="16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&lt;0.001</w:t>
            </w:r>
          </w:p>
        </w:tc>
        <w:tc>
          <w:tcPr>
            <w:tcW w:w="296" w:type="dxa"/>
            <w:tcBorders>
              <w:top w:val="nil"/>
              <w:left w:val="nil"/>
              <w:bottom w:val="single" w:color="auto" w:sz="12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single" w:color="auto" w:sz="12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4.75(2.27，9.93)</w:t>
            </w:r>
          </w:p>
        </w:tc>
        <w:tc>
          <w:tcPr>
            <w:tcW w:w="837" w:type="dxa"/>
            <w:tcBorders>
              <w:top w:val="nil"/>
              <w:left w:val="nil"/>
              <w:bottom w:val="single" w:color="auto" w:sz="12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&lt;0.001</w:t>
            </w:r>
          </w:p>
        </w:tc>
        <w:tc>
          <w:tcPr>
            <w:tcW w:w="296" w:type="dxa"/>
            <w:tcBorders>
              <w:top w:val="nil"/>
              <w:left w:val="nil"/>
              <w:bottom w:val="single" w:color="auto" w:sz="12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single" w:color="auto" w:sz="12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3.92(1.70，9.02)</w:t>
            </w:r>
          </w:p>
        </w:tc>
        <w:tc>
          <w:tcPr>
            <w:tcW w:w="838" w:type="dxa"/>
            <w:tcBorders>
              <w:top w:val="nil"/>
              <w:left w:val="nil"/>
              <w:bottom w:val="single" w:color="auto" w:sz="12" w:space="0"/>
              <w:right w:val="nil"/>
            </w:tcBorders>
            <w:shd w:val="clear" w:color="auto" w:fill="FFFFFF" w:themeFill="background1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16"/>
                <w:szCs w:val="20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16"/>
                <w:szCs w:val="20"/>
                <w:vertAlign w:val="baseline"/>
                <w:lang w:val="en-US" w:eastAsia="zh-CN"/>
              </w:rPr>
              <w:t>0.001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20" w:lineRule="auto"/>
        <w:ind w:left="-630" w:leftChars="-300" w:right="-630" w:rightChars="-300"/>
        <w:textAlignment w:val="auto"/>
        <w:rPr>
          <w:rFonts w:hint="default" w:asciiTheme="minorHAnsi" w:hAnsiTheme="minorHAnsi" w:eastAsiaTheme="minorEastAsia" w:cstheme="minorBidi"/>
          <w:kern w:val="2"/>
          <w:sz w:val="20"/>
          <w:szCs w:val="22"/>
          <w:lang w:val="en-US" w:eastAsia="zh-CN" w:bidi="ar-SA"/>
        </w:rPr>
      </w:pPr>
      <w:r>
        <w:rPr>
          <w:rFonts w:hint="eastAsia"/>
          <w:i/>
          <w:iCs/>
          <w:sz w:val="20"/>
          <w:szCs w:val="22"/>
          <w:lang w:val="en-US" w:eastAsia="zh-CN"/>
        </w:rPr>
        <w:t>Note：</w:t>
      </w:r>
      <w:r>
        <w:rPr>
          <w:rFonts w:hint="eastAsia"/>
          <w:sz w:val="20"/>
          <w:szCs w:val="22"/>
          <w:lang w:val="en-US" w:eastAsia="zh-CN"/>
        </w:rPr>
        <w:t xml:space="preserve">Model1：No adjustment. </w:t>
      </w:r>
      <w:r>
        <w:rPr>
          <w:rFonts w:hint="eastAsia" w:asciiTheme="minorHAnsi" w:hAnsiTheme="minorHAnsi" w:eastAsiaTheme="minorEastAsia" w:cstheme="minorBidi"/>
          <w:kern w:val="2"/>
          <w:sz w:val="20"/>
          <w:szCs w:val="22"/>
          <w:lang w:val="en-US" w:eastAsia="zh-CN" w:bidi="ar-SA"/>
        </w:rPr>
        <w:t>Model2：Adjusted for sex, age, race/ethnicity,</w:t>
      </w:r>
      <w:r>
        <w:rPr>
          <w:rFonts w:hint="eastAsia" w:cstheme="minorBidi"/>
          <w:kern w:val="2"/>
          <w:sz w:val="20"/>
          <w:szCs w:val="22"/>
          <w:lang w:val="en-US" w:eastAsia="zh-CN" w:bidi="ar-SA"/>
        </w:rPr>
        <w:t xml:space="preserve"> and</w:t>
      </w:r>
      <w:r>
        <w:rPr>
          <w:rFonts w:hint="eastAsia" w:asciiTheme="minorHAnsi" w:hAnsiTheme="minorHAnsi" w:eastAsiaTheme="minorEastAsia" w:cstheme="minorBidi"/>
          <w:kern w:val="2"/>
          <w:sz w:val="20"/>
          <w:szCs w:val="22"/>
          <w:lang w:val="en-US" w:eastAsia="zh-CN" w:bidi="ar-SA"/>
        </w:rPr>
        <w:t xml:space="preserve"> income.</w:t>
      </w:r>
      <w:r>
        <w:rPr>
          <w:rFonts w:hint="eastAsia" w:cstheme="minorBidi"/>
          <w:kern w:val="2"/>
          <w:sz w:val="20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0"/>
          <w:szCs w:val="22"/>
          <w:lang w:val="en-US" w:eastAsia="zh-CN" w:bidi="ar-SA"/>
        </w:rPr>
        <w:t>Model3：Adjusted for sex, age, race/ethnicity, income,alcohol consumption, smoking, BMI, total cholesterol, diabetes, anemia, hypertension, and cardiovascular disease.</w:t>
      </w:r>
    </w:p>
    <w:p>
      <w:pPr>
        <w:tabs>
          <w:tab w:val="left" w:pos="1610"/>
        </w:tabs>
        <w:autoSpaceDE w:val="0"/>
        <w:autoSpaceDN w:val="0"/>
        <w:spacing w:before="12" w:line="480" w:lineRule="auto"/>
        <w:ind w:right="1339"/>
        <w:jc w:val="both"/>
        <w:rPr>
          <w:rFonts w:ascii="Times New Roman" w:hAnsi="Times New Roman" w:eastAsia="Times New Roman" w:cs="Times New Roman"/>
          <w:b/>
          <w:bCs/>
          <w:kern w:val="0"/>
          <w:sz w:val="24"/>
          <w:szCs w:val="24"/>
          <w:lang w:eastAsia="en-US" w:bidi="en-US"/>
        </w:rPr>
      </w:pPr>
      <w:r>
        <w:rPr>
          <w:rFonts w:ascii="Times New Roman" w:hAnsi="Times New Roman" w:eastAsia="Times New Roman" w:cs="Times New Roman"/>
          <w:b/>
          <w:bCs/>
          <w:kern w:val="0"/>
          <w:sz w:val="24"/>
          <w:szCs w:val="24"/>
          <w:lang w:eastAsia="en-US" w:bidi="en-US"/>
        </w:rPr>
        <w:t xml:space="preserve">Supplementary Table 1: </w:t>
      </w:r>
      <w:r>
        <w:rPr>
          <w:rFonts w:ascii="Times New Roman" w:hAnsi="Times New Roman" w:eastAsia="Times New Roman" w:cs="Times New Roman"/>
          <w:kern w:val="0"/>
          <w:sz w:val="24"/>
          <w:szCs w:val="24"/>
          <w:lang w:eastAsia="en-US" w:bidi="en-US"/>
        </w:rPr>
        <w:t>Methods for evaluating each individual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 w:bidi="en-US"/>
        </w:rPr>
        <w:t xml:space="preserve"> </w:t>
      </w:r>
      <w:r>
        <w:rPr>
          <w:rFonts w:ascii="Times New Roman" w:hAnsi="Times New Roman" w:eastAsia="Times New Roman" w:cs="Times New Roman"/>
          <w:kern w:val="0"/>
          <w:sz w:val="24"/>
          <w:szCs w:val="24"/>
          <w:lang w:eastAsia="en-US" w:bidi="en-US"/>
        </w:rPr>
        <w:t xml:space="preserve">cardiovascular health metric.    </w:t>
      </w:r>
      <w:r>
        <w:rPr>
          <w:rFonts w:ascii="Times New Roman" w:hAnsi="Times New Roman" w:eastAsia="Times New Roman" w:cs="Times New Roman"/>
          <w:b/>
          <w:bCs/>
          <w:kern w:val="0"/>
          <w:sz w:val="24"/>
          <w:szCs w:val="24"/>
          <w:lang w:eastAsia="en-US" w:bidi="en-US"/>
        </w:rPr>
        <w:t xml:space="preserve">                             </w:t>
      </w:r>
    </w:p>
    <w:tbl>
      <w:tblPr>
        <w:tblStyle w:val="6"/>
        <w:tblpPr w:leftFromText="180" w:rightFromText="180" w:vertAnchor="text" w:horzAnchor="page" w:tblpX="1919" w:tblpY="650"/>
        <w:tblOverlap w:val="never"/>
        <w:tblW w:w="828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1"/>
        <w:gridCol w:w="1929"/>
        <w:gridCol w:w="2017"/>
        <w:gridCol w:w="846"/>
        <w:gridCol w:w="23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hint="default" w:ascii="Times New Roman" w:hAnsi="Times New Roman" w:eastAsia="宋体" w:cs="Times New Roman"/>
                <w:b/>
                <w:bCs/>
                <w:kern w:val="0"/>
                <w:sz w:val="20"/>
                <w:szCs w:val="20"/>
                <w:lang w:val="en-US" w:eastAsia="zh-CN" w:bidi="en-US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0"/>
                <w:szCs w:val="20"/>
                <w:lang w:val="en-US" w:eastAsia="zh-CN" w:bidi="en-US"/>
              </w:rPr>
              <w:t>Domain</w:t>
            </w:r>
          </w:p>
        </w:tc>
        <w:tc>
          <w:tcPr>
            <w:tcW w:w="19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  <w:t>CVH metric</w:t>
            </w:r>
          </w:p>
        </w:tc>
        <w:tc>
          <w:tcPr>
            <w:tcW w:w="20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b/>
                <w:bCs/>
                <w:color w:val="231F20"/>
                <w:w w:val="110"/>
                <w:kern w:val="2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231F20"/>
                <w:w w:val="110"/>
                <w:kern w:val="0"/>
                <w:sz w:val="20"/>
                <w:szCs w:val="20"/>
              </w:rPr>
              <w:t>Method of measurement</w:t>
            </w:r>
          </w:p>
        </w:tc>
        <w:tc>
          <w:tcPr>
            <w:tcW w:w="321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hint="default" w:ascii="Times New Roman" w:hAnsi="Times New Roman" w:eastAsia="宋体" w:cs="Times New Roman"/>
                <w:b/>
                <w:bCs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231F20"/>
                <w:w w:val="110"/>
                <w:kern w:val="0"/>
                <w:sz w:val="20"/>
                <w:szCs w:val="20"/>
              </w:rPr>
              <w:t>Quantification of CVH metric</w:t>
            </w:r>
            <w:r>
              <w:rPr>
                <w:rFonts w:hint="eastAsia" w:ascii="Times New Roman" w:hAnsi="Times New Roman" w:eastAsia="宋体" w:cs="Times New Roman"/>
                <w:b/>
                <w:bCs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>:adult（≥20 years of age）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" w:hRule="atLeast"/>
        </w:trPr>
        <w:tc>
          <w:tcPr>
            <w:tcW w:w="113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hint="default" w:ascii="Times New Roman" w:hAnsi="Times New Roman" w:eastAsia="宋体" w:cs="Times New Roman"/>
                <w:b/>
                <w:bCs/>
                <w:kern w:val="0"/>
                <w:sz w:val="20"/>
                <w:szCs w:val="20"/>
                <w:highlight w:val="none"/>
                <w:lang w:val="en-US" w:eastAsia="zh-CN" w:bidi="en-US"/>
              </w:rPr>
            </w:pPr>
            <w:bookmarkStart w:id="0" w:name="_Hlk138761235"/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0"/>
                <w:szCs w:val="20"/>
                <w:highlight w:val="none"/>
                <w:lang w:val="en-US" w:eastAsia="zh-CN" w:bidi="en-US"/>
              </w:rPr>
              <w:t>Health behaviors</w:t>
            </w:r>
          </w:p>
        </w:tc>
        <w:tc>
          <w:tcPr>
            <w:tcW w:w="19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  <w:t>Diet</w:t>
            </w:r>
          </w:p>
        </w:tc>
        <w:tc>
          <w:tcPr>
            <w:tcW w:w="20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Points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Metrics: Healthy Eating Index-20</w:t>
            </w:r>
            <w:r>
              <w:rPr>
                <w:rFonts w:hint="eastAsia" w:ascii="Times New Roman" w:hAnsi="Times New Roman" w:eastAsia="宋体" w:cs="Times New Roman"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>20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 xml:space="preserve"> </w:t>
            </w:r>
          </w:p>
        </w:tc>
      </w:tr>
      <w:bookmarkEnd w:id="0"/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Healthy Eating Index-20</w:t>
            </w:r>
            <w:r>
              <w:rPr>
                <w:rFonts w:hint="eastAsia" w:ascii="Times New Roman" w:hAnsi="Times New Roman" w:eastAsia="宋体" w:cs="Times New Roman"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>20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 xml:space="preserve"> was assessed using 2 interviewer-administered 24-hour dietary recalls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100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95th percentile (top/ideal diet)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80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75th–94th percentile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50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50th–74th percentile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25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25th–49th percentile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1st–24th percentile (bottom/ least ideal quartile)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</w:pPr>
          </w:p>
        </w:tc>
        <w:tc>
          <w:tcPr>
            <w:tcW w:w="19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  <w:t xml:space="preserve">Physical activity </w:t>
            </w:r>
          </w:p>
        </w:tc>
        <w:tc>
          <w:tcPr>
            <w:tcW w:w="20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Points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Metrics: minutes of moderate to vigorous physical activity per week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Self-reported minutes of moderate or vigorous physical activity per week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100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≥150 minutes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90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120-149 minutes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80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90-119 minutes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60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60-89 minutes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40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30-59 minutes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20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1-29 minutes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0 minutes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</w:pPr>
          </w:p>
        </w:tc>
        <w:tc>
          <w:tcPr>
            <w:tcW w:w="19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  <w:t>Tobacco/nicotine exposure</w:t>
            </w:r>
          </w:p>
        </w:tc>
        <w:tc>
          <w:tcPr>
            <w:tcW w:w="20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Points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Metrics: Combustible tobacco use or inhaled NDS use; or secondhand smoke exposure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Self-reported use of cigarettes or inhaled nicotine-delivery system (NDS), or secondhand smoke exposure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100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Never smoker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75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Former smoker, quit ≥ 5 years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50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Former smoker, quit 1–&lt;5 years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25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Former smoker, quit &lt;1 y</w:t>
            </w:r>
            <w:r>
              <w:rPr>
                <w:rFonts w:hint="eastAsia" w:ascii="Times New Roman" w:hAnsi="Times New Roman" w:eastAsia="宋体" w:cs="Times New Roman"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>ears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, or currently using inhaled NDS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Current smoker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321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Subtract 20 points (unless score is 0) for living with active indoor smoker in home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</w:pPr>
          </w:p>
        </w:tc>
        <w:tc>
          <w:tcPr>
            <w:tcW w:w="19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  <w:t xml:space="preserve">Sleep health </w:t>
            </w:r>
          </w:p>
        </w:tc>
        <w:tc>
          <w:tcPr>
            <w:tcW w:w="20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Points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Metrics: Average hours of sleep per night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Self-reported average</w:t>
            </w:r>
          </w:p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hours of sleep per night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100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7-9 hours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90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9-&lt;10 hours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70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6–&lt;7 hours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40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5–&lt;6 or ≥10 hours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20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4–&lt;5 hours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&lt; 4 hours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hint="default" w:ascii="Times New Roman" w:hAnsi="Times New Roman" w:eastAsia="宋体" w:cs="Times New Roman"/>
                <w:b/>
                <w:bCs/>
                <w:kern w:val="0"/>
                <w:sz w:val="20"/>
                <w:szCs w:val="20"/>
                <w:highlight w:val="none"/>
                <w:lang w:val="en-US" w:eastAsia="zh-CN" w:bidi="en-US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0"/>
                <w:szCs w:val="20"/>
                <w:highlight w:val="none"/>
                <w:lang w:val="en-US" w:eastAsia="zh-CN" w:bidi="en-US"/>
              </w:rPr>
              <w:t>Health indicators</w:t>
            </w:r>
          </w:p>
        </w:tc>
        <w:tc>
          <w:tcPr>
            <w:tcW w:w="19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  <w:t>Body mass index</w:t>
            </w:r>
          </w:p>
        </w:tc>
        <w:tc>
          <w:tcPr>
            <w:tcW w:w="20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Points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Metrics: BMI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 xml:space="preserve">Body mass index (BMI) was calculated as the weight </w:t>
            </w:r>
            <w:r>
              <w:rPr>
                <w:rFonts w:hint="eastAsia" w:ascii="Times New Roman" w:hAnsi="Times New Roman" w:eastAsia="宋体" w:cs="Times New Roman"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>(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kilograms</w:t>
            </w:r>
            <w:r>
              <w:rPr>
                <w:rFonts w:hint="eastAsia" w:ascii="Times New Roman" w:hAnsi="Times New Roman" w:eastAsia="宋体" w:cs="Times New Roman"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>)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 xml:space="preserve"> divided by the square of the height </w:t>
            </w:r>
            <w:r>
              <w:rPr>
                <w:rFonts w:hint="eastAsia" w:ascii="Times New Roman" w:hAnsi="Times New Roman" w:eastAsia="宋体" w:cs="Times New Roman"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>(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meters</w:t>
            </w:r>
            <w:r>
              <w:rPr>
                <w:rFonts w:hint="eastAsia" w:ascii="Times New Roman" w:hAnsi="Times New Roman" w:eastAsia="宋体" w:cs="Times New Roman"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 xml:space="preserve"> squared)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 xml:space="preserve"> from standardized height and weight measurements.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100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&lt;25 kg/m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  <w:vertAlign w:val="superscript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70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25.0-29.9 kg/m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  <w:vertAlign w:val="superscript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30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30.0-34.9 kg/m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  <w:vertAlign w:val="superscript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15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35.0-39.9 kg/m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  <w:vertAlign w:val="superscript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≥ 40.0 kg/m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  <w:vertAlign w:val="superscript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</w:pPr>
          </w:p>
        </w:tc>
        <w:tc>
          <w:tcPr>
            <w:tcW w:w="19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  <w:t xml:space="preserve">Blood lipid </w:t>
            </w:r>
          </w:p>
        </w:tc>
        <w:tc>
          <w:tcPr>
            <w:tcW w:w="20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Points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Metrics: Non-HDL cholesterol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hint="default" w:ascii="Times New Roman" w:hAnsi="Times New Roman" w:eastAsia="宋体" w:cs="Times New Roman"/>
                <w:color w:val="231F20"/>
                <w:w w:val="110"/>
                <w:kern w:val="2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>N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on-HDL</w:t>
            </w:r>
            <w:r>
              <w:rPr>
                <w:rFonts w:hint="eastAsia" w:ascii="Times New Roman" w:hAnsi="Times New Roman" w:eastAsia="宋体" w:cs="Times New Roman"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cholesterol was calculated by total cholesterol minus HDL cholesterol</w:t>
            </w:r>
            <w:r>
              <w:rPr>
                <w:rFonts w:hint="eastAsia" w:ascii="Times New Roman" w:hAnsi="Times New Roman" w:eastAsia="宋体" w:cs="Times New Roman"/>
                <w:color w:val="231F20"/>
                <w:w w:val="110"/>
                <w:kern w:val="0"/>
                <w:sz w:val="20"/>
                <w:szCs w:val="20"/>
                <w:lang w:val="en-US" w:eastAsia="zh-CN"/>
              </w:rPr>
              <w:t xml:space="preserve"> using fasting or nonfasting blood sample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100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&lt;130 mg/dL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60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130-159 mg/dL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40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160-189 mg/dL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20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190-219 mg/dL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≥ 220 mg/dL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1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321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If drug-treated level, subtract 20 points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hint="eastAsia" w:ascii="Times New Roman" w:hAnsi="Times New Roman" w:eastAsia="宋体" w:cs="Times New Roman"/>
                <w:b/>
                <w:bCs/>
                <w:kern w:val="0"/>
                <w:sz w:val="20"/>
                <w:szCs w:val="20"/>
                <w:lang w:val="en-US" w:eastAsia="zh-CN" w:bidi="en-US"/>
              </w:rPr>
            </w:pPr>
          </w:p>
        </w:tc>
        <w:tc>
          <w:tcPr>
            <w:tcW w:w="19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hint="default" w:ascii="Times New Roman" w:hAnsi="Times New Roman" w:eastAsia="宋体" w:cs="Times New Roman"/>
                <w:b/>
                <w:bCs/>
                <w:kern w:val="0"/>
                <w:sz w:val="20"/>
                <w:szCs w:val="20"/>
                <w:lang w:val="en-US" w:eastAsia="zh-CN" w:bidi="en-US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0"/>
                <w:szCs w:val="20"/>
                <w:lang w:val="en-US" w:eastAsia="zh-CN" w:bidi="en-US"/>
              </w:rPr>
              <w:t>Blood glucose</w:t>
            </w:r>
          </w:p>
        </w:tc>
        <w:tc>
          <w:tcPr>
            <w:tcW w:w="20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b/>
                <w:bCs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Points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b/>
                <w:bCs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Metrics: FBG or HbA1c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 xml:space="preserve">hemoglobin A1c (HbA1c) was measured by high-performance liquid chromatography methods. </w:t>
            </w:r>
          </w:p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Fasting blood glucose (FBG) was measured by standard methods.</w:t>
            </w:r>
          </w:p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100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No history of diabetes and</w:t>
            </w:r>
          </w:p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FBG &lt;100 mg/dL (or HbA1c &lt;5.7 %)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60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No diabetes and FBG 100–125 100 mg/dL (or HbA1c 5.7–6.4%)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40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Diabetes with HbA1c &lt;7.0 %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30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Diabetes with HbA1c 7.0–7.9 %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20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Diabetes with HbA1c 8.0–8.9 %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Diabetes with HbA1c 9.0–9.9 %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Diabetes with HbA1c ≥10.0 %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</w:pPr>
          </w:p>
        </w:tc>
        <w:tc>
          <w:tcPr>
            <w:tcW w:w="19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highlight w:val="none"/>
                <w:lang w:eastAsia="en-US" w:bidi="en-US"/>
              </w:rPr>
              <w:t xml:space="preserve">Blood pressure </w:t>
            </w:r>
          </w:p>
        </w:tc>
        <w:tc>
          <w:tcPr>
            <w:tcW w:w="20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Points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7E6E6" w:themeFill="background2"/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 xml:space="preserve">Metrics: Systolic and diastolic BPs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 xml:space="preserve">The average of all available 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  <w:lang w:bidi="en-US"/>
              </w:rPr>
              <w:t>blood pressure</w:t>
            </w:r>
            <w:r>
              <w:rPr>
                <w:rFonts w:ascii="Times New Roman" w:hAnsi="Times New Roman" w:eastAsia="Times New Roman" w:cs="Times New Roman"/>
                <w:b/>
                <w:bCs/>
                <w:color w:val="231F20"/>
                <w:w w:val="110"/>
                <w:kern w:val="0"/>
                <w:sz w:val="20"/>
                <w:szCs w:val="20"/>
                <w:lang w:bidi="en-US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  <w:lang w:bidi="en-US"/>
              </w:rPr>
              <w:t>(</w:t>
            </w: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BP) measurements was used to calculate systolic and diastolic BP. BPs were measured in mobile examination centers with standard protocols.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100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  <w:t>&lt;120/&lt;80 mm Hg (optimal)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75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  <w:t>120-129/&lt;80 mm Hg</w:t>
            </w:r>
            <w:r>
              <w:rPr>
                <w:rFonts w:hint="eastAsia"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  <w:t xml:space="preserve"> (elevated)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50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  <w:t>130-139 or 80-89 mm Hg (stage 1 hypertension)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25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  <w:t>140-159 or 90-99 mm Hg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0</w:t>
            </w:r>
          </w:p>
        </w:tc>
        <w:tc>
          <w:tcPr>
            <w:tcW w:w="23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jc w:val="left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</w:pPr>
            <w:r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lang w:eastAsia="en-US" w:bidi="en-US"/>
              </w:rPr>
              <w:t>≥ 160 or ≥ 100 mm Hg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13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19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Times New Roman" w:cs="Times New Roman"/>
                <w:b/>
                <w:bCs/>
                <w:kern w:val="0"/>
                <w:sz w:val="20"/>
                <w:szCs w:val="20"/>
                <w:lang w:eastAsia="en-US" w:bidi="en-US"/>
              </w:rPr>
            </w:pPr>
          </w:p>
        </w:tc>
        <w:tc>
          <w:tcPr>
            <w:tcW w:w="20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cs="Times New Roman" w:eastAsiaTheme="minorEastAsia"/>
                <w:color w:val="231F20"/>
                <w:w w:val="110"/>
                <w:kern w:val="2"/>
                <w:sz w:val="20"/>
                <w:szCs w:val="20"/>
              </w:rPr>
            </w:pPr>
          </w:p>
        </w:tc>
        <w:tc>
          <w:tcPr>
            <w:tcW w:w="321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610"/>
              </w:tabs>
              <w:autoSpaceDE w:val="0"/>
              <w:autoSpaceDN w:val="0"/>
              <w:spacing w:before="12"/>
              <w:ind w:right="-106"/>
              <w:jc w:val="left"/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color w:val="231F20"/>
                <w:w w:val="110"/>
                <w:kern w:val="0"/>
                <w:sz w:val="20"/>
                <w:szCs w:val="20"/>
              </w:rPr>
              <w:t>Subtract 20 points (unless score is 0) if treated level</w:t>
            </w:r>
          </w:p>
        </w:tc>
      </w:tr>
    </w:tbl>
    <w:p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  <w:bookmarkStart w:id="1" w:name="_GoBack"/>
      <w:bookmarkEnd w:id="1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1" name="图片 1" descr="新建 PPTX 演示文稿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新建 PPTX 演示文稿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2" name="图片 2" descr="新建 PPTX 演示文稿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新建 PPTX 演示文稿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3" name="图片 3" descr="新建 PPTX 演示文稿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新建 PPTX 演示文稿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4" name="图片 4" descr="新建 PPTX 演示文稿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新建 PPTX 演示文稿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5" name="图片 5" descr="新建 PPTX 演示文稿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新建 PPTX 演示文稿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center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-630" w:leftChars="-300" w:right="-630" w:rightChars="-300"/>
        <w:jc w:val="both"/>
        <w:textAlignment w:val="auto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FmZWIzNDg2MmIzZjExOTIzMmViNTBmYTMwYTk0ZWYifQ=="/>
  </w:docVars>
  <w:rsids>
    <w:rsidRoot w:val="239219AB"/>
    <w:rsid w:val="01160E54"/>
    <w:rsid w:val="0B50723E"/>
    <w:rsid w:val="0C2B3ED1"/>
    <w:rsid w:val="0EF5592B"/>
    <w:rsid w:val="239219AB"/>
    <w:rsid w:val="245A6310"/>
    <w:rsid w:val="26AC1721"/>
    <w:rsid w:val="26D02B3D"/>
    <w:rsid w:val="281A0290"/>
    <w:rsid w:val="2D4D3F1C"/>
    <w:rsid w:val="31170A44"/>
    <w:rsid w:val="333854BA"/>
    <w:rsid w:val="348E214B"/>
    <w:rsid w:val="361A4F31"/>
    <w:rsid w:val="37761950"/>
    <w:rsid w:val="53746907"/>
    <w:rsid w:val="55176F41"/>
    <w:rsid w:val="59282484"/>
    <w:rsid w:val="592E2E77"/>
    <w:rsid w:val="5DFE10C0"/>
    <w:rsid w:val="630F6BB3"/>
    <w:rsid w:val="6EE560CD"/>
    <w:rsid w:val="72C92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rPr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970</Words>
  <Characters>5009</Characters>
  <Lines>0</Lines>
  <Paragraphs>0</Paragraphs>
  <TotalTime>12</TotalTime>
  <ScaleCrop>false</ScaleCrop>
  <LinksUpToDate>false</LinksUpToDate>
  <CharactersWithSpaces>5664</CharactersWithSpaces>
  <Application>WPS Office_11.8.2.8053_F1E327BC-269C-435d-A152-05C5408002CA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2024-05-10T14:50:00Z</dcterms:created>
  <dc:creator>Renaissance</dc:creator>
  <cp:lastModifiedBy>陈遨邈</cp:lastModifiedBy>
  <dcterms:modified xsi:type="dcterms:W3CDTF">2024-06-08T01:30:02Z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2052-11.8.2.8053</vt:lpwstr>
  </property>
  <property fmtid="{D5CDD505-2E9C-101B-9397-08002B2CF9AE}" pid="3" name="ICV">
    <vt:lpwstr>397624A5191C4FEBB3C403EEC3790662_13</vt:lpwstr>
  </property>
</Properties>
</file>