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491E" w14:textId="52E39C3E" w:rsidR="003A11A6" w:rsidRPr="00FE6DE0" w:rsidRDefault="003A11A6" w:rsidP="00626773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167370252"/>
      <w:bookmarkStart w:id="1" w:name="_Toc167370470"/>
      <w:bookmarkStart w:id="2" w:name="_Toc167371784"/>
      <w:bookmarkStart w:id="3" w:name="_Toc167372392"/>
      <w:bookmarkStart w:id="4" w:name="_Toc171435403"/>
      <w:r w:rsidRPr="00FE6DE0">
        <w:rPr>
          <w:rFonts w:ascii="Arial" w:hAnsi="Arial" w:cs="Arial"/>
          <w:b/>
          <w:bCs/>
          <w:color w:val="000000" w:themeColor="text1"/>
          <w:sz w:val="28"/>
          <w:szCs w:val="28"/>
        </w:rPr>
        <w:t>Supplementary Information</w:t>
      </w:r>
      <w:bookmarkEnd w:id="0"/>
      <w:bookmarkEnd w:id="1"/>
      <w:bookmarkEnd w:id="2"/>
      <w:bookmarkEnd w:id="3"/>
      <w:bookmarkEnd w:id="4"/>
    </w:p>
    <w:p w14:paraId="2E18411B" w14:textId="464D4538" w:rsidR="00CD456D" w:rsidRPr="00FE6DE0" w:rsidRDefault="00CD456D" w:rsidP="00626773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bookmarkStart w:id="5" w:name="_Toc167370253"/>
      <w:bookmarkStart w:id="6" w:name="_Toc167370471"/>
      <w:bookmarkStart w:id="7" w:name="_Toc167371785"/>
      <w:bookmarkStart w:id="8" w:name="_Toc167372393"/>
      <w:bookmarkStart w:id="9" w:name="_Toc171435404"/>
      <w:r w:rsidRPr="00FE6DE0">
        <w:rPr>
          <w:rFonts w:ascii="Arial" w:hAnsi="Arial" w:cs="Arial"/>
          <w:color w:val="000000" w:themeColor="text1"/>
          <w:sz w:val="28"/>
          <w:szCs w:val="28"/>
        </w:rPr>
        <w:t>Classification of Variants of Reduced Penetrance in High Penetrance Genes: Framework for Genetic Clinicians and Clinical Scientists by CanVIG-UK (Cancer Variant Interpretation Group-UK)</w:t>
      </w:r>
      <w:bookmarkEnd w:id="5"/>
      <w:bookmarkEnd w:id="6"/>
      <w:bookmarkEnd w:id="7"/>
      <w:bookmarkEnd w:id="8"/>
      <w:bookmarkEnd w:id="9"/>
      <w:r w:rsidRPr="00FE6DE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594EE52" w14:textId="77777777" w:rsidR="003A11A6" w:rsidRPr="00FE6DE0" w:rsidRDefault="003A11A6" w:rsidP="003A11A6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0000" w:themeColor="text1"/>
        </w:rPr>
        <w:id w:val="369269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1084E4" w14:textId="77777777" w:rsidR="00232140" w:rsidRPr="00FE6DE0" w:rsidRDefault="008B2B97">
          <w:pPr>
            <w:pStyle w:val="TOC1"/>
            <w:tabs>
              <w:tab w:val="right" w:leader="dot" w:pos="9736"/>
            </w:tabs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</w:pPr>
          <w:r w:rsidRPr="00FE6DE0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Contents</w:t>
          </w:r>
        </w:p>
        <w:p w14:paraId="66168CCC" w14:textId="7DD73266" w:rsidR="00232140" w:rsidRPr="00FE6DE0" w:rsidRDefault="008B2B97" w:rsidP="00FE6DE0">
          <w:pPr>
            <w:pStyle w:val="TOC1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r w:rsidRPr="00FE6DE0">
            <w:rPr>
              <w:rFonts w:ascii="Arial" w:eastAsiaTheme="majorEastAsia" w:hAnsi="Arial" w:cs="Arial"/>
              <w:color w:val="000000" w:themeColor="text1"/>
              <w:kern w:val="0"/>
              <w:sz w:val="32"/>
              <w:szCs w:val="32"/>
              <w:lang w:val="en-US"/>
              <w14:ligatures w14:val="none"/>
            </w:rPr>
            <w:fldChar w:fldCharType="begin"/>
          </w:r>
          <w:r w:rsidRPr="00FE6DE0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FE6DE0">
            <w:rPr>
              <w:rFonts w:ascii="Arial" w:eastAsiaTheme="majorEastAsia" w:hAnsi="Arial" w:cs="Arial"/>
              <w:color w:val="000000" w:themeColor="text1"/>
              <w:kern w:val="0"/>
              <w:sz w:val="32"/>
              <w:szCs w:val="32"/>
              <w:lang w:val="en-US"/>
              <w14:ligatures w14:val="none"/>
            </w:rPr>
            <w:fldChar w:fldCharType="separate"/>
          </w:r>
          <w:hyperlink w:anchor="_Toc171435405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Methods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_Toc171435405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2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246A92" w14:textId="642DB7F0" w:rsidR="00232140" w:rsidRPr="00FE6DE0" w:rsidRDefault="00B70A26">
          <w:pPr>
            <w:pStyle w:val="TO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06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Figures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_Toc171435406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3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190B34" w14:textId="146ABF78" w:rsidR="00232140" w:rsidRPr="00FE6DE0" w:rsidRDefault="00B70A26">
          <w:pPr>
            <w:pStyle w:val="TOC3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07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Figure 1: Additional results from scoping survey.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_Toc171435407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3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F8B28" w14:textId="02899870" w:rsidR="00232140" w:rsidRPr="00FE6DE0" w:rsidRDefault="00B70A26">
          <w:pPr>
            <w:pStyle w:val="TOC3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08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Figure 2: Draft consensus framework circulated prior to the February 2024 CanVIG-UK meeting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_Toc171435408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5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1A3907" w14:textId="0C1E0CFE" w:rsidR="00232140" w:rsidRPr="00FE6DE0" w:rsidRDefault="00B70A26">
          <w:pPr>
            <w:pStyle w:val="TOC3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09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Figure 3: Live poll classification of ‘Scenario B’ variant NM_000059.4:c.8351G&gt;A p.(Arg2784Gln)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_Toc171435409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6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0A7D90" w14:textId="23630B06" w:rsidR="00232140" w:rsidRPr="00FE6DE0" w:rsidRDefault="00B70A26">
          <w:pPr>
            <w:pStyle w:val="TO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10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Tables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_Toc171435410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7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7FC3BF" w14:textId="6B436D36" w:rsidR="00232140" w:rsidRPr="00FE6DE0" w:rsidRDefault="00B70A26">
          <w:pPr>
            <w:pStyle w:val="TOC3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11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Table 1: Full results for all scenarios from the evidence allocation live poll (September 2023 CanVIG-UK meeting)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_Toc171435411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7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854656" w14:textId="753BC4AE" w:rsidR="00232140" w:rsidRPr="00FE6DE0" w:rsidRDefault="00B70A26">
          <w:pPr>
            <w:pStyle w:val="TO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12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Note 1: CanVIG-UK Consortium Group Membership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_Toc171435412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9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E823D0" w14:textId="3B95D141" w:rsidR="00232140" w:rsidRPr="00FE6DE0" w:rsidRDefault="00B70A26">
          <w:pPr>
            <w:pStyle w:val="TOC2"/>
            <w:tabs>
              <w:tab w:val="right" w:leader="dot" w:pos="9736"/>
            </w:tabs>
            <w:rPr>
              <w:rFonts w:ascii="Arial" w:eastAsiaTheme="minorEastAsia" w:hAnsi="Arial" w:cs="Arial"/>
              <w:noProof/>
              <w:sz w:val="24"/>
              <w:szCs w:val="24"/>
              <w:lang w:eastAsia="en-GB"/>
            </w:rPr>
          </w:pPr>
          <w:hyperlink w:anchor="_Toc171435413" w:history="1">
            <w:r w:rsidR="00232140" w:rsidRPr="00FE6DE0">
              <w:rPr>
                <w:rStyle w:val="Hyperlink"/>
                <w:rFonts w:ascii="Arial" w:hAnsi="Arial" w:cs="Arial"/>
                <w:b/>
                <w:bCs/>
                <w:noProof/>
              </w:rPr>
              <w:t>Supplementary Note 2: CStAG Membership</w:t>
            </w:r>
            <w:r w:rsidR="00232140" w:rsidRPr="00FE6DE0">
              <w:rPr>
                <w:rFonts w:ascii="Arial" w:hAnsi="Arial" w:cs="Arial"/>
                <w:noProof/>
                <w:webHidden/>
              </w:rPr>
              <w:tab/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begin"/>
            </w:r>
            <w:r w:rsidR="00232140" w:rsidRPr="00FE6DE0">
              <w:rPr>
                <w:rFonts w:ascii="Arial" w:hAnsi="Arial" w:cs="Arial"/>
                <w:noProof/>
                <w:webHidden/>
              </w:rPr>
              <w:instrText xml:space="preserve"> PAGEREF _Toc171435413 \h </w:instrText>
            </w:r>
            <w:r w:rsidR="00232140" w:rsidRPr="00FE6DE0">
              <w:rPr>
                <w:rFonts w:ascii="Arial" w:hAnsi="Arial" w:cs="Arial"/>
                <w:noProof/>
                <w:webHidden/>
              </w:rPr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32140" w:rsidRPr="00FE6DE0">
              <w:rPr>
                <w:rFonts w:ascii="Arial" w:hAnsi="Arial" w:cs="Arial"/>
                <w:noProof/>
                <w:webHidden/>
              </w:rPr>
              <w:t>13</w:t>
            </w:r>
            <w:r w:rsidR="00232140" w:rsidRPr="00FE6DE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27C54D" w14:textId="5C781BC3" w:rsidR="008B2B97" w:rsidRPr="00FE6DE0" w:rsidRDefault="008B2B97">
          <w:pPr>
            <w:rPr>
              <w:rFonts w:ascii="Arial" w:hAnsi="Arial" w:cs="Arial"/>
            </w:rPr>
          </w:pPr>
          <w:r w:rsidRPr="00FE6DE0">
            <w:rPr>
              <w:rFonts w:ascii="Arial" w:hAnsi="Arial" w:cs="Arial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4E64A046" w14:textId="77777777" w:rsidR="008B2B97" w:rsidRPr="00FE6DE0" w:rsidRDefault="008B2B97" w:rsidP="008B2B97">
      <w:pPr>
        <w:rPr>
          <w:rFonts w:ascii="Arial" w:hAnsi="Arial" w:cs="Arial"/>
        </w:rPr>
      </w:pPr>
    </w:p>
    <w:p w14:paraId="65370121" w14:textId="77777777" w:rsidR="00626773" w:rsidRPr="00FE6DE0" w:rsidRDefault="00626773" w:rsidP="00626773">
      <w:pPr>
        <w:rPr>
          <w:rFonts w:ascii="Arial" w:hAnsi="Arial" w:cs="Arial"/>
        </w:rPr>
      </w:pPr>
    </w:p>
    <w:p w14:paraId="0E542813" w14:textId="77777777" w:rsidR="008B2B97" w:rsidRPr="00FE6DE0" w:rsidRDefault="008B2B97" w:rsidP="00626773">
      <w:pPr>
        <w:rPr>
          <w:rFonts w:ascii="Arial" w:hAnsi="Arial" w:cs="Arial"/>
        </w:rPr>
      </w:pPr>
    </w:p>
    <w:p w14:paraId="774468FF" w14:textId="77777777" w:rsidR="008B2B97" w:rsidRPr="00FE6DE0" w:rsidRDefault="008B2B97" w:rsidP="00626773">
      <w:pPr>
        <w:rPr>
          <w:rFonts w:ascii="Arial" w:hAnsi="Arial" w:cs="Arial"/>
        </w:rPr>
      </w:pPr>
    </w:p>
    <w:p w14:paraId="550499DF" w14:textId="77777777" w:rsidR="008B2B97" w:rsidRPr="00FE6DE0" w:rsidRDefault="008B2B97" w:rsidP="00626773">
      <w:pPr>
        <w:rPr>
          <w:rFonts w:ascii="Arial" w:hAnsi="Arial" w:cs="Arial"/>
        </w:rPr>
      </w:pPr>
    </w:p>
    <w:p w14:paraId="0A21876D" w14:textId="77777777" w:rsidR="008B2B97" w:rsidRPr="00FE6DE0" w:rsidRDefault="008B2B97" w:rsidP="00626773">
      <w:pPr>
        <w:rPr>
          <w:rFonts w:ascii="Arial" w:hAnsi="Arial" w:cs="Arial"/>
        </w:rPr>
      </w:pPr>
    </w:p>
    <w:p w14:paraId="0A485EF2" w14:textId="77777777" w:rsidR="008B2B97" w:rsidRPr="00FE6DE0" w:rsidRDefault="008B2B97" w:rsidP="00626773">
      <w:pPr>
        <w:rPr>
          <w:rFonts w:ascii="Arial" w:hAnsi="Arial" w:cs="Arial"/>
        </w:rPr>
      </w:pPr>
    </w:p>
    <w:p w14:paraId="12EDBDF1" w14:textId="77777777" w:rsidR="008B2B97" w:rsidRPr="00FE6DE0" w:rsidRDefault="008B2B97" w:rsidP="00626773">
      <w:pPr>
        <w:rPr>
          <w:rFonts w:ascii="Arial" w:hAnsi="Arial" w:cs="Arial"/>
        </w:rPr>
      </w:pPr>
    </w:p>
    <w:p w14:paraId="1152BAEF" w14:textId="77777777" w:rsidR="008B2B97" w:rsidRPr="00FE6DE0" w:rsidRDefault="008B2B97" w:rsidP="00626773">
      <w:pPr>
        <w:rPr>
          <w:rFonts w:ascii="Arial" w:hAnsi="Arial" w:cs="Arial"/>
        </w:rPr>
      </w:pPr>
    </w:p>
    <w:p w14:paraId="082AD9DF" w14:textId="77777777" w:rsidR="00ED3AF9" w:rsidRPr="00FE6DE0" w:rsidRDefault="00ED3AF9" w:rsidP="00626773">
      <w:pPr>
        <w:rPr>
          <w:rFonts w:ascii="Arial" w:hAnsi="Arial" w:cs="Arial"/>
        </w:rPr>
      </w:pPr>
    </w:p>
    <w:p w14:paraId="2FA606D5" w14:textId="77777777" w:rsidR="00ED3AF9" w:rsidRPr="00FE6DE0" w:rsidRDefault="00ED3AF9" w:rsidP="00626773">
      <w:pPr>
        <w:rPr>
          <w:rFonts w:ascii="Arial" w:hAnsi="Arial" w:cs="Arial"/>
        </w:rPr>
      </w:pPr>
    </w:p>
    <w:p w14:paraId="6E263B53" w14:textId="77777777" w:rsidR="003A0C73" w:rsidRPr="00FE6DE0" w:rsidRDefault="003A0C73" w:rsidP="00626773">
      <w:pPr>
        <w:rPr>
          <w:rFonts w:ascii="Arial" w:hAnsi="Arial" w:cs="Arial"/>
        </w:rPr>
      </w:pPr>
    </w:p>
    <w:p w14:paraId="69A89B39" w14:textId="77777777" w:rsidR="008B2B97" w:rsidRPr="00FE6DE0" w:rsidRDefault="008B2B97" w:rsidP="00626773">
      <w:pPr>
        <w:rPr>
          <w:rFonts w:ascii="Arial" w:hAnsi="Arial" w:cs="Arial"/>
        </w:rPr>
      </w:pPr>
    </w:p>
    <w:p w14:paraId="3AFCAAE6" w14:textId="77777777" w:rsidR="008B2B97" w:rsidRPr="00FE6DE0" w:rsidRDefault="008B2B97" w:rsidP="00626773">
      <w:pPr>
        <w:rPr>
          <w:rFonts w:ascii="Arial" w:hAnsi="Arial" w:cs="Arial"/>
        </w:rPr>
      </w:pPr>
    </w:p>
    <w:p w14:paraId="5235A228" w14:textId="3F2345D7" w:rsidR="00626773" w:rsidRPr="00FE6DE0" w:rsidRDefault="00626773" w:rsidP="00626773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0" w:name="_Toc171435405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Supplementary Methods</w:t>
      </w:r>
      <w:bookmarkEnd w:id="10"/>
    </w:p>
    <w:p w14:paraId="2D27F43E" w14:textId="378B6159" w:rsidR="00F3747F" w:rsidRPr="00FE6DE0" w:rsidRDefault="00F3747F" w:rsidP="00F3747F">
      <w:pPr>
        <w:rPr>
          <w:rFonts w:ascii="Arial" w:hAnsi="Arial" w:cs="Arial"/>
        </w:rPr>
      </w:pPr>
      <w:r w:rsidRPr="00FE6DE0">
        <w:rPr>
          <w:rFonts w:ascii="Arial" w:hAnsi="Arial" w:cs="Arial"/>
        </w:rPr>
        <w:t xml:space="preserve">The </w:t>
      </w:r>
      <w:r w:rsidR="004448CC" w:rsidRPr="00FE6DE0">
        <w:rPr>
          <w:rFonts w:ascii="Arial" w:hAnsi="Arial" w:cs="Arial"/>
        </w:rPr>
        <w:t xml:space="preserve">below </w:t>
      </w:r>
      <w:r w:rsidRPr="00FE6DE0">
        <w:rPr>
          <w:rFonts w:ascii="Arial" w:hAnsi="Arial" w:cs="Arial"/>
        </w:rPr>
        <w:t>process for the development of a framework for the classification of variants of reduced penetrance was followed:</w:t>
      </w:r>
    </w:p>
    <w:p w14:paraId="7F2FF8FF" w14:textId="745F8C9C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Online survey on confidence in classifying variants with reduced penetrance and perceived utility of recommendation development circulated to CanVIG-UK members ahead of national CanVIG-UK meeting</w:t>
      </w:r>
      <w:r w:rsidR="001A3EC9" w:rsidRPr="00FE6DE0">
        <w:rPr>
          <w:rFonts w:cs="Arial"/>
          <w:sz w:val="22"/>
        </w:rPr>
        <w:t>.</w:t>
      </w:r>
    </w:p>
    <w:p w14:paraId="6E704CF7" w14:textId="6DD70C34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Hypothetical candidate reduced penetrance variants presented at national CanVIG-UK meeting with in-meeting polls on the application of evidence and overall classification</w:t>
      </w:r>
      <w:r w:rsidR="00301E87" w:rsidRPr="00FE6DE0">
        <w:rPr>
          <w:rFonts w:cs="Arial"/>
          <w:sz w:val="22"/>
        </w:rPr>
        <w:t xml:space="preserve"> (</w:t>
      </w:r>
      <w:r w:rsidR="0010160D" w:rsidRPr="00FE6DE0">
        <w:rPr>
          <w:rFonts w:cs="Arial"/>
          <w:sz w:val="22"/>
        </w:rPr>
        <w:t>poll results for each question hidden until poll had closed)</w:t>
      </w:r>
      <w:r w:rsidR="001A3EC9" w:rsidRPr="00FE6DE0">
        <w:rPr>
          <w:rFonts w:cs="Arial"/>
          <w:sz w:val="22"/>
        </w:rPr>
        <w:t>.</w:t>
      </w:r>
      <w:r w:rsidR="00D04A31" w:rsidRPr="00FE6DE0">
        <w:rPr>
          <w:rFonts w:cs="Arial"/>
          <w:sz w:val="22"/>
        </w:rPr>
        <w:t xml:space="preserve"> Verbal explanation of context provided with </w:t>
      </w:r>
      <w:r w:rsidR="00123FEE" w:rsidRPr="00FE6DE0">
        <w:rPr>
          <w:rFonts w:cs="Arial"/>
          <w:sz w:val="22"/>
        </w:rPr>
        <w:t xml:space="preserve">opportunity for clarification </w:t>
      </w:r>
      <w:r w:rsidR="00410D27" w:rsidRPr="00FE6DE0">
        <w:rPr>
          <w:rFonts w:cs="Arial"/>
          <w:sz w:val="22"/>
        </w:rPr>
        <w:t xml:space="preserve">of </w:t>
      </w:r>
      <w:r w:rsidR="00123FEE" w:rsidRPr="00FE6DE0">
        <w:rPr>
          <w:rFonts w:cs="Arial"/>
          <w:sz w:val="22"/>
        </w:rPr>
        <w:t>questions</w:t>
      </w:r>
      <w:r w:rsidR="00D01248" w:rsidRPr="00FE6DE0">
        <w:rPr>
          <w:rFonts w:cs="Arial"/>
          <w:sz w:val="22"/>
        </w:rPr>
        <w:t xml:space="preserve"> prior to response</w:t>
      </w:r>
      <w:r w:rsidR="00123FEE" w:rsidRPr="00FE6DE0">
        <w:rPr>
          <w:rFonts w:cs="Arial"/>
          <w:sz w:val="22"/>
        </w:rPr>
        <w:t>.</w:t>
      </w:r>
    </w:p>
    <w:p w14:paraId="65458329" w14:textId="12BD5864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Draft framework for classification of reduced penetrance variants developed by working group (CStAG). The context was divided into i) variants with quantified effect size (from case-control/segregation data) and ii) variants with inconsistent/weak evidence</w:t>
      </w:r>
      <w:r w:rsidR="001A3EC9" w:rsidRPr="00FE6DE0">
        <w:rPr>
          <w:rFonts w:cs="Arial"/>
          <w:sz w:val="22"/>
        </w:rPr>
        <w:t>.</w:t>
      </w:r>
    </w:p>
    <w:p w14:paraId="36C5973C" w14:textId="04F4A88F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Draft framework for classification of reduced penetrance variants circulated to CanVIG-UK membership for comment and review ahead of national CanVIG-UK meeting</w:t>
      </w:r>
      <w:r w:rsidR="001A3EC9" w:rsidRPr="00FE6DE0">
        <w:rPr>
          <w:rFonts w:cs="Arial"/>
          <w:sz w:val="22"/>
        </w:rPr>
        <w:t>.</w:t>
      </w:r>
    </w:p>
    <w:p w14:paraId="55479C62" w14:textId="184C1D7E" w:rsidR="00F3747F" w:rsidRPr="00FE6DE0" w:rsidRDefault="00F3747F" w:rsidP="005810CB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Presentation of draft framework for classification of reduced penetrance variants with application of framework to exemplar variants at national CanVIG-UK meeting. In-meeting poll of application of evidence to exemplar variants and attitudes to draft framework</w:t>
      </w:r>
      <w:r w:rsidR="00E82B12" w:rsidRPr="00FE6DE0">
        <w:rPr>
          <w:rFonts w:cs="Arial"/>
          <w:sz w:val="22"/>
        </w:rPr>
        <w:t xml:space="preserve"> (poll results for each question hidden until poll had closed)</w:t>
      </w:r>
      <w:r w:rsidR="001A3EC9" w:rsidRPr="00FE6DE0">
        <w:rPr>
          <w:rFonts w:cs="Arial"/>
          <w:sz w:val="22"/>
        </w:rPr>
        <w:t>.</w:t>
      </w:r>
      <w:r w:rsidR="005810CB" w:rsidRPr="00FE6DE0">
        <w:rPr>
          <w:rFonts w:cs="Arial"/>
          <w:sz w:val="22"/>
        </w:rPr>
        <w:t xml:space="preserve"> Verbal explanation of context provided with opportunity for clarification questions prior to </w:t>
      </w:r>
      <w:r w:rsidR="006627BB">
        <w:rPr>
          <w:rFonts w:cs="Arial"/>
          <w:sz w:val="22"/>
        </w:rPr>
        <w:t>response</w:t>
      </w:r>
      <w:r w:rsidR="005810CB" w:rsidRPr="00FE6DE0">
        <w:rPr>
          <w:rFonts w:cs="Arial"/>
          <w:sz w:val="22"/>
        </w:rPr>
        <w:t>.</w:t>
      </w:r>
    </w:p>
    <w:p w14:paraId="37472F4C" w14:textId="29D294A7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Modification of framework for classification of variants of reduced penetrance by working group (CStAG) based on feedback from CanVIG-UK</w:t>
      </w:r>
      <w:r w:rsidR="001A3EC9" w:rsidRPr="00FE6DE0">
        <w:rPr>
          <w:rFonts w:cs="Arial"/>
          <w:sz w:val="22"/>
        </w:rPr>
        <w:t>.</w:t>
      </w:r>
    </w:p>
    <w:p w14:paraId="40EE4C54" w14:textId="50BCBCDF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Online survey on application of modified framework for classification of variants of reduced penetrance to hypothetical exemplar variants circulated to CanVIG-UK members ahead of national CanVIG-UK meeting</w:t>
      </w:r>
      <w:r w:rsidR="001A3EC9" w:rsidRPr="00FE6DE0">
        <w:rPr>
          <w:rFonts w:cs="Arial"/>
          <w:sz w:val="22"/>
        </w:rPr>
        <w:t>.</w:t>
      </w:r>
      <w:r w:rsidR="005810CB" w:rsidRPr="00FE6DE0">
        <w:rPr>
          <w:rFonts w:cs="Arial"/>
          <w:sz w:val="22"/>
        </w:rPr>
        <w:t xml:space="preserve"> Participants had already been introduced to the framework at prior CanVIG-UK meetings </w:t>
      </w:r>
      <w:r w:rsidR="00132125" w:rsidRPr="00FE6DE0">
        <w:rPr>
          <w:rFonts w:cs="Arial"/>
          <w:sz w:val="22"/>
        </w:rPr>
        <w:t xml:space="preserve">and </w:t>
      </w:r>
      <w:r w:rsidR="005810CB" w:rsidRPr="00FE6DE0">
        <w:rPr>
          <w:rFonts w:cs="Arial"/>
          <w:sz w:val="22"/>
        </w:rPr>
        <w:t>so</w:t>
      </w:r>
      <w:r w:rsidR="00132125" w:rsidRPr="00FE6DE0">
        <w:rPr>
          <w:rFonts w:cs="Arial"/>
          <w:sz w:val="22"/>
        </w:rPr>
        <w:t xml:space="preserve"> </w:t>
      </w:r>
      <w:r w:rsidR="00AD22B0" w:rsidRPr="00FE6DE0">
        <w:rPr>
          <w:rFonts w:cs="Arial"/>
          <w:sz w:val="22"/>
        </w:rPr>
        <w:t>were equipped to give more detailed responses in their own time</w:t>
      </w:r>
      <w:r w:rsidR="00132125" w:rsidRPr="00FE6DE0">
        <w:rPr>
          <w:rFonts w:cs="Arial"/>
          <w:sz w:val="22"/>
        </w:rPr>
        <w:t>.</w:t>
      </w:r>
    </w:p>
    <w:p w14:paraId="10F30491" w14:textId="1FB60527" w:rsidR="00F3747F" w:rsidRPr="00FE6DE0" w:rsidRDefault="00F3747F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Results of pre-meeting survey on application of modified draft framework to hypothetical exemplar variants discussed at national CanVIG-UK meeting with in-meeting poll of attitudes to modified framework</w:t>
      </w:r>
      <w:r w:rsidR="00FB3A4C" w:rsidRPr="00FE6DE0">
        <w:rPr>
          <w:rFonts w:cs="Arial"/>
          <w:sz w:val="22"/>
        </w:rPr>
        <w:t xml:space="preserve"> (poll results for each question hidden until poll had closed)</w:t>
      </w:r>
      <w:r w:rsidR="001A3EC9" w:rsidRPr="00FE6DE0">
        <w:rPr>
          <w:rFonts w:cs="Arial"/>
          <w:sz w:val="22"/>
        </w:rPr>
        <w:t>.</w:t>
      </w:r>
    </w:p>
    <w:p w14:paraId="60AB29A0" w14:textId="65948168" w:rsidR="00602C42" w:rsidRPr="00FE6DE0" w:rsidRDefault="00394B03" w:rsidP="00F3747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FE6DE0">
        <w:rPr>
          <w:rFonts w:cs="Arial"/>
          <w:sz w:val="22"/>
        </w:rPr>
        <w:t>F</w:t>
      </w:r>
      <w:r w:rsidR="003D1785" w:rsidRPr="00FE6DE0">
        <w:rPr>
          <w:rFonts w:cs="Arial"/>
          <w:sz w:val="22"/>
        </w:rPr>
        <w:t xml:space="preserve">ramework modified and finalised </w:t>
      </w:r>
      <w:r w:rsidR="001513F1" w:rsidRPr="00FE6DE0">
        <w:rPr>
          <w:rFonts w:cs="Arial"/>
          <w:sz w:val="22"/>
        </w:rPr>
        <w:t>by working group (CStAG)</w:t>
      </w:r>
      <w:r w:rsidR="00B52B41" w:rsidRPr="00FE6DE0">
        <w:rPr>
          <w:rFonts w:cs="Arial"/>
          <w:sz w:val="22"/>
        </w:rPr>
        <w:t xml:space="preserve"> following peer review and approved following circulation to CanVIG-UK group. </w:t>
      </w:r>
      <w:r w:rsidR="003D1785" w:rsidRPr="00FE6DE0">
        <w:rPr>
          <w:rFonts w:cs="Arial"/>
          <w:sz w:val="22"/>
        </w:rPr>
        <w:t xml:space="preserve"> </w:t>
      </w:r>
    </w:p>
    <w:p w14:paraId="78F4DD85" w14:textId="77777777" w:rsidR="00626773" w:rsidRPr="00FE6DE0" w:rsidRDefault="00626773" w:rsidP="00626773">
      <w:pPr>
        <w:rPr>
          <w:rFonts w:ascii="Arial" w:hAnsi="Arial" w:cs="Arial"/>
        </w:rPr>
      </w:pPr>
    </w:p>
    <w:p w14:paraId="13891F00" w14:textId="77777777" w:rsidR="008B2B97" w:rsidRPr="00FE6DE0" w:rsidRDefault="008B2B97" w:rsidP="00626773">
      <w:pPr>
        <w:rPr>
          <w:rFonts w:ascii="Arial" w:hAnsi="Arial" w:cs="Arial"/>
        </w:rPr>
      </w:pPr>
    </w:p>
    <w:p w14:paraId="4BD03917" w14:textId="77777777" w:rsidR="008B2B97" w:rsidRPr="00FE6DE0" w:rsidRDefault="008B2B97" w:rsidP="00626773">
      <w:pPr>
        <w:rPr>
          <w:rFonts w:ascii="Arial" w:hAnsi="Arial" w:cs="Arial"/>
        </w:rPr>
      </w:pPr>
    </w:p>
    <w:p w14:paraId="1393985D" w14:textId="77777777" w:rsidR="008B2B97" w:rsidRPr="00FE6DE0" w:rsidRDefault="008B2B97" w:rsidP="00626773">
      <w:pPr>
        <w:rPr>
          <w:rFonts w:ascii="Arial" w:hAnsi="Arial" w:cs="Arial"/>
        </w:rPr>
      </w:pPr>
    </w:p>
    <w:p w14:paraId="5F720D4D" w14:textId="77777777" w:rsidR="008B2B97" w:rsidRPr="00FE6DE0" w:rsidRDefault="008B2B97" w:rsidP="00626773">
      <w:pPr>
        <w:rPr>
          <w:rFonts w:ascii="Arial" w:hAnsi="Arial" w:cs="Arial"/>
        </w:rPr>
      </w:pPr>
    </w:p>
    <w:p w14:paraId="6C5030C4" w14:textId="77777777" w:rsidR="008B2B97" w:rsidRPr="00FE6DE0" w:rsidRDefault="008B2B97" w:rsidP="00626773">
      <w:pPr>
        <w:rPr>
          <w:rFonts w:ascii="Arial" w:hAnsi="Arial" w:cs="Arial"/>
        </w:rPr>
      </w:pPr>
    </w:p>
    <w:p w14:paraId="64E391F9" w14:textId="77777777" w:rsidR="008B2B97" w:rsidRPr="00FE6DE0" w:rsidRDefault="008B2B97" w:rsidP="00626773">
      <w:pPr>
        <w:rPr>
          <w:rFonts w:ascii="Arial" w:hAnsi="Arial" w:cs="Arial"/>
        </w:rPr>
      </w:pPr>
    </w:p>
    <w:p w14:paraId="02C26EEA" w14:textId="77777777" w:rsidR="008B2B97" w:rsidRPr="00FE6DE0" w:rsidRDefault="008B2B97" w:rsidP="00626773">
      <w:pPr>
        <w:rPr>
          <w:rFonts w:ascii="Arial" w:hAnsi="Arial" w:cs="Arial"/>
        </w:rPr>
      </w:pPr>
    </w:p>
    <w:p w14:paraId="656DBFDF" w14:textId="77777777" w:rsidR="008B2B97" w:rsidRPr="00FE6DE0" w:rsidRDefault="008B2B97" w:rsidP="00626773">
      <w:pPr>
        <w:rPr>
          <w:rFonts w:ascii="Arial" w:hAnsi="Arial" w:cs="Arial"/>
        </w:rPr>
      </w:pPr>
    </w:p>
    <w:p w14:paraId="5164F2FC" w14:textId="77777777" w:rsidR="008B2B97" w:rsidRPr="00FE6DE0" w:rsidRDefault="008B2B97" w:rsidP="00626773">
      <w:pPr>
        <w:rPr>
          <w:rFonts w:ascii="Arial" w:hAnsi="Arial" w:cs="Arial"/>
        </w:rPr>
      </w:pPr>
    </w:p>
    <w:p w14:paraId="73B1CC8C" w14:textId="1E05DBB3" w:rsidR="00861B88" w:rsidRPr="00FE6DE0" w:rsidRDefault="00861B88" w:rsidP="003A11A6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1" w:name="_Toc171435406"/>
      <w:r w:rsidRPr="00FE6DE0">
        <w:rPr>
          <w:rFonts w:ascii="Arial" w:hAnsi="Arial" w:cs="Arial"/>
          <w:b/>
          <w:bCs/>
          <w:color w:val="000000" w:themeColor="text1"/>
          <w:sz w:val="24"/>
          <w:szCs w:val="24"/>
        </w:rPr>
        <w:t>Supplementary Figures</w:t>
      </w:r>
      <w:bookmarkEnd w:id="11"/>
    </w:p>
    <w:p w14:paraId="0299AE96" w14:textId="13BCDDB4" w:rsidR="00A234E0" w:rsidRPr="00FE6DE0" w:rsidRDefault="00B67542" w:rsidP="00A234E0">
      <w:pPr>
        <w:rPr>
          <w:rFonts w:ascii="Arial" w:hAnsi="Arial" w:cs="Arial"/>
          <w:b/>
          <w:bCs/>
          <w:noProof/>
        </w:rPr>
      </w:pPr>
      <w:bookmarkStart w:id="12" w:name="_Toc171435407"/>
      <w:r w:rsidRPr="00FE6DE0">
        <w:rPr>
          <w:rStyle w:val="Heading3Char"/>
          <w:rFonts w:ascii="Arial" w:hAnsi="Arial" w:cs="Arial"/>
          <w:b/>
          <w:bCs/>
          <w:color w:val="000000" w:themeColor="text1"/>
          <w:sz w:val="22"/>
          <w:szCs w:val="22"/>
        </w:rPr>
        <w:t>Supplementary Figure 1: Additional results from scoping survey.</w:t>
      </w:r>
      <w:bookmarkEnd w:id="12"/>
      <w:r w:rsidRPr="00FE6DE0">
        <w:rPr>
          <w:rFonts w:ascii="Arial" w:hAnsi="Arial" w:cs="Arial"/>
          <w:color w:val="000000" w:themeColor="text1"/>
        </w:rPr>
        <w:t xml:space="preserve"> Questions were asked in the context of variant interpretation for cancer susceptibility genes.</w:t>
      </w:r>
      <w:r w:rsidR="00A234E0" w:rsidRPr="00FE6DE0">
        <w:rPr>
          <w:rFonts w:ascii="Arial" w:hAnsi="Arial" w:cs="Arial"/>
          <w:b/>
          <w:bCs/>
          <w:noProof/>
        </w:rPr>
        <w:t xml:space="preserve"> </w:t>
      </w:r>
    </w:p>
    <w:p w14:paraId="2536D308" w14:textId="38C2B4B9" w:rsidR="00861B88" w:rsidRPr="00FE6DE0" w:rsidRDefault="003A0C73" w:rsidP="00FE6DE0">
      <w:pPr>
        <w:jc w:val="center"/>
        <w:rPr>
          <w:rFonts w:ascii="Arial" w:hAnsi="Arial" w:cs="Arial"/>
          <w:color w:val="000000" w:themeColor="text1"/>
        </w:rPr>
      </w:pPr>
      <w:r w:rsidRPr="00FE6D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20FDB" wp14:editId="1B2D6FDA">
                <wp:simplePos x="0" y="0"/>
                <wp:positionH relativeFrom="margin">
                  <wp:align>left</wp:align>
                </wp:positionH>
                <wp:positionV relativeFrom="paragraph">
                  <wp:posOffset>8938</wp:posOffset>
                </wp:positionV>
                <wp:extent cx="336431" cy="345056"/>
                <wp:effectExtent l="0" t="0" r="0" b="0"/>
                <wp:wrapNone/>
                <wp:docPr id="15501222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6D77B" w14:textId="3FBC5898" w:rsidR="003A0C73" w:rsidRPr="00FE6DE0" w:rsidRDefault="003A0C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6D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0F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.7pt;width:26.5pt;height:27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c/FgIAACsEAAAOAAAAZHJzL2Uyb0RvYy54bWysU02P2jAQvVfqf7B8LwkE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" filled="f" stroked="f" strokeweight=".5pt">
                <v:textbox>
                  <w:txbxContent>
                    <w:p w14:paraId="3456D77B" w14:textId="3FBC5898" w:rsidR="003A0C73" w:rsidRPr="00FE6DE0" w:rsidRDefault="003A0C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6DE0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D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117B8C" wp14:editId="07CE5CB8">
                <wp:simplePos x="0" y="0"/>
                <wp:positionH relativeFrom="margin">
                  <wp:align>left</wp:align>
                </wp:positionH>
                <wp:positionV relativeFrom="paragraph">
                  <wp:posOffset>2627894</wp:posOffset>
                </wp:positionV>
                <wp:extent cx="336431" cy="345056"/>
                <wp:effectExtent l="0" t="0" r="0" b="0"/>
                <wp:wrapNone/>
                <wp:docPr id="21587848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38B72" w14:textId="1ED50CBB" w:rsidR="003A0C73" w:rsidRPr="00FE6DE0" w:rsidRDefault="003A0C73" w:rsidP="003A0C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7B8C" id="_x0000_s1027" type="#_x0000_t202" style="position:absolute;left:0;text-align:left;margin-left:0;margin-top:206.9pt;width:26.5pt;height:27.1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MAFwIAADI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" filled="f" stroked="f" strokeweight=".5pt">
                <v:textbox>
                  <w:txbxContent>
                    <w:p w14:paraId="47638B72" w14:textId="1ED50CBB" w:rsidR="003A0C73" w:rsidRPr="00FE6DE0" w:rsidRDefault="003A0C73" w:rsidP="003A0C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4E0" w:rsidRPr="00FE6DE0">
        <w:rPr>
          <w:rFonts w:ascii="Arial" w:hAnsi="Arial" w:cs="Arial"/>
          <w:b/>
          <w:bCs/>
          <w:noProof/>
        </w:rPr>
        <w:drawing>
          <wp:inline distT="0" distB="0" distL="0" distR="0" wp14:anchorId="19C301DD" wp14:editId="2EDAB82D">
            <wp:extent cx="3955311" cy="2488218"/>
            <wp:effectExtent l="0" t="0" r="7620" b="7620"/>
            <wp:docPr id="288071918" name="Picture 5" descr="A pie chart with purp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71918" name="Picture 5" descr="A pie chart with purp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98" cy="250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4E0" w:rsidRPr="00FE6DE0">
        <w:rPr>
          <w:rFonts w:ascii="Arial" w:hAnsi="Arial" w:cs="Arial"/>
          <w:b/>
          <w:bCs/>
          <w:noProof/>
        </w:rPr>
        <w:drawing>
          <wp:inline distT="0" distB="0" distL="0" distR="0" wp14:anchorId="53A122CA" wp14:editId="01FBCCE5">
            <wp:extent cx="4327451" cy="2541413"/>
            <wp:effectExtent l="0" t="0" r="0" b="0"/>
            <wp:docPr id="1314744571" name="Picture 6" descr="A graph of a number of people in a labora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44571" name="Picture 6" descr="A graph of a number of people in a laborat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18" cy="2551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62129" w14:textId="7AB4DB0C" w:rsidR="00353987" w:rsidRPr="00FE6DE0" w:rsidRDefault="003A0C73" w:rsidP="00353987">
      <w:pPr>
        <w:jc w:val="center"/>
        <w:rPr>
          <w:rFonts w:ascii="Arial" w:hAnsi="Arial" w:cs="Arial"/>
        </w:rPr>
      </w:pPr>
      <w:r w:rsidRPr="00FE6D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096B4D" wp14:editId="150A3742">
                <wp:simplePos x="0" y="0"/>
                <wp:positionH relativeFrom="margin">
                  <wp:align>left</wp:align>
                </wp:positionH>
                <wp:positionV relativeFrom="paragraph">
                  <wp:posOffset>78919</wp:posOffset>
                </wp:positionV>
                <wp:extent cx="336431" cy="345056"/>
                <wp:effectExtent l="0" t="0" r="0" b="0"/>
                <wp:wrapNone/>
                <wp:docPr id="207891167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768E" w14:textId="343D011E" w:rsidR="003A0C73" w:rsidRPr="00FE6DE0" w:rsidRDefault="003A0C73" w:rsidP="003A0C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6B4D" id="_x0000_s1028" type="#_x0000_t202" style="position:absolute;left:0;text-align:left;margin-left:0;margin-top:6.2pt;width:26.5pt;height:27.1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KkGQIAADI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" filled="f" stroked="f" strokeweight=".5pt">
                <v:textbox>
                  <w:txbxContent>
                    <w:p w14:paraId="6FAB768E" w14:textId="343D011E" w:rsidR="003A0C73" w:rsidRPr="00FE6DE0" w:rsidRDefault="003A0C73" w:rsidP="003A0C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DE0">
        <w:rPr>
          <w:rFonts w:ascii="Arial" w:hAnsi="Arial" w:cs="Arial"/>
          <w:noProof/>
        </w:rPr>
        <w:drawing>
          <wp:inline distT="0" distB="0" distL="0" distR="0" wp14:anchorId="3BDBF2F1" wp14:editId="1FA69EFA">
            <wp:extent cx="6134986" cy="2904455"/>
            <wp:effectExtent l="0" t="0" r="0" b="0"/>
            <wp:docPr id="1654021202" name="Picture 7" descr="A graph with a bar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21202" name="Picture 7" descr="A graph with a bar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17" cy="29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1DB3" w14:textId="69B729A2" w:rsidR="00B34DA4" w:rsidRPr="00FE6DE0" w:rsidRDefault="003A0C73" w:rsidP="00FE6DE0">
      <w:pPr>
        <w:pStyle w:val="NormalWeb"/>
        <w:jc w:val="center"/>
        <w:rPr>
          <w:rFonts w:ascii="Arial" w:hAnsi="Arial" w:cs="Arial"/>
        </w:rPr>
      </w:pPr>
      <w:r w:rsidRPr="00FE6D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8B4FC9" wp14:editId="32C521B7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36431" cy="345056"/>
                <wp:effectExtent l="0" t="0" r="0" b="0"/>
                <wp:wrapNone/>
                <wp:docPr id="2276646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B9397" w14:textId="5235B4B6" w:rsidR="003A0C73" w:rsidRPr="00FE6DE0" w:rsidRDefault="003A0C73" w:rsidP="003A0C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4FC9" id="_x0000_s1029" type="#_x0000_t202" style="position:absolute;left:0;text-align:left;margin-left:0;margin-top:-.3pt;width:26.5pt;height:27.1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" filled="f" stroked="f" strokeweight=".5pt">
                <v:textbox>
                  <w:txbxContent>
                    <w:p w14:paraId="262B9397" w14:textId="5235B4B6" w:rsidR="003A0C73" w:rsidRPr="00FE6DE0" w:rsidRDefault="003A0C73" w:rsidP="003A0C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D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1B707C" wp14:editId="17607D66">
                <wp:simplePos x="0" y="0"/>
                <wp:positionH relativeFrom="margin">
                  <wp:align>left</wp:align>
                </wp:positionH>
                <wp:positionV relativeFrom="paragraph">
                  <wp:posOffset>2748543</wp:posOffset>
                </wp:positionV>
                <wp:extent cx="336431" cy="345056"/>
                <wp:effectExtent l="0" t="0" r="0" b="0"/>
                <wp:wrapNone/>
                <wp:docPr id="164976310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1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193CD" w14:textId="54A8D661" w:rsidR="003A0C73" w:rsidRPr="00FE6DE0" w:rsidRDefault="003A0C73" w:rsidP="003A0C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707C" id="_x0000_s1030" type="#_x0000_t202" style="position:absolute;left:0;text-align:left;margin-left:0;margin-top:216.4pt;width:26.5pt;height:27.1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" filled="f" stroked="f" strokeweight=".5pt">
                <v:textbox>
                  <w:txbxContent>
                    <w:p w14:paraId="4ED193CD" w14:textId="54A8D661" w:rsidR="003A0C73" w:rsidRPr="00FE6DE0" w:rsidRDefault="003A0C73" w:rsidP="003A0C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6DE0">
        <w:rPr>
          <w:rFonts w:ascii="Arial" w:hAnsi="Arial" w:cs="Arial"/>
          <w:noProof/>
        </w:rPr>
        <w:drawing>
          <wp:inline distT="0" distB="0" distL="0" distR="0" wp14:anchorId="5BB73D9D" wp14:editId="237BC5FB">
            <wp:extent cx="4550735" cy="2698409"/>
            <wp:effectExtent l="0" t="0" r="2540" b="6985"/>
            <wp:docPr id="924526672" name="Picture 8" descr="A graph with a purpl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26672" name="Picture 8" descr="A graph with a purple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9" cy="27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E0">
        <w:rPr>
          <w:rFonts w:ascii="Arial" w:hAnsi="Arial" w:cs="Arial"/>
          <w:noProof/>
        </w:rPr>
        <w:drawing>
          <wp:inline distT="0" distB="0" distL="0" distR="0" wp14:anchorId="02DC91B9" wp14:editId="77BCDD9E">
            <wp:extent cx="5621412" cy="2817628"/>
            <wp:effectExtent l="0" t="0" r="0" b="1905"/>
            <wp:docPr id="141223892" name="Picture 9" descr="A graph with purpl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3892" name="Picture 9" descr="A graph with purpl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2" cy="28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B00C5" w14:textId="770CD22A" w:rsidR="00B34DA4" w:rsidRPr="00FE6DE0" w:rsidRDefault="00B34DA4" w:rsidP="00FE6DE0">
      <w:pPr>
        <w:jc w:val="center"/>
        <w:rPr>
          <w:rFonts w:ascii="Arial" w:hAnsi="Arial" w:cs="Arial"/>
          <w:b/>
          <w:bCs/>
        </w:rPr>
        <w:sectPr w:rsidR="00B34DA4" w:rsidRPr="00FE6DE0" w:rsidSect="00ED3AF9">
          <w:footerReference w:type="default" r:id="rId1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1BB1398" w14:textId="517647CE" w:rsidR="00974E44" w:rsidRPr="00FE6DE0" w:rsidRDefault="00B67542" w:rsidP="003A11A6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3" w:name="_Toc171435408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Supplementary Figure 2: Draft consensus framework circulated prior to the February </w:t>
      </w:r>
      <w:r w:rsidR="00F424BB"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2024 </w:t>
      </w:r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>CanVIG-UK meeting</w:t>
      </w:r>
      <w:bookmarkEnd w:id="13"/>
    </w:p>
    <w:p w14:paraId="6D8974E8" w14:textId="1253DFD6" w:rsidR="00614CF3" w:rsidRPr="00FE6DE0" w:rsidRDefault="00614CF3" w:rsidP="00614CF3">
      <w:pPr>
        <w:jc w:val="center"/>
        <w:rPr>
          <w:rFonts w:ascii="Arial" w:hAnsi="Arial" w:cs="Arial"/>
          <w:b/>
          <w:bCs/>
        </w:rPr>
        <w:sectPr w:rsidR="00614CF3" w:rsidRPr="00FE6DE0" w:rsidSect="00614CF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FE6DE0">
        <w:rPr>
          <w:rFonts w:ascii="Arial" w:hAnsi="Arial" w:cs="Arial"/>
          <w:noProof/>
        </w:rPr>
        <w:drawing>
          <wp:inline distT="0" distB="0" distL="0" distR="0" wp14:anchorId="36BEC66C" wp14:editId="0DC949D6">
            <wp:extent cx="9212239" cy="6079078"/>
            <wp:effectExtent l="0" t="0" r="8255" b="0"/>
            <wp:docPr id="1902515161" name="Picture 1" descr="A close-up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15161" name="Picture 1" descr="A close-up of a medical repo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92144" cy="613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B187" w14:textId="42359121" w:rsidR="00B67542" w:rsidRPr="00FE6DE0" w:rsidRDefault="00B67542" w:rsidP="003A11A6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4" w:name="_Toc171435409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Supplementary Figure 3: Live poll classification of ‘Scenario B’ variant </w:t>
      </w:r>
      <w:r w:rsidR="009F6960"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>NM_000059.4:c.8351G&gt;A</w:t>
      </w:r>
      <w:r w:rsidR="00B26E2A"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p.(Arg2784Gln)</w:t>
      </w:r>
      <w:bookmarkEnd w:id="14"/>
    </w:p>
    <w:p w14:paraId="1C9E3292" w14:textId="77777777" w:rsidR="0019389F" w:rsidRPr="00FE6DE0" w:rsidRDefault="00E30040" w:rsidP="009E4D0D">
      <w:pPr>
        <w:jc w:val="center"/>
        <w:rPr>
          <w:rFonts w:ascii="Arial" w:hAnsi="Arial" w:cs="Arial"/>
        </w:rPr>
      </w:pPr>
      <w:r w:rsidRPr="00FE6DE0">
        <w:rPr>
          <w:rFonts w:ascii="Arial" w:hAnsi="Arial" w:cs="Arial"/>
          <w:noProof/>
        </w:rPr>
        <w:drawing>
          <wp:inline distT="0" distB="0" distL="0" distR="0" wp14:anchorId="3ED76351" wp14:editId="7DD39B91">
            <wp:extent cx="5826642" cy="3051319"/>
            <wp:effectExtent l="0" t="0" r="0" b="0"/>
            <wp:docPr id="16904467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98" cy="307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F8311" w14:textId="77777777" w:rsidR="00D623DC" w:rsidRPr="00FE6DE0" w:rsidRDefault="00D623DC" w:rsidP="009E4D0D">
      <w:pPr>
        <w:jc w:val="center"/>
        <w:rPr>
          <w:rFonts w:ascii="Arial" w:hAnsi="Arial" w:cs="Arial"/>
        </w:rPr>
      </w:pPr>
    </w:p>
    <w:p w14:paraId="6EABA08D" w14:textId="707D50DE" w:rsidR="00FE6DE0" w:rsidRPr="00FE6DE0" w:rsidRDefault="00FE6DE0" w:rsidP="00FE6DE0">
      <w:pPr>
        <w:rPr>
          <w:rFonts w:ascii="Arial" w:hAnsi="Arial" w:cs="Arial"/>
        </w:rPr>
        <w:sectPr w:rsidR="00FE6DE0" w:rsidRPr="00FE6DE0" w:rsidSect="0019389F">
          <w:pgSz w:w="11906" w:h="16838"/>
          <w:pgMar w:top="1077" w:right="1440" w:bottom="1077" w:left="1440" w:header="709" w:footer="709" w:gutter="0"/>
          <w:cols w:space="708"/>
          <w:docGrid w:linePitch="360"/>
        </w:sectPr>
      </w:pPr>
    </w:p>
    <w:p w14:paraId="16086A48" w14:textId="4FBBDB05" w:rsidR="00E30040" w:rsidRPr="00FE6DE0" w:rsidRDefault="00E30040" w:rsidP="003A11A6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5" w:name="_Toc171435410"/>
      <w:r w:rsidRPr="00FE6DE0">
        <w:rPr>
          <w:rFonts w:ascii="Arial" w:hAnsi="Arial" w:cs="Arial"/>
          <w:b/>
          <w:bCs/>
          <w:color w:val="000000" w:themeColor="text1"/>
          <w:sz w:val="24"/>
          <w:szCs w:val="24"/>
        </w:rPr>
        <w:t>Supplementary Tables</w:t>
      </w:r>
      <w:bookmarkEnd w:id="15"/>
    </w:p>
    <w:p w14:paraId="6DF05DF4" w14:textId="407B7FBE" w:rsidR="00ED3AF9" w:rsidRPr="00FE6DE0" w:rsidRDefault="00BA20B6" w:rsidP="00ED3AF9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6" w:name="_Toc171435411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Supplementary Table 1: </w:t>
      </w:r>
      <w:r w:rsidR="00ED661D"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>Full results for all scenarios from the evidence allocation live poll</w:t>
      </w:r>
      <w:r w:rsidR="001F2564"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(September 2023 CanVIG-UK meeting)</w:t>
      </w:r>
      <w:bookmarkEnd w:id="16"/>
    </w:p>
    <w:tbl>
      <w:tblPr>
        <w:tblW w:w="15101" w:type="dxa"/>
        <w:tblLook w:val="04A0" w:firstRow="1" w:lastRow="0" w:firstColumn="1" w:lastColumn="0" w:noHBand="0" w:noVBand="1"/>
      </w:tblPr>
      <w:tblGrid>
        <w:gridCol w:w="2124"/>
        <w:gridCol w:w="2015"/>
        <w:gridCol w:w="1707"/>
        <w:gridCol w:w="499"/>
        <w:gridCol w:w="499"/>
        <w:gridCol w:w="499"/>
        <w:gridCol w:w="500"/>
        <w:gridCol w:w="504"/>
        <w:gridCol w:w="479"/>
        <w:gridCol w:w="499"/>
        <w:gridCol w:w="499"/>
        <w:gridCol w:w="499"/>
        <w:gridCol w:w="499"/>
        <w:gridCol w:w="500"/>
        <w:gridCol w:w="459"/>
        <w:gridCol w:w="430"/>
        <w:gridCol w:w="538"/>
        <w:gridCol w:w="459"/>
        <w:gridCol w:w="411"/>
        <w:gridCol w:w="548"/>
        <w:gridCol w:w="474"/>
        <w:gridCol w:w="460"/>
      </w:tblGrid>
      <w:tr w:rsidR="00AE787A" w:rsidRPr="00FE6DE0" w14:paraId="547DED38" w14:textId="77777777" w:rsidTr="006E79A6">
        <w:trPr>
          <w:trHeight w:val="253"/>
        </w:trPr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884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47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22C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Scoring of evidence item (reduced penetrance)</w:t>
            </w:r>
          </w:p>
        </w:tc>
        <w:tc>
          <w:tcPr>
            <w:tcW w:w="22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FDFFE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Overall classification of variant  (reduced penetrance)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0F9DA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MDT discussion </w:t>
            </w: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required</w:t>
            </w:r>
          </w:p>
        </w:tc>
      </w:tr>
      <w:tr w:rsidR="00AE787A" w:rsidRPr="00FE6DE0" w14:paraId="07DDFE4A" w14:textId="77777777" w:rsidTr="006E79A6">
        <w:trPr>
          <w:trHeight w:val="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2730D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C7A3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34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AFCF2AF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Towards Benignity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72E1E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Nil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29B10932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Towards Pathogenicity</w:t>
            </w:r>
          </w:p>
        </w:tc>
        <w:tc>
          <w:tcPr>
            <w:tcW w:w="22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A83E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30C5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503B8E" w:rsidRPr="00FE6DE0" w14:paraId="596DAB78" w14:textId="77777777" w:rsidTr="006E79A6">
        <w:trPr>
          <w:trHeight w:val="2425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7120B1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Poll Question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00EE7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Evidence being scored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7D46" w14:textId="77777777" w:rsidR="00CD62CE" w:rsidRPr="00FE6DE0" w:rsidRDefault="00CD62CE" w:rsidP="00CD6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Other Evidence available for hypothetical variant</w:t>
            </w: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14:paraId="59FAB99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Very Strong (-8 evidence points)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14:paraId="02AF144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Strong (-4 evidence points)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14:paraId="11A8A3C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-3 evidence points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14:paraId="0DA002E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Moderate (-2 evidence points)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14:paraId="4E9C413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Supporting (-1 evidence points)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14:paraId="5B7DD68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Evidence not applied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btLr"/>
            <w:vAlign w:val="bottom"/>
            <w:hideMark/>
          </w:tcPr>
          <w:p w14:paraId="059B0DA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Supporting (1 evidence point)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14:paraId="28684E2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Moderate (2 evidence points)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textDirection w:val="btLr"/>
            <w:vAlign w:val="bottom"/>
            <w:hideMark/>
          </w:tcPr>
          <w:p w14:paraId="448B4A1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 evidence points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14:paraId="2EA6545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Strong (4 evidence points)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textDirection w:val="btLr"/>
            <w:vAlign w:val="bottom"/>
            <w:hideMark/>
          </w:tcPr>
          <w:p w14:paraId="3DFE240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Very Strong (8 evidence points)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9B8467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Pathogenic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D74A9C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Likely Pathogenic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FA25A56" w14:textId="77777777" w:rsidR="00CD62CE" w:rsidRPr="00FE6DE0" w:rsidRDefault="00CD62CE" w:rsidP="00AE7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Variant of Uncertain Significance (VUS)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7078A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Likely Benign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FD239B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Benign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EFE375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9EE8F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Local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5C2113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National</w:t>
            </w:r>
          </w:p>
        </w:tc>
      </w:tr>
      <w:tr w:rsidR="00002263" w:rsidRPr="00FE6DE0" w14:paraId="409F8E72" w14:textId="77777777" w:rsidTr="00002263">
        <w:trPr>
          <w:trHeight w:val="238"/>
        </w:trPr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58051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Scenario 1: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How would you score this case control  evidence towards pathogenicity (PS4)?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73B4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OR=1.5 (95% CI 1.0-2.0, p=0.05)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A3EC1" w14:textId="71FD2549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BRCT Domain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REVEL = 0.76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 xml:space="preserve">1/118,479 observations in </w:t>
            </w:r>
            <w:proofErr w:type="spellStart"/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gnomAD</w:t>
            </w:r>
            <w:proofErr w:type="spellEnd"/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v2.1.1 exomes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718646C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47564A3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546AC91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1FB0993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54F3DA5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2A0BBD8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1F73BFC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36915BA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017538F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0917DAF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7336F64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1E9356B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1572032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51EF6E6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696BDFC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6A73C3A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7624F37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029E1A3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06608A2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</w:tr>
      <w:tr w:rsidR="00002263" w:rsidRPr="00FE6DE0" w14:paraId="1ECA4F59" w14:textId="77777777" w:rsidTr="00002263">
        <w:trPr>
          <w:trHeight w:val="238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88B50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559C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OR=2.2 (95% CI 1.0-3.4, p=0.05)</w:t>
            </w:r>
          </w:p>
        </w:tc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2C9D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45070C8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3A79ABA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68BB207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6DD9B6F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544E23D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54C1A26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2381401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3083611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3B30301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42B24E9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4D7E5F2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0414787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205F24C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7D12F08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5AA2967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2A73B6F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43DEF4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471050D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57F9A20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</w:tr>
      <w:tr w:rsidR="00002263" w:rsidRPr="00FE6DE0" w14:paraId="3D9E0950" w14:textId="77777777" w:rsidTr="00002263">
        <w:trPr>
          <w:trHeight w:val="238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52CA8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302B3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OR=2.2 (95% CI 1.5-2.7, p=0.001)</w:t>
            </w:r>
          </w:p>
        </w:tc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6506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4376F8C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4631B13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7B68988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76B004B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59B2285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22C16FB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71E6789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31AE42C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0543BB9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12810CD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7BD569C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45486F9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06EE65A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02BE711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5F0451E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43C6AB4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7A6125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791A995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0C79F44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</w:tr>
      <w:tr w:rsidR="00002263" w:rsidRPr="00FE6DE0" w14:paraId="0EF4DF4C" w14:textId="77777777" w:rsidTr="00002263">
        <w:trPr>
          <w:trHeight w:val="484"/>
        </w:trPr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805A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D84F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OR=2.2 (95% CI 1.5-2.7, p=0.001) </w:t>
            </w: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br/>
              <w:t>and OR=2.2 (95% CI 1.0-3.4, p=0.05)</w:t>
            </w:r>
          </w:p>
        </w:tc>
        <w:tc>
          <w:tcPr>
            <w:tcW w:w="17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C426C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6A1112C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2C09949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06961ED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482A5B4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1BFD651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C5EE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5271903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69B5A48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7876C5F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7F962BA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FDEFE9"/>
            <w:noWrap/>
            <w:hideMark/>
          </w:tcPr>
          <w:p w14:paraId="3F16E25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F70B7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807DF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737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196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8C85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3B248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FDE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C4D7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</w:tr>
      <w:tr w:rsidR="00002263" w:rsidRPr="00FE6DE0" w14:paraId="41186BB5" w14:textId="77777777" w:rsidTr="00002263">
        <w:trPr>
          <w:trHeight w:val="503"/>
        </w:trPr>
        <w:tc>
          <w:tcPr>
            <w:tcW w:w="2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270CE5" w14:textId="36EB9809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Scenario 2: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How would you score functional evidence towards benignity/pathogenicity (PS3/BS3)? </w:t>
            </w:r>
            <w:r w:rsidRPr="00FE6D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All assays have been assessed as providing 'strong' evidence on Brnich </w:t>
            </w:r>
            <w:r w:rsidR="006F337D" w:rsidRPr="00FE6D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assessment</w:t>
            </w:r>
            <w:r w:rsidRPr="00FE6D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using negative and positive control variants presumed as full penetrance.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26A66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LOF on assay 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CB7965" w14:textId="7003EC13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BRCT domain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 xml:space="preserve">REVEL = 0.76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 xml:space="preserve">1/118,479 observations in </w:t>
            </w:r>
            <w:proofErr w:type="spellStart"/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gnomAD</w:t>
            </w:r>
            <w:proofErr w:type="spellEnd"/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v2.1.1 exomes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OR=2.2 (95% CI 1.5-2.7, p=0.001)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15FCCA6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1DEE439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58A3ADB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1A4CA96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0A0C101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0BD302C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391D4DE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34425BB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70C4D87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4AB213E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2CB2F66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68A4046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77495FE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54F0BFC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32FA7BE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4E71213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651521C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76BEFDA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1816E33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</w:tr>
      <w:tr w:rsidR="00002263" w:rsidRPr="00FE6DE0" w14:paraId="22D0B22C" w14:textId="77777777" w:rsidTr="00002263">
        <w:trPr>
          <w:trHeight w:val="503"/>
        </w:trPr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E8E2B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4E1F6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Intermediate effect, towards LOF, on assay 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8AB7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067681F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0B63DD9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1139621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617503F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61250A7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65106AB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41DB2B1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1010590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5E338B2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7A6E207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6DDFA7F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83C17A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746563C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70B17C8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6403C3A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7F74B6F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B9B82B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57F2527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06526A9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</w:tr>
      <w:tr w:rsidR="00002263" w:rsidRPr="00FE6DE0" w14:paraId="18FEA07F" w14:textId="77777777" w:rsidTr="00002263">
        <w:trPr>
          <w:trHeight w:val="503"/>
        </w:trPr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50111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AD31D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Intermediate effect, towards functional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D062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0FC2D1B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3FF49D3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263F4BB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6548D9C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36D6FAB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705CEF0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384AFAB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2F81459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0D57055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5E75053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4A55FFA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603E4A8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50BD8C6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12C0658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7A0477A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18706DE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2C3453F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6E84FA0C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7E7992B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</w:tr>
      <w:tr w:rsidR="00002263" w:rsidRPr="00FE6DE0" w14:paraId="2A35D7EA" w14:textId="77777777" w:rsidTr="00002263">
        <w:trPr>
          <w:trHeight w:val="814"/>
        </w:trPr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FE127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D9E23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LOF on one assay,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 xml:space="preserve">Functional on different assay 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8800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75155CAB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4F91062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09A6E88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EBF2F9"/>
            <w:noWrap/>
            <w:hideMark/>
          </w:tcPr>
          <w:p w14:paraId="633275E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EBF2F9"/>
            <w:noWrap/>
            <w:hideMark/>
          </w:tcPr>
          <w:p w14:paraId="21E10A7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D9D9D9"/>
            <w:noWrap/>
            <w:hideMark/>
          </w:tcPr>
          <w:p w14:paraId="515C176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54FABAE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31E0629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DEFE9"/>
            <w:noWrap/>
            <w:hideMark/>
          </w:tcPr>
          <w:p w14:paraId="083329A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DEFE9"/>
            <w:noWrap/>
            <w:hideMark/>
          </w:tcPr>
          <w:p w14:paraId="2DD29E2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FDEFE9"/>
            <w:noWrap/>
            <w:hideMark/>
          </w:tcPr>
          <w:p w14:paraId="04090805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69856BD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E87615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6AAE039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30CCD8E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DA8F07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151E4FC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46E6C4B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noWrap/>
            <w:hideMark/>
          </w:tcPr>
          <w:p w14:paraId="1E15179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</w:tr>
      <w:tr w:rsidR="00002263" w:rsidRPr="00FE6DE0" w14:paraId="05D0EB74" w14:textId="77777777" w:rsidTr="00002263">
        <w:trPr>
          <w:trHeight w:val="503"/>
        </w:trPr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A8F55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9C3F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Functional on assay 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F597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3457B3F9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23A0227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5156DBE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0C3E773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536F89F0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7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0B8EAE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4B6DA8E3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48F4FA16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792AEDD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7EF4293F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FDEFE9"/>
            <w:noWrap/>
            <w:hideMark/>
          </w:tcPr>
          <w:p w14:paraId="77DF60B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8EAFBD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F8BC5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A89A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08F7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9FD0A8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14B0A4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7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8E32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0EF81" w14:textId="77777777" w:rsidR="00CD62CE" w:rsidRPr="00FE6DE0" w:rsidRDefault="00CD62CE" w:rsidP="00E033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</w:tr>
      <w:tr w:rsidR="00002263" w:rsidRPr="00FE6DE0" w14:paraId="195E4279" w14:textId="77777777" w:rsidTr="00002263">
        <w:trPr>
          <w:trHeight w:val="962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E56E7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Scenario 3: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How would you score this allelic evidence towards benignity/pathogenicity (BS2/PM3)?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BEDA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Variant</w:t>
            </w:r>
            <w:r w:rsidRPr="00FE6D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in trans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with a BRCA1 pathogenic variant in individual with early onset breast cancer (no other phenotype).  Abnormal chromosome breakage studies 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9D7E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378C420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1ACF196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160F84F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6C6C3F0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0FBA1CA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AD08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584E569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505C6B1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04845C5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64D673E7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FE9"/>
            <w:noWrap/>
            <w:hideMark/>
          </w:tcPr>
          <w:p w14:paraId="1229550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AF23B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FAE6B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119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75A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2125D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B4B710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CF7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7867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</w:tr>
      <w:tr w:rsidR="00002263" w:rsidRPr="00FE6DE0" w14:paraId="262F7CCF" w14:textId="77777777" w:rsidTr="00002263">
        <w:trPr>
          <w:trHeight w:val="962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28DB1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Scenario 4: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How would you score this allelic evidence towards benignity (BS2)?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B12D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Variant </w:t>
            </w:r>
            <w:r w:rsidRPr="00FE6DE0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in trans</w:t>
            </w: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with pathogenic BRCA2 variant, no reported Fanconi anaemia features.  No available chromosome breakage studies (BS2)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E4F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7805E06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147E8EE3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563C483F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61AC720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2FA03C6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3A39E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21CBF76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28DF3C3B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1716690B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51C89B05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FE9"/>
            <w:noWrap/>
            <w:hideMark/>
          </w:tcPr>
          <w:p w14:paraId="17EFE85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B1C73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4349937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C612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7A61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E8ACE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3E400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677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E3EE4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</w:tr>
      <w:tr w:rsidR="00002263" w:rsidRPr="00FE6DE0" w14:paraId="7E6B089C" w14:textId="77777777" w:rsidTr="00002263">
        <w:trPr>
          <w:trHeight w:val="962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D3CBB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Scenario 5: 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How would you score this segregation  evidence  towards benignity (BS4)? </w:t>
            </w:r>
            <w:r w:rsidRPr="00FE6DE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Segregation score generated under a full penetrance model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B265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Segregation data from Parsons et al., 2019: LR = 0.04</w:t>
            </w: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 -4</w:t>
            </w: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exponent points (BS4)</w:t>
            </w: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B936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5693AE0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7A888F9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63FAA65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2F9"/>
            <w:noWrap/>
            <w:hideMark/>
          </w:tcPr>
          <w:p w14:paraId="21CD5BA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BF2F9"/>
            <w:noWrap/>
            <w:hideMark/>
          </w:tcPr>
          <w:p w14:paraId="5E42315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6CCE3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653029D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03C1DB60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DEFE9"/>
            <w:noWrap/>
            <w:hideMark/>
          </w:tcPr>
          <w:p w14:paraId="3F09A32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FE9"/>
            <w:noWrap/>
            <w:hideMark/>
          </w:tcPr>
          <w:p w14:paraId="6FC5E31D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FE9"/>
            <w:noWrap/>
            <w:hideMark/>
          </w:tcPr>
          <w:p w14:paraId="15A6D3B6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NA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14B07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C31D7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8D09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898E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FAF87C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1B761A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A11B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76498" w14:textId="77777777" w:rsidR="00CD62CE" w:rsidRPr="00FE6DE0" w:rsidRDefault="00CD62CE" w:rsidP="00CD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E6DE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</w:tr>
    </w:tbl>
    <w:p w14:paraId="1E4042C3" w14:textId="77777777" w:rsidR="00CD62CE" w:rsidRPr="00FE6DE0" w:rsidRDefault="00CD62CE" w:rsidP="00CD62CE">
      <w:pPr>
        <w:rPr>
          <w:rFonts w:ascii="Arial" w:hAnsi="Arial" w:cs="Arial"/>
        </w:rPr>
      </w:pPr>
    </w:p>
    <w:p w14:paraId="3C2DE6B6" w14:textId="77777777" w:rsidR="00ED661D" w:rsidRPr="00FE6DE0" w:rsidRDefault="00ED661D" w:rsidP="00ED661D">
      <w:pPr>
        <w:rPr>
          <w:rFonts w:ascii="Arial" w:hAnsi="Arial" w:cs="Arial"/>
        </w:rPr>
      </w:pPr>
    </w:p>
    <w:p w14:paraId="6F71EBCD" w14:textId="77777777" w:rsidR="00F23942" w:rsidRPr="00FE6DE0" w:rsidRDefault="00F23942" w:rsidP="00ED661D">
      <w:pPr>
        <w:rPr>
          <w:rFonts w:ascii="Arial" w:hAnsi="Arial" w:cs="Arial"/>
        </w:rPr>
      </w:pPr>
    </w:p>
    <w:p w14:paraId="62548AA2" w14:textId="77777777" w:rsidR="008C149D" w:rsidRPr="00FE6DE0" w:rsidRDefault="008C149D" w:rsidP="00ED661D">
      <w:pPr>
        <w:rPr>
          <w:rFonts w:ascii="Arial" w:hAnsi="Arial" w:cs="Arial"/>
        </w:rPr>
      </w:pPr>
    </w:p>
    <w:p w14:paraId="2FAC1CD8" w14:textId="77777777" w:rsidR="008C149D" w:rsidRPr="00FE6DE0" w:rsidRDefault="008C149D" w:rsidP="00ED661D">
      <w:pPr>
        <w:rPr>
          <w:rFonts w:ascii="Arial" w:hAnsi="Arial" w:cs="Arial"/>
        </w:rPr>
      </w:pPr>
    </w:p>
    <w:p w14:paraId="33F130FC" w14:textId="77777777" w:rsidR="008C149D" w:rsidRPr="00FE6DE0" w:rsidRDefault="008C149D" w:rsidP="00ED661D">
      <w:pPr>
        <w:rPr>
          <w:rFonts w:ascii="Arial" w:hAnsi="Arial" w:cs="Arial"/>
        </w:rPr>
      </w:pPr>
    </w:p>
    <w:p w14:paraId="76257F41" w14:textId="77777777" w:rsidR="008C149D" w:rsidRPr="00FE6DE0" w:rsidRDefault="008C149D" w:rsidP="00ED661D">
      <w:pPr>
        <w:rPr>
          <w:rFonts w:ascii="Arial" w:hAnsi="Arial" w:cs="Arial"/>
        </w:rPr>
      </w:pPr>
    </w:p>
    <w:p w14:paraId="1B790160" w14:textId="77777777" w:rsidR="008C149D" w:rsidRPr="00FE6DE0" w:rsidRDefault="008C149D" w:rsidP="00ED661D">
      <w:pPr>
        <w:rPr>
          <w:rFonts w:ascii="Arial" w:hAnsi="Arial" w:cs="Arial"/>
        </w:rPr>
      </w:pPr>
    </w:p>
    <w:p w14:paraId="5B29BB57" w14:textId="77777777" w:rsidR="008C149D" w:rsidRPr="00FE6DE0" w:rsidRDefault="008C149D" w:rsidP="00ED661D">
      <w:pPr>
        <w:rPr>
          <w:rFonts w:ascii="Arial" w:hAnsi="Arial" w:cs="Arial"/>
        </w:rPr>
      </w:pPr>
    </w:p>
    <w:p w14:paraId="4341B1EA" w14:textId="77777777" w:rsidR="008C149D" w:rsidRPr="00FE6DE0" w:rsidRDefault="008C149D" w:rsidP="00ED661D">
      <w:pPr>
        <w:rPr>
          <w:rFonts w:ascii="Arial" w:hAnsi="Arial" w:cs="Arial"/>
        </w:rPr>
      </w:pPr>
    </w:p>
    <w:p w14:paraId="2A461BFA" w14:textId="77777777" w:rsidR="008C149D" w:rsidRPr="00FE6DE0" w:rsidRDefault="008C149D" w:rsidP="00ED661D">
      <w:pPr>
        <w:rPr>
          <w:rFonts w:ascii="Arial" w:hAnsi="Arial" w:cs="Arial"/>
        </w:rPr>
      </w:pPr>
    </w:p>
    <w:p w14:paraId="64B9B714" w14:textId="48137FD1" w:rsidR="00F23942" w:rsidRPr="00FE6DE0" w:rsidRDefault="0061196C" w:rsidP="00ED661D">
      <w:pPr>
        <w:rPr>
          <w:rFonts w:ascii="Arial" w:hAnsi="Arial" w:cs="Arial"/>
        </w:rPr>
      </w:pPr>
      <w:r w:rsidRPr="00FE6DE0">
        <w:rPr>
          <w:rFonts w:ascii="Arial" w:hAnsi="Arial" w:cs="Arial"/>
          <w:b/>
          <w:bCs/>
        </w:rPr>
        <w:t>Supplementary Table 2: Full responses from CanVIG-UK live polls regarding use of the reduced penetrance framework for ‘Scenario A’ and ‘Scenario B’ variants</w:t>
      </w:r>
      <w:r w:rsidR="00F66ADC" w:rsidRPr="00FE6DE0">
        <w:rPr>
          <w:rFonts w:ascii="Arial" w:hAnsi="Arial" w:cs="Arial"/>
          <w:b/>
          <w:bCs/>
        </w:rPr>
        <w:t>.</w:t>
      </w:r>
      <w:r w:rsidR="00F66ADC" w:rsidRPr="00FE6DE0">
        <w:rPr>
          <w:rFonts w:ascii="Arial" w:hAnsi="Arial" w:cs="Arial"/>
        </w:rPr>
        <w:t xml:space="preserve"> Live polls were conducted during the CanVIG-UK February and March 2024 meetings, with an online survey circulated between February and March meetings</w:t>
      </w:r>
      <w:r w:rsidR="008C149D" w:rsidRPr="00FE6DE0">
        <w:rPr>
          <w:rFonts w:ascii="Arial" w:hAnsi="Arial" w:cs="Arial"/>
        </w:rPr>
        <w:t>.</w:t>
      </w:r>
      <w:r w:rsidR="00207870" w:rsidRPr="00FE6DE0">
        <w:rPr>
          <w:rFonts w:ascii="Arial" w:hAnsi="Arial" w:cs="Arial"/>
        </w:rPr>
        <w:t xml:space="preserve"> Further </w:t>
      </w:r>
      <w:r w:rsidR="005551A2" w:rsidRPr="00FE6DE0">
        <w:rPr>
          <w:rFonts w:ascii="Arial" w:hAnsi="Arial" w:cs="Arial"/>
        </w:rPr>
        <w:t>information</w:t>
      </w:r>
      <w:r w:rsidR="00207870" w:rsidRPr="00FE6DE0">
        <w:rPr>
          <w:rFonts w:ascii="Arial" w:hAnsi="Arial" w:cs="Arial"/>
        </w:rPr>
        <w:t xml:space="preserve"> regarding the evidence discussed for each variant </w:t>
      </w:r>
      <w:r w:rsidR="005551A2" w:rsidRPr="00FE6DE0">
        <w:rPr>
          <w:rFonts w:ascii="Arial" w:hAnsi="Arial" w:cs="Arial"/>
        </w:rPr>
        <w:t xml:space="preserve">is </w:t>
      </w:r>
      <w:r w:rsidR="002A4328" w:rsidRPr="00FE6DE0">
        <w:rPr>
          <w:rFonts w:ascii="Arial" w:hAnsi="Arial" w:cs="Arial"/>
        </w:rPr>
        <w:t>provided</w:t>
      </w:r>
      <w:r w:rsidR="005551A2" w:rsidRPr="00FE6DE0">
        <w:rPr>
          <w:rFonts w:ascii="Arial" w:hAnsi="Arial" w:cs="Arial"/>
        </w:rPr>
        <w:t xml:space="preserve"> in Table 2.</w:t>
      </w:r>
    </w:p>
    <w:tbl>
      <w:tblPr>
        <w:tblStyle w:val="TableGrid"/>
        <w:tblW w:w="14734" w:type="dxa"/>
        <w:tblLook w:val="04A0" w:firstRow="1" w:lastRow="0" w:firstColumn="1" w:lastColumn="0" w:noHBand="0" w:noVBand="1"/>
      </w:tblPr>
      <w:tblGrid>
        <w:gridCol w:w="2405"/>
        <w:gridCol w:w="7796"/>
        <w:gridCol w:w="3261"/>
        <w:gridCol w:w="1272"/>
      </w:tblGrid>
      <w:tr w:rsidR="002A4328" w:rsidRPr="00FE6DE0" w14:paraId="6CFE8D42" w14:textId="77777777" w:rsidTr="00FE6DE0">
        <w:trPr>
          <w:trHeight w:val="245"/>
        </w:trPr>
        <w:tc>
          <w:tcPr>
            <w:tcW w:w="2405" w:type="dxa"/>
          </w:tcPr>
          <w:p w14:paraId="038558B1" w14:textId="6FCDA4D3" w:rsidR="008C149D" w:rsidRPr="00FE6DE0" w:rsidRDefault="008C149D" w:rsidP="008C1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DE0">
              <w:rPr>
                <w:rFonts w:ascii="Arial" w:hAnsi="Arial" w:cs="Arial"/>
                <w:b/>
                <w:bCs/>
                <w:sz w:val="20"/>
                <w:szCs w:val="20"/>
              </w:rPr>
              <w:t>Poll/Survey</w:t>
            </w:r>
          </w:p>
        </w:tc>
        <w:tc>
          <w:tcPr>
            <w:tcW w:w="7796" w:type="dxa"/>
          </w:tcPr>
          <w:p w14:paraId="2DA83094" w14:textId="3FAA6D74" w:rsidR="008C149D" w:rsidRPr="00FE6DE0" w:rsidRDefault="008C149D" w:rsidP="008C1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DE0">
              <w:rPr>
                <w:rFonts w:ascii="Arial" w:hAnsi="Arial" w:cs="Arial"/>
                <w:b/>
                <w:bCs/>
                <w:sz w:val="20"/>
                <w:szCs w:val="20"/>
              </w:rPr>
              <w:t>Question posed</w:t>
            </w:r>
          </w:p>
        </w:tc>
        <w:tc>
          <w:tcPr>
            <w:tcW w:w="3261" w:type="dxa"/>
          </w:tcPr>
          <w:p w14:paraId="364EEA7C" w14:textId="2886D0CC" w:rsidR="008C149D" w:rsidRPr="00FE6DE0" w:rsidRDefault="008C149D" w:rsidP="008C1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DE0">
              <w:rPr>
                <w:rFonts w:ascii="Arial" w:hAnsi="Arial" w:cs="Arial"/>
                <w:b/>
                <w:bCs/>
                <w:sz w:val="20"/>
                <w:szCs w:val="20"/>
              </w:rPr>
              <w:t>Response options</w:t>
            </w:r>
          </w:p>
        </w:tc>
        <w:tc>
          <w:tcPr>
            <w:tcW w:w="1272" w:type="dxa"/>
          </w:tcPr>
          <w:p w14:paraId="0C865FF5" w14:textId="793C6859" w:rsidR="008C149D" w:rsidRPr="00FE6DE0" w:rsidRDefault="00A35F92" w:rsidP="008C14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DE0">
              <w:rPr>
                <w:rFonts w:ascii="Arial" w:hAnsi="Arial" w:cs="Arial"/>
                <w:b/>
                <w:bCs/>
                <w:sz w:val="20"/>
                <w:szCs w:val="20"/>
              </w:rPr>
              <w:t>Counts</w:t>
            </w:r>
          </w:p>
        </w:tc>
      </w:tr>
      <w:tr w:rsidR="008A4750" w:rsidRPr="00FE6DE0" w14:paraId="288E0146" w14:textId="77777777" w:rsidTr="00FE6DE0">
        <w:trPr>
          <w:trHeight w:val="258"/>
        </w:trPr>
        <w:tc>
          <w:tcPr>
            <w:tcW w:w="2405" w:type="dxa"/>
            <w:vMerge w:val="restart"/>
          </w:tcPr>
          <w:p w14:paraId="690B17AD" w14:textId="155CBD7E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Live Poll (in-meeting, February 2024)</w:t>
            </w:r>
          </w:p>
        </w:tc>
        <w:tc>
          <w:tcPr>
            <w:tcW w:w="7796" w:type="dxa"/>
            <w:vMerge w:val="restart"/>
          </w:tcPr>
          <w:p w14:paraId="69983850" w14:textId="0A7459EE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 xml:space="preserve">Using the reduced penetrance framework, how would you classify the following variant: </w:t>
            </w:r>
            <w:r w:rsidRPr="00FE6DE0">
              <w:rPr>
                <w:rFonts w:ascii="Arial" w:hAnsi="Arial" w:cs="Arial"/>
                <w:i/>
                <w:iCs/>
                <w:sz w:val="20"/>
                <w:szCs w:val="20"/>
              </w:rPr>
              <w:t>BRCA2</w:t>
            </w:r>
            <w:r w:rsidRPr="00FE6DE0">
              <w:rPr>
                <w:rFonts w:ascii="Arial" w:hAnsi="Arial" w:cs="Arial"/>
                <w:sz w:val="20"/>
                <w:szCs w:val="20"/>
              </w:rPr>
              <w:t xml:space="preserve"> c.9302T&gt;G p.(Leu3101Arg)?</w:t>
            </w:r>
          </w:p>
        </w:tc>
        <w:tc>
          <w:tcPr>
            <w:tcW w:w="3261" w:type="dxa"/>
          </w:tcPr>
          <w:p w14:paraId="0FB5478E" w14:textId="5AC8BE37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3886DB0B" w14:textId="11D9E7AC" w:rsidR="008A4750" w:rsidRPr="00FE6DE0" w:rsidRDefault="00B94616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4750" w:rsidRPr="00FE6DE0" w14:paraId="324FB76E" w14:textId="77777777" w:rsidTr="00FE6DE0">
        <w:trPr>
          <w:trHeight w:val="258"/>
        </w:trPr>
        <w:tc>
          <w:tcPr>
            <w:tcW w:w="2405" w:type="dxa"/>
            <w:vMerge/>
          </w:tcPr>
          <w:p w14:paraId="0B8188DB" w14:textId="37ABAA3C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036BF3EF" w14:textId="77777777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F79B80B" w14:textId="7192B154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5B965BE1" w14:textId="3E993D64" w:rsidR="008A4750" w:rsidRPr="00FE6DE0" w:rsidRDefault="00B94616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A4750" w:rsidRPr="00FE6DE0" w14:paraId="76EB8B0E" w14:textId="77777777" w:rsidTr="00FE6DE0">
        <w:trPr>
          <w:trHeight w:val="258"/>
        </w:trPr>
        <w:tc>
          <w:tcPr>
            <w:tcW w:w="2405" w:type="dxa"/>
            <w:vMerge/>
          </w:tcPr>
          <w:p w14:paraId="6AD3B0D2" w14:textId="711B7AAC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563352B0" w14:textId="77777777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9F80115" w14:textId="6F2E712D" w:rsidR="008A4750" w:rsidRPr="00FE6DE0" w:rsidRDefault="008A4750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0A4E3FA0" w14:textId="5B557D4B" w:rsidR="008A4750" w:rsidRPr="00FE6DE0" w:rsidRDefault="002B5C97" w:rsidP="008C149D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4750" w:rsidRPr="00FE6DE0" w14:paraId="68BE947F" w14:textId="77777777" w:rsidTr="00FE6DE0">
        <w:trPr>
          <w:trHeight w:val="258"/>
        </w:trPr>
        <w:tc>
          <w:tcPr>
            <w:tcW w:w="2405" w:type="dxa"/>
            <w:vMerge/>
          </w:tcPr>
          <w:p w14:paraId="45427F30" w14:textId="0090C34B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23162BE2" w14:textId="4157DDC8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 xml:space="preserve">Using the reduced penetrance framework, how would you classify the following variant: </w:t>
            </w:r>
            <w:r w:rsidRPr="00FE6DE0">
              <w:rPr>
                <w:rFonts w:ascii="Arial" w:hAnsi="Arial" w:cs="Arial"/>
                <w:i/>
                <w:iCs/>
                <w:sz w:val="20"/>
                <w:szCs w:val="20"/>
              </w:rPr>
              <w:t>BRCA2</w:t>
            </w:r>
            <w:r w:rsidRPr="00FE6DE0">
              <w:rPr>
                <w:rFonts w:ascii="Arial" w:hAnsi="Arial" w:cs="Arial"/>
                <w:sz w:val="20"/>
                <w:szCs w:val="20"/>
              </w:rPr>
              <w:t xml:space="preserve"> c.520C&gt;T p.(Arg174Cys)?</w:t>
            </w:r>
          </w:p>
        </w:tc>
        <w:tc>
          <w:tcPr>
            <w:tcW w:w="3261" w:type="dxa"/>
          </w:tcPr>
          <w:p w14:paraId="249E2F9B" w14:textId="298E511F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6395111E" w14:textId="16666C8D" w:rsidR="008A4750" w:rsidRPr="00FE6DE0" w:rsidRDefault="002B5C97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4750" w:rsidRPr="00FE6DE0" w14:paraId="36A8E154" w14:textId="77777777" w:rsidTr="00FE6DE0">
        <w:trPr>
          <w:trHeight w:val="258"/>
        </w:trPr>
        <w:tc>
          <w:tcPr>
            <w:tcW w:w="2405" w:type="dxa"/>
            <w:vMerge/>
          </w:tcPr>
          <w:p w14:paraId="7253BBDA" w14:textId="36F803D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115A93BB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AE23863" w14:textId="53CAE44F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339A046F" w14:textId="100A0F4B" w:rsidR="008A4750" w:rsidRPr="00FE6DE0" w:rsidRDefault="002B5C97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A4750" w:rsidRPr="00FE6DE0" w14:paraId="00CBABC5" w14:textId="77777777" w:rsidTr="00FE6DE0">
        <w:trPr>
          <w:trHeight w:val="258"/>
        </w:trPr>
        <w:tc>
          <w:tcPr>
            <w:tcW w:w="2405" w:type="dxa"/>
            <w:vMerge/>
          </w:tcPr>
          <w:p w14:paraId="7E42049B" w14:textId="6D417C9A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45B7BC73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55148" w14:textId="29A58092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10CC1844" w14:textId="1D9C852C" w:rsidR="008A4750" w:rsidRPr="00FE6DE0" w:rsidRDefault="002B5C97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4750" w:rsidRPr="00FE6DE0" w14:paraId="681EBE8F" w14:textId="77777777" w:rsidTr="00FE6DE0">
        <w:trPr>
          <w:trHeight w:val="258"/>
        </w:trPr>
        <w:tc>
          <w:tcPr>
            <w:tcW w:w="2405" w:type="dxa"/>
            <w:vMerge/>
          </w:tcPr>
          <w:p w14:paraId="2089477C" w14:textId="650FA4BB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4D882C40" w14:textId="45FB3BA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 xml:space="preserve">Using the reduced penetrance framework, how would you classify the following variant: </w:t>
            </w:r>
            <w:r w:rsidRPr="00FE6DE0">
              <w:rPr>
                <w:rFonts w:ascii="Arial" w:hAnsi="Arial" w:cs="Arial"/>
                <w:i/>
                <w:iCs/>
                <w:sz w:val="20"/>
                <w:szCs w:val="20"/>
              </w:rPr>
              <w:t>BRCA2</w:t>
            </w:r>
            <w:r w:rsidRPr="00FE6DE0">
              <w:rPr>
                <w:rFonts w:ascii="Arial" w:hAnsi="Arial" w:cs="Arial"/>
                <w:sz w:val="20"/>
                <w:szCs w:val="20"/>
              </w:rPr>
              <w:t xml:space="preserve"> c.8351G&gt;A p.(Arg2784Gln)?</w:t>
            </w:r>
          </w:p>
        </w:tc>
        <w:tc>
          <w:tcPr>
            <w:tcW w:w="3261" w:type="dxa"/>
          </w:tcPr>
          <w:p w14:paraId="7C166E2C" w14:textId="3395A1CD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038D8B1E" w14:textId="0912017C" w:rsidR="008A4750" w:rsidRPr="00FE6DE0" w:rsidRDefault="00647AF6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4750" w:rsidRPr="00FE6DE0" w14:paraId="7B9A3209" w14:textId="77777777" w:rsidTr="00FE6DE0">
        <w:trPr>
          <w:trHeight w:val="258"/>
        </w:trPr>
        <w:tc>
          <w:tcPr>
            <w:tcW w:w="2405" w:type="dxa"/>
            <w:vMerge/>
          </w:tcPr>
          <w:p w14:paraId="3528CAF3" w14:textId="7220A85B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78FEA91C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CAA9965" w14:textId="0E6D0EA4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17CBAC35" w14:textId="122A6362" w:rsidR="008A4750" w:rsidRPr="00FE6DE0" w:rsidRDefault="00647AF6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A4750" w:rsidRPr="00FE6DE0" w14:paraId="1F7466CA" w14:textId="77777777" w:rsidTr="00FE6DE0">
        <w:trPr>
          <w:trHeight w:val="258"/>
        </w:trPr>
        <w:tc>
          <w:tcPr>
            <w:tcW w:w="2405" w:type="dxa"/>
            <w:vMerge/>
          </w:tcPr>
          <w:p w14:paraId="74F1507D" w14:textId="20DB2FF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68A9CF35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D63ABA0" w14:textId="08D762E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23BC1A4E" w14:textId="4BE50D3C" w:rsidR="008A4750" w:rsidRPr="00FE6DE0" w:rsidRDefault="00647AF6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A4750" w:rsidRPr="00FE6DE0" w14:paraId="2A60094D" w14:textId="77777777" w:rsidTr="00FE6DE0">
        <w:trPr>
          <w:trHeight w:val="144"/>
        </w:trPr>
        <w:tc>
          <w:tcPr>
            <w:tcW w:w="2405" w:type="dxa"/>
            <w:vMerge/>
          </w:tcPr>
          <w:p w14:paraId="7C7DFFBB" w14:textId="072B8BFC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08C8925D" w14:textId="7421828A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I would be comfortable as classifying a variant as likely pathogenic with reduced penetrance if supported by case-control evidence</w:t>
            </w:r>
          </w:p>
        </w:tc>
        <w:tc>
          <w:tcPr>
            <w:tcW w:w="3261" w:type="dxa"/>
          </w:tcPr>
          <w:p w14:paraId="05C0CF14" w14:textId="65E2C4B8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272" w:type="dxa"/>
          </w:tcPr>
          <w:p w14:paraId="50D4F5ED" w14:textId="63C7717B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A4750" w:rsidRPr="00FE6DE0" w14:paraId="5CEDF004" w14:textId="77777777" w:rsidTr="00FE6DE0">
        <w:trPr>
          <w:trHeight w:val="144"/>
        </w:trPr>
        <w:tc>
          <w:tcPr>
            <w:tcW w:w="2405" w:type="dxa"/>
            <w:vMerge/>
          </w:tcPr>
          <w:p w14:paraId="17D69C70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1F3C40BE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58C7A82" w14:textId="73AE24E5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272" w:type="dxa"/>
          </w:tcPr>
          <w:p w14:paraId="5944C3FD" w14:textId="43AEFACD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A4750" w:rsidRPr="00FE6DE0" w14:paraId="666D67B0" w14:textId="77777777" w:rsidTr="00FE6DE0">
        <w:trPr>
          <w:trHeight w:val="144"/>
        </w:trPr>
        <w:tc>
          <w:tcPr>
            <w:tcW w:w="2405" w:type="dxa"/>
            <w:vMerge/>
          </w:tcPr>
          <w:p w14:paraId="4151A238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73C9109D" w14:textId="406636C1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I would be comfortable as classifying a variant as likely pathogenic with reduced penetrance if supported by segregation evidence</w:t>
            </w:r>
          </w:p>
        </w:tc>
        <w:tc>
          <w:tcPr>
            <w:tcW w:w="3261" w:type="dxa"/>
          </w:tcPr>
          <w:p w14:paraId="45090885" w14:textId="4267C524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272" w:type="dxa"/>
          </w:tcPr>
          <w:p w14:paraId="0698A1B3" w14:textId="5D8B999F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  <w:r w:rsidR="00FC165C" w:rsidRPr="00FE6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4750" w:rsidRPr="00FE6DE0" w14:paraId="7186831B" w14:textId="77777777" w:rsidTr="00FE6DE0">
        <w:trPr>
          <w:trHeight w:val="144"/>
        </w:trPr>
        <w:tc>
          <w:tcPr>
            <w:tcW w:w="2405" w:type="dxa"/>
            <w:vMerge/>
          </w:tcPr>
          <w:p w14:paraId="55081E27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33798FD7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990047E" w14:textId="548C8DB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272" w:type="dxa"/>
          </w:tcPr>
          <w:p w14:paraId="05094A5E" w14:textId="7E6F4920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A4750" w:rsidRPr="00FE6DE0" w14:paraId="52159B4A" w14:textId="77777777" w:rsidTr="00FE6DE0">
        <w:trPr>
          <w:trHeight w:val="144"/>
        </w:trPr>
        <w:tc>
          <w:tcPr>
            <w:tcW w:w="2405" w:type="dxa"/>
            <w:vMerge/>
          </w:tcPr>
          <w:p w14:paraId="0E2FC72C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59F89C9A" w14:textId="3B8F4A85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I would be comfortable as classifying a variant as likely pathogenic with reduced penetrance in absence of case/control or segregation effect size</w:t>
            </w:r>
          </w:p>
        </w:tc>
        <w:tc>
          <w:tcPr>
            <w:tcW w:w="3261" w:type="dxa"/>
          </w:tcPr>
          <w:p w14:paraId="4B99D923" w14:textId="46CEB478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272" w:type="dxa"/>
          </w:tcPr>
          <w:p w14:paraId="682BF917" w14:textId="4E89D796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4750" w:rsidRPr="00FE6DE0" w14:paraId="2498DE12" w14:textId="77777777" w:rsidTr="00FE6DE0">
        <w:trPr>
          <w:trHeight w:val="144"/>
        </w:trPr>
        <w:tc>
          <w:tcPr>
            <w:tcW w:w="2405" w:type="dxa"/>
            <w:vMerge/>
          </w:tcPr>
          <w:p w14:paraId="6E815347" w14:textId="1E2C5761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7264B4E4" w14:textId="77777777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E49D053" w14:textId="0D8D685F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272" w:type="dxa"/>
          </w:tcPr>
          <w:p w14:paraId="10C9D2F4" w14:textId="0BF8C620" w:rsidR="008A4750" w:rsidRPr="00FE6DE0" w:rsidRDefault="008A4750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C09AF" w:rsidRPr="00FE6DE0" w14:paraId="2AE96CA5" w14:textId="77777777" w:rsidTr="00FE6DE0">
        <w:trPr>
          <w:trHeight w:val="144"/>
        </w:trPr>
        <w:tc>
          <w:tcPr>
            <w:tcW w:w="2405" w:type="dxa"/>
            <w:vMerge w:val="restart"/>
          </w:tcPr>
          <w:p w14:paraId="415D6556" w14:textId="0237F574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 xml:space="preserve">Online Survey (between February and March </w:t>
            </w:r>
            <w:r w:rsidR="00E363F8" w:rsidRPr="00FE6DE0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Pr="00FE6DE0">
              <w:rPr>
                <w:rFonts w:ascii="Arial" w:hAnsi="Arial" w:cs="Arial"/>
                <w:sz w:val="20"/>
                <w:szCs w:val="20"/>
              </w:rPr>
              <w:t>CanVIG-UK meetings)</w:t>
            </w:r>
          </w:p>
          <w:p w14:paraId="29A7C782" w14:textId="181FBA2E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249D864B" w14:textId="3119BF86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At what evidence strength would you apply evidence towards benignity (BS2) for variant (i)?</w:t>
            </w:r>
          </w:p>
        </w:tc>
        <w:tc>
          <w:tcPr>
            <w:tcW w:w="3261" w:type="dxa"/>
          </w:tcPr>
          <w:p w14:paraId="4A35AA56" w14:textId="29186FBD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None (would not apply)</w:t>
            </w:r>
          </w:p>
        </w:tc>
        <w:tc>
          <w:tcPr>
            <w:tcW w:w="1272" w:type="dxa"/>
          </w:tcPr>
          <w:p w14:paraId="07D47CD6" w14:textId="09F7F652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09AF" w:rsidRPr="00FE6DE0" w14:paraId="4556D91C" w14:textId="77777777" w:rsidTr="00FE6DE0">
        <w:trPr>
          <w:trHeight w:val="144"/>
        </w:trPr>
        <w:tc>
          <w:tcPr>
            <w:tcW w:w="2405" w:type="dxa"/>
            <w:vMerge/>
          </w:tcPr>
          <w:p w14:paraId="37E2CE9B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131CF40B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8CAF468" w14:textId="6021CD32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BS2 supporting</w:t>
            </w:r>
          </w:p>
        </w:tc>
        <w:tc>
          <w:tcPr>
            <w:tcW w:w="1272" w:type="dxa"/>
          </w:tcPr>
          <w:p w14:paraId="7D0F0C46" w14:textId="7B8EC1E3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09AF" w:rsidRPr="00FE6DE0" w14:paraId="0F768BD3" w14:textId="77777777" w:rsidTr="00FE6DE0">
        <w:trPr>
          <w:trHeight w:val="144"/>
        </w:trPr>
        <w:tc>
          <w:tcPr>
            <w:tcW w:w="2405" w:type="dxa"/>
            <w:vMerge/>
          </w:tcPr>
          <w:p w14:paraId="72DD61F9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32047F93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9EF674" w14:textId="68720ECA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BS2 moderate</w:t>
            </w:r>
          </w:p>
        </w:tc>
        <w:tc>
          <w:tcPr>
            <w:tcW w:w="1272" w:type="dxa"/>
          </w:tcPr>
          <w:p w14:paraId="7A61A7FD" w14:textId="0E1E56ED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C09AF" w:rsidRPr="00FE6DE0" w14:paraId="54BCC4CF" w14:textId="77777777" w:rsidTr="00FE6DE0">
        <w:trPr>
          <w:trHeight w:val="144"/>
        </w:trPr>
        <w:tc>
          <w:tcPr>
            <w:tcW w:w="2405" w:type="dxa"/>
            <w:vMerge/>
          </w:tcPr>
          <w:p w14:paraId="0E3D4121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5EF84A2E" w14:textId="77777777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42B394" w14:textId="0EFA56F1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BS2 strong</w:t>
            </w:r>
          </w:p>
        </w:tc>
        <w:tc>
          <w:tcPr>
            <w:tcW w:w="1272" w:type="dxa"/>
          </w:tcPr>
          <w:p w14:paraId="77F0320B" w14:textId="739214B1" w:rsidR="002C09AF" w:rsidRPr="00FE6DE0" w:rsidRDefault="002C09AF" w:rsidP="008A4750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52AD6" w:rsidRPr="00FE6DE0" w14:paraId="49CB8BC6" w14:textId="77777777" w:rsidTr="00FE6DE0">
        <w:trPr>
          <w:trHeight w:val="144"/>
        </w:trPr>
        <w:tc>
          <w:tcPr>
            <w:tcW w:w="2405" w:type="dxa"/>
            <w:vMerge/>
          </w:tcPr>
          <w:p w14:paraId="472BE904" w14:textId="45AFED1A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7A972999" w14:textId="390476D4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Using the reduced penetrance framework, how would you classify variant (i)?</w:t>
            </w:r>
          </w:p>
        </w:tc>
        <w:tc>
          <w:tcPr>
            <w:tcW w:w="3261" w:type="dxa"/>
          </w:tcPr>
          <w:p w14:paraId="1423C90C" w14:textId="67DE1331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3BE48B94" w14:textId="755C35FB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2AD6" w:rsidRPr="00FE6DE0" w14:paraId="018B6F0D" w14:textId="77777777" w:rsidTr="00FE6DE0">
        <w:trPr>
          <w:trHeight w:val="144"/>
        </w:trPr>
        <w:tc>
          <w:tcPr>
            <w:tcW w:w="2405" w:type="dxa"/>
            <w:vMerge/>
          </w:tcPr>
          <w:p w14:paraId="20BE110F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36A13608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A2929E" w14:textId="4D9320E2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34DF9CB4" w14:textId="6E1227DB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52AD6" w:rsidRPr="00FE6DE0" w14:paraId="03D6E81C" w14:textId="77777777" w:rsidTr="00FE6DE0">
        <w:trPr>
          <w:trHeight w:val="144"/>
        </w:trPr>
        <w:tc>
          <w:tcPr>
            <w:tcW w:w="2405" w:type="dxa"/>
            <w:vMerge/>
          </w:tcPr>
          <w:p w14:paraId="5D2FE80A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11E5A8D2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28A2F6C" w14:textId="20614F0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7A49FF5F" w14:textId="03121E86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09AF" w:rsidRPr="00FE6DE0" w14:paraId="6A7B1438" w14:textId="77777777" w:rsidTr="00FE6DE0">
        <w:trPr>
          <w:trHeight w:val="374"/>
        </w:trPr>
        <w:tc>
          <w:tcPr>
            <w:tcW w:w="2405" w:type="dxa"/>
            <w:vMerge/>
          </w:tcPr>
          <w:p w14:paraId="36F81028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0E263374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At what evidence strength would you apply evidence towards benignity (BP5) for variant (ii)?</w:t>
            </w:r>
          </w:p>
          <w:p w14:paraId="684A57ED" w14:textId="77777777" w:rsidR="006F4E1C" w:rsidRPr="00FE6DE0" w:rsidRDefault="006F4E1C" w:rsidP="00522B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CC604" w14:textId="77777777" w:rsidR="006F4E1C" w:rsidRPr="00FE6DE0" w:rsidRDefault="006F4E1C" w:rsidP="00522B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F1933" w14:textId="77777777" w:rsidR="006F4E1C" w:rsidRPr="00FE6DE0" w:rsidRDefault="006F4E1C" w:rsidP="00522B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0932A" w14:textId="087631CB" w:rsidR="006F4E1C" w:rsidRPr="00FE6DE0" w:rsidRDefault="006F4E1C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6A9AC8" w14:textId="09D6674F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None (would not apply)</w:t>
            </w:r>
          </w:p>
        </w:tc>
        <w:tc>
          <w:tcPr>
            <w:tcW w:w="1272" w:type="dxa"/>
          </w:tcPr>
          <w:p w14:paraId="72C0D367" w14:textId="783F38CD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09AF" w:rsidRPr="00FE6DE0" w14:paraId="2A7981DD" w14:textId="77777777" w:rsidTr="00FE6DE0">
        <w:trPr>
          <w:trHeight w:val="229"/>
        </w:trPr>
        <w:tc>
          <w:tcPr>
            <w:tcW w:w="2405" w:type="dxa"/>
            <w:vMerge/>
          </w:tcPr>
          <w:p w14:paraId="398B878E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38DC2682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BE0D7C" w14:textId="7ECF1020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BP5 supporting</w:t>
            </w:r>
          </w:p>
        </w:tc>
        <w:tc>
          <w:tcPr>
            <w:tcW w:w="1272" w:type="dxa"/>
          </w:tcPr>
          <w:p w14:paraId="46183A18" w14:textId="28C599D9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09AF" w:rsidRPr="00FE6DE0" w14:paraId="2D9DC180" w14:textId="77777777" w:rsidTr="00FE6DE0">
        <w:trPr>
          <w:trHeight w:val="241"/>
        </w:trPr>
        <w:tc>
          <w:tcPr>
            <w:tcW w:w="2405" w:type="dxa"/>
            <w:vMerge/>
          </w:tcPr>
          <w:p w14:paraId="7CCA07F0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6D9F7C8B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79D22A" w14:textId="03499026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BP5 moderate</w:t>
            </w:r>
          </w:p>
        </w:tc>
        <w:tc>
          <w:tcPr>
            <w:tcW w:w="1272" w:type="dxa"/>
          </w:tcPr>
          <w:p w14:paraId="4E805DDD" w14:textId="360723E6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09AF" w:rsidRPr="00FE6DE0" w14:paraId="7F2079D8" w14:textId="77777777" w:rsidTr="00FE6DE0">
        <w:trPr>
          <w:trHeight w:val="83"/>
        </w:trPr>
        <w:tc>
          <w:tcPr>
            <w:tcW w:w="2405" w:type="dxa"/>
            <w:vMerge/>
          </w:tcPr>
          <w:p w14:paraId="1C7CE254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7E037F7D" w14:textId="77777777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3EC97B" w14:textId="7A389A83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BP5 strong</w:t>
            </w:r>
          </w:p>
        </w:tc>
        <w:tc>
          <w:tcPr>
            <w:tcW w:w="1272" w:type="dxa"/>
          </w:tcPr>
          <w:p w14:paraId="6EC46340" w14:textId="5A0B8758" w:rsidR="002C09AF" w:rsidRPr="00FE6DE0" w:rsidRDefault="002C09AF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2AD6" w:rsidRPr="00FE6DE0" w14:paraId="7053924F" w14:textId="77777777" w:rsidTr="00FE6DE0">
        <w:trPr>
          <w:trHeight w:val="205"/>
        </w:trPr>
        <w:tc>
          <w:tcPr>
            <w:tcW w:w="2405" w:type="dxa"/>
            <w:vMerge/>
          </w:tcPr>
          <w:p w14:paraId="669332BE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380E822F" w14:textId="1A92D034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Using the reduced penetrance framework, how would you classify a variant such as hypothetical variant (ii)?</w:t>
            </w:r>
          </w:p>
        </w:tc>
        <w:tc>
          <w:tcPr>
            <w:tcW w:w="3261" w:type="dxa"/>
          </w:tcPr>
          <w:p w14:paraId="1FA512C7" w14:textId="6852AB49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1ACE1DA2" w14:textId="11017495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52AD6" w:rsidRPr="00FE6DE0" w14:paraId="0C94A847" w14:textId="77777777" w:rsidTr="00FE6DE0">
        <w:trPr>
          <w:trHeight w:val="130"/>
        </w:trPr>
        <w:tc>
          <w:tcPr>
            <w:tcW w:w="2405" w:type="dxa"/>
            <w:vMerge/>
          </w:tcPr>
          <w:p w14:paraId="561FF424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22E5E52B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8955F29" w14:textId="46821065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45709F1B" w14:textId="4AB6AE41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2AD6" w:rsidRPr="00FE6DE0" w14:paraId="0BAAB04E" w14:textId="77777777" w:rsidTr="00FE6DE0">
        <w:trPr>
          <w:trHeight w:val="64"/>
        </w:trPr>
        <w:tc>
          <w:tcPr>
            <w:tcW w:w="2405" w:type="dxa"/>
            <w:vMerge/>
          </w:tcPr>
          <w:p w14:paraId="3E085AA0" w14:textId="3A8AF7A0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618973C1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2AA5D3" w14:textId="06BBDCB8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0C289361" w14:textId="37D6A1E6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52AD6" w:rsidRPr="00FE6DE0" w14:paraId="2EEBAEFF" w14:textId="77777777" w:rsidTr="00FE6DE0">
        <w:trPr>
          <w:trHeight w:val="144"/>
        </w:trPr>
        <w:tc>
          <w:tcPr>
            <w:tcW w:w="2405" w:type="dxa"/>
            <w:vMerge w:val="restart"/>
          </w:tcPr>
          <w:p w14:paraId="7AAD3234" w14:textId="16F4098C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Live Poll (in-meeting, March 2024)</w:t>
            </w:r>
          </w:p>
        </w:tc>
        <w:tc>
          <w:tcPr>
            <w:tcW w:w="7796" w:type="dxa"/>
            <w:vMerge w:val="restart"/>
          </w:tcPr>
          <w:p w14:paraId="616C00EE" w14:textId="5F22368C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Using the reduced penetrance framework, how would you classify a variant such as hypothetical variant (iii)?</w:t>
            </w:r>
          </w:p>
        </w:tc>
        <w:tc>
          <w:tcPr>
            <w:tcW w:w="3261" w:type="dxa"/>
          </w:tcPr>
          <w:p w14:paraId="076C9709" w14:textId="2CCC4DC8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</w:t>
            </w:r>
          </w:p>
        </w:tc>
        <w:tc>
          <w:tcPr>
            <w:tcW w:w="1272" w:type="dxa"/>
          </w:tcPr>
          <w:p w14:paraId="6BEAEF50" w14:textId="12246E73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52AD6" w:rsidRPr="00FE6DE0" w14:paraId="4EC7BE35" w14:textId="77777777" w:rsidTr="00FE6DE0">
        <w:trPr>
          <w:trHeight w:val="144"/>
        </w:trPr>
        <w:tc>
          <w:tcPr>
            <w:tcW w:w="2405" w:type="dxa"/>
            <w:vMerge/>
          </w:tcPr>
          <w:p w14:paraId="7DE8DD28" w14:textId="1ACA327C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6979373F" w14:textId="222AA564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856462" w14:textId="34D0BCBC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Likely Pathogenic, reduced penetrance</w:t>
            </w:r>
          </w:p>
        </w:tc>
        <w:tc>
          <w:tcPr>
            <w:tcW w:w="1272" w:type="dxa"/>
          </w:tcPr>
          <w:p w14:paraId="3768BBF3" w14:textId="1840315C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52AD6" w:rsidRPr="00FE6DE0" w14:paraId="716E1FD9" w14:textId="77777777" w:rsidTr="00FE6DE0">
        <w:trPr>
          <w:trHeight w:val="245"/>
        </w:trPr>
        <w:tc>
          <w:tcPr>
            <w:tcW w:w="2405" w:type="dxa"/>
            <w:vMerge/>
          </w:tcPr>
          <w:p w14:paraId="7F23632D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0BA0AE36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E4800A5" w14:textId="46E55249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Variant of Uncertain Significance</w:t>
            </w:r>
          </w:p>
        </w:tc>
        <w:tc>
          <w:tcPr>
            <w:tcW w:w="1272" w:type="dxa"/>
          </w:tcPr>
          <w:p w14:paraId="1B4D882B" w14:textId="188EED4E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52AD6" w:rsidRPr="00FE6DE0" w14:paraId="2C655048" w14:textId="77777777" w:rsidTr="00FE6DE0">
        <w:trPr>
          <w:trHeight w:val="245"/>
        </w:trPr>
        <w:tc>
          <w:tcPr>
            <w:tcW w:w="2405" w:type="dxa"/>
            <w:vMerge/>
          </w:tcPr>
          <w:p w14:paraId="347A5E9E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</w:tcPr>
          <w:p w14:paraId="558C9F60" w14:textId="128EAD7B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I would be comfortable as classifying a variant as likely pathogenic with reduced penetrance in absence of case/control or segregation effect size</w:t>
            </w:r>
          </w:p>
        </w:tc>
        <w:tc>
          <w:tcPr>
            <w:tcW w:w="3261" w:type="dxa"/>
          </w:tcPr>
          <w:p w14:paraId="0ECB06C3" w14:textId="06A1F159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1272" w:type="dxa"/>
          </w:tcPr>
          <w:p w14:paraId="1DCF1500" w14:textId="0DB49683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52AD6" w:rsidRPr="00FE6DE0" w14:paraId="6FC21F43" w14:textId="77777777" w:rsidTr="00FE6DE0">
        <w:trPr>
          <w:trHeight w:val="245"/>
        </w:trPr>
        <w:tc>
          <w:tcPr>
            <w:tcW w:w="2405" w:type="dxa"/>
            <w:vMerge/>
          </w:tcPr>
          <w:p w14:paraId="45C5A53C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vMerge/>
          </w:tcPr>
          <w:p w14:paraId="4A60C8C9" w14:textId="7777777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03A6A0" w14:textId="63FED563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1272" w:type="dxa"/>
          </w:tcPr>
          <w:p w14:paraId="6D1C3FA2" w14:textId="424D20D7" w:rsidR="00452AD6" w:rsidRPr="00FE6DE0" w:rsidRDefault="00452AD6" w:rsidP="00522BBF">
            <w:pPr>
              <w:rPr>
                <w:rFonts w:ascii="Arial" w:hAnsi="Arial" w:cs="Arial"/>
                <w:sz w:val="20"/>
                <w:szCs w:val="20"/>
              </w:rPr>
            </w:pPr>
            <w:r w:rsidRPr="00FE6D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7A9CEBBA" w14:textId="77777777" w:rsidR="0061196C" w:rsidRPr="00FE6DE0" w:rsidRDefault="0061196C" w:rsidP="00ED661D">
      <w:pPr>
        <w:rPr>
          <w:rFonts w:ascii="Arial" w:hAnsi="Arial" w:cs="Arial"/>
        </w:rPr>
      </w:pPr>
    </w:p>
    <w:p w14:paraId="28CC3D15" w14:textId="77777777" w:rsidR="009B2F2A" w:rsidRPr="00FE6DE0" w:rsidRDefault="009B2F2A" w:rsidP="00ED661D">
      <w:pPr>
        <w:rPr>
          <w:rFonts w:ascii="Arial" w:hAnsi="Arial" w:cs="Arial"/>
        </w:rPr>
      </w:pPr>
    </w:p>
    <w:p w14:paraId="15D1F177" w14:textId="77777777" w:rsidR="00503B8E" w:rsidRPr="00FE6DE0" w:rsidRDefault="00503B8E" w:rsidP="00ED661D">
      <w:pPr>
        <w:rPr>
          <w:rFonts w:ascii="Arial" w:hAnsi="Arial" w:cs="Arial"/>
        </w:rPr>
      </w:pPr>
    </w:p>
    <w:p w14:paraId="3771D343" w14:textId="77777777" w:rsidR="00503B8E" w:rsidRPr="00FE6DE0" w:rsidRDefault="00503B8E" w:rsidP="00ED661D">
      <w:pPr>
        <w:rPr>
          <w:rFonts w:ascii="Arial" w:hAnsi="Arial" w:cs="Arial"/>
        </w:rPr>
      </w:pPr>
    </w:p>
    <w:p w14:paraId="64295FF7" w14:textId="77777777" w:rsidR="00503B8E" w:rsidRPr="00FE6DE0" w:rsidRDefault="00503B8E" w:rsidP="00ED661D">
      <w:pPr>
        <w:rPr>
          <w:rFonts w:ascii="Arial" w:hAnsi="Arial" w:cs="Arial"/>
        </w:rPr>
      </w:pPr>
    </w:p>
    <w:p w14:paraId="0F30DF16" w14:textId="43B8FC2F" w:rsidR="00025ACF" w:rsidRPr="00FE6DE0" w:rsidRDefault="00025ACF" w:rsidP="00025ACF">
      <w:pPr>
        <w:rPr>
          <w:rFonts w:ascii="Arial" w:hAnsi="Arial" w:cs="Arial"/>
        </w:rPr>
      </w:pPr>
    </w:p>
    <w:p w14:paraId="3307CC23" w14:textId="77777777" w:rsidR="00025ACF" w:rsidRPr="00FE6DE0" w:rsidRDefault="00025ACF" w:rsidP="00025ACF">
      <w:pPr>
        <w:rPr>
          <w:rFonts w:ascii="Arial" w:hAnsi="Arial" w:cs="Arial"/>
        </w:rPr>
      </w:pPr>
    </w:p>
    <w:p w14:paraId="1EFA2BAF" w14:textId="77777777" w:rsidR="00025ACF" w:rsidRPr="00FE6DE0" w:rsidRDefault="00025ACF" w:rsidP="00025ACF">
      <w:pPr>
        <w:rPr>
          <w:rFonts w:ascii="Arial" w:hAnsi="Arial" w:cs="Arial"/>
        </w:rPr>
      </w:pPr>
    </w:p>
    <w:p w14:paraId="09A356CF" w14:textId="78263984" w:rsidR="00FE6DE0" w:rsidRPr="00FE6DE0" w:rsidRDefault="00FE6DE0" w:rsidP="00FE6DE0">
      <w:pPr>
        <w:rPr>
          <w:rFonts w:ascii="Arial" w:hAnsi="Arial" w:cs="Arial"/>
        </w:rPr>
        <w:sectPr w:rsidR="00FE6DE0" w:rsidRPr="00FE6DE0" w:rsidSect="00ED3AF9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41DADB5B" w14:textId="77777777" w:rsidR="0019389F" w:rsidRPr="00FE6DE0" w:rsidRDefault="0019389F" w:rsidP="0019389F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7" w:name="_Toc171435412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>Supplementary Note 1: CanVIG-UK Consortium Group Membership</w:t>
      </w:r>
      <w:bookmarkEnd w:id="17"/>
    </w:p>
    <w:p w14:paraId="041E05E8" w14:textId="77777777" w:rsidR="0019389F" w:rsidRPr="00FE6DE0" w:rsidRDefault="0019389F" w:rsidP="0019389F">
      <w:pPr>
        <w:rPr>
          <w:rFonts w:ascii="Arial" w:eastAsia="Arial" w:hAnsi="Arial" w:cs="Arial"/>
        </w:rPr>
      </w:pPr>
      <w:r w:rsidRPr="00FE6DE0">
        <w:rPr>
          <w:rFonts w:ascii="Arial" w:hAnsi="Arial" w:cs="Arial"/>
        </w:rPr>
        <w:t>C. Turnbull</w:t>
      </w:r>
      <w:r w:rsidRPr="00FE6DE0">
        <w:rPr>
          <w:rFonts w:ascii="Arial" w:hAnsi="Arial" w:cs="Arial"/>
          <w:vertAlign w:val="superscript"/>
        </w:rPr>
        <w:t>1,49</w:t>
      </w:r>
      <w:r w:rsidRPr="00FE6DE0">
        <w:rPr>
          <w:rFonts w:ascii="Arial" w:hAnsi="Arial" w:cs="Arial"/>
        </w:rPr>
        <w:t>, A. Garrett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L. Loong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S. Choi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B. Torr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S. Allen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M. Durkie</w:t>
      </w:r>
      <w:r w:rsidRPr="00FE6DE0">
        <w:rPr>
          <w:rFonts w:ascii="Arial" w:hAnsi="Arial" w:cs="Arial"/>
          <w:vertAlign w:val="superscript"/>
        </w:rPr>
        <w:t>2</w:t>
      </w:r>
      <w:r w:rsidRPr="00FE6DE0">
        <w:rPr>
          <w:rFonts w:ascii="Arial" w:hAnsi="Arial" w:cs="Arial"/>
        </w:rPr>
        <w:t>, A. Callaway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J. Drummond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 G.J. Burghel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R. Robinson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I.R. Berry</w:t>
      </w:r>
      <w:r w:rsidRPr="00FE6DE0">
        <w:rPr>
          <w:rFonts w:ascii="Arial" w:hAnsi="Arial" w:cs="Arial"/>
          <w:vertAlign w:val="superscript"/>
        </w:rPr>
        <w:t>65</w:t>
      </w:r>
      <w:r w:rsidRPr="00FE6DE0">
        <w:rPr>
          <w:rFonts w:ascii="Arial" w:hAnsi="Arial" w:cs="Arial"/>
        </w:rPr>
        <w:t>, A.J. Wallace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D.M. Eccles</w:t>
      </w:r>
      <w:r w:rsidRPr="00FE6DE0">
        <w:rPr>
          <w:rFonts w:ascii="Arial" w:hAnsi="Arial" w:cs="Arial"/>
          <w:vertAlign w:val="superscript"/>
        </w:rPr>
        <w:t>7, 8</w:t>
      </w:r>
      <w:r w:rsidRPr="00FE6DE0">
        <w:rPr>
          <w:rFonts w:ascii="Arial" w:hAnsi="Arial" w:cs="Arial"/>
        </w:rPr>
        <w:t>, M. Tischkowitz</w:t>
      </w:r>
      <w:r w:rsidRPr="00FE6DE0">
        <w:rPr>
          <w:rFonts w:ascii="Arial" w:hAnsi="Arial" w:cs="Arial"/>
          <w:vertAlign w:val="superscript"/>
        </w:rPr>
        <w:t>13</w:t>
      </w:r>
      <w:r w:rsidRPr="00FE6DE0">
        <w:rPr>
          <w:rFonts w:ascii="Arial" w:hAnsi="Arial" w:cs="Arial"/>
        </w:rPr>
        <w:t>, S. Ellard</w:t>
      </w:r>
      <w:r w:rsidRPr="00FE6DE0">
        <w:rPr>
          <w:rFonts w:ascii="Arial" w:hAnsi="Arial" w:cs="Arial"/>
          <w:vertAlign w:val="superscript"/>
        </w:rPr>
        <w:t>9</w:t>
      </w:r>
      <w:r w:rsidRPr="00FE6DE0">
        <w:rPr>
          <w:rFonts w:ascii="Arial" w:hAnsi="Arial" w:cs="Arial"/>
        </w:rPr>
        <w:t>, H. Hanson</w:t>
      </w:r>
      <w:r w:rsidRPr="00FE6DE0">
        <w:rPr>
          <w:rFonts w:ascii="Arial" w:hAnsi="Arial" w:cs="Arial"/>
          <w:vertAlign w:val="superscript"/>
        </w:rPr>
        <w:t>1,16</w:t>
      </w:r>
      <w:r w:rsidRPr="00FE6DE0">
        <w:rPr>
          <w:rFonts w:ascii="Arial" w:hAnsi="Arial" w:cs="Arial"/>
        </w:rPr>
        <w:t>, E. Baple</w:t>
      </w:r>
      <w:r w:rsidRPr="00FE6DE0">
        <w:rPr>
          <w:rFonts w:ascii="Arial" w:hAnsi="Arial" w:cs="Arial"/>
          <w:vertAlign w:val="superscript"/>
        </w:rPr>
        <w:t>10,11</w:t>
      </w:r>
      <w:r w:rsidRPr="00FE6DE0">
        <w:rPr>
          <w:rFonts w:ascii="Arial" w:hAnsi="Arial" w:cs="Arial"/>
        </w:rPr>
        <w:t>, D.G. Evans</w:t>
      </w:r>
      <w:r w:rsidRPr="00FE6DE0">
        <w:rPr>
          <w:rFonts w:ascii="Arial" w:hAnsi="Arial" w:cs="Arial"/>
          <w:vertAlign w:val="superscript"/>
        </w:rPr>
        <w:t>5,30</w:t>
      </w:r>
      <w:r w:rsidRPr="00FE6DE0">
        <w:rPr>
          <w:rFonts w:ascii="Arial" w:hAnsi="Arial" w:cs="Arial"/>
        </w:rPr>
        <w:t>, E. Woodward</w:t>
      </w:r>
      <w:r w:rsidRPr="00FE6DE0">
        <w:rPr>
          <w:rFonts w:ascii="Arial" w:hAnsi="Arial" w:cs="Arial"/>
          <w:vertAlign w:val="superscript"/>
        </w:rPr>
        <w:t>5,30</w:t>
      </w:r>
      <w:r w:rsidRPr="00FE6DE0">
        <w:rPr>
          <w:rFonts w:ascii="Arial" w:hAnsi="Arial" w:cs="Arial"/>
        </w:rPr>
        <w:t>, F. Lalloo</w:t>
      </w:r>
      <w:r w:rsidRPr="00FE6DE0">
        <w:rPr>
          <w:rFonts w:ascii="Arial" w:hAnsi="Arial" w:cs="Arial"/>
          <w:vertAlign w:val="superscript"/>
        </w:rPr>
        <w:t>5,30</w:t>
      </w:r>
      <w:r w:rsidRPr="00FE6DE0">
        <w:rPr>
          <w:rFonts w:ascii="Arial" w:hAnsi="Arial" w:cs="Arial"/>
        </w:rPr>
        <w:t>, S. Samant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A. Lucassen</w:t>
      </w:r>
      <w:r w:rsidRPr="00FE6DE0">
        <w:rPr>
          <w:rFonts w:ascii="Arial" w:hAnsi="Arial" w:cs="Arial"/>
          <w:vertAlign w:val="superscript"/>
        </w:rPr>
        <w:t>57,14,15</w:t>
      </w:r>
      <w:r w:rsidRPr="00FE6DE0">
        <w:rPr>
          <w:rFonts w:ascii="Arial" w:hAnsi="Arial" w:cs="Arial"/>
        </w:rPr>
        <w:t>, A. Znaczko</w:t>
      </w:r>
      <w:r w:rsidRPr="00FE6DE0">
        <w:rPr>
          <w:rFonts w:ascii="Arial" w:hAnsi="Arial" w:cs="Arial"/>
          <w:vertAlign w:val="superscript"/>
        </w:rPr>
        <w:t>44</w:t>
      </w:r>
      <w:r w:rsidRPr="00FE6DE0">
        <w:rPr>
          <w:rFonts w:ascii="Arial" w:hAnsi="Arial" w:cs="Arial"/>
        </w:rPr>
        <w:t>, A. Shaw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A. Ansari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A. Kumar</w:t>
      </w: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>, A. Donaldson</w:t>
      </w:r>
      <w:r w:rsidRPr="00FE6DE0">
        <w:rPr>
          <w:rFonts w:ascii="Arial" w:hAnsi="Arial" w:cs="Arial"/>
          <w:vertAlign w:val="superscript"/>
        </w:rPr>
        <w:t>53</w:t>
      </w:r>
      <w:r w:rsidRPr="00FE6DE0">
        <w:rPr>
          <w:rFonts w:ascii="Arial" w:hAnsi="Arial" w:cs="Arial"/>
        </w:rPr>
        <w:t>, A. Murray</w:t>
      </w: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>, A. Ross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A. Taylor-Beadling</w:t>
      </w: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>, A. Taylor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A. Innes</w:t>
      </w:r>
      <w:r w:rsidRPr="00FE6DE0">
        <w:rPr>
          <w:rFonts w:ascii="Arial" w:hAnsi="Arial" w:cs="Arial"/>
          <w:vertAlign w:val="superscript"/>
        </w:rPr>
        <w:t>25</w:t>
      </w:r>
      <w:r w:rsidRPr="00FE6DE0">
        <w:rPr>
          <w:rFonts w:ascii="Arial" w:hAnsi="Arial" w:cs="Arial"/>
        </w:rPr>
        <w:t>, A. Brady</w:t>
      </w:r>
      <w:r w:rsidRPr="00FE6DE0">
        <w:rPr>
          <w:rFonts w:ascii="Arial" w:hAnsi="Arial" w:cs="Arial"/>
          <w:vertAlign w:val="superscript"/>
        </w:rPr>
        <w:t>29</w:t>
      </w:r>
      <w:r w:rsidRPr="00FE6DE0">
        <w:rPr>
          <w:rFonts w:ascii="Arial" w:hAnsi="Arial" w:cs="Arial"/>
        </w:rPr>
        <w:t>, A. Kulkarni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A.C. Hogg</w:t>
      </w:r>
      <w:r w:rsidRPr="00FE6DE0">
        <w:rPr>
          <w:rFonts w:ascii="Arial" w:hAnsi="Arial" w:cs="Arial"/>
          <w:vertAlign w:val="superscript"/>
        </w:rPr>
        <w:t>5,</w:t>
      </w:r>
      <w:r w:rsidRPr="00FE6DE0">
        <w:rPr>
          <w:rFonts w:ascii="Arial" w:hAnsi="Arial" w:cs="Arial"/>
        </w:rPr>
        <w:t xml:space="preserve"> A. Ramsay Bowden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A. Hadonou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B. Coad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B. McIldowie</w:t>
      </w: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>, B. Speight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B. DeSouza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B. Mullaney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C. McKenna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C. Brewer</w:t>
      </w:r>
      <w:r w:rsidRPr="00FE6DE0">
        <w:rPr>
          <w:rFonts w:ascii="Arial" w:hAnsi="Arial" w:cs="Arial"/>
          <w:vertAlign w:val="superscript"/>
        </w:rPr>
        <w:t>44</w:t>
      </w:r>
      <w:r w:rsidRPr="00FE6DE0">
        <w:rPr>
          <w:rFonts w:ascii="Arial" w:hAnsi="Arial" w:cs="Arial"/>
        </w:rPr>
        <w:t>, C. Olimpio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C. Clabby</w:t>
      </w:r>
      <w:r w:rsidRPr="00FE6DE0">
        <w:rPr>
          <w:rFonts w:ascii="Arial" w:hAnsi="Arial" w:cs="Arial"/>
          <w:vertAlign w:val="superscript"/>
        </w:rPr>
        <w:t>40</w:t>
      </w:r>
      <w:r w:rsidRPr="00FE6DE0">
        <w:rPr>
          <w:rFonts w:ascii="Arial" w:hAnsi="Arial" w:cs="Arial"/>
        </w:rPr>
        <w:t>, C. Crosby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C. Jenkins</w:t>
      </w:r>
      <w:r w:rsidRPr="00FE6DE0">
        <w:rPr>
          <w:rFonts w:ascii="Arial" w:hAnsi="Arial" w:cs="Arial"/>
          <w:vertAlign w:val="superscript"/>
        </w:rPr>
        <w:t>42</w:t>
      </w:r>
      <w:r w:rsidRPr="00FE6DE0">
        <w:rPr>
          <w:rFonts w:ascii="Arial" w:hAnsi="Arial" w:cs="Arial"/>
        </w:rPr>
        <w:t>, C. Armstrong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C. Bowles</w:t>
      </w:r>
      <w:r w:rsidRPr="00FE6DE0">
        <w:rPr>
          <w:rFonts w:ascii="Arial" w:hAnsi="Arial" w:cs="Arial"/>
          <w:vertAlign w:val="superscript"/>
        </w:rPr>
        <w:t>9</w:t>
      </w:r>
      <w:r w:rsidRPr="00FE6DE0">
        <w:rPr>
          <w:rFonts w:ascii="Arial" w:hAnsi="Arial" w:cs="Arial"/>
        </w:rPr>
        <w:t>, C. Brooks</w:t>
      </w: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>, C. Byrne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C. Maurer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 D. Baralle</w:t>
      </w:r>
      <w:r w:rsidRPr="00FE6DE0">
        <w:rPr>
          <w:rFonts w:ascii="Arial" w:hAnsi="Arial" w:cs="Arial"/>
          <w:vertAlign w:val="superscript"/>
        </w:rPr>
        <w:t>57</w:t>
      </w:r>
      <w:r w:rsidRPr="00FE6DE0">
        <w:rPr>
          <w:rFonts w:ascii="Arial" w:hAnsi="Arial" w:cs="Arial"/>
        </w:rPr>
        <w:t>, D. Chubb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D. Stobo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D. Moore</w:t>
      </w:r>
      <w:r w:rsidRPr="00FE6DE0">
        <w:rPr>
          <w:rFonts w:ascii="Arial" w:hAnsi="Arial" w:cs="Arial"/>
          <w:vertAlign w:val="superscript"/>
        </w:rPr>
        <w:t>35</w:t>
      </w:r>
      <w:r w:rsidRPr="00FE6DE0">
        <w:rPr>
          <w:rFonts w:ascii="Arial" w:hAnsi="Arial" w:cs="Arial"/>
        </w:rPr>
        <w:t>, D.O'Sullivan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D. Donnelly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D. Randhawa</w:t>
      </w:r>
      <w:r w:rsidRPr="00FE6DE0">
        <w:rPr>
          <w:rFonts w:ascii="Arial" w:hAnsi="Arial" w:cs="Arial"/>
          <w:vertAlign w:val="superscript"/>
        </w:rPr>
        <w:t>24</w:t>
      </w:r>
      <w:r w:rsidRPr="00FE6DE0">
        <w:rPr>
          <w:rFonts w:ascii="Arial" w:hAnsi="Arial" w:cs="Arial"/>
        </w:rPr>
        <w:t>, D. Halliday</w:t>
      </w:r>
      <w:r w:rsidRPr="00FE6DE0">
        <w:rPr>
          <w:rFonts w:ascii="Arial" w:hAnsi="Arial" w:cs="Arial"/>
          <w:vertAlign w:val="superscript"/>
        </w:rPr>
        <w:t>41</w:t>
      </w:r>
      <w:r w:rsidRPr="00FE6DE0">
        <w:rPr>
          <w:rFonts w:ascii="Arial" w:hAnsi="Arial" w:cs="Arial"/>
        </w:rPr>
        <w:t xml:space="preserve"> , E. Atkinson</w:t>
      </w:r>
      <w:r w:rsidRPr="00FE6DE0">
        <w:rPr>
          <w:rFonts w:ascii="Arial" w:hAnsi="Arial" w:cs="Arial"/>
          <w:vertAlign w:val="superscript"/>
        </w:rPr>
        <w:t>50</w:t>
      </w:r>
      <w:r w:rsidRPr="00FE6DE0">
        <w:rPr>
          <w:rFonts w:ascii="Arial" w:hAnsi="Arial" w:cs="Arial"/>
        </w:rPr>
        <w:t>, E. Rauter</w:t>
      </w:r>
      <w:r w:rsidRPr="00FE6DE0">
        <w:rPr>
          <w:rFonts w:ascii="Arial" w:hAnsi="Arial" w:cs="Arial"/>
          <w:vertAlign w:val="superscript"/>
        </w:rPr>
        <w:t>24</w:t>
      </w:r>
      <w:r w:rsidRPr="00FE6DE0">
        <w:rPr>
          <w:rFonts w:ascii="Arial" w:hAnsi="Arial" w:cs="Arial"/>
        </w:rPr>
        <w:t>, E. Johnston</w:t>
      </w:r>
      <w:r w:rsidRPr="00FE6DE0">
        <w:rPr>
          <w:rFonts w:ascii="Arial" w:hAnsi="Arial" w:cs="Arial"/>
          <w:vertAlign w:val="superscript"/>
        </w:rPr>
        <w:t>38</w:t>
      </w:r>
      <w:r w:rsidRPr="00FE6DE0">
        <w:rPr>
          <w:rFonts w:ascii="Arial" w:hAnsi="Arial" w:cs="Arial"/>
        </w:rPr>
        <w:t>, E. Maher</w:t>
      </w:r>
      <w:r w:rsidRPr="00FE6DE0">
        <w:rPr>
          <w:rFonts w:ascii="Arial" w:hAnsi="Arial" w:cs="Arial"/>
          <w:vertAlign w:val="superscript"/>
        </w:rPr>
        <w:t>8</w:t>
      </w:r>
      <w:r w:rsidRPr="00FE6DE0">
        <w:rPr>
          <w:rFonts w:ascii="Arial" w:hAnsi="Arial" w:cs="Arial"/>
        </w:rPr>
        <w:t>, E. Sofianopoulou</w:t>
      </w:r>
      <w:r w:rsidRPr="00FE6DE0">
        <w:rPr>
          <w:rFonts w:ascii="Arial" w:hAnsi="Arial" w:cs="Arial"/>
          <w:vertAlign w:val="superscript"/>
        </w:rPr>
        <w:t>17</w:t>
      </w:r>
      <w:r w:rsidRPr="00FE6DE0">
        <w:rPr>
          <w:rFonts w:ascii="Arial" w:hAnsi="Arial" w:cs="Arial"/>
        </w:rPr>
        <w:t>, E. Petrides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F. McRonald</w:t>
      </w:r>
      <w:r w:rsidRPr="00FE6DE0">
        <w:rPr>
          <w:rFonts w:ascii="Arial" w:hAnsi="Arial" w:cs="Arial"/>
          <w:vertAlign w:val="superscript"/>
        </w:rPr>
        <w:t>43</w:t>
      </w:r>
      <w:r w:rsidRPr="00FE6DE0">
        <w:rPr>
          <w:rFonts w:ascii="Arial" w:hAnsi="Arial" w:cs="Arial"/>
        </w:rPr>
        <w:t>, F. Pelz</w:t>
      </w:r>
      <w:r w:rsidRPr="00FE6DE0">
        <w:rPr>
          <w:rFonts w:ascii="Arial" w:hAnsi="Arial" w:cs="Arial"/>
          <w:vertAlign w:val="superscript"/>
        </w:rPr>
        <w:t>51</w:t>
      </w:r>
      <w:r w:rsidRPr="00FE6DE0">
        <w:rPr>
          <w:rFonts w:ascii="Arial" w:hAnsi="Arial" w:cs="Arial"/>
        </w:rPr>
        <w:t>, I. Frayling</w:t>
      </w: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>, G. Corbett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G. Rea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H. Clouston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H. Powell</w:t>
      </w:r>
      <w:r w:rsidRPr="00FE6DE0">
        <w:rPr>
          <w:rFonts w:ascii="Arial" w:hAnsi="Arial" w:cs="Arial"/>
          <w:vertAlign w:val="superscript"/>
        </w:rPr>
        <w:t>31</w:t>
      </w:r>
      <w:r w:rsidRPr="00FE6DE0">
        <w:rPr>
          <w:rFonts w:ascii="Arial" w:hAnsi="Arial" w:cs="Arial"/>
        </w:rPr>
        <w:t>, H. Williamson</w:t>
      </w:r>
      <w:r w:rsidRPr="00FE6DE0">
        <w:rPr>
          <w:rFonts w:ascii="Arial" w:hAnsi="Arial" w:cs="Arial"/>
          <w:vertAlign w:val="superscript"/>
        </w:rPr>
        <w:t>52</w:t>
      </w:r>
      <w:r w:rsidRPr="00FE6DE0">
        <w:rPr>
          <w:rFonts w:ascii="Arial" w:hAnsi="Arial" w:cs="Arial"/>
        </w:rPr>
        <w:t>, H. Carley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H.J.W. Thomas</w:t>
      </w:r>
      <w:r w:rsidRPr="00FE6DE0">
        <w:rPr>
          <w:rFonts w:ascii="Arial" w:hAnsi="Arial" w:cs="Arial"/>
          <w:vertAlign w:val="superscript"/>
        </w:rPr>
        <w:t>26</w:t>
      </w:r>
      <w:r w:rsidRPr="00FE6DE0">
        <w:rPr>
          <w:rFonts w:ascii="Arial" w:hAnsi="Arial" w:cs="Arial"/>
        </w:rPr>
        <w:t>, I. Tomlinson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J. Cook</w:t>
      </w:r>
      <w:r w:rsidRPr="00FE6DE0">
        <w:rPr>
          <w:rFonts w:ascii="Arial" w:hAnsi="Arial" w:cs="Arial"/>
          <w:vertAlign w:val="superscript"/>
        </w:rPr>
        <w:t>46</w:t>
      </w:r>
      <w:r w:rsidRPr="00FE6DE0">
        <w:rPr>
          <w:rFonts w:ascii="Arial" w:hAnsi="Arial" w:cs="Arial"/>
        </w:rPr>
        <w:t>, J. Hoyle</w:t>
      </w: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>, J. Tellez</w:t>
      </w:r>
      <w:r w:rsidRPr="00FE6DE0">
        <w:rPr>
          <w:rFonts w:ascii="Arial" w:hAnsi="Arial" w:cs="Arial"/>
          <w:vertAlign w:val="superscript"/>
        </w:rPr>
        <w:t>32</w:t>
      </w:r>
      <w:r w:rsidRPr="00FE6DE0">
        <w:rPr>
          <w:rFonts w:ascii="Arial" w:hAnsi="Arial" w:cs="Arial"/>
        </w:rPr>
        <w:t>, J. Whitworth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J. Williams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J. Murray</w:t>
      </w:r>
      <w:r w:rsidRPr="00FE6DE0">
        <w:rPr>
          <w:rFonts w:ascii="Arial" w:hAnsi="Arial" w:cs="Arial"/>
          <w:vertAlign w:val="superscript"/>
        </w:rPr>
        <w:t>35</w:t>
      </w:r>
      <w:r w:rsidRPr="00FE6DE0">
        <w:rPr>
          <w:rFonts w:ascii="Arial" w:hAnsi="Arial" w:cs="Arial"/>
        </w:rPr>
        <w:t>, J. Campbell</w:t>
      </w:r>
      <w:r w:rsidRPr="00FE6DE0">
        <w:rPr>
          <w:rFonts w:ascii="Arial" w:hAnsi="Arial" w:cs="Arial"/>
          <w:vertAlign w:val="superscript"/>
        </w:rPr>
        <w:t>27</w:t>
      </w:r>
      <w:r w:rsidRPr="00FE6DE0">
        <w:rPr>
          <w:rFonts w:ascii="Arial" w:hAnsi="Arial" w:cs="Arial"/>
        </w:rPr>
        <w:t>, J. Tolmie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J. Field</w:t>
      </w:r>
      <w:r w:rsidRPr="00FE6DE0">
        <w:rPr>
          <w:rFonts w:ascii="Arial" w:hAnsi="Arial" w:cs="Arial"/>
          <w:vertAlign w:val="superscript"/>
        </w:rPr>
        <w:t>38</w:t>
      </w:r>
      <w:r w:rsidRPr="00FE6DE0">
        <w:rPr>
          <w:rFonts w:ascii="Arial" w:hAnsi="Arial" w:cs="Arial"/>
        </w:rPr>
        <w:t>, J. Mason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J. Burn</w:t>
      </w:r>
      <w:r w:rsidRPr="00FE6DE0">
        <w:rPr>
          <w:rFonts w:ascii="Arial" w:hAnsi="Arial" w:cs="Arial"/>
          <w:vertAlign w:val="superscript"/>
        </w:rPr>
        <w:t>31</w:t>
      </w:r>
      <w:r w:rsidRPr="00FE6DE0">
        <w:rPr>
          <w:rFonts w:ascii="Arial" w:hAnsi="Arial" w:cs="Arial"/>
        </w:rPr>
        <w:t>, J. Bruty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J. Callaway</w:t>
      </w:r>
      <w:r w:rsidRPr="00FE6DE0">
        <w:rPr>
          <w:rFonts w:ascii="Arial" w:hAnsi="Arial" w:cs="Arial"/>
          <w:vertAlign w:val="superscript"/>
        </w:rPr>
        <w:t>8</w:t>
      </w:r>
      <w:r w:rsidRPr="00FE6DE0">
        <w:rPr>
          <w:rFonts w:ascii="Arial" w:hAnsi="Arial" w:cs="Arial"/>
        </w:rPr>
        <w:t>, J. Grant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J. Del Rey Jimenez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J. Pagan</w:t>
      </w:r>
      <w:r w:rsidRPr="00FE6DE0">
        <w:rPr>
          <w:rFonts w:ascii="Arial" w:hAnsi="Arial" w:cs="Arial"/>
          <w:vertAlign w:val="superscript"/>
        </w:rPr>
        <w:t>35</w:t>
      </w:r>
      <w:r w:rsidRPr="00FE6DE0">
        <w:rPr>
          <w:rFonts w:ascii="Arial" w:hAnsi="Arial" w:cs="Arial"/>
        </w:rPr>
        <w:t>, J. VanCampen</w:t>
      </w:r>
      <w:r w:rsidRPr="00FE6DE0">
        <w:rPr>
          <w:rFonts w:ascii="Arial" w:hAnsi="Arial" w:cs="Arial"/>
          <w:vertAlign w:val="superscript"/>
        </w:rPr>
        <w:t>24</w:t>
      </w:r>
      <w:r w:rsidRPr="00FE6DE0">
        <w:rPr>
          <w:rFonts w:ascii="Arial" w:hAnsi="Arial" w:cs="Arial"/>
        </w:rPr>
        <w:t>, J. Barwell</w:t>
      </w:r>
      <w:r w:rsidRPr="00FE6DE0">
        <w:rPr>
          <w:rFonts w:ascii="Arial" w:hAnsi="Arial" w:cs="Arial"/>
          <w:vertAlign w:val="superscript"/>
        </w:rPr>
        <w:t>53</w:t>
      </w:r>
      <w:r w:rsidRPr="00FE6DE0">
        <w:rPr>
          <w:rFonts w:ascii="Arial" w:hAnsi="Arial" w:cs="Arial"/>
        </w:rPr>
        <w:t>, K. Monahan</w:t>
      </w:r>
      <w:r w:rsidRPr="00FE6DE0">
        <w:rPr>
          <w:rFonts w:ascii="Arial" w:hAnsi="Arial" w:cs="Arial"/>
          <w:vertAlign w:val="superscript"/>
        </w:rPr>
        <w:t>29</w:t>
      </w:r>
      <w:r w:rsidRPr="00FE6DE0">
        <w:rPr>
          <w:rFonts w:ascii="Arial" w:hAnsi="Arial" w:cs="Arial"/>
        </w:rPr>
        <w:t>, K. Tatton-Brown</w:t>
      </w:r>
      <w:r w:rsidRPr="00FE6DE0">
        <w:rPr>
          <w:rFonts w:ascii="Arial" w:hAnsi="Arial" w:cs="Arial"/>
          <w:vertAlign w:val="superscript"/>
        </w:rPr>
        <w:t>16,</w:t>
      </w:r>
      <w:r w:rsidRPr="00FE6DE0">
        <w:rPr>
          <w:rFonts w:ascii="Arial" w:hAnsi="Arial" w:cs="Arial"/>
        </w:rPr>
        <w:t xml:space="preserve"> K.R. Ong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K. Murphy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K. Andrews</w:t>
      </w:r>
      <w:r w:rsidRPr="00FE6DE0">
        <w:rPr>
          <w:rFonts w:ascii="Arial" w:hAnsi="Arial" w:cs="Arial"/>
          <w:vertAlign w:val="superscript"/>
        </w:rPr>
        <w:t>18,</w:t>
      </w:r>
      <w:r w:rsidRPr="00FE6DE0">
        <w:rPr>
          <w:rFonts w:ascii="Arial" w:hAnsi="Arial" w:cs="Arial"/>
        </w:rPr>
        <w:t xml:space="preserve"> K. Mokretar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K. Cadoo</w:t>
      </w:r>
      <w:r w:rsidRPr="00FE6DE0">
        <w:rPr>
          <w:rFonts w:ascii="Arial" w:hAnsi="Arial" w:cs="Arial"/>
          <w:vertAlign w:val="superscript"/>
        </w:rPr>
        <w:t>48</w:t>
      </w:r>
      <w:r w:rsidRPr="00FE6DE0">
        <w:rPr>
          <w:rFonts w:ascii="Arial" w:hAnsi="Arial" w:cs="Arial"/>
        </w:rPr>
        <w:t>, K. Smith</w:t>
      </w:r>
      <w:r w:rsidRPr="00FE6DE0">
        <w:rPr>
          <w:rFonts w:ascii="Arial" w:hAnsi="Arial" w:cs="Arial"/>
          <w:vertAlign w:val="superscript"/>
        </w:rPr>
        <w:t>52</w:t>
      </w:r>
      <w:r w:rsidRPr="00FE6DE0">
        <w:rPr>
          <w:rFonts w:ascii="Arial" w:hAnsi="Arial" w:cs="Arial"/>
        </w:rPr>
        <w:t>, K. Baker</w:t>
      </w:r>
      <w:r w:rsidRPr="00FE6DE0">
        <w:rPr>
          <w:rFonts w:ascii="Arial" w:hAnsi="Arial" w:cs="Arial"/>
          <w:vertAlign w:val="superscript"/>
        </w:rPr>
        <w:t>8</w:t>
      </w:r>
      <w:r w:rsidRPr="00FE6DE0">
        <w:rPr>
          <w:rFonts w:ascii="Arial" w:hAnsi="Arial" w:cs="Arial"/>
        </w:rPr>
        <w:t>, K. Brown</w:t>
      </w:r>
      <w:r w:rsidRPr="00FE6DE0">
        <w:rPr>
          <w:rFonts w:ascii="Arial" w:hAnsi="Arial" w:cs="Arial"/>
          <w:vertAlign w:val="superscript"/>
        </w:rPr>
        <w:t>24</w:t>
      </w:r>
      <w:r w:rsidRPr="00FE6DE0">
        <w:rPr>
          <w:rFonts w:ascii="Arial" w:hAnsi="Arial" w:cs="Arial"/>
        </w:rPr>
        <w:t>, K. Reay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K. McKay Bounford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K. Bradshaw</w:t>
      </w:r>
      <w:r w:rsidRPr="00FE6DE0">
        <w:rPr>
          <w:rFonts w:ascii="Arial" w:hAnsi="Arial" w:cs="Arial"/>
          <w:vertAlign w:val="superscript"/>
        </w:rPr>
        <w:t>38</w:t>
      </w:r>
      <w:r w:rsidRPr="00FE6DE0">
        <w:rPr>
          <w:rFonts w:ascii="Arial" w:hAnsi="Arial" w:cs="Arial"/>
        </w:rPr>
        <w:t>, K. Russell</w:t>
      </w:r>
      <w:r w:rsidRPr="00FE6DE0">
        <w:rPr>
          <w:rFonts w:ascii="Arial" w:hAnsi="Arial" w:cs="Arial"/>
          <w:vertAlign w:val="superscript"/>
        </w:rPr>
        <w:t>65</w:t>
      </w:r>
      <w:r w:rsidRPr="00FE6DE0">
        <w:rPr>
          <w:rFonts w:ascii="Arial" w:hAnsi="Arial" w:cs="Arial"/>
        </w:rPr>
        <w:t>, K. Stone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K. Snape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L. Crookes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L. Reed</w:t>
      </w: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>, L. Taggart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L. Yarram</w:t>
      </w:r>
      <w:r w:rsidRPr="00FE6DE0">
        <w:rPr>
          <w:rFonts w:ascii="Arial" w:hAnsi="Arial" w:cs="Arial"/>
          <w:vertAlign w:val="superscript"/>
        </w:rPr>
        <w:t>65</w:t>
      </w:r>
      <w:r w:rsidRPr="00FE6DE0">
        <w:rPr>
          <w:rFonts w:ascii="Arial" w:hAnsi="Arial" w:cs="Arial"/>
        </w:rPr>
        <w:t>, L. Cobbold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L. Walker</w:t>
      </w:r>
      <w:r w:rsidRPr="00FE6DE0">
        <w:rPr>
          <w:rFonts w:ascii="Arial" w:hAnsi="Arial" w:cs="Arial"/>
          <w:vertAlign w:val="superscript"/>
        </w:rPr>
        <w:t>39</w:t>
      </w:r>
      <w:r w:rsidRPr="00FE6DE0">
        <w:rPr>
          <w:rFonts w:ascii="Arial" w:hAnsi="Arial" w:cs="Arial"/>
        </w:rPr>
        <w:t>, L. Walker</w:t>
      </w:r>
      <w:r w:rsidRPr="00FE6DE0">
        <w:rPr>
          <w:rFonts w:ascii="Arial" w:hAnsi="Arial" w:cs="Arial"/>
          <w:vertAlign w:val="superscript"/>
        </w:rPr>
        <w:t>41</w:t>
      </w:r>
      <w:r w:rsidRPr="00FE6DE0">
        <w:rPr>
          <w:rFonts w:ascii="Arial" w:hAnsi="Arial" w:cs="Arial"/>
        </w:rPr>
        <w:t>, L. Hawkes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L. Busby</w:t>
      </w: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>, L. Izatt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L. Kiely</w:t>
      </w:r>
      <w:r w:rsidRPr="00FE6DE0">
        <w:rPr>
          <w:rFonts w:ascii="Arial" w:hAnsi="Arial" w:cs="Arial"/>
          <w:vertAlign w:val="superscript"/>
        </w:rPr>
        <w:t>22,</w:t>
      </w:r>
      <w:r w:rsidRPr="00FE6DE0">
        <w:rPr>
          <w:rFonts w:ascii="Arial" w:hAnsi="Arial" w:cs="Arial"/>
        </w:rPr>
        <w:t xml:space="preserve"> L. Hughes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L. Side</w:t>
      </w:r>
      <w:r w:rsidRPr="00FE6DE0">
        <w:rPr>
          <w:rFonts w:ascii="Arial" w:hAnsi="Arial" w:cs="Arial"/>
          <w:vertAlign w:val="superscript"/>
        </w:rPr>
        <w:t>56</w:t>
      </w:r>
      <w:r w:rsidRPr="00FE6DE0">
        <w:rPr>
          <w:rFonts w:ascii="Arial" w:hAnsi="Arial" w:cs="Arial"/>
        </w:rPr>
        <w:t>, L. Sarkies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 K.-L. Greenhalgh</w:t>
      </w:r>
      <w:r w:rsidRPr="00FE6DE0">
        <w:rPr>
          <w:rFonts w:ascii="Arial" w:hAnsi="Arial" w:cs="Arial"/>
          <w:vertAlign w:val="superscript"/>
        </w:rPr>
        <w:t>28</w:t>
      </w:r>
      <w:r w:rsidRPr="00FE6DE0">
        <w:rPr>
          <w:rFonts w:ascii="Arial" w:hAnsi="Arial" w:cs="Arial"/>
        </w:rPr>
        <w:t>, M. Shanmugasundaram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M. Duff</w:t>
      </w:r>
      <w:r w:rsidRPr="00FE6DE0">
        <w:rPr>
          <w:rFonts w:ascii="Arial" w:hAnsi="Arial" w:cs="Arial"/>
          <w:vertAlign w:val="superscript"/>
        </w:rPr>
        <w:t>40</w:t>
      </w:r>
      <w:r w:rsidRPr="00FE6DE0">
        <w:rPr>
          <w:rFonts w:ascii="Arial" w:hAnsi="Arial" w:cs="Arial"/>
        </w:rPr>
        <w:t>, M. Bartlett</w:t>
      </w:r>
      <w:r w:rsidRPr="00FE6DE0">
        <w:rPr>
          <w:rFonts w:ascii="Arial" w:hAnsi="Arial" w:cs="Arial"/>
          <w:vertAlign w:val="superscript"/>
        </w:rPr>
        <w:t>29</w:t>
      </w:r>
      <w:r w:rsidRPr="00FE6DE0">
        <w:rPr>
          <w:rFonts w:ascii="Arial" w:hAnsi="Arial" w:cs="Arial"/>
        </w:rPr>
        <w:t>, M. Watson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M. Owens</w:t>
      </w:r>
      <w:r w:rsidRPr="00FE6DE0">
        <w:rPr>
          <w:rFonts w:ascii="Arial" w:hAnsi="Arial" w:cs="Arial"/>
          <w:vertAlign w:val="superscript"/>
        </w:rPr>
        <w:t>9</w:t>
      </w:r>
      <w:r w:rsidRPr="00FE6DE0">
        <w:rPr>
          <w:rFonts w:ascii="Arial" w:hAnsi="Arial" w:cs="Arial"/>
        </w:rPr>
        <w:t>, M. Bradford</w:t>
      </w:r>
      <w:r w:rsidRPr="00FE6DE0">
        <w:rPr>
          <w:rFonts w:ascii="Arial" w:hAnsi="Arial" w:cs="Arial"/>
          <w:vertAlign w:val="superscript"/>
        </w:rPr>
        <w:t>54</w:t>
      </w:r>
      <w:r w:rsidRPr="00FE6DE0">
        <w:rPr>
          <w:rFonts w:ascii="Arial" w:hAnsi="Arial" w:cs="Arial"/>
        </w:rPr>
        <w:t>, M. Huxley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M. Slean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M. Ryten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M. Smith</w:t>
      </w:r>
      <w:r w:rsidRPr="00FE6DE0">
        <w:rPr>
          <w:rFonts w:ascii="Arial" w:hAnsi="Arial" w:cs="Arial"/>
          <w:vertAlign w:val="superscript"/>
        </w:rPr>
        <w:t>55</w:t>
      </w:r>
      <w:r w:rsidRPr="00FE6DE0">
        <w:rPr>
          <w:rFonts w:ascii="Arial" w:hAnsi="Arial" w:cs="Arial"/>
        </w:rPr>
        <w:t>, M. Ahmed</w:t>
      </w: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>, N. Roberts</w:t>
      </w:r>
      <w:r w:rsidRPr="00FE6DE0">
        <w:rPr>
          <w:rFonts w:ascii="Arial" w:hAnsi="Arial" w:cs="Arial"/>
          <w:vertAlign w:val="superscript"/>
        </w:rPr>
        <w:t>2</w:t>
      </w:r>
      <w:r w:rsidRPr="00FE6DE0">
        <w:rPr>
          <w:rFonts w:ascii="Arial" w:hAnsi="Arial" w:cs="Arial"/>
        </w:rPr>
        <w:t>, C. O'Brien</w:t>
      </w:r>
      <w:r w:rsidRPr="00FE6DE0">
        <w:rPr>
          <w:rFonts w:ascii="Arial" w:hAnsi="Arial" w:cs="Arial"/>
          <w:vertAlign w:val="superscript"/>
        </w:rPr>
        <w:t>50</w:t>
      </w:r>
      <w:r w:rsidRPr="00FE6DE0">
        <w:rPr>
          <w:rFonts w:ascii="Arial" w:hAnsi="Arial" w:cs="Arial"/>
        </w:rPr>
        <w:t>, O. Middleton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P. Tarpey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 P. Logan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P. Dean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P. May</w:t>
      </w:r>
      <w:r w:rsidRPr="00FE6DE0">
        <w:rPr>
          <w:rFonts w:ascii="Arial" w:hAnsi="Arial" w:cs="Arial"/>
          <w:vertAlign w:val="superscript"/>
        </w:rPr>
        <w:t>24</w:t>
      </w:r>
      <w:r w:rsidRPr="00FE6DE0">
        <w:rPr>
          <w:rFonts w:ascii="Arial" w:hAnsi="Arial" w:cs="Arial"/>
        </w:rPr>
        <w:t>, P. Brace</w:t>
      </w: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>, R. Tredwell</w:t>
      </w:r>
      <w:r w:rsidRPr="00FE6DE0">
        <w:rPr>
          <w:rFonts w:ascii="Arial" w:hAnsi="Arial" w:cs="Arial"/>
          <w:vertAlign w:val="superscript"/>
        </w:rPr>
        <w:t>38</w:t>
      </w:r>
      <w:r w:rsidRPr="00FE6DE0">
        <w:rPr>
          <w:rFonts w:ascii="Arial" w:hAnsi="Arial" w:cs="Arial"/>
        </w:rPr>
        <w:t>, R. Harrison</w:t>
      </w:r>
      <w:r w:rsidRPr="00FE6DE0">
        <w:rPr>
          <w:rFonts w:ascii="Arial" w:hAnsi="Arial" w:cs="Arial"/>
          <w:vertAlign w:val="superscript"/>
        </w:rPr>
        <w:t>37</w:t>
      </w:r>
      <w:r w:rsidRPr="00FE6DE0">
        <w:rPr>
          <w:rFonts w:ascii="Arial" w:hAnsi="Arial" w:cs="Arial"/>
        </w:rPr>
        <w:t>, R. Hart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R. Kirk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R. Martin</w:t>
      </w:r>
      <w:r w:rsidRPr="00FE6DE0">
        <w:rPr>
          <w:rFonts w:ascii="Arial" w:hAnsi="Arial" w:cs="Arial"/>
          <w:vertAlign w:val="superscript"/>
        </w:rPr>
        <w:t>31</w:t>
      </w:r>
      <w:r w:rsidRPr="00FE6DE0">
        <w:rPr>
          <w:rFonts w:ascii="Arial" w:hAnsi="Arial" w:cs="Arial"/>
        </w:rPr>
        <w:t>, R. Nyanhete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R. Wright</w:t>
      </w:r>
      <w:r w:rsidRPr="00FE6DE0">
        <w:rPr>
          <w:rFonts w:ascii="Arial" w:hAnsi="Arial" w:cs="Arial"/>
          <w:vertAlign w:val="superscript"/>
        </w:rPr>
        <w:t>2</w:t>
      </w:r>
      <w:r w:rsidRPr="00FE6DE0">
        <w:rPr>
          <w:rFonts w:ascii="Arial" w:hAnsi="Arial" w:cs="Arial"/>
        </w:rPr>
        <w:t>, R. Martin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R. Davidson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R. Cleaver</w:t>
      </w:r>
      <w:r w:rsidRPr="00FE6DE0">
        <w:rPr>
          <w:rFonts w:ascii="Arial" w:hAnsi="Arial" w:cs="Arial"/>
          <w:vertAlign w:val="superscript"/>
        </w:rPr>
        <w:t>45</w:t>
      </w:r>
      <w:r w:rsidRPr="00FE6DE0">
        <w:rPr>
          <w:rFonts w:ascii="Arial" w:hAnsi="Arial" w:cs="Arial"/>
        </w:rPr>
        <w:t>, S. Talukdar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S. Butler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J. Sampson</w:t>
      </w: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>, S. Ribeiro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S. Dell</w:t>
      </w:r>
      <w:r w:rsidRPr="00FE6DE0">
        <w:rPr>
          <w:rFonts w:ascii="Arial" w:hAnsi="Arial" w:cs="Arial"/>
          <w:vertAlign w:val="superscript"/>
        </w:rPr>
        <w:t>46</w:t>
      </w:r>
      <w:r w:rsidRPr="00FE6DE0">
        <w:rPr>
          <w:rFonts w:ascii="Arial" w:hAnsi="Arial" w:cs="Arial"/>
        </w:rPr>
        <w:t>, S. Mackenzie</w:t>
      </w:r>
      <w:r w:rsidRPr="00FE6DE0">
        <w:rPr>
          <w:rFonts w:ascii="Arial" w:hAnsi="Arial" w:cs="Arial"/>
          <w:vertAlign w:val="superscript"/>
        </w:rPr>
        <w:t>32</w:t>
      </w:r>
      <w:r w:rsidRPr="00FE6DE0">
        <w:rPr>
          <w:rFonts w:ascii="Arial" w:hAnsi="Arial" w:cs="Arial"/>
        </w:rPr>
        <w:t>, S. Hegarty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S. Albaba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S. McKee</w:t>
      </w:r>
      <w:r w:rsidRPr="00FE6DE0">
        <w:rPr>
          <w:rFonts w:ascii="Arial" w:hAnsi="Arial" w:cs="Arial"/>
          <w:vertAlign w:val="superscript"/>
        </w:rPr>
        <w:t>36</w:t>
      </w:r>
      <w:r w:rsidRPr="00FE6DE0">
        <w:rPr>
          <w:rFonts w:ascii="Arial" w:hAnsi="Arial" w:cs="Arial"/>
        </w:rPr>
        <w:t>, S. Palmer-Smith</w:t>
      </w: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>, S. Heggarty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S. MacParland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S. Greville-Heygate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S. Daniels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,S. Prapa</w:t>
      </w:r>
      <w:r w:rsidRPr="00FE6DE0">
        <w:rPr>
          <w:rFonts w:ascii="Arial" w:hAnsi="Arial" w:cs="Arial"/>
          <w:vertAlign w:val="superscript"/>
        </w:rPr>
        <w:t>18</w:t>
      </w:r>
      <w:r w:rsidRPr="00FE6DE0">
        <w:rPr>
          <w:rFonts w:ascii="Arial" w:hAnsi="Arial" w:cs="Arial"/>
        </w:rPr>
        <w:t>,S. Abbs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 S. Tennant</w:t>
      </w:r>
      <w:r w:rsidRPr="00FE6DE0">
        <w:rPr>
          <w:rFonts w:ascii="Arial" w:hAnsi="Arial" w:cs="Arial"/>
          <w:vertAlign w:val="superscript"/>
        </w:rPr>
        <w:t>33</w:t>
      </w:r>
      <w:r w:rsidRPr="00FE6DE0">
        <w:rPr>
          <w:rFonts w:ascii="Arial" w:hAnsi="Arial" w:cs="Arial"/>
        </w:rPr>
        <w:t>, S. Hardy</w:t>
      </w:r>
      <w:r w:rsidRPr="00FE6DE0">
        <w:rPr>
          <w:rFonts w:ascii="Arial" w:hAnsi="Arial" w:cs="Arial"/>
          <w:vertAlign w:val="superscript"/>
        </w:rPr>
        <w:t>43</w:t>
      </w:r>
      <w:r w:rsidRPr="00FE6DE0">
        <w:rPr>
          <w:rFonts w:ascii="Arial" w:hAnsi="Arial" w:cs="Arial"/>
        </w:rPr>
        <w:t>, S. MacMahon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T. McVeigh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T. Foo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T. Bedenham</w:t>
      </w:r>
      <w:r w:rsidRPr="00FE6DE0">
        <w:rPr>
          <w:rFonts w:ascii="Arial" w:hAnsi="Arial" w:cs="Arial"/>
          <w:vertAlign w:val="superscript"/>
        </w:rPr>
        <w:t>42</w:t>
      </w:r>
      <w:r w:rsidRPr="00FE6DE0">
        <w:rPr>
          <w:rFonts w:ascii="Arial" w:hAnsi="Arial" w:cs="Arial"/>
        </w:rPr>
        <w:t>, T. Cranston</w:t>
      </w:r>
      <w:r w:rsidRPr="00FE6DE0">
        <w:rPr>
          <w:rFonts w:ascii="Arial" w:hAnsi="Arial" w:cs="Arial"/>
          <w:vertAlign w:val="superscript"/>
        </w:rPr>
        <w:t>42,</w:t>
      </w:r>
      <w:r w:rsidRPr="00FE6DE0">
        <w:rPr>
          <w:rFonts w:ascii="Arial" w:hAnsi="Arial" w:cs="Arial"/>
        </w:rPr>
        <w:t xml:space="preserve"> T. McDevitt</w:t>
      </w:r>
      <w:r w:rsidRPr="00FE6DE0">
        <w:rPr>
          <w:rFonts w:ascii="Arial" w:hAnsi="Arial" w:cs="Arial"/>
          <w:vertAlign w:val="superscript"/>
        </w:rPr>
        <w:t>40</w:t>
      </w:r>
      <w:r w:rsidRPr="00FE6DE0">
        <w:rPr>
          <w:rFonts w:ascii="Arial" w:hAnsi="Arial" w:cs="Arial"/>
        </w:rPr>
        <w:t>, V. Clowes</w:t>
      </w:r>
      <w:r w:rsidRPr="00FE6DE0">
        <w:rPr>
          <w:rFonts w:ascii="Arial" w:hAnsi="Arial" w:cs="Arial"/>
          <w:vertAlign w:val="superscript"/>
        </w:rPr>
        <w:t>29</w:t>
      </w:r>
      <w:r w:rsidRPr="00FE6DE0">
        <w:rPr>
          <w:rFonts w:ascii="Arial" w:hAnsi="Arial" w:cs="Arial"/>
        </w:rPr>
        <w:t>, V. Tripathi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V. McConnell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N. Woodwaer</w:t>
      </w:r>
      <w:r w:rsidRPr="00FE6DE0">
        <w:rPr>
          <w:rFonts w:ascii="Arial" w:hAnsi="Arial" w:cs="Arial"/>
          <w:vertAlign w:val="superscript"/>
        </w:rPr>
        <w:t>45</w:t>
      </w:r>
      <w:r w:rsidRPr="00FE6DE0">
        <w:rPr>
          <w:rFonts w:ascii="Arial" w:hAnsi="Arial" w:cs="Arial"/>
        </w:rPr>
        <w:t>, Y. Wallis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Z. Kemp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G. Mullan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L. Pierson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L. Rainey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C. Joyce</w:t>
      </w:r>
      <w:r w:rsidRPr="00FE6DE0">
        <w:rPr>
          <w:rFonts w:ascii="Arial" w:hAnsi="Arial" w:cs="Arial"/>
          <w:vertAlign w:val="superscript"/>
        </w:rPr>
        <w:t>59</w:t>
      </w:r>
      <w:r w:rsidRPr="00FE6DE0">
        <w:rPr>
          <w:rFonts w:ascii="Arial" w:hAnsi="Arial" w:cs="Arial"/>
        </w:rPr>
        <w:t>, A. Timbs</w:t>
      </w:r>
      <w:r w:rsidRPr="00FE6DE0">
        <w:rPr>
          <w:rFonts w:ascii="Arial" w:hAnsi="Arial" w:cs="Arial"/>
          <w:vertAlign w:val="superscript"/>
        </w:rPr>
        <w:t>41</w:t>
      </w:r>
      <w:r w:rsidRPr="00FE6DE0">
        <w:rPr>
          <w:rFonts w:ascii="Arial" w:hAnsi="Arial" w:cs="Arial"/>
        </w:rPr>
        <w:t>, A-M. Reuther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B. Frugtniet</w:t>
      </w:r>
      <w:r w:rsidRPr="00FE6DE0">
        <w:rPr>
          <w:rFonts w:ascii="Arial" w:hAnsi="Arial" w:cs="Arial"/>
          <w:vertAlign w:val="superscript"/>
        </w:rPr>
        <w:t>47</w:t>
      </w:r>
      <w:r w:rsidRPr="00FE6DE0">
        <w:rPr>
          <w:rFonts w:ascii="Arial" w:hAnsi="Arial" w:cs="Arial"/>
        </w:rPr>
        <w:t>, B. DeSouza</w:t>
      </w:r>
      <w:r w:rsidRPr="00FE6DE0">
        <w:rPr>
          <w:rFonts w:ascii="Arial" w:hAnsi="Arial" w:cs="Arial"/>
          <w:vertAlign w:val="superscript"/>
        </w:rPr>
        <w:t>25</w:t>
      </w:r>
      <w:r w:rsidRPr="00FE6DE0">
        <w:rPr>
          <w:rFonts w:ascii="Arial" w:hAnsi="Arial" w:cs="Arial"/>
        </w:rPr>
        <w:t>, C. Husher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C. Lawn</w:t>
      </w: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>, C. Corbett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D. Nocera-Jijon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D. Reay</w:t>
      </w:r>
      <w:r w:rsidRPr="00FE6DE0">
        <w:rPr>
          <w:rFonts w:ascii="Arial" w:hAnsi="Arial" w:cs="Arial"/>
          <w:vertAlign w:val="superscript"/>
        </w:rPr>
        <w:t>31</w:t>
      </w:r>
      <w:r w:rsidRPr="00FE6DE0">
        <w:rPr>
          <w:rFonts w:ascii="Arial" w:hAnsi="Arial" w:cs="Arial"/>
        </w:rPr>
        <w:t>, E. Cross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F. Ryan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H. Lindsay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J. Oliver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J. Dring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J. Spiers</w:t>
      </w:r>
      <w:r w:rsidRPr="00FE6DE0">
        <w:rPr>
          <w:rFonts w:ascii="Arial" w:hAnsi="Arial" w:cs="Arial"/>
          <w:vertAlign w:val="superscript"/>
        </w:rPr>
        <w:t>65</w:t>
      </w:r>
      <w:r w:rsidRPr="00FE6DE0">
        <w:rPr>
          <w:rFonts w:ascii="Arial" w:hAnsi="Arial" w:cs="Arial"/>
        </w:rPr>
        <w:t>, J. Harper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K. Ciucias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 L. Connolly</w:t>
      </w:r>
      <w:r w:rsidRPr="00FE6DE0">
        <w:rPr>
          <w:rFonts w:ascii="Arial" w:hAnsi="Arial" w:cs="Arial"/>
          <w:vertAlign w:val="superscript"/>
        </w:rPr>
        <w:t>60</w:t>
      </w:r>
      <w:r w:rsidRPr="00FE6DE0">
        <w:rPr>
          <w:rFonts w:ascii="Arial" w:hAnsi="Arial" w:cs="Arial"/>
        </w:rPr>
        <w:t>, M. Tsang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R. Brown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S. Shepherd</w:t>
      </w:r>
      <w:r w:rsidRPr="00FE6DE0">
        <w:rPr>
          <w:rFonts w:ascii="Arial" w:hAnsi="Arial" w:cs="Arial"/>
          <w:vertAlign w:val="superscript"/>
        </w:rPr>
        <w:t>32</w:t>
      </w:r>
      <w:r w:rsidRPr="00FE6DE0">
        <w:rPr>
          <w:rFonts w:ascii="Arial" w:hAnsi="Arial" w:cs="Arial"/>
        </w:rPr>
        <w:t>, S. Begum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S. Daniels</w:t>
      </w:r>
      <w:r w:rsidRPr="00FE6DE0">
        <w:rPr>
          <w:rFonts w:ascii="Arial" w:hAnsi="Arial" w:cs="Arial"/>
          <w:vertAlign w:val="superscript"/>
        </w:rPr>
        <w:t>3</w:t>
      </w:r>
      <w:r w:rsidRPr="00FE6DE0">
        <w:rPr>
          <w:rFonts w:ascii="Arial" w:hAnsi="Arial" w:cs="Arial"/>
        </w:rPr>
        <w:t>, T. Tadiso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>, T. Linton-Willoughby</w:t>
      </w: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>, H. Heppell</w:t>
      </w:r>
      <w:r w:rsidRPr="00FE6DE0">
        <w:rPr>
          <w:rFonts w:ascii="Arial" w:hAnsi="Arial" w:cs="Arial"/>
          <w:vertAlign w:val="superscript"/>
        </w:rPr>
        <w:t>35</w:t>
      </w:r>
      <w:r w:rsidRPr="00FE6DE0">
        <w:rPr>
          <w:rFonts w:ascii="Arial" w:hAnsi="Arial" w:cs="Arial"/>
        </w:rPr>
        <w:t>, K. Sahan</w:t>
      </w:r>
      <w:r w:rsidRPr="00FE6DE0">
        <w:rPr>
          <w:rFonts w:ascii="Arial" w:hAnsi="Arial" w:cs="Arial"/>
          <w:vertAlign w:val="superscript"/>
        </w:rPr>
        <w:t>61</w:t>
      </w:r>
      <w:r w:rsidRPr="00FE6DE0">
        <w:rPr>
          <w:rFonts w:ascii="Arial" w:hAnsi="Arial" w:cs="Arial"/>
        </w:rPr>
        <w:t>, L. Worrillow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Z. Allen</w:t>
      </w: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>, C. Watt</w:t>
      </w:r>
      <w:r w:rsidRPr="00FE6DE0">
        <w:rPr>
          <w:rFonts w:ascii="Arial" w:hAnsi="Arial" w:cs="Arial"/>
          <w:vertAlign w:val="superscript"/>
        </w:rPr>
        <w:t>34</w:t>
      </w:r>
      <w:r w:rsidRPr="00FE6DE0">
        <w:rPr>
          <w:rFonts w:ascii="Arial" w:hAnsi="Arial" w:cs="Arial"/>
        </w:rPr>
        <w:t>,M. Hegarty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R. Mitchell</w:t>
      </w: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>, R. Coles</w:t>
      </w:r>
      <w:r w:rsidRPr="00FE6DE0">
        <w:rPr>
          <w:rFonts w:ascii="Arial" w:hAnsi="Arial" w:cs="Arial"/>
          <w:vertAlign w:val="superscript"/>
        </w:rPr>
        <w:t>66</w:t>
      </w:r>
      <w:r w:rsidRPr="00FE6DE0">
        <w:rPr>
          <w:rFonts w:ascii="Arial" w:hAnsi="Arial" w:cs="Arial"/>
        </w:rPr>
        <w:t>, G. Nickless</w:t>
      </w: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>, E. Cojocaru</w:t>
      </w:r>
      <w:r w:rsidRPr="00FE6DE0">
        <w:rPr>
          <w:rFonts w:ascii="Arial" w:hAnsi="Arial" w:cs="Arial"/>
          <w:vertAlign w:val="superscript"/>
        </w:rPr>
        <w:t>49</w:t>
      </w:r>
      <w:r w:rsidRPr="00FE6DE0">
        <w:rPr>
          <w:rFonts w:ascii="Arial" w:hAnsi="Arial" w:cs="Arial"/>
        </w:rPr>
        <w:t>, I. Doal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F. Sava</w:t>
      </w:r>
      <w:r w:rsidRPr="00FE6DE0">
        <w:rPr>
          <w:rFonts w:ascii="Arial" w:hAnsi="Arial" w:cs="Arial"/>
          <w:vertAlign w:val="superscript"/>
        </w:rPr>
        <w:t>64</w:t>
      </w:r>
      <w:r w:rsidRPr="00FE6DE0">
        <w:rPr>
          <w:rFonts w:ascii="Arial" w:hAnsi="Arial" w:cs="Arial"/>
        </w:rPr>
        <w:t>, C. McCarthy</w:t>
      </w: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>, R. Jeeneea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D. Goudie</w:t>
      </w:r>
      <w:r w:rsidRPr="00FE6DE0">
        <w:rPr>
          <w:rFonts w:ascii="Arial" w:hAnsi="Arial" w:cs="Arial"/>
          <w:vertAlign w:val="superscript"/>
        </w:rPr>
        <w:t>20</w:t>
      </w:r>
      <w:r w:rsidRPr="00FE6DE0">
        <w:rPr>
          <w:rFonts w:ascii="Arial" w:hAnsi="Arial" w:cs="Arial"/>
        </w:rPr>
        <w:t>,</w:t>
      </w:r>
      <w:r w:rsidRPr="00FE6DE0">
        <w:rPr>
          <w:rFonts w:ascii="Arial" w:hAnsi="Arial" w:cs="Arial"/>
          <w:vertAlign w:val="superscript"/>
        </w:rPr>
        <w:t xml:space="preserve"> </w:t>
      </w:r>
      <w:r w:rsidRPr="00FE6DE0">
        <w:rPr>
          <w:rFonts w:ascii="Arial" w:hAnsi="Arial" w:cs="Arial"/>
        </w:rPr>
        <w:t>M. McConachie</w:t>
      </w:r>
      <w:r w:rsidRPr="00FE6DE0">
        <w:rPr>
          <w:rFonts w:ascii="Arial" w:hAnsi="Arial" w:cs="Arial"/>
          <w:vertAlign w:val="superscript"/>
        </w:rPr>
        <w:t>20</w:t>
      </w:r>
      <w:r w:rsidRPr="00FE6DE0">
        <w:rPr>
          <w:rFonts w:ascii="Arial" w:hAnsi="Arial" w:cs="Arial"/>
        </w:rPr>
        <w:t>, S. Botosneanu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G. Kavanaugh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 K. Russell</w:t>
      </w:r>
      <w:r w:rsidRPr="00FE6DE0">
        <w:rPr>
          <w:rFonts w:ascii="Arial" w:hAnsi="Arial" w:cs="Arial"/>
          <w:vertAlign w:val="superscript"/>
        </w:rPr>
        <w:t>10</w:t>
      </w:r>
      <w:r w:rsidRPr="00FE6DE0">
        <w:rPr>
          <w:rFonts w:ascii="Arial" w:hAnsi="Arial" w:cs="Arial"/>
        </w:rPr>
        <w:t>, C. Sherlaw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O. Tsoulaki</w:t>
      </w:r>
      <w:r w:rsidRPr="00FE6DE0">
        <w:rPr>
          <w:rFonts w:ascii="Arial" w:hAnsi="Arial" w:cs="Arial"/>
          <w:vertAlign w:val="superscript"/>
        </w:rPr>
        <w:t>46</w:t>
      </w:r>
      <w:r w:rsidRPr="00FE6DE0">
        <w:rPr>
          <w:rFonts w:ascii="Arial" w:hAnsi="Arial" w:cs="Arial"/>
        </w:rPr>
        <w:t>, C. Forde</w:t>
      </w: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>, E. Petley</w:t>
      </w:r>
      <w:r w:rsidRPr="00FE6DE0">
        <w:rPr>
          <w:rFonts w:ascii="Arial" w:hAnsi="Arial" w:cs="Arial"/>
          <w:vertAlign w:val="superscript"/>
        </w:rPr>
        <w:t>63</w:t>
      </w:r>
      <w:r w:rsidRPr="00FE6DE0">
        <w:rPr>
          <w:rFonts w:ascii="Arial" w:hAnsi="Arial" w:cs="Arial"/>
        </w:rPr>
        <w:t>, A-B. Jones</w:t>
      </w: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>,</w:t>
      </w:r>
      <w:r w:rsidRPr="00FE6DE0">
        <w:rPr>
          <w:rFonts w:ascii="Arial" w:hAnsi="Arial" w:cs="Arial"/>
          <w:vertAlign w:val="superscript"/>
        </w:rPr>
        <w:t xml:space="preserve"> </w:t>
      </w:r>
      <w:r w:rsidRPr="00FE6DE0">
        <w:rPr>
          <w:rFonts w:ascii="Arial" w:hAnsi="Arial" w:cs="Arial"/>
        </w:rPr>
        <w:t>K. Oprych</w:t>
      </w: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eastAsia="Calibri" w:hAnsi="Arial" w:cs="Arial"/>
        </w:rPr>
        <w:t>,</w:t>
      </w:r>
      <w:r w:rsidRPr="00FE6DE0">
        <w:rPr>
          <w:rFonts w:ascii="Arial" w:eastAsia="Arial" w:hAnsi="Arial" w:cs="Arial"/>
        </w:rPr>
        <w:t xml:space="preserve"> S. Pryde</w:t>
      </w:r>
      <w:r w:rsidRPr="00FE6DE0">
        <w:rPr>
          <w:rFonts w:ascii="Arial" w:eastAsia="Arial" w:hAnsi="Arial" w:cs="Arial"/>
          <w:vertAlign w:val="superscript"/>
        </w:rPr>
        <w:t>67</w:t>
      </w:r>
      <w:r w:rsidRPr="00FE6DE0">
        <w:rPr>
          <w:rFonts w:ascii="Arial" w:eastAsia="Arial" w:hAnsi="Arial" w:cs="Arial"/>
        </w:rPr>
        <w:t>, Z. Hyder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N. Elkhateeb</w:t>
      </w:r>
      <w:r w:rsidRPr="00FE6DE0">
        <w:rPr>
          <w:rFonts w:ascii="Arial" w:eastAsia="Arial" w:hAnsi="Arial" w:cs="Arial"/>
          <w:vertAlign w:val="superscript"/>
        </w:rPr>
        <w:t>18</w:t>
      </w:r>
      <w:r w:rsidRPr="00FE6DE0">
        <w:rPr>
          <w:rFonts w:ascii="Arial" w:eastAsia="Arial" w:hAnsi="Arial" w:cs="Arial"/>
        </w:rPr>
        <w:t>, R. Braham</w:t>
      </w:r>
      <w:r w:rsidRPr="00FE6DE0">
        <w:rPr>
          <w:rFonts w:ascii="Arial" w:eastAsia="Arial" w:hAnsi="Arial" w:cs="Arial"/>
          <w:vertAlign w:val="superscript"/>
        </w:rPr>
        <w:t>21</w:t>
      </w:r>
      <w:r w:rsidRPr="00FE6DE0">
        <w:rPr>
          <w:rFonts w:ascii="Arial" w:eastAsia="Arial" w:hAnsi="Arial" w:cs="Arial"/>
        </w:rPr>
        <w:t>, L. Hanington</w:t>
      </w:r>
      <w:r w:rsidRPr="00FE6DE0">
        <w:rPr>
          <w:rFonts w:ascii="Arial" w:eastAsia="Arial" w:hAnsi="Arial" w:cs="Arial"/>
          <w:vertAlign w:val="superscript"/>
        </w:rPr>
        <w:t>41</w:t>
      </w:r>
      <w:r w:rsidRPr="00FE6DE0">
        <w:rPr>
          <w:rFonts w:ascii="Arial" w:eastAsia="Arial" w:hAnsi="Arial" w:cs="Arial"/>
        </w:rPr>
        <w:t>, C. Huntley</w:t>
      </w:r>
      <w:r w:rsidRPr="00FE6DE0">
        <w:rPr>
          <w:rFonts w:ascii="Arial" w:eastAsia="Arial" w:hAnsi="Arial" w:cs="Arial"/>
          <w:vertAlign w:val="superscript"/>
        </w:rPr>
        <w:t>1</w:t>
      </w:r>
      <w:r w:rsidRPr="00FE6DE0">
        <w:rPr>
          <w:rFonts w:ascii="Arial" w:eastAsia="Arial" w:hAnsi="Arial" w:cs="Arial"/>
        </w:rPr>
        <w:t>, R. Irving</w:t>
      </w:r>
      <w:r w:rsidRPr="00FE6DE0">
        <w:rPr>
          <w:rFonts w:ascii="Arial" w:eastAsia="Arial" w:hAnsi="Arial" w:cs="Arial"/>
          <w:vertAlign w:val="superscript"/>
        </w:rPr>
        <w:t>51</w:t>
      </w:r>
      <w:r w:rsidRPr="00FE6DE0">
        <w:rPr>
          <w:rFonts w:ascii="Arial" w:eastAsia="Arial" w:hAnsi="Arial" w:cs="Arial"/>
        </w:rPr>
        <w:t>, A. Sadan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M. Ramos</w:t>
      </w:r>
      <w:r w:rsidRPr="00FE6DE0">
        <w:rPr>
          <w:rFonts w:ascii="Arial" w:eastAsia="Arial" w:hAnsi="Arial" w:cs="Arial"/>
          <w:vertAlign w:val="superscript"/>
        </w:rPr>
        <w:t>22</w:t>
      </w:r>
      <w:r w:rsidRPr="00FE6DE0">
        <w:rPr>
          <w:rFonts w:ascii="Arial" w:eastAsia="Arial" w:hAnsi="Arial" w:cs="Arial"/>
        </w:rPr>
        <w:t>, C. Elliot</w:t>
      </w:r>
      <w:r w:rsidRPr="00FE6DE0">
        <w:rPr>
          <w:rFonts w:ascii="Arial" w:eastAsia="Arial" w:hAnsi="Arial" w:cs="Arial"/>
          <w:vertAlign w:val="superscript"/>
        </w:rPr>
        <w:t>35</w:t>
      </w:r>
      <w:r w:rsidRPr="00FE6DE0">
        <w:rPr>
          <w:rFonts w:ascii="Arial" w:eastAsia="Arial" w:hAnsi="Arial" w:cs="Arial"/>
        </w:rPr>
        <w:t>, D. Wren</w:t>
      </w:r>
      <w:r w:rsidRPr="00FE6DE0">
        <w:rPr>
          <w:rFonts w:ascii="Arial" w:eastAsia="Arial" w:hAnsi="Arial" w:cs="Arial"/>
          <w:vertAlign w:val="superscript"/>
        </w:rPr>
        <w:t>22</w:t>
      </w:r>
      <w:r w:rsidRPr="00FE6DE0">
        <w:rPr>
          <w:rFonts w:ascii="Arial" w:eastAsia="Arial" w:hAnsi="Arial" w:cs="Arial"/>
        </w:rPr>
        <w:t>, D.Lobo</w:t>
      </w:r>
      <w:r w:rsidRPr="00FE6DE0">
        <w:rPr>
          <w:rFonts w:ascii="Arial" w:eastAsia="Arial" w:hAnsi="Arial" w:cs="Arial"/>
          <w:vertAlign w:val="superscript"/>
        </w:rPr>
        <w:t>35</w:t>
      </w:r>
      <w:r w:rsidRPr="00FE6DE0">
        <w:rPr>
          <w:rFonts w:ascii="Arial" w:eastAsia="Arial" w:hAnsi="Arial" w:cs="Arial"/>
        </w:rPr>
        <w:t>, J. McLean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D. May</w:t>
      </w:r>
      <w:r w:rsidRPr="00FE6DE0">
        <w:rPr>
          <w:rFonts w:ascii="Arial" w:eastAsia="Arial" w:hAnsi="Arial" w:cs="Arial"/>
          <w:vertAlign w:val="superscript"/>
        </w:rPr>
        <w:t>18</w:t>
      </w:r>
      <w:r w:rsidRPr="00FE6DE0">
        <w:rPr>
          <w:rFonts w:ascii="Arial" w:eastAsia="Arial" w:hAnsi="Arial" w:cs="Arial"/>
        </w:rPr>
        <w:t>, L. Kearney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T. Campbell</w:t>
      </w:r>
      <w:r w:rsidRPr="00FE6DE0">
        <w:rPr>
          <w:rFonts w:ascii="Arial" w:eastAsia="Arial" w:hAnsi="Arial" w:cs="Arial"/>
          <w:vertAlign w:val="superscript"/>
        </w:rPr>
        <w:t>38</w:t>
      </w:r>
      <w:r w:rsidRPr="00FE6DE0">
        <w:rPr>
          <w:rFonts w:ascii="Arial" w:eastAsia="Arial" w:hAnsi="Arial" w:cs="Arial"/>
        </w:rPr>
        <w:t>, K. Asakura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L. Alwadi</w:t>
      </w:r>
      <w:r w:rsidRPr="00FE6DE0">
        <w:rPr>
          <w:rFonts w:ascii="Arial" w:eastAsia="Arial" w:hAnsi="Arial" w:cs="Arial"/>
          <w:vertAlign w:val="superscript"/>
        </w:rPr>
        <w:t>19</w:t>
      </w:r>
      <w:r w:rsidRPr="00FE6DE0">
        <w:rPr>
          <w:rFonts w:ascii="Arial" w:eastAsia="Arial" w:hAnsi="Arial" w:cs="Arial"/>
        </w:rPr>
        <w:t>, R. O’Shea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J. Gabriel</w:t>
      </w:r>
      <w:r w:rsidRPr="00FE6DE0">
        <w:rPr>
          <w:rFonts w:ascii="Arial" w:eastAsia="Arial" w:hAnsi="Arial" w:cs="Arial"/>
          <w:vertAlign w:val="superscript"/>
        </w:rPr>
        <w:t>42</w:t>
      </w:r>
      <w:r w:rsidRPr="00FE6DE0">
        <w:rPr>
          <w:rFonts w:ascii="Arial" w:eastAsia="Arial" w:hAnsi="Arial" w:cs="Arial"/>
        </w:rPr>
        <w:t>, L. Chiecchio</w:t>
      </w:r>
      <w:r w:rsidRPr="00FE6DE0">
        <w:rPr>
          <w:rFonts w:ascii="Arial" w:eastAsia="Arial" w:hAnsi="Arial" w:cs="Arial"/>
          <w:vertAlign w:val="superscript"/>
        </w:rPr>
        <w:t>3</w:t>
      </w:r>
      <w:r w:rsidRPr="00FE6DE0">
        <w:rPr>
          <w:rFonts w:ascii="Arial" w:eastAsia="Arial" w:hAnsi="Arial" w:cs="Arial"/>
        </w:rPr>
        <w:t>, P. Bowman</w:t>
      </w:r>
      <w:r w:rsidRPr="00FE6DE0">
        <w:rPr>
          <w:rFonts w:ascii="Arial" w:eastAsia="Arial" w:hAnsi="Arial" w:cs="Arial"/>
          <w:vertAlign w:val="superscript"/>
        </w:rPr>
        <w:t>44</w:t>
      </w:r>
      <w:r w:rsidRPr="00FE6DE0">
        <w:rPr>
          <w:rFonts w:ascii="Arial" w:eastAsia="Arial" w:hAnsi="Arial" w:cs="Arial"/>
        </w:rPr>
        <w:t>, L.A. Sutton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C. Walsh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V. Cloke</w:t>
      </w:r>
      <w:r w:rsidRPr="00FE6DE0">
        <w:rPr>
          <w:rFonts w:ascii="Arial" w:eastAsia="Arial" w:hAnsi="Arial" w:cs="Arial"/>
          <w:vertAlign w:val="superscript"/>
        </w:rPr>
        <w:t>69</w:t>
      </w:r>
      <w:r w:rsidRPr="00FE6DE0">
        <w:rPr>
          <w:rFonts w:ascii="Arial" w:eastAsia="Arial" w:hAnsi="Arial" w:cs="Arial"/>
        </w:rPr>
        <w:t>, D. Ucanok</w:t>
      </w:r>
      <w:r w:rsidRPr="00FE6DE0">
        <w:rPr>
          <w:rFonts w:ascii="Arial" w:eastAsia="Arial" w:hAnsi="Arial" w:cs="Arial"/>
          <w:vertAlign w:val="superscript"/>
        </w:rPr>
        <w:t>37</w:t>
      </w:r>
      <w:r w:rsidRPr="00FE6DE0">
        <w:rPr>
          <w:rFonts w:ascii="Arial" w:eastAsia="Arial" w:hAnsi="Arial" w:cs="Arial"/>
        </w:rPr>
        <w:t>, J. Davies</w:t>
      </w:r>
      <w:r w:rsidRPr="00FE6DE0">
        <w:rPr>
          <w:rFonts w:ascii="Arial" w:eastAsia="Arial" w:hAnsi="Arial" w:cs="Arial"/>
          <w:vertAlign w:val="superscript"/>
        </w:rPr>
        <w:t>65</w:t>
      </w:r>
      <w:r w:rsidRPr="00FE6DE0">
        <w:rPr>
          <w:rFonts w:ascii="Arial" w:eastAsia="Arial" w:hAnsi="Arial" w:cs="Arial"/>
        </w:rPr>
        <w:t>, B. Pleasance</w:t>
      </w:r>
      <w:r w:rsidRPr="00FE6DE0">
        <w:rPr>
          <w:rFonts w:ascii="Arial" w:eastAsia="Arial" w:hAnsi="Arial" w:cs="Arial"/>
          <w:vertAlign w:val="superscript"/>
        </w:rPr>
        <w:t>65</w:t>
      </w:r>
      <w:r w:rsidRPr="00FE6DE0">
        <w:rPr>
          <w:rFonts w:ascii="Arial" w:eastAsia="Arial" w:hAnsi="Arial" w:cs="Arial"/>
        </w:rPr>
        <w:t>, E. Maguire</w:t>
      </w:r>
      <w:r w:rsidRPr="00FE6DE0">
        <w:rPr>
          <w:rFonts w:ascii="Arial" w:eastAsia="Arial" w:hAnsi="Arial" w:cs="Arial"/>
          <w:vertAlign w:val="superscript"/>
        </w:rPr>
        <w:t>6</w:t>
      </w:r>
      <w:r w:rsidRPr="00FE6DE0">
        <w:rPr>
          <w:rFonts w:ascii="Arial" w:eastAsia="Arial" w:hAnsi="Arial" w:cs="Arial"/>
        </w:rPr>
        <w:t>, A. Whaite</w:t>
      </w:r>
      <w:r w:rsidRPr="00FE6DE0">
        <w:rPr>
          <w:rFonts w:ascii="Arial" w:eastAsia="Arial" w:hAnsi="Arial" w:cs="Arial"/>
          <w:vertAlign w:val="superscript"/>
        </w:rPr>
        <w:t>70</w:t>
      </w:r>
      <w:r w:rsidRPr="00FE6DE0">
        <w:rPr>
          <w:rFonts w:ascii="Arial" w:eastAsia="Arial" w:hAnsi="Arial" w:cs="Arial"/>
        </w:rPr>
        <w:t>, S. Best</w:t>
      </w:r>
      <w:r w:rsidRPr="00FE6DE0">
        <w:rPr>
          <w:rFonts w:ascii="Arial" w:eastAsia="Arial" w:hAnsi="Arial" w:cs="Arial"/>
          <w:vertAlign w:val="superscript"/>
        </w:rPr>
        <w:t>71</w:t>
      </w:r>
      <w:r w:rsidRPr="00FE6DE0">
        <w:rPr>
          <w:rFonts w:ascii="Arial" w:eastAsia="Arial" w:hAnsi="Arial" w:cs="Arial"/>
        </w:rPr>
        <w:t>, S. Westbury</w:t>
      </w:r>
      <w:r w:rsidRPr="00FE6DE0">
        <w:rPr>
          <w:rFonts w:ascii="Arial" w:eastAsia="Arial" w:hAnsi="Arial" w:cs="Arial"/>
          <w:vertAlign w:val="superscript"/>
        </w:rPr>
        <w:t>72</w:t>
      </w:r>
      <w:r w:rsidRPr="00FE6DE0">
        <w:rPr>
          <w:rFonts w:ascii="Arial" w:eastAsia="Arial" w:hAnsi="Arial" w:cs="Arial"/>
        </w:rPr>
        <w:t>, A. Logan</w:t>
      </w:r>
      <w:r w:rsidRPr="00FE6DE0">
        <w:rPr>
          <w:rFonts w:ascii="Arial" w:eastAsia="Arial" w:hAnsi="Arial" w:cs="Arial"/>
          <w:vertAlign w:val="superscript"/>
        </w:rPr>
        <w:t>62</w:t>
      </w:r>
      <w:r w:rsidRPr="00FE6DE0">
        <w:rPr>
          <w:rFonts w:ascii="Arial" w:eastAsia="Arial" w:hAnsi="Arial" w:cs="Arial"/>
        </w:rPr>
        <w:t>, D. Navarajasegaran</w:t>
      </w:r>
      <w:r w:rsidRPr="00FE6DE0">
        <w:rPr>
          <w:rFonts w:ascii="Arial" w:eastAsia="Arial" w:hAnsi="Arial" w:cs="Arial"/>
          <w:vertAlign w:val="superscript"/>
        </w:rPr>
        <w:t>71</w:t>
      </w:r>
      <w:r w:rsidRPr="00FE6DE0">
        <w:rPr>
          <w:rFonts w:ascii="Arial" w:eastAsia="Arial" w:hAnsi="Arial" w:cs="Arial"/>
        </w:rPr>
        <w:t>, A. Bench</w:t>
      </w:r>
      <w:r w:rsidRPr="00FE6DE0">
        <w:rPr>
          <w:rFonts w:ascii="Arial" w:eastAsia="Arial" w:hAnsi="Arial" w:cs="Arial"/>
          <w:vertAlign w:val="superscript"/>
        </w:rPr>
        <w:t>35</w:t>
      </w:r>
      <w:r w:rsidRPr="00FE6DE0">
        <w:rPr>
          <w:rFonts w:ascii="Arial" w:eastAsia="Arial" w:hAnsi="Arial" w:cs="Arial"/>
        </w:rPr>
        <w:t>, P. Wightman</w:t>
      </w:r>
      <w:r w:rsidRPr="00FE6DE0">
        <w:rPr>
          <w:rFonts w:ascii="Arial" w:eastAsia="Arial" w:hAnsi="Arial" w:cs="Arial"/>
          <w:vertAlign w:val="superscript"/>
        </w:rPr>
        <w:t>34</w:t>
      </w:r>
      <w:r w:rsidRPr="00FE6DE0">
        <w:rPr>
          <w:rFonts w:ascii="Arial" w:eastAsia="Arial" w:hAnsi="Arial" w:cs="Arial"/>
        </w:rPr>
        <w:t>, A. Cartwright</w:t>
      </w:r>
      <w:r w:rsidRPr="00FE6DE0">
        <w:rPr>
          <w:rFonts w:ascii="Arial" w:eastAsia="Arial" w:hAnsi="Arial" w:cs="Arial"/>
          <w:vertAlign w:val="superscript"/>
        </w:rPr>
        <w:t>2</w:t>
      </w:r>
      <w:r w:rsidRPr="00FE6DE0">
        <w:rPr>
          <w:rFonts w:ascii="Arial" w:eastAsia="Arial" w:hAnsi="Arial" w:cs="Arial"/>
        </w:rPr>
        <w:t>, E. Higgs</w:t>
      </w:r>
      <w:r w:rsidRPr="00FE6DE0">
        <w:rPr>
          <w:rFonts w:ascii="Arial" w:eastAsia="Arial" w:hAnsi="Arial" w:cs="Arial"/>
          <w:vertAlign w:val="superscript"/>
        </w:rPr>
        <w:t>41</w:t>
      </w:r>
      <w:r w:rsidRPr="00FE6DE0">
        <w:rPr>
          <w:rFonts w:ascii="Arial" w:eastAsia="Arial" w:hAnsi="Arial" w:cs="Arial"/>
        </w:rPr>
        <w:t>, J.Bott</w:t>
      </w:r>
      <w:r w:rsidRPr="00FE6DE0">
        <w:rPr>
          <w:rFonts w:ascii="Arial" w:eastAsia="Arial" w:hAnsi="Arial" w:cs="Arial"/>
          <w:vertAlign w:val="superscript"/>
        </w:rPr>
        <w:t>42</w:t>
      </w:r>
      <w:r w:rsidRPr="00FE6DE0">
        <w:rPr>
          <w:rFonts w:ascii="Arial" w:eastAsia="Arial" w:hAnsi="Arial" w:cs="Arial"/>
        </w:rPr>
        <w:t>, H. Whitehouse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J. Stevens</w:t>
      </w:r>
      <w:r w:rsidRPr="00FE6DE0">
        <w:rPr>
          <w:rFonts w:ascii="Arial" w:eastAsia="Arial" w:hAnsi="Arial" w:cs="Arial"/>
          <w:vertAlign w:val="superscript"/>
        </w:rPr>
        <w:t>58</w:t>
      </w:r>
      <w:r w:rsidRPr="00FE6DE0">
        <w:rPr>
          <w:rFonts w:ascii="Arial" w:eastAsia="Arial" w:hAnsi="Arial" w:cs="Arial"/>
        </w:rPr>
        <w:t>, D. Martin</w:t>
      </w:r>
      <w:r w:rsidRPr="00FE6DE0">
        <w:rPr>
          <w:rFonts w:ascii="Arial" w:eastAsia="Arial" w:hAnsi="Arial" w:cs="Arial"/>
          <w:vertAlign w:val="superscript"/>
        </w:rPr>
        <w:t>37</w:t>
      </w:r>
      <w:r w:rsidRPr="00FE6DE0">
        <w:rPr>
          <w:rFonts w:ascii="Arial" w:eastAsia="Arial" w:hAnsi="Arial" w:cs="Arial"/>
        </w:rPr>
        <w:t>, J. Dunlop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S. Thomas</w:t>
      </w:r>
      <w:r w:rsidRPr="00FE6DE0">
        <w:rPr>
          <w:rFonts w:ascii="Arial" w:eastAsia="Arial" w:hAnsi="Arial" w:cs="Arial"/>
          <w:vertAlign w:val="superscript"/>
        </w:rPr>
        <w:t>73</w:t>
      </w:r>
      <w:r w:rsidRPr="00FE6DE0">
        <w:rPr>
          <w:rFonts w:ascii="Arial" w:eastAsia="Arial" w:hAnsi="Arial" w:cs="Arial"/>
        </w:rPr>
        <w:t>, C. Sau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S. Farndon</w:t>
      </w:r>
      <w:r w:rsidRPr="00FE6DE0">
        <w:rPr>
          <w:rFonts w:ascii="Arial" w:eastAsia="Arial" w:hAnsi="Arial" w:cs="Arial"/>
          <w:vertAlign w:val="superscript"/>
        </w:rPr>
        <w:t>74</w:t>
      </w:r>
      <w:r w:rsidRPr="00FE6DE0">
        <w:rPr>
          <w:rFonts w:ascii="Arial" w:eastAsia="Arial" w:hAnsi="Arial" w:cs="Arial"/>
        </w:rPr>
        <w:t>, N. Coleman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P. Angelini</w:t>
      </w:r>
      <w:r w:rsidRPr="00FE6DE0">
        <w:rPr>
          <w:rFonts w:ascii="Arial" w:eastAsia="Arial" w:hAnsi="Arial" w:cs="Arial"/>
          <w:vertAlign w:val="superscript"/>
        </w:rPr>
        <w:t>49</w:t>
      </w:r>
      <w:r w:rsidRPr="00FE6DE0">
        <w:rPr>
          <w:rFonts w:ascii="Arial" w:eastAsia="Arial" w:hAnsi="Arial" w:cs="Arial"/>
        </w:rPr>
        <w:t>, M. Duff</w:t>
      </w:r>
      <w:r w:rsidRPr="00FE6DE0">
        <w:rPr>
          <w:rFonts w:ascii="Arial" w:eastAsia="Arial" w:hAnsi="Arial" w:cs="Arial"/>
          <w:vertAlign w:val="superscript"/>
        </w:rPr>
        <w:t>59</w:t>
      </w:r>
      <w:r w:rsidRPr="00FE6DE0">
        <w:rPr>
          <w:rFonts w:ascii="Arial" w:eastAsia="Arial" w:hAnsi="Arial" w:cs="Arial"/>
        </w:rPr>
        <w:t>, H. Massey</w:t>
      </w:r>
      <w:r w:rsidRPr="00FE6DE0">
        <w:rPr>
          <w:rFonts w:ascii="Arial" w:eastAsia="Arial" w:hAnsi="Arial" w:cs="Arial"/>
          <w:vertAlign w:val="superscript"/>
        </w:rPr>
        <w:t>35</w:t>
      </w:r>
      <w:r w:rsidRPr="00FE6DE0">
        <w:rPr>
          <w:rFonts w:ascii="Arial" w:eastAsia="Arial" w:hAnsi="Arial" w:cs="Arial"/>
        </w:rPr>
        <w:t>, C. Rowlands</w:t>
      </w:r>
      <w:r w:rsidRPr="00FE6DE0">
        <w:rPr>
          <w:rFonts w:ascii="Arial" w:eastAsia="Arial" w:hAnsi="Arial" w:cs="Arial"/>
          <w:vertAlign w:val="superscript"/>
        </w:rPr>
        <w:t>1</w:t>
      </w:r>
      <w:r w:rsidRPr="00FE6DE0">
        <w:rPr>
          <w:rFonts w:ascii="Arial" w:eastAsia="Arial" w:hAnsi="Arial" w:cs="Arial"/>
        </w:rPr>
        <w:t>, C. Garcia-Petit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K. Gillespie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A. Alder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E. Middleton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C. Cassidy</w:t>
      </w:r>
      <w:r w:rsidRPr="00FE6DE0">
        <w:rPr>
          <w:rFonts w:ascii="Arial" w:eastAsia="Arial" w:hAnsi="Arial" w:cs="Arial"/>
          <w:vertAlign w:val="superscript"/>
        </w:rPr>
        <w:t>75</w:t>
      </w:r>
      <w:r w:rsidRPr="00FE6DE0">
        <w:rPr>
          <w:rFonts w:ascii="Arial" w:eastAsia="Arial" w:hAnsi="Arial" w:cs="Arial"/>
        </w:rPr>
        <w:t>, N. Orfali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A. Webb</w:t>
      </w:r>
      <w:r w:rsidRPr="00FE6DE0">
        <w:rPr>
          <w:rFonts w:ascii="Arial" w:eastAsia="Arial" w:hAnsi="Arial" w:cs="Arial"/>
          <w:vertAlign w:val="superscript"/>
        </w:rPr>
        <w:t>3</w:t>
      </w:r>
      <w:r w:rsidRPr="00FE6DE0">
        <w:rPr>
          <w:rFonts w:ascii="Arial" w:eastAsia="Arial" w:hAnsi="Arial" w:cs="Arial"/>
        </w:rPr>
        <w:t>, A. Luharia</w:t>
      </w:r>
      <w:r w:rsidRPr="00FE6DE0">
        <w:rPr>
          <w:rFonts w:ascii="Arial" w:eastAsia="Arial" w:hAnsi="Arial" w:cs="Arial"/>
          <w:vertAlign w:val="superscript"/>
        </w:rPr>
        <w:t>64</w:t>
      </w:r>
      <w:r w:rsidRPr="00FE6DE0">
        <w:rPr>
          <w:rFonts w:ascii="Arial" w:eastAsia="Arial" w:hAnsi="Arial" w:cs="Arial"/>
        </w:rPr>
        <w:t>, N. Walker</w:t>
      </w:r>
      <w:r w:rsidRPr="00FE6DE0">
        <w:rPr>
          <w:rFonts w:ascii="Arial" w:eastAsia="Arial" w:hAnsi="Arial" w:cs="Arial"/>
          <w:vertAlign w:val="superscript"/>
        </w:rPr>
        <w:t>33</w:t>
      </w:r>
      <w:r w:rsidRPr="00FE6DE0">
        <w:rPr>
          <w:rFonts w:ascii="Arial" w:eastAsia="Arial" w:hAnsi="Arial" w:cs="Arial"/>
        </w:rPr>
        <w:t>, J. Charlton</w:t>
      </w:r>
      <w:r w:rsidRPr="00FE6DE0">
        <w:rPr>
          <w:rFonts w:ascii="Arial" w:eastAsia="Arial" w:hAnsi="Arial" w:cs="Arial"/>
          <w:vertAlign w:val="superscript"/>
        </w:rPr>
        <w:t>71</w:t>
      </w:r>
      <w:r w:rsidRPr="00FE6DE0">
        <w:rPr>
          <w:rFonts w:ascii="Arial" w:eastAsia="Arial" w:hAnsi="Arial" w:cs="Arial"/>
        </w:rPr>
        <w:t>, A. Andreou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J. Peddie</w:t>
      </w:r>
      <w:r w:rsidRPr="00FE6DE0">
        <w:rPr>
          <w:rFonts w:ascii="Arial" w:eastAsia="Arial" w:hAnsi="Arial" w:cs="Arial"/>
          <w:vertAlign w:val="superscript"/>
        </w:rPr>
        <w:t>68</w:t>
      </w:r>
      <w:r w:rsidRPr="00FE6DE0">
        <w:rPr>
          <w:rFonts w:ascii="Arial" w:eastAsia="Arial" w:hAnsi="Arial" w:cs="Arial"/>
        </w:rPr>
        <w:t>, M. Khan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L. Wilkinson</w:t>
      </w:r>
      <w:r w:rsidRPr="00FE6DE0">
        <w:rPr>
          <w:rFonts w:ascii="Arial" w:eastAsia="Arial" w:hAnsi="Arial" w:cs="Arial"/>
          <w:vertAlign w:val="superscript"/>
        </w:rPr>
        <w:t>31</w:t>
      </w:r>
      <w:r w:rsidRPr="00FE6DE0">
        <w:rPr>
          <w:rFonts w:ascii="Arial" w:eastAsia="Arial" w:hAnsi="Arial" w:cs="Arial"/>
        </w:rPr>
        <w:t>, H. Bezuidenhout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M. Edis</w:t>
      </w:r>
      <w:r w:rsidRPr="00FE6DE0">
        <w:rPr>
          <w:rFonts w:ascii="Arial" w:eastAsia="Arial" w:hAnsi="Arial" w:cs="Arial"/>
          <w:vertAlign w:val="superscript"/>
        </w:rPr>
        <w:t>18</w:t>
      </w:r>
      <w:r w:rsidRPr="00FE6DE0">
        <w:rPr>
          <w:rFonts w:ascii="Arial" w:eastAsia="Arial" w:hAnsi="Arial" w:cs="Arial"/>
        </w:rPr>
        <w:t>, A. Callard</w:t>
      </w:r>
      <w:r w:rsidRPr="00FE6DE0">
        <w:rPr>
          <w:rFonts w:ascii="Arial" w:eastAsia="Arial" w:hAnsi="Arial" w:cs="Arial"/>
          <w:vertAlign w:val="superscript"/>
        </w:rPr>
        <w:t>29</w:t>
      </w:r>
      <w:r w:rsidRPr="00FE6DE0">
        <w:rPr>
          <w:rFonts w:ascii="Arial" w:eastAsia="Arial" w:hAnsi="Arial" w:cs="Arial"/>
        </w:rPr>
        <w:t>, P. Ostrowski</w:t>
      </w:r>
      <w:r w:rsidRPr="00FE6DE0">
        <w:rPr>
          <w:rFonts w:ascii="Arial" w:eastAsia="Arial" w:hAnsi="Arial" w:cs="Arial"/>
          <w:vertAlign w:val="superscript"/>
        </w:rPr>
        <w:t>76</w:t>
      </w:r>
      <w:r w:rsidRPr="00FE6DE0">
        <w:rPr>
          <w:rFonts w:ascii="Arial" w:eastAsia="Arial" w:hAnsi="Arial" w:cs="Arial"/>
        </w:rPr>
        <w:t>, P. Moverley</w:t>
      </w:r>
      <w:r w:rsidRPr="00FE6DE0">
        <w:rPr>
          <w:rFonts w:ascii="Arial" w:eastAsia="Arial" w:hAnsi="Arial" w:cs="Arial"/>
          <w:vertAlign w:val="superscript"/>
        </w:rPr>
        <w:t>51</w:t>
      </w:r>
      <w:r w:rsidRPr="00FE6DE0">
        <w:rPr>
          <w:rFonts w:ascii="Arial" w:eastAsia="Arial" w:hAnsi="Arial" w:cs="Arial"/>
        </w:rPr>
        <w:t>, K. Bean</w:t>
      </w:r>
      <w:r w:rsidRPr="00FE6DE0">
        <w:rPr>
          <w:rFonts w:ascii="Arial" w:eastAsia="Arial" w:hAnsi="Arial" w:cs="Arial"/>
          <w:vertAlign w:val="superscript"/>
        </w:rPr>
        <w:t>73</w:t>
      </w:r>
      <w:r w:rsidRPr="00FE6DE0">
        <w:rPr>
          <w:rFonts w:ascii="Arial" w:eastAsia="Arial" w:hAnsi="Arial" w:cs="Arial"/>
        </w:rPr>
        <w:t>, A. Dunne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A. Moleirinho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S. Waller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K. Cox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L. Greensmith</w:t>
      </w:r>
      <w:r w:rsidRPr="00FE6DE0">
        <w:rPr>
          <w:rFonts w:ascii="Arial" w:eastAsia="Arial" w:hAnsi="Arial" w:cs="Arial"/>
          <w:vertAlign w:val="superscript"/>
        </w:rPr>
        <w:t>28</w:t>
      </w:r>
      <w:r w:rsidRPr="00FE6DE0">
        <w:rPr>
          <w:rFonts w:ascii="Arial" w:eastAsia="Arial" w:hAnsi="Arial" w:cs="Arial"/>
        </w:rPr>
        <w:t>, A. Brittle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N. Gossan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L. Freestone</w:t>
      </w:r>
      <w:r w:rsidRPr="00FE6DE0">
        <w:rPr>
          <w:rFonts w:ascii="Arial" w:eastAsia="Arial" w:hAnsi="Arial" w:cs="Arial"/>
          <w:vertAlign w:val="superscript"/>
        </w:rPr>
        <w:t>4</w:t>
      </w:r>
      <w:r w:rsidRPr="00FE6DE0">
        <w:rPr>
          <w:rFonts w:ascii="Arial" w:eastAsia="Arial" w:hAnsi="Arial" w:cs="Arial"/>
        </w:rPr>
        <w:t>, C. Shak</w:t>
      </w:r>
      <w:r w:rsidRPr="00FE6DE0">
        <w:rPr>
          <w:rFonts w:ascii="Arial" w:eastAsia="Arial" w:hAnsi="Arial" w:cs="Arial"/>
          <w:vertAlign w:val="superscript"/>
        </w:rPr>
        <w:t>77</w:t>
      </w:r>
      <w:r w:rsidRPr="00FE6DE0">
        <w:rPr>
          <w:rFonts w:ascii="Arial" w:eastAsia="Arial" w:hAnsi="Arial" w:cs="Arial"/>
        </w:rPr>
        <w:t>, T. Langford</w:t>
      </w:r>
      <w:r w:rsidRPr="00FE6DE0">
        <w:rPr>
          <w:rFonts w:ascii="Arial" w:eastAsia="Arial" w:hAnsi="Arial" w:cs="Arial"/>
          <w:vertAlign w:val="superscript"/>
        </w:rPr>
        <w:t>75</w:t>
      </w:r>
      <w:r w:rsidRPr="00FE6DE0">
        <w:rPr>
          <w:rFonts w:ascii="Arial" w:eastAsia="Arial" w:hAnsi="Arial" w:cs="Arial"/>
        </w:rPr>
        <w:t>, Y. Clinch</w:t>
      </w:r>
      <w:r w:rsidRPr="00FE6DE0">
        <w:rPr>
          <w:rFonts w:ascii="Arial" w:eastAsia="Arial" w:hAnsi="Arial" w:cs="Arial"/>
          <w:vertAlign w:val="superscript"/>
        </w:rPr>
        <w:t>21</w:t>
      </w:r>
      <w:r w:rsidRPr="00FE6DE0">
        <w:rPr>
          <w:rFonts w:ascii="Arial" w:eastAsia="Arial" w:hAnsi="Arial" w:cs="Arial"/>
        </w:rPr>
        <w:t>, H. Livesey</w:t>
      </w:r>
      <w:r w:rsidRPr="00FE6DE0">
        <w:rPr>
          <w:rFonts w:ascii="Arial" w:eastAsia="Arial" w:hAnsi="Arial" w:cs="Arial"/>
          <w:vertAlign w:val="superscript"/>
        </w:rPr>
        <w:t>51</w:t>
      </w:r>
      <w:r w:rsidRPr="00FE6DE0">
        <w:rPr>
          <w:rFonts w:ascii="Arial" w:eastAsia="Arial" w:hAnsi="Arial" w:cs="Arial"/>
        </w:rPr>
        <w:t>, S. Borland</w:t>
      </w:r>
      <w:r w:rsidRPr="00FE6DE0">
        <w:rPr>
          <w:rFonts w:ascii="Arial" w:eastAsia="Arial" w:hAnsi="Arial" w:cs="Arial"/>
          <w:vertAlign w:val="superscript"/>
        </w:rPr>
        <w:t>46</w:t>
      </w:r>
      <w:r w:rsidRPr="00FE6DE0">
        <w:rPr>
          <w:rFonts w:ascii="Arial" w:eastAsia="Arial" w:hAnsi="Arial" w:cs="Arial"/>
        </w:rPr>
        <w:t>, A. Joshi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K. Wall</w:t>
      </w:r>
      <w:r w:rsidRPr="00FE6DE0">
        <w:rPr>
          <w:rFonts w:ascii="Arial" w:eastAsia="Arial" w:hAnsi="Arial" w:cs="Arial"/>
          <w:vertAlign w:val="superscript"/>
        </w:rPr>
        <w:t>77</w:t>
      </w:r>
      <w:r w:rsidRPr="00FE6DE0">
        <w:rPr>
          <w:rFonts w:ascii="Arial" w:eastAsia="Arial" w:hAnsi="Arial" w:cs="Arial"/>
        </w:rPr>
        <w:t>, A. Whitworth</w:t>
      </w:r>
      <w:r w:rsidRPr="00FE6DE0">
        <w:rPr>
          <w:rFonts w:ascii="Arial" w:eastAsia="Arial" w:hAnsi="Arial" w:cs="Arial"/>
          <w:vertAlign w:val="superscript"/>
        </w:rPr>
        <w:t>46</w:t>
      </w:r>
      <w:r w:rsidRPr="00FE6DE0">
        <w:rPr>
          <w:rFonts w:ascii="Arial" w:eastAsia="Arial" w:hAnsi="Arial" w:cs="Arial"/>
        </w:rPr>
        <w:t>, A.Wilsdon</w:t>
      </w:r>
      <w:r w:rsidRPr="00FE6DE0">
        <w:rPr>
          <w:rFonts w:ascii="Arial" w:eastAsia="Arial" w:hAnsi="Arial" w:cs="Arial"/>
          <w:vertAlign w:val="superscript"/>
        </w:rPr>
        <w:t>37</w:t>
      </w:r>
      <w:r w:rsidRPr="00FE6DE0">
        <w:rPr>
          <w:rFonts w:ascii="Arial" w:eastAsia="Arial" w:hAnsi="Arial" w:cs="Arial"/>
        </w:rPr>
        <w:t>, K. Edgerley</w:t>
      </w:r>
      <w:r w:rsidRPr="00FE6DE0">
        <w:rPr>
          <w:rFonts w:ascii="Arial" w:eastAsia="Arial" w:hAnsi="Arial" w:cs="Arial"/>
          <w:vertAlign w:val="superscript"/>
        </w:rPr>
        <w:t>72</w:t>
      </w:r>
      <w:r w:rsidRPr="00FE6DE0">
        <w:rPr>
          <w:rFonts w:ascii="Arial" w:eastAsia="Arial" w:hAnsi="Arial" w:cs="Arial"/>
        </w:rPr>
        <w:t>, S. Pugh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N. Chrysochoidi</w:t>
      </w:r>
      <w:r w:rsidRPr="00FE6DE0">
        <w:rPr>
          <w:rFonts w:ascii="Arial" w:eastAsia="Arial" w:hAnsi="Arial" w:cs="Arial"/>
          <w:vertAlign w:val="superscript"/>
        </w:rPr>
        <w:t>3</w:t>
      </w:r>
      <w:r w:rsidRPr="00FE6DE0">
        <w:rPr>
          <w:rFonts w:ascii="Arial" w:eastAsia="Arial" w:hAnsi="Arial" w:cs="Arial"/>
        </w:rPr>
        <w:t>, S. Mutch</w:t>
      </w:r>
      <w:r w:rsidRPr="00FE6DE0">
        <w:rPr>
          <w:rFonts w:ascii="Arial" w:eastAsia="Arial" w:hAnsi="Arial" w:cs="Arial"/>
          <w:vertAlign w:val="superscript"/>
        </w:rPr>
        <w:t>38</w:t>
      </w:r>
      <w:r w:rsidRPr="00FE6DE0">
        <w:rPr>
          <w:rFonts w:ascii="Arial" w:eastAsia="Arial" w:hAnsi="Arial" w:cs="Arial"/>
        </w:rPr>
        <w:t>, C. McMullan</w:t>
      </w:r>
      <w:r w:rsidRPr="00FE6DE0">
        <w:rPr>
          <w:rFonts w:ascii="Arial" w:eastAsia="Arial" w:hAnsi="Arial" w:cs="Arial"/>
          <w:vertAlign w:val="superscript"/>
        </w:rPr>
        <w:t>5</w:t>
      </w:r>
      <w:r w:rsidRPr="00FE6DE0">
        <w:rPr>
          <w:rFonts w:ascii="Arial" w:eastAsia="Arial" w:hAnsi="Arial" w:cs="Arial"/>
        </w:rPr>
        <w:t>, Y. Johnston</w:t>
      </w:r>
      <w:r w:rsidRPr="00FE6DE0">
        <w:rPr>
          <w:rFonts w:ascii="Arial" w:eastAsia="Arial" w:hAnsi="Arial" w:cs="Arial"/>
          <w:vertAlign w:val="superscript"/>
        </w:rPr>
        <w:t>78</w:t>
      </w:r>
      <w:r w:rsidRPr="00FE6DE0">
        <w:rPr>
          <w:rFonts w:ascii="Arial" w:eastAsia="Arial" w:hAnsi="Arial" w:cs="Arial"/>
        </w:rPr>
        <w:t>, M. Muraru</w:t>
      </w:r>
      <w:r w:rsidRPr="00FE6DE0">
        <w:rPr>
          <w:rFonts w:ascii="Arial" w:eastAsia="Arial" w:hAnsi="Arial" w:cs="Arial"/>
          <w:vertAlign w:val="superscript"/>
        </w:rPr>
        <w:t>77</w:t>
      </w:r>
      <w:r w:rsidRPr="00FE6DE0">
        <w:rPr>
          <w:rFonts w:ascii="Arial" w:eastAsia="Arial" w:hAnsi="Arial" w:cs="Arial"/>
        </w:rPr>
        <w:t>, A. May</w:t>
      </w:r>
      <w:r w:rsidRPr="00FE6DE0">
        <w:rPr>
          <w:rFonts w:ascii="Arial" w:eastAsia="Arial" w:hAnsi="Arial" w:cs="Arial"/>
          <w:vertAlign w:val="superscript"/>
        </w:rPr>
        <w:t>77</w:t>
      </w:r>
      <w:r w:rsidRPr="00FE6DE0">
        <w:rPr>
          <w:rFonts w:ascii="Arial" w:eastAsia="Arial" w:hAnsi="Arial" w:cs="Arial"/>
        </w:rPr>
        <w:t>, R. Begum</w:t>
      </w:r>
      <w:r w:rsidRPr="00FE6DE0">
        <w:rPr>
          <w:rFonts w:ascii="Arial" w:eastAsia="Arial" w:hAnsi="Arial" w:cs="Arial"/>
          <w:vertAlign w:val="superscript"/>
        </w:rPr>
        <w:t>77</w:t>
      </w:r>
      <w:r w:rsidRPr="00FE6DE0">
        <w:rPr>
          <w:rFonts w:ascii="Arial" w:eastAsia="Arial" w:hAnsi="Arial" w:cs="Arial"/>
        </w:rPr>
        <w:t>, C. Smith</w:t>
      </w:r>
      <w:r w:rsidRPr="00FE6DE0">
        <w:rPr>
          <w:rFonts w:ascii="Arial" w:eastAsia="Arial" w:hAnsi="Arial" w:cs="Arial"/>
          <w:vertAlign w:val="superscript"/>
        </w:rPr>
        <w:t>44</w:t>
      </w:r>
      <w:r w:rsidRPr="00FE6DE0">
        <w:rPr>
          <w:rFonts w:ascii="Arial" w:eastAsia="Arial" w:hAnsi="Arial" w:cs="Arial"/>
        </w:rPr>
        <w:t>, R. Patel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I. Bhatnagar</w:t>
      </w:r>
      <w:r w:rsidRPr="00FE6DE0">
        <w:rPr>
          <w:rFonts w:ascii="Arial" w:eastAsia="Arial" w:hAnsi="Arial" w:cs="Arial"/>
          <w:vertAlign w:val="superscript"/>
        </w:rPr>
        <w:t>79</w:t>
      </w:r>
      <w:r w:rsidRPr="00FE6DE0">
        <w:rPr>
          <w:rFonts w:ascii="Arial" w:eastAsia="Arial" w:hAnsi="Arial" w:cs="Arial"/>
        </w:rPr>
        <w:t>, A. Taylor</w:t>
      </w:r>
      <w:r w:rsidRPr="00FE6DE0">
        <w:rPr>
          <w:rFonts w:ascii="Arial" w:eastAsia="Arial" w:hAnsi="Arial" w:cs="Arial"/>
          <w:vertAlign w:val="superscript"/>
        </w:rPr>
        <w:t>62</w:t>
      </w:r>
      <w:r w:rsidRPr="00FE6DE0">
        <w:rPr>
          <w:rFonts w:ascii="Arial" w:eastAsia="Arial" w:hAnsi="Arial" w:cs="Arial"/>
        </w:rPr>
        <w:t>, D. Brown</w:t>
      </w:r>
      <w:r w:rsidRPr="00FE6DE0">
        <w:rPr>
          <w:rFonts w:ascii="Arial" w:eastAsia="Arial" w:hAnsi="Arial" w:cs="Arial"/>
          <w:vertAlign w:val="superscript"/>
        </w:rPr>
        <w:t>69</w:t>
      </w:r>
      <w:r w:rsidRPr="00FE6DE0">
        <w:rPr>
          <w:rFonts w:ascii="Arial" w:eastAsia="Arial" w:hAnsi="Arial" w:cs="Arial"/>
        </w:rPr>
        <w:t>, J. Willan</w:t>
      </w:r>
      <w:r w:rsidRPr="00FE6DE0">
        <w:rPr>
          <w:rFonts w:ascii="Arial" w:eastAsia="Arial" w:hAnsi="Arial" w:cs="Arial"/>
          <w:vertAlign w:val="superscript"/>
        </w:rPr>
        <w:t>46</w:t>
      </w:r>
      <w:r w:rsidRPr="00FE6DE0">
        <w:rPr>
          <w:rFonts w:ascii="Arial" w:eastAsia="Arial" w:hAnsi="Arial" w:cs="Arial"/>
        </w:rPr>
        <w:t>, S. Taylor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K. Jones</w:t>
      </w:r>
      <w:r w:rsidRPr="00FE6DE0">
        <w:rPr>
          <w:rFonts w:ascii="Arial" w:eastAsia="Arial" w:hAnsi="Arial" w:cs="Arial"/>
          <w:vertAlign w:val="superscript"/>
        </w:rPr>
        <w:t>21</w:t>
      </w:r>
      <w:r w:rsidRPr="00FE6DE0">
        <w:rPr>
          <w:rFonts w:ascii="Arial" w:eastAsia="Arial" w:hAnsi="Arial" w:cs="Arial"/>
        </w:rPr>
        <w:t>, K. Cox</w:t>
      </w:r>
      <w:r w:rsidRPr="00FE6DE0">
        <w:rPr>
          <w:rFonts w:ascii="Arial" w:eastAsia="Arial" w:hAnsi="Arial" w:cs="Arial"/>
          <w:vertAlign w:val="superscript"/>
        </w:rPr>
        <w:t>21</w:t>
      </w:r>
      <w:r w:rsidRPr="00FE6DE0">
        <w:rPr>
          <w:rFonts w:ascii="Arial" w:eastAsia="Arial" w:hAnsi="Arial" w:cs="Arial"/>
        </w:rPr>
        <w:t>, C. Ramsden</w:t>
      </w:r>
      <w:r w:rsidRPr="00FE6DE0">
        <w:rPr>
          <w:rFonts w:ascii="Arial" w:eastAsia="Arial" w:hAnsi="Arial" w:cs="Arial"/>
          <w:vertAlign w:val="superscript"/>
        </w:rPr>
        <w:t>75</w:t>
      </w:r>
      <w:r w:rsidRPr="00FE6DE0">
        <w:rPr>
          <w:rFonts w:ascii="Arial" w:eastAsia="Arial" w:hAnsi="Arial" w:cs="Arial"/>
        </w:rPr>
        <w:t>, O. Taiwo</w:t>
      </w:r>
      <w:r w:rsidRPr="00FE6DE0">
        <w:rPr>
          <w:rFonts w:ascii="Arial" w:eastAsia="Arial" w:hAnsi="Arial" w:cs="Arial"/>
          <w:vertAlign w:val="superscript"/>
        </w:rPr>
        <w:t>49</w:t>
      </w:r>
      <w:r w:rsidRPr="00FE6DE0">
        <w:rPr>
          <w:rFonts w:ascii="Arial" w:eastAsia="Arial" w:hAnsi="Arial" w:cs="Arial"/>
        </w:rPr>
        <w:t>, J. Jaudzemaite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R. Sharmin</w:t>
      </w:r>
      <w:r w:rsidRPr="00FE6DE0">
        <w:rPr>
          <w:rFonts w:ascii="Arial" w:eastAsia="Arial" w:hAnsi="Arial" w:cs="Arial"/>
          <w:vertAlign w:val="superscript"/>
        </w:rPr>
        <w:t>47</w:t>
      </w:r>
      <w:r w:rsidRPr="00FE6DE0">
        <w:rPr>
          <w:rFonts w:ascii="Arial" w:eastAsia="Arial" w:hAnsi="Arial" w:cs="Arial"/>
        </w:rPr>
        <w:t>, L. Young</w:t>
      </w:r>
      <w:r w:rsidRPr="00FE6DE0">
        <w:rPr>
          <w:rFonts w:ascii="Arial" w:eastAsia="Arial" w:hAnsi="Arial" w:cs="Arial"/>
          <w:vertAlign w:val="superscript"/>
        </w:rPr>
        <w:t>34</w:t>
      </w:r>
      <w:r w:rsidRPr="00FE6DE0">
        <w:rPr>
          <w:rFonts w:ascii="Arial" w:eastAsia="Arial" w:hAnsi="Arial" w:cs="Arial"/>
        </w:rPr>
        <w:t>, C.O’Dubhshlaine</w:t>
      </w:r>
      <w:r w:rsidRPr="00FE6DE0">
        <w:rPr>
          <w:rFonts w:ascii="Arial" w:eastAsia="Arial" w:hAnsi="Arial" w:cs="Arial"/>
          <w:vertAlign w:val="superscript"/>
        </w:rPr>
        <w:t>35</w:t>
      </w:r>
      <w:r w:rsidRPr="00FE6DE0">
        <w:rPr>
          <w:rFonts w:ascii="Arial" w:eastAsia="Arial" w:hAnsi="Arial" w:cs="Arial"/>
        </w:rPr>
        <w:t>, L. McSorley</w:t>
      </w:r>
      <w:r w:rsidRPr="00FE6DE0">
        <w:rPr>
          <w:rFonts w:ascii="Arial" w:eastAsia="Arial" w:hAnsi="Arial" w:cs="Arial"/>
          <w:vertAlign w:val="superscript"/>
        </w:rPr>
        <w:t>80</w:t>
      </w:r>
      <w:r w:rsidRPr="00FE6DE0">
        <w:rPr>
          <w:rFonts w:ascii="Arial" w:eastAsia="Arial" w:hAnsi="Arial" w:cs="Arial"/>
        </w:rPr>
        <w:t>, I. Abreu Rodriguez</w:t>
      </w:r>
      <w:r w:rsidRPr="00FE6DE0">
        <w:rPr>
          <w:rFonts w:ascii="Arial" w:eastAsia="Arial" w:hAnsi="Arial" w:cs="Arial"/>
          <w:vertAlign w:val="superscript"/>
        </w:rPr>
        <w:t>49</w:t>
      </w:r>
      <w:r w:rsidRPr="00FE6DE0">
        <w:rPr>
          <w:rFonts w:ascii="Arial" w:eastAsia="Arial" w:hAnsi="Arial" w:cs="Arial"/>
        </w:rPr>
        <w:t>, S. Lillis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P. Alexopoulos</w:t>
      </w:r>
      <w:r w:rsidRPr="00FE6DE0">
        <w:rPr>
          <w:rFonts w:ascii="Arial" w:eastAsia="Arial" w:hAnsi="Arial" w:cs="Arial"/>
          <w:vertAlign w:val="superscript"/>
        </w:rPr>
        <w:t>23</w:t>
      </w:r>
      <w:r w:rsidRPr="00FE6DE0">
        <w:rPr>
          <w:rFonts w:ascii="Arial" w:eastAsia="Arial" w:hAnsi="Arial" w:cs="Arial"/>
        </w:rPr>
        <w:t>, E. Mortensson</w:t>
      </w:r>
      <w:r w:rsidRPr="00FE6DE0">
        <w:rPr>
          <w:rFonts w:ascii="Arial" w:eastAsia="Arial" w:hAnsi="Arial" w:cs="Arial"/>
          <w:vertAlign w:val="superscript"/>
        </w:rPr>
        <w:t>65</w:t>
      </w:r>
      <w:r w:rsidRPr="00FE6DE0">
        <w:rPr>
          <w:rFonts w:ascii="Arial" w:eastAsia="Arial" w:hAnsi="Arial" w:cs="Arial"/>
        </w:rPr>
        <w:t>, L. Kingham</w:t>
      </w:r>
      <w:r w:rsidRPr="00FE6DE0">
        <w:rPr>
          <w:rFonts w:ascii="Arial" w:eastAsia="Arial" w:hAnsi="Arial" w:cs="Arial"/>
          <w:vertAlign w:val="superscript"/>
        </w:rPr>
        <w:t>4</w:t>
      </w:r>
      <w:r w:rsidRPr="00FE6DE0">
        <w:rPr>
          <w:rFonts w:ascii="Arial" w:eastAsia="Arial" w:hAnsi="Arial" w:cs="Arial"/>
        </w:rPr>
        <w:t>, R. Moore</w:t>
      </w:r>
      <w:r w:rsidRPr="00FE6DE0">
        <w:rPr>
          <w:rFonts w:ascii="Arial" w:eastAsia="Arial" w:hAnsi="Arial" w:cs="Arial"/>
          <w:vertAlign w:val="superscript"/>
        </w:rPr>
        <w:t>18</w:t>
      </w:r>
      <w:r w:rsidRPr="00FE6DE0">
        <w:rPr>
          <w:rFonts w:ascii="Arial" w:eastAsia="Arial" w:hAnsi="Arial" w:cs="Arial"/>
        </w:rPr>
        <w:t>, M. Kosicka-Slawinska</w:t>
      </w:r>
      <w:r w:rsidRPr="00FE6DE0">
        <w:rPr>
          <w:rFonts w:ascii="Arial" w:eastAsia="Arial" w:hAnsi="Arial" w:cs="Arial"/>
          <w:vertAlign w:val="superscript"/>
        </w:rPr>
        <w:t>81</w:t>
      </w:r>
      <w:r w:rsidRPr="00FE6DE0">
        <w:rPr>
          <w:rFonts w:ascii="Arial" w:eastAsia="Arial" w:hAnsi="Arial" w:cs="Arial"/>
        </w:rPr>
        <w:t>, S. Aslam</w:t>
      </w:r>
      <w:r w:rsidRPr="00FE6DE0">
        <w:rPr>
          <w:rFonts w:ascii="Arial" w:eastAsia="Arial" w:hAnsi="Arial" w:cs="Arial"/>
          <w:vertAlign w:val="superscript"/>
        </w:rPr>
        <w:t>65</w:t>
      </w:r>
      <w:r w:rsidRPr="00FE6DE0">
        <w:rPr>
          <w:rFonts w:ascii="Arial" w:eastAsia="Arial" w:hAnsi="Arial" w:cs="Arial"/>
        </w:rPr>
        <w:t>, R. Wells</w:t>
      </w:r>
      <w:r w:rsidRPr="00FE6DE0">
        <w:rPr>
          <w:rFonts w:ascii="Arial" w:eastAsia="Arial" w:hAnsi="Arial" w:cs="Arial"/>
          <w:vertAlign w:val="superscript"/>
        </w:rPr>
        <w:t>82</w:t>
      </w:r>
      <w:r w:rsidRPr="00FE6DE0">
        <w:rPr>
          <w:rFonts w:ascii="Arial" w:eastAsia="Arial" w:hAnsi="Arial" w:cs="Arial"/>
        </w:rPr>
        <w:t>, A. Carter</w:t>
      </w:r>
      <w:r w:rsidRPr="00FE6DE0">
        <w:rPr>
          <w:rFonts w:ascii="Arial" w:eastAsia="Arial" w:hAnsi="Arial" w:cs="Arial"/>
          <w:vertAlign w:val="superscript"/>
        </w:rPr>
        <w:t>82</w:t>
      </w:r>
      <w:r w:rsidRPr="00FE6DE0">
        <w:rPr>
          <w:rFonts w:ascii="Arial" w:eastAsia="Arial" w:hAnsi="Arial" w:cs="Arial"/>
        </w:rPr>
        <w:t>, H. Warren</w:t>
      </w:r>
      <w:r w:rsidRPr="00FE6DE0">
        <w:rPr>
          <w:rFonts w:ascii="Arial" w:eastAsia="Arial" w:hAnsi="Arial" w:cs="Arial"/>
          <w:vertAlign w:val="superscript"/>
        </w:rPr>
        <w:t>6</w:t>
      </w:r>
      <w:r w:rsidRPr="00FE6DE0">
        <w:rPr>
          <w:rFonts w:ascii="Arial" w:eastAsia="Arial" w:hAnsi="Arial" w:cs="Arial"/>
        </w:rPr>
        <w:t>, E. Rolf</w:t>
      </w:r>
      <w:r w:rsidRPr="00FE6DE0">
        <w:rPr>
          <w:rFonts w:ascii="Arial" w:eastAsia="Arial" w:hAnsi="Arial" w:cs="Arial"/>
          <w:vertAlign w:val="superscript"/>
        </w:rPr>
        <w:t>49</w:t>
      </w:r>
      <w:r w:rsidRPr="00FE6DE0">
        <w:rPr>
          <w:rFonts w:ascii="Arial" w:eastAsia="Arial" w:hAnsi="Arial" w:cs="Arial"/>
        </w:rPr>
        <w:t>, H. Reed</w:t>
      </w:r>
      <w:r w:rsidRPr="00FE6DE0">
        <w:rPr>
          <w:rFonts w:ascii="Arial" w:eastAsia="Arial" w:hAnsi="Arial" w:cs="Arial"/>
          <w:vertAlign w:val="superscript"/>
        </w:rPr>
        <w:t>75</w:t>
      </w:r>
      <w:r w:rsidRPr="00FE6DE0">
        <w:rPr>
          <w:rFonts w:ascii="Arial" w:eastAsia="Arial" w:hAnsi="Arial" w:cs="Arial"/>
        </w:rPr>
        <w:t>, L. Pearce</w:t>
      </w:r>
      <w:r w:rsidRPr="00FE6DE0">
        <w:rPr>
          <w:rFonts w:ascii="Arial" w:eastAsia="Arial" w:hAnsi="Arial" w:cs="Arial"/>
          <w:vertAlign w:val="superscript"/>
        </w:rPr>
        <w:t>83</w:t>
      </w:r>
      <w:r w:rsidRPr="00FE6DE0">
        <w:rPr>
          <w:rFonts w:ascii="Arial" w:eastAsia="Arial" w:hAnsi="Arial" w:cs="Arial"/>
        </w:rPr>
        <w:t>, D. Lock</w:t>
      </w:r>
      <w:r w:rsidRPr="00FE6DE0">
        <w:rPr>
          <w:rFonts w:ascii="Arial" w:eastAsia="Arial" w:hAnsi="Arial" w:cs="Arial"/>
          <w:vertAlign w:val="superscript"/>
        </w:rPr>
        <w:t>6</w:t>
      </w:r>
      <w:r w:rsidRPr="00FE6DE0">
        <w:rPr>
          <w:rFonts w:ascii="Arial" w:eastAsia="Arial" w:hAnsi="Arial" w:cs="Arial"/>
        </w:rPr>
        <w:t>, F. Ali</w:t>
      </w:r>
      <w:r w:rsidRPr="00FE6DE0">
        <w:rPr>
          <w:rFonts w:ascii="Arial" w:eastAsia="Arial" w:hAnsi="Arial" w:cs="Arial"/>
          <w:vertAlign w:val="superscript"/>
        </w:rPr>
        <w:t>66</w:t>
      </w:r>
      <w:r w:rsidRPr="00FE6DE0">
        <w:rPr>
          <w:rFonts w:ascii="Arial" w:eastAsia="Arial" w:hAnsi="Arial" w:cs="Arial"/>
        </w:rPr>
        <w:t>, A. Kolozi</w:t>
      </w:r>
      <w:r w:rsidRPr="00FE6DE0">
        <w:rPr>
          <w:rFonts w:ascii="Arial" w:eastAsia="Arial" w:hAnsi="Arial" w:cs="Arial"/>
          <w:vertAlign w:val="superscript"/>
        </w:rPr>
        <w:t>84</w:t>
      </w:r>
      <w:r w:rsidRPr="00FE6DE0">
        <w:rPr>
          <w:rFonts w:ascii="Arial" w:eastAsia="Arial" w:hAnsi="Arial" w:cs="Arial"/>
        </w:rPr>
        <w:t>, N. White</w:t>
      </w:r>
      <w:r w:rsidRPr="00FE6DE0">
        <w:rPr>
          <w:rFonts w:ascii="Arial" w:eastAsia="Arial" w:hAnsi="Arial" w:cs="Arial"/>
          <w:vertAlign w:val="superscript"/>
        </w:rPr>
        <w:t>48</w:t>
      </w:r>
      <w:r w:rsidRPr="00FE6DE0">
        <w:rPr>
          <w:rFonts w:ascii="Arial" w:eastAsia="Arial" w:hAnsi="Arial" w:cs="Arial"/>
        </w:rPr>
        <w:t>, D. Wood</w:t>
      </w:r>
      <w:r w:rsidRPr="00FE6DE0">
        <w:rPr>
          <w:rFonts w:ascii="Arial" w:eastAsia="Arial" w:hAnsi="Arial" w:cs="Arial"/>
          <w:vertAlign w:val="superscript"/>
        </w:rPr>
        <w:t>34</w:t>
      </w:r>
      <w:r w:rsidRPr="00FE6DE0">
        <w:rPr>
          <w:rFonts w:ascii="Arial" w:eastAsia="Arial" w:hAnsi="Arial" w:cs="Arial"/>
        </w:rPr>
        <w:t>, C. Hayden</w:t>
      </w:r>
      <w:r w:rsidRPr="00FE6DE0">
        <w:rPr>
          <w:rFonts w:ascii="Arial" w:eastAsia="Arial" w:hAnsi="Arial" w:cs="Arial"/>
          <w:vertAlign w:val="superscript"/>
        </w:rPr>
        <w:t>25</w:t>
      </w:r>
    </w:p>
    <w:p w14:paraId="0ED55293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</w:t>
      </w:r>
      <w:r w:rsidRPr="00FE6DE0">
        <w:rPr>
          <w:rFonts w:ascii="Arial" w:hAnsi="Arial" w:cs="Arial"/>
        </w:rPr>
        <w:t xml:space="preserve"> Division of Genetics and Epidemiology, Institute of Cancer Research, Sutton, UK</w:t>
      </w:r>
    </w:p>
    <w:p w14:paraId="28CD9B35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</w:t>
      </w:r>
      <w:r w:rsidRPr="00FE6DE0">
        <w:rPr>
          <w:rFonts w:ascii="Arial" w:hAnsi="Arial" w:cs="Arial"/>
        </w:rPr>
        <w:t xml:space="preserve"> Yorkshire and </w:t>
      </w:r>
      <w:proofErr w:type="gramStart"/>
      <w:r w:rsidRPr="00FE6DE0">
        <w:rPr>
          <w:rFonts w:ascii="Arial" w:hAnsi="Arial" w:cs="Arial"/>
        </w:rPr>
        <w:t>North East</w:t>
      </w:r>
      <w:proofErr w:type="gramEnd"/>
      <w:r w:rsidRPr="00FE6DE0">
        <w:rPr>
          <w:rFonts w:ascii="Arial" w:hAnsi="Arial" w:cs="Arial"/>
        </w:rPr>
        <w:t xml:space="preserve"> Genomic Laboratory Hub, Sheffield Children's NHS Foundation Trust, Sheffield, UK</w:t>
      </w:r>
    </w:p>
    <w:p w14:paraId="72C816DE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3 </w:t>
      </w:r>
      <w:r w:rsidRPr="00FE6DE0">
        <w:rPr>
          <w:rFonts w:ascii="Arial" w:hAnsi="Arial" w:cs="Arial"/>
        </w:rPr>
        <w:t>Central and South Genomics Laboratory Hub, Wessex Genomics Laboratory Service, Salisbury NHS Foundation Trust, Salisbury, UK</w:t>
      </w:r>
    </w:p>
    <w:p w14:paraId="012241F5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4</w:t>
      </w:r>
      <w:r w:rsidRPr="00FE6DE0">
        <w:rPr>
          <w:rFonts w:ascii="Arial" w:hAnsi="Arial" w:cs="Arial"/>
        </w:rPr>
        <w:t xml:space="preserve"> East Genomic Laboratory Hub, Cambridge University Hospitals Genomic Laboratory, Cambridge University NHS Foundation Trust, Cambridge, UK</w:t>
      </w:r>
    </w:p>
    <w:p w14:paraId="1A48F87F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5</w:t>
      </w:r>
      <w:r w:rsidRPr="00FE6DE0">
        <w:rPr>
          <w:rFonts w:ascii="Arial" w:hAnsi="Arial" w:cs="Arial"/>
        </w:rPr>
        <w:t xml:space="preserve"> Manchester Centre for Genomic Medicine and </w:t>
      </w:r>
      <w:proofErr w:type="gramStart"/>
      <w:r w:rsidRPr="00FE6DE0">
        <w:rPr>
          <w:rFonts w:ascii="Arial" w:hAnsi="Arial" w:cs="Arial"/>
        </w:rPr>
        <w:t>North West</w:t>
      </w:r>
      <w:proofErr w:type="gramEnd"/>
      <w:r w:rsidRPr="00FE6DE0">
        <w:rPr>
          <w:rFonts w:ascii="Arial" w:hAnsi="Arial" w:cs="Arial"/>
        </w:rPr>
        <w:t xml:space="preserve"> Genomic Laboratory Hub, Manchester University NHS Foundation Trust, Manchester, UK</w:t>
      </w:r>
    </w:p>
    <w:p w14:paraId="7C71E538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6</w:t>
      </w:r>
      <w:r w:rsidRPr="00FE6DE0">
        <w:rPr>
          <w:rFonts w:ascii="Arial" w:hAnsi="Arial" w:cs="Arial"/>
        </w:rPr>
        <w:t xml:space="preserve"> Yorkshire and </w:t>
      </w:r>
      <w:proofErr w:type="gramStart"/>
      <w:r w:rsidRPr="00FE6DE0">
        <w:rPr>
          <w:rFonts w:ascii="Arial" w:hAnsi="Arial" w:cs="Arial"/>
        </w:rPr>
        <w:t>North East</w:t>
      </w:r>
      <w:proofErr w:type="gramEnd"/>
      <w:r w:rsidRPr="00FE6DE0">
        <w:rPr>
          <w:rFonts w:ascii="Arial" w:hAnsi="Arial" w:cs="Arial"/>
        </w:rPr>
        <w:t xml:space="preserve"> Genomic Laboratory Hub, Leeds Teaching Hospitals NHS Trust, Leeds, UK</w:t>
      </w:r>
    </w:p>
    <w:p w14:paraId="38738CD1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7</w:t>
      </w:r>
      <w:r w:rsidRPr="00FE6DE0">
        <w:rPr>
          <w:rFonts w:ascii="Arial" w:hAnsi="Arial" w:cs="Arial"/>
        </w:rPr>
        <w:t xml:space="preserve"> Cancer Sciences, Faculty of Medicine, University of Southampton, Southampton, UK</w:t>
      </w:r>
    </w:p>
    <w:p w14:paraId="43EE0CB6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8</w:t>
      </w:r>
      <w:r w:rsidRPr="00FE6DE0">
        <w:rPr>
          <w:rFonts w:ascii="Arial" w:hAnsi="Arial" w:cs="Arial"/>
        </w:rPr>
        <w:t xml:space="preserve"> Human Genetics and Genomic Medicine, Faculty of Medicine, University of Southampton, Southampton, UK</w:t>
      </w:r>
    </w:p>
    <w:p w14:paraId="1E6A7358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9</w:t>
      </w:r>
      <w:r w:rsidRPr="00FE6DE0">
        <w:rPr>
          <w:rFonts w:ascii="Arial" w:hAnsi="Arial" w:cs="Arial"/>
        </w:rPr>
        <w:t xml:space="preserve"> Department of Molecular Genetics, Royal Devon and Exeter NHS Foundation Trust, Exeter, UK</w:t>
      </w:r>
    </w:p>
    <w:p w14:paraId="74D7A68C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10</w:t>
      </w:r>
      <w:r w:rsidRPr="00FE6DE0">
        <w:rPr>
          <w:rFonts w:ascii="Arial" w:hAnsi="Arial" w:cs="Arial"/>
        </w:rPr>
        <w:t xml:space="preserve"> Genomics England, London, UK </w:t>
      </w:r>
    </w:p>
    <w:p w14:paraId="101D2FD0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11</w:t>
      </w:r>
      <w:r w:rsidRPr="00FE6DE0">
        <w:rPr>
          <w:rFonts w:ascii="Arial" w:hAnsi="Arial" w:cs="Arial"/>
        </w:rPr>
        <w:t xml:space="preserve"> University of Exeter Medical School, Exeter, UK</w:t>
      </w:r>
    </w:p>
    <w:p w14:paraId="4AC00837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12</w:t>
      </w:r>
      <w:r w:rsidRPr="00FE6DE0">
        <w:rPr>
          <w:rFonts w:ascii="Arial" w:hAnsi="Arial" w:cs="Arial"/>
        </w:rPr>
        <w:t xml:space="preserve"> Division of Evolution &amp; Genomic Sciences, The University of Manchester</w:t>
      </w:r>
    </w:p>
    <w:p w14:paraId="44081506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13</w:t>
      </w:r>
      <w:r w:rsidRPr="00FE6DE0">
        <w:rPr>
          <w:rFonts w:ascii="Arial" w:hAnsi="Arial" w:cs="Arial"/>
        </w:rPr>
        <w:t xml:space="preserve"> Department of Medical Genetics, National Institute for Health, Research Cambridge Biomedical Research Centre, University of Cambridge, Cambridge, UK</w:t>
      </w:r>
    </w:p>
    <w:p w14:paraId="051B685E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14</w:t>
      </w:r>
      <w:r w:rsidRPr="00FE6DE0">
        <w:rPr>
          <w:rFonts w:ascii="Arial" w:hAnsi="Arial" w:cs="Arial"/>
        </w:rPr>
        <w:t xml:space="preserve"> Wessex Clinical Genetics Service, University Hospital Southampton NHS Foundation Trust, Southampton, UK  </w:t>
      </w:r>
    </w:p>
    <w:p w14:paraId="077F81D1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15</w:t>
      </w:r>
      <w:r w:rsidRPr="00FE6DE0">
        <w:rPr>
          <w:rFonts w:ascii="Arial" w:hAnsi="Arial" w:cs="Arial"/>
        </w:rPr>
        <w:t xml:space="preserve"> Clinical Ethics and Law Unit, University of Southampton, Southampton, UK</w:t>
      </w:r>
    </w:p>
    <w:p w14:paraId="41A3F416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16</w:t>
      </w:r>
      <w:r w:rsidRPr="00FE6DE0">
        <w:rPr>
          <w:rFonts w:ascii="Arial" w:hAnsi="Arial" w:cs="Arial"/>
        </w:rPr>
        <w:t xml:space="preserve"> Department of Clinical Genetics, St. George's University Hospitals NHS Foundation Trust, London, UK</w:t>
      </w:r>
    </w:p>
    <w:p w14:paraId="49D7BC92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17 </w:t>
      </w:r>
      <w:r w:rsidRPr="00FE6DE0">
        <w:rPr>
          <w:rFonts w:ascii="Arial" w:hAnsi="Arial" w:cs="Arial"/>
        </w:rPr>
        <w:t>Public Health and Primary Care, Clinical Medicine, University of Cambridge, Cambridge, UK</w:t>
      </w:r>
    </w:p>
    <w:p w14:paraId="7469F8F0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18 </w:t>
      </w:r>
      <w:r w:rsidRPr="00FE6DE0">
        <w:rPr>
          <w:rFonts w:ascii="Arial" w:hAnsi="Arial" w:cs="Arial"/>
        </w:rPr>
        <w:t>Cambridge University Hospitals NHS Foundation Trust, Cambridge, UK</w:t>
      </w:r>
    </w:p>
    <w:p w14:paraId="20800F78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19</w:t>
      </w:r>
      <w:r w:rsidRPr="00FE6DE0">
        <w:rPr>
          <w:rFonts w:ascii="Arial" w:hAnsi="Arial" w:cs="Arial"/>
        </w:rPr>
        <w:t xml:space="preserve"> Institute of Medical Genetics, University Hospital of Wales, Cardiff and Vale University Health Board, Cardiff, UK</w:t>
      </w:r>
    </w:p>
    <w:p w14:paraId="6BDE20DE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20</w:t>
      </w:r>
      <w:r w:rsidRPr="00FE6DE0">
        <w:rPr>
          <w:rFonts w:ascii="Arial" w:hAnsi="Arial" w:cs="Arial"/>
        </w:rPr>
        <w:t xml:space="preserve"> East of Scotland Regional Genetics Service, Level 6, Ninewells Hospital, Dundee</w:t>
      </w:r>
    </w:p>
    <w:p w14:paraId="439FE048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21</w:t>
      </w:r>
      <w:r w:rsidRPr="00FE6DE0">
        <w:rPr>
          <w:rFonts w:ascii="Arial" w:hAnsi="Arial" w:cs="Arial"/>
        </w:rPr>
        <w:t xml:space="preserve"> Great Ormond Street Hospital for Children NHS Foundation Trust, London, UK</w:t>
      </w:r>
    </w:p>
    <w:p w14:paraId="676BF8E7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22</w:t>
      </w:r>
      <w:r w:rsidRPr="00FE6DE0">
        <w:rPr>
          <w:rFonts w:ascii="Arial" w:hAnsi="Arial" w:cs="Arial"/>
        </w:rPr>
        <w:t xml:space="preserve"> </w:t>
      </w:r>
      <w:r w:rsidRPr="00FE6DE0">
        <w:rPr>
          <w:rFonts w:ascii="Arial" w:hAnsi="Arial" w:cs="Arial"/>
          <w:color w:val="202A30"/>
          <w:shd w:val="clear" w:color="auto" w:fill="FFFFFF"/>
        </w:rPr>
        <w:t>North Thames Genomic Laboratory Hub</w:t>
      </w:r>
      <w:r w:rsidRPr="00FE6DE0">
        <w:rPr>
          <w:rFonts w:ascii="Arial" w:hAnsi="Arial" w:cs="Arial"/>
        </w:rPr>
        <w:t>, Great Ormond Street Hospital for Children NHS Foundation Trust, London, UK</w:t>
      </w:r>
    </w:p>
    <w:p w14:paraId="3438B273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23</w:t>
      </w:r>
      <w:r w:rsidRPr="00FE6DE0">
        <w:rPr>
          <w:rFonts w:ascii="Arial" w:hAnsi="Arial" w:cs="Arial"/>
        </w:rPr>
        <w:t xml:space="preserve"> Department of Clinical Genetics, Guy’s and St Thomas’ NHS Foundation Trust, London, UK</w:t>
      </w:r>
    </w:p>
    <w:p w14:paraId="7E22BB44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color w:val="202A30"/>
          <w:shd w:val="clear" w:color="auto" w:fill="FFFFFF"/>
          <w:vertAlign w:val="superscript"/>
        </w:rPr>
        <w:t>24</w:t>
      </w:r>
      <w:r w:rsidRPr="00FE6DE0">
        <w:rPr>
          <w:rFonts w:ascii="Arial" w:hAnsi="Arial" w:cs="Arial"/>
          <w:color w:val="202A30"/>
          <w:shd w:val="clear" w:color="auto" w:fill="FFFFFF"/>
        </w:rPr>
        <w:t xml:space="preserve"> South East Genomic Laboratory Hub, </w:t>
      </w:r>
      <w:r w:rsidRPr="00FE6DE0">
        <w:rPr>
          <w:rFonts w:ascii="Arial" w:hAnsi="Arial" w:cs="Arial"/>
        </w:rPr>
        <w:t>Guy’s and St Thomas’ NHS Foundation Trust, London, UK</w:t>
      </w:r>
    </w:p>
    <w:p w14:paraId="15772993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25</w:t>
      </w:r>
      <w:r w:rsidRPr="00FE6DE0">
        <w:rPr>
          <w:rFonts w:ascii="Arial" w:hAnsi="Arial" w:cs="Arial"/>
        </w:rPr>
        <w:t xml:space="preserve"> Genomic Medicine Service, Imperial College Healthcare NHS Trust, London, UK</w:t>
      </w:r>
    </w:p>
    <w:p w14:paraId="1782A846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26</w:t>
      </w:r>
      <w:r w:rsidRPr="00FE6DE0">
        <w:rPr>
          <w:rFonts w:ascii="Arial" w:hAnsi="Arial" w:cs="Arial"/>
        </w:rPr>
        <w:t xml:space="preserve"> Faculty of Medicine, Department of Surgery &amp; Cancer, Imperial College London, London, UK </w:t>
      </w:r>
    </w:p>
    <w:p w14:paraId="0A7E3DEE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27</w:t>
      </w:r>
      <w:r w:rsidRPr="00FE6DE0">
        <w:rPr>
          <w:rFonts w:ascii="Arial" w:hAnsi="Arial" w:cs="Arial"/>
        </w:rPr>
        <w:t xml:space="preserve"> Institute of Neurology, UCL Queen Square Institute of Neurology, London, UK</w:t>
      </w:r>
    </w:p>
    <w:p w14:paraId="281A854A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28</w:t>
      </w:r>
      <w:r w:rsidRPr="00FE6DE0">
        <w:rPr>
          <w:rFonts w:ascii="Arial" w:hAnsi="Arial" w:cs="Arial"/>
        </w:rPr>
        <w:t xml:space="preserve"> Liverpool Women’s NHS Foundation Trust, Liverpool, UK</w:t>
      </w:r>
    </w:p>
    <w:p w14:paraId="1C7839B5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29</w:t>
      </w:r>
      <w:r w:rsidRPr="00FE6DE0">
        <w:rPr>
          <w:rFonts w:ascii="Arial" w:hAnsi="Arial" w:cs="Arial"/>
        </w:rPr>
        <w:t xml:space="preserve"> London </w:t>
      </w:r>
      <w:proofErr w:type="gramStart"/>
      <w:r w:rsidRPr="00FE6DE0">
        <w:rPr>
          <w:rFonts w:ascii="Arial" w:hAnsi="Arial" w:cs="Arial"/>
        </w:rPr>
        <w:t>North West</w:t>
      </w:r>
      <w:proofErr w:type="gramEnd"/>
      <w:r w:rsidRPr="00FE6DE0">
        <w:rPr>
          <w:rFonts w:ascii="Arial" w:hAnsi="Arial" w:cs="Arial"/>
        </w:rPr>
        <w:t xml:space="preserve"> University Healthcare NHS Trust, London, UK</w:t>
      </w:r>
    </w:p>
    <w:p w14:paraId="4B4A95B7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Style w:val="institution"/>
          <w:rFonts w:ascii="Arial" w:hAnsi="Arial" w:cs="Arial"/>
          <w:color w:val="333333"/>
          <w:shd w:val="clear" w:color="auto" w:fill="FFFFFF"/>
          <w:vertAlign w:val="superscript"/>
        </w:rPr>
        <w:t>30</w:t>
      </w:r>
      <w:r w:rsidRPr="00FE6DE0">
        <w:rPr>
          <w:rStyle w:val="institution"/>
          <w:rFonts w:ascii="Arial" w:hAnsi="Arial" w:cs="Arial"/>
          <w:color w:val="333333"/>
          <w:shd w:val="clear" w:color="auto" w:fill="FFFFFF"/>
        </w:rPr>
        <w:t xml:space="preserve"> </w:t>
      </w:r>
      <w:r w:rsidRPr="00FE6DE0">
        <w:rPr>
          <w:rFonts w:ascii="Arial" w:hAnsi="Arial" w:cs="Arial"/>
          <w:color w:val="212121"/>
          <w:shd w:val="clear" w:color="auto" w:fill="FFFFFF"/>
        </w:rPr>
        <w:t>Division of Evolution and Genomic Sciences, School of Biological Sciences, Faculty of Biology Medicine and Health, The University of Manchester, Manchester, UK.</w:t>
      </w:r>
    </w:p>
    <w:p w14:paraId="075E79D5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31</w:t>
      </w:r>
      <w:r w:rsidRPr="00FE6DE0">
        <w:rPr>
          <w:rFonts w:ascii="Arial" w:hAnsi="Arial" w:cs="Arial"/>
          <w:shd w:val="clear" w:color="auto" w:fill="FFFFFF"/>
        </w:rPr>
        <w:t xml:space="preserve"> The Newcastle upon Tyne Hospitals NHS Foundation Trust, Newcastle upon Tyne, UK </w:t>
      </w:r>
    </w:p>
    <w:p w14:paraId="4E748684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32</w:t>
      </w:r>
      <w:r w:rsidRPr="00FE6DE0">
        <w:rPr>
          <w:rFonts w:ascii="Arial" w:hAnsi="Arial" w:cs="Arial"/>
          <w:b/>
          <w:bCs/>
          <w:color w:val="8B8B8B"/>
          <w:shd w:val="clear" w:color="auto" w:fill="FFFFFF"/>
        </w:rPr>
        <w:t xml:space="preserve"> </w:t>
      </w:r>
      <w:r w:rsidRPr="00FE6DE0">
        <w:rPr>
          <w:rFonts w:ascii="Arial" w:hAnsi="Arial" w:cs="Arial"/>
          <w:color w:val="202A30"/>
          <w:shd w:val="clear" w:color="auto" w:fill="FFFFFF"/>
        </w:rPr>
        <w:t xml:space="preserve">North East and Yorkshire Genomic Laboratory Hub, </w:t>
      </w:r>
      <w:r w:rsidRPr="00FE6DE0">
        <w:rPr>
          <w:rFonts w:ascii="Arial" w:hAnsi="Arial" w:cs="Arial"/>
          <w:shd w:val="clear" w:color="auto" w:fill="FFFFFF"/>
        </w:rPr>
        <w:t>The Newcastle upon Tyne Hospitals NHS Foundation Trust, Newcastle upon Tyne, UK</w:t>
      </w:r>
    </w:p>
    <w:p w14:paraId="67596140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33</w:t>
      </w:r>
      <w:r w:rsidRPr="00FE6DE0">
        <w:rPr>
          <w:rFonts w:ascii="Arial" w:hAnsi="Arial" w:cs="Arial"/>
          <w:shd w:val="clear" w:color="auto" w:fill="FFFFFF"/>
        </w:rPr>
        <w:t xml:space="preserve"> NHS Grampian,</w:t>
      </w:r>
      <w:r w:rsidRPr="00FE6DE0">
        <w:rPr>
          <w:rFonts w:ascii="Arial" w:hAnsi="Arial" w:cs="Arial"/>
        </w:rPr>
        <w:t xml:space="preserve"> </w:t>
      </w:r>
      <w:r w:rsidRPr="00FE6DE0">
        <w:rPr>
          <w:rFonts w:ascii="Arial" w:hAnsi="Arial" w:cs="Arial"/>
          <w:shd w:val="clear" w:color="auto" w:fill="FFFFFF"/>
        </w:rPr>
        <w:t>Aberdeen, UK</w:t>
      </w:r>
    </w:p>
    <w:p w14:paraId="6AF4B248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34</w:t>
      </w:r>
      <w:r w:rsidRPr="00FE6DE0">
        <w:rPr>
          <w:rFonts w:ascii="Arial" w:hAnsi="Arial" w:cs="Arial"/>
          <w:shd w:val="clear" w:color="auto" w:fill="FFFFFF"/>
        </w:rPr>
        <w:t xml:space="preserve"> NHS Greater Glasgow and Clyde, Glasgow, UK</w:t>
      </w:r>
    </w:p>
    <w:p w14:paraId="486872C9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35</w:t>
      </w:r>
      <w:r w:rsidRPr="00FE6DE0">
        <w:rPr>
          <w:rFonts w:ascii="Arial" w:hAnsi="Arial" w:cs="Arial"/>
          <w:shd w:val="clear" w:color="auto" w:fill="FFFFFF"/>
        </w:rPr>
        <w:t xml:space="preserve"> NHS Lothian, Edinburgh, UK</w:t>
      </w:r>
    </w:p>
    <w:p w14:paraId="6A0861F5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36</w:t>
      </w:r>
      <w:r w:rsidRPr="00FE6DE0">
        <w:rPr>
          <w:rFonts w:ascii="Arial" w:hAnsi="Arial" w:cs="Arial"/>
          <w:shd w:val="clear" w:color="auto" w:fill="FFFFFF"/>
        </w:rPr>
        <w:t xml:space="preserve"> Northern Ireland Regional Genetics Service, </w:t>
      </w:r>
      <w:r w:rsidRPr="00FE6DE0">
        <w:rPr>
          <w:rFonts w:ascii="Arial" w:hAnsi="Arial" w:cs="Arial"/>
        </w:rPr>
        <w:t>Belfast Health &amp; Social Care Trust, Belfast, UK</w:t>
      </w:r>
    </w:p>
    <w:p w14:paraId="5EA2E525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37</w:t>
      </w:r>
      <w:r w:rsidRPr="00FE6DE0">
        <w:rPr>
          <w:rFonts w:ascii="Arial" w:hAnsi="Arial" w:cs="Arial"/>
        </w:rPr>
        <w:t xml:space="preserve"> Nottingham University Hospitals NHS Trust, Nottingham, UK</w:t>
      </w:r>
    </w:p>
    <w:p w14:paraId="2A3DA0EC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38</w:t>
      </w:r>
      <w:r w:rsidRPr="00FE6DE0">
        <w:rPr>
          <w:rFonts w:ascii="Arial" w:hAnsi="Arial" w:cs="Arial"/>
        </w:rPr>
        <w:t xml:space="preserve"> East Midlands and East of England Genomics Laboratory, Nottingham University Hospitals NHS Trust, Nottingham, UK</w:t>
      </w:r>
    </w:p>
    <w:p w14:paraId="19534777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39</w:t>
      </w:r>
      <w:r w:rsidRPr="00FE6DE0">
        <w:rPr>
          <w:rFonts w:ascii="Arial" w:hAnsi="Arial" w:cs="Arial"/>
        </w:rPr>
        <w:t xml:space="preserve"> University of Otago, Otago, New Zealand</w:t>
      </w:r>
    </w:p>
    <w:p w14:paraId="2AE96FE1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40</w:t>
      </w:r>
      <w:r w:rsidRPr="00FE6DE0">
        <w:rPr>
          <w:rFonts w:ascii="Arial" w:hAnsi="Arial" w:cs="Arial"/>
        </w:rPr>
        <w:t xml:space="preserve"> Our Lady's Children's Hospital, Crumlin, Dublin, Ireland</w:t>
      </w:r>
    </w:p>
    <w:p w14:paraId="5875E7CC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41 </w:t>
      </w:r>
      <w:r w:rsidRPr="00FE6DE0">
        <w:rPr>
          <w:rFonts w:ascii="Arial" w:hAnsi="Arial" w:cs="Arial"/>
        </w:rPr>
        <w:t>Clinical Genetics,</w:t>
      </w:r>
      <w:r w:rsidRPr="00FE6DE0">
        <w:rPr>
          <w:rFonts w:ascii="Arial" w:hAnsi="Arial" w:cs="Arial"/>
          <w:vertAlign w:val="superscript"/>
        </w:rPr>
        <w:t xml:space="preserve"> </w:t>
      </w:r>
      <w:r w:rsidRPr="00FE6DE0">
        <w:rPr>
          <w:rFonts w:ascii="Arial" w:hAnsi="Arial" w:cs="Arial"/>
        </w:rPr>
        <w:t>Oxford University Hospitals NHS Foundation Trust, Oxford, UK</w:t>
      </w:r>
    </w:p>
    <w:p w14:paraId="3E4A6DE0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42</w:t>
      </w:r>
      <w:r w:rsidRPr="00FE6DE0">
        <w:rPr>
          <w:rFonts w:ascii="Arial" w:hAnsi="Arial" w:cs="Arial"/>
        </w:rPr>
        <w:t xml:space="preserve"> West Midlands, Oxford and Wessex Genomic Laboratory Hub, Oxford University Hospitals NHS Foundation Trust, Oxford, UK</w:t>
      </w:r>
    </w:p>
    <w:p w14:paraId="48661260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43</w:t>
      </w:r>
      <w:r w:rsidRPr="00FE6DE0">
        <w:rPr>
          <w:rFonts w:ascii="Arial" w:hAnsi="Arial" w:cs="Arial"/>
        </w:rPr>
        <w:t xml:space="preserve"> Public Health England, London, UK</w:t>
      </w:r>
    </w:p>
    <w:p w14:paraId="0EDBCB37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44</w:t>
      </w:r>
      <w:r w:rsidRPr="00FE6DE0">
        <w:rPr>
          <w:rFonts w:ascii="Arial" w:hAnsi="Arial" w:cs="Arial"/>
          <w:shd w:val="clear" w:color="auto" w:fill="FFFFFF"/>
        </w:rPr>
        <w:t xml:space="preserve"> Royal Devon and Exeter NHS Foundation Trust, Exeter, UK </w:t>
      </w:r>
    </w:p>
    <w:p w14:paraId="210FA465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45</w:t>
      </w:r>
      <w:r w:rsidRPr="00FE6DE0">
        <w:rPr>
          <w:rFonts w:ascii="Arial" w:hAnsi="Arial" w:cs="Arial"/>
          <w:shd w:val="clear" w:color="auto" w:fill="FFFFFF"/>
        </w:rPr>
        <w:t xml:space="preserve"> Royal Free London NHS Foundation Trust, London, UK</w:t>
      </w:r>
    </w:p>
    <w:p w14:paraId="70227EFF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46</w:t>
      </w:r>
      <w:r w:rsidRPr="00FE6DE0">
        <w:rPr>
          <w:rFonts w:ascii="Arial" w:hAnsi="Arial" w:cs="Arial"/>
          <w:shd w:val="clear" w:color="auto" w:fill="FFFFFF"/>
        </w:rPr>
        <w:t xml:space="preserve"> </w:t>
      </w:r>
      <w:r w:rsidRPr="00FE6DE0">
        <w:rPr>
          <w:rStyle w:val="institution"/>
          <w:rFonts w:ascii="Arial" w:hAnsi="Arial" w:cs="Arial"/>
          <w:color w:val="333333"/>
          <w:shd w:val="clear" w:color="auto" w:fill="FFFFFF"/>
        </w:rPr>
        <w:t>Sheffield Children's NHS Foundation Trust</w:t>
      </w:r>
      <w:r w:rsidRPr="00FE6DE0">
        <w:rPr>
          <w:rFonts w:ascii="Arial" w:hAnsi="Arial" w:cs="Arial"/>
          <w:shd w:val="clear" w:color="auto" w:fill="FFFFFF"/>
        </w:rPr>
        <w:t>, </w:t>
      </w:r>
      <w:r w:rsidRPr="00FE6DE0">
        <w:rPr>
          <w:rStyle w:val="addr-line"/>
          <w:rFonts w:ascii="Arial" w:hAnsi="Arial" w:cs="Arial"/>
          <w:color w:val="333333"/>
          <w:shd w:val="clear" w:color="auto" w:fill="FFFFFF"/>
        </w:rPr>
        <w:t>Sheffield</w:t>
      </w:r>
      <w:r w:rsidRPr="00FE6DE0">
        <w:rPr>
          <w:rFonts w:ascii="Arial" w:hAnsi="Arial" w:cs="Arial"/>
          <w:shd w:val="clear" w:color="auto" w:fill="FFFFFF"/>
        </w:rPr>
        <w:t>, UK</w:t>
      </w:r>
    </w:p>
    <w:p w14:paraId="766EE156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47</w:t>
      </w:r>
      <w:r w:rsidRPr="00FE6DE0">
        <w:rPr>
          <w:rFonts w:ascii="Arial" w:hAnsi="Arial" w:cs="Arial"/>
          <w:shd w:val="clear" w:color="auto" w:fill="FFFFFF"/>
        </w:rPr>
        <w:t xml:space="preserve"> St George’s University Hospitals NHS Foundation Trust, London, UK</w:t>
      </w:r>
    </w:p>
    <w:p w14:paraId="16C7A53E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48</w:t>
      </w:r>
      <w:r w:rsidRPr="00FE6DE0">
        <w:rPr>
          <w:rFonts w:ascii="Arial" w:hAnsi="Arial" w:cs="Arial"/>
          <w:shd w:val="clear" w:color="auto" w:fill="FFFFFF"/>
        </w:rPr>
        <w:t xml:space="preserve"> St James’s Hospital, Dublin, Ireland</w:t>
      </w:r>
    </w:p>
    <w:p w14:paraId="041AFEE3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49</w:t>
      </w:r>
      <w:r w:rsidRPr="00FE6DE0">
        <w:rPr>
          <w:rFonts w:ascii="Arial" w:hAnsi="Arial" w:cs="Arial"/>
          <w:shd w:val="clear" w:color="auto" w:fill="FFFFFF"/>
        </w:rPr>
        <w:t xml:space="preserve"> Cancer Genetics Unit, The Royal Marsden NHS Foundation Trust, Sutton, London, UK</w:t>
      </w:r>
    </w:p>
    <w:p w14:paraId="1AB10942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50</w:t>
      </w:r>
      <w:r w:rsidRPr="00FE6DE0">
        <w:rPr>
          <w:rFonts w:ascii="Arial" w:hAnsi="Arial" w:cs="Arial"/>
          <w:shd w:val="clear" w:color="auto" w:fill="FFFFFF"/>
        </w:rPr>
        <w:t xml:space="preserve"> Trinity College Dublin, The University of Dublin, Ireland</w:t>
      </w:r>
    </w:p>
    <w:p w14:paraId="14BCE4B3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51</w:t>
      </w:r>
      <w:r w:rsidRPr="00FE6DE0">
        <w:rPr>
          <w:rFonts w:ascii="Arial" w:hAnsi="Arial" w:cs="Arial"/>
          <w:shd w:val="clear" w:color="auto" w:fill="FFFFFF"/>
        </w:rPr>
        <w:t xml:space="preserve"> University Hospital of Wales, </w:t>
      </w:r>
      <w:r w:rsidRPr="00FE6DE0">
        <w:rPr>
          <w:rFonts w:ascii="Arial" w:hAnsi="Arial" w:cs="Arial"/>
        </w:rPr>
        <w:t>Cardiff and Vale University Health Board, Cardiff, UK</w:t>
      </w:r>
    </w:p>
    <w:p w14:paraId="2D9E5197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52</w:t>
      </w:r>
      <w:r w:rsidRPr="00FE6DE0">
        <w:rPr>
          <w:rFonts w:ascii="Arial" w:hAnsi="Arial" w:cs="Arial"/>
          <w:shd w:val="clear" w:color="auto" w:fill="FFFFFF"/>
        </w:rPr>
        <w:t xml:space="preserve"> University Hospitals Bristol NHS Foundation Trust, Bristol, UK</w:t>
      </w:r>
    </w:p>
    <w:p w14:paraId="2DACC7ED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53</w:t>
      </w:r>
      <w:r w:rsidRPr="00FE6DE0">
        <w:rPr>
          <w:rFonts w:ascii="Arial" w:hAnsi="Arial" w:cs="Arial"/>
          <w:shd w:val="clear" w:color="auto" w:fill="FFFFFF"/>
        </w:rPr>
        <w:t xml:space="preserve"> University Hospitals of Leicester NHS Trust, Leicester, UK </w:t>
      </w:r>
    </w:p>
    <w:p w14:paraId="587EA02B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 xml:space="preserve">54 </w:t>
      </w:r>
      <w:r w:rsidRPr="00FE6DE0">
        <w:rPr>
          <w:rFonts w:ascii="Arial" w:hAnsi="Arial" w:cs="Arial"/>
          <w:shd w:val="clear" w:color="auto" w:fill="FFFFFF"/>
        </w:rPr>
        <w:t>University Hospitals of Plymouth NHS Trust, Plymouth, UK</w:t>
      </w:r>
    </w:p>
    <w:p w14:paraId="0CD37FFE" w14:textId="77777777" w:rsidR="0019389F" w:rsidRPr="00FE6DE0" w:rsidRDefault="0019389F" w:rsidP="0019389F">
      <w:pPr>
        <w:pStyle w:val="NoSpacing"/>
        <w:rPr>
          <w:rFonts w:ascii="Arial" w:hAnsi="Arial" w:cs="Arial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 xml:space="preserve">55 </w:t>
      </w:r>
      <w:r w:rsidRPr="00FE6DE0">
        <w:rPr>
          <w:rFonts w:ascii="Arial" w:hAnsi="Arial" w:cs="Arial"/>
          <w:shd w:val="clear" w:color="auto" w:fill="FFFFFF"/>
        </w:rPr>
        <w:t>University of Manchester, Manchester, UK</w:t>
      </w:r>
    </w:p>
    <w:p w14:paraId="28E1FC1B" w14:textId="77777777" w:rsidR="0019389F" w:rsidRPr="00FE6DE0" w:rsidRDefault="0019389F" w:rsidP="0019389F">
      <w:pPr>
        <w:pStyle w:val="NoSpacing"/>
        <w:rPr>
          <w:rFonts w:ascii="Arial" w:hAnsi="Arial" w:cs="Arial"/>
          <w:color w:val="212121"/>
          <w:highlight w:val="white"/>
        </w:rPr>
      </w:pPr>
      <w:r w:rsidRPr="00FE6DE0">
        <w:rPr>
          <w:rFonts w:ascii="Arial" w:hAnsi="Arial" w:cs="Arial"/>
          <w:shd w:val="clear" w:color="auto" w:fill="FFFFFF"/>
          <w:vertAlign w:val="superscript"/>
        </w:rPr>
        <w:t>56</w:t>
      </w:r>
      <w:r w:rsidRPr="00FE6DE0">
        <w:rPr>
          <w:rFonts w:ascii="Arial" w:hAnsi="Arial" w:cs="Arial"/>
          <w:color w:val="212121"/>
          <w:shd w:val="clear" w:color="auto" w:fill="FFFFFF"/>
        </w:rPr>
        <w:t xml:space="preserve"> Wessex Clinical Genetics Service, Princess Anne Hospital, Southampton, UK</w:t>
      </w:r>
    </w:p>
    <w:p w14:paraId="00916091" w14:textId="77777777" w:rsidR="0019389F" w:rsidRPr="00FE6DE0" w:rsidRDefault="0019389F" w:rsidP="0019389F">
      <w:pPr>
        <w:pStyle w:val="NoSpacing"/>
        <w:rPr>
          <w:rFonts w:ascii="Arial" w:hAnsi="Arial" w:cs="Arial"/>
          <w:color w:val="212121"/>
          <w:highlight w:val="white"/>
        </w:rPr>
      </w:pPr>
      <w:r w:rsidRPr="00FE6DE0">
        <w:rPr>
          <w:rFonts w:ascii="Arial" w:hAnsi="Arial" w:cs="Arial"/>
          <w:color w:val="212121"/>
          <w:shd w:val="clear" w:color="auto" w:fill="FFFFFF"/>
          <w:vertAlign w:val="superscript"/>
        </w:rPr>
        <w:t>57</w:t>
      </w:r>
      <w:r w:rsidRPr="00FE6DE0">
        <w:rPr>
          <w:rFonts w:ascii="Arial" w:hAnsi="Arial" w:cs="Arial"/>
          <w:color w:val="212121"/>
          <w:shd w:val="clear" w:color="auto" w:fill="FFFFFF"/>
        </w:rPr>
        <w:t xml:space="preserve"> Faculty of Medicine, University of Southampton, Southampton, UK</w:t>
      </w:r>
    </w:p>
    <w:p w14:paraId="64325C76" w14:textId="77777777" w:rsidR="0019389F" w:rsidRPr="00FE6DE0" w:rsidRDefault="0019389F" w:rsidP="0019389F">
      <w:pPr>
        <w:pStyle w:val="NoSpacing"/>
        <w:rPr>
          <w:rFonts w:ascii="Arial" w:hAnsi="Arial" w:cs="Arial"/>
          <w:color w:val="212121"/>
          <w:highlight w:val="white"/>
        </w:rPr>
      </w:pPr>
      <w:r w:rsidRPr="00FE6DE0">
        <w:rPr>
          <w:rFonts w:ascii="Arial" w:hAnsi="Arial" w:cs="Arial"/>
          <w:color w:val="212121"/>
          <w:shd w:val="clear" w:color="auto" w:fill="FFFFFF"/>
          <w:vertAlign w:val="superscript"/>
        </w:rPr>
        <w:t>58</w:t>
      </w:r>
      <w:r w:rsidRPr="00FE6DE0">
        <w:rPr>
          <w:rFonts w:ascii="Arial" w:hAnsi="Arial" w:cs="Arial"/>
          <w:color w:val="212121"/>
          <w:shd w:val="clear" w:color="auto" w:fill="FFFFFF"/>
        </w:rPr>
        <w:t xml:space="preserve"> University Hospital Southampton NHS Foundation Trust, Southampton, UK</w:t>
      </w:r>
    </w:p>
    <w:p w14:paraId="7B120723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59</w:t>
      </w:r>
      <w:r w:rsidRPr="00FE6DE0">
        <w:rPr>
          <w:rFonts w:ascii="Arial" w:hAnsi="Arial" w:cs="Arial"/>
        </w:rPr>
        <w:t xml:space="preserve"> Cork University Hospital, Cork, Ireland</w:t>
      </w:r>
    </w:p>
    <w:p w14:paraId="7DA8C112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60</w:t>
      </w:r>
      <w:r w:rsidRPr="00FE6DE0">
        <w:rPr>
          <w:rFonts w:ascii="Arial" w:hAnsi="Arial" w:cs="Arial"/>
        </w:rPr>
        <w:t xml:space="preserve"> Children’s Health Ireland (CHI), Crumlin, Dublin, Ireland</w:t>
      </w:r>
    </w:p>
    <w:p w14:paraId="4E03DD61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61</w:t>
      </w:r>
      <w:r w:rsidRPr="00FE6DE0">
        <w:rPr>
          <w:rFonts w:ascii="Arial" w:hAnsi="Arial" w:cs="Arial"/>
        </w:rPr>
        <w:t xml:space="preserve"> The </w:t>
      </w:r>
      <w:proofErr w:type="spellStart"/>
      <w:r w:rsidRPr="00FE6DE0">
        <w:rPr>
          <w:rFonts w:ascii="Arial" w:hAnsi="Arial" w:cs="Arial"/>
        </w:rPr>
        <w:t>Ethox</w:t>
      </w:r>
      <w:proofErr w:type="spellEnd"/>
      <w:r w:rsidRPr="00FE6DE0">
        <w:rPr>
          <w:rFonts w:ascii="Arial" w:hAnsi="Arial" w:cs="Arial"/>
        </w:rPr>
        <w:t xml:space="preserve"> Centre, Oxford, UK</w:t>
      </w:r>
    </w:p>
    <w:p w14:paraId="0550A63D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62</w:t>
      </w:r>
      <w:r w:rsidRPr="00FE6DE0">
        <w:rPr>
          <w:rFonts w:ascii="Arial" w:hAnsi="Arial" w:cs="Arial"/>
        </w:rPr>
        <w:t xml:space="preserve"> Belfast Health &amp; Social Care Trust, Belfast, UK</w:t>
      </w:r>
    </w:p>
    <w:p w14:paraId="02061707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63 </w:t>
      </w:r>
      <w:r w:rsidRPr="00FE6DE0">
        <w:rPr>
          <w:rFonts w:ascii="Arial" w:hAnsi="Arial" w:cs="Arial"/>
        </w:rPr>
        <w:t>Birmingham Women’s and Children’s NHS Foundation Trust, Birmingham, UK</w:t>
      </w:r>
    </w:p>
    <w:p w14:paraId="3EAE291B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color w:val="202A30"/>
          <w:shd w:val="clear" w:color="auto" w:fill="FFFFFF"/>
          <w:vertAlign w:val="superscript"/>
        </w:rPr>
        <w:t>64</w:t>
      </w:r>
      <w:r w:rsidRPr="00FE6DE0">
        <w:rPr>
          <w:rFonts w:ascii="Arial" w:hAnsi="Arial" w:cs="Arial"/>
          <w:color w:val="202A30"/>
          <w:shd w:val="clear" w:color="auto" w:fill="FFFFFF"/>
        </w:rPr>
        <w:t xml:space="preserve"> Central and South Genomic Laboratory Hub, </w:t>
      </w:r>
      <w:r w:rsidRPr="00FE6DE0">
        <w:rPr>
          <w:rFonts w:ascii="Arial" w:hAnsi="Arial" w:cs="Arial"/>
        </w:rPr>
        <w:t>Birmingham Women’s and Children’s NHS Foundation Trust, Birmingham, UK</w:t>
      </w:r>
    </w:p>
    <w:p w14:paraId="3A6BC82E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 xml:space="preserve">65  </w:t>
      </w:r>
      <w:r w:rsidRPr="00FE6DE0">
        <w:rPr>
          <w:rFonts w:ascii="Arial" w:hAnsi="Arial" w:cs="Arial"/>
        </w:rPr>
        <w:t>Bristol Genetics Laboratory, Pathology Sciences, Southmead Hospital, North Bristol NHS Trust, Bristol, United Kingdom</w:t>
      </w:r>
    </w:p>
    <w:p w14:paraId="53EB4F3F" w14:textId="77777777" w:rsidR="0019389F" w:rsidRPr="00FE6DE0" w:rsidRDefault="0019389F" w:rsidP="0019389F">
      <w:pPr>
        <w:pStyle w:val="NoSpacing"/>
        <w:rPr>
          <w:rFonts w:ascii="Arial" w:hAnsi="Arial" w:cs="Arial"/>
        </w:rPr>
      </w:pPr>
      <w:r w:rsidRPr="00FE6DE0">
        <w:rPr>
          <w:rFonts w:ascii="Arial" w:hAnsi="Arial" w:cs="Arial"/>
          <w:vertAlign w:val="superscript"/>
        </w:rPr>
        <w:t>66</w:t>
      </w:r>
      <w:r w:rsidRPr="00FE6DE0">
        <w:rPr>
          <w:rFonts w:ascii="Arial" w:hAnsi="Arial" w:cs="Arial"/>
        </w:rPr>
        <w:t xml:space="preserve"> Northwick Park Hospital, Watford Rd, Harrow, UK</w:t>
      </w:r>
    </w:p>
    <w:p w14:paraId="054C091E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202124"/>
        </w:rPr>
      </w:pPr>
      <w:r w:rsidRPr="00FE6DE0">
        <w:rPr>
          <w:rFonts w:ascii="Arial" w:eastAsia="Calibri" w:hAnsi="Arial" w:cs="Arial"/>
          <w:vertAlign w:val="superscript"/>
        </w:rPr>
        <w:t>67</w:t>
      </w:r>
      <w:r w:rsidRPr="00FE6DE0">
        <w:rPr>
          <w:rFonts w:ascii="Arial" w:eastAsia="Calibri" w:hAnsi="Arial" w:cs="Arial"/>
        </w:rPr>
        <w:t xml:space="preserve"> Chapel Allerton Hospital, </w:t>
      </w:r>
      <w:r w:rsidRPr="00FE6DE0">
        <w:rPr>
          <w:rFonts w:ascii="Arial" w:eastAsia="Arial" w:hAnsi="Arial" w:cs="Arial"/>
          <w:color w:val="202124"/>
        </w:rPr>
        <w:t>Chapeltown Rd, Leeds, UK</w:t>
      </w:r>
    </w:p>
    <w:p w14:paraId="51068695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202124"/>
        </w:rPr>
      </w:pPr>
      <w:r w:rsidRPr="00FE6DE0">
        <w:rPr>
          <w:rFonts w:ascii="Arial" w:eastAsia="Arial" w:hAnsi="Arial" w:cs="Arial"/>
          <w:color w:val="202124"/>
          <w:vertAlign w:val="superscript"/>
        </w:rPr>
        <w:t>68</w:t>
      </w:r>
      <w:r w:rsidRPr="00FE6DE0">
        <w:rPr>
          <w:rFonts w:ascii="Arial" w:eastAsia="Arial" w:hAnsi="Arial" w:cs="Arial"/>
          <w:color w:val="202124"/>
        </w:rPr>
        <w:t xml:space="preserve"> NHS Tayside, UK</w:t>
      </w:r>
    </w:p>
    <w:p w14:paraId="0265F54C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202124"/>
        </w:rPr>
      </w:pPr>
      <w:r w:rsidRPr="00FE6DE0">
        <w:rPr>
          <w:rFonts w:ascii="Arial" w:eastAsia="Arial" w:hAnsi="Arial" w:cs="Arial"/>
          <w:color w:val="202124"/>
          <w:vertAlign w:val="superscript"/>
        </w:rPr>
        <w:t>69</w:t>
      </w:r>
      <w:r w:rsidRPr="00FE6DE0">
        <w:rPr>
          <w:rFonts w:ascii="Arial" w:eastAsia="Arial" w:hAnsi="Arial" w:cs="Arial"/>
          <w:color w:val="202124"/>
        </w:rPr>
        <w:t xml:space="preserve"> South East Scotland Genetic Service, Western General Hospital, Edinburgh, UK</w:t>
      </w:r>
    </w:p>
    <w:p w14:paraId="1C801F0E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202124"/>
        </w:rPr>
      </w:pPr>
      <w:r w:rsidRPr="00FE6DE0">
        <w:rPr>
          <w:rFonts w:ascii="Arial" w:eastAsia="Arial" w:hAnsi="Arial" w:cs="Arial"/>
          <w:color w:val="202124"/>
          <w:vertAlign w:val="superscript"/>
        </w:rPr>
        <w:t>70</w:t>
      </w:r>
      <w:r w:rsidRPr="00FE6DE0">
        <w:rPr>
          <w:rFonts w:ascii="Arial" w:eastAsia="Arial" w:hAnsi="Arial" w:cs="Arial"/>
          <w:color w:val="202124"/>
        </w:rPr>
        <w:t xml:space="preserve"> Liverpool Centre for Genomic Medicine, Liverpool Women’s NHS Foundation Trust, Liverpool, UK</w:t>
      </w:r>
    </w:p>
    <w:p w14:paraId="7A3429A3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202124"/>
        </w:rPr>
      </w:pPr>
      <w:r w:rsidRPr="00FE6DE0">
        <w:rPr>
          <w:rFonts w:ascii="Arial" w:eastAsia="Arial" w:hAnsi="Arial" w:cs="Arial"/>
          <w:color w:val="202124"/>
          <w:vertAlign w:val="superscript"/>
        </w:rPr>
        <w:t>71</w:t>
      </w:r>
      <w:r w:rsidRPr="00FE6DE0">
        <w:rPr>
          <w:rFonts w:ascii="Arial" w:eastAsia="Arial" w:hAnsi="Arial" w:cs="Arial"/>
          <w:color w:val="202124"/>
        </w:rPr>
        <w:t xml:space="preserve"> King’s College Hospital, London, UK</w:t>
      </w:r>
    </w:p>
    <w:p w14:paraId="3E2E42FB" w14:textId="77777777" w:rsidR="0019389F" w:rsidRPr="00FE6DE0" w:rsidRDefault="0019389F" w:rsidP="0019389F">
      <w:pPr>
        <w:pStyle w:val="NoSpacing"/>
        <w:rPr>
          <w:rFonts w:ascii="Arial" w:eastAsia="Arial" w:hAnsi="Arial" w:cs="Arial"/>
          <w:color w:val="000000" w:themeColor="text1"/>
        </w:rPr>
      </w:pPr>
      <w:r w:rsidRPr="00FE6DE0">
        <w:rPr>
          <w:rFonts w:ascii="Arial" w:eastAsia="Arial" w:hAnsi="Arial" w:cs="Arial"/>
          <w:color w:val="202124"/>
          <w:vertAlign w:val="superscript"/>
        </w:rPr>
        <w:t>72</w:t>
      </w:r>
      <w:r w:rsidRPr="00FE6DE0">
        <w:rPr>
          <w:rFonts w:ascii="Arial" w:eastAsia="Arial" w:hAnsi="Arial" w:cs="Arial"/>
          <w:color w:val="202124"/>
        </w:rPr>
        <w:t xml:space="preserve"> </w:t>
      </w:r>
      <w:r w:rsidRPr="00FE6DE0">
        <w:rPr>
          <w:rFonts w:ascii="Arial" w:eastAsia="Arial" w:hAnsi="Arial" w:cs="Arial"/>
          <w:color w:val="000000" w:themeColor="text1"/>
        </w:rPr>
        <w:t>University Hospital Bristol and Weston NHS Foundation Trust, Bristol, UK</w:t>
      </w:r>
    </w:p>
    <w:p w14:paraId="0FCC7F43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73</w:t>
      </w:r>
      <w:r w:rsidRPr="00FE6DE0">
        <w:rPr>
          <w:rFonts w:ascii="Arial" w:eastAsia="Calibri" w:hAnsi="Arial" w:cs="Arial"/>
        </w:rPr>
        <w:t xml:space="preserve"> Sheffield Teaching Hospital NHS Foundation Trust, Sheffield, UK</w:t>
      </w:r>
    </w:p>
    <w:p w14:paraId="333AEC48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74</w:t>
      </w:r>
      <w:r w:rsidRPr="00FE6DE0">
        <w:rPr>
          <w:rFonts w:ascii="Arial" w:eastAsia="Calibri" w:hAnsi="Arial" w:cs="Arial"/>
        </w:rPr>
        <w:t xml:space="preserve"> Bristol Royal Hospital for Children, Bristol. UK</w:t>
      </w:r>
    </w:p>
    <w:p w14:paraId="76874FCF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75</w:t>
      </w:r>
      <w:r w:rsidRPr="00FE6DE0">
        <w:rPr>
          <w:rFonts w:ascii="Arial" w:eastAsia="Calibri" w:hAnsi="Arial" w:cs="Arial"/>
        </w:rPr>
        <w:t xml:space="preserve"> Manchester University Foundation Trust, Manchester, UK</w:t>
      </w:r>
    </w:p>
    <w:p w14:paraId="400DA73E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76</w:t>
      </w:r>
      <w:r w:rsidRPr="00FE6DE0">
        <w:rPr>
          <w:rFonts w:ascii="Arial" w:eastAsia="Calibri" w:hAnsi="Arial" w:cs="Arial"/>
        </w:rPr>
        <w:t xml:space="preserve"> North East Thames Clinical Genetics Service, London, UK</w:t>
      </w:r>
    </w:p>
    <w:p w14:paraId="66D5D6DA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 xml:space="preserve">77 </w:t>
      </w:r>
      <w:r w:rsidRPr="00FE6DE0">
        <w:rPr>
          <w:rFonts w:ascii="Arial" w:eastAsia="Calibri" w:hAnsi="Arial" w:cs="Arial"/>
        </w:rPr>
        <w:t>West Midlands Regional Genetics Laboratory, Birmingham Women’s Hospital, Birmingham, UK</w:t>
      </w:r>
    </w:p>
    <w:p w14:paraId="34A06787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78</w:t>
      </w:r>
      <w:r w:rsidRPr="00FE6DE0">
        <w:rPr>
          <w:rFonts w:ascii="Arial" w:eastAsia="Calibri" w:hAnsi="Arial" w:cs="Arial"/>
        </w:rPr>
        <w:t>West of Scotland Centre for Genomic Medicine, Queen Elizabeth University Hospital, Glasgow, UK</w:t>
      </w:r>
    </w:p>
    <w:p w14:paraId="08B062F7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79</w:t>
      </w:r>
      <w:r w:rsidRPr="00FE6DE0">
        <w:rPr>
          <w:rFonts w:ascii="Arial" w:eastAsia="Calibri" w:hAnsi="Arial" w:cs="Arial"/>
        </w:rPr>
        <w:t>Oxford Centre for Genomic Medicine, Oxford University Hospitals NHS Foundation Trust, Oxford, UK</w:t>
      </w:r>
    </w:p>
    <w:p w14:paraId="71D144B1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80</w:t>
      </w:r>
      <w:r w:rsidRPr="00FE6DE0">
        <w:rPr>
          <w:rFonts w:ascii="Arial" w:eastAsia="Calibri" w:hAnsi="Arial" w:cs="Arial"/>
        </w:rPr>
        <w:t>St Vincent’s Hospital Group, Elm Park, Dublin, Ireland</w:t>
      </w:r>
    </w:p>
    <w:p w14:paraId="04452587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81</w:t>
      </w:r>
      <w:r w:rsidRPr="00FE6DE0">
        <w:rPr>
          <w:rFonts w:ascii="Arial" w:eastAsia="Calibri" w:hAnsi="Arial" w:cs="Arial"/>
        </w:rPr>
        <w:t>North West Thames Regional Genetics Service, St. Mark's Hospital, Harrow, UK</w:t>
      </w:r>
    </w:p>
    <w:p w14:paraId="6BBD5CD2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82</w:t>
      </w:r>
      <w:r w:rsidRPr="00FE6DE0">
        <w:rPr>
          <w:rFonts w:ascii="Arial" w:eastAsia="Calibri" w:hAnsi="Arial" w:cs="Arial"/>
        </w:rPr>
        <w:t>Royal Liverpool University Hospital Trust, Liverpool, UK</w:t>
      </w:r>
    </w:p>
    <w:p w14:paraId="5A9EC7A5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83</w:t>
      </w:r>
      <w:r w:rsidRPr="00FE6DE0">
        <w:rPr>
          <w:rFonts w:ascii="Arial" w:eastAsia="Calibri" w:hAnsi="Arial" w:cs="Arial"/>
        </w:rPr>
        <w:t>All Wales Medical Genetics Service, Cardiff, Wales, UK</w:t>
      </w:r>
    </w:p>
    <w:p w14:paraId="185DD963" w14:textId="77777777" w:rsidR="0019389F" w:rsidRPr="00FE6DE0" w:rsidRDefault="0019389F" w:rsidP="0019389F">
      <w:pPr>
        <w:pStyle w:val="NoSpacing"/>
        <w:rPr>
          <w:rFonts w:ascii="Arial" w:eastAsia="Calibri" w:hAnsi="Arial" w:cs="Arial"/>
        </w:rPr>
      </w:pPr>
      <w:r w:rsidRPr="00FE6DE0">
        <w:rPr>
          <w:rFonts w:ascii="Arial" w:eastAsia="Calibri" w:hAnsi="Arial" w:cs="Arial"/>
          <w:vertAlign w:val="superscript"/>
        </w:rPr>
        <w:t>84</w:t>
      </w:r>
      <w:r w:rsidRPr="00FE6DE0">
        <w:rPr>
          <w:rFonts w:ascii="Arial" w:eastAsia="Calibri" w:hAnsi="Arial" w:cs="Arial"/>
        </w:rPr>
        <w:t>GenQA</w:t>
      </w:r>
    </w:p>
    <w:p w14:paraId="636979A3" w14:textId="77777777" w:rsidR="0019389F" w:rsidRPr="00FE6DE0" w:rsidRDefault="0019389F" w:rsidP="0019389F">
      <w:pPr>
        <w:rPr>
          <w:rFonts w:ascii="Arial" w:hAnsi="Arial" w:cs="Arial"/>
        </w:rPr>
      </w:pPr>
    </w:p>
    <w:p w14:paraId="256BED45" w14:textId="77777777" w:rsidR="0019389F" w:rsidRPr="00FE6DE0" w:rsidRDefault="0019389F" w:rsidP="0019389F">
      <w:pPr>
        <w:rPr>
          <w:rFonts w:ascii="Arial" w:hAnsi="Arial" w:cs="Arial"/>
        </w:rPr>
      </w:pPr>
    </w:p>
    <w:p w14:paraId="429B072F" w14:textId="77777777" w:rsidR="0019389F" w:rsidRPr="00FE6DE0" w:rsidRDefault="0019389F" w:rsidP="0019389F">
      <w:pPr>
        <w:rPr>
          <w:rFonts w:ascii="Arial" w:hAnsi="Arial" w:cs="Arial"/>
        </w:rPr>
      </w:pPr>
    </w:p>
    <w:p w14:paraId="63A00B13" w14:textId="77777777" w:rsidR="0019389F" w:rsidRPr="00FE6DE0" w:rsidRDefault="0019389F" w:rsidP="0019389F">
      <w:pPr>
        <w:rPr>
          <w:rFonts w:ascii="Arial" w:hAnsi="Arial" w:cs="Arial"/>
        </w:rPr>
      </w:pPr>
    </w:p>
    <w:p w14:paraId="5B551760" w14:textId="77777777" w:rsidR="0019389F" w:rsidRPr="00FE6DE0" w:rsidRDefault="0019389F" w:rsidP="0019389F">
      <w:pPr>
        <w:rPr>
          <w:rFonts w:ascii="Arial" w:hAnsi="Arial" w:cs="Arial"/>
        </w:rPr>
      </w:pPr>
    </w:p>
    <w:p w14:paraId="6D88AC2F" w14:textId="77777777" w:rsidR="0019389F" w:rsidRPr="00FE6DE0" w:rsidRDefault="0019389F" w:rsidP="0019389F">
      <w:pPr>
        <w:rPr>
          <w:rFonts w:ascii="Arial" w:hAnsi="Arial" w:cs="Arial"/>
        </w:rPr>
      </w:pPr>
    </w:p>
    <w:p w14:paraId="2E6A19C7" w14:textId="77777777" w:rsidR="0019389F" w:rsidRPr="00FE6DE0" w:rsidRDefault="0019389F" w:rsidP="0019389F">
      <w:pPr>
        <w:rPr>
          <w:rFonts w:ascii="Arial" w:hAnsi="Arial" w:cs="Arial"/>
        </w:rPr>
      </w:pPr>
    </w:p>
    <w:p w14:paraId="2B7DCC72" w14:textId="77777777" w:rsidR="0019389F" w:rsidRPr="00FE6DE0" w:rsidRDefault="0019389F" w:rsidP="0019389F">
      <w:pPr>
        <w:rPr>
          <w:rFonts w:ascii="Arial" w:hAnsi="Arial" w:cs="Arial"/>
        </w:rPr>
      </w:pPr>
    </w:p>
    <w:p w14:paraId="7F360F73" w14:textId="77777777" w:rsidR="0019389F" w:rsidRPr="00FE6DE0" w:rsidRDefault="0019389F" w:rsidP="0019389F">
      <w:pPr>
        <w:rPr>
          <w:rFonts w:ascii="Arial" w:hAnsi="Arial" w:cs="Arial"/>
        </w:rPr>
      </w:pPr>
    </w:p>
    <w:p w14:paraId="292E27E9" w14:textId="77777777" w:rsidR="0019389F" w:rsidRPr="00FE6DE0" w:rsidRDefault="0019389F" w:rsidP="0019389F">
      <w:pPr>
        <w:rPr>
          <w:rFonts w:ascii="Arial" w:hAnsi="Arial" w:cs="Arial"/>
        </w:rPr>
      </w:pPr>
    </w:p>
    <w:p w14:paraId="6BFC696A" w14:textId="77777777" w:rsidR="0019389F" w:rsidRPr="00FE6DE0" w:rsidRDefault="0019389F" w:rsidP="0019389F">
      <w:pPr>
        <w:rPr>
          <w:rFonts w:ascii="Arial" w:hAnsi="Arial" w:cs="Arial"/>
        </w:rPr>
      </w:pPr>
    </w:p>
    <w:p w14:paraId="57E094AC" w14:textId="77777777" w:rsidR="0019389F" w:rsidRPr="00FE6DE0" w:rsidRDefault="0019389F" w:rsidP="0019389F">
      <w:pPr>
        <w:rPr>
          <w:rFonts w:ascii="Arial" w:hAnsi="Arial" w:cs="Arial"/>
        </w:rPr>
      </w:pPr>
    </w:p>
    <w:p w14:paraId="5222A532" w14:textId="77777777" w:rsidR="0019389F" w:rsidRPr="00FE6DE0" w:rsidRDefault="0019389F" w:rsidP="0019389F">
      <w:pPr>
        <w:rPr>
          <w:rFonts w:ascii="Arial" w:hAnsi="Arial" w:cs="Arial"/>
        </w:rPr>
      </w:pPr>
    </w:p>
    <w:p w14:paraId="0A4326A4" w14:textId="77777777" w:rsidR="0019389F" w:rsidRPr="00FE6DE0" w:rsidRDefault="0019389F" w:rsidP="0019389F">
      <w:pPr>
        <w:rPr>
          <w:rFonts w:ascii="Arial" w:hAnsi="Arial" w:cs="Arial"/>
        </w:rPr>
      </w:pPr>
    </w:p>
    <w:p w14:paraId="58B7CC6E" w14:textId="77777777" w:rsidR="0019389F" w:rsidRPr="00FE6DE0" w:rsidRDefault="0019389F" w:rsidP="0019389F">
      <w:pPr>
        <w:rPr>
          <w:rFonts w:ascii="Arial" w:hAnsi="Arial" w:cs="Arial"/>
        </w:rPr>
      </w:pPr>
    </w:p>
    <w:p w14:paraId="360658D2" w14:textId="77777777" w:rsidR="0019389F" w:rsidRPr="00FE6DE0" w:rsidRDefault="0019389F" w:rsidP="0019389F">
      <w:pPr>
        <w:rPr>
          <w:rFonts w:ascii="Arial" w:hAnsi="Arial" w:cs="Arial"/>
        </w:rPr>
      </w:pPr>
    </w:p>
    <w:p w14:paraId="0DD4BF0B" w14:textId="77777777" w:rsidR="0019389F" w:rsidRPr="00FE6DE0" w:rsidRDefault="0019389F" w:rsidP="0019389F">
      <w:pPr>
        <w:rPr>
          <w:rFonts w:ascii="Arial" w:hAnsi="Arial" w:cs="Arial"/>
        </w:rPr>
      </w:pPr>
    </w:p>
    <w:p w14:paraId="73148C05" w14:textId="77777777" w:rsidR="0019389F" w:rsidRPr="00FE6DE0" w:rsidRDefault="0019389F" w:rsidP="0019389F">
      <w:pPr>
        <w:rPr>
          <w:rFonts w:ascii="Arial" w:hAnsi="Arial" w:cs="Arial"/>
        </w:rPr>
      </w:pPr>
    </w:p>
    <w:p w14:paraId="19EC5F07" w14:textId="77777777" w:rsidR="0019389F" w:rsidRPr="00FE6DE0" w:rsidRDefault="0019389F" w:rsidP="0019389F">
      <w:pPr>
        <w:rPr>
          <w:rFonts w:ascii="Arial" w:hAnsi="Arial" w:cs="Arial"/>
        </w:rPr>
      </w:pPr>
    </w:p>
    <w:p w14:paraId="223139E2" w14:textId="77777777" w:rsidR="0019389F" w:rsidRPr="00FE6DE0" w:rsidRDefault="0019389F" w:rsidP="0019389F">
      <w:pPr>
        <w:rPr>
          <w:rFonts w:ascii="Arial" w:hAnsi="Arial" w:cs="Arial"/>
        </w:rPr>
      </w:pPr>
    </w:p>
    <w:p w14:paraId="06A1837B" w14:textId="77777777" w:rsidR="0019389F" w:rsidRPr="00FE6DE0" w:rsidRDefault="0019389F" w:rsidP="0019389F">
      <w:pPr>
        <w:rPr>
          <w:rFonts w:ascii="Arial" w:hAnsi="Arial" w:cs="Arial"/>
        </w:rPr>
      </w:pPr>
    </w:p>
    <w:p w14:paraId="4A534A86" w14:textId="77777777" w:rsidR="0019389F" w:rsidRPr="00FE6DE0" w:rsidRDefault="0019389F" w:rsidP="0019389F">
      <w:pPr>
        <w:rPr>
          <w:rFonts w:ascii="Arial" w:hAnsi="Arial" w:cs="Arial"/>
        </w:rPr>
      </w:pPr>
    </w:p>
    <w:p w14:paraId="04D01279" w14:textId="77777777" w:rsidR="0019389F" w:rsidRPr="00FE6DE0" w:rsidRDefault="0019389F" w:rsidP="0019389F">
      <w:pPr>
        <w:rPr>
          <w:rFonts w:ascii="Arial" w:hAnsi="Arial" w:cs="Arial"/>
        </w:rPr>
      </w:pPr>
    </w:p>
    <w:p w14:paraId="787A781F" w14:textId="77777777" w:rsidR="0019389F" w:rsidRPr="00FE6DE0" w:rsidRDefault="0019389F" w:rsidP="0019389F">
      <w:pPr>
        <w:rPr>
          <w:rFonts w:ascii="Arial" w:hAnsi="Arial" w:cs="Arial"/>
        </w:rPr>
      </w:pPr>
    </w:p>
    <w:p w14:paraId="24DEA499" w14:textId="77777777" w:rsidR="0019389F" w:rsidRPr="00FE6DE0" w:rsidRDefault="0019389F" w:rsidP="0019389F">
      <w:pPr>
        <w:rPr>
          <w:rFonts w:ascii="Arial" w:hAnsi="Arial" w:cs="Arial"/>
        </w:rPr>
      </w:pPr>
    </w:p>
    <w:p w14:paraId="76EF33E2" w14:textId="77777777" w:rsidR="0019389F" w:rsidRPr="00FE6DE0" w:rsidRDefault="0019389F" w:rsidP="0019389F">
      <w:pPr>
        <w:rPr>
          <w:rFonts w:ascii="Arial" w:hAnsi="Arial" w:cs="Arial"/>
        </w:rPr>
      </w:pPr>
    </w:p>
    <w:p w14:paraId="00A6FFBE" w14:textId="77777777" w:rsidR="0019389F" w:rsidRPr="00FE6DE0" w:rsidRDefault="0019389F" w:rsidP="0019389F">
      <w:pPr>
        <w:rPr>
          <w:rFonts w:ascii="Arial" w:hAnsi="Arial" w:cs="Arial"/>
        </w:rPr>
      </w:pPr>
    </w:p>
    <w:p w14:paraId="2205C3D8" w14:textId="77777777" w:rsidR="0019389F" w:rsidRPr="00FE6DE0" w:rsidRDefault="0019389F" w:rsidP="0019389F">
      <w:pPr>
        <w:rPr>
          <w:rFonts w:ascii="Arial" w:hAnsi="Arial" w:cs="Arial"/>
        </w:rPr>
      </w:pPr>
    </w:p>
    <w:p w14:paraId="130E077D" w14:textId="77777777" w:rsidR="0019389F" w:rsidRPr="00FE6DE0" w:rsidRDefault="0019389F" w:rsidP="0019389F">
      <w:pPr>
        <w:rPr>
          <w:rFonts w:ascii="Arial" w:hAnsi="Arial" w:cs="Arial"/>
        </w:rPr>
      </w:pPr>
    </w:p>
    <w:p w14:paraId="6BC138C4" w14:textId="77777777" w:rsidR="0019389F" w:rsidRPr="00FE6DE0" w:rsidRDefault="0019389F" w:rsidP="0019389F">
      <w:pPr>
        <w:rPr>
          <w:rFonts w:ascii="Arial" w:hAnsi="Arial" w:cs="Arial"/>
        </w:rPr>
      </w:pPr>
    </w:p>
    <w:p w14:paraId="606C57C7" w14:textId="77777777" w:rsidR="0019389F" w:rsidRPr="00FE6DE0" w:rsidRDefault="0019389F" w:rsidP="0019389F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8" w:name="_Toc171435413"/>
      <w:r w:rsidRPr="00FE6DE0">
        <w:rPr>
          <w:rFonts w:ascii="Arial" w:hAnsi="Arial" w:cs="Arial"/>
          <w:b/>
          <w:bCs/>
          <w:color w:val="000000" w:themeColor="text1"/>
          <w:sz w:val="22"/>
          <w:szCs w:val="22"/>
        </w:rPr>
        <w:t>Supplementary Note 2: CStAG Membership</w:t>
      </w:r>
      <w:bookmarkEnd w:id="18"/>
    </w:p>
    <w:sdt>
      <w:sdtPr>
        <w:rPr>
          <w:rFonts w:ascii="Arial" w:hAnsi="Arial" w:cs="Arial"/>
        </w:rPr>
        <w:tag w:val="goog_rdk_7"/>
        <w:id w:val="-886948811"/>
      </w:sdtPr>
      <w:sdtEndPr/>
      <w:sdtContent>
        <w:p w14:paraId="377046E8" w14:textId="77777777" w:rsidR="0019389F" w:rsidRPr="00FE6DE0" w:rsidRDefault="00B70A26" w:rsidP="0019389F">
          <w:pPr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5"/>
              <w:id w:val="-2120446005"/>
            </w:sdtPr>
            <w:sdtEndPr/>
            <w:sdtContent>
              <w:r w:rsidR="0019389F" w:rsidRPr="00FE6DE0">
                <w:rPr>
                  <w:rFonts w:ascii="Arial" w:eastAsia="Arial" w:hAnsi="Arial" w:cs="Arial"/>
                </w:rPr>
                <w:t xml:space="preserve">A. 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Garrett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1,2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S. Allen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bscript"/>
                </w:rPr>
                <w:t>,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 xml:space="preserve"> M Durkie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3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G.J. Burghel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4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R. Robinson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5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A. Callaway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6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J. Field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7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B. Frugtniet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2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S. Palmer-Smith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8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J. Grant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9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J. Pagan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10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T. McDevitt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11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T. McVeigh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12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H. Hanson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1,13,14</w:t>
              </w:r>
              <w:r w:rsidR="0019389F" w:rsidRPr="00FE6DE0">
                <w:rPr>
                  <w:rFonts w:ascii="Arial" w:eastAsia="Arial" w:hAnsi="Arial" w:cs="Arial"/>
                  <w:color w:val="000000"/>
                </w:rPr>
                <w:t>, C. Turnbull</w:t>
              </w:r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1,</w:t>
              </w:r>
              <w:sdt>
                <w:sdtPr>
                  <w:rPr>
                    <w:rFonts w:ascii="Arial" w:hAnsi="Arial" w:cs="Arial"/>
                  </w:rPr>
                  <w:tag w:val="goog_rdk_6"/>
                  <w:id w:val="768820467"/>
                </w:sdtPr>
                <w:sdtEndPr/>
                <w:sdtContent/>
              </w:sdt>
              <w:r w:rsidR="0019389F" w:rsidRPr="00FE6DE0">
                <w:rPr>
                  <w:rFonts w:ascii="Arial" w:eastAsia="Arial" w:hAnsi="Arial" w:cs="Arial"/>
                  <w:color w:val="000000"/>
                  <w:vertAlign w:val="superscript"/>
                </w:rPr>
                <w:t>12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11"/>
        <w:id w:val="1986582163"/>
      </w:sdtPr>
      <w:sdtEndPr/>
      <w:sdtContent>
        <w:sdt>
          <w:sdtPr>
            <w:rPr>
              <w:rFonts w:ascii="Arial" w:hAnsi="Arial" w:cs="Arial"/>
            </w:rPr>
            <w:tag w:val="goog_rdk_10"/>
            <w:id w:val="-1974589823"/>
          </w:sdtPr>
          <w:sdtEndPr/>
          <w:sdtContent>
            <w:p w14:paraId="695D1569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jc w:val="both"/>
                <w:rPr>
                  <w:rFonts w:ascii="Arial" w:eastAsia="Arial" w:hAnsi="Arial" w:cs="Arial"/>
                  <w:color w:val="000000"/>
                </w:rPr>
              </w:pPr>
              <w:r w:rsidRPr="00FE6DE0">
                <w:rPr>
                  <w:rFonts w:ascii="Arial" w:eastAsia="Arial" w:hAnsi="Arial" w:cs="Arial"/>
                  <w:color w:val="000000"/>
                </w:rPr>
                <w:t>Division of Gen</w:t>
              </w:r>
              <w:sdt>
                <w:sdtPr>
                  <w:rPr>
                    <w:rFonts w:ascii="Arial" w:hAnsi="Arial" w:cs="Arial"/>
                  </w:rPr>
                  <w:tag w:val="goog_rdk_300"/>
                  <w:id w:val="-1494793314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317"/>
                  <w:id w:val="1619257052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335"/>
                  <w:id w:val="-50856978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354"/>
                  <w:id w:val="1464307554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375"/>
                  <w:id w:val="297350816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404"/>
                  <w:id w:val="-231392603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426"/>
                  <w:id w:val="661895814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448"/>
                  <w:id w:val="-101268162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472"/>
                  <w:id w:val="814688538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497"/>
                  <w:id w:val="731046476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524"/>
                  <w:id w:val="-233160766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552"/>
                  <w:id w:val="1381206819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581"/>
                  <w:id w:val="354627527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611"/>
                  <w:id w:val="985821589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642"/>
                  <w:id w:val="-1002041268"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</w:rPr>
                  <w:tag w:val="goog_rdk_674"/>
                  <w:id w:val="2056498048"/>
                </w:sdtPr>
                <w:sdtEndPr/>
                <w:sdtContent/>
              </w:sdt>
              <w:r w:rsidRPr="00FE6DE0">
                <w:rPr>
                  <w:rFonts w:ascii="Arial" w:eastAsia="Arial" w:hAnsi="Arial" w:cs="Arial"/>
                  <w:color w:val="000000"/>
                </w:rPr>
                <w:t>etics and Epidemiology, The Institute of Cancer Research, London, UK.</w:t>
              </w:r>
            </w:p>
            <w:p w14:paraId="330B42E6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rPr>
                  <w:rFonts w:ascii="Arial" w:eastAsia="Arial" w:hAnsi="Arial" w:cs="Arial"/>
                  <w:color w:val="000000"/>
                </w:rPr>
              </w:pPr>
              <w:r w:rsidRPr="00FE6DE0">
                <w:rPr>
                  <w:rFonts w:ascii="Arial" w:eastAsia="Arial" w:hAnsi="Arial" w:cs="Arial"/>
                  <w:color w:val="000000"/>
                </w:rPr>
                <w:t>St George's University Hospitals NHS Foundation Trust, Tooting, London, UK</w:t>
              </w:r>
            </w:p>
          </w:sdtContent>
        </w:sdt>
      </w:sdtContent>
    </w:sdt>
    <w:sdt>
      <w:sdtPr>
        <w:rPr>
          <w:rFonts w:ascii="Arial" w:hAnsi="Arial" w:cs="Arial"/>
        </w:rPr>
        <w:tag w:val="goog_rdk_13"/>
        <w:id w:val="1367863081"/>
      </w:sdtPr>
      <w:sdtEndPr/>
      <w:sdtContent>
        <w:p w14:paraId="52123EA8" w14:textId="77777777" w:rsidR="0019389F" w:rsidRPr="00FE6DE0" w:rsidRDefault="00B70A26" w:rsidP="0019389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12"/>
              <w:id w:val="496302472"/>
            </w:sdtPr>
            <w:sdtEndPr/>
            <w:sdtContent>
              <w:r w:rsidR="0019389F" w:rsidRPr="00FE6DE0">
                <w:rPr>
                  <w:rFonts w:ascii="Arial" w:eastAsia="Arial" w:hAnsi="Arial" w:cs="Arial"/>
                  <w:color w:val="000000"/>
                </w:rPr>
                <w:t>Sheffield Diagnostic Genetics Service, NEY Genomic Laboratory Hub, Sheffield Children's NHS Foundation Trust, Sheffield, UK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17"/>
        <w:id w:val="-1027401820"/>
      </w:sdtPr>
      <w:sdtEndPr/>
      <w:sdtContent>
        <w:p w14:paraId="20FA895A" w14:textId="77777777" w:rsidR="0019389F" w:rsidRPr="00FE6DE0" w:rsidRDefault="00B70A26" w:rsidP="0019389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16"/>
              <w:id w:val="-429357336"/>
            </w:sdtPr>
            <w:sdtEndPr/>
            <w:sdtContent>
              <w:r w:rsidR="0019389F" w:rsidRPr="00FE6DE0">
                <w:rPr>
                  <w:rFonts w:ascii="Arial" w:eastAsia="Arial" w:hAnsi="Arial" w:cs="Arial"/>
                  <w:color w:val="000000"/>
                </w:rPr>
                <w:t>Manchester Centre for Genomic Medicine and NW Laboratory Genetics Hub, Manchester University Hospitals NHS Foundation Trust, Manchester, UK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19"/>
        <w:id w:val="-733239071"/>
      </w:sdtPr>
      <w:sdtEndPr/>
      <w:sdtContent>
        <w:p w14:paraId="4673FEC3" w14:textId="77777777" w:rsidR="0019389F" w:rsidRPr="00FE6DE0" w:rsidRDefault="00B70A26" w:rsidP="0019389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18"/>
              <w:id w:val="923225107"/>
            </w:sdtPr>
            <w:sdtEndPr/>
            <w:sdtContent>
              <w:r w:rsidR="0019389F" w:rsidRPr="00FE6DE0">
                <w:rPr>
                  <w:rFonts w:ascii="Arial" w:eastAsia="Arial" w:hAnsi="Arial" w:cs="Arial"/>
                  <w:color w:val="000000"/>
                </w:rPr>
                <w:t>The Leeds Genetics Laboratory, NEY Genomic Laboratory Hub, Leeds Teaching Hospitals NHS Trust, Leeds, UK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21"/>
        <w:id w:val="-273172123"/>
      </w:sdtPr>
      <w:sdtEndPr/>
      <w:sdtContent>
        <w:p w14:paraId="6B015A1A" w14:textId="77777777" w:rsidR="0019389F" w:rsidRPr="00FE6DE0" w:rsidRDefault="00B70A26" w:rsidP="0019389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20"/>
              <w:id w:val="619034522"/>
            </w:sdtPr>
            <w:sdtEndPr/>
            <w:sdtContent>
              <w:r w:rsidR="0019389F" w:rsidRPr="00FE6DE0">
                <w:rPr>
                  <w:rFonts w:ascii="Arial" w:eastAsia="Arial" w:hAnsi="Arial" w:cs="Arial"/>
                  <w:color w:val="000000"/>
                </w:rPr>
                <w:t>Central and South Genomics Laboratory Hub, Wessex Genomics Laboratory Service, University Hospital Southampton NHS Foundation Trust, Salisbury, UK.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23"/>
        <w:id w:val="2123803622"/>
      </w:sdtPr>
      <w:sdtEndPr/>
      <w:sdtContent>
        <w:sdt>
          <w:sdtPr>
            <w:rPr>
              <w:rFonts w:ascii="Arial" w:hAnsi="Arial" w:cs="Arial"/>
            </w:rPr>
            <w:tag w:val="goog_rdk_22"/>
            <w:id w:val="-1190218701"/>
          </w:sdtPr>
          <w:sdtEndPr/>
          <w:sdtContent>
            <w:p w14:paraId="2DEA7A6D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jc w:val="both"/>
                <w:rPr>
                  <w:rFonts w:ascii="Arial" w:eastAsia="Arial" w:hAnsi="Arial" w:cs="Arial"/>
                  <w:color w:val="000000"/>
                </w:rPr>
              </w:pPr>
              <w:r w:rsidRPr="00FE6DE0">
                <w:rPr>
                  <w:rFonts w:ascii="Arial" w:eastAsia="Arial" w:hAnsi="Arial" w:cs="Arial"/>
                  <w:color w:val="000000"/>
                </w:rPr>
                <w:t>Genomics and Molecular Medicine Service, Nottingham University Hospitals NHS Trust, Nottingham, UK</w:t>
              </w:r>
            </w:p>
            <w:p w14:paraId="17677F7E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jc w:val="both"/>
                <w:rPr>
                  <w:rFonts w:ascii="Arial" w:eastAsia="Arial" w:hAnsi="Arial" w:cs="Arial"/>
                  <w:color w:val="000000"/>
                </w:rPr>
              </w:pPr>
              <w:r w:rsidRPr="00FE6DE0">
                <w:rPr>
                  <w:rFonts w:ascii="Arial" w:eastAsia="Arial" w:hAnsi="Arial" w:cs="Arial"/>
                  <w:color w:val="000000"/>
                </w:rPr>
                <w:t>Institute of Medical Genetics, University Hospital of Wales, Cardiff and Vale University Health Board, Cardiff, UK</w:t>
              </w:r>
            </w:p>
            <w:p w14:paraId="7892BAB8" w14:textId="77777777" w:rsidR="0019389F" w:rsidRPr="00FE6DE0" w:rsidRDefault="0019389F" w:rsidP="0019389F">
              <w:pPr>
                <w:pStyle w:val="ListParagraph"/>
                <w:numPr>
                  <w:ilvl w:val="0"/>
                  <w:numId w:val="2"/>
                </w:numPr>
                <w:spacing w:after="0" w:line="240" w:lineRule="auto"/>
                <w:rPr>
                  <w:rFonts w:cs="Arial"/>
                  <w:sz w:val="22"/>
                  <w:highlight w:val="white"/>
                </w:rPr>
              </w:pPr>
              <w:r w:rsidRPr="00FE6DE0">
                <w:rPr>
                  <w:rFonts w:cs="Arial"/>
                  <w:sz w:val="22"/>
                  <w:shd w:val="clear" w:color="auto" w:fill="FFFFFF"/>
                </w:rPr>
                <w:t>Laboratory Genetics, Queen Elizabeth University Hospital, NHS Greater Glasgow and Clyde, Glasgow, UK</w:t>
              </w:r>
            </w:p>
            <w:p w14:paraId="30121CA8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jc w:val="both"/>
                <w:rPr>
                  <w:rFonts w:ascii="Arial" w:eastAsia="Arial" w:hAnsi="Arial" w:cs="Arial"/>
                  <w:color w:val="000000"/>
                </w:rPr>
              </w:pPr>
              <w:proofErr w:type="gramStart"/>
              <w:r w:rsidRPr="00FE6DE0">
                <w:rPr>
                  <w:rFonts w:ascii="Arial" w:hAnsi="Arial" w:cs="Arial"/>
                  <w:shd w:val="clear" w:color="auto" w:fill="FFFFFF"/>
                </w:rPr>
                <w:t>South East</w:t>
              </w:r>
              <w:proofErr w:type="gramEnd"/>
              <w:r w:rsidRPr="00FE6DE0">
                <w:rPr>
                  <w:rFonts w:ascii="Arial" w:hAnsi="Arial" w:cs="Arial"/>
                  <w:shd w:val="clear" w:color="auto" w:fill="FFFFFF"/>
                </w:rPr>
                <w:t xml:space="preserve"> Scotland Clinical Genetics, Western General Hospital, Edinburgh, UK.</w:t>
              </w:r>
            </w:p>
          </w:sdtContent>
        </w:sdt>
      </w:sdtContent>
    </w:sdt>
    <w:sdt>
      <w:sdtPr>
        <w:rPr>
          <w:rFonts w:ascii="Arial" w:hAnsi="Arial" w:cs="Arial"/>
        </w:rPr>
        <w:tag w:val="goog_rdk_25"/>
        <w:id w:val="38407607"/>
      </w:sdtPr>
      <w:sdtEndPr/>
      <w:sdtContent>
        <w:p w14:paraId="41E21D97" w14:textId="77777777" w:rsidR="0019389F" w:rsidRPr="00FE6DE0" w:rsidRDefault="00B70A26" w:rsidP="0019389F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24"/>
              <w:id w:val="172233531"/>
            </w:sdtPr>
            <w:sdtEndPr/>
            <w:sdtContent>
              <w:r w:rsidR="0019389F" w:rsidRPr="00FE6DE0">
                <w:rPr>
                  <w:rFonts w:ascii="Arial" w:eastAsia="Arial" w:hAnsi="Arial" w:cs="Arial"/>
                  <w:color w:val="000000"/>
                </w:rPr>
                <w:t>Department of Clinical Genetics, CHI at Crumlin, Dublin, Ireland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27"/>
        <w:id w:val="854009094"/>
      </w:sdtPr>
      <w:sdtEndPr/>
      <w:sdtContent>
        <w:sdt>
          <w:sdtPr>
            <w:rPr>
              <w:rFonts w:ascii="Arial" w:hAnsi="Arial" w:cs="Arial"/>
            </w:rPr>
            <w:tag w:val="goog_rdk_26"/>
            <w:id w:val="1660963315"/>
          </w:sdtPr>
          <w:sdtEndPr/>
          <w:sdtContent>
            <w:p w14:paraId="1A960B6A" w14:textId="77777777" w:rsidR="0019389F" w:rsidRPr="00FE6DE0" w:rsidRDefault="0019389F" w:rsidP="0019389F">
              <w:pPr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rPr>
                  <w:rFonts w:ascii="Arial" w:eastAsia="Arial" w:hAnsi="Arial" w:cs="Arial"/>
                  <w:color w:val="000000"/>
                </w:rPr>
              </w:pPr>
              <w:r w:rsidRPr="00FE6DE0">
                <w:rPr>
                  <w:rFonts w:ascii="Arial" w:eastAsia="Arial" w:hAnsi="Arial" w:cs="Arial"/>
                  <w:color w:val="000000"/>
                </w:rPr>
                <w:t>The Royal Marsden NHS Foundation Trust, Fulham Road, London</w:t>
              </w:r>
            </w:p>
          </w:sdtContent>
        </w:sdt>
      </w:sdtContent>
    </w:sdt>
    <w:sdt>
      <w:sdtPr>
        <w:rPr>
          <w:rFonts w:asciiTheme="minorHAnsi" w:hAnsiTheme="minorHAnsi" w:cs="Arial"/>
          <w:sz w:val="22"/>
        </w:rPr>
        <w:tag w:val="goog_rdk_29"/>
        <w:id w:val="640542759"/>
      </w:sdtPr>
      <w:sdtEndPr/>
      <w:sdtContent>
        <w:sdt>
          <w:sdtPr>
            <w:rPr>
              <w:rFonts w:asciiTheme="minorHAnsi" w:hAnsiTheme="minorHAnsi" w:cs="Arial"/>
              <w:sz w:val="22"/>
            </w:rPr>
            <w:tag w:val="goog_rdk_28"/>
            <w:id w:val="-1474131598"/>
          </w:sdtPr>
          <w:sdtEndPr/>
          <w:sdtContent>
            <w:p w14:paraId="0940A805" w14:textId="77777777" w:rsidR="0019389F" w:rsidRPr="00FE6DE0" w:rsidRDefault="0019389F" w:rsidP="0019389F">
              <w:pPr>
                <w:pStyle w:val="ListParagraph"/>
                <w:numPr>
                  <w:ilvl w:val="0"/>
                  <w:numId w:val="2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rPr>
                  <w:rFonts w:eastAsia="Arial" w:cs="Arial"/>
                  <w:color w:val="000000"/>
                  <w:sz w:val="22"/>
                </w:rPr>
              </w:pPr>
              <w:r w:rsidRPr="00FE6DE0">
                <w:rPr>
                  <w:rFonts w:eastAsia="Times New Roman" w:cs="Arial"/>
                  <w:color w:val="000000"/>
                  <w:sz w:val="22"/>
                </w:rPr>
                <w:t>Peninsula Regional Genetics Service, Royal Devon University Healthcare NHS Foundation Trust, Exeter, UK</w:t>
              </w:r>
            </w:p>
            <w:p w14:paraId="5A46049C" w14:textId="27F3565F" w:rsidR="0019389F" w:rsidRPr="00FE6DE0" w:rsidRDefault="0019389F" w:rsidP="000018B0">
              <w:pPr>
                <w:numPr>
                  <w:ilvl w:val="0"/>
                  <w:numId w:val="2"/>
                </w:numPr>
                <w:spacing w:after="0" w:line="240" w:lineRule="auto"/>
                <w:jc w:val="both"/>
                <w:textAlignment w:val="baseline"/>
                <w:rPr>
                  <w:rFonts w:ascii="Arial" w:eastAsia="Times New Roman" w:hAnsi="Arial" w:cs="Arial"/>
                  <w:color w:val="000000"/>
                </w:rPr>
                <w:sectPr w:rsidR="0019389F" w:rsidRPr="00FE6DE0" w:rsidSect="0019389F">
                  <w:pgSz w:w="11906" w:h="16838"/>
                  <w:pgMar w:top="1077" w:right="1440" w:bottom="1077" w:left="1440" w:header="709" w:footer="709" w:gutter="0"/>
                  <w:cols w:space="708"/>
                  <w:docGrid w:linePitch="360"/>
                </w:sectPr>
              </w:pPr>
              <w:r w:rsidRPr="00FE6DE0">
                <w:rPr>
                  <w:rFonts w:ascii="Arial" w:eastAsia="Times New Roman" w:hAnsi="Arial" w:cs="Arial"/>
                  <w:color w:val="000000"/>
                </w:rPr>
                <w:t>Faculty of Health and Life Sciences, University of Exeter, Exeter, UK</w:t>
              </w:r>
            </w:p>
          </w:sdtContent>
        </w:sdt>
      </w:sdtContent>
    </w:sdt>
    <w:p w14:paraId="4BEF424E" w14:textId="77777777" w:rsidR="0019389F" w:rsidRPr="00FE6DE0" w:rsidRDefault="0019389F" w:rsidP="000018B0">
      <w:pPr>
        <w:rPr>
          <w:rFonts w:ascii="Arial" w:hAnsi="Arial" w:cs="Arial"/>
        </w:rPr>
      </w:pPr>
    </w:p>
    <w:sectPr w:rsidR="0019389F" w:rsidRPr="00FE6DE0" w:rsidSect="00ED3AF9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8002" w14:textId="77777777" w:rsidR="00370BD9" w:rsidRDefault="00370BD9" w:rsidP="00ED3AF9">
      <w:pPr>
        <w:spacing w:after="0" w:line="240" w:lineRule="auto"/>
      </w:pPr>
      <w:r>
        <w:separator/>
      </w:r>
    </w:p>
  </w:endnote>
  <w:endnote w:type="continuationSeparator" w:id="0">
    <w:p w14:paraId="4FAE113D" w14:textId="77777777" w:rsidR="00370BD9" w:rsidRDefault="00370BD9" w:rsidP="00ED3AF9">
      <w:pPr>
        <w:spacing w:after="0" w:line="240" w:lineRule="auto"/>
      </w:pPr>
      <w:r>
        <w:continuationSeparator/>
      </w:r>
    </w:p>
  </w:endnote>
  <w:endnote w:type="continuationNotice" w:id="1">
    <w:p w14:paraId="76F9508A" w14:textId="77777777" w:rsidR="00370BD9" w:rsidRDefault="00370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719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74D5F" w14:textId="758F059B" w:rsidR="00ED3AF9" w:rsidRDefault="00ED3A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D82C8" w14:textId="77777777" w:rsidR="00ED3AF9" w:rsidRDefault="00ED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0137" w14:textId="77777777" w:rsidR="00370BD9" w:rsidRDefault="00370BD9" w:rsidP="00ED3AF9">
      <w:pPr>
        <w:spacing w:after="0" w:line="240" w:lineRule="auto"/>
      </w:pPr>
      <w:r>
        <w:separator/>
      </w:r>
    </w:p>
  </w:footnote>
  <w:footnote w:type="continuationSeparator" w:id="0">
    <w:p w14:paraId="57A17C63" w14:textId="77777777" w:rsidR="00370BD9" w:rsidRDefault="00370BD9" w:rsidP="00ED3AF9">
      <w:pPr>
        <w:spacing w:after="0" w:line="240" w:lineRule="auto"/>
      </w:pPr>
      <w:r>
        <w:continuationSeparator/>
      </w:r>
    </w:p>
  </w:footnote>
  <w:footnote w:type="continuationNotice" w:id="1">
    <w:p w14:paraId="1DB81AE9" w14:textId="77777777" w:rsidR="00370BD9" w:rsidRDefault="00370B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54FC4"/>
    <w:multiLevelType w:val="hybridMultilevel"/>
    <w:tmpl w:val="0110F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232E"/>
    <w:multiLevelType w:val="multilevel"/>
    <w:tmpl w:val="C1FA2D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7034">
    <w:abstractNumId w:val="0"/>
  </w:num>
  <w:num w:numId="2" w16cid:durableId="116262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F1"/>
    <w:rsid w:val="000018B0"/>
    <w:rsid w:val="00002263"/>
    <w:rsid w:val="00016955"/>
    <w:rsid w:val="00025ACF"/>
    <w:rsid w:val="000862F9"/>
    <w:rsid w:val="00090D2D"/>
    <w:rsid w:val="000A1DE0"/>
    <w:rsid w:val="000A3B4D"/>
    <w:rsid w:val="000A4E1E"/>
    <w:rsid w:val="000E7C76"/>
    <w:rsid w:val="0010160D"/>
    <w:rsid w:val="001035EB"/>
    <w:rsid w:val="0012325B"/>
    <w:rsid w:val="00123FEE"/>
    <w:rsid w:val="001253BB"/>
    <w:rsid w:val="001266A1"/>
    <w:rsid w:val="00132125"/>
    <w:rsid w:val="001476F3"/>
    <w:rsid w:val="001513F1"/>
    <w:rsid w:val="001651DB"/>
    <w:rsid w:val="0019389F"/>
    <w:rsid w:val="001A25B7"/>
    <w:rsid w:val="001A3EC9"/>
    <w:rsid w:val="001A7882"/>
    <w:rsid w:val="001F2564"/>
    <w:rsid w:val="002031D3"/>
    <w:rsid w:val="00207870"/>
    <w:rsid w:val="00213511"/>
    <w:rsid w:val="00232140"/>
    <w:rsid w:val="00270ACB"/>
    <w:rsid w:val="002912B7"/>
    <w:rsid w:val="002A4328"/>
    <w:rsid w:val="002A7630"/>
    <w:rsid w:val="002B5C97"/>
    <w:rsid w:val="002C09AF"/>
    <w:rsid w:val="002D7963"/>
    <w:rsid w:val="00301E87"/>
    <w:rsid w:val="00313A27"/>
    <w:rsid w:val="00315010"/>
    <w:rsid w:val="003222D6"/>
    <w:rsid w:val="003463D0"/>
    <w:rsid w:val="00353987"/>
    <w:rsid w:val="003555F2"/>
    <w:rsid w:val="00367A32"/>
    <w:rsid w:val="00370BD9"/>
    <w:rsid w:val="003762F5"/>
    <w:rsid w:val="003901C0"/>
    <w:rsid w:val="00394B03"/>
    <w:rsid w:val="003A0C73"/>
    <w:rsid w:val="003A11A6"/>
    <w:rsid w:val="003D1785"/>
    <w:rsid w:val="003D4AF3"/>
    <w:rsid w:val="003D55FC"/>
    <w:rsid w:val="003E62A3"/>
    <w:rsid w:val="00410D27"/>
    <w:rsid w:val="004139E9"/>
    <w:rsid w:val="004176E0"/>
    <w:rsid w:val="004244A0"/>
    <w:rsid w:val="00425A2F"/>
    <w:rsid w:val="004448CC"/>
    <w:rsid w:val="00452AD6"/>
    <w:rsid w:val="00472955"/>
    <w:rsid w:val="00482612"/>
    <w:rsid w:val="00503B8E"/>
    <w:rsid w:val="00514923"/>
    <w:rsid w:val="00522BBF"/>
    <w:rsid w:val="00532092"/>
    <w:rsid w:val="005551A2"/>
    <w:rsid w:val="00566F5F"/>
    <w:rsid w:val="0057514A"/>
    <w:rsid w:val="005810CB"/>
    <w:rsid w:val="005B0241"/>
    <w:rsid w:val="005B2818"/>
    <w:rsid w:val="005C7FAA"/>
    <w:rsid w:val="005F2EC7"/>
    <w:rsid w:val="00602C42"/>
    <w:rsid w:val="0061196C"/>
    <w:rsid w:val="00611B1D"/>
    <w:rsid w:val="00614CF3"/>
    <w:rsid w:val="00626773"/>
    <w:rsid w:val="00647AF6"/>
    <w:rsid w:val="006627BB"/>
    <w:rsid w:val="00665552"/>
    <w:rsid w:val="0069629F"/>
    <w:rsid w:val="00696C5D"/>
    <w:rsid w:val="006C085B"/>
    <w:rsid w:val="006C7BEA"/>
    <w:rsid w:val="006D25A1"/>
    <w:rsid w:val="006E79A6"/>
    <w:rsid w:val="006F337D"/>
    <w:rsid w:val="006F4E1C"/>
    <w:rsid w:val="00715544"/>
    <w:rsid w:val="00743905"/>
    <w:rsid w:val="00751D61"/>
    <w:rsid w:val="00773FEE"/>
    <w:rsid w:val="007858E9"/>
    <w:rsid w:val="007A3A51"/>
    <w:rsid w:val="007A5BAC"/>
    <w:rsid w:val="007C4D19"/>
    <w:rsid w:val="007E3F64"/>
    <w:rsid w:val="008056B7"/>
    <w:rsid w:val="00825468"/>
    <w:rsid w:val="008435E5"/>
    <w:rsid w:val="00846D2F"/>
    <w:rsid w:val="00861B88"/>
    <w:rsid w:val="008746A5"/>
    <w:rsid w:val="00887E45"/>
    <w:rsid w:val="008A4750"/>
    <w:rsid w:val="008B2B97"/>
    <w:rsid w:val="008C149D"/>
    <w:rsid w:val="008D5DB9"/>
    <w:rsid w:val="008E4EC3"/>
    <w:rsid w:val="008F714D"/>
    <w:rsid w:val="00904180"/>
    <w:rsid w:val="00933C0E"/>
    <w:rsid w:val="009462E3"/>
    <w:rsid w:val="0096181D"/>
    <w:rsid w:val="00974E44"/>
    <w:rsid w:val="00987892"/>
    <w:rsid w:val="009B2F2A"/>
    <w:rsid w:val="009D2C92"/>
    <w:rsid w:val="009E4D0D"/>
    <w:rsid w:val="009F6960"/>
    <w:rsid w:val="00A12EFA"/>
    <w:rsid w:val="00A16AED"/>
    <w:rsid w:val="00A234E0"/>
    <w:rsid w:val="00A35F92"/>
    <w:rsid w:val="00A37AF0"/>
    <w:rsid w:val="00A7126C"/>
    <w:rsid w:val="00AB3175"/>
    <w:rsid w:val="00AB3954"/>
    <w:rsid w:val="00AB467E"/>
    <w:rsid w:val="00AC03C9"/>
    <w:rsid w:val="00AC3C5D"/>
    <w:rsid w:val="00AD22B0"/>
    <w:rsid w:val="00AE787A"/>
    <w:rsid w:val="00B26E2A"/>
    <w:rsid w:val="00B34DA4"/>
    <w:rsid w:val="00B52B41"/>
    <w:rsid w:val="00B55CE9"/>
    <w:rsid w:val="00B623AA"/>
    <w:rsid w:val="00B67542"/>
    <w:rsid w:val="00B70A26"/>
    <w:rsid w:val="00B748CD"/>
    <w:rsid w:val="00B94616"/>
    <w:rsid w:val="00BA20B6"/>
    <w:rsid w:val="00BC3CA8"/>
    <w:rsid w:val="00BF0E31"/>
    <w:rsid w:val="00C24DDC"/>
    <w:rsid w:val="00C26C75"/>
    <w:rsid w:val="00CB4339"/>
    <w:rsid w:val="00CB492F"/>
    <w:rsid w:val="00CC1F0D"/>
    <w:rsid w:val="00CD456D"/>
    <w:rsid w:val="00CD62CE"/>
    <w:rsid w:val="00CF78F1"/>
    <w:rsid w:val="00D01248"/>
    <w:rsid w:val="00D04A31"/>
    <w:rsid w:val="00D5561C"/>
    <w:rsid w:val="00D623DC"/>
    <w:rsid w:val="00D63368"/>
    <w:rsid w:val="00D67761"/>
    <w:rsid w:val="00D72675"/>
    <w:rsid w:val="00D826F2"/>
    <w:rsid w:val="00E02503"/>
    <w:rsid w:val="00E03320"/>
    <w:rsid w:val="00E10BBA"/>
    <w:rsid w:val="00E11F79"/>
    <w:rsid w:val="00E1568F"/>
    <w:rsid w:val="00E30040"/>
    <w:rsid w:val="00E363F8"/>
    <w:rsid w:val="00E4266B"/>
    <w:rsid w:val="00E51A68"/>
    <w:rsid w:val="00E75FDA"/>
    <w:rsid w:val="00E812B4"/>
    <w:rsid w:val="00E82B12"/>
    <w:rsid w:val="00EA2426"/>
    <w:rsid w:val="00EB09C3"/>
    <w:rsid w:val="00EB464C"/>
    <w:rsid w:val="00EB4C01"/>
    <w:rsid w:val="00ED3AF9"/>
    <w:rsid w:val="00ED661D"/>
    <w:rsid w:val="00F04B5A"/>
    <w:rsid w:val="00F0596E"/>
    <w:rsid w:val="00F23942"/>
    <w:rsid w:val="00F24AAB"/>
    <w:rsid w:val="00F3747F"/>
    <w:rsid w:val="00F424BB"/>
    <w:rsid w:val="00F62338"/>
    <w:rsid w:val="00F6415C"/>
    <w:rsid w:val="00F66ADC"/>
    <w:rsid w:val="00F74D80"/>
    <w:rsid w:val="00FB1129"/>
    <w:rsid w:val="00FB3A4C"/>
    <w:rsid w:val="00FC165C"/>
    <w:rsid w:val="00FC30F5"/>
    <w:rsid w:val="00FC6552"/>
    <w:rsid w:val="00FD660D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2EEA"/>
  <w15:chartTrackingRefBased/>
  <w15:docId w15:val="{3776D0D3-9C97-42FA-9851-41E33887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7F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7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B2B97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B2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2B9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B2B97"/>
    <w:rPr>
      <w:color w:val="0563C1" w:themeColor="hyperlink"/>
      <w:u w:val="single"/>
    </w:rPr>
  </w:style>
  <w:style w:type="character" w:customStyle="1" w:styleId="NCNormalChar">
    <w:name w:val="NC_Normal Char"/>
    <w:basedOn w:val="Heading1Char"/>
    <w:link w:val="NCNormal"/>
    <w:qFormat/>
    <w:rsid w:val="003D4AF3"/>
    <w:rPr>
      <w:rFonts w:ascii="Arial" w:eastAsia="Calibri" w:hAnsi="Arial" w:cstheme="minorHAnsi"/>
      <w:color w:val="2F5496" w:themeColor="accent1" w:themeShade="BF"/>
      <w:sz w:val="28"/>
      <w:szCs w:val="24"/>
    </w:rPr>
  </w:style>
  <w:style w:type="character" w:customStyle="1" w:styleId="institution">
    <w:name w:val="institution"/>
    <w:basedOn w:val="DefaultParagraphFont"/>
    <w:qFormat/>
    <w:rsid w:val="003D4AF3"/>
  </w:style>
  <w:style w:type="character" w:customStyle="1" w:styleId="addr-line">
    <w:name w:val="addr-line"/>
    <w:basedOn w:val="DefaultParagraphFont"/>
    <w:qFormat/>
    <w:rsid w:val="003D4AF3"/>
  </w:style>
  <w:style w:type="paragraph" w:customStyle="1" w:styleId="NCNormal">
    <w:name w:val="NC_Normal"/>
    <w:basedOn w:val="Normal"/>
    <w:link w:val="NCNormalChar"/>
    <w:qFormat/>
    <w:rsid w:val="003D4AF3"/>
    <w:pPr>
      <w:spacing w:after="200" w:line="276" w:lineRule="auto"/>
    </w:pPr>
    <w:rPr>
      <w:rFonts w:ascii="Arial" w:eastAsia="Calibri" w:hAnsi="Arial" w:cstheme="minorHAnsi"/>
      <w:sz w:val="28"/>
      <w:szCs w:val="24"/>
    </w:rPr>
  </w:style>
  <w:style w:type="paragraph" w:styleId="NoSpacing">
    <w:name w:val="No Spacing"/>
    <w:uiPriority w:val="1"/>
    <w:qFormat/>
    <w:rsid w:val="003D4AF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A11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D3AF9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D3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F9"/>
  </w:style>
  <w:style w:type="paragraph" w:styleId="Footer">
    <w:name w:val="footer"/>
    <w:basedOn w:val="Normal"/>
    <w:link w:val="FooterChar"/>
    <w:uiPriority w:val="99"/>
    <w:unhideWhenUsed/>
    <w:rsid w:val="00ED3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F9"/>
  </w:style>
  <w:style w:type="paragraph" w:styleId="Revision">
    <w:name w:val="Revision"/>
    <w:hidden/>
    <w:uiPriority w:val="99"/>
    <w:semiHidden/>
    <w:rsid w:val="001266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61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57E092DB5D141BD4A6AFB9F661ED0" ma:contentTypeVersion="15" ma:contentTypeDescription="Create a new document." ma:contentTypeScope="" ma:versionID="5134fffdec92e421f9db111fe9837f55">
  <xsd:schema xmlns:xsd="http://www.w3.org/2001/XMLSchema" xmlns:xs="http://www.w3.org/2001/XMLSchema" xmlns:p="http://schemas.microsoft.com/office/2006/metadata/properties" xmlns:ns2="53fe7c3f-b21f-4a25-a13e-cc28e46afb3f" xmlns:ns3="13b5651f-c8a0-4049-80b6-cef4aa785035" targetNamespace="http://schemas.microsoft.com/office/2006/metadata/properties" ma:root="true" ma:fieldsID="edc9ae52cf0e6ce255a6febcb42c5bb1" ns2:_="" ns3:_="">
    <xsd:import namespace="53fe7c3f-b21f-4a25-a13e-cc28e46afb3f"/>
    <xsd:import namespace="13b5651f-c8a0-4049-80b6-cef4aa785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7c3f-b21f-4a25-a13e-cc28e46af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4fd8df-27a2-471a-8ee0-838121336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651f-c8a0-4049-80b6-cef4aa7850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c9a108-0d9b-4b30-abb4-74dc3dab6ee1}" ma:internalName="TaxCatchAll" ma:showField="CatchAllData" ma:web="13b5651f-c8a0-4049-80b6-cef4aa785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e7c3f-b21f-4a25-a13e-cc28e46afb3f">
      <Terms xmlns="http://schemas.microsoft.com/office/infopath/2007/PartnerControls"/>
    </lcf76f155ced4ddcb4097134ff3c332f>
    <TaxCatchAll xmlns="13b5651f-c8a0-4049-80b6-cef4aa7850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DF0-23C5-415B-82CF-83C5BA7FB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D279-F570-4F8C-A669-4B353341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7c3f-b21f-4a25-a13e-cc28e46afb3f"/>
    <ds:schemaRef ds:uri="13b5651f-c8a0-4049-80b6-cef4aa785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E950B-5A90-4AB3-BE7A-A20352D759EE}">
  <ds:schemaRefs>
    <ds:schemaRef ds:uri="http://schemas.microsoft.com/office/2006/metadata/properties"/>
    <ds:schemaRef ds:uri="http://schemas.microsoft.com/office/infopath/2007/PartnerControls"/>
    <ds:schemaRef ds:uri="53fe7c3f-b21f-4a25-a13e-cc28e46afb3f"/>
    <ds:schemaRef ds:uri="13b5651f-c8a0-4049-80b6-cef4aa785035"/>
  </ds:schemaRefs>
</ds:datastoreItem>
</file>

<file path=customXml/itemProps4.xml><?xml version="1.0" encoding="utf-8"?>
<ds:datastoreItem xmlns:ds="http://schemas.openxmlformats.org/officeDocument/2006/customXml" ds:itemID="{572EEEDB-AAE1-4277-BF44-D1F3719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Allen</dc:creator>
  <cp:keywords/>
  <dc:description/>
  <cp:lastModifiedBy>Alice Garrett</cp:lastModifiedBy>
  <cp:revision>3</cp:revision>
  <dcterms:created xsi:type="dcterms:W3CDTF">2024-07-19T11:57:00Z</dcterms:created>
  <dcterms:modified xsi:type="dcterms:W3CDTF">2024-07-19T11:57:00Z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0x010100FC657E092DB5D141BD4A6AFB9F661ED0</vt:lpwstr>
  </property>
  <property fmtid="{D5CDD505-2E9C-101B-9397-08002B2CF9AE}" pid="3" name="MediaServiceImageTags">
    <vt:lpwstr/>
  </property>
</Properties>
</file>