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0D3E8" w14:textId="245B0DE5" w:rsidR="00CA1E10" w:rsidRPr="003F3125" w:rsidRDefault="00952A38" w:rsidP="20F35706">
      <w:pPr>
        <w:spacing w:line="276" w:lineRule="auto"/>
        <w:rPr>
          <w:rFonts w:ascii="Arial" w:hAnsi="Arial" w:cs="Arial"/>
          <w:b/>
          <w:bCs/>
          <w:sz w:val="32"/>
          <w:szCs w:val="32"/>
        </w:rPr>
      </w:pPr>
      <w:r w:rsidRPr="003F3125">
        <w:rPr>
          <w:rFonts w:ascii="Arial" w:hAnsi="Arial" w:cs="Arial"/>
          <w:b/>
          <w:bCs/>
          <w:sz w:val="32"/>
          <w:szCs w:val="32"/>
        </w:rPr>
        <w:t>Supplementary Information</w:t>
      </w:r>
    </w:p>
    <w:p w14:paraId="65065291" w14:textId="1E99082E" w:rsidR="00952A38" w:rsidRDefault="00952A38" w:rsidP="20F35706">
      <w:pPr>
        <w:pStyle w:val="paragraph"/>
        <w:spacing w:before="0" w:beforeAutospacing="0" w:after="0" w:afterAutospacing="0" w:line="276" w:lineRule="auto"/>
        <w:textAlignment w:val="baseline"/>
        <w:rPr>
          <w:rStyle w:val="eop"/>
          <w:rFonts w:ascii="Arial" w:eastAsiaTheme="majorEastAsia" w:hAnsi="Arial" w:cs="Arial"/>
          <w:b/>
          <w:bCs/>
          <w:color w:val="000000"/>
          <w:sz w:val="20"/>
          <w:szCs w:val="20"/>
        </w:rPr>
      </w:pPr>
      <w:r w:rsidRPr="20F35706">
        <w:rPr>
          <w:rStyle w:val="normaltextrun"/>
          <w:rFonts w:ascii="Arial" w:eastAsiaTheme="majorEastAsia" w:hAnsi="Arial" w:cs="Arial"/>
          <w:b/>
          <w:bCs/>
          <w:color w:val="000000" w:themeColor="text1"/>
          <w:sz w:val="20"/>
          <w:szCs w:val="20"/>
        </w:rPr>
        <w:t>Supplementary Methods: Detailed information on surveillance indicators.</w:t>
      </w:r>
      <w:r w:rsidRPr="20F35706">
        <w:rPr>
          <w:rStyle w:val="eop"/>
          <w:rFonts w:ascii="Arial" w:eastAsiaTheme="majorEastAsia" w:hAnsi="Arial" w:cs="Arial"/>
          <w:b/>
          <w:bCs/>
          <w:color w:val="000000" w:themeColor="text1"/>
          <w:sz w:val="20"/>
          <w:szCs w:val="20"/>
        </w:rPr>
        <w:t> </w:t>
      </w:r>
    </w:p>
    <w:p w14:paraId="552A4814" w14:textId="77777777" w:rsidR="00952A38" w:rsidRPr="00952A38" w:rsidRDefault="00952A38" w:rsidP="20F35706">
      <w:pPr>
        <w:pStyle w:val="paragraph"/>
        <w:spacing w:before="0" w:beforeAutospacing="0" w:after="0" w:afterAutospacing="0" w:line="276" w:lineRule="auto"/>
        <w:textAlignment w:val="baseline"/>
        <w:rPr>
          <w:rFonts w:ascii="Arial" w:hAnsi="Arial" w:cs="Arial"/>
          <w:b/>
          <w:bCs/>
          <w:color w:val="000000"/>
          <w:sz w:val="20"/>
          <w:szCs w:val="20"/>
        </w:rPr>
      </w:pPr>
    </w:p>
    <w:p w14:paraId="3E9A5E97" w14:textId="33134F24" w:rsidR="00952A38" w:rsidRDefault="00952A38" w:rsidP="20F35706">
      <w:pPr>
        <w:pStyle w:val="paragraph"/>
        <w:spacing w:before="0" w:beforeAutospacing="0" w:after="0" w:afterAutospacing="0" w:line="276" w:lineRule="auto"/>
        <w:textAlignment w:val="baseline"/>
        <w:rPr>
          <w:rStyle w:val="eop"/>
          <w:rFonts w:ascii="Arial" w:eastAsiaTheme="majorEastAsia" w:hAnsi="Arial" w:cs="Arial"/>
          <w:sz w:val="20"/>
          <w:szCs w:val="20"/>
        </w:rPr>
      </w:pPr>
      <w:r w:rsidRPr="00213DE2">
        <w:rPr>
          <w:rStyle w:val="normaltextrun"/>
          <w:rFonts w:ascii="Arial" w:eastAsiaTheme="majorEastAsia" w:hAnsi="Arial" w:cs="Arial"/>
          <w:b/>
          <w:bCs/>
          <w:i/>
          <w:iCs/>
          <w:sz w:val="20"/>
          <w:szCs w:val="20"/>
        </w:rPr>
        <w:t>Real-</w:t>
      </w:r>
      <w:r w:rsidR="00C97228" w:rsidRPr="00213DE2">
        <w:rPr>
          <w:rStyle w:val="normaltextrun"/>
          <w:rFonts w:ascii="Arial" w:eastAsiaTheme="majorEastAsia" w:hAnsi="Arial" w:cs="Arial"/>
          <w:b/>
          <w:bCs/>
          <w:i/>
          <w:iCs/>
          <w:sz w:val="20"/>
          <w:szCs w:val="20"/>
        </w:rPr>
        <w:t>T</w:t>
      </w:r>
      <w:r w:rsidRPr="00213DE2">
        <w:rPr>
          <w:rStyle w:val="normaltextrun"/>
          <w:rFonts w:ascii="Arial" w:eastAsiaTheme="majorEastAsia" w:hAnsi="Arial" w:cs="Arial"/>
          <w:b/>
          <w:bCs/>
          <w:i/>
          <w:iCs/>
          <w:sz w:val="20"/>
          <w:szCs w:val="20"/>
        </w:rPr>
        <w:t>ime COVID-19 Hospital Admissions.</w:t>
      </w:r>
      <w:r w:rsidRPr="20F35706">
        <w:rPr>
          <w:rStyle w:val="normaltextrun"/>
          <w:rFonts w:ascii="Arial" w:eastAsiaTheme="majorEastAsia" w:hAnsi="Arial" w:cs="Arial"/>
          <w:b/>
          <w:bCs/>
          <w:sz w:val="20"/>
          <w:szCs w:val="20"/>
        </w:rPr>
        <w:t xml:space="preserve"> </w:t>
      </w:r>
      <w:r w:rsidRPr="20F35706">
        <w:rPr>
          <w:rStyle w:val="normaltextrun"/>
          <w:rFonts w:ascii="Arial" w:eastAsiaTheme="majorEastAsia" w:hAnsi="Arial" w:cs="Arial"/>
          <w:sz w:val="20"/>
          <w:szCs w:val="20"/>
        </w:rPr>
        <w:t xml:space="preserve">Real-time COVID-19 hospital admissions represent the non-revised number of pediatric and adult patients admitted the previous day with confirmed COVID-19. Data were sourced from HHS Protect </w:t>
      </w:r>
      <w:r w:rsidR="000B2920">
        <w:rPr>
          <w:rStyle w:val="normaltextrun"/>
          <w:rFonts w:ascii="Arial" w:eastAsiaTheme="majorEastAsia" w:hAnsi="Arial" w:cs="Arial"/>
          <w:sz w:val="20"/>
          <w:szCs w:val="20"/>
        </w:rPr>
        <w:t>(</w:t>
      </w:r>
      <w:hyperlink r:id="rId7" w:history="1">
        <w:r w:rsidR="000B2920" w:rsidRPr="00D34F0C">
          <w:rPr>
            <w:rStyle w:val="Hyperlink"/>
            <w:rFonts w:ascii="Arial" w:eastAsiaTheme="majorEastAsia" w:hAnsi="Arial" w:cs="Arial"/>
            <w:sz w:val="20"/>
            <w:szCs w:val="20"/>
          </w:rPr>
          <w:t>https://www.cdc.gov/nhsn/covid19/hospital-reporting.html</w:t>
        </w:r>
      </w:hyperlink>
      <w:r w:rsidR="000B2920">
        <w:rPr>
          <w:rStyle w:val="normaltextrun"/>
          <w:rFonts w:ascii="Arial" w:eastAsiaTheme="majorEastAsia" w:hAnsi="Arial" w:cs="Arial"/>
          <w:sz w:val="20"/>
          <w:szCs w:val="20"/>
        </w:rPr>
        <w:t xml:space="preserve">) </w:t>
      </w:r>
      <w:r w:rsidRPr="20F35706">
        <w:rPr>
          <w:rStyle w:val="normaltextrun"/>
          <w:rFonts w:ascii="Arial" w:eastAsiaTheme="majorEastAsia" w:hAnsi="Arial" w:cs="Arial"/>
          <w:sz w:val="20"/>
          <w:szCs w:val="20"/>
        </w:rPr>
        <w:t xml:space="preserve">and posted publicly by CDPHE from </w:t>
      </w:r>
      <w:r w:rsidR="4D1AE370" w:rsidRPr="20F35706">
        <w:rPr>
          <w:rStyle w:val="normaltextrun"/>
          <w:rFonts w:ascii="Arial" w:eastAsiaTheme="majorEastAsia" w:hAnsi="Arial" w:cs="Arial"/>
          <w:sz w:val="20"/>
          <w:szCs w:val="20"/>
        </w:rPr>
        <w:t>0</w:t>
      </w:r>
      <w:r w:rsidRPr="20F35706">
        <w:rPr>
          <w:rStyle w:val="normaltextrun"/>
          <w:rFonts w:ascii="Arial" w:eastAsiaTheme="majorEastAsia" w:hAnsi="Arial" w:cs="Arial"/>
          <w:sz w:val="20"/>
          <w:szCs w:val="20"/>
        </w:rPr>
        <w:t xml:space="preserve">8/20/2020 </w:t>
      </w:r>
      <w:r w:rsidR="00372FE6" w:rsidRPr="6346E8B4">
        <w:rPr>
          <w:rFonts w:ascii="Arial" w:hAnsi="Arial" w:cs="Arial"/>
          <w:sz w:val="20"/>
          <w:szCs w:val="20"/>
        </w:rPr>
        <w:t>–</w:t>
      </w:r>
      <w:r w:rsidRPr="20F35706">
        <w:rPr>
          <w:rStyle w:val="normaltextrun"/>
          <w:rFonts w:ascii="Arial" w:eastAsiaTheme="majorEastAsia" w:hAnsi="Arial" w:cs="Arial"/>
          <w:sz w:val="20"/>
          <w:szCs w:val="20"/>
        </w:rPr>
        <w:t xml:space="preserve"> 05/0</w:t>
      </w:r>
      <w:r w:rsidR="6BBAE757" w:rsidRPr="20F35706">
        <w:rPr>
          <w:rStyle w:val="normaltextrun"/>
          <w:rFonts w:ascii="Arial" w:eastAsiaTheme="majorEastAsia" w:hAnsi="Arial" w:cs="Arial"/>
          <w:sz w:val="20"/>
          <w:szCs w:val="20"/>
        </w:rPr>
        <w:t>3</w:t>
      </w:r>
      <w:r w:rsidRPr="20F35706">
        <w:rPr>
          <w:rStyle w:val="normaltextrun"/>
          <w:rFonts w:ascii="Arial" w:eastAsiaTheme="majorEastAsia" w:hAnsi="Arial" w:cs="Arial"/>
          <w:sz w:val="20"/>
          <w:szCs w:val="20"/>
        </w:rPr>
        <w:t xml:space="preserve">/2023. Datasets were posted daily from </w:t>
      </w:r>
      <w:r w:rsidR="6C60841B" w:rsidRPr="20F35706">
        <w:rPr>
          <w:rStyle w:val="normaltextrun"/>
          <w:rFonts w:ascii="Arial" w:eastAsiaTheme="majorEastAsia" w:hAnsi="Arial" w:cs="Arial"/>
          <w:sz w:val="20"/>
          <w:szCs w:val="20"/>
        </w:rPr>
        <w:t>0</w:t>
      </w:r>
      <w:r w:rsidRPr="20F35706">
        <w:rPr>
          <w:rStyle w:val="normaltextrun"/>
          <w:rFonts w:ascii="Arial" w:eastAsiaTheme="majorEastAsia" w:hAnsi="Arial" w:cs="Arial"/>
          <w:sz w:val="20"/>
          <w:szCs w:val="20"/>
        </w:rPr>
        <w:t xml:space="preserve">8/20/2020 </w:t>
      </w:r>
      <w:r w:rsidR="00372FE6" w:rsidRPr="6346E8B4">
        <w:rPr>
          <w:rFonts w:ascii="Arial" w:hAnsi="Arial" w:cs="Arial"/>
          <w:sz w:val="20"/>
          <w:szCs w:val="20"/>
        </w:rPr>
        <w:t>–</w:t>
      </w:r>
      <w:r w:rsidRPr="20F35706">
        <w:rPr>
          <w:rStyle w:val="normaltextrun"/>
          <w:rFonts w:ascii="Arial" w:eastAsiaTheme="majorEastAsia" w:hAnsi="Arial" w:cs="Arial"/>
          <w:sz w:val="20"/>
          <w:szCs w:val="20"/>
        </w:rPr>
        <w:t xml:space="preserve"> 01/31/2022; Monday through Friday from 02/01/2022 </w:t>
      </w:r>
      <w:r w:rsidR="00372FE6" w:rsidRPr="6346E8B4">
        <w:rPr>
          <w:rFonts w:ascii="Arial" w:hAnsi="Arial" w:cs="Arial"/>
          <w:sz w:val="20"/>
          <w:szCs w:val="20"/>
        </w:rPr>
        <w:t>–</w:t>
      </w:r>
      <w:r w:rsidRPr="20F35706">
        <w:rPr>
          <w:rStyle w:val="normaltextrun"/>
          <w:rFonts w:ascii="Arial" w:eastAsiaTheme="majorEastAsia" w:hAnsi="Arial" w:cs="Arial"/>
          <w:sz w:val="20"/>
          <w:szCs w:val="20"/>
        </w:rPr>
        <w:t xml:space="preserve"> 03/16/2022; and weekly from 03/23/2022 </w:t>
      </w:r>
      <w:r w:rsidR="00372FE6" w:rsidRPr="6346E8B4">
        <w:rPr>
          <w:rFonts w:ascii="Arial" w:hAnsi="Arial" w:cs="Arial"/>
          <w:sz w:val="20"/>
          <w:szCs w:val="20"/>
        </w:rPr>
        <w:t>–</w:t>
      </w:r>
      <w:r w:rsidRPr="20F35706">
        <w:rPr>
          <w:rStyle w:val="normaltextrun"/>
          <w:rFonts w:ascii="Arial" w:eastAsiaTheme="majorEastAsia" w:hAnsi="Arial" w:cs="Arial"/>
          <w:sz w:val="20"/>
          <w:szCs w:val="20"/>
        </w:rPr>
        <w:t xml:space="preserve"> 05/03/2023.</w:t>
      </w:r>
      <w:r w:rsidR="7FEE1140" w:rsidRPr="20F35706">
        <w:rPr>
          <w:rStyle w:val="normaltextrun"/>
          <w:rFonts w:ascii="Arial" w:eastAsiaTheme="majorEastAsia" w:hAnsi="Arial" w:cs="Arial"/>
          <w:sz w:val="20"/>
          <w:szCs w:val="20"/>
        </w:rPr>
        <w:t xml:space="preserve"> Weekly files still included hospital admissions data for each calendar day.</w:t>
      </w:r>
      <w:r w:rsidRPr="20F35706">
        <w:rPr>
          <w:rStyle w:val="normaltextrun"/>
          <w:rFonts w:ascii="Arial" w:eastAsiaTheme="majorEastAsia" w:hAnsi="Arial" w:cs="Arial"/>
          <w:sz w:val="20"/>
          <w:szCs w:val="20"/>
        </w:rPr>
        <w:t xml:space="preserve"> We used these datasets to reconstruct the number of </w:t>
      </w:r>
      <w:r w:rsidR="00D01A4C" w:rsidRPr="20F35706">
        <w:rPr>
          <w:rStyle w:val="normaltextrun"/>
          <w:rFonts w:ascii="Arial" w:eastAsiaTheme="majorEastAsia" w:hAnsi="Arial" w:cs="Arial"/>
          <w:sz w:val="20"/>
          <w:szCs w:val="20"/>
        </w:rPr>
        <w:t xml:space="preserve">COVID-19 hospital </w:t>
      </w:r>
      <w:r w:rsidRPr="20F35706">
        <w:rPr>
          <w:rStyle w:val="normaltextrun"/>
          <w:rFonts w:ascii="Arial" w:eastAsiaTheme="majorEastAsia" w:hAnsi="Arial" w:cs="Arial"/>
          <w:sz w:val="20"/>
          <w:szCs w:val="20"/>
        </w:rPr>
        <w:t>admissions reported 1 to 14 days prior to the date the dataset was published. When datasets transitioned to longer reporting intervals, missing days were filled with the last observed value. We smoothed real-time hospital admission data by applying a right-justified 7-day moving average. Because only finalized COVID-19 hospital admissions data is available after the public health emergency, real-time hospital admissions data were not included in analyses after the end of the public health emergency.</w:t>
      </w:r>
      <w:r w:rsidRPr="20F35706">
        <w:rPr>
          <w:rStyle w:val="eop"/>
          <w:rFonts w:ascii="Arial" w:eastAsiaTheme="majorEastAsia" w:hAnsi="Arial" w:cs="Arial"/>
          <w:sz w:val="20"/>
          <w:szCs w:val="20"/>
        </w:rPr>
        <w:t> </w:t>
      </w:r>
    </w:p>
    <w:p w14:paraId="1A7C96CA" w14:textId="77777777" w:rsidR="00952A38" w:rsidRPr="00952A38" w:rsidRDefault="00952A38" w:rsidP="20F35706">
      <w:pPr>
        <w:pStyle w:val="paragraph"/>
        <w:spacing w:before="0" w:beforeAutospacing="0" w:after="0" w:afterAutospacing="0" w:line="276" w:lineRule="auto"/>
        <w:textAlignment w:val="baseline"/>
        <w:rPr>
          <w:rFonts w:ascii="Arial" w:hAnsi="Arial" w:cs="Arial"/>
          <w:sz w:val="20"/>
          <w:szCs w:val="20"/>
        </w:rPr>
      </w:pPr>
    </w:p>
    <w:p w14:paraId="432B9F7F" w14:textId="35CA8787" w:rsidR="00952A38" w:rsidRDefault="00952A38" w:rsidP="20F35706">
      <w:pPr>
        <w:pStyle w:val="paragraph"/>
        <w:spacing w:before="0" w:beforeAutospacing="0" w:after="0" w:afterAutospacing="0" w:line="276" w:lineRule="auto"/>
        <w:textAlignment w:val="baseline"/>
        <w:rPr>
          <w:rStyle w:val="eop"/>
          <w:rFonts w:ascii="Arial" w:eastAsiaTheme="majorEastAsia" w:hAnsi="Arial" w:cs="Arial"/>
          <w:sz w:val="20"/>
          <w:szCs w:val="20"/>
        </w:rPr>
      </w:pPr>
      <w:r w:rsidRPr="00213DE2">
        <w:rPr>
          <w:rStyle w:val="normaltextrun"/>
          <w:rFonts w:ascii="Arial" w:eastAsiaTheme="majorEastAsia" w:hAnsi="Arial" w:cs="Arial"/>
          <w:b/>
          <w:bCs/>
          <w:i/>
          <w:iCs/>
          <w:sz w:val="20"/>
          <w:szCs w:val="20"/>
        </w:rPr>
        <w:t>COVID-19 Hospital Census.</w:t>
      </w:r>
      <w:r w:rsidRPr="20F35706">
        <w:rPr>
          <w:rStyle w:val="normaltextrun"/>
          <w:rFonts w:ascii="Arial" w:eastAsiaTheme="majorEastAsia" w:hAnsi="Arial" w:cs="Arial"/>
          <w:b/>
          <w:bCs/>
          <w:sz w:val="20"/>
          <w:szCs w:val="20"/>
        </w:rPr>
        <w:t xml:space="preserve"> </w:t>
      </w:r>
      <w:r w:rsidRPr="20F35706">
        <w:rPr>
          <w:rStyle w:val="normaltextrun"/>
          <w:rFonts w:ascii="Arial" w:eastAsiaTheme="majorEastAsia" w:hAnsi="Arial" w:cs="Arial"/>
          <w:sz w:val="20"/>
          <w:szCs w:val="20"/>
        </w:rPr>
        <w:t xml:space="preserve">COVID-19 hospital census represents the number of patients currently hospitalized with confirmed COVID-19 at a facility in Colorado on a given day. Data was obtained from EMResource (Juvare) and publicly posted by CDPHE from 03/22/2020 </w:t>
      </w:r>
      <w:r w:rsidR="00372FE6" w:rsidRPr="6346E8B4">
        <w:rPr>
          <w:rFonts w:ascii="Arial" w:hAnsi="Arial" w:cs="Arial"/>
          <w:sz w:val="20"/>
          <w:szCs w:val="20"/>
        </w:rPr>
        <w:t>–</w:t>
      </w:r>
      <w:r w:rsidRPr="20F35706">
        <w:rPr>
          <w:rStyle w:val="normaltextrun"/>
          <w:rFonts w:ascii="Arial" w:eastAsiaTheme="majorEastAsia" w:hAnsi="Arial" w:cs="Arial"/>
          <w:sz w:val="20"/>
          <w:szCs w:val="20"/>
        </w:rPr>
        <w:t xml:space="preserve"> 04/16/2024. Data were posted daily from 03/22/2020 </w:t>
      </w:r>
      <w:r w:rsidR="00372FE6" w:rsidRPr="6346E8B4">
        <w:rPr>
          <w:rFonts w:ascii="Arial" w:hAnsi="Arial" w:cs="Arial"/>
          <w:sz w:val="20"/>
          <w:szCs w:val="20"/>
        </w:rPr>
        <w:t>–</w:t>
      </w:r>
      <w:r w:rsidRPr="20F35706">
        <w:rPr>
          <w:rStyle w:val="normaltextrun"/>
          <w:rFonts w:ascii="Arial" w:eastAsiaTheme="majorEastAsia" w:hAnsi="Arial" w:cs="Arial"/>
          <w:sz w:val="20"/>
          <w:szCs w:val="20"/>
        </w:rPr>
        <w:t xml:space="preserve"> 03/15/2022; and weekly from 03/22/2022 forward.</w:t>
      </w:r>
      <w:r w:rsidR="4BD7432B" w:rsidRPr="20F35706">
        <w:rPr>
          <w:rStyle w:val="normaltextrun"/>
          <w:rFonts w:ascii="Arial" w:eastAsiaTheme="majorEastAsia" w:hAnsi="Arial" w:cs="Arial"/>
          <w:sz w:val="20"/>
          <w:szCs w:val="20"/>
        </w:rPr>
        <w:t xml:space="preserve"> </w:t>
      </w:r>
      <w:r w:rsidR="10F96792" w:rsidRPr="20F35706">
        <w:rPr>
          <w:rStyle w:val="normaltextrun"/>
          <w:rFonts w:ascii="Arial" w:eastAsiaTheme="majorEastAsia" w:hAnsi="Arial" w:cs="Arial"/>
          <w:sz w:val="20"/>
          <w:szCs w:val="20"/>
        </w:rPr>
        <w:t>After 3/22/2022</w:t>
      </w:r>
      <w:r w:rsidR="5D29F8CA" w:rsidRPr="20F35706">
        <w:rPr>
          <w:rStyle w:val="normaltextrun"/>
          <w:rFonts w:ascii="Arial" w:eastAsiaTheme="majorEastAsia" w:hAnsi="Arial" w:cs="Arial"/>
          <w:sz w:val="20"/>
          <w:szCs w:val="20"/>
        </w:rPr>
        <w:t xml:space="preserve">, </w:t>
      </w:r>
      <w:r w:rsidR="10F96792" w:rsidRPr="20F35706">
        <w:rPr>
          <w:rStyle w:val="normaltextrun"/>
          <w:rFonts w:ascii="Arial" w:eastAsiaTheme="majorEastAsia" w:hAnsi="Arial" w:cs="Arial"/>
          <w:sz w:val="20"/>
          <w:szCs w:val="20"/>
        </w:rPr>
        <w:t>hospital census estimates were only submitted for Tuesdays</w:t>
      </w:r>
      <w:r w:rsidR="5D44A998" w:rsidRPr="20F35706">
        <w:rPr>
          <w:rStyle w:val="normaltextrun"/>
          <w:rFonts w:ascii="Arial" w:eastAsiaTheme="majorEastAsia" w:hAnsi="Arial" w:cs="Arial"/>
          <w:sz w:val="20"/>
          <w:szCs w:val="20"/>
        </w:rPr>
        <w:t>;</w:t>
      </w:r>
      <w:r w:rsidR="10F96792" w:rsidRPr="20F35706">
        <w:rPr>
          <w:rStyle w:val="normaltextrun"/>
          <w:rFonts w:ascii="Arial" w:eastAsiaTheme="majorEastAsia" w:hAnsi="Arial" w:cs="Arial"/>
          <w:sz w:val="20"/>
          <w:szCs w:val="20"/>
        </w:rPr>
        <w:t xml:space="preserve"> other days in the week did not have a </w:t>
      </w:r>
      <w:r w:rsidR="275DE7C3" w:rsidRPr="20F35706">
        <w:rPr>
          <w:rStyle w:val="normaltextrun"/>
          <w:rFonts w:ascii="Arial" w:eastAsiaTheme="majorEastAsia" w:hAnsi="Arial" w:cs="Arial"/>
          <w:sz w:val="20"/>
          <w:szCs w:val="20"/>
        </w:rPr>
        <w:t>value.</w:t>
      </w:r>
      <w:r w:rsidRPr="20F35706">
        <w:rPr>
          <w:rStyle w:val="normaltextrun"/>
          <w:rFonts w:ascii="Arial" w:eastAsiaTheme="majorEastAsia" w:hAnsi="Arial" w:cs="Arial"/>
          <w:sz w:val="20"/>
          <w:szCs w:val="20"/>
        </w:rPr>
        <w:t xml:space="preserve"> Hospital census data reported by hospitals through EMResource were posted daily by CDPHE in real-time, but data are not backfilled, so the value reported on a given date did not change over time. To achieve a daily timestep, missing days were filled with the last observed value.</w:t>
      </w:r>
    </w:p>
    <w:p w14:paraId="0D1DD118" w14:textId="77777777" w:rsidR="00952A38" w:rsidRPr="00952A38" w:rsidRDefault="00952A38" w:rsidP="20F35706">
      <w:pPr>
        <w:pStyle w:val="paragraph"/>
        <w:spacing w:before="0" w:beforeAutospacing="0" w:after="0" w:afterAutospacing="0" w:line="276" w:lineRule="auto"/>
        <w:textAlignment w:val="baseline"/>
        <w:rPr>
          <w:rFonts w:ascii="Arial" w:hAnsi="Arial" w:cs="Arial"/>
          <w:sz w:val="20"/>
          <w:szCs w:val="20"/>
        </w:rPr>
      </w:pPr>
    </w:p>
    <w:p w14:paraId="7B92A067" w14:textId="4EA07F97" w:rsidR="00952A38" w:rsidRDefault="00952A38" w:rsidP="20F35706">
      <w:pPr>
        <w:pStyle w:val="paragraph"/>
        <w:spacing w:before="0" w:beforeAutospacing="0" w:after="0" w:afterAutospacing="0" w:line="276" w:lineRule="auto"/>
        <w:textAlignment w:val="baseline"/>
        <w:rPr>
          <w:rStyle w:val="eop"/>
          <w:rFonts w:ascii="Arial" w:eastAsiaTheme="majorEastAsia" w:hAnsi="Arial" w:cs="Arial"/>
          <w:sz w:val="20"/>
          <w:szCs w:val="20"/>
        </w:rPr>
      </w:pPr>
      <w:r w:rsidRPr="00213DE2">
        <w:rPr>
          <w:rStyle w:val="normaltextrun"/>
          <w:rFonts w:ascii="Arial" w:eastAsiaTheme="majorEastAsia" w:hAnsi="Arial" w:cs="Arial"/>
          <w:b/>
          <w:bCs/>
          <w:i/>
          <w:iCs/>
          <w:sz w:val="20"/>
          <w:szCs w:val="20"/>
        </w:rPr>
        <w:t>Syndromic Surveillance.</w:t>
      </w:r>
      <w:r w:rsidRPr="20F35706">
        <w:rPr>
          <w:rStyle w:val="normaltextrun"/>
          <w:rFonts w:ascii="Arial" w:eastAsiaTheme="majorEastAsia" w:hAnsi="Arial" w:cs="Arial"/>
          <w:b/>
          <w:bCs/>
          <w:i/>
          <w:iCs/>
          <w:sz w:val="20"/>
          <w:szCs w:val="20"/>
        </w:rPr>
        <w:t xml:space="preserve"> </w:t>
      </w:r>
      <w:r w:rsidRPr="20F35706">
        <w:rPr>
          <w:rStyle w:val="normaltextrun"/>
          <w:rFonts w:ascii="Arial" w:eastAsiaTheme="majorEastAsia" w:hAnsi="Arial" w:cs="Arial"/>
          <w:sz w:val="20"/>
          <w:szCs w:val="20"/>
        </w:rPr>
        <w:t xml:space="preserve">COVID-19 syndromic surveillance reports the percentage of emergency department (ED) visits in the past week with a COVID-19 discharge diagnosis, with ICD10 codes (U07.1 and J12.82). The Colorado </w:t>
      </w:r>
      <w:r w:rsidR="3227DB9C" w:rsidRPr="20F35706">
        <w:rPr>
          <w:rStyle w:val="normaltextrun"/>
          <w:rFonts w:ascii="Arial" w:eastAsiaTheme="majorEastAsia" w:hAnsi="Arial" w:cs="Arial"/>
          <w:sz w:val="20"/>
          <w:szCs w:val="20"/>
        </w:rPr>
        <w:t>S</w:t>
      </w:r>
      <w:r w:rsidRPr="20F35706">
        <w:rPr>
          <w:rStyle w:val="normaltextrun"/>
          <w:rFonts w:ascii="Arial" w:eastAsiaTheme="majorEastAsia" w:hAnsi="Arial" w:cs="Arial"/>
          <w:sz w:val="20"/>
          <w:szCs w:val="20"/>
        </w:rPr>
        <w:t xml:space="preserve">yndromic </w:t>
      </w:r>
      <w:r w:rsidR="2409D904" w:rsidRPr="20F35706">
        <w:rPr>
          <w:rStyle w:val="normaltextrun"/>
          <w:rFonts w:ascii="Arial" w:eastAsiaTheme="majorEastAsia" w:hAnsi="Arial" w:cs="Arial"/>
          <w:sz w:val="20"/>
          <w:szCs w:val="20"/>
        </w:rPr>
        <w:t>S</w:t>
      </w:r>
      <w:r w:rsidRPr="20F35706">
        <w:rPr>
          <w:rStyle w:val="normaltextrun"/>
          <w:rFonts w:ascii="Arial" w:eastAsiaTheme="majorEastAsia" w:hAnsi="Arial" w:cs="Arial"/>
          <w:sz w:val="20"/>
          <w:szCs w:val="20"/>
        </w:rPr>
        <w:t xml:space="preserve">urveillance </w:t>
      </w:r>
      <w:r w:rsidR="39F00A55" w:rsidRPr="20F35706">
        <w:rPr>
          <w:rStyle w:val="normaltextrun"/>
          <w:rFonts w:ascii="Arial" w:eastAsiaTheme="majorEastAsia" w:hAnsi="Arial" w:cs="Arial"/>
          <w:sz w:val="20"/>
          <w:szCs w:val="20"/>
        </w:rPr>
        <w:t>P</w:t>
      </w:r>
      <w:r w:rsidRPr="20F35706">
        <w:rPr>
          <w:rStyle w:val="normaltextrun"/>
          <w:rFonts w:ascii="Arial" w:eastAsiaTheme="majorEastAsia" w:hAnsi="Arial" w:cs="Arial"/>
          <w:sz w:val="20"/>
          <w:szCs w:val="20"/>
        </w:rPr>
        <w:t>rogram includes</w:t>
      </w:r>
      <w:r w:rsidR="00CD1FC3">
        <w:rPr>
          <w:rStyle w:val="normaltextrun"/>
          <w:rFonts w:ascii="Arial" w:eastAsiaTheme="majorEastAsia" w:hAnsi="Arial" w:cs="Arial"/>
          <w:sz w:val="20"/>
          <w:szCs w:val="20"/>
        </w:rPr>
        <w:t xml:space="preserve"> facilities in</w:t>
      </w:r>
      <w:r w:rsidRPr="20F35706">
        <w:rPr>
          <w:rStyle w:val="normaltextrun"/>
          <w:rFonts w:ascii="Arial" w:eastAsiaTheme="majorEastAsia" w:hAnsi="Arial" w:cs="Arial"/>
          <w:sz w:val="20"/>
          <w:szCs w:val="20"/>
        </w:rPr>
        <w:t xml:space="preserve"> 14 counties: Adams, Arapahoe, Boulder, Broomfield, Denver, Douglas, El Paso, Jefferson, La Plata, Larimer, Mesa, Montezuma, Pueblo, and Weld Counties. Data were reported weekly at the end of each MMWR week from 01/04/2020 to present day. For analysis, we included data through 03/30/2024. Data are subject to lags or spikes in values due to delays in health facility reporting, and data may be incomplete for the most recent week; however, data are not backfilled. To achieve a daily timestep, missing days were filled with the last observed value until the next posted value.</w:t>
      </w:r>
      <w:r w:rsidRPr="20F35706">
        <w:rPr>
          <w:rStyle w:val="eop"/>
          <w:rFonts w:ascii="Arial" w:eastAsiaTheme="majorEastAsia" w:hAnsi="Arial" w:cs="Arial"/>
          <w:sz w:val="20"/>
          <w:szCs w:val="20"/>
        </w:rPr>
        <w:t> </w:t>
      </w:r>
    </w:p>
    <w:p w14:paraId="1BB2F12E" w14:textId="77777777" w:rsidR="00952A38" w:rsidRPr="00952A38" w:rsidRDefault="00952A38" w:rsidP="20F35706">
      <w:pPr>
        <w:pStyle w:val="paragraph"/>
        <w:spacing w:before="0" w:beforeAutospacing="0" w:after="0" w:afterAutospacing="0" w:line="276" w:lineRule="auto"/>
        <w:textAlignment w:val="baseline"/>
        <w:rPr>
          <w:rFonts w:ascii="Arial" w:hAnsi="Arial" w:cs="Arial"/>
          <w:sz w:val="20"/>
          <w:szCs w:val="20"/>
        </w:rPr>
      </w:pPr>
    </w:p>
    <w:p w14:paraId="51836BE8" w14:textId="5E803669" w:rsidR="00952A38" w:rsidRPr="00C46A66" w:rsidRDefault="00952A38" w:rsidP="20F35706">
      <w:pPr>
        <w:pStyle w:val="paragraph"/>
        <w:spacing w:before="0" w:beforeAutospacing="0" w:after="0" w:afterAutospacing="0" w:line="276" w:lineRule="auto"/>
        <w:textAlignment w:val="baseline"/>
        <w:rPr>
          <w:rStyle w:val="eop"/>
          <w:rFonts w:ascii="Arial" w:eastAsiaTheme="majorEastAsia" w:hAnsi="Arial" w:cs="Arial"/>
          <w:sz w:val="20"/>
          <w:szCs w:val="20"/>
        </w:rPr>
      </w:pPr>
      <w:r w:rsidRPr="00213DE2">
        <w:rPr>
          <w:rStyle w:val="normaltextrun"/>
          <w:rFonts w:ascii="Arial" w:eastAsiaTheme="majorEastAsia" w:hAnsi="Arial" w:cs="Arial"/>
          <w:b/>
          <w:bCs/>
          <w:i/>
          <w:iCs/>
          <w:sz w:val="20"/>
          <w:szCs w:val="20"/>
        </w:rPr>
        <w:t>Reported Cases.</w:t>
      </w:r>
      <w:r w:rsidRPr="20F35706">
        <w:rPr>
          <w:rStyle w:val="normaltextrun"/>
          <w:rFonts w:ascii="Arial" w:eastAsiaTheme="majorEastAsia" w:hAnsi="Arial" w:cs="Arial"/>
          <w:b/>
          <w:bCs/>
          <w:i/>
          <w:iCs/>
          <w:sz w:val="20"/>
          <w:szCs w:val="20"/>
        </w:rPr>
        <w:t xml:space="preserve"> </w:t>
      </w:r>
      <w:r w:rsidRPr="20F35706">
        <w:rPr>
          <w:rStyle w:val="normaltextrun"/>
          <w:rFonts w:ascii="Arial" w:eastAsiaTheme="majorEastAsia" w:hAnsi="Arial" w:cs="Arial"/>
          <w:sz w:val="20"/>
          <w:szCs w:val="20"/>
        </w:rPr>
        <w:t>Reported cases represent the number of confirmed cases of SARS-CoV-2 by date reported via the Colorado Electronic Disease Reporting System (CEDRS) at CDPHE. We used publicly</w:t>
      </w:r>
      <w:r w:rsidR="306DB288" w:rsidRPr="20F35706">
        <w:rPr>
          <w:rStyle w:val="normaltextrun"/>
          <w:rFonts w:ascii="Arial" w:eastAsiaTheme="majorEastAsia" w:hAnsi="Arial" w:cs="Arial"/>
          <w:sz w:val="20"/>
          <w:szCs w:val="20"/>
        </w:rPr>
        <w:t xml:space="preserve"> posted </w:t>
      </w:r>
      <w:r w:rsidRPr="20F35706">
        <w:rPr>
          <w:rStyle w:val="normaltextrun"/>
          <w:rFonts w:ascii="Arial" w:eastAsiaTheme="majorEastAsia" w:hAnsi="Arial" w:cs="Arial"/>
          <w:sz w:val="20"/>
          <w:szCs w:val="20"/>
        </w:rPr>
        <w:t xml:space="preserve">files of daily reported case counts posted from 08/20/2020 </w:t>
      </w:r>
      <w:r w:rsidR="00D2365B" w:rsidRPr="6346E8B4">
        <w:rPr>
          <w:rFonts w:ascii="Arial" w:hAnsi="Arial" w:cs="Arial"/>
          <w:sz w:val="20"/>
          <w:szCs w:val="20"/>
        </w:rPr>
        <w:t>–</w:t>
      </w:r>
      <w:r w:rsidRPr="20F35706">
        <w:rPr>
          <w:rStyle w:val="normaltextrun"/>
          <w:rFonts w:ascii="Arial" w:eastAsiaTheme="majorEastAsia" w:hAnsi="Arial" w:cs="Arial"/>
          <w:sz w:val="20"/>
          <w:szCs w:val="20"/>
        </w:rPr>
        <w:t xml:space="preserve"> 05/09/2023. Cases were reported daily from 08/20/2020 </w:t>
      </w:r>
      <w:r w:rsidR="00D2365B" w:rsidRPr="6346E8B4">
        <w:rPr>
          <w:rFonts w:ascii="Arial" w:hAnsi="Arial" w:cs="Arial"/>
          <w:sz w:val="20"/>
          <w:szCs w:val="20"/>
        </w:rPr>
        <w:t>–</w:t>
      </w:r>
      <w:r w:rsidRPr="20F35706">
        <w:rPr>
          <w:rStyle w:val="normaltextrun"/>
          <w:rFonts w:ascii="Arial" w:eastAsiaTheme="majorEastAsia" w:hAnsi="Arial" w:cs="Arial"/>
          <w:sz w:val="20"/>
          <w:szCs w:val="20"/>
        </w:rPr>
        <w:t xml:space="preserve"> 07/16/2021; Monday through Friday from 07/19/2021 </w:t>
      </w:r>
      <w:r w:rsidR="00D2365B" w:rsidRPr="6346E8B4">
        <w:rPr>
          <w:rFonts w:ascii="Arial" w:hAnsi="Arial" w:cs="Arial"/>
          <w:sz w:val="20"/>
          <w:szCs w:val="20"/>
        </w:rPr>
        <w:t>–</w:t>
      </w:r>
      <w:r w:rsidRPr="20F35706">
        <w:rPr>
          <w:rStyle w:val="normaltextrun"/>
          <w:rFonts w:ascii="Arial" w:eastAsiaTheme="majorEastAsia" w:hAnsi="Arial" w:cs="Arial"/>
          <w:sz w:val="20"/>
          <w:szCs w:val="20"/>
        </w:rPr>
        <w:t xml:space="preserve"> 08/13/2021, daily from 08/16/2021 </w:t>
      </w:r>
      <w:r w:rsidR="00D2365B" w:rsidRPr="6346E8B4">
        <w:rPr>
          <w:rFonts w:ascii="Arial" w:hAnsi="Arial" w:cs="Arial"/>
          <w:sz w:val="20"/>
          <w:szCs w:val="20"/>
        </w:rPr>
        <w:t>–</w:t>
      </w:r>
      <w:r w:rsidRPr="20F35706">
        <w:rPr>
          <w:rStyle w:val="normaltextrun"/>
          <w:rFonts w:ascii="Arial" w:eastAsiaTheme="majorEastAsia" w:hAnsi="Arial" w:cs="Arial"/>
          <w:sz w:val="20"/>
          <w:szCs w:val="20"/>
        </w:rPr>
        <w:t xml:space="preserve"> 02/04/2022; Monday through Friday from 02/07/2022 </w:t>
      </w:r>
      <w:r w:rsidR="00D2365B" w:rsidRPr="6346E8B4">
        <w:rPr>
          <w:rFonts w:ascii="Arial" w:hAnsi="Arial" w:cs="Arial"/>
          <w:sz w:val="20"/>
          <w:szCs w:val="20"/>
        </w:rPr>
        <w:t>–</w:t>
      </w:r>
      <w:r w:rsidRPr="20F35706">
        <w:rPr>
          <w:rStyle w:val="normaltextrun"/>
          <w:rFonts w:ascii="Arial" w:eastAsiaTheme="majorEastAsia" w:hAnsi="Arial" w:cs="Arial"/>
          <w:sz w:val="20"/>
          <w:szCs w:val="20"/>
        </w:rPr>
        <w:t xml:space="preserve"> 05/09/2023. </w:t>
      </w:r>
      <w:r w:rsidR="56F10CB2" w:rsidRPr="20F35706">
        <w:rPr>
          <w:rStyle w:val="eop"/>
          <w:rFonts w:ascii="Arial" w:eastAsiaTheme="majorEastAsia" w:hAnsi="Arial" w:cs="Arial"/>
          <w:sz w:val="20"/>
          <w:szCs w:val="20"/>
        </w:rPr>
        <w:t xml:space="preserve">All posted files included </w:t>
      </w:r>
      <w:r w:rsidR="2AAD9F96" w:rsidRPr="20F35706">
        <w:rPr>
          <w:rStyle w:val="eop"/>
          <w:rFonts w:ascii="Arial" w:eastAsiaTheme="majorEastAsia" w:hAnsi="Arial" w:cs="Arial"/>
          <w:sz w:val="20"/>
          <w:szCs w:val="20"/>
        </w:rPr>
        <w:t>the number</w:t>
      </w:r>
      <w:r w:rsidR="56F10CB2" w:rsidRPr="20F35706">
        <w:rPr>
          <w:rStyle w:val="eop"/>
          <w:rFonts w:ascii="Arial" w:eastAsiaTheme="majorEastAsia" w:hAnsi="Arial" w:cs="Arial"/>
          <w:sz w:val="20"/>
          <w:szCs w:val="20"/>
        </w:rPr>
        <w:t xml:space="preserve"> of reported cases for each calendar date.</w:t>
      </w:r>
      <w:r w:rsidR="003A36AB">
        <w:rPr>
          <w:rStyle w:val="eop"/>
          <w:rFonts w:ascii="Arial" w:eastAsiaTheme="majorEastAsia" w:hAnsi="Arial" w:cs="Arial"/>
          <w:sz w:val="20"/>
          <w:szCs w:val="20"/>
        </w:rPr>
        <w:t xml:space="preserve"> </w:t>
      </w:r>
      <w:r w:rsidRPr="0DE0AD0A">
        <w:rPr>
          <w:rStyle w:val="normaltextrun"/>
          <w:rFonts w:ascii="Arial" w:eastAsiaTheme="majorEastAsia" w:hAnsi="Arial" w:cs="Arial"/>
          <w:sz w:val="20"/>
          <w:szCs w:val="20"/>
        </w:rPr>
        <w:t xml:space="preserve">There were data gaps during these periods. Data were missing for the periods </w:t>
      </w:r>
      <w:r w:rsidR="5BEEBB04" w:rsidRPr="0DE0AD0A">
        <w:rPr>
          <w:rStyle w:val="normaltextrun"/>
          <w:rFonts w:ascii="Arial" w:eastAsiaTheme="majorEastAsia" w:hAnsi="Arial" w:cs="Arial"/>
          <w:sz w:val="20"/>
          <w:szCs w:val="20"/>
        </w:rPr>
        <w:t xml:space="preserve">from </w:t>
      </w:r>
      <w:r w:rsidRPr="0DE0AD0A">
        <w:rPr>
          <w:rStyle w:val="normaltextrun"/>
          <w:rFonts w:ascii="Arial" w:eastAsiaTheme="majorEastAsia" w:hAnsi="Arial" w:cs="Arial"/>
          <w:sz w:val="20"/>
          <w:szCs w:val="20"/>
        </w:rPr>
        <w:t xml:space="preserve">08/13/2022 </w:t>
      </w:r>
      <w:r w:rsidR="004D70A4" w:rsidRPr="6346E8B4">
        <w:rPr>
          <w:rFonts w:ascii="Arial" w:hAnsi="Arial" w:cs="Arial"/>
          <w:sz w:val="20"/>
          <w:szCs w:val="20"/>
        </w:rPr>
        <w:t>–</w:t>
      </w:r>
      <w:r w:rsidRPr="0DE0AD0A">
        <w:rPr>
          <w:rStyle w:val="normaltextrun"/>
          <w:rFonts w:ascii="Arial" w:eastAsiaTheme="majorEastAsia" w:hAnsi="Arial" w:cs="Arial"/>
          <w:sz w:val="20"/>
          <w:szCs w:val="20"/>
        </w:rPr>
        <w:t xml:space="preserve"> 08/29/2022</w:t>
      </w:r>
      <w:r w:rsidR="00C46A66" w:rsidRPr="0DE0AD0A">
        <w:rPr>
          <w:rStyle w:val="normaltextrun"/>
          <w:rFonts w:ascii="Arial" w:eastAsiaTheme="majorEastAsia" w:hAnsi="Arial" w:cs="Arial"/>
          <w:sz w:val="20"/>
          <w:szCs w:val="20"/>
        </w:rPr>
        <w:t>,</w:t>
      </w:r>
      <w:r w:rsidRPr="0DE0AD0A">
        <w:rPr>
          <w:rStyle w:val="normaltextrun"/>
          <w:rFonts w:ascii="Arial" w:eastAsiaTheme="majorEastAsia" w:hAnsi="Arial" w:cs="Arial"/>
          <w:sz w:val="20"/>
          <w:szCs w:val="20"/>
        </w:rPr>
        <w:t xml:space="preserve"> and </w:t>
      </w:r>
      <w:r w:rsidR="5670C5AD" w:rsidRPr="0DE0AD0A">
        <w:rPr>
          <w:rStyle w:val="normaltextrun"/>
          <w:rFonts w:ascii="Arial" w:eastAsiaTheme="majorEastAsia" w:hAnsi="Arial" w:cs="Arial"/>
          <w:sz w:val="20"/>
          <w:szCs w:val="20"/>
        </w:rPr>
        <w:t xml:space="preserve">from </w:t>
      </w:r>
      <w:r w:rsidRPr="0DE0AD0A">
        <w:rPr>
          <w:rStyle w:val="normaltextrun"/>
          <w:rFonts w:ascii="Arial" w:eastAsiaTheme="majorEastAsia" w:hAnsi="Arial" w:cs="Arial"/>
          <w:sz w:val="20"/>
          <w:szCs w:val="20"/>
        </w:rPr>
        <w:t xml:space="preserve">10/28/2022 </w:t>
      </w:r>
      <w:r w:rsidR="004D70A4" w:rsidRPr="6346E8B4">
        <w:rPr>
          <w:rFonts w:ascii="Arial" w:hAnsi="Arial" w:cs="Arial"/>
          <w:sz w:val="20"/>
          <w:szCs w:val="20"/>
        </w:rPr>
        <w:t>–</w:t>
      </w:r>
      <w:r w:rsidRPr="0DE0AD0A">
        <w:rPr>
          <w:rStyle w:val="normaltextrun"/>
          <w:rFonts w:ascii="Arial" w:eastAsiaTheme="majorEastAsia" w:hAnsi="Arial" w:cs="Arial"/>
          <w:sz w:val="20"/>
          <w:szCs w:val="20"/>
        </w:rPr>
        <w:t xml:space="preserve"> 11/12/2022. These were filled using a dataset containing daily individual-level reported case</w:t>
      </w:r>
      <w:r w:rsidR="004D70A4">
        <w:rPr>
          <w:rStyle w:val="normaltextrun"/>
          <w:rFonts w:ascii="Arial" w:eastAsiaTheme="majorEastAsia" w:hAnsi="Arial" w:cs="Arial"/>
          <w:sz w:val="20"/>
          <w:szCs w:val="20"/>
        </w:rPr>
        <w:t>s,</w:t>
      </w:r>
      <w:r w:rsidRPr="0DE0AD0A">
        <w:rPr>
          <w:rStyle w:val="normaltextrun"/>
          <w:rFonts w:ascii="Arial" w:eastAsiaTheme="majorEastAsia" w:hAnsi="Arial" w:cs="Arial"/>
          <w:sz w:val="20"/>
          <w:szCs w:val="20"/>
        </w:rPr>
        <w:t xml:space="preserve"> received from CDPHE in April 2024</w:t>
      </w:r>
      <w:r w:rsidR="00C46A66" w:rsidRPr="0DE0AD0A">
        <w:rPr>
          <w:rStyle w:val="normaltextrun"/>
          <w:rFonts w:ascii="Arial" w:eastAsiaTheme="majorEastAsia" w:hAnsi="Arial" w:cs="Arial"/>
          <w:sz w:val="20"/>
          <w:szCs w:val="20"/>
        </w:rPr>
        <w:t xml:space="preserve">. </w:t>
      </w:r>
      <w:r w:rsidRPr="0DE0AD0A">
        <w:rPr>
          <w:rStyle w:val="normaltextrun"/>
          <w:rFonts w:ascii="Arial" w:eastAsiaTheme="majorEastAsia" w:hAnsi="Arial" w:cs="Arial"/>
          <w:sz w:val="20"/>
          <w:szCs w:val="20"/>
        </w:rPr>
        <w:t>To achieve daily estimates from this data source we calculated the cumulative sum for each report date that would be available on a specific calendar day using timestamps in the dataset for report date and case creation date.</w:t>
      </w:r>
      <w:r w:rsidRPr="0DE0AD0A">
        <w:rPr>
          <w:rStyle w:val="eop"/>
          <w:rFonts w:ascii="Arial" w:eastAsiaTheme="majorEastAsia" w:hAnsi="Arial" w:cs="Arial"/>
          <w:sz w:val="20"/>
          <w:szCs w:val="20"/>
        </w:rPr>
        <w:t> </w:t>
      </w:r>
    </w:p>
    <w:p w14:paraId="72D45A12" w14:textId="77777777" w:rsidR="00952A38" w:rsidRPr="00952A38" w:rsidRDefault="00952A38" w:rsidP="20F35706">
      <w:pPr>
        <w:pStyle w:val="paragraph"/>
        <w:spacing w:before="0" w:beforeAutospacing="0" w:after="0" w:afterAutospacing="0" w:line="276" w:lineRule="auto"/>
        <w:textAlignment w:val="baseline"/>
        <w:rPr>
          <w:rFonts w:ascii="Arial" w:hAnsi="Arial" w:cs="Arial"/>
          <w:sz w:val="20"/>
          <w:szCs w:val="20"/>
        </w:rPr>
      </w:pPr>
    </w:p>
    <w:p w14:paraId="5730F8E5" w14:textId="0022EB6A" w:rsidR="00952A38" w:rsidRPr="00C46A66" w:rsidRDefault="00952A38" w:rsidP="20F35706">
      <w:pPr>
        <w:pStyle w:val="paragraph"/>
        <w:spacing w:before="0" w:beforeAutospacing="0" w:after="0" w:afterAutospacing="0" w:line="276" w:lineRule="auto"/>
        <w:textAlignment w:val="baseline"/>
        <w:rPr>
          <w:rStyle w:val="normaltextrun"/>
          <w:rFonts w:ascii="Arial" w:eastAsiaTheme="majorEastAsia" w:hAnsi="Arial" w:cs="Arial"/>
          <w:sz w:val="20"/>
          <w:szCs w:val="20"/>
        </w:rPr>
      </w:pPr>
      <w:r w:rsidRPr="20F35706">
        <w:rPr>
          <w:rStyle w:val="normaltextrun"/>
          <w:rFonts w:ascii="Arial" w:eastAsiaTheme="majorEastAsia" w:hAnsi="Arial" w:cs="Arial"/>
          <w:sz w:val="20"/>
          <w:szCs w:val="20"/>
        </w:rPr>
        <w:lastRenderedPageBreak/>
        <w:t xml:space="preserve">Archived real-time reported </w:t>
      </w:r>
      <w:r w:rsidR="009A3E1E" w:rsidRPr="20F35706">
        <w:rPr>
          <w:rStyle w:val="normaltextrun"/>
          <w:rFonts w:ascii="Arial" w:eastAsiaTheme="majorEastAsia" w:hAnsi="Arial" w:cs="Arial"/>
          <w:sz w:val="20"/>
          <w:szCs w:val="20"/>
        </w:rPr>
        <w:t xml:space="preserve">state-wide </w:t>
      </w:r>
      <w:r w:rsidRPr="20F35706">
        <w:rPr>
          <w:rStyle w:val="normaltextrun"/>
          <w:rFonts w:ascii="Arial" w:eastAsiaTheme="majorEastAsia" w:hAnsi="Arial" w:cs="Arial"/>
          <w:sz w:val="20"/>
          <w:szCs w:val="20"/>
        </w:rPr>
        <w:t>case data were not available after 05/09/2023, so we retrospectively created</w:t>
      </w:r>
      <w:r w:rsidRPr="20F35706">
        <w:rPr>
          <w:rStyle w:val="normaltextrun"/>
          <w:rFonts w:ascii="Arial" w:eastAsiaTheme="majorEastAsia" w:hAnsi="Arial" w:cs="Arial"/>
          <w:strike/>
          <w:sz w:val="20"/>
          <w:szCs w:val="20"/>
        </w:rPr>
        <w:t xml:space="preserve"> </w:t>
      </w:r>
      <w:r w:rsidRPr="20F35706">
        <w:rPr>
          <w:rStyle w:val="normaltextrun"/>
          <w:rFonts w:ascii="Arial" w:eastAsiaTheme="majorEastAsia" w:hAnsi="Arial" w:cs="Arial"/>
          <w:sz w:val="20"/>
          <w:szCs w:val="20"/>
        </w:rPr>
        <w:t xml:space="preserve">daily reported case data from </w:t>
      </w:r>
      <w:r w:rsidR="00A47ACE" w:rsidRPr="20F35706">
        <w:rPr>
          <w:rStyle w:val="normaltextrun"/>
          <w:rFonts w:ascii="Arial" w:eastAsiaTheme="majorEastAsia" w:hAnsi="Arial" w:cs="Arial"/>
          <w:sz w:val="20"/>
          <w:szCs w:val="20"/>
        </w:rPr>
        <w:t xml:space="preserve">a line list of all reported cases from </w:t>
      </w:r>
      <w:r w:rsidRPr="20F35706">
        <w:rPr>
          <w:rStyle w:val="normaltextrun"/>
          <w:rFonts w:ascii="Arial" w:eastAsiaTheme="majorEastAsia" w:hAnsi="Arial" w:cs="Arial"/>
          <w:sz w:val="20"/>
          <w:szCs w:val="20"/>
        </w:rPr>
        <w:t xml:space="preserve">CEDRS </w:t>
      </w:r>
      <w:r w:rsidR="00A47ACE" w:rsidRPr="20F35706">
        <w:rPr>
          <w:rStyle w:val="normaltextrun"/>
          <w:rFonts w:ascii="Arial" w:eastAsiaTheme="majorEastAsia" w:hAnsi="Arial" w:cs="Arial"/>
          <w:sz w:val="20"/>
          <w:szCs w:val="20"/>
        </w:rPr>
        <w:t xml:space="preserve">obtained from CDPHE on </w:t>
      </w:r>
      <w:r w:rsidR="2DA1B508" w:rsidRPr="20F35706">
        <w:rPr>
          <w:rStyle w:val="normaltextrun"/>
          <w:rFonts w:ascii="Arial" w:eastAsiaTheme="majorEastAsia" w:hAnsi="Arial" w:cs="Arial"/>
          <w:sz w:val="20"/>
          <w:szCs w:val="20"/>
        </w:rPr>
        <w:t>0</w:t>
      </w:r>
      <w:r w:rsidR="00A47ACE" w:rsidRPr="20F35706">
        <w:rPr>
          <w:rStyle w:val="normaltextrun"/>
          <w:rFonts w:ascii="Arial" w:eastAsiaTheme="majorEastAsia" w:hAnsi="Arial" w:cs="Arial"/>
          <w:sz w:val="20"/>
          <w:szCs w:val="20"/>
        </w:rPr>
        <w:t>4/30/2024.</w:t>
      </w:r>
      <w:r w:rsidR="00C82F0F" w:rsidRPr="20F35706">
        <w:rPr>
          <w:rStyle w:val="normaltextrun"/>
          <w:rFonts w:ascii="Arial" w:eastAsiaTheme="majorEastAsia" w:hAnsi="Arial" w:cs="Arial"/>
          <w:sz w:val="20"/>
          <w:szCs w:val="20"/>
        </w:rPr>
        <w:t xml:space="preserve"> This dataset was used to generate estimates of real-time reported cases </w:t>
      </w:r>
      <w:r w:rsidR="00A47ACE" w:rsidRPr="20F35706">
        <w:rPr>
          <w:rStyle w:val="normaltextrun"/>
          <w:rFonts w:ascii="Arial" w:eastAsiaTheme="majorEastAsia" w:hAnsi="Arial" w:cs="Arial"/>
          <w:sz w:val="20"/>
          <w:szCs w:val="20"/>
        </w:rPr>
        <w:t xml:space="preserve">for the time period </w:t>
      </w:r>
      <w:r w:rsidRPr="20F35706">
        <w:rPr>
          <w:rStyle w:val="normaltextrun"/>
          <w:rFonts w:ascii="Arial" w:eastAsiaTheme="majorEastAsia" w:hAnsi="Arial" w:cs="Arial"/>
          <w:sz w:val="20"/>
          <w:szCs w:val="20"/>
        </w:rPr>
        <w:t xml:space="preserve">05/10/2023 </w:t>
      </w:r>
      <w:r w:rsidR="006B0472" w:rsidRPr="6346E8B4">
        <w:rPr>
          <w:rFonts w:ascii="Arial" w:hAnsi="Arial" w:cs="Arial"/>
          <w:sz w:val="20"/>
          <w:szCs w:val="20"/>
        </w:rPr>
        <w:t>–</w:t>
      </w:r>
      <w:r w:rsidRPr="20F35706">
        <w:rPr>
          <w:rStyle w:val="normaltextrun"/>
          <w:rFonts w:ascii="Arial" w:eastAsiaTheme="majorEastAsia" w:hAnsi="Arial" w:cs="Arial"/>
          <w:sz w:val="20"/>
          <w:szCs w:val="20"/>
        </w:rPr>
        <w:t xml:space="preserve"> </w:t>
      </w:r>
      <w:r w:rsidR="77A53B13" w:rsidRPr="20F35706">
        <w:rPr>
          <w:rStyle w:val="normaltextrun"/>
          <w:rFonts w:ascii="Arial" w:eastAsiaTheme="majorEastAsia" w:hAnsi="Arial" w:cs="Arial"/>
          <w:sz w:val="20"/>
          <w:szCs w:val="20"/>
        </w:rPr>
        <w:t>0</w:t>
      </w:r>
      <w:r w:rsidRPr="20F35706">
        <w:rPr>
          <w:rStyle w:val="normaltextrun"/>
          <w:rFonts w:ascii="Arial" w:eastAsiaTheme="majorEastAsia" w:hAnsi="Arial" w:cs="Arial"/>
          <w:sz w:val="20"/>
          <w:szCs w:val="20"/>
        </w:rPr>
        <w:t>3/30/2024</w:t>
      </w:r>
      <w:r w:rsidR="7AD6BA20" w:rsidRPr="20F35706">
        <w:rPr>
          <w:rStyle w:val="normaltextrun"/>
          <w:rFonts w:ascii="Arial" w:eastAsiaTheme="majorEastAsia" w:hAnsi="Arial" w:cs="Arial"/>
          <w:sz w:val="20"/>
          <w:szCs w:val="20"/>
        </w:rPr>
        <w:t>, using the same method for the missing data in 2022</w:t>
      </w:r>
      <w:r w:rsidRPr="20F35706">
        <w:rPr>
          <w:rStyle w:val="normaltextrun"/>
          <w:rFonts w:ascii="Arial" w:eastAsiaTheme="majorEastAsia" w:hAnsi="Arial" w:cs="Arial"/>
          <w:sz w:val="20"/>
          <w:szCs w:val="20"/>
        </w:rPr>
        <w:t xml:space="preserve">. </w:t>
      </w:r>
    </w:p>
    <w:p w14:paraId="1DFBA575" w14:textId="77777777" w:rsidR="00C46A66" w:rsidRPr="00213DE2" w:rsidRDefault="00C46A66" w:rsidP="20F35706">
      <w:pPr>
        <w:pStyle w:val="paragraph"/>
        <w:spacing w:before="0" w:beforeAutospacing="0" w:after="0" w:afterAutospacing="0" w:line="276" w:lineRule="auto"/>
        <w:textAlignment w:val="baseline"/>
        <w:rPr>
          <w:rFonts w:ascii="Arial" w:hAnsi="Arial" w:cs="Arial"/>
          <w:i/>
          <w:iCs/>
          <w:sz w:val="20"/>
          <w:szCs w:val="20"/>
        </w:rPr>
      </w:pPr>
    </w:p>
    <w:p w14:paraId="69A0AD2E" w14:textId="510F20A4" w:rsidR="00952A38" w:rsidRDefault="00952A38" w:rsidP="20F35706">
      <w:pPr>
        <w:pStyle w:val="paragraph"/>
        <w:spacing w:before="0" w:beforeAutospacing="0" w:after="0" w:afterAutospacing="0" w:line="276" w:lineRule="auto"/>
        <w:textAlignment w:val="baseline"/>
        <w:rPr>
          <w:rStyle w:val="eop"/>
          <w:rFonts w:ascii="Arial" w:eastAsiaTheme="majorEastAsia" w:hAnsi="Arial" w:cs="Arial"/>
          <w:sz w:val="20"/>
          <w:szCs w:val="20"/>
        </w:rPr>
      </w:pPr>
      <w:r w:rsidRPr="00213DE2">
        <w:rPr>
          <w:rStyle w:val="normaltextrun"/>
          <w:rFonts w:ascii="Arial" w:eastAsiaTheme="majorEastAsia" w:hAnsi="Arial" w:cs="Arial"/>
          <w:b/>
          <w:bCs/>
          <w:i/>
          <w:iCs/>
          <w:sz w:val="20"/>
          <w:szCs w:val="20"/>
        </w:rPr>
        <w:t>SARS-CoV-2 in Wastewater.</w:t>
      </w:r>
      <w:r w:rsidRPr="20F35706">
        <w:rPr>
          <w:rStyle w:val="normaltextrun"/>
          <w:rFonts w:ascii="Arial" w:eastAsiaTheme="majorEastAsia" w:hAnsi="Arial" w:cs="Arial"/>
          <w:b/>
          <w:bCs/>
          <w:sz w:val="20"/>
          <w:szCs w:val="20"/>
        </w:rPr>
        <w:t xml:space="preserve"> </w:t>
      </w:r>
      <w:r w:rsidRPr="20F35706">
        <w:rPr>
          <w:rStyle w:val="normaltextrun"/>
          <w:rFonts w:ascii="Arial" w:eastAsiaTheme="majorEastAsia" w:hAnsi="Arial" w:cs="Arial"/>
          <w:sz w:val="20"/>
          <w:szCs w:val="20"/>
        </w:rPr>
        <w:t xml:space="preserve">Wastewater data were obtained from the </w:t>
      </w:r>
      <w:r w:rsidRPr="20F35706">
        <w:rPr>
          <w:rStyle w:val="normaltextrun"/>
          <w:rFonts w:ascii="Arial" w:eastAsiaTheme="majorEastAsia" w:hAnsi="Arial" w:cs="Arial"/>
          <w:color w:val="000000" w:themeColor="text1"/>
          <w:sz w:val="20"/>
          <w:szCs w:val="20"/>
        </w:rPr>
        <w:t xml:space="preserve">Colorado Wastewater Surveillance </w:t>
      </w:r>
      <w:r w:rsidR="004821CB" w:rsidRPr="20F35706">
        <w:rPr>
          <w:rStyle w:val="normaltextrun"/>
          <w:rFonts w:ascii="Arial" w:eastAsiaTheme="majorEastAsia" w:hAnsi="Arial" w:cs="Arial"/>
          <w:color w:val="000000" w:themeColor="text1"/>
          <w:sz w:val="20"/>
          <w:szCs w:val="20"/>
        </w:rPr>
        <w:t>Program</w:t>
      </w:r>
      <w:r w:rsidRPr="20F35706">
        <w:rPr>
          <w:rStyle w:val="normaltextrun"/>
          <w:rFonts w:ascii="Arial" w:eastAsiaTheme="majorEastAsia" w:hAnsi="Arial" w:cs="Arial"/>
          <w:color w:val="000000" w:themeColor="text1"/>
          <w:sz w:val="20"/>
          <w:szCs w:val="20"/>
        </w:rPr>
        <w:t xml:space="preserve">. Data are posted publicly twice a week by utility (available: </w:t>
      </w:r>
      <w:hyperlink r:id="rId8">
        <w:r w:rsidR="004821CB" w:rsidRPr="20F35706">
          <w:rPr>
            <w:rStyle w:val="Hyperlink"/>
            <w:rFonts w:ascii="Arial" w:hAnsi="Arial" w:cs="Arial"/>
            <w:sz w:val="20"/>
            <w:szCs w:val="20"/>
          </w:rPr>
          <w:t>https://cdphe.maps.arcgis.com/apps/dashboards/d79cf93c3938470ca4bcc4823328946b</w:t>
        </w:r>
      </w:hyperlink>
      <w:r w:rsidRPr="20F35706">
        <w:rPr>
          <w:rStyle w:val="normaltextrun"/>
          <w:rFonts w:ascii="Arial" w:eastAsiaTheme="majorEastAsia" w:hAnsi="Arial" w:cs="Arial"/>
          <w:color w:val="000000" w:themeColor="text1"/>
          <w:sz w:val="20"/>
          <w:szCs w:val="20"/>
        </w:rPr>
        <w:t>). To generate an estimate of state-wide wastewater trends, we use</w:t>
      </w:r>
      <w:r w:rsidR="004821CB" w:rsidRPr="20F35706">
        <w:rPr>
          <w:rStyle w:val="normaltextrun"/>
          <w:rFonts w:ascii="Arial" w:eastAsiaTheme="majorEastAsia" w:hAnsi="Arial" w:cs="Arial"/>
          <w:color w:val="000000" w:themeColor="text1"/>
          <w:sz w:val="20"/>
          <w:szCs w:val="20"/>
        </w:rPr>
        <w:t>d</w:t>
      </w:r>
      <w:r w:rsidRPr="20F35706">
        <w:rPr>
          <w:rStyle w:val="normaltextrun"/>
          <w:rFonts w:ascii="Arial" w:eastAsiaTheme="majorEastAsia" w:hAnsi="Arial" w:cs="Arial"/>
          <w:color w:val="000000" w:themeColor="text1"/>
          <w:sz w:val="20"/>
          <w:szCs w:val="20"/>
        </w:rPr>
        <w:t xml:space="preserve"> the above public dataset in conjunction with per-facility population and flow-rate information provided by CDPHE to generate flow-population normalized time series for each facility. For each facility and measurement, flow normalized measurements </w:t>
      </w:r>
      <w:r w:rsidR="004821CB" w:rsidRPr="20F35706">
        <w:rPr>
          <w:rStyle w:val="normaltextrun"/>
          <w:rFonts w:ascii="Arial" w:eastAsiaTheme="majorEastAsia" w:hAnsi="Arial" w:cs="Arial"/>
          <w:color w:val="000000" w:themeColor="text1"/>
          <w:sz w:val="20"/>
          <w:szCs w:val="20"/>
        </w:rPr>
        <w:t>were</w:t>
      </w:r>
      <w:r w:rsidRPr="20F35706">
        <w:rPr>
          <w:rStyle w:val="normaltextrun"/>
          <w:rFonts w:ascii="Arial" w:eastAsiaTheme="majorEastAsia" w:hAnsi="Arial" w:cs="Arial"/>
          <w:color w:val="000000" w:themeColor="text1"/>
          <w:sz w:val="20"/>
          <w:szCs w:val="20"/>
        </w:rPr>
        <w:t xml:space="preserve"> calculated by multiplying the raw concentration by the flow rate, and then dividing by the population served by that facility.  After normalization, we applied a second normalization step, based on the CDC’s Wastewater Viral Activity Level (WVAL) algorithm (available: </w:t>
      </w:r>
      <w:hyperlink r:id="rId9">
        <w:r w:rsidRPr="20F35706">
          <w:rPr>
            <w:rStyle w:val="normaltextrun"/>
            <w:rFonts w:ascii="Arial" w:eastAsiaTheme="majorEastAsia" w:hAnsi="Arial" w:cs="Arial"/>
            <w:color w:val="467886"/>
            <w:sz w:val="20"/>
            <w:szCs w:val="20"/>
            <w:u w:val="single"/>
          </w:rPr>
          <w:t>https://www.cdc.gov/nwss/about-data.html</w:t>
        </w:r>
      </w:hyperlink>
      <w:r w:rsidRPr="20F35706">
        <w:rPr>
          <w:rStyle w:val="normaltextrun"/>
          <w:rFonts w:ascii="Arial" w:eastAsiaTheme="majorEastAsia" w:hAnsi="Arial" w:cs="Arial"/>
          <w:color w:val="000000" w:themeColor="text1"/>
          <w:sz w:val="20"/>
          <w:szCs w:val="20"/>
        </w:rPr>
        <w:t>). This normalization transforms concentration values into standard deviations from a baseline calculated from the 10</w:t>
      </w:r>
      <w:r w:rsidRPr="20F35706">
        <w:rPr>
          <w:rStyle w:val="normaltextrun"/>
          <w:rFonts w:ascii="Arial" w:eastAsiaTheme="majorEastAsia" w:hAnsi="Arial" w:cs="Arial"/>
          <w:color w:val="000000" w:themeColor="text1"/>
          <w:sz w:val="20"/>
          <w:szCs w:val="20"/>
          <w:vertAlign w:val="superscript"/>
        </w:rPr>
        <w:t>th</w:t>
      </w:r>
      <w:r w:rsidRPr="20F35706">
        <w:rPr>
          <w:rStyle w:val="normaltextrun"/>
          <w:rFonts w:ascii="Arial" w:eastAsiaTheme="majorEastAsia" w:hAnsi="Arial" w:cs="Arial"/>
          <w:color w:val="000000" w:themeColor="text1"/>
          <w:sz w:val="20"/>
          <w:szCs w:val="20"/>
        </w:rPr>
        <w:t xml:space="preserve"> percentile of historical wastewater measurements from the previous 12 months. This step reduces issues with comparing/aggregating values between facilities and between reporting stages. After normalization, we create</w:t>
      </w:r>
      <w:r w:rsidR="004821CB" w:rsidRPr="20F35706">
        <w:rPr>
          <w:rStyle w:val="normaltextrun"/>
          <w:rFonts w:ascii="Arial" w:eastAsiaTheme="majorEastAsia" w:hAnsi="Arial" w:cs="Arial"/>
          <w:color w:val="000000" w:themeColor="text1"/>
          <w:sz w:val="20"/>
          <w:szCs w:val="20"/>
        </w:rPr>
        <w:t>d</w:t>
      </w:r>
      <w:r w:rsidRPr="20F35706">
        <w:rPr>
          <w:rStyle w:val="normaltextrun"/>
          <w:rFonts w:ascii="Arial" w:eastAsiaTheme="majorEastAsia" w:hAnsi="Arial" w:cs="Arial"/>
          <w:color w:val="000000" w:themeColor="text1"/>
          <w:sz w:val="20"/>
          <w:szCs w:val="20"/>
        </w:rPr>
        <w:t xml:space="preserve"> weekly values for each facility/reporting stage by taking the median of the </w:t>
      </w:r>
      <w:r w:rsidRPr="20F35706">
        <w:rPr>
          <w:rStyle w:val="normaltextrun"/>
          <w:rFonts w:ascii="Arial" w:eastAsiaTheme="majorEastAsia" w:hAnsi="Arial" w:cs="Arial"/>
          <w:sz w:val="20"/>
          <w:szCs w:val="20"/>
        </w:rPr>
        <w:t xml:space="preserve">recorded </w:t>
      </w:r>
      <w:r w:rsidR="00C46A66" w:rsidRPr="20F35706">
        <w:rPr>
          <w:rStyle w:val="normaltextrun"/>
          <w:rFonts w:ascii="Arial" w:eastAsiaTheme="majorEastAsia" w:hAnsi="Arial" w:cs="Arial"/>
          <w:sz w:val="20"/>
          <w:szCs w:val="20"/>
        </w:rPr>
        <w:t xml:space="preserve">values </w:t>
      </w:r>
      <w:r w:rsidRPr="20F35706">
        <w:rPr>
          <w:rStyle w:val="normaltextrun"/>
          <w:rFonts w:ascii="Arial" w:eastAsiaTheme="majorEastAsia" w:hAnsi="Arial" w:cs="Arial"/>
          <w:sz w:val="20"/>
          <w:szCs w:val="20"/>
        </w:rPr>
        <w:t>and generate statewide weekly values by taking the median across the weekly values from all facilities. After normalization, these values are averaged over time to generate a state-wide aggregate time series following methods provided</w:t>
      </w:r>
      <w:r w:rsidRPr="20F35706">
        <w:rPr>
          <w:rStyle w:val="normaltextrun"/>
          <w:rFonts w:ascii="Arial" w:eastAsiaTheme="majorEastAsia" w:hAnsi="Arial" w:cs="Arial"/>
          <w:color w:val="000000" w:themeColor="text1"/>
          <w:sz w:val="20"/>
          <w:szCs w:val="20"/>
        </w:rPr>
        <w:t xml:space="preserve"> by CDC. </w:t>
      </w:r>
      <w:r w:rsidRPr="20F35706">
        <w:rPr>
          <w:rStyle w:val="normaltextrun"/>
          <w:rFonts w:ascii="Arial" w:eastAsiaTheme="majorEastAsia" w:hAnsi="Arial" w:cs="Arial"/>
          <w:sz w:val="20"/>
          <w:szCs w:val="20"/>
        </w:rPr>
        <w:t xml:space="preserve">For analysis, observations were lagged </w:t>
      </w:r>
      <w:r w:rsidR="00F27E60" w:rsidRPr="20F35706">
        <w:rPr>
          <w:rStyle w:val="normaltextrun"/>
          <w:rFonts w:ascii="Arial" w:eastAsiaTheme="majorEastAsia" w:hAnsi="Arial" w:cs="Arial"/>
          <w:sz w:val="20"/>
          <w:szCs w:val="20"/>
        </w:rPr>
        <w:t xml:space="preserve">four </w:t>
      </w:r>
      <w:r w:rsidRPr="20F35706">
        <w:rPr>
          <w:rStyle w:val="normaltextrun"/>
          <w:rFonts w:ascii="Arial" w:eastAsiaTheme="majorEastAsia" w:hAnsi="Arial" w:cs="Arial"/>
          <w:sz w:val="20"/>
          <w:szCs w:val="20"/>
        </w:rPr>
        <w:t xml:space="preserve">days to account for the time between sample collection and report date. To achieve a daily timestep, missing days were filled with the last observed value. </w:t>
      </w:r>
    </w:p>
    <w:p w14:paraId="290AC316" w14:textId="77777777" w:rsidR="00952A38" w:rsidRPr="00952A38" w:rsidRDefault="00952A38" w:rsidP="20F35706">
      <w:pPr>
        <w:pStyle w:val="paragraph"/>
        <w:spacing w:before="0" w:beforeAutospacing="0" w:after="0" w:afterAutospacing="0" w:line="276" w:lineRule="auto"/>
        <w:textAlignment w:val="baseline"/>
        <w:rPr>
          <w:rFonts w:ascii="Arial" w:hAnsi="Arial" w:cs="Arial"/>
          <w:sz w:val="20"/>
          <w:szCs w:val="20"/>
        </w:rPr>
      </w:pPr>
    </w:p>
    <w:p w14:paraId="65484166" w14:textId="000BB40F" w:rsidR="00952A38" w:rsidRDefault="00952A38" w:rsidP="00275975">
      <w:pPr>
        <w:spacing w:after="0" w:line="276" w:lineRule="auto"/>
        <w:textAlignment w:val="baseline"/>
        <w:rPr>
          <w:rFonts w:ascii="Arial" w:eastAsia="Arial" w:hAnsi="Arial" w:cs="Arial"/>
          <w:color w:val="000000" w:themeColor="text1"/>
          <w:sz w:val="20"/>
          <w:szCs w:val="20"/>
        </w:rPr>
      </w:pPr>
      <w:r w:rsidRPr="0DE0AD0A">
        <w:rPr>
          <w:rStyle w:val="normaltextrun"/>
          <w:rFonts w:ascii="Arial" w:eastAsiaTheme="majorEastAsia" w:hAnsi="Arial" w:cs="Arial"/>
          <w:b/>
          <w:bCs/>
          <w:i/>
          <w:iCs/>
          <w:sz w:val="20"/>
          <w:szCs w:val="20"/>
        </w:rPr>
        <w:t>COVID-19 Sentinel Test Positivity.</w:t>
      </w:r>
      <w:r w:rsidRPr="0DE0AD0A">
        <w:rPr>
          <w:rStyle w:val="normaltextrun"/>
          <w:rFonts w:ascii="Arial" w:eastAsiaTheme="majorEastAsia" w:hAnsi="Arial" w:cs="Arial"/>
          <w:sz w:val="20"/>
          <w:szCs w:val="20"/>
        </w:rPr>
        <w:t xml:space="preserve"> </w:t>
      </w:r>
      <w:r w:rsidR="200A5D2F" w:rsidRPr="0DE0AD0A">
        <w:rPr>
          <w:rFonts w:ascii="Arial" w:eastAsia="Arial" w:hAnsi="Arial" w:cs="Arial"/>
          <w:color w:val="000000" w:themeColor="text1"/>
          <w:sz w:val="20"/>
          <w:szCs w:val="20"/>
          <w:lang w:val="en"/>
        </w:rPr>
        <w:t>COVID-19 sentinel test positivity represents the percentage of COVID-19 diagnostic tests given at sentinel sites over a 7-day period that return a positive result. The Colorado COVID-19 sentinel surveillance testing system includes</w:t>
      </w:r>
      <w:r w:rsidR="00DA503A">
        <w:rPr>
          <w:rFonts w:ascii="Arial" w:eastAsia="Arial" w:hAnsi="Arial" w:cs="Arial"/>
          <w:color w:val="000000" w:themeColor="text1"/>
          <w:sz w:val="20"/>
          <w:szCs w:val="20"/>
          <w:lang w:val="en"/>
        </w:rPr>
        <w:t xml:space="preserve"> participating</w:t>
      </w:r>
      <w:r w:rsidR="200A5D2F" w:rsidRPr="0DE0AD0A">
        <w:rPr>
          <w:rFonts w:ascii="Arial" w:eastAsia="Arial" w:hAnsi="Arial" w:cs="Arial"/>
          <w:color w:val="000000" w:themeColor="text1"/>
          <w:sz w:val="20"/>
          <w:szCs w:val="20"/>
          <w:lang w:val="en"/>
        </w:rPr>
        <w:t xml:space="preserve"> facilities across the state that administer both nucleic acid amplification tests (NAAT) and antigen tests. NAAT is defined as molecular assays, primarily reverse transcription polymerase chain reaction (RT-PCR). Sentinel test positivity data is reported weekly at the end of each MMWR week. </w:t>
      </w:r>
      <w:r w:rsidR="200A5D2F" w:rsidRPr="0DE0AD0A">
        <w:rPr>
          <w:rFonts w:ascii="Arial" w:eastAsia="Arial" w:hAnsi="Arial" w:cs="Arial"/>
          <w:color w:val="000000" w:themeColor="text1"/>
          <w:sz w:val="20"/>
          <w:szCs w:val="20"/>
        </w:rPr>
        <w:t xml:space="preserve">Sentinel test positivity data were obtained from CDPHE and include data from 09/27/2020 </w:t>
      </w:r>
      <w:r w:rsidR="007B6007" w:rsidRPr="6346E8B4">
        <w:rPr>
          <w:rFonts w:ascii="Arial" w:eastAsia="Times New Roman" w:hAnsi="Arial" w:cs="Arial"/>
          <w:sz w:val="20"/>
          <w:szCs w:val="20"/>
        </w:rPr>
        <w:t>–</w:t>
      </w:r>
      <w:r w:rsidR="200A5D2F" w:rsidRPr="0DE0AD0A">
        <w:rPr>
          <w:rFonts w:ascii="Arial" w:eastAsia="Arial" w:hAnsi="Arial" w:cs="Arial"/>
          <w:color w:val="000000" w:themeColor="text1"/>
          <w:sz w:val="20"/>
          <w:szCs w:val="20"/>
        </w:rPr>
        <w:t xml:space="preserve"> 04/28/2024</w:t>
      </w:r>
      <w:r w:rsidR="0613834E" w:rsidRPr="0DE0AD0A">
        <w:rPr>
          <w:rFonts w:ascii="Arial" w:eastAsia="Arial" w:hAnsi="Arial" w:cs="Arial"/>
          <w:color w:val="000000" w:themeColor="text1"/>
          <w:sz w:val="20"/>
          <w:szCs w:val="20"/>
        </w:rPr>
        <w:t xml:space="preserve">. </w:t>
      </w:r>
      <w:r w:rsidR="200A5D2F" w:rsidRPr="0DE0AD0A">
        <w:rPr>
          <w:rFonts w:ascii="Arial" w:eastAsia="Arial" w:hAnsi="Arial" w:cs="Arial"/>
          <w:color w:val="000000" w:themeColor="text1"/>
          <w:sz w:val="20"/>
          <w:szCs w:val="20"/>
        </w:rPr>
        <w:t>Sentinel positivity was calculated for the entire state as the sum of positive NAAT and antigen tests divided by the sum of total NAAT and antigen tests across all participating facilities for each MMWR week. We included missing or unnamed facilities that still had a valid count. If either total or positive test count was missing from a facility during a given week, that facility’s data was excluded for that week. Test positivity for the weeks of 11/29/2020 and 12/2</w:t>
      </w:r>
      <w:r w:rsidR="680C65B7" w:rsidRPr="0DE0AD0A">
        <w:rPr>
          <w:rFonts w:ascii="Arial" w:eastAsia="Arial" w:hAnsi="Arial" w:cs="Arial"/>
          <w:color w:val="000000" w:themeColor="text1"/>
          <w:sz w:val="20"/>
          <w:szCs w:val="20"/>
        </w:rPr>
        <w:t>7/2020</w:t>
      </w:r>
      <w:r w:rsidR="200A5D2F" w:rsidRPr="0DE0AD0A">
        <w:rPr>
          <w:rFonts w:ascii="Arial" w:eastAsia="Arial" w:hAnsi="Arial" w:cs="Arial"/>
          <w:color w:val="000000" w:themeColor="text1"/>
          <w:sz w:val="20"/>
          <w:szCs w:val="20"/>
        </w:rPr>
        <w:t xml:space="preserve"> were missing from the dataset; for these weeks, we used the value from the prior week. Data </w:t>
      </w:r>
      <w:bookmarkStart w:id="0" w:name="_Int_5BoZfUny"/>
      <w:r w:rsidR="200A5D2F" w:rsidRPr="0DE0AD0A">
        <w:rPr>
          <w:rFonts w:ascii="Arial" w:eastAsia="Arial" w:hAnsi="Arial" w:cs="Arial"/>
          <w:color w:val="000000" w:themeColor="text1"/>
          <w:sz w:val="20"/>
          <w:szCs w:val="20"/>
        </w:rPr>
        <w:t>are</w:t>
      </w:r>
      <w:bookmarkEnd w:id="0"/>
      <w:r w:rsidR="200A5D2F" w:rsidRPr="0DE0AD0A">
        <w:rPr>
          <w:rFonts w:ascii="Arial" w:eastAsia="Arial" w:hAnsi="Arial" w:cs="Arial"/>
          <w:color w:val="000000" w:themeColor="text1"/>
          <w:sz w:val="20"/>
          <w:szCs w:val="20"/>
        </w:rPr>
        <w:t xml:space="preserve"> not backfilled. To achieve a daily timestep, missing days were filled with the last observed value.</w:t>
      </w:r>
    </w:p>
    <w:p w14:paraId="7140FA35" w14:textId="77777777" w:rsidR="006000FB" w:rsidRDefault="006000FB" w:rsidP="00275975">
      <w:pPr>
        <w:spacing w:after="0" w:line="276" w:lineRule="auto"/>
        <w:textAlignment w:val="baseline"/>
        <w:rPr>
          <w:rFonts w:ascii="Arial" w:eastAsia="Arial" w:hAnsi="Arial" w:cs="Arial"/>
          <w:color w:val="000000" w:themeColor="text1"/>
          <w:sz w:val="20"/>
          <w:szCs w:val="20"/>
        </w:rPr>
      </w:pPr>
    </w:p>
    <w:p w14:paraId="63FE08DB" w14:textId="66EFF7D7" w:rsidR="00952A38" w:rsidRPr="0036350E" w:rsidRDefault="00952A38" w:rsidP="0036350E">
      <w:pPr>
        <w:spacing w:after="0" w:line="276" w:lineRule="auto"/>
        <w:rPr>
          <w:rFonts w:ascii="Arial" w:eastAsia="Arial" w:hAnsi="Arial" w:cs="Arial"/>
          <w:sz w:val="20"/>
          <w:szCs w:val="20"/>
        </w:rPr>
      </w:pPr>
      <w:r w:rsidRPr="0DE0AD0A">
        <w:rPr>
          <w:rStyle w:val="normaltextrun"/>
          <w:rFonts w:ascii="Arial" w:eastAsiaTheme="majorEastAsia" w:hAnsi="Arial" w:cs="Arial"/>
          <w:b/>
          <w:bCs/>
          <w:i/>
          <w:iCs/>
          <w:sz w:val="20"/>
          <w:szCs w:val="20"/>
        </w:rPr>
        <w:t xml:space="preserve">COVID-19 Statewide Test Positivity. </w:t>
      </w:r>
      <w:r w:rsidR="6495BFF3" w:rsidRPr="0DE0AD0A">
        <w:rPr>
          <w:rFonts w:ascii="Arial" w:eastAsia="Arial" w:hAnsi="Arial" w:cs="Arial"/>
          <w:sz w:val="20"/>
          <w:szCs w:val="20"/>
        </w:rPr>
        <w:t>COVID-19 statewide test positivity is the percentage of NAAT COVID-19 diagnostic tests performed that return a positive result, calculated as a 7-day moving average. Rapid antigen tests are not reported in this dataset. Data were obtained from CDPHE through ELR and include laboratory reports from CDPHE’s state laboratory and commercial laboratories in Colorado. During the PHE, laboratories were required to report all NAAT results, including positive, negative, and inconclusive results</w:t>
      </w:r>
      <w:r w:rsidR="0055760B">
        <w:rPr>
          <w:rFonts w:ascii="Arial" w:eastAsia="Arial" w:hAnsi="Arial" w:cs="Arial"/>
          <w:sz w:val="20"/>
          <w:szCs w:val="20"/>
        </w:rPr>
        <w:t>,</w:t>
      </w:r>
      <w:r w:rsidR="00A16335">
        <w:rPr>
          <w:rStyle w:val="FootnoteReference"/>
          <w:rFonts w:ascii="Arial" w:eastAsia="Arial" w:hAnsi="Arial" w:cs="Arial"/>
          <w:sz w:val="20"/>
          <w:szCs w:val="20"/>
        </w:rPr>
        <w:footnoteReference w:id="2"/>
      </w:r>
      <w:r w:rsidR="6495BFF3" w:rsidRPr="0DE0AD0A">
        <w:rPr>
          <w:rFonts w:ascii="Arial" w:eastAsia="Arial" w:hAnsi="Arial" w:cs="Arial"/>
          <w:sz w:val="20"/>
          <w:szCs w:val="20"/>
        </w:rPr>
        <w:t xml:space="preserve"> and at the time of writing, positive and negative NAAT results in most settings in the state of Colorado are still required to be reported to CDPHE</w:t>
      </w:r>
      <w:r w:rsidR="0055760B">
        <w:rPr>
          <w:rFonts w:ascii="Arial" w:eastAsia="Arial" w:hAnsi="Arial" w:cs="Arial"/>
          <w:sz w:val="20"/>
          <w:szCs w:val="20"/>
        </w:rPr>
        <w:t>.</w:t>
      </w:r>
      <w:r w:rsidR="00A16335">
        <w:rPr>
          <w:rStyle w:val="FootnoteReference"/>
          <w:rFonts w:ascii="Arial" w:eastAsia="Arial" w:hAnsi="Arial" w:cs="Arial"/>
          <w:sz w:val="20"/>
          <w:szCs w:val="20"/>
        </w:rPr>
        <w:footnoteReference w:id="3"/>
      </w:r>
      <w:r w:rsidR="65837CC9" w:rsidRPr="0DE0AD0A">
        <w:rPr>
          <w:rFonts w:ascii="Arial" w:eastAsia="Arial" w:hAnsi="Arial" w:cs="Arial"/>
          <w:sz w:val="20"/>
          <w:szCs w:val="20"/>
        </w:rPr>
        <w:t xml:space="preserve"> </w:t>
      </w:r>
      <w:r w:rsidR="6495BFF3" w:rsidRPr="0DE0AD0A">
        <w:rPr>
          <w:rFonts w:ascii="Arial" w:eastAsia="Arial" w:hAnsi="Arial" w:cs="Arial"/>
          <w:sz w:val="20"/>
          <w:szCs w:val="20"/>
        </w:rPr>
        <w:t xml:space="preserve">For statewide positivity before the end of the PHE, we used archived daily files, posted publicly on a daily basis from </w:t>
      </w:r>
      <w:r w:rsidR="50A51DE5" w:rsidRPr="0DE0AD0A">
        <w:rPr>
          <w:rStyle w:val="normaltextrun"/>
          <w:rFonts w:ascii="Arial" w:eastAsia="Arial" w:hAnsi="Arial" w:cs="Arial"/>
          <w:sz w:val="20"/>
          <w:szCs w:val="20"/>
        </w:rPr>
        <w:t>08/20/2020</w:t>
      </w:r>
      <w:r w:rsidR="6495BFF3" w:rsidRPr="0DE0AD0A">
        <w:rPr>
          <w:rFonts w:ascii="Arial" w:eastAsia="Arial" w:hAnsi="Arial" w:cs="Arial"/>
          <w:sz w:val="20"/>
          <w:szCs w:val="20"/>
        </w:rPr>
        <w:t xml:space="preserve"> </w:t>
      </w:r>
      <w:r w:rsidR="007B6007" w:rsidRPr="6346E8B4">
        <w:rPr>
          <w:rFonts w:ascii="Arial" w:eastAsia="Times New Roman" w:hAnsi="Arial" w:cs="Arial"/>
          <w:sz w:val="20"/>
          <w:szCs w:val="20"/>
        </w:rPr>
        <w:t>–</w:t>
      </w:r>
      <w:r w:rsidR="6495BFF3" w:rsidRPr="0DE0AD0A">
        <w:rPr>
          <w:rFonts w:ascii="Arial" w:eastAsia="Arial" w:hAnsi="Arial" w:cs="Arial"/>
          <w:sz w:val="20"/>
          <w:szCs w:val="20"/>
        </w:rPr>
        <w:t xml:space="preserve"> </w:t>
      </w:r>
      <w:r w:rsidR="5DE96354" w:rsidRPr="0DE0AD0A">
        <w:rPr>
          <w:rStyle w:val="normaltextrun"/>
          <w:rFonts w:ascii="Arial" w:eastAsia="Arial" w:hAnsi="Arial" w:cs="Arial"/>
          <w:sz w:val="20"/>
          <w:szCs w:val="20"/>
        </w:rPr>
        <w:t>02/11/2022</w:t>
      </w:r>
      <w:r w:rsidR="6495BFF3" w:rsidRPr="0DE0AD0A">
        <w:rPr>
          <w:rFonts w:ascii="Arial" w:eastAsia="Arial" w:hAnsi="Arial" w:cs="Arial"/>
          <w:sz w:val="20"/>
          <w:szCs w:val="20"/>
        </w:rPr>
        <w:t xml:space="preserve"> and </w:t>
      </w:r>
      <w:r w:rsidR="6495BFF3" w:rsidRPr="0DE0AD0A">
        <w:rPr>
          <w:rFonts w:ascii="Arial" w:eastAsia="Arial" w:hAnsi="Arial" w:cs="Arial"/>
          <w:sz w:val="20"/>
          <w:szCs w:val="20"/>
        </w:rPr>
        <w:lastRenderedPageBreak/>
        <w:t xml:space="preserve">Monday through Friday from </w:t>
      </w:r>
      <w:r w:rsidR="5FCB4237" w:rsidRPr="0DE0AD0A">
        <w:rPr>
          <w:rFonts w:ascii="Arial" w:eastAsia="Arial" w:hAnsi="Arial" w:cs="Arial"/>
          <w:sz w:val="20"/>
          <w:szCs w:val="20"/>
        </w:rPr>
        <w:t>02/14/2022</w:t>
      </w:r>
      <w:r w:rsidR="6495BFF3" w:rsidRPr="0DE0AD0A">
        <w:rPr>
          <w:rFonts w:ascii="Arial" w:eastAsia="Arial" w:hAnsi="Arial" w:cs="Arial"/>
          <w:sz w:val="20"/>
          <w:szCs w:val="20"/>
        </w:rPr>
        <w:t xml:space="preserve"> </w:t>
      </w:r>
      <w:r w:rsidR="007B6007" w:rsidRPr="6346E8B4">
        <w:rPr>
          <w:rFonts w:ascii="Arial" w:eastAsia="Times New Roman" w:hAnsi="Arial" w:cs="Arial"/>
          <w:sz w:val="20"/>
          <w:szCs w:val="20"/>
        </w:rPr>
        <w:t>–</w:t>
      </w:r>
      <w:r w:rsidR="6495BFF3" w:rsidRPr="0DE0AD0A">
        <w:rPr>
          <w:rFonts w:ascii="Arial" w:eastAsia="Arial" w:hAnsi="Arial" w:cs="Arial"/>
          <w:sz w:val="20"/>
          <w:szCs w:val="20"/>
        </w:rPr>
        <w:t xml:space="preserve"> </w:t>
      </w:r>
      <w:r w:rsidR="466778D7" w:rsidRPr="0DE0AD0A">
        <w:rPr>
          <w:rStyle w:val="normaltextrun"/>
          <w:rFonts w:ascii="Arial" w:eastAsia="Arial" w:hAnsi="Arial" w:cs="Arial"/>
          <w:sz w:val="20"/>
          <w:szCs w:val="20"/>
        </w:rPr>
        <w:t>05/09/</w:t>
      </w:r>
      <w:r w:rsidR="6495BFF3" w:rsidRPr="0DE0AD0A">
        <w:rPr>
          <w:rFonts w:ascii="Arial" w:eastAsia="Arial" w:hAnsi="Arial" w:cs="Arial"/>
          <w:sz w:val="20"/>
          <w:szCs w:val="20"/>
        </w:rPr>
        <w:t xml:space="preserve">2023. Although datasets were not posted daily after </w:t>
      </w:r>
      <w:r w:rsidR="78D82923" w:rsidRPr="0DE0AD0A">
        <w:rPr>
          <w:rStyle w:val="normaltextrun"/>
          <w:rFonts w:ascii="Arial" w:eastAsia="Arial" w:hAnsi="Arial" w:cs="Arial"/>
          <w:sz w:val="20"/>
          <w:szCs w:val="20"/>
        </w:rPr>
        <w:t>02/11/</w:t>
      </w:r>
      <w:r w:rsidR="6495BFF3" w:rsidRPr="0DE0AD0A">
        <w:rPr>
          <w:rFonts w:ascii="Arial" w:eastAsia="Arial" w:hAnsi="Arial" w:cs="Arial"/>
          <w:sz w:val="20"/>
          <w:szCs w:val="20"/>
        </w:rPr>
        <w:t>2022, each archived dataset still included daily test positivity values as well as 7</w:t>
      </w:r>
      <w:r w:rsidR="0B2F04C6" w:rsidRPr="0DE0AD0A">
        <w:rPr>
          <w:rFonts w:ascii="Arial" w:eastAsia="Arial" w:hAnsi="Arial" w:cs="Arial"/>
          <w:sz w:val="20"/>
          <w:szCs w:val="20"/>
        </w:rPr>
        <w:t>-</w:t>
      </w:r>
      <w:r w:rsidR="6495BFF3" w:rsidRPr="0DE0AD0A">
        <w:rPr>
          <w:rFonts w:ascii="Arial" w:eastAsia="Arial" w:hAnsi="Arial" w:cs="Arial"/>
          <w:sz w:val="20"/>
          <w:szCs w:val="20"/>
        </w:rPr>
        <w:t>day moving average values. Archived datasets were combined and the first reported value for 7-day moving average positivity for each date was retained to represent what was known in real time.</w:t>
      </w:r>
      <w:r w:rsidR="7CBE2D97" w:rsidRPr="0DE0AD0A">
        <w:rPr>
          <w:rFonts w:ascii="Arial" w:eastAsia="Arial" w:hAnsi="Arial" w:cs="Arial"/>
          <w:sz w:val="20"/>
          <w:szCs w:val="20"/>
        </w:rPr>
        <w:t xml:space="preserve"> </w:t>
      </w:r>
      <w:r w:rsidR="6495BFF3" w:rsidRPr="0DE0AD0A">
        <w:rPr>
          <w:rFonts w:ascii="Arial" w:eastAsia="Arial" w:hAnsi="Arial" w:cs="Arial"/>
          <w:sz w:val="20"/>
          <w:szCs w:val="20"/>
        </w:rPr>
        <w:t xml:space="preserve">To extend the timeline beyond </w:t>
      </w:r>
      <w:r w:rsidR="0B50B247" w:rsidRPr="0DE0AD0A">
        <w:rPr>
          <w:rStyle w:val="normaltextrun"/>
          <w:rFonts w:ascii="Arial" w:eastAsia="Arial" w:hAnsi="Arial" w:cs="Arial"/>
          <w:sz w:val="20"/>
          <w:szCs w:val="20"/>
        </w:rPr>
        <w:t>05/09/</w:t>
      </w:r>
      <w:r w:rsidR="6495BFF3" w:rsidRPr="0DE0AD0A">
        <w:rPr>
          <w:rFonts w:ascii="Arial" w:eastAsia="Arial" w:hAnsi="Arial" w:cs="Arial"/>
          <w:sz w:val="20"/>
          <w:szCs w:val="20"/>
        </w:rPr>
        <w:t xml:space="preserve">2023, we supplemented real-time statewide positivity data with an individual-level statewide positivity dataset obtained via a one-time data transfer from CDPHE. This dataset spans </w:t>
      </w:r>
      <w:r w:rsidR="123D844C" w:rsidRPr="0DE0AD0A">
        <w:rPr>
          <w:rStyle w:val="normaltextrun"/>
          <w:rFonts w:ascii="Arial" w:eastAsia="Arial" w:hAnsi="Arial" w:cs="Arial"/>
          <w:sz w:val="20"/>
          <w:szCs w:val="20"/>
        </w:rPr>
        <w:t>03/08/2020</w:t>
      </w:r>
      <w:r w:rsidR="6495BFF3" w:rsidRPr="0DE0AD0A">
        <w:rPr>
          <w:rFonts w:ascii="Arial" w:eastAsia="Arial" w:hAnsi="Arial" w:cs="Arial"/>
          <w:sz w:val="20"/>
          <w:szCs w:val="20"/>
        </w:rPr>
        <w:t xml:space="preserve"> </w:t>
      </w:r>
      <w:r w:rsidR="00FA6C07" w:rsidRPr="6346E8B4">
        <w:rPr>
          <w:rFonts w:ascii="Arial" w:eastAsia="Times New Roman" w:hAnsi="Arial" w:cs="Arial"/>
          <w:sz w:val="20"/>
          <w:szCs w:val="20"/>
        </w:rPr>
        <w:t>–</w:t>
      </w:r>
      <w:r w:rsidR="6495BFF3" w:rsidRPr="0DE0AD0A">
        <w:rPr>
          <w:rFonts w:ascii="Arial" w:eastAsia="Arial" w:hAnsi="Arial" w:cs="Arial"/>
          <w:sz w:val="20"/>
          <w:szCs w:val="20"/>
        </w:rPr>
        <w:t xml:space="preserve"> </w:t>
      </w:r>
      <w:r w:rsidR="1CE2570E" w:rsidRPr="0DE0AD0A">
        <w:rPr>
          <w:rStyle w:val="normaltextrun"/>
          <w:rFonts w:ascii="Arial" w:eastAsia="Arial" w:hAnsi="Arial" w:cs="Arial"/>
          <w:sz w:val="20"/>
          <w:szCs w:val="20"/>
        </w:rPr>
        <w:t>05/08/2024</w:t>
      </w:r>
      <w:r w:rsidR="6495BFF3" w:rsidRPr="0DE0AD0A">
        <w:rPr>
          <w:rFonts w:ascii="Arial" w:eastAsia="Arial" w:hAnsi="Arial" w:cs="Arial"/>
          <w:sz w:val="20"/>
          <w:szCs w:val="20"/>
        </w:rPr>
        <w:t xml:space="preserve"> and comprises approximately 23 million observations, each observation intended to represent a unique SARS-CoV-2 NAAT testing event. Antigen tests are not included in this dataset. To ensure that </w:t>
      </w:r>
      <w:bookmarkStart w:id="1" w:name="_Int_o8oVWxYX"/>
      <w:r w:rsidR="6495BFF3" w:rsidRPr="0DE0AD0A">
        <w:rPr>
          <w:rFonts w:ascii="Arial" w:eastAsia="Arial" w:hAnsi="Arial" w:cs="Arial"/>
          <w:sz w:val="20"/>
          <w:szCs w:val="20"/>
        </w:rPr>
        <w:t>each individual</w:t>
      </w:r>
      <w:bookmarkEnd w:id="1"/>
      <w:r w:rsidR="6495BFF3" w:rsidRPr="0DE0AD0A">
        <w:rPr>
          <w:rFonts w:ascii="Arial" w:eastAsia="Arial" w:hAnsi="Arial" w:cs="Arial"/>
          <w:sz w:val="20"/>
          <w:szCs w:val="20"/>
        </w:rPr>
        <w:t xml:space="preserve"> appeared a maximum of once on a given day, we removed replicate observations with identical names, dates of birth, collection dates, result dates, and create dates. Collection date </w:t>
      </w:r>
      <w:r w:rsidR="00CF2CE5" w:rsidRPr="0DE0AD0A">
        <w:rPr>
          <w:rFonts w:ascii="Arial" w:eastAsia="Arial" w:hAnsi="Arial" w:cs="Arial"/>
          <w:sz w:val="20"/>
          <w:szCs w:val="20"/>
        </w:rPr>
        <w:t>was</w:t>
      </w:r>
      <w:r w:rsidR="6495BFF3" w:rsidRPr="0DE0AD0A">
        <w:rPr>
          <w:rFonts w:ascii="Arial" w:eastAsia="Arial" w:hAnsi="Arial" w:cs="Arial"/>
          <w:sz w:val="20"/>
          <w:szCs w:val="20"/>
        </w:rPr>
        <w:t xml:space="preserve"> defined as the date on which the sample was collected; result date is defined as the date on which the result became available; create date is defined as the date on which the result was entered into the ELR database. Aggregating by create date, as opposed to collection or result date, ensured that data reflected what was known in real time</w:t>
      </w:r>
      <w:r w:rsidR="52717D0F" w:rsidRPr="0DE0AD0A">
        <w:rPr>
          <w:rFonts w:ascii="Arial" w:eastAsia="Arial" w:hAnsi="Arial" w:cs="Arial"/>
          <w:sz w:val="20"/>
          <w:szCs w:val="20"/>
        </w:rPr>
        <w:t xml:space="preserve">. </w:t>
      </w:r>
      <w:r w:rsidR="6495BFF3" w:rsidRPr="0DE0AD0A">
        <w:rPr>
          <w:rFonts w:ascii="Arial" w:eastAsia="Arial" w:hAnsi="Arial" w:cs="Arial"/>
          <w:sz w:val="20"/>
          <w:szCs w:val="20"/>
        </w:rPr>
        <w:t xml:space="preserve">Statewide test positivity was calculated as the sum of all positive COVID-19 tests by create date divided by the sum of all COVID-19 tests by create date. We smoothed all statewide positivity data after the end of the PHE </w:t>
      </w:r>
      <w:r w:rsidR="00DB6BAA">
        <w:rPr>
          <w:rFonts w:ascii="Arial" w:eastAsia="Arial" w:hAnsi="Arial" w:cs="Arial"/>
          <w:sz w:val="20"/>
          <w:szCs w:val="20"/>
        </w:rPr>
        <w:t xml:space="preserve">by </w:t>
      </w:r>
      <w:r w:rsidR="6495BFF3" w:rsidRPr="0DE0AD0A">
        <w:rPr>
          <w:rFonts w:ascii="Arial" w:eastAsia="Arial" w:hAnsi="Arial" w:cs="Arial"/>
          <w:sz w:val="20"/>
          <w:szCs w:val="20"/>
        </w:rPr>
        <w:t>applying a right-justified weighted 7-day moving average.</w:t>
      </w:r>
    </w:p>
    <w:p w14:paraId="2BF346A5" w14:textId="70CC5327" w:rsidR="00952A38" w:rsidRPr="00952A38" w:rsidRDefault="00952A38" w:rsidP="20F35706">
      <w:pPr>
        <w:pStyle w:val="paragraph"/>
        <w:spacing w:before="0" w:beforeAutospacing="0" w:after="0" w:afterAutospacing="0" w:line="276" w:lineRule="auto"/>
        <w:textAlignment w:val="baseline"/>
        <w:rPr>
          <w:rStyle w:val="normaltextrun"/>
          <w:rFonts w:ascii="Arial" w:eastAsiaTheme="majorEastAsia" w:hAnsi="Arial" w:cs="Arial"/>
          <w:sz w:val="20"/>
          <w:szCs w:val="20"/>
        </w:rPr>
      </w:pPr>
    </w:p>
    <w:p w14:paraId="61C69549" w14:textId="77777777" w:rsidR="002B40CB" w:rsidRDefault="002B40CB" w:rsidP="002B40CB">
      <w:pPr>
        <w:spacing w:after="0" w:line="240" w:lineRule="auto"/>
        <w:rPr>
          <w:rFonts w:ascii="Arial" w:eastAsia="Times New Roman" w:hAnsi="Arial" w:cs="Arial"/>
          <w:b/>
          <w:bCs/>
          <w:sz w:val="18"/>
          <w:szCs w:val="18"/>
        </w:rPr>
      </w:pPr>
    </w:p>
    <w:p w14:paraId="0927FD42" w14:textId="77777777" w:rsidR="002B40CB" w:rsidRDefault="002B40CB" w:rsidP="002B40CB">
      <w:pPr>
        <w:spacing w:after="0" w:line="240" w:lineRule="auto"/>
        <w:rPr>
          <w:rFonts w:ascii="Arial" w:eastAsia="Times New Roman" w:hAnsi="Arial" w:cs="Arial"/>
          <w:b/>
          <w:bCs/>
          <w:sz w:val="18"/>
          <w:szCs w:val="18"/>
        </w:rPr>
      </w:pPr>
    </w:p>
    <w:p w14:paraId="461C919D" w14:textId="77777777" w:rsidR="002B40CB" w:rsidRDefault="002B40CB" w:rsidP="002B40CB">
      <w:pPr>
        <w:spacing w:after="0" w:line="240" w:lineRule="auto"/>
        <w:rPr>
          <w:rFonts w:ascii="Arial" w:eastAsia="Times New Roman" w:hAnsi="Arial" w:cs="Arial"/>
          <w:b/>
          <w:bCs/>
          <w:sz w:val="18"/>
          <w:szCs w:val="18"/>
        </w:rPr>
      </w:pPr>
    </w:p>
    <w:p w14:paraId="310EB150" w14:textId="77777777" w:rsidR="002B40CB" w:rsidRDefault="002B40CB" w:rsidP="002B40CB">
      <w:pPr>
        <w:spacing w:after="0" w:line="240" w:lineRule="auto"/>
        <w:rPr>
          <w:rFonts w:ascii="Arial" w:eastAsia="Times New Roman" w:hAnsi="Arial" w:cs="Arial"/>
          <w:b/>
          <w:bCs/>
          <w:sz w:val="18"/>
          <w:szCs w:val="18"/>
        </w:rPr>
      </w:pPr>
    </w:p>
    <w:p w14:paraId="0F9981CF" w14:textId="77777777" w:rsidR="002B40CB" w:rsidRDefault="002B40CB" w:rsidP="002B40CB">
      <w:pPr>
        <w:spacing w:after="0" w:line="240" w:lineRule="auto"/>
        <w:rPr>
          <w:rFonts w:ascii="Arial" w:eastAsia="Times New Roman" w:hAnsi="Arial" w:cs="Arial"/>
          <w:b/>
          <w:bCs/>
          <w:sz w:val="18"/>
          <w:szCs w:val="18"/>
        </w:rPr>
      </w:pPr>
    </w:p>
    <w:p w14:paraId="4A2FFE9D" w14:textId="77777777" w:rsidR="002B40CB" w:rsidRDefault="002B40CB" w:rsidP="002B40CB">
      <w:pPr>
        <w:spacing w:after="0" w:line="240" w:lineRule="auto"/>
        <w:rPr>
          <w:rFonts w:ascii="Arial" w:eastAsia="Times New Roman" w:hAnsi="Arial" w:cs="Arial"/>
          <w:b/>
          <w:bCs/>
          <w:sz w:val="18"/>
          <w:szCs w:val="18"/>
        </w:rPr>
      </w:pPr>
    </w:p>
    <w:p w14:paraId="0F358167" w14:textId="77777777" w:rsidR="002B40CB" w:rsidRDefault="002B40CB" w:rsidP="002B40CB">
      <w:pPr>
        <w:spacing w:after="0" w:line="240" w:lineRule="auto"/>
        <w:rPr>
          <w:rFonts w:ascii="Arial" w:eastAsia="Times New Roman" w:hAnsi="Arial" w:cs="Arial"/>
          <w:b/>
          <w:bCs/>
          <w:sz w:val="18"/>
          <w:szCs w:val="18"/>
        </w:rPr>
      </w:pPr>
    </w:p>
    <w:p w14:paraId="51A46682" w14:textId="77777777" w:rsidR="002B40CB" w:rsidRDefault="002B40CB" w:rsidP="002B40CB">
      <w:pPr>
        <w:spacing w:after="0" w:line="240" w:lineRule="auto"/>
        <w:rPr>
          <w:rFonts w:ascii="Arial" w:eastAsia="Times New Roman" w:hAnsi="Arial" w:cs="Arial"/>
          <w:b/>
          <w:bCs/>
          <w:sz w:val="18"/>
          <w:szCs w:val="18"/>
        </w:rPr>
      </w:pPr>
    </w:p>
    <w:p w14:paraId="58D3920F" w14:textId="77777777" w:rsidR="002B40CB" w:rsidRDefault="002B40CB" w:rsidP="002B40CB">
      <w:pPr>
        <w:spacing w:after="0" w:line="240" w:lineRule="auto"/>
        <w:rPr>
          <w:rFonts w:ascii="Arial" w:eastAsia="Times New Roman" w:hAnsi="Arial" w:cs="Arial"/>
          <w:b/>
          <w:bCs/>
          <w:sz w:val="18"/>
          <w:szCs w:val="18"/>
        </w:rPr>
      </w:pPr>
    </w:p>
    <w:p w14:paraId="0CB8B97B" w14:textId="77777777" w:rsidR="002B40CB" w:rsidRDefault="002B40CB" w:rsidP="002B40CB">
      <w:pPr>
        <w:spacing w:after="0" w:line="240" w:lineRule="auto"/>
        <w:rPr>
          <w:rFonts w:ascii="Arial" w:eastAsia="Times New Roman" w:hAnsi="Arial" w:cs="Arial"/>
          <w:b/>
          <w:bCs/>
          <w:sz w:val="18"/>
          <w:szCs w:val="18"/>
        </w:rPr>
      </w:pPr>
    </w:p>
    <w:p w14:paraId="78B37593" w14:textId="77777777" w:rsidR="002B40CB" w:rsidRDefault="002B40CB" w:rsidP="002B40CB">
      <w:pPr>
        <w:spacing w:after="0" w:line="240" w:lineRule="auto"/>
        <w:rPr>
          <w:rFonts w:ascii="Arial" w:eastAsia="Times New Roman" w:hAnsi="Arial" w:cs="Arial"/>
          <w:b/>
          <w:bCs/>
          <w:sz w:val="18"/>
          <w:szCs w:val="18"/>
        </w:rPr>
      </w:pPr>
    </w:p>
    <w:p w14:paraId="33444144" w14:textId="77777777" w:rsidR="002B40CB" w:rsidRDefault="002B40CB" w:rsidP="002B40CB">
      <w:pPr>
        <w:spacing w:after="0" w:line="240" w:lineRule="auto"/>
        <w:rPr>
          <w:rFonts w:ascii="Arial" w:eastAsia="Times New Roman" w:hAnsi="Arial" w:cs="Arial"/>
          <w:b/>
          <w:bCs/>
          <w:sz w:val="18"/>
          <w:szCs w:val="18"/>
        </w:rPr>
      </w:pPr>
    </w:p>
    <w:p w14:paraId="00A77BA6" w14:textId="77777777" w:rsidR="002B40CB" w:rsidRDefault="002B40CB" w:rsidP="002B40CB">
      <w:pPr>
        <w:spacing w:after="0" w:line="240" w:lineRule="auto"/>
        <w:rPr>
          <w:rFonts w:ascii="Arial" w:eastAsia="Times New Roman" w:hAnsi="Arial" w:cs="Arial"/>
          <w:b/>
          <w:bCs/>
          <w:sz w:val="18"/>
          <w:szCs w:val="18"/>
        </w:rPr>
      </w:pPr>
    </w:p>
    <w:p w14:paraId="7828B8E4" w14:textId="77777777" w:rsidR="002B40CB" w:rsidRDefault="002B40CB" w:rsidP="002B40CB">
      <w:pPr>
        <w:spacing w:after="0" w:line="240" w:lineRule="auto"/>
        <w:rPr>
          <w:rFonts w:ascii="Arial" w:eastAsia="Times New Roman" w:hAnsi="Arial" w:cs="Arial"/>
          <w:b/>
          <w:bCs/>
          <w:sz w:val="18"/>
          <w:szCs w:val="18"/>
        </w:rPr>
      </w:pPr>
    </w:p>
    <w:p w14:paraId="27C13574" w14:textId="77777777" w:rsidR="002B40CB" w:rsidRDefault="002B40CB" w:rsidP="002B40CB">
      <w:pPr>
        <w:spacing w:after="0" w:line="240" w:lineRule="auto"/>
        <w:rPr>
          <w:rFonts w:ascii="Arial" w:eastAsia="Times New Roman" w:hAnsi="Arial" w:cs="Arial"/>
          <w:b/>
          <w:bCs/>
          <w:sz w:val="18"/>
          <w:szCs w:val="18"/>
        </w:rPr>
      </w:pPr>
    </w:p>
    <w:p w14:paraId="56C9661B" w14:textId="77777777" w:rsidR="002B40CB" w:rsidRDefault="002B40CB" w:rsidP="002B40CB">
      <w:pPr>
        <w:spacing w:after="0" w:line="240" w:lineRule="auto"/>
        <w:rPr>
          <w:rFonts w:ascii="Arial" w:eastAsia="Times New Roman" w:hAnsi="Arial" w:cs="Arial"/>
          <w:b/>
          <w:bCs/>
          <w:sz w:val="18"/>
          <w:szCs w:val="18"/>
        </w:rPr>
      </w:pPr>
    </w:p>
    <w:p w14:paraId="62A182DC" w14:textId="77777777" w:rsidR="002B40CB" w:rsidRDefault="002B40CB" w:rsidP="002B40CB">
      <w:pPr>
        <w:spacing w:after="0" w:line="240" w:lineRule="auto"/>
        <w:rPr>
          <w:rFonts w:ascii="Arial" w:eastAsia="Times New Roman" w:hAnsi="Arial" w:cs="Arial"/>
          <w:b/>
          <w:bCs/>
          <w:sz w:val="18"/>
          <w:szCs w:val="18"/>
        </w:rPr>
      </w:pPr>
    </w:p>
    <w:p w14:paraId="772D4083" w14:textId="77777777" w:rsidR="002B40CB" w:rsidRDefault="002B40CB" w:rsidP="002B40CB">
      <w:pPr>
        <w:spacing w:after="0" w:line="240" w:lineRule="auto"/>
        <w:rPr>
          <w:rFonts w:ascii="Arial" w:eastAsia="Times New Roman" w:hAnsi="Arial" w:cs="Arial"/>
          <w:b/>
          <w:bCs/>
          <w:sz w:val="18"/>
          <w:szCs w:val="18"/>
        </w:rPr>
      </w:pPr>
    </w:p>
    <w:p w14:paraId="08541ED7" w14:textId="77777777" w:rsidR="002B40CB" w:rsidRDefault="002B40CB" w:rsidP="002B40CB">
      <w:pPr>
        <w:spacing w:after="0" w:line="240" w:lineRule="auto"/>
        <w:rPr>
          <w:rFonts w:ascii="Arial" w:eastAsia="Times New Roman" w:hAnsi="Arial" w:cs="Arial"/>
          <w:b/>
          <w:bCs/>
          <w:sz w:val="18"/>
          <w:szCs w:val="18"/>
        </w:rPr>
      </w:pPr>
    </w:p>
    <w:p w14:paraId="2AEFB9A8" w14:textId="77777777" w:rsidR="002B40CB" w:rsidRDefault="002B40CB" w:rsidP="002B40CB">
      <w:pPr>
        <w:spacing w:after="0" w:line="240" w:lineRule="auto"/>
        <w:rPr>
          <w:rFonts w:ascii="Arial" w:eastAsia="Times New Roman" w:hAnsi="Arial" w:cs="Arial"/>
          <w:b/>
          <w:bCs/>
          <w:sz w:val="18"/>
          <w:szCs w:val="18"/>
        </w:rPr>
      </w:pPr>
    </w:p>
    <w:p w14:paraId="53DB20C3" w14:textId="77777777" w:rsidR="002B40CB" w:rsidRDefault="002B40CB" w:rsidP="002B40CB">
      <w:pPr>
        <w:spacing w:after="0" w:line="240" w:lineRule="auto"/>
        <w:rPr>
          <w:rFonts w:ascii="Arial" w:eastAsia="Times New Roman" w:hAnsi="Arial" w:cs="Arial"/>
          <w:b/>
          <w:bCs/>
          <w:sz w:val="18"/>
          <w:szCs w:val="18"/>
        </w:rPr>
      </w:pPr>
    </w:p>
    <w:p w14:paraId="38A48DE8" w14:textId="77777777" w:rsidR="002B40CB" w:rsidRDefault="002B40CB" w:rsidP="002B40CB">
      <w:pPr>
        <w:spacing w:after="0" w:line="240" w:lineRule="auto"/>
        <w:rPr>
          <w:rFonts w:ascii="Arial" w:eastAsia="Times New Roman" w:hAnsi="Arial" w:cs="Arial"/>
          <w:b/>
          <w:bCs/>
          <w:sz w:val="18"/>
          <w:szCs w:val="18"/>
        </w:rPr>
      </w:pPr>
    </w:p>
    <w:p w14:paraId="32CA8CB5" w14:textId="77777777" w:rsidR="002B40CB" w:rsidRDefault="002B40CB" w:rsidP="002B40CB">
      <w:pPr>
        <w:spacing w:after="0" w:line="240" w:lineRule="auto"/>
        <w:rPr>
          <w:rFonts w:ascii="Arial" w:eastAsia="Times New Roman" w:hAnsi="Arial" w:cs="Arial"/>
          <w:b/>
          <w:bCs/>
          <w:sz w:val="18"/>
          <w:szCs w:val="18"/>
        </w:rPr>
      </w:pPr>
    </w:p>
    <w:p w14:paraId="418DCD3C" w14:textId="77777777" w:rsidR="002B40CB" w:rsidRDefault="002B40CB" w:rsidP="002B40CB">
      <w:pPr>
        <w:spacing w:after="0" w:line="240" w:lineRule="auto"/>
        <w:rPr>
          <w:rFonts w:ascii="Arial" w:eastAsia="Times New Roman" w:hAnsi="Arial" w:cs="Arial"/>
          <w:b/>
          <w:bCs/>
          <w:sz w:val="18"/>
          <w:szCs w:val="18"/>
        </w:rPr>
      </w:pPr>
    </w:p>
    <w:p w14:paraId="4993C712" w14:textId="77777777" w:rsidR="002B40CB" w:rsidRDefault="002B40CB" w:rsidP="002B40CB">
      <w:pPr>
        <w:spacing w:after="0" w:line="240" w:lineRule="auto"/>
        <w:rPr>
          <w:rFonts w:ascii="Arial" w:eastAsia="Times New Roman" w:hAnsi="Arial" w:cs="Arial"/>
          <w:b/>
          <w:bCs/>
          <w:sz w:val="18"/>
          <w:szCs w:val="18"/>
        </w:rPr>
      </w:pPr>
    </w:p>
    <w:p w14:paraId="16EE70BD" w14:textId="77777777" w:rsidR="002B40CB" w:rsidRDefault="002B40CB" w:rsidP="002B40CB">
      <w:pPr>
        <w:spacing w:after="0" w:line="240" w:lineRule="auto"/>
        <w:rPr>
          <w:rFonts w:ascii="Arial" w:eastAsia="Times New Roman" w:hAnsi="Arial" w:cs="Arial"/>
          <w:b/>
          <w:bCs/>
          <w:sz w:val="18"/>
          <w:szCs w:val="18"/>
        </w:rPr>
      </w:pPr>
    </w:p>
    <w:p w14:paraId="2DBCC09B" w14:textId="77777777" w:rsidR="002B40CB" w:rsidRDefault="002B40CB" w:rsidP="002B40CB">
      <w:pPr>
        <w:spacing w:after="0" w:line="240" w:lineRule="auto"/>
        <w:rPr>
          <w:rFonts w:ascii="Arial" w:eastAsia="Times New Roman" w:hAnsi="Arial" w:cs="Arial"/>
          <w:b/>
          <w:bCs/>
          <w:sz w:val="18"/>
          <w:szCs w:val="18"/>
        </w:rPr>
      </w:pPr>
    </w:p>
    <w:p w14:paraId="54DF0A10" w14:textId="77777777" w:rsidR="002B40CB" w:rsidRDefault="002B40CB" w:rsidP="002B40CB">
      <w:pPr>
        <w:spacing w:after="0" w:line="240" w:lineRule="auto"/>
        <w:rPr>
          <w:rFonts w:ascii="Arial" w:eastAsia="Times New Roman" w:hAnsi="Arial" w:cs="Arial"/>
          <w:b/>
          <w:bCs/>
          <w:sz w:val="18"/>
          <w:szCs w:val="18"/>
        </w:rPr>
      </w:pPr>
    </w:p>
    <w:p w14:paraId="7753CC49" w14:textId="77777777" w:rsidR="002B40CB" w:rsidRDefault="002B40CB" w:rsidP="002B40CB">
      <w:pPr>
        <w:spacing w:after="0" w:line="240" w:lineRule="auto"/>
        <w:rPr>
          <w:rFonts w:ascii="Arial" w:eastAsia="Times New Roman" w:hAnsi="Arial" w:cs="Arial"/>
          <w:b/>
          <w:bCs/>
          <w:sz w:val="18"/>
          <w:szCs w:val="18"/>
        </w:rPr>
      </w:pPr>
    </w:p>
    <w:p w14:paraId="3FD40A21" w14:textId="77777777" w:rsidR="002B40CB" w:rsidRDefault="002B40CB" w:rsidP="002B40CB">
      <w:pPr>
        <w:spacing w:after="0" w:line="240" w:lineRule="auto"/>
        <w:rPr>
          <w:rFonts w:ascii="Arial" w:eastAsia="Times New Roman" w:hAnsi="Arial" w:cs="Arial"/>
          <w:b/>
          <w:bCs/>
          <w:sz w:val="18"/>
          <w:szCs w:val="18"/>
        </w:rPr>
      </w:pPr>
    </w:p>
    <w:p w14:paraId="35DF35F4" w14:textId="77777777" w:rsidR="002B40CB" w:rsidRDefault="002B40CB" w:rsidP="002B40CB">
      <w:pPr>
        <w:spacing w:after="0" w:line="240" w:lineRule="auto"/>
        <w:rPr>
          <w:rFonts w:ascii="Arial" w:eastAsia="Times New Roman" w:hAnsi="Arial" w:cs="Arial"/>
          <w:b/>
          <w:bCs/>
          <w:sz w:val="18"/>
          <w:szCs w:val="18"/>
        </w:rPr>
      </w:pPr>
    </w:p>
    <w:p w14:paraId="70F45917" w14:textId="77777777" w:rsidR="002B40CB" w:rsidRDefault="002B40CB" w:rsidP="002B40CB">
      <w:pPr>
        <w:spacing w:after="0" w:line="240" w:lineRule="auto"/>
        <w:rPr>
          <w:rFonts w:ascii="Arial" w:eastAsia="Times New Roman" w:hAnsi="Arial" w:cs="Arial"/>
          <w:b/>
          <w:bCs/>
          <w:sz w:val="18"/>
          <w:szCs w:val="18"/>
        </w:rPr>
      </w:pPr>
    </w:p>
    <w:p w14:paraId="59F054CD" w14:textId="77777777" w:rsidR="002B40CB" w:rsidRDefault="002B40CB" w:rsidP="002B40CB">
      <w:pPr>
        <w:spacing w:after="0" w:line="240" w:lineRule="auto"/>
        <w:rPr>
          <w:rFonts w:ascii="Arial" w:eastAsia="Times New Roman" w:hAnsi="Arial" w:cs="Arial"/>
          <w:b/>
          <w:bCs/>
          <w:sz w:val="18"/>
          <w:szCs w:val="18"/>
        </w:rPr>
      </w:pPr>
    </w:p>
    <w:p w14:paraId="4C0868F5" w14:textId="77777777" w:rsidR="00392D3F" w:rsidRDefault="00392D3F" w:rsidP="002B40CB">
      <w:pPr>
        <w:spacing w:after="0" w:line="240" w:lineRule="auto"/>
        <w:rPr>
          <w:rFonts w:ascii="Arial" w:eastAsia="Times New Roman" w:hAnsi="Arial" w:cs="Arial"/>
          <w:b/>
          <w:bCs/>
          <w:sz w:val="18"/>
          <w:szCs w:val="18"/>
        </w:rPr>
      </w:pPr>
    </w:p>
    <w:p w14:paraId="5A208369" w14:textId="77777777" w:rsidR="00392D3F" w:rsidRDefault="00392D3F" w:rsidP="002B40CB">
      <w:pPr>
        <w:spacing w:after="0" w:line="240" w:lineRule="auto"/>
        <w:rPr>
          <w:rFonts w:ascii="Arial" w:eastAsia="Times New Roman" w:hAnsi="Arial" w:cs="Arial"/>
          <w:b/>
          <w:bCs/>
          <w:sz w:val="18"/>
          <w:szCs w:val="18"/>
        </w:rPr>
      </w:pPr>
    </w:p>
    <w:p w14:paraId="2AD2DB47" w14:textId="77777777" w:rsidR="002B40CB" w:rsidRDefault="002B40CB" w:rsidP="002B40CB">
      <w:pPr>
        <w:spacing w:after="0" w:line="240" w:lineRule="auto"/>
        <w:rPr>
          <w:rFonts w:ascii="Arial" w:eastAsia="Times New Roman" w:hAnsi="Arial" w:cs="Arial"/>
          <w:b/>
          <w:bCs/>
          <w:sz w:val="18"/>
          <w:szCs w:val="18"/>
        </w:rPr>
      </w:pPr>
    </w:p>
    <w:p w14:paraId="1C875669" w14:textId="77777777" w:rsidR="002B40CB" w:rsidRDefault="002B40CB" w:rsidP="002B40CB">
      <w:pPr>
        <w:spacing w:after="0" w:line="240" w:lineRule="auto"/>
        <w:rPr>
          <w:rFonts w:ascii="Arial" w:eastAsia="Times New Roman" w:hAnsi="Arial" w:cs="Arial"/>
          <w:b/>
          <w:bCs/>
          <w:sz w:val="18"/>
          <w:szCs w:val="18"/>
        </w:rPr>
      </w:pPr>
    </w:p>
    <w:p w14:paraId="6C361109" w14:textId="77B27447" w:rsidR="41BC4618" w:rsidRDefault="41BC4618" w:rsidP="20F35706">
      <w:pPr>
        <w:spacing w:line="276" w:lineRule="auto"/>
      </w:pPr>
    </w:p>
    <w:p w14:paraId="49DE5AD7" w14:textId="33157B7B" w:rsidR="4C13B845" w:rsidRPr="00392D3F" w:rsidRDefault="4C13B845" w:rsidP="20F35706">
      <w:pPr>
        <w:spacing w:line="276" w:lineRule="auto"/>
        <w:rPr>
          <w:rFonts w:ascii="Arial" w:eastAsia="Arial" w:hAnsi="Arial" w:cs="Arial"/>
          <w:color w:val="000000" w:themeColor="text1"/>
          <w:sz w:val="18"/>
          <w:szCs w:val="18"/>
        </w:rPr>
      </w:pPr>
      <w:r w:rsidRPr="00392D3F">
        <w:rPr>
          <w:rFonts w:ascii="Arial" w:eastAsia="Arial" w:hAnsi="Arial" w:cs="Arial"/>
          <w:b/>
          <w:bCs/>
          <w:color w:val="000000" w:themeColor="text1"/>
          <w:sz w:val="18"/>
          <w:szCs w:val="18"/>
        </w:rPr>
        <w:lastRenderedPageBreak/>
        <w:t xml:space="preserve">Supplementary Table S1. </w:t>
      </w:r>
      <w:r w:rsidRPr="00392D3F">
        <w:rPr>
          <w:rFonts w:ascii="Arial" w:eastAsia="Arial" w:hAnsi="Arial" w:cs="Arial"/>
          <w:color w:val="000000" w:themeColor="text1"/>
          <w:sz w:val="18"/>
          <w:szCs w:val="18"/>
        </w:rPr>
        <w:t xml:space="preserve">Estimated lags between six surveillance indicators and 7-day average COVID-19 hospital admissions, across the full PHE and post-PHE periods, 07/21/2020 </w:t>
      </w:r>
      <w:r w:rsidR="00FA6C07" w:rsidRPr="00392D3F">
        <w:rPr>
          <w:rFonts w:ascii="Arial" w:eastAsia="Times New Roman" w:hAnsi="Arial" w:cs="Arial"/>
          <w:sz w:val="18"/>
          <w:szCs w:val="18"/>
        </w:rPr>
        <w:t>–</w:t>
      </w:r>
      <w:r w:rsidRPr="00392D3F">
        <w:rPr>
          <w:rFonts w:ascii="Arial" w:eastAsia="Arial" w:hAnsi="Arial" w:cs="Arial"/>
          <w:color w:val="000000" w:themeColor="text1"/>
          <w:sz w:val="18"/>
          <w:szCs w:val="18"/>
        </w:rPr>
        <w:t xml:space="preserve"> 03/30/2024. The start date was later for the following indicators: wastewater viral activity level (</w:t>
      </w:r>
      <w:r w:rsidR="5D7FF7FA" w:rsidRPr="00392D3F">
        <w:rPr>
          <w:rFonts w:ascii="Arial" w:eastAsia="Arial" w:hAnsi="Arial" w:cs="Arial"/>
          <w:color w:val="000000" w:themeColor="text1"/>
          <w:sz w:val="18"/>
          <w:szCs w:val="18"/>
        </w:rPr>
        <w:t>0</w:t>
      </w:r>
      <w:r w:rsidRPr="00392D3F">
        <w:rPr>
          <w:rFonts w:ascii="Arial" w:eastAsia="Arial" w:hAnsi="Arial" w:cs="Arial"/>
          <w:color w:val="000000" w:themeColor="text1"/>
          <w:sz w:val="18"/>
          <w:szCs w:val="18"/>
        </w:rPr>
        <w:t>9/23/2020), sentinel test positivity (</w:t>
      </w:r>
      <w:r w:rsidR="2464D2AA" w:rsidRPr="00392D3F">
        <w:rPr>
          <w:rFonts w:ascii="Arial" w:eastAsia="Arial" w:hAnsi="Arial" w:cs="Arial"/>
          <w:color w:val="000000" w:themeColor="text1"/>
          <w:sz w:val="18"/>
          <w:szCs w:val="18"/>
        </w:rPr>
        <w:t>0</w:t>
      </w:r>
      <w:r w:rsidRPr="00392D3F">
        <w:rPr>
          <w:rFonts w:ascii="Arial" w:eastAsia="Arial" w:hAnsi="Arial" w:cs="Arial"/>
          <w:color w:val="000000" w:themeColor="text1"/>
          <w:sz w:val="18"/>
          <w:szCs w:val="18"/>
        </w:rPr>
        <w:t>9/27/2020), and statewide test positivity (</w:t>
      </w:r>
      <w:r w:rsidR="6F78FACF" w:rsidRPr="00392D3F">
        <w:rPr>
          <w:rFonts w:ascii="Arial" w:eastAsia="Arial" w:hAnsi="Arial" w:cs="Arial"/>
          <w:color w:val="000000" w:themeColor="text1"/>
          <w:sz w:val="18"/>
          <w:szCs w:val="18"/>
        </w:rPr>
        <w:t>0</w:t>
      </w:r>
      <w:r w:rsidRPr="00392D3F">
        <w:rPr>
          <w:rFonts w:ascii="Arial" w:eastAsia="Arial" w:hAnsi="Arial" w:cs="Arial"/>
          <w:color w:val="000000" w:themeColor="text1"/>
          <w:sz w:val="18"/>
          <w:szCs w:val="18"/>
        </w:rPr>
        <w:t>8/19/2020).</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15"/>
        <w:gridCol w:w="2400"/>
      </w:tblGrid>
      <w:tr w:rsidR="00221CBF" w14:paraId="76CA8E8A" w14:textId="77777777" w:rsidTr="20F35706">
        <w:trPr>
          <w:trHeight w:val="855"/>
        </w:trPr>
        <w:tc>
          <w:tcPr>
            <w:tcW w:w="3315" w:type="dxa"/>
            <w:tcBorders>
              <w:top w:val="single" w:sz="6" w:space="0" w:color="auto"/>
              <w:left w:val="single" w:sz="6" w:space="0" w:color="auto"/>
            </w:tcBorders>
            <w:tcMar>
              <w:left w:w="90" w:type="dxa"/>
              <w:right w:w="90" w:type="dxa"/>
            </w:tcMar>
            <w:vAlign w:val="center"/>
          </w:tcPr>
          <w:p w14:paraId="71F47A7D" w14:textId="483DCDE6" w:rsidR="00221CBF" w:rsidRDefault="00221CBF" w:rsidP="20F35706">
            <w:pPr>
              <w:spacing w:line="276" w:lineRule="auto"/>
              <w:jc w:val="center"/>
              <w:rPr>
                <w:rFonts w:ascii="Arial" w:eastAsia="Arial" w:hAnsi="Arial" w:cs="Arial"/>
                <w:sz w:val="18"/>
                <w:szCs w:val="18"/>
              </w:rPr>
            </w:pPr>
            <w:r w:rsidRPr="20F35706">
              <w:rPr>
                <w:rFonts w:ascii="Arial" w:eastAsia="Arial" w:hAnsi="Arial" w:cs="Arial"/>
                <w:b/>
                <w:bCs/>
                <w:sz w:val="18"/>
                <w:szCs w:val="18"/>
              </w:rPr>
              <w:t>Surveillance indicator</w:t>
            </w:r>
          </w:p>
        </w:tc>
        <w:tc>
          <w:tcPr>
            <w:tcW w:w="2400" w:type="dxa"/>
            <w:tcBorders>
              <w:top w:val="single" w:sz="6" w:space="0" w:color="auto"/>
              <w:right w:val="single" w:sz="6" w:space="0" w:color="auto"/>
            </w:tcBorders>
            <w:tcMar>
              <w:left w:w="90" w:type="dxa"/>
              <w:right w:w="90" w:type="dxa"/>
            </w:tcMar>
            <w:vAlign w:val="center"/>
          </w:tcPr>
          <w:p w14:paraId="20196AA8" w14:textId="4F9A8E6F" w:rsidR="00221CBF" w:rsidRDefault="00221CBF" w:rsidP="20F35706">
            <w:pPr>
              <w:spacing w:line="276" w:lineRule="auto"/>
              <w:jc w:val="center"/>
              <w:rPr>
                <w:rFonts w:ascii="Arial" w:eastAsia="Arial" w:hAnsi="Arial" w:cs="Arial"/>
                <w:sz w:val="18"/>
                <w:szCs w:val="18"/>
              </w:rPr>
            </w:pPr>
            <w:r w:rsidRPr="20F35706">
              <w:rPr>
                <w:rFonts w:ascii="Arial" w:eastAsia="Arial" w:hAnsi="Arial" w:cs="Arial"/>
                <w:b/>
                <w:bCs/>
                <w:sz w:val="18"/>
                <w:szCs w:val="18"/>
              </w:rPr>
              <w:t xml:space="preserve">Estimated lag (days), full study period* </w:t>
            </w:r>
          </w:p>
        </w:tc>
      </w:tr>
      <w:tr w:rsidR="00221CBF" w14:paraId="7E546D2B" w14:textId="77777777" w:rsidTr="20F35706">
        <w:trPr>
          <w:trHeight w:val="360"/>
        </w:trPr>
        <w:tc>
          <w:tcPr>
            <w:tcW w:w="3315" w:type="dxa"/>
            <w:tcBorders>
              <w:left w:val="single" w:sz="6" w:space="0" w:color="auto"/>
            </w:tcBorders>
            <w:tcMar>
              <w:left w:w="90" w:type="dxa"/>
              <w:right w:w="90" w:type="dxa"/>
            </w:tcMar>
            <w:vAlign w:val="center"/>
          </w:tcPr>
          <w:p w14:paraId="5B94584A" w14:textId="48B90FB3" w:rsidR="00221CBF" w:rsidRDefault="00221CBF" w:rsidP="20F35706">
            <w:pPr>
              <w:spacing w:line="276" w:lineRule="auto"/>
              <w:jc w:val="center"/>
              <w:rPr>
                <w:rFonts w:ascii="Arial" w:eastAsia="Arial" w:hAnsi="Arial" w:cs="Arial"/>
                <w:sz w:val="18"/>
                <w:szCs w:val="18"/>
              </w:rPr>
            </w:pPr>
            <w:r w:rsidRPr="20F35706">
              <w:rPr>
                <w:rFonts w:ascii="Arial" w:eastAsia="Arial" w:hAnsi="Arial" w:cs="Arial"/>
                <w:sz w:val="18"/>
                <w:szCs w:val="18"/>
              </w:rPr>
              <w:t>Cases (finalized), 7-day moving average</w:t>
            </w:r>
          </w:p>
        </w:tc>
        <w:tc>
          <w:tcPr>
            <w:tcW w:w="2400" w:type="dxa"/>
            <w:tcBorders>
              <w:right w:val="single" w:sz="6" w:space="0" w:color="auto"/>
            </w:tcBorders>
            <w:tcMar>
              <w:left w:w="90" w:type="dxa"/>
              <w:right w:w="90" w:type="dxa"/>
            </w:tcMar>
            <w:vAlign w:val="center"/>
          </w:tcPr>
          <w:p w14:paraId="0489075C" w14:textId="3C0A27F2" w:rsidR="00221CBF" w:rsidRDefault="00221CBF" w:rsidP="20F35706">
            <w:pPr>
              <w:spacing w:line="276" w:lineRule="auto"/>
              <w:jc w:val="center"/>
              <w:rPr>
                <w:rFonts w:ascii="Arial" w:eastAsia="Arial" w:hAnsi="Arial" w:cs="Arial"/>
                <w:sz w:val="18"/>
                <w:szCs w:val="18"/>
              </w:rPr>
            </w:pPr>
            <w:r w:rsidRPr="20F35706">
              <w:rPr>
                <w:rFonts w:ascii="Arial" w:eastAsia="Arial" w:hAnsi="Arial" w:cs="Arial"/>
                <w:sz w:val="18"/>
                <w:szCs w:val="18"/>
              </w:rPr>
              <w:t>-3</w:t>
            </w:r>
          </w:p>
        </w:tc>
      </w:tr>
      <w:tr w:rsidR="00221CBF" w14:paraId="07A7391F" w14:textId="77777777" w:rsidTr="20F35706">
        <w:trPr>
          <w:trHeight w:val="360"/>
        </w:trPr>
        <w:tc>
          <w:tcPr>
            <w:tcW w:w="3315" w:type="dxa"/>
            <w:tcBorders>
              <w:left w:val="single" w:sz="6" w:space="0" w:color="auto"/>
            </w:tcBorders>
            <w:tcMar>
              <w:left w:w="90" w:type="dxa"/>
              <w:right w:w="90" w:type="dxa"/>
            </w:tcMar>
            <w:vAlign w:val="center"/>
          </w:tcPr>
          <w:p w14:paraId="61C4A1BA" w14:textId="7A2C537C" w:rsidR="00221CBF" w:rsidRDefault="00221CBF" w:rsidP="20F35706">
            <w:pPr>
              <w:spacing w:line="276" w:lineRule="auto"/>
              <w:jc w:val="center"/>
              <w:rPr>
                <w:rFonts w:ascii="Arial" w:eastAsia="Arial" w:hAnsi="Arial" w:cs="Arial"/>
                <w:sz w:val="18"/>
                <w:szCs w:val="18"/>
              </w:rPr>
            </w:pPr>
            <w:r w:rsidRPr="20F35706">
              <w:rPr>
                <w:rFonts w:ascii="Arial" w:eastAsia="Arial" w:hAnsi="Arial" w:cs="Arial"/>
                <w:sz w:val="18"/>
                <w:szCs w:val="18"/>
              </w:rPr>
              <w:t>Hospital census, daily</w:t>
            </w:r>
          </w:p>
        </w:tc>
        <w:tc>
          <w:tcPr>
            <w:tcW w:w="2400" w:type="dxa"/>
            <w:tcBorders>
              <w:right w:val="single" w:sz="6" w:space="0" w:color="auto"/>
            </w:tcBorders>
            <w:tcMar>
              <w:left w:w="90" w:type="dxa"/>
              <w:right w:w="90" w:type="dxa"/>
            </w:tcMar>
            <w:vAlign w:val="center"/>
          </w:tcPr>
          <w:p w14:paraId="795393B2" w14:textId="15A92F91" w:rsidR="00221CBF" w:rsidRDefault="00221CBF" w:rsidP="20F35706">
            <w:pPr>
              <w:spacing w:line="276" w:lineRule="auto"/>
              <w:jc w:val="center"/>
              <w:rPr>
                <w:rFonts w:ascii="Arial" w:eastAsia="Arial" w:hAnsi="Arial" w:cs="Arial"/>
                <w:sz w:val="18"/>
                <w:szCs w:val="18"/>
              </w:rPr>
            </w:pPr>
            <w:r w:rsidRPr="20F35706">
              <w:rPr>
                <w:rFonts w:ascii="Arial" w:eastAsia="Arial" w:hAnsi="Arial" w:cs="Arial"/>
                <w:sz w:val="18"/>
                <w:szCs w:val="18"/>
              </w:rPr>
              <w:t>1</w:t>
            </w:r>
          </w:p>
        </w:tc>
      </w:tr>
      <w:tr w:rsidR="00221CBF" w14:paraId="20A456B3" w14:textId="77777777" w:rsidTr="20F35706">
        <w:trPr>
          <w:trHeight w:val="360"/>
        </w:trPr>
        <w:tc>
          <w:tcPr>
            <w:tcW w:w="3315" w:type="dxa"/>
            <w:tcBorders>
              <w:left w:val="single" w:sz="6" w:space="0" w:color="auto"/>
            </w:tcBorders>
            <w:tcMar>
              <w:left w:w="90" w:type="dxa"/>
              <w:right w:w="90" w:type="dxa"/>
            </w:tcMar>
            <w:vAlign w:val="center"/>
          </w:tcPr>
          <w:p w14:paraId="64C305DE" w14:textId="488A9A61" w:rsidR="00221CBF" w:rsidRDefault="00221CBF" w:rsidP="20F35706">
            <w:pPr>
              <w:spacing w:line="276" w:lineRule="auto"/>
              <w:jc w:val="center"/>
              <w:rPr>
                <w:rFonts w:ascii="Arial" w:eastAsia="Arial" w:hAnsi="Arial" w:cs="Arial"/>
                <w:sz w:val="18"/>
                <w:szCs w:val="18"/>
              </w:rPr>
            </w:pPr>
            <w:r w:rsidRPr="20F35706">
              <w:rPr>
                <w:rFonts w:ascii="Arial" w:eastAsia="Arial" w:hAnsi="Arial" w:cs="Arial"/>
                <w:sz w:val="18"/>
                <w:szCs w:val="18"/>
              </w:rPr>
              <w:t>Wastewater Viral Activity Level</w:t>
            </w:r>
          </w:p>
        </w:tc>
        <w:tc>
          <w:tcPr>
            <w:tcW w:w="2400" w:type="dxa"/>
            <w:tcBorders>
              <w:right w:val="single" w:sz="6" w:space="0" w:color="auto"/>
            </w:tcBorders>
            <w:tcMar>
              <w:left w:w="90" w:type="dxa"/>
              <w:right w:w="90" w:type="dxa"/>
            </w:tcMar>
            <w:vAlign w:val="center"/>
          </w:tcPr>
          <w:p w14:paraId="752BBA27" w14:textId="6C92E69B" w:rsidR="00221CBF" w:rsidRDefault="00221CBF" w:rsidP="20F35706">
            <w:pPr>
              <w:spacing w:line="276" w:lineRule="auto"/>
              <w:jc w:val="center"/>
              <w:rPr>
                <w:rFonts w:ascii="Arial" w:eastAsia="Arial" w:hAnsi="Arial" w:cs="Arial"/>
                <w:sz w:val="18"/>
                <w:szCs w:val="18"/>
              </w:rPr>
            </w:pPr>
            <w:r w:rsidRPr="20F35706">
              <w:rPr>
                <w:rFonts w:ascii="Arial" w:eastAsia="Arial" w:hAnsi="Arial" w:cs="Arial"/>
                <w:sz w:val="18"/>
                <w:szCs w:val="18"/>
              </w:rPr>
              <w:t>-3</w:t>
            </w:r>
          </w:p>
        </w:tc>
      </w:tr>
      <w:tr w:rsidR="00221CBF" w14:paraId="3F953F31" w14:textId="77777777" w:rsidTr="20F35706">
        <w:trPr>
          <w:trHeight w:val="360"/>
        </w:trPr>
        <w:tc>
          <w:tcPr>
            <w:tcW w:w="3315" w:type="dxa"/>
            <w:tcBorders>
              <w:left w:val="single" w:sz="6" w:space="0" w:color="auto"/>
            </w:tcBorders>
            <w:tcMar>
              <w:left w:w="90" w:type="dxa"/>
              <w:right w:w="90" w:type="dxa"/>
            </w:tcMar>
            <w:vAlign w:val="center"/>
          </w:tcPr>
          <w:p w14:paraId="4B196C93" w14:textId="6EA88226" w:rsidR="00221CBF" w:rsidRDefault="00221CBF" w:rsidP="20F35706">
            <w:pPr>
              <w:spacing w:line="276" w:lineRule="auto"/>
              <w:jc w:val="center"/>
              <w:rPr>
                <w:rFonts w:ascii="Arial" w:eastAsia="Arial" w:hAnsi="Arial" w:cs="Arial"/>
                <w:sz w:val="18"/>
                <w:szCs w:val="18"/>
              </w:rPr>
            </w:pPr>
            <w:r w:rsidRPr="20F35706">
              <w:rPr>
                <w:rFonts w:ascii="Arial" w:eastAsia="Arial" w:hAnsi="Arial" w:cs="Arial"/>
                <w:sz w:val="18"/>
                <w:szCs w:val="18"/>
              </w:rPr>
              <w:t>Syndromic Surveillance</w:t>
            </w:r>
          </w:p>
        </w:tc>
        <w:tc>
          <w:tcPr>
            <w:tcW w:w="2400" w:type="dxa"/>
            <w:tcBorders>
              <w:right w:val="single" w:sz="6" w:space="0" w:color="auto"/>
            </w:tcBorders>
            <w:tcMar>
              <w:left w:w="90" w:type="dxa"/>
              <w:right w:w="90" w:type="dxa"/>
            </w:tcMar>
            <w:vAlign w:val="center"/>
          </w:tcPr>
          <w:p w14:paraId="06138949" w14:textId="075AD07D" w:rsidR="00221CBF" w:rsidRDefault="00221CBF" w:rsidP="20F35706">
            <w:pPr>
              <w:spacing w:line="276" w:lineRule="auto"/>
              <w:jc w:val="center"/>
              <w:rPr>
                <w:rFonts w:ascii="Arial" w:eastAsia="Arial" w:hAnsi="Arial" w:cs="Arial"/>
                <w:sz w:val="18"/>
                <w:szCs w:val="18"/>
              </w:rPr>
            </w:pPr>
            <w:r w:rsidRPr="20F35706">
              <w:rPr>
                <w:rFonts w:ascii="Arial" w:eastAsia="Arial" w:hAnsi="Arial" w:cs="Arial"/>
                <w:sz w:val="18"/>
                <w:szCs w:val="18"/>
              </w:rPr>
              <w:t>-1</w:t>
            </w:r>
          </w:p>
        </w:tc>
      </w:tr>
      <w:tr w:rsidR="00221CBF" w14:paraId="490C99AC" w14:textId="77777777" w:rsidTr="20F35706">
        <w:trPr>
          <w:trHeight w:val="360"/>
        </w:trPr>
        <w:tc>
          <w:tcPr>
            <w:tcW w:w="3315" w:type="dxa"/>
            <w:tcBorders>
              <w:left w:val="single" w:sz="6" w:space="0" w:color="auto"/>
            </w:tcBorders>
            <w:tcMar>
              <w:left w:w="90" w:type="dxa"/>
              <w:right w:w="90" w:type="dxa"/>
            </w:tcMar>
            <w:vAlign w:val="center"/>
          </w:tcPr>
          <w:p w14:paraId="2CAE7C5D" w14:textId="63F4C283" w:rsidR="00221CBF" w:rsidRDefault="00221CBF" w:rsidP="20F35706">
            <w:pPr>
              <w:spacing w:line="276" w:lineRule="auto"/>
              <w:jc w:val="center"/>
              <w:rPr>
                <w:rFonts w:ascii="Arial" w:eastAsia="Arial" w:hAnsi="Arial" w:cs="Arial"/>
                <w:sz w:val="18"/>
                <w:szCs w:val="18"/>
              </w:rPr>
            </w:pPr>
            <w:r w:rsidRPr="20F35706">
              <w:rPr>
                <w:rFonts w:ascii="Arial" w:eastAsia="Arial" w:hAnsi="Arial" w:cs="Arial"/>
                <w:sz w:val="18"/>
                <w:szCs w:val="18"/>
              </w:rPr>
              <w:t>Sentinel Testing</w:t>
            </w:r>
          </w:p>
        </w:tc>
        <w:tc>
          <w:tcPr>
            <w:tcW w:w="2400" w:type="dxa"/>
            <w:tcBorders>
              <w:right w:val="single" w:sz="6" w:space="0" w:color="auto"/>
            </w:tcBorders>
            <w:tcMar>
              <w:left w:w="90" w:type="dxa"/>
              <w:right w:w="90" w:type="dxa"/>
            </w:tcMar>
            <w:vAlign w:val="center"/>
          </w:tcPr>
          <w:p w14:paraId="00497CCF" w14:textId="4072B12D" w:rsidR="00221CBF" w:rsidRDefault="00221CBF" w:rsidP="20F35706">
            <w:pPr>
              <w:spacing w:line="276" w:lineRule="auto"/>
              <w:jc w:val="center"/>
              <w:rPr>
                <w:rFonts w:ascii="Arial" w:eastAsia="Arial" w:hAnsi="Arial" w:cs="Arial"/>
                <w:sz w:val="18"/>
                <w:szCs w:val="18"/>
              </w:rPr>
            </w:pPr>
            <w:r w:rsidRPr="20F35706">
              <w:rPr>
                <w:rFonts w:ascii="Arial" w:eastAsia="Arial" w:hAnsi="Arial" w:cs="Arial"/>
                <w:sz w:val="18"/>
                <w:szCs w:val="18"/>
              </w:rPr>
              <w:t>-7</w:t>
            </w:r>
          </w:p>
        </w:tc>
      </w:tr>
      <w:tr w:rsidR="00221CBF" w14:paraId="208022AC" w14:textId="77777777" w:rsidTr="20F35706">
        <w:trPr>
          <w:trHeight w:val="360"/>
        </w:trPr>
        <w:tc>
          <w:tcPr>
            <w:tcW w:w="3315" w:type="dxa"/>
            <w:tcBorders>
              <w:left w:val="single" w:sz="6" w:space="0" w:color="auto"/>
              <w:bottom w:val="single" w:sz="6" w:space="0" w:color="auto"/>
            </w:tcBorders>
            <w:tcMar>
              <w:left w:w="90" w:type="dxa"/>
              <w:right w:w="90" w:type="dxa"/>
            </w:tcMar>
            <w:vAlign w:val="center"/>
          </w:tcPr>
          <w:p w14:paraId="4053EF7F" w14:textId="43DD437C" w:rsidR="00221CBF" w:rsidRDefault="00221CBF" w:rsidP="20F35706">
            <w:pPr>
              <w:spacing w:line="276" w:lineRule="auto"/>
              <w:jc w:val="center"/>
              <w:rPr>
                <w:rFonts w:ascii="Arial" w:eastAsia="Arial" w:hAnsi="Arial" w:cs="Arial"/>
                <w:sz w:val="18"/>
                <w:szCs w:val="18"/>
              </w:rPr>
            </w:pPr>
            <w:r w:rsidRPr="20F35706">
              <w:rPr>
                <w:rFonts w:ascii="Arial" w:eastAsia="Arial" w:hAnsi="Arial" w:cs="Arial"/>
                <w:sz w:val="18"/>
                <w:szCs w:val="18"/>
              </w:rPr>
              <w:t>Statewide Positivity</w:t>
            </w:r>
          </w:p>
        </w:tc>
        <w:tc>
          <w:tcPr>
            <w:tcW w:w="2400" w:type="dxa"/>
            <w:tcBorders>
              <w:bottom w:val="single" w:sz="6" w:space="0" w:color="auto"/>
              <w:right w:val="single" w:sz="6" w:space="0" w:color="auto"/>
            </w:tcBorders>
            <w:tcMar>
              <w:left w:w="90" w:type="dxa"/>
              <w:right w:w="90" w:type="dxa"/>
            </w:tcMar>
            <w:vAlign w:val="center"/>
          </w:tcPr>
          <w:p w14:paraId="4B62D647" w14:textId="2E51056E" w:rsidR="00221CBF" w:rsidRDefault="00221CBF" w:rsidP="20F35706">
            <w:pPr>
              <w:spacing w:line="276" w:lineRule="auto"/>
              <w:jc w:val="center"/>
              <w:rPr>
                <w:rFonts w:ascii="Arial" w:eastAsia="Arial" w:hAnsi="Arial" w:cs="Arial"/>
                <w:sz w:val="18"/>
                <w:szCs w:val="18"/>
              </w:rPr>
            </w:pPr>
            <w:r w:rsidRPr="20F35706">
              <w:rPr>
                <w:rFonts w:ascii="Arial" w:eastAsia="Arial" w:hAnsi="Arial" w:cs="Arial"/>
                <w:sz w:val="18"/>
                <w:szCs w:val="18"/>
              </w:rPr>
              <w:t>-4</w:t>
            </w:r>
          </w:p>
        </w:tc>
      </w:tr>
    </w:tbl>
    <w:p w14:paraId="26C7A06E" w14:textId="7A283AD3" w:rsidR="00221CBF" w:rsidRDefault="00221CBF" w:rsidP="20F35706">
      <w:pPr>
        <w:spacing w:after="0" w:line="276" w:lineRule="auto"/>
        <w:rPr>
          <w:rFonts w:ascii="Arial" w:eastAsia="Arial" w:hAnsi="Arial" w:cs="Arial"/>
          <w:color w:val="000000" w:themeColor="text1"/>
          <w:sz w:val="18"/>
          <w:szCs w:val="18"/>
        </w:rPr>
      </w:pPr>
    </w:p>
    <w:p w14:paraId="339E81AA" w14:textId="2D00F2A3" w:rsidR="4C13B845" w:rsidRPr="00392D3F" w:rsidRDefault="4C13B845" w:rsidP="20F35706">
      <w:pPr>
        <w:spacing w:after="0" w:line="276" w:lineRule="auto"/>
        <w:rPr>
          <w:rFonts w:ascii="Arial" w:eastAsia="Arial" w:hAnsi="Arial" w:cs="Arial"/>
          <w:color w:val="000000" w:themeColor="text1"/>
          <w:sz w:val="16"/>
          <w:szCs w:val="16"/>
        </w:rPr>
      </w:pPr>
      <w:r w:rsidRPr="00392D3F">
        <w:rPr>
          <w:rFonts w:ascii="Arial" w:eastAsia="Arial" w:hAnsi="Arial" w:cs="Arial"/>
          <w:color w:val="000000" w:themeColor="text1"/>
          <w:sz w:val="16"/>
          <w:szCs w:val="16"/>
        </w:rPr>
        <w:t xml:space="preserve">Lags were estimated using cross correlation analysis from 13 days prior to 13 days post COVID-19 hospital admission date. The lag was defined using the maximum correlation. In the case of a tie, values closest to zero were used. A positive lag corresponds to indicators that lagged admissions (time + x days), negative lags correspond to indicators that lead admissions (time </w:t>
      </w:r>
      <w:r w:rsidR="00FA6C07" w:rsidRPr="00392D3F">
        <w:rPr>
          <w:rFonts w:ascii="Arial" w:eastAsia="Times New Roman" w:hAnsi="Arial" w:cs="Arial"/>
          <w:sz w:val="16"/>
          <w:szCs w:val="16"/>
        </w:rPr>
        <w:t>–</w:t>
      </w:r>
      <w:r w:rsidRPr="00392D3F">
        <w:rPr>
          <w:rFonts w:ascii="Arial" w:eastAsia="Arial" w:hAnsi="Arial" w:cs="Arial"/>
          <w:color w:val="000000" w:themeColor="text1"/>
          <w:sz w:val="16"/>
          <w:szCs w:val="16"/>
        </w:rPr>
        <w:t xml:space="preserve"> x days). Lags with a value of 0 indicate that the correlation between 7-day average hospital admissions and the surveillance indicator was strongest on the same day (i.e., no lag).  </w:t>
      </w:r>
    </w:p>
    <w:p w14:paraId="20268014" w14:textId="552F4474" w:rsidR="00221CBF" w:rsidRDefault="00221CBF" w:rsidP="20F35706">
      <w:pPr>
        <w:spacing w:after="240" w:line="276" w:lineRule="auto"/>
        <w:rPr>
          <w:rFonts w:ascii="Arial" w:eastAsia="Cambria" w:hAnsi="Arial" w:cs="Arial"/>
          <w:b/>
          <w:bCs/>
          <w:color w:val="000000" w:themeColor="text1"/>
          <w:sz w:val="20"/>
          <w:szCs w:val="20"/>
        </w:rPr>
      </w:pPr>
    </w:p>
    <w:p w14:paraId="50F529B7" w14:textId="1763BF06" w:rsidR="00221CBF" w:rsidRDefault="00221CBF" w:rsidP="20F35706">
      <w:pPr>
        <w:spacing w:after="240" w:line="276" w:lineRule="auto"/>
        <w:rPr>
          <w:rFonts w:ascii="Arial" w:eastAsia="Cambria" w:hAnsi="Arial" w:cs="Arial"/>
          <w:b/>
          <w:bCs/>
          <w:color w:val="000000" w:themeColor="text1"/>
          <w:sz w:val="20"/>
          <w:szCs w:val="20"/>
        </w:rPr>
      </w:pPr>
    </w:p>
    <w:p w14:paraId="7AD0A106" w14:textId="0BB436AB" w:rsidR="00221CBF" w:rsidRDefault="00221CBF" w:rsidP="20F35706">
      <w:pPr>
        <w:spacing w:line="276" w:lineRule="auto"/>
      </w:pPr>
      <w:r>
        <w:br w:type="page"/>
      </w:r>
    </w:p>
    <w:p w14:paraId="60D3E256" w14:textId="4F15FF1A" w:rsidR="00952A38" w:rsidRPr="00C54A33" w:rsidRDefault="458D2562" w:rsidP="20F35706">
      <w:pPr>
        <w:spacing w:after="240" w:line="276" w:lineRule="auto"/>
        <w:rPr>
          <w:rFonts w:ascii="Arial" w:eastAsia="Arial" w:hAnsi="Arial" w:cs="Arial"/>
          <w:color w:val="000000" w:themeColor="text1"/>
          <w:sz w:val="18"/>
          <w:szCs w:val="18"/>
        </w:rPr>
      </w:pPr>
      <w:r w:rsidRPr="00C54A33">
        <w:rPr>
          <w:rFonts w:ascii="Arial" w:eastAsia="Cambria" w:hAnsi="Arial" w:cs="Arial"/>
          <w:b/>
          <w:bCs/>
          <w:color w:val="000000" w:themeColor="text1"/>
          <w:sz w:val="18"/>
          <w:szCs w:val="18"/>
        </w:rPr>
        <w:lastRenderedPageBreak/>
        <w:t>Supplementary Table S</w:t>
      </w:r>
      <w:r w:rsidR="30EF5380" w:rsidRPr="00C54A33">
        <w:rPr>
          <w:rFonts w:ascii="Arial" w:eastAsia="Cambria" w:hAnsi="Arial" w:cs="Arial"/>
          <w:b/>
          <w:bCs/>
          <w:color w:val="000000" w:themeColor="text1"/>
          <w:sz w:val="18"/>
          <w:szCs w:val="18"/>
        </w:rPr>
        <w:t>2</w:t>
      </w:r>
      <w:r w:rsidRPr="00C54A33">
        <w:rPr>
          <w:rFonts w:ascii="Arial" w:eastAsia="Cambria" w:hAnsi="Arial" w:cs="Arial"/>
          <w:b/>
          <w:bCs/>
          <w:color w:val="000000" w:themeColor="text1"/>
          <w:sz w:val="18"/>
          <w:szCs w:val="18"/>
        </w:rPr>
        <w:t xml:space="preserve">. </w:t>
      </w:r>
      <w:r w:rsidRPr="00C54A33">
        <w:rPr>
          <w:rFonts w:ascii="Arial" w:eastAsia="Cambria" w:hAnsi="Arial" w:cs="Arial"/>
          <w:color w:val="000000" w:themeColor="text1"/>
          <w:sz w:val="18"/>
          <w:szCs w:val="18"/>
        </w:rPr>
        <w:t>Mean correlations between surveillance indicators and finalized hospital admissions over a 90-day rolling window, during and after PHE.</w:t>
      </w:r>
      <w:r w:rsidRPr="00C54A33">
        <w:rPr>
          <w:rFonts w:ascii="Arial" w:eastAsia="Cambria" w:hAnsi="Arial" w:cs="Arial"/>
          <w:b/>
          <w:bCs/>
          <w:color w:val="000000" w:themeColor="text1"/>
          <w:sz w:val="18"/>
          <w:szCs w:val="18"/>
        </w:rPr>
        <w:t xml:space="preserve"> </w:t>
      </w:r>
      <w:r w:rsidR="00FD0E22" w:rsidRPr="00C54A33">
        <w:rPr>
          <w:rFonts w:ascii="Arial" w:eastAsia="Arial" w:hAnsi="Arial" w:cs="Arial"/>
          <w:sz w:val="18"/>
          <w:szCs w:val="18"/>
        </w:rPr>
        <w:t>Start dates vary by indicator, based on first availability.</w:t>
      </w:r>
      <w:r w:rsidR="4767E74B" w:rsidRPr="00C54A33">
        <w:rPr>
          <w:rFonts w:ascii="Arial" w:eastAsia="Arial" w:hAnsi="Arial" w:cs="Arial"/>
          <w:sz w:val="18"/>
          <w:szCs w:val="18"/>
        </w:rPr>
        <w:t xml:space="preserve"> </w:t>
      </w:r>
      <w:r w:rsidR="0AF59F81" w:rsidRPr="00C54A33">
        <w:rPr>
          <w:rFonts w:ascii="Arial" w:eastAsia="Arial" w:hAnsi="Arial" w:cs="Arial"/>
          <w:sz w:val="18"/>
          <w:szCs w:val="18"/>
        </w:rPr>
        <w:t>For the purpose of analysis, w</w:t>
      </w:r>
      <w:r w:rsidR="356DAA05" w:rsidRPr="00C54A33">
        <w:rPr>
          <w:rFonts w:ascii="Arial" w:eastAsia="Arial" w:hAnsi="Arial" w:cs="Arial"/>
          <w:sz w:val="18"/>
          <w:szCs w:val="18"/>
        </w:rPr>
        <w:t xml:space="preserve">e define the PHE period as ending </w:t>
      </w:r>
      <w:r w:rsidR="4428C658" w:rsidRPr="00C54A33">
        <w:rPr>
          <w:rFonts w:ascii="Arial" w:eastAsia="Arial" w:hAnsi="Arial" w:cs="Arial"/>
          <w:sz w:val="18"/>
          <w:szCs w:val="18"/>
        </w:rPr>
        <w:t>05/</w:t>
      </w:r>
      <w:r w:rsidR="716B24FD" w:rsidRPr="00C54A33">
        <w:rPr>
          <w:rFonts w:ascii="Arial" w:eastAsia="Arial" w:hAnsi="Arial" w:cs="Arial"/>
          <w:sz w:val="18"/>
          <w:szCs w:val="18"/>
        </w:rPr>
        <w:t>0</w:t>
      </w:r>
      <w:r w:rsidR="4C389904" w:rsidRPr="00C54A33">
        <w:rPr>
          <w:rFonts w:ascii="Arial" w:eastAsia="Arial" w:hAnsi="Arial" w:cs="Arial"/>
          <w:sz w:val="18"/>
          <w:szCs w:val="18"/>
        </w:rPr>
        <w:t>2</w:t>
      </w:r>
      <w:r w:rsidR="4428C658" w:rsidRPr="00C54A33">
        <w:rPr>
          <w:rFonts w:ascii="Arial" w:eastAsia="Arial" w:hAnsi="Arial" w:cs="Arial"/>
          <w:sz w:val="18"/>
          <w:szCs w:val="18"/>
        </w:rPr>
        <w:t>/2023 and post</w:t>
      </w:r>
      <w:r w:rsidR="008D7258" w:rsidRPr="00C54A33">
        <w:rPr>
          <w:rFonts w:ascii="Arial" w:eastAsia="Arial" w:hAnsi="Arial" w:cs="Arial"/>
          <w:sz w:val="18"/>
          <w:szCs w:val="18"/>
        </w:rPr>
        <w:t>-</w:t>
      </w:r>
      <w:r w:rsidR="4428C658" w:rsidRPr="00C54A33">
        <w:rPr>
          <w:rFonts w:ascii="Arial" w:eastAsia="Arial" w:hAnsi="Arial" w:cs="Arial"/>
          <w:sz w:val="18"/>
          <w:szCs w:val="18"/>
        </w:rPr>
        <w:t xml:space="preserve">PHE period ran from </w:t>
      </w:r>
      <w:r w:rsidR="2B1C6840" w:rsidRPr="00C54A33">
        <w:rPr>
          <w:rFonts w:ascii="Arial" w:eastAsia="Arial" w:hAnsi="Arial" w:cs="Arial"/>
          <w:sz w:val="18"/>
          <w:szCs w:val="18"/>
        </w:rPr>
        <w:t>0</w:t>
      </w:r>
      <w:r w:rsidR="4428C658" w:rsidRPr="00C54A33">
        <w:rPr>
          <w:rFonts w:ascii="Arial" w:eastAsia="Arial" w:hAnsi="Arial" w:cs="Arial"/>
          <w:sz w:val="18"/>
          <w:szCs w:val="18"/>
        </w:rPr>
        <w:t>5/</w:t>
      </w:r>
      <w:r w:rsidR="5DD914CE" w:rsidRPr="00C54A33">
        <w:rPr>
          <w:rFonts w:ascii="Arial" w:eastAsia="Arial" w:hAnsi="Arial" w:cs="Arial"/>
          <w:sz w:val="18"/>
          <w:szCs w:val="18"/>
        </w:rPr>
        <w:t>03</w:t>
      </w:r>
      <w:r w:rsidR="4428C658" w:rsidRPr="00C54A33">
        <w:rPr>
          <w:rFonts w:ascii="Arial" w:eastAsia="Arial" w:hAnsi="Arial" w:cs="Arial"/>
          <w:sz w:val="18"/>
          <w:szCs w:val="18"/>
        </w:rPr>
        <w:t xml:space="preserve">/2023 </w:t>
      </w:r>
      <w:r w:rsidR="00FA6C07" w:rsidRPr="00C54A33">
        <w:rPr>
          <w:rFonts w:ascii="Arial" w:eastAsia="Times New Roman" w:hAnsi="Arial" w:cs="Arial"/>
          <w:sz w:val="18"/>
          <w:szCs w:val="18"/>
        </w:rPr>
        <w:t>–</w:t>
      </w:r>
      <w:r w:rsidR="4428C658" w:rsidRPr="00C54A33">
        <w:rPr>
          <w:rFonts w:ascii="Arial" w:eastAsia="Arial" w:hAnsi="Arial" w:cs="Arial"/>
          <w:sz w:val="18"/>
          <w:szCs w:val="18"/>
        </w:rPr>
        <w:t xml:space="preserve"> </w:t>
      </w:r>
      <w:r w:rsidR="7A2C9C7D" w:rsidRPr="00C54A33">
        <w:rPr>
          <w:rFonts w:ascii="Arial" w:eastAsia="Arial" w:hAnsi="Arial" w:cs="Arial"/>
          <w:sz w:val="18"/>
          <w:szCs w:val="18"/>
        </w:rPr>
        <w:t>0</w:t>
      </w:r>
      <w:r w:rsidR="4428C658" w:rsidRPr="00C54A33">
        <w:rPr>
          <w:rFonts w:ascii="Arial" w:eastAsia="Arial" w:hAnsi="Arial" w:cs="Arial"/>
          <w:sz w:val="18"/>
          <w:szCs w:val="18"/>
        </w:rPr>
        <w:t xml:space="preserve">3/30/2024.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920"/>
        <w:gridCol w:w="3555"/>
        <w:gridCol w:w="1980"/>
        <w:gridCol w:w="1875"/>
      </w:tblGrid>
      <w:tr w:rsidR="00952A38" w:rsidRPr="00952A38" w14:paraId="3F31F4E2" w14:textId="77777777" w:rsidTr="20F35706">
        <w:trPr>
          <w:trHeight w:val="285"/>
        </w:trPr>
        <w:tc>
          <w:tcPr>
            <w:tcW w:w="1920" w:type="dxa"/>
            <w:tcMar>
              <w:left w:w="105" w:type="dxa"/>
              <w:right w:w="105" w:type="dxa"/>
            </w:tcMar>
            <w:vAlign w:val="center"/>
          </w:tcPr>
          <w:p w14:paraId="3B9EE312" w14:textId="77777777" w:rsidR="00952A38" w:rsidRPr="00C54A33" w:rsidRDefault="00952A38" w:rsidP="20F35706">
            <w:pPr>
              <w:spacing w:line="276" w:lineRule="auto"/>
              <w:jc w:val="center"/>
              <w:rPr>
                <w:rFonts w:ascii="Arial" w:eastAsia="Arial" w:hAnsi="Arial" w:cs="Arial"/>
                <w:sz w:val="18"/>
                <w:szCs w:val="18"/>
              </w:rPr>
            </w:pPr>
            <w:r w:rsidRPr="00C54A33">
              <w:rPr>
                <w:rFonts w:ascii="Arial" w:eastAsia="Arial" w:hAnsi="Arial" w:cs="Arial"/>
                <w:b/>
                <w:bCs/>
                <w:sz w:val="18"/>
                <w:szCs w:val="18"/>
              </w:rPr>
              <w:t>Time Series 1</w:t>
            </w:r>
          </w:p>
        </w:tc>
        <w:tc>
          <w:tcPr>
            <w:tcW w:w="3555" w:type="dxa"/>
            <w:tcMar>
              <w:left w:w="105" w:type="dxa"/>
              <w:right w:w="105" w:type="dxa"/>
            </w:tcMar>
            <w:vAlign w:val="center"/>
          </w:tcPr>
          <w:p w14:paraId="5979FD9B" w14:textId="77777777" w:rsidR="00952A38" w:rsidRPr="00C54A33" w:rsidRDefault="00952A38" w:rsidP="20F35706">
            <w:pPr>
              <w:spacing w:line="276" w:lineRule="auto"/>
              <w:jc w:val="center"/>
              <w:rPr>
                <w:rFonts w:ascii="Arial" w:eastAsia="Arial" w:hAnsi="Arial" w:cs="Arial"/>
                <w:sz w:val="18"/>
                <w:szCs w:val="18"/>
              </w:rPr>
            </w:pPr>
            <w:r w:rsidRPr="00C54A33">
              <w:rPr>
                <w:rFonts w:ascii="Arial" w:eastAsia="Arial" w:hAnsi="Arial" w:cs="Arial"/>
                <w:b/>
                <w:bCs/>
                <w:sz w:val="18"/>
                <w:szCs w:val="18"/>
              </w:rPr>
              <w:t>Time Series 2</w:t>
            </w:r>
          </w:p>
        </w:tc>
        <w:tc>
          <w:tcPr>
            <w:tcW w:w="1980" w:type="dxa"/>
            <w:tcMar>
              <w:left w:w="105" w:type="dxa"/>
              <w:right w:w="105" w:type="dxa"/>
            </w:tcMar>
            <w:vAlign w:val="center"/>
          </w:tcPr>
          <w:p w14:paraId="38031BDE" w14:textId="15F2E018" w:rsidR="00952A38" w:rsidRPr="00C54A33" w:rsidRDefault="00952A38" w:rsidP="20F35706">
            <w:pPr>
              <w:spacing w:line="276" w:lineRule="auto"/>
              <w:jc w:val="center"/>
              <w:rPr>
                <w:rFonts w:ascii="Arial" w:eastAsia="Arial" w:hAnsi="Arial" w:cs="Arial"/>
                <w:sz w:val="18"/>
                <w:szCs w:val="18"/>
              </w:rPr>
            </w:pPr>
            <w:r w:rsidRPr="00C54A33">
              <w:rPr>
                <w:rFonts w:ascii="Arial" w:eastAsia="Arial" w:hAnsi="Arial" w:cs="Arial"/>
                <w:b/>
                <w:bCs/>
                <w:sz w:val="18"/>
                <w:szCs w:val="18"/>
              </w:rPr>
              <w:t>Mean correlation (PHE)*</w:t>
            </w:r>
          </w:p>
        </w:tc>
        <w:tc>
          <w:tcPr>
            <w:tcW w:w="1875" w:type="dxa"/>
            <w:tcMar>
              <w:left w:w="105" w:type="dxa"/>
              <w:right w:w="105" w:type="dxa"/>
            </w:tcMar>
            <w:vAlign w:val="center"/>
          </w:tcPr>
          <w:p w14:paraId="6A50F773" w14:textId="218BC2AD" w:rsidR="00952A38" w:rsidRPr="00C54A33" w:rsidRDefault="00952A38" w:rsidP="20F35706">
            <w:pPr>
              <w:spacing w:line="276" w:lineRule="auto"/>
              <w:jc w:val="center"/>
              <w:rPr>
                <w:rFonts w:ascii="Arial" w:eastAsia="Arial" w:hAnsi="Arial" w:cs="Arial"/>
                <w:sz w:val="18"/>
                <w:szCs w:val="18"/>
              </w:rPr>
            </w:pPr>
            <w:r w:rsidRPr="00C54A33">
              <w:rPr>
                <w:rFonts w:ascii="Arial" w:eastAsia="Arial" w:hAnsi="Arial" w:cs="Arial"/>
                <w:b/>
                <w:bCs/>
                <w:sz w:val="18"/>
                <w:szCs w:val="18"/>
              </w:rPr>
              <w:t>Mean correlation (Post-PHE)*</w:t>
            </w:r>
          </w:p>
        </w:tc>
      </w:tr>
      <w:tr w:rsidR="00952A38" w:rsidRPr="00952A38" w14:paraId="2CB1E7C2" w14:textId="77777777" w:rsidTr="20F35706">
        <w:trPr>
          <w:trHeight w:val="285"/>
        </w:trPr>
        <w:tc>
          <w:tcPr>
            <w:tcW w:w="1920" w:type="dxa"/>
            <w:vMerge w:val="restart"/>
            <w:tcMar>
              <w:left w:w="105" w:type="dxa"/>
              <w:right w:w="105" w:type="dxa"/>
            </w:tcMar>
            <w:vAlign w:val="center"/>
          </w:tcPr>
          <w:p w14:paraId="7A8C5079" w14:textId="760C066A" w:rsidR="00952A38" w:rsidRPr="00C54A33" w:rsidRDefault="00952A38" w:rsidP="20F35706">
            <w:pPr>
              <w:spacing w:line="276" w:lineRule="auto"/>
              <w:jc w:val="center"/>
              <w:rPr>
                <w:rFonts w:ascii="Arial" w:eastAsia="Arial" w:hAnsi="Arial" w:cs="Arial"/>
                <w:sz w:val="18"/>
                <w:szCs w:val="18"/>
              </w:rPr>
            </w:pPr>
            <w:r w:rsidRPr="00C54A33">
              <w:rPr>
                <w:rFonts w:ascii="Arial" w:eastAsia="Arial" w:hAnsi="Arial" w:cs="Arial"/>
                <w:sz w:val="18"/>
                <w:szCs w:val="18"/>
              </w:rPr>
              <w:t>Finalized hospital admissions</w:t>
            </w:r>
            <w:r w:rsidR="006677D2" w:rsidRPr="00C54A33">
              <w:rPr>
                <w:rFonts w:ascii="Arial" w:eastAsia="Arial" w:hAnsi="Arial" w:cs="Arial"/>
                <w:sz w:val="18"/>
                <w:szCs w:val="18"/>
              </w:rPr>
              <w:t>*</w:t>
            </w:r>
          </w:p>
        </w:tc>
        <w:tc>
          <w:tcPr>
            <w:tcW w:w="3555" w:type="dxa"/>
            <w:tcMar>
              <w:left w:w="105" w:type="dxa"/>
              <w:right w:w="105" w:type="dxa"/>
            </w:tcMar>
            <w:vAlign w:val="center"/>
          </w:tcPr>
          <w:p w14:paraId="73F83202" w14:textId="4616FEA0" w:rsidR="00952A38" w:rsidRPr="00C54A33" w:rsidRDefault="458D2562" w:rsidP="20F35706">
            <w:pPr>
              <w:spacing w:line="276" w:lineRule="auto"/>
              <w:jc w:val="center"/>
              <w:rPr>
                <w:rFonts w:ascii="Arial" w:eastAsia="Arial" w:hAnsi="Arial" w:cs="Arial"/>
                <w:sz w:val="18"/>
                <w:szCs w:val="18"/>
              </w:rPr>
            </w:pPr>
            <w:r w:rsidRPr="00C54A33">
              <w:rPr>
                <w:rFonts w:ascii="Arial" w:eastAsia="Arial" w:hAnsi="Arial" w:cs="Arial"/>
                <w:sz w:val="18"/>
                <w:szCs w:val="18"/>
              </w:rPr>
              <w:t>Real-time hospital admissions</w:t>
            </w:r>
            <w:r w:rsidR="006677D2" w:rsidRPr="00C54A33">
              <w:rPr>
                <w:rFonts w:ascii="Arial" w:eastAsia="Arial" w:hAnsi="Arial" w:cs="Arial"/>
                <w:sz w:val="18"/>
                <w:szCs w:val="18"/>
              </w:rPr>
              <w:t>*</w:t>
            </w:r>
          </w:p>
        </w:tc>
        <w:tc>
          <w:tcPr>
            <w:tcW w:w="1980" w:type="dxa"/>
            <w:tcMar>
              <w:left w:w="105" w:type="dxa"/>
              <w:right w:w="105" w:type="dxa"/>
            </w:tcMar>
            <w:vAlign w:val="center"/>
          </w:tcPr>
          <w:p w14:paraId="13A360E7" w14:textId="768452FE" w:rsidR="00952A38" w:rsidRPr="00C54A33" w:rsidRDefault="458D2562" w:rsidP="20F35706">
            <w:pPr>
              <w:spacing w:line="276" w:lineRule="auto"/>
              <w:jc w:val="center"/>
              <w:rPr>
                <w:rFonts w:ascii="Arial" w:eastAsia="Arial" w:hAnsi="Arial" w:cs="Arial"/>
                <w:sz w:val="18"/>
                <w:szCs w:val="18"/>
              </w:rPr>
            </w:pPr>
            <w:r w:rsidRPr="00C54A33">
              <w:rPr>
                <w:rFonts w:ascii="Arial" w:eastAsia="Arial" w:hAnsi="Arial" w:cs="Arial"/>
                <w:sz w:val="18"/>
                <w:szCs w:val="18"/>
              </w:rPr>
              <w:t>0.92</w:t>
            </w:r>
            <w:r w:rsidR="1FE482D2" w:rsidRPr="00C54A33">
              <w:rPr>
                <w:rFonts w:ascii="Arial" w:eastAsia="Arial" w:hAnsi="Arial" w:cs="Arial"/>
                <w:sz w:val="18"/>
                <w:szCs w:val="18"/>
              </w:rPr>
              <w:t>0</w:t>
            </w:r>
          </w:p>
        </w:tc>
        <w:tc>
          <w:tcPr>
            <w:tcW w:w="1875" w:type="dxa"/>
            <w:tcMar>
              <w:left w:w="105" w:type="dxa"/>
              <w:right w:w="105" w:type="dxa"/>
            </w:tcMar>
            <w:vAlign w:val="center"/>
          </w:tcPr>
          <w:p w14:paraId="7DC9403A" w14:textId="6E656F1B" w:rsidR="00952A38" w:rsidRPr="00C54A33" w:rsidRDefault="1FE482D2" w:rsidP="20F35706">
            <w:pPr>
              <w:spacing w:line="276" w:lineRule="auto"/>
              <w:jc w:val="center"/>
              <w:rPr>
                <w:rFonts w:ascii="Arial" w:eastAsia="Arial" w:hAnsi="Arial" w:cs="Arial"/>
                <w:sz w:val="18"/>
                <w:szCs w:val="18"/>
              </w:rPr>
            </w:pPr>
            <w:r w:rsidRPr="00C54A33">
              <w:rPr>
                <w:rFonts w:ascii="Arial" w:eastAsia="Arial" w:hAnsi="Arial" w:cs="Arial"/>
                <w:sz w:val="18"/>
                <w:szCs w:val="18"/>
              </w:rPr>
              <w:t>N/A</w:t>
            </w:r>
          </w:p>
        </w:tc>
      </w:tr>
      <w:tr w:rsidR="00952A38" w:rsidRPr="00952A38" w14:paraId="44236990" w14:textId="77777777" w:rsidTr="20F35706">
        <w:trPr>
          <w:trHeight w:val="285"/>
        </w:trPr>
        <w:tc>
          <w:tcPr>
            <w:tcW w:w="1920" w:type="dxa"/>
            <w:vMerge/>
            <w:vAlign w:val="center"/>
          </w:tcPr>
          <w:p w14:paraId="4014CC87" w14:textId="77777777" w:rsidR="00952A38" w:rsidRPr="00C54A33" w:rsidRDefault="00952A38" w:rsidP="00347736">
            <w:pPr>
              <w:rPr>
                <w:rFonts w:ascii="Arial" w:hAnsi="Arial" w:cs="Arial"/>
                <w:sz w:val="18"/>
                <w:szCs w:val="18"/>
              </w:rPr>
            </w:pPr>
          </w:p>
        </w:tc>
        <w:tc>
          <w:tcPr>
            <w:tcW w:w="3555" w:type="dxa"/>
            <w:tcMar>
              <w:left w:w="105" w:type="dxa"/>
              <w:right w:w="105" w:type="dxa"/>
            </w:tcMar>
            <w:vAlign w:val="center"/>
          </w:tcPr>
          <w:p w14:paraId="78F722B8" w14:textId="02A68E25" w:rsidR="00952A38" w:rsidRPr="00C54A33" w:rsidRDefault="458D2562" w:rsidP="20F35706">
            <w:pPr>
              <w:spacing w:line="276" w:lineRule="auto"/>
              <w:jc w:val="center"/>
              <w:rPr>
                <w:rFonts w:ascii="Arial" w:eastAsia="Arial" w:hAnsi="Arial" w:cs="Arial"/>
                <w:sz w:val="18"/>
                <w:szCs w:val="18"/>
              </w:rPr>
            </w:pPr>
            <w:r w:rsidRPr="00C54A33">
              <w:rPr>
                <w:rFonts w:ascii="Arial" w:eastAsia="Arial" w:hAnsi="Arial" w:cs="Arial"/>
                <w:sz w:val="18"/>
                <w:szCs w:val="18"/>
              </w:rPr>
              <w:t>Real-time hospital census</w:t>
            </w:r>
          </w:p>
        </w:tc>
        <w:tc>
          <w:tcPr>
            <w:tcW w:w="1980" w:type="dxa"/>
            <w:tcMar>
              <w:left w:w="105" w:type="dxa"/>
              <w:right w:w="105" w:type="dxa"/>
            </w:tcMar>
            <w:vAlign w:val="center"/>
          </w:tcPr>
          <w:p w14:paraId="3BFBD837" w14:textId="57854B5B" w:rsidR="00952A38" w:rsidRPr="00C54A33" w:rsidRDefault="458D2562" w:rsidP="20F35706">
            <w:pPr>
              <w:spacing w:line="276" w:lineRule="auto"/>
              <w:jc w:val="center"/>
              <w:rPr>
                <w:rFonts w:ascii="Arial" w:eastAsia="Arial" w:hAnsi="Arial" w:cs="Arial"/>
                <w:sz w:val="18"/>
                <w:szCs w:val="18"/>
              </w:rPr>
            </w:pPr>
            <w:r w:rsidRPr="00C54A33">
              <w:rPr>
                <w:rFonts w:ascii="Arial" w:eastAsia="Arial" w:hAnsi="Arial" w:cs="Arial"/>
                <w:sz w:val="18"/>
                <w:szCs w:val="18"/>
              </w:rPr>
              <w:t>0.</w:t>
            </w:r>
            <w:r w:rsidR="5C025433" w:rsidRPr="00C54A33">
              <w:rPr>
                <w:rFonts w:ascii="Arial" w:eastAsia="Arial" w:hAnsi="Arial" w:cs="Arial"/>
                <w:sz w:val="18"/>
                <w:szCs w:val="18"/>
              </w:rPr>
              <w:t>861</w:t>
            </w:r>
          </w:p>
        </w:tc>
        <w:tc>
          <w:tcPr>
            <w:tcW w:w="1875" w:type="dxa"/>
            <w:tcMar>
              <w:left w:w="105" w:type="dxa"/>
              <w:right w:w="105" w:type="dxa"/>
            </w:tcMar>
            <w:vAlign w:val="center"/>
          </w:tcPr>
          <w:p w14:paraId="47A29B0F" w14:textId="536CF0E8" w:rsidR="00952A38" w:rsidRPr="00C54A33" w:rsidRDefault="5C025433" w:rsidP="20F35706">
            <w:pPr>
              <w:spacing w:line="276" w:lineRule="auto"/>
              <w:jc w:val="center"/>
              <w:rPr>
                <w:sz w:val="18"/>
                <w:szCs w:val="18"/>
              </w:rPr>
            </w:pPr>
            <w:r w:rsidRPr="00C54A33">
              <w:rPr>
                <w:rFonts w:ascii="Arial" w:eastAsia="Arial" w:hAnsi="Arial" w:cs="Arial"/>
                <w:sz w:val="18"/>
                <w:szCs w:val="18"/>
              </w:rPr>
              <w:t>0.77</w:t>
            </w:r>
            <w:r w:rsidR="3B801815" w:rsidRPr="00C54A33">
              <w:rPr>
                <w:rFonts w:ascii="Arial" w:eastAsia="Arial" w:hAnsi="Arial" w:cs="Arial"/>
                <w:sz w:val="18"/>
                <w:szCs w:val="18"/>
              </w:rPr>
              <w:t>8</w:t>
            </w:r>
          </w:p>
        </w:tc>
      </w:tr>
      <w:tr w:rsidR="00952A38" w:rsidRPr="00952A38" w14:paraId="6DD04AEB" w14:textId="77777777" w:rsidTr="20F35706">
        <w:trPr>
          <w:trHeight w:val="285"/>
        </w:trPr>
        <w:tc>
          <w:tcPr>
            <w:tcW w:w="1920" w:type="dxa"/>
            <w:vMerge/>
            <w:vAlign w:val="center"/>
          </w:tcPr>
          <w:p w14:paraId="1D958E5C" w14:textId="77777777" w:rsidR="00952A38" w:rsidRPr="00C54A33" w:rsidRDefault="00952A38" w:rsidP="00347736">
            <w:pPr>
              <w:rPr>
                <w:rFonts w:ascii="Arial" w:hAnsi="Arial" w:cs="Arial"/>
                <w:sz w:val="18"/>
                <w:szCs w:val="18"/>
              </w:rPr>
            </w:pPr>
          </w:p>
        </w:tc>
        <w:tc>
          <w:tcPr>
            <w:tcW w:w="3555" w:type="dxa"/>
            <w:tcMar>
              <w:left w:w="105" w:type="dxa"/>
              <w:right w:w="105" w:type="dxa"/>
            </w:tcMar>
            <w:vAlign w:val="center"/>
          </w:tcPr>
          <w:p w14:paraId="0D83191F" w14:textId="173107E7" w:rsidR="00952A38" w:rsidRPr="00C54A33" w:rsidRDefault="00952A38" w:rsidP="20F35706">
            <w:pPr>
              <w:spacing w:line="276" w:lineRule="auto"/>
              <w:jc w:val="center"/>
              <w:rPr>
                <w:rFonts w:ascii="Arial" w:eastAsia="Arial" w:hAnsi="Arial" w:cs="Arial"/>
                <w:sz w:val="18"/>
                <w:szCs w:val="18"/>
              </w:rPr>
            </w:pPr>
            <w:r w:rsidRPr="00C54A33">
              <w:rPr>
                <w:rFonts w:ascii="Arial" w:eastAsia="Arial" w:hAnsi="Arial" w:cs="Arial"/>
                <w:sz w:val="18"/>
                <w:szCs w:val="18"/>
              </w:rPr>
              <w:t>Syndromic surveillance</w:t>
            </w:r>
            <w:r w:rsidR="00055653" w:rsidRPr="00C54A33">
              <w:rPr>
                <w:rFonts w:ascii="Arial" w:eastAsia="Arial" w:hAnsi="Arial" w:cs="Arial"/>
                <w:sz w:val="18"/>
                <w:szCs w:val="18"/>
              </w:rPr>
              <w:t xml:space="preserve"> (</w:t>
            </w:r>
            <w:r w:rsidRPr="00C54A33">
              <w:rPr>
                <w:rFonts w:ascii="Arial" w:eastAsia="Arial" w:hAnsi="Arial" w:cs="Arial"/>
                <w:sz w:val="18"/>
                <w:szCs w:val="18"/>
              </w:rPr>
              <w:t>t</w:t>
            </w:r>
            <w:r w:rsidR="00FA6C07" w:rsidRPr="00C54A33">
              <w:rPr>
                <w:rFonts w:ascii="Arial" w:eastAsia="Arial" w:hAnsi="Arial" w:cs="Arial"/>
                <w:sz w:val="18"/>
                <w:szCs w:val="18"/>
              </w:rPr>
              <w:t xml:space="preserve"> </w:t>
            </w:r>
            <w:r w:rsidR="00FA6C07" w:rsidRPr="00C54A33">
              <w:rPr>
                <w:rFonts w:ascii="Arial" w:eastAsia="Times New Roman" w:hAnsi="Arial" w:cs="Arial"/>
                <w:sz w:val="18"/>
                <w:szCs w:val="18"/>
              </w:rPr>
              <w:t xml:space="preserve">– </w:t>
            </w:r>
            <w:r w:rsidRPr="00C54A33">
              <w:rPr>
                <w:rFonts w:ascii="Arial" w:eastAsia="Arial" w:hAnsi="Arial" w:cs="Arial"/>
                <w:sz w:val="18"/>
                <w:szCs w:val="18"/>
              </w:rPr>
              <w:t>1</w:t>
            </w:r>
            <w:r w:rsidR="00055653" w:rsidRPr="00C54A33">
              <w:rPr>
                <w:rFonts w:ascii="Arial" w:eastAsia="Arial" w:hAnsi="Arial" w:cs="Arial"/>
                <w:sz w:val="18"/>
                <w:szCs w:val="18"/>
              </w:rPr>
              <w:t>)</w:t>
            </w:r>
          </w:p>
        </w:tc>
        <w:tc>
          <w:tcPr>
            <w:tcW w:w="1980" w:type="dxa"/>
            <w:tcMar>
              <w:left w:w="105" w:type="dxa"/>
              <w:right w:w="105" w:type="dxa"/>
            </w:tcMar>
            <w:vAlign w:val="center"/>
          </w:tcPr>
          <w:p w14:paraId="7967687D" w14:textId="5039644F" w:rsidR="00952A38" w:rsidRPr="00C54A33" w:rsidRDefault="58C9FDFB" w:rsidP="20F35706">
            <w:pPr>
              <w:spacing w:line="276" w:lineRule="auto"/>
              <w:jc w:val="center"/>
              <w:rPr>
                <w:sz w:val="18"/>
                <w:szCs w:val="18"/>
              </w:rPr>
            </w:pPr>
            <w:r w:rsidRPr="00C54A33">
              <w:rPr>
                <w:rFonts w:ascii="Arial" w:eastAsia="Arial" w:hAnsi="Arial" w:cs="Arial"/>
                <w:sz w:val="18"/>
                <w:szCs w:val="18"/>
              </w:rPr>
              <w:t>0.882</w:t>
            </w:r>
          </w:p>
        </w:tc>
        <w:tc>
          <w:tcPr>
            <w:tcW w:w="1875" w:type="dxa"/>
            <w:tcMar>
              <w:left w:w="105" w:type="dxa"/>
              <w:right w:w="105" w:type="dxa"/>
            </w:tcMar>
            <w:vAlign w:val="center"/>
          </w:tcPr>
          <w:p w14:paraId="0F208663" w14:textId="6DED6068" w:rsidR="00952A38" w:rsidRPr="00C54A33" w:rsidRDefault="58C9FDFB" w:rsidP="20F35706">
            <w:pPr>
              <w:spacing w:line="276" w:lineRule="auto"/>
              <w:jc w:val="center"/>
              <w:rPr>
                <w:sz w:val="18"/>
                <w:szCs w:val="18"/>
              </w:rPr>
            </w:pPr>
            <w:r w:rsidRPr="00C54A33">
              <w:rPr>
                <w:rFonts w:ascii="Arial" w:eastAsia="Arial" w:hAnsi="Arial" w:cs="Arial"/>
                <w:sz w:val="18"/>
                <w:szCs w:val="18"/>
              </w:rPr>
              <w:t>0.867</w:t>
            </w:r>
          </w:p>
        </w:tc>
      </w:tr>
      <w:tr w:rsidR="00952A38" w:rsidRPr="00952A38" w14:paraId="4C5F42BD" w14:textId="77777777" w:rsidTr="20F35706">
        <w:trPr>
          <w:trHeight w:val="285"/>
        </w:trPr>
        <w:tc>
          <w:tcPr>
            <w:tcW w:w="1920" w:type="dxa"/>
            <w:vMerge/>
            <w:vAlign w:val="center"/>
          </w:tcPr>
          <w:p w14:paraId="6AD71A18" w14:textId="77777777" w:rsidR="00952A38" w:rsidRPr="00C54A33" w:rsidRDefault="00952A38" w:rsidP="00347736">
            <w:pPr>
              <w:rPr>
                <w:rFonts w:ascii="Arial" w:hAnsi="Arial" w:cs="Arial"/>
                <w:sz w:val="18"/>
                <w:szCs w:val="18"/>
              </w:rPr>
            </w:pPr>
          </w:p>
        </w:tc>
        <w:tc>
          <w:tcPr>
            <w:tcW w:w="3555" w:type="dxa"/>
            <w:tcMar>
              <w:left w:w="105" w:type="dxa"/>
              <w:right w:w="105" w:type="dxa"/>
            </w:tcMar>
            <w:vAlign w:val="center"/>
          </w:tcPr>
          <w:p w14:paraId="59110D51" w14:textId="17A8FB81" w:rsidR="00952A38" w:rsidRPr="00C54A33" w:rsidRDefault="00952A38" w:rsidP="20F35706">
            <w:pPr>
              <w:spacing w:line="276" w:lineRule="auto"/>
              <w:jc w:val="center"/>
              <w:rPr>
                <w:rFonts w:ascii="Arial" w:eastAsia="Arial" w:hAnsi="Arial" w:cs="Arial"/>
                <w:sz w:val="18"/>
                <w:szCs w:val="18"/>
              </w:rPr>
            </w:pPr>
            <w:r w:rsidRPr="00C54A33">
              <w:rPr>
                <w:rFonts w:ascii="Arial" w:eastAsia="Arial" w:hAnsi="Arial" w:cs="Arial"/>
                <w:sz w:val="18"/>
                <w:szCs w:val="18"/>
              </w:rPr>
              <w:t>Real-time reported cases</w:t>
            </w:r>
            <w:r w:rsidR="006677D2" w:rsidRPr="00C54A33">
              <w:rPr>
                <w:rFonts w:ascii="Arial" w:eastAsia="Arial" w:hAnsi="Arial" w:cs="Arial"/>
                <w:sz w:val="18"/>
                <w:szCs w:val="18"/>
              </w:rPr>
              <w:t>*</w:t>
            </w:r>
            <w:r w:rsidRPr="00C54A33">
              <w:rPr>
                <w:rFonts w:ascii="Arial" w:eastAsia="Arial" w:hAnsi="Arial" w:cs="Arial"/>
                <w:sz w:val="18"/>
                <w:szCs w:val="18"/>
              </w:rPr>
              <w:t xml:space="preserve"> </w:t>
            </w:r>
            <w:r w:rsidR="0082692F" w:rsidRPr="00C54A33">
              <w:rPr>
                <w:rFonts w:ascii="Arial" w:eastAsia="Arial" w:hAnsi="Arial" w:cs="Arial"/>
                <w:sz w:val="18"/>
                <w:szCs w:val="18"/>
              </w:rPr>
              <w:t>(</w:t>
            </w:r>
            <w:r w:rsidRPr="00C54A33">
              <w:rPr>
                <w:rFonts w:ascii="Arial" w:eastAsia="Arial" w:hAnsi="Arial" w:cs="Arial"/>
                <w:sz w:val="18"/>
                <w:szCs w:val="18"/>
              </w:rPr>
              <w:t>t</w:t>
            </w:r>
            <w:r w:rsidR="00FA6C07" w:rsidRPr="00C54A33">
              <w:rPr>
                <w:rFonts w:ascii="Arial" w:eastAsia="Arial" w:hAnsi="Arial" w:cs="Arial"/>
                <w:sz w:val="18"/>
                <w:szCs w:val="18"/>
              </w:rPr>
              <w:t xml:space="preserve"> </w:t>
            </w:r>
            <w:r w:rsidR="00FA6C07" w:rsidRPr="00C54A33">
              <w:rPr>
                <w:rFonts w:ascii="Arial" w:eastAsia="Times New Roman" w:hAnsi="Arial" w:cs="Arial"/>
                <w:sz w:val="18"/>
                <w:szCs w:val="18"/>
              </w:rPr>
              <w:t xml:space="preserve">– </w:t>
            </w:r>
            <w:r w:rsidRPr="00C54A33">
              <w:rPr>
                <w:rFonts w:ascii="Arial" w:eastAsia="Arial" w:hAnsi="Arial" w:cs="Arial"/>
                <w:sz w:val="18"/>
                <w:szCs w:val="18"/>
              </w:rPr>
              <w:t>3</w:t>
            </w:r>
            <w:r w:rsidR="0082692F" w:rsidRPr="00C54A33">
              <w:rPr>
                <w:rFonts w:ascii="Arial" w:eastAsia="Arial" w:hAnsi="Arial" w:cs="Arial"/>
                <w:sz w:val="18"/>
                <w:szCs w:val="18"/>
              </w:rPr>
              <w:t>)</w:t>
            </w:r>
          </w:p>
        </w:tc>
        <w:tc>
          <w:tcPr>
            <w:tcW w:w="1980" w:type="dxa"/>
            <w:tcMar>
              <w:left w:w="105" w:type="dxa"/>
              <w:right w:w="105" w:type="dxa"/>
            </w:tcMar>
            <w:vAlign w:val="center"/>
          </w:tcPr>
          <w:p w14:paraId="7E38CD57" w14:textId="03AAF50C" w:rsidR="00952A38" w:rsidRPr="00C54A33" w:rsidRDefault="49C2217D" w:rsidP="20F35706">
            <w:pPr>
              <w:spacing w:line="276" w:lineRule="auto"/>
              <w:jc w:val="center"/>
              <w:rPr>
                <w:sz w:val="18"/>
                <w:szCs w:val="18"/>
              </w:rPr>
            </w:pPr>
            <w:r w:rsidRPr="00C54A33">
              <w:rPr>
                <w:rFonts w:ascii="Arial" w:eastAsia="Arial" w:hAnsi="Arial" w:cs="Arial"/>
                <w:sz w:val="18"/>
                <w:szCs w:val="18"/>
              </w:rPr>
              <w:t>0.783</w:t>
            </w:r>
          </w:p>
        </w:tc>
        <w:tc>
          <w:tcPr>
            <w:tcW w:w="1875" w:type="dxa"/>
            <w:tcMar>
              <w:left w:w="105" w:type="dxa"/>
              <w:right w:w="105" w:type="dxa"/>
            </w:tcMar>
            <w:vAlign w:val="center"/>
          </w:tcPr>
          <w:p w14:paraId="642A788A" w14:textId="04D8C139" w:rsidR="00952A38" w:rsidRPr="00C54A33" w:rsidRDefault="49C2217D" w:rsidP="20F35706">
            <w:pPr>
              <w:spacing w:line="276" w:lineRule="auto"/>
              <w:jc w:val="center"/>
              <w:rPr>
                <w:sz w:val="18"/>
                <w:szCs w:val="18"/>
              </w:rPr>
            </w:pPr>
            <w:r w:rsidRPr="00C54A33">
              <w:rPr>
                <w:rFonts w:ascii="Arial" w:eastAsia="Arial" w:hAnsi="Arial" w:cs="Arial"/>
                <w:sz w:val="18"/>
                <w:szCs w:val="18"/>
              </w:rPr>
              <w:t>0.764</w:t>
            </w:r>
          </w:p>
        </w:tc>
      </w:tr>
      <w:tr w:rsidR="00952A38" w:rsidRPr="00952A38" w14:paraId="08C51902" w14:textId="77777777" w:rsidTr="20F35706">
        <w:trPr>
          <w:trHeight w:val="285"/>
        </w:trPr>
        <w:tc>
          <w:tcPr>
            <w:tcW w:w="1920" w:type="dxa"/>
            <w:vMerge/>
            <w:vAlign w:val="center"/>
          </w:tcPr>
          <w:p w14:paraId="7D90291E" w14:textId="77777777" w:rsidR="00952A38" w:rsidRPr="00C54A33" w:rsidRDefault="00952A38" w:rsidP="00347736">
            <w:pPr>
              <w:rPr>
                <w:rFonts w:ascii="Arial" w:hAnsi="Arial" w:cs="Arial"/>
                <w:sz w:val="18"/>
                <w:szCs w:val="18"/>
              </w:rPr>
            </w:pPr>
          </w:p>
        </w:tc>
        <w:tc>
          <w:tcPr>
            <w:tcW w:w="3555" w:type="dxa"/>
            <w:tcMar>
              <w:left w:w="105" w:type="dxa"/>
              <w:right w:w="105" w:type="dxa"/>
            </w:tcMar>
            <w:vAlign w:val="center"/>
          </w:tcPr>
          <w:p w14:paraId="1E8669A6" w14:textId="3E63A5D2" w:rsidR="00952A38" w:rsidRPr="00C54A33" w:rsidRDefault="00952A38" w:rsidP="20F35706">
            <w:pPr>
              <w:spacing w:line="276" w:lineRule="auto"/>
              <w:jc w:val="center"/>
              <w:rPr>
                <w:rFonts w:ascii="Arial" w:eastAsia="Arial" w:hAnsi="Arial" w:cs="Arial"/>
                <w:sz w:val="18"/>
                <w:szCs w:val="18"/>
              </w:rPr>
            </w:pPr>
            <w:r w:rsidRPr="00C54A33">
              <w:rPr>
                <w:rFonts w:ascii="Arial" w:eastAsia="Arial" w:hAnsi="Arial" w:cs="Arial"/>
                <w:sz w:val="18"/>
                <w:szCs w:val="18"/>
              </w:rPr>
              <w:t xml:space="preserve">Wastewater </w:t>
            </w:r>
            <w:r w:rsidR="00D83323" w:rsidRPr="00C54A33">
              <w:rPr>
                <w:rFonts w:ascii="Arial" w:eastAsia="Arial" w:hAnsi="Arial" w:cs="Arial"/>
                <w:sz w:val="18"/>
                <w:szCs w:val="18"/>
              </w:rPr>
              <w:t>(</w:t>
            </w:r>
            <w:r w:rsidRPr="00C54A33">
              <w:rPr>
                <w:rFonts w:ascii="Arial" w:eastAsia="Arial" w:hAnsi="Arial" w:cs="Arial"/>
                <w:sz w:val="18"/>
                <w:szCs w:val="18"/>
              </w:rPr>
              <w:t>t</w:t>
            </w:r>
            <w:r w:rsidR="00FA6C07" w:rsidRPr="00C54A33">
              <w:rPr>
                <w:rFonts w:ascii="Arial" w:eastAsia="Arial" w:hAnsi="Arial" w:cs="Arial"/>
                <w:sz w:val="18"/>
                <w:szCs w:val="18"/>
              </w:rPr>
              <w:t xml:space="preserve"> </w:t>
            </w:r>
            <w:r w:rsidR="00FA6C07" w:rsidRPr="00C54A33">
              <w:rPr>
                <w:rFonts w:ascii="Arial" w:eastAsia="Times New Roman" w:hAnsi="Arial" w:cs="Arial"/>
                <w:sz w:val="18"/>
                <w:szCs w:val="18"/>
              </w:rPr>
              <w:t xml:space="preserve">– </w:t>
            </w:r>
            <w:r w:rsidRPr="00C54A33">
              <w:rPr>
                <w:rFonts w:ascii="Arial" w:eastAsia="Arial" w:hAnsi="Arial" w:cs="Arial"/>
                <w:sz w:val="18"/>
                <w:szCs w:val="18"/>
              </w:rPr>
              <w:t>4</w:t>
            </w:r>
            <w:r w:rsidR="00D83323" w:rsidRPr="00C54A33">
              <w:rPr>
                <w:rFonts w:ascii="Arial" w:eastAsia="Arial" w:hAnsi="Arial" w:cs="Arial"/>
                <w:sz w:val="18"/>
                <w:szCs w:val="18"/>
              </w:rPr>
              <w:t>)</w:t>
            </w:r>
          </w:p>
        </w:tc>
        <w:tc>
          <w:tcPr>
            <w:tcW w:w="1980" w:type="dxa"/>
            <w:tcMar>
              <w:left w:w="105" w:type="dxa"/>
              <w:right w:w="105" w:type="dxa"/>
            </w:tcMar>
            <w:vAlign w:val="center"/>
          </w:tcPr>
          <w:p w14:paraId="258FC1A0" w14:textId="12B67543" w:rsidR="00952A38" w:rsidRPr="00C54A33" w:rsidRDefault="3201DF81" w:rsidP="20F35706">
            <w:pPr>
              <w:spacing w:line="276" w:lineRule="auto"/>
              <w:jc w:val="center"/>
              <w:rPr>
                <w:sz w:val="18"/>
                <w:szCs w:val="18"/>
              </w:rPr>
            </w:pPr>
            <w:r w:rsidRPr="00C54A33">
              <w:rPr>
                <w:rFonts w:ascii="Arial" w:eastAsia="Arial" w:hAnsi="Arial" w:cs="Arial"/>
                <w:sz w:val="18"/>
                <w:szCs w:val="18"/>
              </w:rPr>
              <w:t>0.771</w:t>
            </w:r>
          </w:p>
        </w:tc>
        <w:tc>
          <w:tcPr>
            <w:tcW w:w="1875" w:type="dxa"/>
            <w:tcMar>
              <w:left w:w="105" w:type="dxa"/>
              <w:right w:w="105" w:type="dxa"/>
            </w:tcMar>
            <w:vAlign w:val="center"/>
          </w:tcPr>
          <w:p w14:paraId="1703D312" w14:textId="025B7393" w:rsidR="00952A38" w:rsidRPr="00C54A33" w:rsidRDefault="3201DF81" w:rsidP="20F35706">
            <w:pPr>
              <w:spacing w:line="276" w:lineRule="auto"/>
              <w:jc w:val="center"/>
              <w:rPr>
                <w:sz w:val="18"/>
                <w:szCs w:val="18"/>
              </w:rPr>
            </w:pPr>
            <w:r w:rsidRPr="00C54A33">
              <w:rPr>
                <w:rFonts w:ascii="Arial" w:eastAsia="Arial" w:hAnsi="Arial" w:cs="Arial"/>
                <w:sz w:val="18"/>
                <w:szCs w:val="18"/>
              </w:rPr>
              <w:t>0.68</w:t>
            </w:r>
            <w:r w:rsidR="4CE5B062" w:rsidRPr="00C54A33">
              <w:rPr>
                <w:rFonts w:ascii="Arial" w:eastAsia="Arial" w:hAnsi="Arial" w:cs="Arial"/>
                <w:sz w:val="18"/>
                <w:szCs w:val="18"/>
              </w:rPr>
              <w:t>4</w:t>
            </w:r>
          </w:p>
        </w:tc>
      </w:tr>
      <w:tr w:rsidR="00952A38" w:rsidRPr="00952A38" w14:paraId="4DF9C2D0" w14:textId="77777777" w:rsidTr="20F35706">
        <w:trPr>
          <w:trHeight w:val="285"/>
        </w:trPr>
        <w:tc>
          <w:tcPr>
            <w:tcW w:w="1920" w:type="dxa"/>
            <w:vMerge/>
            <w:vAlign w:val="center"/>
          </w:tcPr>
          <w:p w14:paraId="0C5D0F70" w14:textId="77777777" w:rsidR="00952A38" w:rsidRPr="00C54A33" w:rsidRDefault="00952A38" w:rsidP="00347736">
            <w:pPr>
              <w:rPr>
                <w:rFonts w:ascii="Arial" w:hAnsi="Arial" w:cs="Arial"/>
                <w:sz w:val="18"/>
                <w:szCs w:val="18"/>
              </w:rPr>
            </w:pPr>
          </w:p>
        </w:tc>
        <w:tc>
          <w:tcPr>
            <w:tcW w:w="3555" w:type="dxa"/>
            <w:tcMar>
              <w:left w:w="105" w:type="dxa"/>
              <w:right w:w="105" w:type="dxa"/>
            </w:tcMar>
            <w:vAlign w:val="center"/>
          </w:tcPr>
          <w:p w14:paraId="6925E785" w14:textId="48C54E1E" w:rsidR="00952A38" w:rsidRPr="00C54A33" w:rsidRDefault="00952A38" w:rsidP="20F35706">
            <w:pPr>
              <w:spacing w:line="276" w:lineRule="auto"/>
              <w:jc w:val="center"/>
              <w:rPr>
                <w:rFonts w:ascii="Arial" w:eastAsia="Arial" w:hAnsi="Arial" w:cs="Arial"/>
                <w:sz w:val="18"/>
                <w:szCs w:val="18"/>
              </w:rPr>
            </w:pPr>
            <w:r w:rsidRPr="00C54A33">
              <w:rPr>
                <w:rFonts w:ascii="Arial" w:eastAsia="Arial" w:hAnsi="Arial" w:cs="Arial"/>
                <w:sz w:val="18"/>
                <w:szCs w:val="18"/>
              </w:rPr>
              <w:t xml:space="preserve">Sentinel positivity </w:t>
            </w:r>
            <w:r w:rsidR="00D83323" w:rsidRPr="00C54A33">
              <w:rPr>
                <w:rFonts w:ascii="Arial" w:eastAsia="Arial" w:hAnsi="Arial" w:cs="Arial"/>
                <w:sz w:val="18"/>
                <w:szCs w:val="18"/>
              </w:rPr>
              <w:t>(</w:t>
            </w:r>
            <w:r w:rsidRPr="00C54A33">
              <w:rPr>
                <w:rFonts w:ascii="Arial" w:eastAsia="Arial" w:hAnsi="Arial" w:cs="Arial"/>
                <w:sz w:val="18"/>
                <w:szCs w:val="18"/>
              </w:rPr>
              <w:t>t</w:t>
            </w:r>
            <w:r w:rsidR="00FA6C07" w:rsidRPr="00C54A33">
              <w:rPr>
                <w:rFonts w:ascii="Arial" w:eastAsia="Arial" w:hAnsi="Arial" w:cs="Arial"/>
                <w:sz w:val="18"/>
                <w:szCs w:val="18"/>
              </w:rPr>
              <w:t xml:space="preserve"> </w:t>
            </w:r>
            <w:r w:rsidR="00FA6C07" w:rsidRPr="00C54A33">
              <w:rPr>
                <w:rFonts w:ascii="Arial" w:eastAsia="Times New Roman" w:hAnsi="Arial" w:cs="Arial"/>
                <w:sz w:val="18"/>
                <w:szCs w:val="18"/>
              </w:rPr>
              <w:t xml:space="preserve">– </w:t>
            </w:r>
            <w:r w:rsidRPr="00C54A33">
              <w:rPr>
                <w:rFonts w:ascii="Arial" w:eastAsia="Arial" w:hAnsi="Arial" w:cs="Arial"/>
                <w:sz w:val="18"/>
                <w:szCs w:val="18"/>
              </w:rPr>
              <w:t>7</w:t>
            </w:r>
            <w:r w:rsidR="00D83323" w:rsidRPr="00C54A33">
              <w:rPr>
                <w:rFonts w:ascii="Arial" w:eastAsia="Arial" w:hAnsi="Arial" w:cs="Arial"/>
                <w:sz w:val="18"/>
                <w:szCs w:val="18"/>
              </w:rPr>
              <w:t>)</w:t>
            </w:r>
          </w:p>
        </w:tc>
        <w:tc>
          <w:tcPr>
            <w:tcW w:w="1980" w:type="dxa"/>
            <w:tcMar>
              <w:left w:w="105" w:type="dxa"/>
              <w:right w:w="105" w:type="dxa"/>
            </w:tcMar>
            <w:vAlign w:val="center"/>
          </w:tcPr>
          <w:p w14:paraId="6E2FBD1E" w14:textId="255581E2" w:rsidR="00952A38" w:rsidRPr="00C54A33" w:rsidRDefault="0AB51877" w:rsidP="20F35706">
            <w:pPr>
              <w:spacing w:line="276" w:lineRule="auto"/>
              <w:jc w:val="center"/>
              <w:rPr>
                <w:sz w:val="18"/>
                <w:szCs w:val="18"/>
              </w:rPr>
            </w:pPr>
            <w:r w:rsidRPr="00C54A33">
              <w:rPr>
                <w:rFonts w:ascii="Arial" w:eastAsia="Arial" w:hAnsi="Arial" w:cs="Arial"/>
                <w:sz w:val="18"/>
                <w:szCs w:val="18"/>
              </w:rPr>
              <w:t>0.525</w:t>
            </w:r>
          </w:p>
        </w:tc>
        <w:tc>
          <w:tcPr>
            <w:tcW w:w="1875" w:type="dxa"/>
            <w:tcMar>
              <w:left w:w="105" w:type="dxa"/>
              <w:right w:w="105" w:type="dxa"/>
            </w:tcMar>
            <w:vAlign w:val="center"/>
          </w:tcPr>
          <w:p w14:paraId="38772601" w14:textId="6CD949CD" w:rsidR="00952A38" w:rsidRPr="00C54A33" w:rsidRDefault="0AB51877" w:rsidP="20F35706">
            <w:pPr>
              <w:spacing w:line="276" w:lineRule="auto"/>
              <w:jc w:val="center"/>
              <w:rPr>
                <w:sz w:val="18"/>
                <w:szCs w:val="18"/>
              </w:rPr>
            </w:pPr>
            <w:r w:rsidRPr="00C54A33">
              <w:rPr>
                <w:rFonts w:ascii="Arial" w:eastAsia="Arial" w:hAnsi="Arial" w:cs="Arial"/>
                <w:sz w:val="18"/>
                <w:szCs w:val="18"/>
              </w:rPr>
              <w:t>0.501</w:t>
            </w:r>
          </w:p>
        </w:tc>
      </w:tr>
      <w:tr w:rsidR="00952A38" w:rsidRPr="00952A38" w14:paraId="6320C9D0" w14:textId="77777777" w:rsidTr="20F35706">
        <w:trPr>
          <w:trHeight w:val="285"/>
        </w:trPr>
        <w:tc>
          <w:tcPr>
            <w:tcW w:w="1920" w:type="dxa"/>
            <w:vMerge/>
            <w:vAlign w:val="center"/>
          </w:tcPr>
          <w:p w14:paraId="01B38639" w14:textId="77777777" w:rsidR="00952A38" w:rsidRPr="00C54A33" w:rsidRDefault="00952A38" w:rsidP="00347736">
            <w:pPr>
              <w:rPr>
                <w:rFonts w:ascii="Arial" w:hAnsi="Arial" w:cs="Arial"/>
                <w:sz w:val="18"/>
                <w:szCs w:val="18"/>
              </w:rPr>
            </w:pPr>
          </w:p>
        </w:tc>
        <w:tc>
          <w:tcPr>
            <w:tcW w:w="3555" w:type="dxa"/>
            <w:tcMar>
              <w:left w:w="105" w:type="dxa"/>
              <w:right w:w="105" w:type="dxa"/>
            </w:tcMar>
            <w:vAlign w:val="center"/>
          </w:tcPr>
          <w:p w14:paraId="5F30F852" w14:textId="030EF9F3" w:rsidR="00952A38" w:rsidRPr="00C54A33" w:rsidRDefault="00952A38" w:rsidP="20F35706">
            <w:pPr>
              <w:spacing w:line="276" w:lineRule="auto"/>
              <w:jc w:val="center"/>
              <w:rPr>
                <w:rFonts w:ascii="Arial" w:eastAsia="Arial" w:hAnsi="Arial" w:cs="Arial"/>
                <w:sz w:val="18"/>
                <w:szCs w:val="18"/>
              </w:rPr>
            </w:pPr>
            <w:r w:rsidRPr="00C54A33">
              <w:rPr>
                <w:rFonts w:ascii="Arial" w:eastAsia="Arial" w:hAnsi="Arial" w:cs="Arial"/>
                <w:sz w:val="18"/>
                <w:szCs w:val="18"/>
              </w:rPr>
              <w:t>Statewide positivity</w:t>
            </w:r>
            <w:r w:rsidR="006677D2" w:rsidRPr="00C54A33">
              <w:rPr>
                <w:rFonts w:ascii="Arial" w:eastAsia="Arial" w:hAnsi="Arial" w:cs="Arial"/>
                <w:sz w:val="18"/>
                <w:szCs w:val="18"/>
              </w:rPr>
              <w:t>*</w:t>
            </w:r>
            <w:r w:rsidRPr="00C54A33">
              <w:rPr>
                <w:rFonts w:ascii="Arial" w:eastAsia="Arial" w:hAnsi="Arial" w:cs="Arial"/>
                <w:sz w:val="18"/>
                <w:szCs w:val="18"/>
              </w:rPr>
              <w:t xml:space="preserve"> </w:t>
            </w:r>
            <w:r w:rsidR="00D83323" w:rsidRPr="00C54A33">
              <w:rPr>
                <w:rFonts w:ascii="Arial" w:eastAsia="Arial" w:hAnsi="Arial" w:cs="Arial"/>
                <w:sz w:val="18"/>
                <w:szCs w:val="18"/>
              </w:rPr>
              <w:t>(</w:t>
            </w:r>
            <w:r w:rsidRPr="00C54A33">
              <w:rPr>
                <w:rFonts w:ascii="Arial" w:eastAsia="Arial" w:hAnsi="Arial" w:cs="Arial"/>
                <w:sz w:val="18"/>
                <w:szCs w:val="18"/>
              </w:rPr>
              <w:t>t</w:t>
            </w:r>
            <w:r w:rsidR="00FA6C07" w:rsidRPr="00C54A33">
              <w:rPr>
                <w:rFonts w:ascii="Arial" w:eastAsia="Arial" w:hAnsi="Arial" w:cs="Arial"/>
                <w:sz w:val="18"/>
                <w:szCs w:val="18"/>
              </w:rPr>
              <w:t xml:space="preserve"> </w:t>
            </w:r>
            <w:r w:rsidR="00FA6C07" w:rsidRPr="00C54A33">
              <w:rPr>
                <w:rFonts w:ascii="Arial" w:eastAsia="Times New Roman" w:hAnsi="Arial" w:cs="Arial"/>
                <w:sz w:val="18"/>
                <w:szCs w:val="18"/>
              </w:rPr>
              <w:t xml:space="preserve">– </w:t>
            </w:r>
            <w:r w:rsidR="00D83323" w:rsidRPr="00C54A33">
              <w:rPr>
                <w:rFonts w:ascii="Arial" w:eastAsia="Arial" w:hAnsi="Arial" w:cs="Arial"/>
                <w:sz w:val="18"/>
                <w:szCs w:val="18"/>
              </w:rPr>
              <w:t>4)</w:t>
            </w:r>
          </w:p>
        </w:tc>
        <w:tc>
          <w:tcPr>
            <w:tcW w:w="1980" w:type="dxa"/>
            <w:tcMar>
              <w:left w:w="105" w:type="dxa"/>
              <w:right w:w="105" w:type="dxa"/>
            </w:tcMar>
            <w:vAlign w:val="center"/>
          </w:tcPr>
          <w:p w14:paraId="74B343CB" w14:textId="6B1D8103" w:rsidR="00952A38" w:rsidRPr="00C54A33" w:rsidRDefault="0FC03F99" w:rsidP="20F35706">
            <w:pPr>
              <w:spacing w:line="276" w:lineRule="auto"/>
              <w:jc w:val="center"/>
              <w:rPr>
                <w:sz w:val="18"/>
                <w:szCs w:val="18"/>
              </w:rPr>
            </w:pPr>
            <w:r w:rsidRPr="00C54A33">
              <w:rPr>
                <w:rFonts w:ascii="Arial" w:eastAsia="Arial" w:hAnsi="Arial" w:cs="Arial"/>
                <w:sz w:val="18"/>
                <w:szCs w:val="18"/>
              </w:rPr>
              <w:t>0.667</w:t>
            </w:r>
          </w:p>
        </w:tc>
        <w:tc>
          <w:tcPr>
            <w:tcW w:w="1875" w:type="dxa"/>
            <w:tcMar>
              <w:left w:w="105" w:type="dxa"/>
              <w:right w:w="105" w:type="dxa"/>
            </w:tcMar>
            <w:vAlign w:val="center"/>
          </w:tcPr>
          <w:p w14:paraId="1C3CCA12" w14:textId="3EBBC597" w:rsidR="00952A38" w:rsidRPr="00C54A33" w:rsidRDefault="0FC03F99" w:rsidP="20F35706">
            <w:pPr>
              <w:spacing w:line="276" w:lineRule="auto"/>
              <w:jc w:val="center"/>
              <w:rPr>
                <w:sz w:val="18"/>
                <w:szCs w:val="18"/>
              </w:rPr>
            </w:pPr>
            <w:r w:rsidRPr="00C54A33">
              <w:rPr>
                <w:rFonts w:ascii="Arial" w:eastAsia="Arial" w:hAnsi="Arial" w:cs="Arial"/>
                <w:sz w:val="18"/>
                <w:szCs w:val="18"/>
              </w:rPr>
              <w:t>0.547</w:t>
            </w:r>
          </w:p>
        </w:tc>
      </w:tr>
    </w:tbl>
    <w:p w14:paraId="468650EB" w14:textId="77777777" w:rsidR="00C54A33" w:rsidRDefault="00C54A33" w:rsidP="00C54A33">
      <w:pPr>
        <w:spacing w:after="0" w:line="276" w:lineRule="auto"/>
        <w:rPr>
          <w:rFonts w:ascii="Arial" w:eastAsia="Cambria" w:hAnsi="Arial" w:cs="Arial"/>
          <w:color w:val="000000" w:themeColor="text1"/>
          <w:sz w:val="16"/>
          <w:szCs w:val="16"/>
        </w:rPr>
      </w:pPr>
    </w:p>
    <w:p w14:paraId="510E573C" w14:textId="70249573" w:rsidR="00751CC2" w:rsidRPr="00C54A33" w:rsidRDefault="006677D2" w:rsidP="20F35706">
      <w:pPr>
        <w:spacing w:line="276" w:lineRule="auto"/>
        <w:rPr>
          <w:sz w:val="16"/>
          <w:szCs w:val="16"/>
        </w:rPr>
      </w:pPr>
      <w:r w:rsidRPr="00C54A33">
        <w:rPr>
          <w:rFonts w:ascii="Arial" w:eastAsia="Cambria" w:hAnsi="Arial" w:cs="Arial"/>
          <w:color w:val="000000" w:themeColor="text1"/>
          <w:sz w:val="16"/>
          <w:szCs w:val="16"/>
        </w:rPr>
        <w:t>*</w:t>
      </w:r>
      <w:r w:rsidR="00C54A33" w:rsidRPr="00C54A33">
        <w:rPr>
          <w:rFonts w:ascii="Arial" w:eastAsia="Cambria" w:hAnsi="Arial" w:cs="Arial"/>
          <w:color w:val="000000" w:themeColor="text1"/>
          <w:sz w:val="16"/>
          <w:szCs w:val="16"/>
        </w:rPr>
        <w:t xml:space="preserve">given as </w:t>
      </w:r>
      <w:r w:rsidRPr="00C54A33">
        <w:rPr>
          <w:rFonts w:ascii="Arial" w:eastAsia="Cambria" w:hAnsi="Arial" w:cs="Arial"/>
          <w:color w:val="000000" w:themeColor="text1"/>
          <w:sz w:val="16"/>
          <w:szCs w:val="16"/>
        </w:rPr>
        <w:t>7-day moving average</w:t>
      </w:r>
    </w:p>
    <w:p w14:paraId="60B928A2" w14:textId="77777777" w:rsidR="002B40CB" w:rsidRDefault="002B40CB" w:rsidP="20F35706">
      <w:pPr>
        <w:spacing w:line="276" w:lineRule="auto"/>
      </w:pPr>
    </w:p>
    <w:p w14:paraId="133C2D69" w14:textId="77777777" w:rsidR="002B40CB" w:rsidRDefault="002B40CB" w:rsidP="20F35706">
      <w:pPr>
        <w:spacing w:line="276" w:lineRule="auto"/>
      </w:pPr>
    </w:p>
    <w:p w14:paraId="45F2BE60" w14:textId="77777777" w:rsidR="002B40CB" w:rsidRDefault="002B40CB" w:rsidP="20F35706">
      <w:pPr>
        <w:spacing w:line="276" w:lineRule="auto"/>
      </w:pPr>
    </w:p>
    <w:p w14:paraId="632B5424" w14:textId="77777777" w:rsidR="002B40CB" w:rsidRDefault="002B40CB" w:rsidP="20F35706">
      <w:pPr>
        <w:spacing w:line="276" w:lineRule="auto"/>
      </w:pPr>
    </w:p>
    <w:p w14:paraId="2FD63776" w14:textId="77777777" w:rsidR="002B40CB" w:rsidRDefault="002B40CB" w:rsidP="20F35706">
      <w:pPr>
        <w:spacing w:line="276" w:lineRule="auto"/>
      </w:pPr>
    </w:p>
    <w:p w14:paraId="3B023686" w14:textId="77777777" w:rsidR="002B40CB" w:rsidRDefault="002B40CB" w:rsidP="20F35706">
      <w:pPr>
        <w:spacing w:line="276" w:lineRule="auto"/>
      </w:pPr>
    </w:p>
    <w:p w14:paraId="18481009" w14:textId="77777777" w:rsidR="002B40CB" w:rsidRDefault="002B40CB" w:rsidP="20F35706">
      <w:pPr>
        <w:spacing w:line="276" w:lineRule="auto"/>
      </w:pPr>
    </w:p>
    <w:p w14:paraId="3D1C52C5" w14:textId="77777777" w:rsidR="002B40CB" w:rsidRDefault="002B40CB" w:rsidP="20F35706">
      <w:pPr>
        <w:spacing w:line="276" w:lineRule="auto"/>
      </w:pPr>
    </w:p>
    <w:p w14:paraId="549535A2" w14:textId="77777777" w:rsidR="002B40CB" w:rsidRDefault="002B40CB" w:rsidP="20F35706">
      <w:pPr>
        <w:spacing w:line="276" w:lineRule="auto"/>
      </w:pPr>
    </w:p>
    <w:p w14:paraId="1A35233E" w14:textId="77777777" w:rsidR="002B40CB" w:rsidRDefault="002B40CB" w:rsidP="20F35706">
      <w:pPr>
        <w:spacing w:line="276" w:lineRule="auto"/>
      </w:pPr>
    </w:p>
    <w:p w14:paraId="20CF185D" w14:textId="77777777" w:rsidR="002B40CB" w:rsidRDefault="002B40CB" w:rsidP="20F35706">
      <w:pPr>
        <w:spacing w:line="276" w:lineRule="auto"/>
      </w:pPr>
    </w:p>
    <w:p w14:paraId="7B63FBAD" w14:textId="77777777" w:rsidR="002B40CB" w:rsidRDefault="002B40CB" w:rsidP="20F35706">
      <w:pPr>
        <w:spacing w:line="276" w:lineRule="auto"/>
      </w:pPr>
    </w:p>
    <w:p w14:paraId="344D0632" w14:textId="77777777" w:rsidR="002B40CB" w:rsidRDefault="002B40CB" w:rsidP="20F35706">
      <w:pPr>
        <w:spacing w:line="276" w:lineRule="auto"/>
      </w:pPr>
    </w:p>
    <w:p w14:paraId="5FA7B7AE" w14:textId="77777777" w:rsidR="002B40CB" w:rsidRDefault="002B40CB" w:rsidP="20F35706">
      <w:pPr>
        <w:spacing w:line="276" w:lineRule="auto"/>
      </w:pPr>
    </w:p>
    <w:p w14:paraId="35896821" w14:textId="77777777" w:rsidR="002B40CB" w:rsidRDefault="002B40CB" w:rsidP="20F35706">
      <w:pPr>
        <w:spacing w:line="276" w:lineRule="auto"/>
      </w:pPr>
    </w:p>
    <w:p w14:paraId="58DE30BD" w14:textId="77777777" w:rsidR="00CA4A72" w:rsidRDefault="00CA4A72" w:rsidP="20F35706">
      <w:pPr>
        <w:spacing w:line="276" w:lineRule="auto"/>
      </w:pPr>
    </w:p>
    <w:p w14:paraId="3701DAD8" w14:textId="77777777" w:rsidR="00CA4A72" w:rsidRDefault="00CA4A72" w:rsidP="20F35706">
      <w:pPr>
        <w:spacing w:line="276" w:lineRule="auto"/>
      </w:pPr>
    </w:p>
    <w:p w14:paraId="62E64545" w14:textId="77777777" w:rsidR="00CA4A72" w:rsidRDefault="00CA4A72" w:rsidP="20F35706">
      <w:pPr>
        <w:spacing w:line="276" w:lineRule="auto"/>
      </w:pPr>
    </w:p>
    <w:p w14:paraId="4056897E" w14:textId="2D66E572" w:rsidR="002B40CB" w:rsidRPr="00CA4A72" w:rsidRDefault="002B40CB" w:rsidP="00CA4A72">
      <w:pPr>
        <w:spacing w:after="0" w:line="240" w:lineRule="auto"/>
        <w:rPr>
          <w:rFonts w:ascii="Arial" w:eastAsia="Times New Roman" w:hAnsi="Arial" w:cs="Arial"/>
          <w:sz w:val="18"/>
          <w:szCs w:val="18"/>
        </w:rPr>
      </w:pPr>
      <w:r w:rsidRPr="00CA4A72">
        <w:rPr>
          <w:rFonts w:ascii="Arial" w:eastAsia="Times New Roman" w:hAnsi="Arial" w:cs="Arial"/>
          <w:b/>
          <w:bCs/>
          <w:sz w:val="18"/>
          <w:szCs w:val="18"/>
        </w:rPr>
        <w:lastRenderedPageBreak/>
        <w:t xml:space="preserve">Supplementary Figure S1. </w:t>
      </w:r>
      <w:r w:rsidRPr="00CA4A72">
        <w:rPr>
          <w:rFonts w:ascii="Arial" w:eastAsia="Times New Roman" w:hAnsi="Arial" w:cs="Arial"/>
          <w:sz w:val="18"/>
          <w:szCs w:val="18"/>
        </w:rPr>
        <w:t>Cross-correlations between reported cases and 7-day moving average hospital admissions up to 13 days prior to and after hospital admissions. Both daily case counts and 7-day moving average cases are shown. Darker colors indicate the full time period, medium colors indicate the public health emergency (PHE) period, and lighter colors indicate the post</w:t>
      </w:r>
      <w:r w:rsidRPr="00CA4A72">
        <w:rPr>
          <w:rFonts w:ascii="Arial" w:eastAsia="Times New Roman" w:hAnsi="Arial" w:cs="Arial"/>
          <w:strike/>
          <w:sz w:val="18"/>
          <w:szCs w:val="18"/>
        </w:rPr>
        <w:t xml:space="preserve"> </w:t>
      </w:r>
      <w:r w:rsidRPr="00CA4A72">
        <w:rPr>
          <w:rFonts w:ascii="Arial" w:eastAsia="Times New Roman" w:hAnsi="Arial" w:cs="Arial"/>
          <w:sz w:val="18"/>
          <w:szCs w:val="18"/>
        </w:rPr>
        <w:t>PHE. The height of the lines indicates the correlation between the two time-series by different lags on the x-axis. The maximum cross-correlations for each surveillance indicator are marked with a circle. </w:t>
      </w:r>
    </w:p>
    <w:p w14:paraId="52E57C1E" w14:textId="77777777" w:rsidR="002B40CB" w:rsidRDefault="002B40CB" w:rsidP="002B40CB">
      <w:pPr>
        <w:spacing w:after="0" w:line="276" w:lineRule="auto"/>
        <w:rPr>
          <w:rFonts w:ascii="Arial" w:eastAsia="Times New Roman" w:hAnsi="Arial" w:cs="Arial"/>
          <w:sz w:val="20"/>
          <w:szCs w:val="20"/>
        </w:rPr>
      </w:pPr>
      <w:r w:rsidRPr="20F35706">
        <w:rPr>
          <w:rFonts w:ascii="Arial" w:eastAsia="Times New Roman" w:hAnsi="Arial" w:cs="Arial"/>
          <w:sz w:val="20"/>
          <w:szCs w:val="20"/>
        </w:rPr>
        <w:t>  </w:t>
      </w:r>
    </w:p>
    <w:p w14:paraId="48D76077" w14:textId="77777777" w:rsidR="002B40CB" w:rsidRDefault="002B40CB" w:rsidP="002B40CB">
      <w:pPr>
        <w:spacing w:after="0" w:line="276" w:lineRule="auto"/>
        <w:rPr>
          <w:rFonts w:ascii="Arial" w:eastAsia="Times New Roman" w:hAnsi="Arial" w:cs="Arial"/>
          <w:sz w:val="20"/>
          <w:szCs w:val="20"/>
        </w:rPr>
      </w:pPr>
      <w:r>
        <w:rPr>
          <w:noProof/>
        </w:rPr>
        <w:drawing>
          <wp:inline distT="0" distB="0" distL="0" distR="0" wp14:anchorId="6D937226" wp14:editId="4C8F16B0">
            <wp:extent cx="5943600" cy="4424045"/>
            <wp:effectExtent l="0" t="0" r="0" b="0"/>
            <wp:docPr id="500633765" name="Picture 5"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5943600" cy="4424045"/>
                    </a:xfrm>
                    <a:prstGeom prst="rect">
                      <a:avLst/>
                    </a:prstGeom>
                  </pic:spPr>
                </pic:pic>
              </a:graphicData>
            </a:graphic>
          </wp:inline>
        </w:drawing>
      </w:r>
    </w:p>
    <w:p w14:paraId="099C9FB5" w14:textId="77777777" w:rsidR="002B40CB" w:rsidRDefault="002B40CB" w:rsidP="002B40CB">
      <w:pPr>
        <w:spacing w:after="0" w:line="276" w:lineRule="auto"/>
        <w:rPr>
          <w:rFonts w:ascii="Arial" w:eastAsia="Times New Roman" w:hAnsi="Arial" w:cs="Arial"/>
          <w:sz w:val="20"/>
          <w:szCs w:val="20"/>
        </w:rPr>
      </w:pPr>
    </w:p>
    <w:p w14:paraId="58A79A80" w14:textId="77777777" w:rsidR="002B40CB" w:rsidRDefault="002B40CB" w:rsidP="002B40CB">
      <w:pPr>
        <w:spacing w:after="0" w:line="276" w:lineRule="auto"/>
        <w:rPr>
          <w:rFonts w:ascii="Arial" w:eastAsia="Times New Roman" w:hAnsi="Arial" w:cs="Arial"/>
          <w:sz w:val="20"/>
          <w:szCs w:val="20"/>
        </w:rPr>
      </w:pPr>
      <w:r w:rsidRPr="20F35706">
        <w:rPr>
          <w:rFonts w:ascii="Arial" w:eastAsia="Times New Roman" w:hAnsi="Arial" w:cs="Arial"/>
          <w:sz w:val="20"/>
          <w:szCs w:val="20"/>
        </w:rPr>
        <w:t> </w:t>
      </w:r>
    </w:p>
    <w:p w14:paraId="30DEFFBC" w14:textId="77777777" w:rsidR="002B40CB" w:rsidRDefault="002B40CB" w:rsidP="002B40CB">
      <w:pPr>
        <w:spacing w:after="0" w:line="276" w:lineRule="auto"/>
        <w:jc w:val="center"/>
        <w:rPr>
          <w:rFonts w:ascii="Arial" w:eastAsia="Times New Roman" w:hAnsi="Arial" w:cs="Arial"/>
          <w:sz w:val="20"/>
          <w:szCs w:val="20"/>
        </w:rPr>
      </w:pPr>
      <w:r w:rsidRPr="20F35706">
        <w:rPr>
          <w:rFonts w:ascii="Arial" w:eastAsia="Times New Roman" w:hAnsi="Arial" w:cs="Arial"/>
          <w:sz w:val="20"/>
          <w:szCs w:val="20"/>
        </w:rPr>
        <w:t> </w:t>
      </w:r>
    </w:p>
    <w:p w14:paraId="7605A3F6" w14:textId="77777777" w:rsidR="002B40CB" w:rsidRDefault="002B40CB" w:rsidP="002B40CB">
      <w:pPr>
        <w:spacing w:after="0" w:line="276" w:lineRule="auto"/>
        <w:jc w:val="center"/>
        <w:rPr>
          <w:rFonts w:ascii="Arial" w:eastAsia="Times New Roman" w:hAnsi="Arial" w:cs="Arial"/>
          <w:sz w:val="20"/>
          <w:szCs w:val="20"/>
        </w:rPr>
      </w:pPr>
    </w:p>
    <w:p w14:paraId="51701E4F" w14:textId="77777777" w:rsidR="002B40CB" w:rsidRDefault="002B40CB" w:rsidP="002B40CB">
      <w:pPr>
        <w:spacing w:after="0" w:line="276" w:lineRule="auto"/>
        <w:jc w:val="center"/>
        <w:rPr>
          <w:rFonts w:ascii="Arial" w:eastAsia="Times New Roman" w:hAnsi="Arial" w:cs="Arial"/>
          <w:sz w:val="20"/>
          <w:szCs w:val="20"/>
        </w:rPr>
      </w:pPr>
    </w:p>
    <w:p w14:paraId="5547A5F9" w14:textId="77777777" w:rsidR="002B40CB" w:rsidRDefault="002B40CB" w:rsidP="002B40CB">
      <w:pPr>
        <w:spacing w:after="0" w:line="276" w:lineRule="auto"/>
        <w:jc w:val="center"/>
        <w:rPr>
          <w:rFonts w:ascii="Arial" w:eastAsia="Times New Roman" w:hAnsi="Arial" w:cs="Arial"/>
          <w:sz w:val="20"/>
          <w:szCs w:val="20"/>
        </w:rPr>
      </w:pPr>
    </w:p>
    <w:p w14:paraId="59519229" w14:textId="77777777" w:rsidR="00CA4A72" w:rsidRDefault="00CA4A72" w:rsidP="002B40CB">
      <w:pPr>
        <w:spacing w:after="0" w:line="276" w:lineRule="auto"/>
        <w:jc w:val="center"/>
        <w:rPr>
          <w:rFonts w:ascii="Arial" w:eastAsia="Times New Roman" w:hAnsi="Arial" w:cs="Arial"/>
          <w:sz w:val="20"/>
          <w:szCs w:val="20"/>
        </w:rPr>
      </w:pPr>
    </w:p>
    <w:p w14:paraId="09A490F7" w14:textId="77777777" w:rsidR="00CA4A72" w:rsidRDefault="00CA4A72" w:rsidP="002B40CB">
      <w:pPr>
        <w:spacing w:after="0" w:line="276" w:lineRule="auto"/>
        <w:jc w:val="center"/>
        <w:rPr>
          <w:rFonts w:ascii="Arial" w:eastAsia="Times New Roman" w:hAnsi="Arial" w:cs="Arial"/>
          <w:sz w:val="20"/>
          <w:szCs w:val="20"/>
        </w:rPr>
      </w:pPr>
    </w:p>
    <w:p w14:paraId="38B7232A" w14:textId="77777777" w:rsidR="002B40CB" w:rsidRDefault="002B40CB" w:rsidP="002B40CB">
      <w:pPr>
        <w:spacing w:after="0" w:line="276" w:lineRule="auto"/>
        <w:jc w:val="center"/>
        <w:rPr>
          <w:rFonts w:ascii="Arial" w:eastAsia="Times New Roman" w:hAnsi="Arial" w:cs="Arial"/>
          <w:sz w:val="20"/>
          <w:szCs w:val="20"/>
        </w:rPr>
      </w:pPr>
    </w:p>
    <w:p w14:paraId="64CCD6B3" w14:textId="77777777" w:rsidR="002B40CB" w:rsidRDefault="002B40CB" w:rsidP="002B40CB">
      <w:pPr>
        <w:spacing w:after="0" w:line="276" w:lineRule="auto"/>
        <w:jc w:val="center"/>
        <w:rPr>
          <w:rFonts w:ascii="Arial" w:eastAsia="Times New Roman" w:hAnsi="Arial" w:cs="Arial"/>
          <w:sz w:val="20"/>
          <w:szCs w:val="20"/>
        </w:rPr>
      </w:pPr>
    </w:p>
    <w:p w14:paraId="21558611" w14:textId="77777777" w:rsidR="002B40CB" w:rsidRDefault="002B40CB" w:rsidP="002B40CB">
      <w:pPr>
        <w:spacing w:after="0" w:line="276" w:lineRule="auto"/>
        <w:jc w:val="center"/>
        <w:rPr>
          <w:rFonts w:ascii="Arial" w:eastAsia="Times New Roman" w:hAnsi="Arial" w:cs="Arial"/>
          <w:sz w:val="20"/>
          <w:szCs w:val="20"/>
        </w:rPr>
      </w:pPr>
    </w:p>
    <w:p w14:paraId="6905095F" w14:textId="77777777" w:rsidR="002B40CB" w:rsidRDefault="002B40CB" w:rsidP="002B40CB">
      <w:pPr>
        <w:spacing w:after="0" w:line="276" w:lineRule="auto"/>
        <w:jc w:val="center"/>
        <w:rPr>
          <w:rFonts w:ascii="Arial" w:eastAsia="Times New Roman" w:hAnsi="Arial" w:cs="Arial"/>
          <w:sz w:val="20"/>
          <w:szCs w:val="20"/>
        </w:rPr>
      </w:pPr>
    </w:p>
    <w:p w14:paraId="0145817E" w14:textId="77777777" w:rsidR="002B40CB" w:rsidRDefault="002B40CB" w:rsidP="002B40CB">
      <w:pPr>
        <w:spacing w:after="0" w:line="276" w:lineRule="auto"/>
        <w:jc w:val="center"/>
        <w:rPr>
          <w:rFonts w:ascii="Arial" w:eastAsia="Times New Roman" w:hAnsi="Arial" w:cs="Arial"/>
          <w:sz w:val="20"/>
          <w:szCs w:val="20"/>
        </w:rPr>
      </w:pPr>
    </w:p>
    <w:p w14:paraId="62857B8A" w14:textId="77777777" w:rsidR="002B40CB" w:rsidRDefault="002B40CB" w:rsidP="002B40CB">
      <w:pPr>
        <w:spacing w:after="0" w:line="276" w:lineRule="auto"/>
        <w:jc w:val="center"/>
        <w:rPr>
          <w:rFonts w:ascii="Arial" w:eastAsia="Times New Roman" w:hAnsi="Arial" w:cs="Arial"/>
          <w:sz w:val="20"/>
          <w:szCs w:val="20"/>
        </w:rPr>
      </w:pPr>
    </w:p>
    <w:p w14:paraId="35E142E3" w14:textId="77777777" w:rsidR="002B40CB" w:rsidRDefault="002B40CB" w:rsidP="002B40CB">
      <w:pPr>
        <w:spacing w:after="0" w:line="276" w:lineRule="auto"/>
        <w:jc w:val="center"/>
        <w:rPr>
          <w:rFonts w:ascii="Arial" w:eastAsia="Times New Roman" w:hAnsi="Arial" w:cs="Arial"/>
          <w:sz w:val="20"/>
          <w:szCs w:val="20"/>
        </w:rPr>
      </w:pPr>
    </w:p>
    <w:p w14:paraId="1DCFD708" w14:textId="77777777" w:rsidR="002B40CB" w:rsidRDefault="002B40CB" w:rsidP="002B40CB">
      <w:pPr>
        <w:spacing w:after="0" w:line="276" w:lineRule="auto"/>
        <w:jc w:val="center"/>
        <w:rPr>
          <w:rFonts w:ascii="Arial" w:eastAsia="Times New Roman" w:hAnsi="Arial" w:cs="Arial"/>
          <w:sz w:val="20"/>
          <w:szCs w:val="20"/>
        </w:rPr>
      </w:pPr>
    </w:p>
    <w:p w14:paraId="271CFB1B" w14:textId="552891D1" w:rsidR="002B40CB" w:rsidRPr="00CA4A72" w:rsidRDefault="002B40CB" w:rsidP="00CA4A72">
      <w:pPr>
        <w:spacing w:line="240" w:lineRule="auto"/>
        <w:rPr>
          <w:rFonts w:ascii="Arial" w:hAnsi="Arial" w:cs="Arial"/>
          <w:b/>
          <w:bCs/>
          <w:sz w:val="18"/>
          <w:szCs w:val="18"/>
        </w:rPr>
      </w:pPr>
      <w:r w:rsidRPr="00CA4A72">
        <w:rPr>
          <w:rFonts w:ascii="Arial" w:eastAsia="Times New Roman" w:hAnsi="Arial" w:cs="Arial"/>
          <w:b/>
          <w:bCs/>
          <w:sz w:val="18"/>
          <w:szCs w:val="18"/>
        </w:rPr>
        <w:lastRenderedPageBreak/>
        <w:t xml:space="preserve">Supplementary Figure S2. </w:t>
      </w:r>
      <w:r w:rsidRPr="00CA4A72">
        <w:rPr>
          <w:rFonts w:ascii="Arial" w:eastAsia="Times New Roman" w:hAnsi="Arial" w:cs="Arial"/>
          <w:sz w:val="18"/>
          <w:szCs w:val="18"/>
        </w:rPr>
        <w:t>Cross-correlations between daily count of COVID-19 hospitalized patients (hospital census) and 7-day moving average hospital admissions up to 13 days prior to and after hospital admissions. Both daily sense and 7-day average COVID-19 hospital census counts are shown. Darker colors indicate the full time period and lighter colors indicate the public health emergency. The height of the lines indicates the correlation between the two time-series by different lags on the x-axis. The maximum cross-correlations for each surveillance indicator are marked with a circle. </w:t>
      </w:r>
    </w:p>
    <w:p w14:paraId="1DDA0BCF" w14:textId="77777777" w:rsidR="002B40CB" w:rsidRDefault="002B40CB" w:rsidP="002B40CB">
      <w:pPr>
        <w:spacing w:after="0" w:line="276" w:lineRule="auto"/>
        <w:rPr>
          <w:rFonts w:ascii="Arial" w:eastAsia="Times New Roman" w:hAnsi="Arial" w:cs="Arial"/>
          <w:sz w:val="20"/>
          <w:szCs w:val="20"/>
        </w:rPr>
      </w:pPr>
    </w:p>
    <w:p w14:paraId="5103C53C" w14:textId="77777777" w:rsidR="002B40CB" w:rsidRDefault="002B40CB" w:rsidP="002B40CB">
      <w:pPr>
        <w:spacing w:after="0" w:line="276" w:lineRule="auto"/>
        <w:jc w:val="center"/>
        <w:rPr>
          <w:rFonts w:ascii="Arial" w:eastAsia="Times New Roman" w:hAnsi="Arial" w:cs="Arial"/>
          <w:sz w:val="20"/>
          <w:szCs w:val="20"/>
        </w:rPr>
      </w:pPr>
      <w:r>
        <w:rPr>
          <w:noProof/>
        </w:rPr>
        <w:drawing>
          <wp:inline distT="0" distB="0" distL="0" distR="0" wp14:anchorId="28663395" wp14:editId="73D5A634">
            <wp:extent cx="5943600" cy="4433570"/>
            <wp:effectExtent l="0" t="0" r="0" b="0"/>
            <wp:docPr id="727338440" name="Picture 3" descr="A graph with colorful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943600" cy="4433570"/>
                    </a:xfrm>
                    <a:prstGeom prst="rect">
                      <a:avLst/>
                    </a:prstGeom>
                  </pic:spPr>
                </pic:pic>
              </a:graphicData>
            </a:graphic>
          </wp:inline>
        </w:drawing>
      </w:r>
      <w:r w:rsidRPr="20F35706">
        <w:rPr>
          <w:rFonts w:ascii="Arial" w:eastAsia="Times New Roman" w:hAnsi="Arial" w:cs="Arial"/>
          <w:sz w:val="20"/>
          <w:szCs w:val="20"/>
        </w:rPr>
        <w:t> </w:t>
      </w:r>
    </w:p>
    <w:p w14:paraId="18B2821D" w14:textId="77777777" w:rsidR="002B40CB" w:rsidRDefault="002B40CB" w:rsidP="002B40CB">
      <w:pPr>
        <w:spacing w:after="0" w:line="276" w:lineRule="auto"/>
        <w:rPr>
          <w:rFonts w:ascii="Arial" w:eastAsia="Times New Roman" w:hAnsi="Arial" w:cs="Arial"/>
          <w:sz w:val="20"/>
          <w:szCs w:val="20"/>
        </w:rPr>
      </w:pPr>
      <w:r w:rsidRPr="20F35706">
        <w:rPr>
          <w:rFonts w:ascii="Arial" w:eastAsia="Times New Roman" w:hAnsi="Arial" w:cs="Arial"/>
          <w:sz w:val="20"/>
          <w:szCs w:val="20"/>
        </w:rPr>
        <w:t> </w:t>
      </w:r>
    </w:p>
    <w:p w14:paraId="13365AEB" w14:textId="77777777" w:rsidR="002B40CB" w:rsidRDefault="002B40CB" w:rsidP="002B40CB">
      <w:pPr>
        <w:spacing w:after="0" w:line="276" w:lineRule="auto"/>
        <w:rPr>
          <w:rFonts w:ascii="Arial" w:eastAsia="Times New Roman" w:hAnsi="Arial" w:cs="Arial"/>
          <w:sz w:val="20"/>
          <w:szCs w:val="20"/>
        </w:rPr>
      </w:pPr>
    </w:p>
    <w:p w14:paraId="274AAEAE" w14:textId="77777777" w:rsidR="002B40CB" w:rsidRDefault="002B40CB" w:rsidP="002B40CB">
      <w:pPr>
        <w:spacing w:after="0" w:line="276" w:lineRule="auto"/>
        <w:rPr>
          <w:rFonts w:ascii="Arial" w:eastAsia="Times New Roman" w:hAnsi="Arial" w:cs="Arial"/>
          <w:sz w:val="20"/>
          <w:szCs w:val="20"/>
        </w:rPr>
      </w:pPr>
    </w:p>
    <w:p w14:paraId="771C23B9" w14:textId="77777777" w:rsidR="002B40CB" w:rsidRDefault="002B40CB" w:rsidP="002B40CB">
      <w:pPr>
        <w:spacing w:after="0" w:line="276" w:lineRule="auto"/>
        <w:rPr>
          <w:rFonts w:ascii="Arial" w:eastAsia="Times New Roman" w:hAnsi="Arial" w:cs="Arial"/>
          <w:sz w:val="20"/>
          <w:szCs w:val="20"/>
        </w:rPr>
      </w:pPr>
    </w:p>
    <w:p w14:paraId="0D935A3C" w14:textId="77777777" w:rsidR="002B40CB" w:rsidRDefault="002B40CB" w:rsidP="002B40CB">
      <w:pPr>
        <w:spacing w:after="0" w:line="276" w:lineRule="auto"/>
        <w:rPr>
          <w:rFonts w:ascii="Arial" w:eastAsia="Times New Roman" w:hAnsi="Arial" w:cs="Arial"/>
          <w:sz w:val="20"/>
          <w:szCs w:val="20"/>
        </w:rPr>
      </w:pPr>
    </w:p>
    <w:p w14:paraId="68F9642B" w14:textId="77777777" w:rsidR="002B40CB" w:rsidRDefault="002B40CB" w:rsidP="002B40CB">
      <w:pPr>
        <w:spacing w:after="0" w:line="276" w:lineRule="auto"/>
        <w:rPr>
          <w:rFonts w:ascii="Arial" w:eastAsia="Times New Roman" w:hAnsi="Arial" w:cs="Arial"/>
          <w:sz w:val="20"/>
          <w:szCs w:val="20"/>
        </w:rPr>
      </w:pPr>
    </w:p>
    <w:p w14:paraId="4284C48D" w14:textId="77777777" w:rsidR="002B40CB" w:rsidRDefault="002B40CB" w:rsidP="002B40CB">
      <w:pPr>
        <w:spacing w:after="0" w:line="276" w:lineRule="auto"/>
        <w:rPr>
          <w:rFonts w:ascii="Arial" w:eastAsia="Times New Roman" w:hAnsi="Arial" w:cs="Arial"/>
          <w:sz w:val="20"/>
          <w:szCs w:val="20"/>
        </w:rPr>
      </w:pPr>
    </w:p>
    <w:p w14:paraId="7A752385" w14:textId="77777777" w:rsidR="002B40CB" w:rsidRDefault="002B40CB" w:rsidP="002B40CB">
      <w:pPr>
        <w:spacing w:after="0" w:line="276" w:lineRule="auto"/>
        <w:rPr>
          <w:rFonts w:ascii="Arial" w:eastAsia="Times New Roman" w:hAnsi="Arial" w:cs="Arial"/>
          <w:sz w:val="20"/>
          <w:szCs w:val="20"/>
        </w:rPr>
      </w:pPr>
    </w:p>
    <w:p w14:paraId="7AE09E66" w14:textId="77777777" w:rsidR="002B40CB" w:rsidRDefault="002B40CB" w:rsidP="002B40CB">
      <w:pPr>
        <w:spacing w:after="0" w:line="276" w:lineRule="auto"/>
        <w:rPr>
          <w:rFonts w:ascii="Arial" w:eastAsia="Times New Roman" w:hAnsi="Arial" w:cs="Arial"/>
          <w:sz w:val="20"/>
          <w:szCs w:val="20"/>
        </w:rPr>
      </w:pPr>
    </w:p>
    <w:p w14:paraId="092DD57B" w14:textId="77777777" w:rsidR="00CA4A72" w:rsidRDefault="00CA4A72" w:rsidP="002B40CB">
      <w:pPr>
        <w:spacing w:after="0" w:line="276" w:lineRule="auto"/>
        <w:rPr>
          <w:rFonts w:ascii="Arial" w:eastAsia="Times New Roman" w:hAnsi="Arial" w:cs="Arial"/>
          <w:sz w:val="20"/>
          <w:szCs w:val="20"/>
        </w:rPr>
      </w:pPr>
    </w:p>
    <w:p w14:paraId="09F395D9" w14:textId="77777777" w:rsidR="00CA4A72" w:rsidRDefault="00CA4A72" w:rsidP="002B40CB">
      <w:pPr>
        <w:spacing w:after="0" w:line="276" w:lineRule="auto"/>
        <w:rPr>
          <w:rFonts w:ascii="Arial" w:eastAsia="Times New Roman" w:hAnsi="Arial" w:cs="Arial"/>
          <w:sz w:val="20"/>
          <w:szCs w:val="20"/>
        </w:rPr>
      </w:pPr>
    </w:p>
    <w:p w14:paraId="004DC66E" w14:textId="77777777" w:rsidR="00CA4A72" w:rsidRDefault="00CA4A72" w:rsidP="002B40CB">
      <w:pPr>
        <w:spacing w:after="0" w:line="276" w:lineRule="auto"/>
        <w:rPr>
          <w:rFonts w:ascii="Arial" w:eastAsia="Times New Roman" w:hAnsi="Arial" w:cs="Arial"/>
          <w:sz w:val="20"/>
          <w:szCs w:val="20"/>
        </w:rPr>
      </w:pPr>
    </w:p>
    <w:p w14:paraId="16299D47" w14:textId="77777777" w:rsidR="002B40CB" w:rsidRDefault="002B40CB" w:rsidP="002B40CB">
      <w:pPr>
        <w:spacing w:after="0" w:line="276" w:lineRule="auto"/>
        <w:rPr>
          <w:rFonts w:ascii="Arial" w:eastAsia="Times New Roman" w:hAnsi="Arial" w:cs="Arial"/>
          <w:sz w:val="20"/>
          <w:szCs w:val="20"/>
        </w:rPr>
      </w:pPr>
    </w:p>
    <w:p w14:paraId="558367C3" w14:textId="77777777" w:rsidR="002B40CB" w:rsidRDefault="002B40CB" w:rsidP="002B40CB">
      <w:pPr>
        <w:spacing w:after="0" w:line="240" w:lineRule="auto"/>
        <w:rPr>
          <w:rFonts w:ascii="Arial" w:eastAsia="Times New Roman" w:hAnsi="Arial" w:cs="Arial"/>
          <w:sz w:val="20"/>
          <w:szCs w:val="20"/>
        </w:rPr>
      </w:pPr>
    </w:p>
    <w:p w14:paraId="2D307BCF" w14:textId="77777777" w:rsidR="002B40CB" w:rsidRPr="00CA4A72" w:rsidRDefault="002B40CB" w:rsidP="002B40CB">
      <w:pPr>
        <w:spacing w:after="0" w:line="240" w:lineRule="auto"/>
        <w:rPr>
          <w:rFonts w:ascii="Arial" w:hAnsi="Arial" w:cs="Arial"/>
          <w:b/>
          <w:bCs/>
          <w:sz w:val="18"/>
          <w:szCs w:val="18"/>
        </w:rPr>
      </w:pPr>
      <w:r w:rsidRPr="00CA4A72">
        <w:rPr>
          <w:rFonts w:ascii="Arial" w:eastAsia="Times New Roman" w:hAnsi="Arial" w:cs="Arial"/>
          <w:b/>
          <w:bCs/>
          <w:sz w:val="18"/>
          <w:szCs w:val="18"/>
        </w:rPr>
        <w:lastRenderedPageBreak/>
        <w:t>Supplementary Figure S3.</w:t>
      </w:r>
      <w:r w:rsidRPr="00CA4A72">
        <w:rPr>
          <w:rFonts w:ascii="Arial" w:eastAsia="Times New Roman" w:hAnsi="Arial" w:cs="Arial"/>
          <w:sz w:val="18"/>
          <w:szCs w:val="18"/>
        </w:rPr>
        <w:t xml:space="preserve"> Cross-correlation between testing indicators and 7-day moving average hospital admissions up to 13 days prior to and after hospital admissions. Both 7-day moving average state-wide test positivity and 7-day average sentinel test positivity are shown. Darker colors indicate the full time period and lighter colors indicate the public health emergency. The height of the lines indicates the correlation between the two time-series by different lags on the x-axis. The maximum cross-correlations for each surveillance indicator are marked with a circle. </w:t>
      </w:r>
    </w:p>
    <w:p w14:paraId="380A711E" w14:textId="77777777" w:rsidR="002B40CB" w:rsidRDefault="002B40CB" w:rsidP="002B40CB">
      <w:pPr>
        <w:spacing w:after="0" w:line="276" w:lineRule="auto"/>
        <w:rPr>
          <w:rFonts w:ascii="Arial" w:eastAsia="Times New Roman" w:hAnsi="Arial" w:cs="Arial"/>
          <w:sz w:val="20"/>
          <w:szCs w:val="20"/>
        </w:rPr>
      </w:pPr>
    </w:p>
    <w:p w14:paraId="03A2593A" w14:textId="77777777" w:rsidR="002B40CB" w:rsidRDefault="002B40CB" w:rsidP="002B40CB">
      <w:pPr>
        <w:spacing w:after="0" w:line="240" w:lineRule="auto"/>
        <w:rPr>
          <w:rFonts w:ascii="Arial" w:hAnsi="Arial" w:cs="Arial"/>
          <w:b/>
          <w:bCs/>
          <w:sz w:val="20"/>
          <w:szCs w:val="20"/>
        </w:rPr>
      </w:pPr>
      <w:r>
        <w:rPr>
          <w:noProof/>
        </w:rPr>
        <w:drawing>
          <wp:inline distT="0" distB="0" distL="0" distR="0" wp14:anchorId="6656193E" wp14:editId="10133F36">
            <wp:extent cx="5943600" cy="4509770"/>
            <wp:effectExtent l="0" t="0" r="0" b="0"/>
            <wp:docPr id="1786873054" name="Picture 2"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943600" cy="4509770"/>
                    </a:xfrm>
                    <a:prstGeom prst="rect">
                      <a:avLst/>
                    </a:prstGeom>
                  </pic:spPr>
                </pic:pic>
              </a:graphicData>
            </a:graphic>
          </wp:inline>
        </w:drawing>
      </w:r>
    </w:p>
    <w:p w14:paraId="0645CAEF" w14:textId="77777777" w:rsidR="002B40CB" w:rsidRDefault="002B40CB" w:rsidP="002B40CB">
      <w:pPr>
        <w:spacing w:after="0" w:line="276" w:lineRule="auto"/>
        <w:rPr>
          <w:rFonts w:ascii="Arial" w:eastAsia="Times New Roman" w:hAnsi="Arial" w:cs="Arial"/>
          <w:sz w:val="20"/>
          <w:szCs w:val="20"/>
        </w:rPr>
      </w:pPr>
    </w:p>
    <w:p w14:paraId="3E86E387" w14:textId="77777777" w:rsidR="002B40CB" w:rsidRDefault="002B40CB" w:rsidP="002B40CB">
      <w:pPr>
        <w:spacing w:after="0" w:line="276" w:lineRule="auto"/>
        <w:rPr>
          <w:rFonts w:ascii="Arial" w:eastAsia="Times New Roman" w:hAnsi="Arial" w:cs="Arial"/>
          <w:sz w:val="20"/>
          <w:szCs w:val="20"/>
        </w:rPr>
      </w:pPr>
    </w:p>
    <w:p w14:paraId="57D38E6E" w14:textId="77777777" w:rsidR="002B40CB" w:rsidRDefault="002B40CB" w:rsidP="002B40CB">
      <w:pPr>
        <w:spacing w:after="0" w:line="276" w:lineRule="auto"/>
        <w:rPr>
          <w:rFonts w:ascii="Arial" w:eastAsia="Times New Roman" w:hAnsi="Arial" w:cs="Arial"/>
          <w:sz w:val="20"/>
          <w:szCs w:val="20"/>
        </w:rPr>
      </w:pPr>
    </w:p>
    <w:p w14:paraId="6A0BEA60" w14:textId="77777777" w:rsidR="002B40CB" w:rsidRDefault="002B40CB" w:rsidP="002B40CB">
      <w:pPr>
        <w:spacing w:after="0" w:line="276" w:lineRule="auto"/>
        <w:rPr>
          <w:rFonts w:ascii="Arial" w:eastAsia="Times New Roman" w:hAnsi="Arial" w:cs="Arial"/>
          <w:sz w:val="20"/>
          <w:szCs w:val="20"/>
        </w:rPr>
      </w:pPr>
    </w:p>
    <w:p w14:paraId="662B4B9A" w14:textId="77777777" w:rsidR="002B40CB" w:rsidRDefault="002B40CB" w:rsidP="002B40CB">
      <w:pPr>
        <w:spacing w:after="0" w:line="276" w:lineRule="auto"/>
        <w:rPr>
          <w:rFonts w:ascii="Arial" w:eastAsia="Times New Roman" w:hAnsi="Arial" w:cs="Arial"/>
          <w:sz w:val="20"/>
          <w:szCs w:val="20"/>
        </w:rPr>
      </w:pPr>
    </w:p>
    <w:p w14:paraId="26002DE9" w14:textId="77777777" w:rsidR="002B40CB" w:rsidRDefault="002B40CB" w:rsidP="002B40CB">
      <w:pPr>
        <w:spacing w:after="0" w:line="276" w:lineRule="auto"/>
        <w:rPr>
          <w:rFonts w:ascii="Arial" w:eastAsia="Times New Roman" w:hAnsi="Arial" w:cs="Arial"/>
          <w:sz w:val="20"/>
          <w:szCs w:val="20"/>
        </w:rPr>
      </w:pPr>
    </w:p>
    <w:p w14:paraId="6FEE0AC0" w14:textId="77777777" w:rsidR="002B40CB" w:rsidRDefault="002B40CB" w:rsidP="002B40CB">
      <w:pPr>
        <w:spacing w:after="0" w:line="276" w:lineRule="auto"/>
        <w:rPr>
          <w:rFonts w:ascii="Arial" w:eastAsia="Times New Roman" w:hAnsi="Arial" w:cs="Arial"/>
          <w:sz w:val="20"/>
          <w:szCs w:val="20"/>
        </w:rPr>
      </w:pPr>
    </w:p>
    <w:p w14:paraId="1A1F500E" w14:textId="77777777" w:rsidR="002B40CB" w:rsidRDefault="002B40CB" w:rsidP="002B40CB">
      <w:pPr>
        <w:spacing w:after="0" w:line="276" w:lineRule="auto"/>
        <w:rPr>
          <w:rFonts w:ascii="Arial" w:eastAsia="Times New Roman" w:hAnsi="Arial" w:cs="Arial"/>
          <w:sz w:val="20"/>
          <w:szCs w:val="20"/>
        </w:rPr>
      </w:pPr>
    </w:p>
    <w:p w14:paraId="3E4ED691" w14:textId="77777777" w:rsidR="002B40CB" w:rsidRDefault="002B40CB" w:rsidP="002B40CB">
      <w:pPr>
        <w:spacing w:after="0" w:line="276" w:lineRule="auto"/>
        <w:rPr>
          <w:rFonts w:ascii="Arial" w:eastAsia="Times New Roman" w:hAnsi="Arial" w:cs="Arial"/>
          <w:sz w:val="20"/>
          <w:szCs w:val="20"/>
        </w:rPr>
      </w:pPr>
    </w:p>
    <w:p w14:paraId="718A5C54" w14:textId="77777777" w:rsidR="002B40CB" w:rsidRDefault="002B40CB" w:rsidP="002B40CB">
      <w:pPr>
        <w:spacing w:after="0" w:line="276" w:lineRule="auto"/>
        <w:rPr>
          <w:rFonts w:ascii="Arial" w:eastAsia="Times New Roman" w:hAnsi="Arial" w:cs="Arial"/>
          <w:sz w:val="20"/>
          <w:szCs w:val="20"/>
        </w:rPr>
      </w:pPr>
    </w:p>
    <w:p w14:paraId="6404F2AE" w14:textId="77777777" w:rsidR="002B40CB" w:rsidRDefault="002B40CB" w:rsidP="002B40CB">
      <w:pPr>
        <w:spacing w:after="0" w:line="276" w:lineRule="auto"/>
        <w:rPr>
          <w:rFonts w:ascii="Arial" w:eastAsia="Times New Roman" w:hAnsi="Arial" w:cs="Arial"/>
          <w:sz w:val="20"/>
          <w:szCs w:val="20"/>
        </w:rPr>
      </w:pPr>
    </w:p>
    <w:p w14:paraId="2CDEFA45" w14:textId="77777777" w:rsidR="002B40CB" w:rsidRDefault="002B40CB" w:rsidP="002B40CB">
      <w:pPr>
        <w:spacing w:after="0" w:line="276" w:lineRule="auto"/>
        <w:rPr>
          <w:rFonts w:ascii="Arial" w:eastAsia="Times New Roman" w:hAnsi="Arial" w:cs="Arial"/>
          <w:sz w:val="20"/>
          <w:szCs w:val="20"/>
        </w:rPr>
      </w:pPr>
    </w:p>
    <w:p w14:paraId="0133E29E" w14:textId="77777777" w:rsidR="002B40CB" w:rsidRDefault="002B40CB" w:rsidP="002B40CB">
      <w:pPr>
        <w:spacing w:after="0" w:line="276" w:lineRule="auto"/>
        <w:rPr>
          <w:rFonts w:ascii="Arial" w:eastAsia="Times New Roman" w:hAnsi="Arial" w:cs="Arial"/>
          <w:sz w:val="20"/>
          <w:szCs w:val="20"/>
        </w:rPr>
      </w:pPr>
    </w:p>
    <w:p w14:paraId="3E8967B1" w14:textId="77777777" w:rsidR="002B40CB" w:rsidRDefault="002B40CB" w:rsidP="002B40CB">
      <w:pPr>
        <w:spacing w:after="0" w:line="276" w:lineRule="auto"/>
        <w:rPr>
          <w:rFonts w:ascii="Arial" w:eastAsia="Times New Roman" w:hAnsi="Arial" w:cs="Arial"/>
          <w:sz w:val="20"/>
          <w:szCs w:val="20"/>
        </w:rPr>
      </w:pPr>
    </w:p>
    <w:p w14:paraId="385BD628" w14:textId="77777777" w:rsidR="002B40CB" w:rsidRDefault="002B40CB" w:rsidP="002B40CB">
      <w:pPr>
        <w:spacing w:after="0" w:line="276" w:lineRule="auto"/>
        <w:rPr>
          <w:rFonts w:ascii="Arial" w:eastAsia="Times New Roman" w:hAnsi="Arial" w:cs="Arial"/>
          <w:sz w:val="20"/>
          <w:szCs w:val="20"/>
        </w:rPr>
      </w:pPr>
    </w:p>
    <w:p w14:paraId="36338E34" w14:textId="77777777" w:rsidR="002B40CB" w:rsidRDefault="002B40CB" w:rsidP="002B40CB">
      <w:pPr>
        <w:spacing w:after="0" w:line="276" w:lineRule="auto"/>
        <w:rPr>
          <w:rFonts w:ascii="Arial" w:eastAsia="Times New Roman" w:hAnsi="Arial" w:cs="Arial"/>
          <w:sz w:val="20"/>
          <w:szCs w:val="20"/>
        </w:rPr>
      </w:pPr>
    </w:p>
    <w:p w14:paraId="72E33A47" w14:textId="77777777" w:rsidR="002B40CB" w:rsidRPr="005D161B" w:rsidRDefault="002B40CB" w:rsidP="002B40CB">
      <w:pPr>
        <w:spacing w:after="0" w:line="240" w:lineRule="auto"/>
        <w:rPr>
          <w:rFonts w:ascii="Arial" w:hAnsi="Arial" w:cs="Arial"/>
          <w:b/>
          <w:bCs/>
          <w:sz w:val="18"/>
          <w:szCs w:val="18"/>
        </w:rPr>
      </w:pPr>
      <w:r w:rsidRPr="005D161B">
        <w:rPr>
          <w:rFonts w:ascii="Arial" w:eastAsia="Times New Roman" w:hAnsi="Arial" w:cs="Arial"/>
          <w:b/>
          <w:bCs/>
          <w:sz w:val="18"/>
          <w:szCs w:val="18"/>
        </w:rPr>
        <w:lastRenderedPageBreak/>
        <w:t>Supplementary Figure S4.</w:t>
      </w:r>
      <w:r w:rsidRPr="005D161B">
        <w:rPr>
          <w:rFonts w:ascii="Arial" w:eastAsia="Times New Roman" w:hAnsi="Arial" w:cs="Arial"/>
          <w:sz w:val="18"/>
          <w:szCs w:val="18"/>
        </w:rPr>
        <w:t xml:space="preserve"> Cross-correlation between weekly wastewater viral activity levels, weekly syndromic surveillance and 7-day moving average hospital admissions up to 13 days prior to and after hospital admissions. Darker colors indicate the full time period and lighter colors indicate the public health emergency. The height of the lines indicates the correlation between the two time-series by different lags on the x-axis. The maximum cross-correlations for each surveillance indicator are marked with a circle. </w:t>
      </w:r>
    </w:p>
    <w:p w14:paraId="123FAA62" w14:textId="77777777" w:rsidR="002B40CB" w:rsidRDefault="002B40CB" w:rsidP="002B40CB">
      <w:pPr>
        <w:spacing w:after="0" w:line="276" w:lineRule="auto"/>
        <w:rPr>
          <w:rFonts w:ascii="Arial" w:eastAsia="Times New Roman" w:hAnsi="Arial" w:cs="Arial"/>
          <w:sz w:val="20"/>
          <w:szCs w:val="20"/>
        </w:rPr>
      </w:pPr>
    </w:p>
    <w:p w14:paraId="2F783D5B" w14:textId="77777777" w:rsidR="002B40CB" w:rsidRDefault="002B40CB" w:rsidP="002B40CB">
      <w:pPr>
        <w:spacing w:after="0" w:line="240" w:lineRule="auto"/>
        <w:rPr>
          <w:rFonts w:ascii="Arial" w:hAnsi="Arial" w:cs="Arial"/>
          <w:b/>
          <w:bCs/>
          <w:sz w:val="20"/>
          <w:szCs w:val="20"/>
        </w:rPr>
      </w:pPr>
      <w:r>
        <w:rPr>
          <w:noProof/>
        </w:rPr>
        <w:drawing>
          <wp:inline distT="0" distB="0" distL="0" distR="0" wp14:anchorId="4D6CAC5E" wp14:editId="5D1D835D">
            <wp:extent cx="5943600" cy="4724398"/>
            <wp:effectExtent l="0" t="0" r="0" b="0"/>
            <wp:docPr id="726865722" name="Picture 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5943600" cy="4724398"/>
                    </a:xfrm>
                    <a:prstGeom prst="rect">
                      <a:avLst/>
                    </a:prstGeom>
                  </pic:spPr>
                </pic:pic>
              </a:graphicData>
            </a:graphic>
          </wp:inline>
        </w:drawing>
      </w:r>
    </w:p>
    <w:p w14:paraId="32D69809" w14:textId="77777777" w:rsidR="002B40CB" w:rsidRDefault="002B40CB" w:rsidP="002B40CB">
      <w:pPr>
        <w:spacing w:after="0" w:line="276" w:lineRule="auto"/>
        <w:rPr>
          <w:rFonts w:ascii="Arial" w:eastAsia="Times New Roman" w:hAnsi="Arial" w:cs="Arial"/>
          <w:sz w:val="20"/>
          <w:szCs w:val="20"/>
        </w:rPr>
      </w:pPr>
    </w:p>
    <w:p w14:paraId="77C20F28" w14:textId="77777777" w:rsidR="002B40CB" w:rsidRPr="002B40CB" w:rsidRDefault="002B40CB" w:rsidP="20F35706">
      <w:pPr>
        <w:spacing w:line="276" w:lineRule="auto"/>
      </w:pPr>
    </w:p>
    <w:sectPr w:rsidR="002B40CB" w:rsidRPr="002B40C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EAB56" w14:textId="77777777" w:rsidR="00B55E92" w:rsidRDefault="00B55E92" w:rsidP="00952A38">
      <w:pPr>
        <w:spacing w:after="0" w:line="240" w:lineRule="auto"/>
      </w:pPr>
      <w:r>
        <w:separator/>
      </w:r>
    </w:p>
  </w:endnote>
  <w:endnote w:type="continuationSeparator" w:id="0">
    <w:p w14:paraId="4B342ACD" w14:textId="77777777" w:rsidR="00B55E92" w:rsidRDefault="00B55E92" w:rsidP="00952A38">
      <w:pPr>
        <w:spacing w:after="0" w:line="240" w:lineRule="auto"/>
      </w:pPr>
      <w:r>
        <w:continuationSeparator/>
      </w:r>
    </w:p>
  </w:endnote>
  <w:endnote w:type="continuationNotice" w:id="1">
    <w:p w14:paraId="57D1C440" w14:textId="77777777" w:rsidR="00B55E92" w:rsidRDefault="00B55E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973902"/>
      <w:docPartObj>
        <w:docPartGallery w:val="Page Numbers (Bottom of Page)"/>
        <w:docPartUnique/>
      </w:docPartObj>
    </w:sdtPr>
    <w:sdtEndPr>
      <w:rPr>
        <w:rFonts w:ascii="Arial" w:hAnsi="Arial" w:cs="Arial"/>
        <w:noProof/>
        <w:sz w:val="20"/>
        <w:szCs w:val="20"/>
      </w:rPr>
    </w:sdtEndPr>
    <w:sdtContent>
      <w:p w14:paraId="15A4E263" w14:textId="631FC813" w:rsidR="002B40CB" w:rsidRPr="002B40CB" w:rsidRDefault="002B40CB">
        <w:pPr>
          <w:pStyle w:val="Footer"/>
          <w:jc w:val="right"/>
          <w:rPr>
            <w:rFonts w:ascii="Arial" w:hAnsi="Arial" w:cs="Arial"/>
            <w:sz w:val="20"/>
            <w:szCs w:val="20"/>
          </w:rPr>
        </w:pPr>
        <w:r w:rsidRPr="002B40CB">
          <w:rPr>
            <w:rFonts w:ascii="Arial" w:hAnsi="Arial" w:cs="Arial"/>
            <w:sz w:val="20"/>
            <w:szCs w:val="20"/>
          </w:rPr>
          <w:fldChar w:fldCharType="begin"/>
        </w:r>
        <w:r w:rsidRPr="002B40CB">
          <w:rPr>
            <w:rFonts w:ascii="Arial" w:hAnsi="Arial" w:cs="Arial"/>
            <w:sz w:val="20"/>
            <w:szCs w:val="20"/>
          </w:rPr>
          <w:instrText xml:space="preserve"> PAGE   \* MERGEFORMAT </w:instrText>
        </w:r>
        <w:r w:rsidRPr="002B40CB">
          <w:rPr>
            <w:rFonts w:ascii="Arial" w:hAnsi="Arial" w:cs="Arial"/>
            <w:sz w:val="20"/>
            <w:szCs w:val="20"/>
          </w:rPr>
          <w:fldChar w:fldCharType="separate"/>
        </w:r>
        <w:r w:rsidRPr="002B40CB">
          <w:rPr>
            <w:rFonts w:ascii="Arial" w:hAnsi="Arial" w:cs="Arial"/>
            <w:noProof/>
            <w:sz w:val="20"/>
            <w:szCs w:val="20"/>
          </w:rPr>
          <w:t>2</w:t>
        </w:r>
        <w:r w:rsidRPr="002B40CB">
          <w:rPr>
            <w:rFonts w:ascii="Arial" w:hAnsi="Arial" w:cs="Arial"/>
            <w:noProof/>
            <w:sz w:val="20"/>
            <w:szCs w:val="20"/>
          </w:rPr>
          <w:fldChar w:fldCharType="end"/>
        </w:r>
      </w:p>
    </w:sdtContent>
  </w:sdt>
  <w:p w14:paraId="764C63FC" w14:textId="77777777" w:rsidR="002B40CB" w:rsidRDefault="002B4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5C03E" w14:textId="77777777" w:rsidR="00B55E92" w:rsidRDefault="00B55E92" w:rsidP="00952A38">
      <w:pPr>
        <w:spacing w:after="0" w:line="240" w:lineRule="auto"/>
      </w:pPr>
      <w:r>
        <w:separator/>
      </w:r>
    </w:p>
  </w:footnote>
  <w:footnote w:type="continuationSeparator" w:id="0">
    <w:p w14:paraId="2944A0D7" w14:textId="77777777" w:rsidR="00B55E92" w:rsidRDefault="00B55E92" w:rsidP="00952A38">
      <w:pPr>
        <w:spacing w:after="0" w:line="240" w:lineRule="auto"/>
      </w:pPr>
      <w:r>
        <w:continuationSeparator/>
      </w:r>
    </w:p>
  </w:footnote>
  <w:footnote w:type="continuationNotice" w:id="1">
    <w:p w14:paraId="18E1C793" w14:textId="77777777" w:rsidR="00B55E92" w:rsidRDefault="00B55E92">
      <w:pPr>
        <w:spacing w:after="0" w:line="240" w:lineRule="auto"/>
      </w:pPr>
    </w:p>
  </w:footnote>
  <w:footnote w:id="2">
    <w:p w14:paraId="007CF266" w14:textId="7F670A7B" w:rsidR="00A16335" w:rsidRPr="003F3125" w:rsidRDefault="00A16335">
      <w:pPr>
        <w:pStyle w:val="FootnoteText"/>
        <w:rPr>
          <w:rFonts w:ascii="Arial" w:hAnsi="Arial" w:cs="Arial"/>
          <w:sz w:val="16"/>
          <w:szCs w:val="16"/>
        </w:rPr>
      </w:pPr>
      <w:r w:rsidRPr="003F3125">
        <w:rPr>
          <w:rStyle w:val="FootnoteReference"/>
          <w:rFonts w:ascii="Arial" w:hAnsi="Arial" w:cs="Arial"/>
          <w:sz w:val="16"/>
          <w:szCs w:val="16"/>
        </w:rPr>
        <w:footnoteRef/>
      </w:r>
      <w:r w:rsidRPr="003F3125">
        <w:rPr>
          <w:rFonts w:ascii="Arial" w:hAnsi="Arial" w:cs="Arial"/>
          <w:sz w:val="16"/>
          <w:szCs w:val="16"/>
        </w:rPr>
        <w:t xml:space="preserve"> CARES Act (Public Law 116-136, § 18115(a),) (2022).</w:t>
      </w:r>
    </w:p>
  </w:footnote>
  <w:footnote w:id="3">
    <w:p w14:paraId="6123A54A" w14:textId="05895E6B" w:rsidR="00A16335" w:rsidRDefault="00A16335">
      <w:pPr>
        <w:pStyle w:val="FootnoteText"/>
      </w:pPr>
      <w:r w:rsidRPr="003F3125">
        <w:rPr>
          <w:rStyle w:val="FootnoteReference"/>
          <w:rFonts w:ascii="Arial" w:hAnsi="Arial" w:cs="Arial"/>
          <w:sz w:val="16"/>
          <w:szCs w:val="16"/>
        </w:rPr>
        <w:footnoteRef/>
      </w:r>
      <w:r w:rsidRPr="003F3125">
        <w:rPr>
          <w:rFonts w:ascii="Arial" w:hAnsi="Arial" w:cs="Arial"/>
          <w:sz w:val="16"/>
          <w:szCs w:val="16"/>
        </w:rPr>
        <w:t xml:space="preserve"> CDPHE. COVID-19 (SARS-CoV-2) Reporting Requirements. Available: </w:t>
      </w:r>
      <w:hyperlink r:id="rId1" w:history="1">
        <w:r w:rsidRPr="003F3125">
          <w:rPr>
            <w:rStyle w:val="Hyperlink"/>
            <w:rFonts w:ascii="Arial" w:hAnsi="Arial" w:cs="Arial"/>
            <w:sz w:val="16"/>
            <w:szCs w:val="16"/>
          </w:rPr>
          <w:t>https://cdphe.colorado.gov/report-a-disease/covid</w:t>
        </w:r>
      </w:hyperlink>
      <w:r w:rsidRPr="003F3125">
        <w:rPr>
          <w:rFonts w:ascii="Arial" w:hAnsi="Arial" w:cs="Arial"/>
          <w:sz w:val="16"/>
          <w:szCs w:val="16"/>
        </w:rPr>
        <w:t xml:space="preserve"> 2024.</w:t>
      </w:r>
    </w:p>
  </w:footnote>
</w:footnotes>
</file>

<file path=word/intelligence2.xml><?xml version="1.0" encoding="utf-8"?>
<int2:intelligence xmlns:int2="http://schemas.microsoft.com/office/intelligence/2020/intelligence" xmlns:oel="http://schemas.microsoft.com/office/2019/extlst">
  <int2:observations>
    <int2:bookmark int2:bookmarkName="_Int_5BoZfUny" int2:invalidationBookmarkName="" int2:hashCode="X55YArurxx+Sdf" int2:id="MWDQ8z0A">
      <int2:state int2:value="Rejected" int2:type="AugLoop_Text_Critique"/>
    </int2:bookmark>
    <int2:bookmark int2:bookmarkName="_Int_o8oVWxYX" int2:invalidationBookmarkName="" int2:hashCode="ZdGjZKcdQXLN1H" int2:id="wIBnX9eJ">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PLoS&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dvfztx0y9a05zet2595r5vdexwextfaxzz9&quot;&gt;BethLibrary&lt;record-ids&gt;&lt;item&gt;4913&lt;/item&gt;&lt;item&gt;4914&lt;/item&gt;&lt;/record-ids&gt;&lt;/item&gt;&lt;/Libraries&gt;"/>
  </w:docVars>
  <w:rsids>
    <w:rsidRoot w:val="00952A38"/>
    <w:rsid w:val="000162A0"/>
    <w:rsid w:val="00027F5D"/>
    <w:rsid w:val="00043DC7"/>
    <w:rsid w:val="00055653"/>
    <w:rsid w:val="00074425"/>
    <w:rsid w:val="000B2920"/>
    <w:rsid w:val="000C6ECA"/>
    <w:rsid w:val="001733E6"/>
    <w:rsid w:val="00185F77"/>
    <w:rsid w:val="001C260A"/>
    <w:rsid w:val="00213DE2"/>
    <w:rsid w:val="00221CBF"/>
    <w:rsid w:val="0024485B"/>
    <w:rsid w:val="00246BC9"/>
    <w:rsid w:val="00250E08"/>
    <w:rsid w:val="00275975"/>
    <w:rsid w:val="002B40CB"/>
    <w:rsid w:val="003147AE"/>
    <w:rsid w:val="00343A50"/>
    <w:rsid w:val="00344F97"/>
    <w:rsid w:val="00347736"/>
    <w:rsid w:val="003633D8"/>
    <w:rsid w:val="0036350E"/>
    <w:rsid w:val="00372FE6"/>
    <w:rsid w:val="00392D3F"/>
    <w:rsid w:val="003A36AB"/>
    <w:rsid w:val="003B4D49"/>
    <w:rsid w:val="003C4260"/>
    <w:rsid w:val="003E1F1C"/>
    <w:rsid w:val="003F3125"/>
    <w:rsid w:val="00406635"/>
    <w:rsid w:val="00434E85"/>
    <w:rsid w:val="004821CB"/>
    <w:rsid w:val="004D70A4"/>
    <w:rsid w:val="005124AC"/>
    <w:rsid w:val="00551C0E"/>
    <w:rsid w:val="0055760B"/>
    <w:rsid w:val="00597BBE"/>
    <w:rsid w:val="005A01BF"/>
    <w:rsid w:val="005D161B"/>
    <w:rsid w:val="006000FB"/>
    <w:rsid w:val="006677D2"/>
    <w:rsid w:val="006B0472"/>
    <w:rsid w:val="006C5329"/>
    <w:rsid w:val="00751CC2"/>
    <w:rsid w:val="00767DA6"/>
    <w:rsid w:val="007B6007"/>
    <w:rsid w:val="007E082E"/>
    <w:rsid w:val="008175EA"/>
    <w:rsid w:val="0082692F"/>
    <w:rsid w:val="008C71A8"/>
    <w:rsid w:val="008D7258"/>
    <w:rsid w:val="008E7305"/>
    <w:rsid w:val="00952A38"/>
    <w:rsid w:val="00975212"/>
    <w:rsid w:val="009A3E1E"/>
    <w:rsid w:val="00A10DFF"/>
    <w:rsid w:val="00A16335"/>
    <w:rsid w:val="00A2762D"/>
    <w:rsid w:val="00A47ACE"/>
    <w:rsid w:val="00A57AD5"/>
    <w:rsid w:val="00AA032E"/>
    <w:rsid w:val="00B52960"/>
    <w:rsid w:val="00B55E92"/>
    <w:rsid w:val="00BC47EB"/>
    <w:rsid w:val="00BE534C"/>
    <w:rsid w:val="00C46A66"/>
    <w:rsid w:val="00C5478B"/>
    <w:rsid w:val="00C54A33"/>
    <w:rsid w:val="00C70D17"/>
    <w:rsid w:val="00C82F0F"/>
    <w:rsid w:val="00C8610A"/>
    <w:rsid w:val="00C874AB"/>
    <w:rsid w:val="00C97228"/>
    <w:rsid w:val="00CA1E10"/>
    <w:rsid w:val="00CA4A72"/>
    <w:rsid w:val="00CB20A4"/>
    <w:rsid w:val="00CB5980"/>
    <w:rsid w:val="00CD1FC3"/>
    <w:rsid w:val="00CE0C8E"/>
    <w:rsid w:val="00CF2CE5"/>
    <w:rsid w:val="00CF665E"/>
    <w:rsid w:val="00D01A4C"/>
    <w:rsid w:val="00D2365B"/>
    <w:rsid w:val="00D74869"/>
    <w:rsid w:val="00D83323"/>
    <w:rsid w:val="00DA503A"/>
    <w:rsid w:val="00DB6BAA"/>
    <w:rsid w:val="00E32250"/>
    <w:rsid w:val="00E446FB"/>
    <w:rsid w:val="00E679F1"/>
    <w:rsid w:val="00E706E9"/>
    <w:rsid w:val="00F028D6"/>
    <w:rsid w:val="00F1B6E0"/>
    <w:rsid w:val="00F242C5"/>
    <w:rsid w:val="00F27E60"/>
    <w:rsid w:val="00F82DCC"/>
    <w:rsid w:val="00FA6C07"/>
    <w:rsid w:val="00FD0E22"/>
    <w:rsid w:val="00FD2BF9"/>
    <w:rsid w:val="00FD7364"/>
    <w:rsid w:val="00FF6AA9"/>
    <w:rsid w:val="01DCBA1A"/>
    <w:rsid w:val="01EAF537"/>
    <w:rsid w:val="02F586EC"/>
    <w:rsid w:val="0374514E"/>
    <w:rsid w:val="03D7FDE9"/>
    <w:rsid w:val="0613834E"/>
    <w:rsid w:val="0637C617"/>
    <w:rsid w:val="064078AD"/>
    <w:rsid w:val="06A3A59D"/>
    <w:rsid w:val="06BE91A4"/>
    <w:rsid w:val="06DF1CF6"/>
    <w:rsid w:val="07B8DB0F"/>
    <w:rsid w:val="0808A6E7"/>
    <w:rsid w:val="08404C91"/>
    <w:rsid w:val="0A0CAEEE"/>
    <w:rsid w:val="0AAE0568"/>
    <w:rsid w:val="0AB51877"/>
    <w:rsid w:val="0AF59F81"/>
    <w:rsid w:val="0B2F04C6"/>
    <w:rsid w:val="0B50B247"/>
    <w:rsid w:val="0B6DFCE2"/>
    <w:rsid w:val="0B9EF2D4"/>
    <w:rsid w:val="0BCC6CB5"/>
    <w:rsid w:val="0C203990"/>
    <w:rsid w:val="0D3AE1BE"/>
    <w:rsid w:val="0DE0AD0A"/>
    <w:rsid w:val="0DE7BAC5"/>
    <w:rsid w:val="0F2D64D0"/>
    <w:rsid w:val="0FA2398A"/>
    <w:rsid w:val="0FC03F99"/>
    <w:rsid w:val="0FCFD429"/>
    <w:rsid w:val="108C4DED"/>
    <w:rsid w:val="10F96792"/>
    <w:rsid w:val="11A9918F"/>
    <w:rsid w:val="11F754EA"/>
    <w:rsid w:val="123D844C"/>
    <w:rsid w:val="12987B96"/>
    <w:rsid w:val="1443C42F"/>
    <w:rsid w:val="1550BBF5"/>
    <w:rsid w:val="1588F9E3"/>
    <w:rsid w:val="1599D9E2"/>
    <w:rsid w:val="167CEC39"/>
    <w:rsid w:val="1735AA43"/>
    <w:rsid w:val="1A085BCF"/>
    <w:rsid w:val="1A682F85"/>
    <w:rsid w:val="1A69956C"/>
    <w:rsid w:val="1AD3F99C"/>
    <w:rsid w:val="1B2EA6F7"/>
    <w:rsid w:val="1C018251"/>
    <w:rsid w:val="1C9618FC"/>
    <w:rsid w:val="1CC67BBC"/>
    <w:rsid w:val="1CDE5B00"/>
    <w:rsid w:val="1CE2570E"/>
    <w:rsid w:val="1D10D19E"/>
    <w:rsid w:val="1E894839"/>
    <w:rsid w:val="1F058007"/>
    <w:rsid w:val="1F6E2B73"/>
    <w:rsid w:val="1F9EE73D"/>
    <w:rsid w:val="1FE482D2"/>
    <w:rsid w:val="200A5D2F"/>
    <w:rsid w:val="20F35706"/>
    <w:rsid w:val="20FB4620"/>
    <w:rsid w:val="212C26BF"/>
    <w:rsid w:val="21C8DE82"/>
    <w:rsid w:val="22519C6E"/>
    <w:rsid w:val="23170207"/>
    <w:rsid w:val="23C08265"/>
    <w:rsid w:val="23DA9550"/>
    <w:rsid w:val="2409D904"/>
    <w:rsid w:val="24517B4B"/>
    <w:rsid w:val="2464D2AA"/>
    <w:rsid w:val="24D3929F"/>
    <w:rsid w:val="2549A360"/>
    <w:rsid w:val="25BEE8C1"/>
    <w:rsid w:val="275DE7C3"/>
    <w:rsid w:val="27B4FF8E"/>
    <w:rsid w:val="29C138A1"/>
    <w:rsid w:val="29CC991F"/>
    <w:rsid w:val="2AA3EFC7"/>
    <w:rsid w:val="2AAD9F96"/>
    <w:rsid w:val="2B1C6840"/>
    <w:rsid w:val="2B9D095F"/>
    <w:rsid w:val="2C53F473"/>
    <w:rsid w:val="2C9AFC9B"/>
    <w:rsid w:val="2D1905A2"/>
    <w:rsid w:val="2D398E7F"/>
    <w:rsid w:val="2DA1B508"/>
    <w:rsid w:val="2DB5AA22"/>
    <w:rsid w:val="2DF69FA4"/>
    <w:rsid w:val="2F325E70"/>
    <w:rsid w:val="2F540D4E"/>
    <w:rsid w:val="3040C776"/>
    <w:rsid w:val="306DB288"/>
    <w:rsid w:val="30DCED94"/>
    <w:rsid w:val="30EF5380"/>
    <w:rsid w:val="3179F6E8"/>
    <w:rsid w:val="31ED5C7F"/>
    <w:rsid w:val="3201DF81"/>
    <w:rsid w:val="321A3278"/>
    <w:rsid w:val="3227DB9C"/>
    <w:rsid w:val="33024957"/>
    <w:rsid w:val="33D0FBEB"/>
    <w:rsid w:val="35311893"/>
    <w:rsid w:val="356DAA05"/>
    <w:rsid w:val="359046C8"/>
    <w:rsid w:val="364221E5"/>
    <w:rsid w:val="368836E6"/>
    <w:rsid w:val="36CDADE9"/>
    <w:rsid w:val="36E498ED"/>
    <w:rsid w:val="38125047"/>
    <w:rsid w:val="385DEA34"/>
    <w:rsid w:val="38FA70F6"/>
    <w:rsid w:val="39F00A55"/>
    <w:rsid w:val="3B5BB29F"/>
    <w:rsid w:val="3B801815"/>
    <w:rsid w:val="3D1E8606"/>
    <w:rsid w:val="3E951219"/>
    <w:rsid w:val="3EBC46DC"/>
    <w:rsid w:val="40929225"/>
    <w:rsid w:val="409945B5"/>
    <w:rsid w:val="40A2FAD9"/>
    <w:rsid w:val="40A544FB"/>
    <w:rsid w:val="419C2B50"/>
    <w:rsid w:val="41BC4618"/>
    <w:rsid w:val="42D01AAA"/>
    <w:rsid w:val="43901405"/>
    <w:rsid w:val="4428C658"/>
    <w:rsid w:val="442E6151"/>
    <w:rsid w:val="44C425E2"/>
    <w:rsid w:val="45018B41"/>
    <w:rsid w:val="45633DC5"/>
    <w:rsid w:val="458D2562"/>
    <w:rsid w:val="45CD9BBA"/>
    <w:rsid w:val="466778D7"/>
    <w:rsid w:val="4699979B"/>
    <w:rsid w:val="46BECD5C"/>
    <w:rsid w:val="4767E74B"/>
    <w:rsid w:val="47A166A1"/>
    <w:rsid w:val="47A61001"/>
    <w:rsid w:val="480F6D05"/>
    <w:rsid w:val="493BCE44"/>
    <w:rsid w:val="49AA05F1"/>
    <w:rsid w:val="49C2217D"/>
    <w:rsid w:val="4A09F430"/>
    <w:rsid w:val="4A5C2793"/>
    <w:rsid w:val="4AFE31A3"/>
    <w:rsid w:val="4BD7432B"/>
    <w:rsid w:val="4C13B845"/>
    <w:rsid w:val="4C389904"/>
    <w:rsid w:val="4CE5B062"/>
    <w:rsid w:val="4D1AE370"/>
    <w:rsid w:val="4D1C465F"/>
    <w:rsid w:val="4D308BF9"/>
    <w:rsid w:val="4DEBEAAC"/>
    <w:rsid w:val="4EFE8752"/>
    <w:rsid w:val="4F1CA1B9"/>
    <w:rsid w:val="4F42081D"/>
    <w:rsid w:val="5048B9F1"/>
    <w:rsid w:val="505A242F"/>
    <w:rsid w:val="50A51DE5"/>
    <w:rsid w:val="50D9CA5E"/>
    <w:rsid w:val="5142E172"/>
    <w:rsid w:val="52717D0F"/>
    <w:rsid w:val="545587B5"/>
    <w:rsid w:val="550002E9"/>
    <w:rsid w:val="561ADF70"/>
    <w:rsid w:val="5670C5AD"/>
    <w:rsid w:val="56722D4F"/>
    <w:rsid w:val="56F10CB2"/>
    <w:rsid w:val="57180797"/>
    <w:rsid w:val="57D4407B"/>
    <w:rsid w:val="586292CC"/>
    <w:rsid w:val="58C9FDFB"/>
    <w:rsid w:val="596434E0"/>
    <w:rsid w:val="5A7D862F"/>
    <w:rsid w:val="5BEEBB04"/>
    <w:rsid w:val="5C025433"/>
    <w:rsid w:val="5C15107C"/>
    <w:rsid w:val="5C49DC8C"/>
    <w:rsid w:val="5CFE1A21"/>
    <w:rsid w:val="5D29F8CA"/>
    <w:rsid w:val="5D44A998"/>
    <w:rsid w:val="5D7FF7FA"/>
    <w:rsid w:val="5DD914CE"/>
    <w:rsid w:val="5DE96354"/>
    <w:rsid w:val="5EB2B895"/>
    <w:rsid w:val="5EE1571E"/>
    <w:rsid w:val="5F39946F"/>
    <w:rsid w:val="5F576EA5"/>
    <w:rsid w:val="5F976F62"/>
    <w:rsid w:val="5FC72E5A"/>
    <w:rsid w:val="5FCB4237"/>
    <w:rsid w:val="602D441D"/>
    <w:rsid w:val="61102A7D"/>
    <w:rsid w:val="616EAD6A"/>
    <w:rsid w:val="619272B1"/>
    <w:rsid w:val="633C0466"/>
    <w:rsid w:val="640645A9"/>
    <w:rsid w:val="6436E57D"/>
    <w:rsid w:val="64482C43"/>
    <w:rsid w:val="64921B90"/>
    <w:rsid w:val="6495BFF3"/>
    <w:rsid w:val="651E3B7E"/>
    <w:rsid w:val="65837CC9"/>
    <w:rsid w:val="66A725E5"/>
    <w:rsid w:val="67AA2128"/>
    <w:rsid w:val="67C62A3A"/>
    <w:rsid w:val="680C65B7"/>
    <w:rsid w:val="68C71E00"/>
    <w:rsid w:val="6907F9A8"/>
    <w:rsid w:val="693E3647"/>
    <w:rsid w:val="6AB72A69"/>
    <w:rsid w:val="6BBAE757"/>
    <w:rsid w:val="6C60841B"/>
    <w:rsid w:val="6D4B7D3B"/>
    <w:rsid w:val="6DE1FE3B"/>
    <w:rsid w:val="6E4F9B67"/>
    <w:rsid w:val="6EDC040A"/>
    <w:rsid w:val="6F78FACF"/>
    <w:rsid w:val="6FA4256C"/>
    <w:rsid w:val="708F28D3"/>
    <w:rsid w:val="716B24FD"/>
    <w:rsid w:val="71AD4337"/>
    <w:rsid w:val="73A1A0EC"/>
    <w:rsid w:val="7461D214"/>
    <w:rsid w:val="763E3EE5"/>
    <w:rsid w:val="76528A4A"/>
    <w:rsid w:val="76E84A54"/>
    <w:rsid w:val="770C673C"/>
    <w:rsid w:val="77A53B13"/>
    <w:rsid w:val="78D82923"/>
    <w:rsid w:val="78ED1A48"/>
    <w:rsid w:val="7945238F"/>
    <w:rsid w:val="79EA4C85"/>
    <w:rsid w:val="7A2C9C7D"/>
    <w:rsid w:val="7AD6BA20"/>
    <w:rsid w:val="7B5FB473"/>
    <w:rsid w:val="7BE39AE2"/>
    <w:rsid w:val="7C187478"/>
    <w:rsid w:val="7C3DAF53"/>
    <w:rsid w:val="7C7E96D3"/>
    <w:rsid w:val="7CBE2D97"/>
    <w:rsid w:val="7D899ECF"/>
    <w:rsid w:val="7E80DA1E"/>
    <w:rsid w:val="7F649763"/>
    <w:rsid w:val="7FA75E9D"/>
    <w:rsid w:val="7FE66221"/>
    <w:rsid w:val="7FEE11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CA863"/>
  <w15:chartTrackingRefBased/>
  <w15:docId w15:val="{C0EA553F-6A35-4FE0-8991-B1EC84E3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A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A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A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A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A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A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A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A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A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A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A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A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A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A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A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A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A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A38"/>
    <w:rPr>
      <w:rFonts w:eastAsiaTheme="majorEastAsia" w:cstheme="majorBidi"/>
      <w:color w:val="272727" w:themeColor="text1" w:themeTint="D8"/>
    </w:rPr>
  </w:style>
  <w:style w:type="paragraph" w:styleId="Title">
    <w:name w:val="Title"/>
    <w:basedOn w:val="Normal"/>
    <w:next w:val="Normal"/>
    <w:link w:val="TitleChar"/>
    <w:uiPriority w:val="10"/>
    <w:qFormat/>
    <w:rsid w:val="00952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A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A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A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A38"/>
    <w:pPr>
      <w:spacing w:before="160"/>
      <w:jc w:val="center"/>
    </w:pPr>
    <w:rPr>
      <w:i/>
      <w:iCs/>
      <w:color w:val="404040" w:themeColor="text1" w:themeTint="BF"/>
    </w:rPr>
  </w:style>
  <w:style w:type="character" w:customStyle="1" w:styleId="QuoteChar">
    <w:name w:val="Quote Char"/>
    <w:basedOn w:val="DefaultParagraphFont"/>
    <w:link w:val="Quote"/>
    <w:uiPriority w:val="29"/>
    <w:rsid w:val="00952A38"/>
    <w:rPr>
      <w:i/>
      <w:iCs/>
      <w:color w:val="404040" w:themeColor="text1" w:themeTint="BF"/>
    </w:rPr>
  </w:style>
  <w:style w:type="paragraph" w:styleId="ListParagraph">
    <w:name w:val="List Paragraph"/>
    <w:basedOn w:val="Normal"/>
    <w:uiPriority w:val="34"/>
    <w:qFormat/>
    <w:rsid w:val="00952A38"/>
    <w:pPr>
      <w:ind w:left="720"/>
      <w:contextualSpacing/>
    </w:pPr>
  </w:style>
  <w:style w:type="character" w:styleId="IntenseEmphasis">
    <w:name w:val="Intense Emphasis"/>
    <w:basedOn w:val="DefaultParagraphFont"/>
    <w:uiPriority w:val="21"/>
    <w:qFormat/>
    <w:rsid w:val="00952A38"/>
    <w:rPr>
      <w:i/>
      <w:iCs/>
      <w:color w:val="0F4761" w:themeColor="accent1" w:themeShade="BF"/>
    </w:rPr>
  </w:style>
  <w:style w:type="paragraph" w:styleId="IntenseQuote">
    <w:name w:val="Intense Quote"/>
    <w:basedOn w:val="Normal"/>
    <w:next w:val="Normal"/>
    <w:link w:val="IntenseQuoteChar"/>
    <w:uiPriority w:val="30"/>
    <w:qFormat/>
    <w:rsid w:val="00952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A38"/>
    <w:rPr>
      <w:i/>
      <w:iCs/>
      <w:color w:val="0F4761" w:themeColor="accent1" w:themeShade="BF"/>
    </w:rPr>
  </w:style>
  <w:style w:type="character" w:styleId="IntenseReference">
    <w:name w:val="Intense Reference"/>
    <w:basedOn w:val="DefaultParagraphFont"/>
    <w:uiPriority w:val="32"/>
    <w:qFormat/>
    <w:rsid w:val="00952A38"/>
    <w:rPr>
      <w:b/>
      <w:bCs/>
      <w:smallCaps/>
      <w:color w:val="0F4761" w:themeColor="accent1" w:themeShade="BF"/>
      <w:spacing w:val="5"/>
    </w:rPr>
  </w:style>
  <w:style w:type="table" w:styleId="TableGrid">
    <w:name w:val="Table Grid"/>
    <w:basedOn w:val="TableNormal"/>
    <w:uiPriority w:val="59"/>
    <w:rsid w:val="00952A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52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A38"/>
  </w:style>
  <w:style w:type="paragraph" w:styleId="Footer">
    <w:name w:val="footer"/>
    <w:basedOn w:val="Normal"/>
    <w:link w:val="FooterChar"/>
    <w:uiPriority w:val="99"/>
    <w:unhideWhenUsed/>
    <w:rsid w:val="00952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A38"/>
  </w:style>
  <w:style w:type="paragraph" w:customStyle="1" w:styleId="paragraph">
    <w:name w:val="paragraph"/>
    <w:basedOn w:val="Normal"/>
    <w:rsid w:val="00952A3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952A38"/>
  </w:style>
  <w:style w:type="character" w:customStyle="1" w:styleId="eop">
    <w:name w:val="eop"/>
    <w:basedOn w:val="DefaultParagraphFont"/>
    <w:rsid w:val="00952A38"/>
  </w:style>
  <w:style w:type="character" w:styleId="Hyperlink">
    <w:name w:val="Hyperlink"/>
    <w:basedOn w:val="DefaultParagraphFont"/>
    <w:uiPriority w:val="99"/>
    <w:unhideWhenUsed/>
    <w:rsid w:val="00C46A66"/>
    <w:rPr>
      <w:color w:val="467886" w:themeColor="hyperlink"/>
      <w:u w:val="single"/>
    </w:rPr>
  </w:style>
  <w:style w:type="character" w:customStyle="1" w:styleId="UnresolvedMention1">
    <w:name w:val="Unresolved Mention1"/>
    <w:basedOn w:val="DefaultParagraphFont"/>
    <w:uiPriority w:val="99"/>
    <w:semiHidden/>
    <w:unhideWhenUsed/>
    <w:rsid w:val="00C46A66"/>
    <w:rPr>
      <w:color w:val="605E5C"/>
      <w:shd w:val="clear" w:color="auto" w:fill="E1DFDD"/>
    </w:rPr>
  </w:style>
  <w:style w:type="character" w:customStyle="1" w:styleId="wacimagecontainer">
    <w:name w:val="wacimagecontainer"/>
    <w:basedOn w:val="DefaultParagraphFont"/>
    <w:rsid w:val="00751CC2"/>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0DFF"/>
    <w:pPr>
      <w:spacing w:after="0" w:line="240" w:lineRule="auto"/>
    </w:pPr>
  </w:style>
  <w:style w:type="paragraph" w:styleId="CommentSubject">
    <w:name w:val="annotation subject"/>
    <w:basedOn w:val="CommentText"/>
    <w:next w:val="CommentText"/>
    <w:link w:val="CommentSubjectChar"/>
    <w:uiPriority w:val="99"/>
    <w:semiHidden/>
    <w:unhideWhenUsed/>
    <w:rsid w:val="00975212"/>
    <w:rPr>
      <w:b/>
      <w:bCs/>
    </w:rPr>
  </w:style>
  <w:style w:type="character" w:customStyle="1" w:styleId="CommentSubjectChar">
    <w:name w:val="Comment Subject Char"/>
    <w:basedOn w:val="CommentTextChar"/>
    <w:link w:val="CommentSubject"/>
    <w:uiPriority w:val="99"/>
    <w:semiHidden/>
    <w:rsid w:val="00975212"/>
    <w:rPr>
      <w:b/>
      <w:bCs/>
      <w:sz w:val="20"/>
      <w:szCs w:val="20"/>
    </w:rPr>
  </w:style>
  <w:style w:type="character" w:customStyle="1" w:styleId="Mention1">
    <w:name w:val="Mention1"/>
    <w:basedOn w:val="DefaultParagraphFont"/>
    <w:uiPriority w:val="99"/>
    <w:unhideWhenUsed/>
    <w:rsid w:val="00F27E60"/>
    <w:rPr>
      <w:color w:val="2B579A"/>
      <w:shd w:val="clear" w:color="auto" w:fill="E1DFDD"/>
    </w:rPr>
  </w:style>
  <w:style w:type="paragraph" w:customStyle="1" w:styleId="EndNoteBibliographyTitle">
    <w:name w:val="EndNote Bibliography Title"/>
    <w:basedOn w:val="Normal"/>
    <w:link w:val="EndNoteBibliographyTitleChar"/>
    <w:rsid w:val="000C6ECA"/>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0C6ECA"/>
    <w:rPr>
      <w:rFonts w:ascii="Aptos" w:hAnsi="Aptos"/>
      <w:noProof/>
    </w:rPr>
  </w:style>
  <w:style w:type="paragraph" w:customStyle="1" w:styleId="EndNoteBibliography">
    <w:name w:val="EndNote Bibliography"/>
    <w:basedOn w:val="Normal"/>
    <w:link w:val="EndNoteBibliographyChar"/>
    <w:rsid w:val="000C6ECA"/>
    <w:pPr>
      <w:spacing w:line="240" w:lineRule="auto"/>
    </w:pPr>
    <w:rPr>
      <w:rFonts w:ascii="Aptos" w:hAnsi="Aptos"/>
      <w:noProof/>
    </w:rPr>
  </w:style>
  <w:style w:type="character" w:customStyle="1" w:styleId="EndNoteBibliographyChar">
    <w:name w:val="EndNote Bibliography Char"/>
    <w:basedOn w:val="DefaultParagraphFont"/>
    <w:link w:val="EndNoteBibliography"/>
    <w:rsid w:val="000C6ECA"/>
    <w:rPr>
      <w:rFonts w:ascii="Aptos" w:hAnsi="Aptos"/>
      <w:noProof/>
    </w:rPr>
  </w:style>
  <w:style w:type="paragraph" w:styleId="BalloonText">
    <w:name w:val="Balloon Text"/>
    <w:basedOn w:val="Normal"/>
    <w:link w:val="BalloonTextChar"/>
    <w:uiPriority w:val="99"/>
    <w:semiHidden/>
    <w:unhideWhenUsed/>
    <w:rsid w:val="00CD1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FC3"/>
    <w:rPr>
      <w:rFonts w:ascii="Segoe UI" w:hAnsi="Segoe UI" w:cs="Segoe UI"/>
      <w:sz w:val="18"/>
      <w:szCs w:val="18"/>
    </w:rPr>
  </w:style>
  <w:style w:type="character" w:styleId="UnresolvedMention">
    <w:name w:val="Unresolved Mention"/>
    <w:basedOn w:val="DefaultParagraphFont"/>
    <w:uiPriority w:val="99"/>
    <w:semiHidden/>
    <w:unhideWhenUsed/>
    <w:rsid w:val="000B2920"/>
    <w:rPr>
      <w:color w:val="605E5C"/>
      <w:shd w:val="clear" w:color="auto" w:fill="E1DFDD"/>
    </w:rPr>
  </w:style>
  <w:style w:type="paragraph" w:styleId="FootnoteText">
    <w:name w:val="footnote text"/>
    <w:basedOn w:val="Normal"/>
    <w:link w:val="FootnoteTextChar"/>
    <w:uiPriority w:val="99"/>
    <w:semiHidden/>
    <w:unhideWhenUsed/>
    <w:rsid w:val="00A163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6335"/>
    <w:rPr>
      <w:sz w:val="20"/>
      <w:szCs w:val="20"/>
    </w:rPr>
  </w:style>
  <w:style w:type="character" w:styleId="FootnoteReference">
    <w:name w:val="footnote reference"/>
    <w:basedOn w:val="DefaultParagraphFont"/>
    <w:uiPriority w:val="99"/>
    <w:semiHidden/>
    <w:unhideWhenUsed/>
    <w:rsid w:val="00A163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954163">
      <w:bodyDiv w:val="1"/>
      <w:marLeft w:val="0"/>
      <w:marRight w:val="0"/>
      <w:marTop w:val="0"/>
      <w:marBottom w:val="0"/>
      <w:divBdr>
        <w:top w:val="none" w:sz="0" w:space="0" w:color="auto"/>
        <w:left w:val="none" w:sz="0" w:space="0" w:color="auto"/>
        <w:bottom w:val="none" w:sz="0" w:space="0" w:color="auto"/>
        <w:right w:val="none" w:sz="0" w:space="0" w:color="auto"/>
      </w:divBdr>
      <w:divsChild>
        <w:div w:id="1781485">
          <w:marLeft w:val="0"/>
          <w:marRight w:val="0"/>
          <w:marTop w:val="0"/>
          <w:marBottom w:val="0"/>
          <w:divBdr>
            <w:top w:val="none" w:sz="0" w:space="0" w:color="auto"/>
            <w:left w:val="none" w:sz="0" w:space="0" w:color="auto"/>
            <w:bottom w:val="none" w:sz="0" w:space="0" w:color="auto"/>
            <w:right w:val="none" w:sz="0" w:space="0" w:color="auto"/>
          </w:divBdr>
        </w:div>
        <w:div w:id="7996244">
          <w:marLeft w:val="0"/>
          <w:marRight w:val="0"/>
          <w:marTop w:val="0"/>
          <w:marBottom w:val="0"/>
          <w:divBdr>
            <w:top w:val="none" w:sz="0" w:space="0" w:color="auto"/>
            <w:left w:val="none" w:sz="0" w:space="0" w:color="auto"/>
            <w:bottom w:val="none" w:sz="0" w:space="0" w:color="auto"/>
            <w:right w:val="none" w:sz="0" w:space="0" w:color="auto"/>
          </w:divBdr>
        </w:div>
        <w:div w:id="325791720">
          <w:marLeft w:val="0"/>
          <w:marRight w:val="0"/>
          <w:marTop w:val="0"/>
          <w:marBottom w:val="0"/>
          <w:divBdr>
            <w:top w:val="none" w:sz="0" w:space="0" w:color="auto"/>
            <w:left w:val="none" w:sz="0" w:space="0" w:color="auto"/>
            <w:bottom w:val="none" w:sz="0" w:space="0" w:color="auto"/>
            <w:right w:val="none" w:sz="0" w:space="0" w:color="auto"/>
          </w:divBdr>
        </w:div>
        <w:div w:id="407462870">
          <w:marLeft w:val="0"/>
          <w:marRight w:val="0"/>
          <w:marTop w:val="0"/>
          <w:marBottom w:val="0"/>
          <w:divBdr>
            <w:top w:val="none" w:sz="0" w:space="0" w:color="auto"/>
            <w:left w:val="none" w:sz="0" w:space="0" w:color="auto"/>
            <w:bottom w:val="none" w:sz="0" w:space="0" w:color="auto"/>
            <w:right w:val="none" w:sz="0" w:space="0" w:color="auto"/>
          </w:divBdr>
        </w:div>
        <w:div w:id="535512096">
          <w:marLeft w:val="0"/>
          <w:marRight w:val="0"/>
          <w:marTop w:val="0"/>
          <w:marBottom w:val="0"/>
          <w:divBdr>
            <w:top w:val="none" w:sz="0" w:space="0" w:color="auto"/>
            <w:left w:val="none" w:sz="0" w:space="0" w:color="auto"/>
            <w:bottom w:val="none" w:sz="0" w:space="0" w:color="auto"/>
            <w:right w:val="none" w:sz="0" w:space="0" w:color="auto"/>
          </w:divBdr>
        </w:div>
        <w:div w:id="714045195">
          <w:marLeft w:val="0"/>
          <w:marRight w:val="0"/>
          <w:marTop w:val="0"/>
          <w:marBottom w:val="0"/>
          <w:divBdr>
            <w:top w:val="none" w:sz="0" w:space="0" w:color="auto"/>
            <w:left w:val="none" w:sz="0" w:space="0" w:color="auto"/>
            <w:bottom w:val="none" w:sz="0" w:space="0" w:color="auto"/>
            <w:right w:val="none" w:sz="0" w:space="0" w:color="auto"/>
          </w:divBdr>
        </w:div>
        <w:div w:id="796337284">
          <w:marLeft w:val="0"/>
          <w:marRight w:val="0"/>
          <w:marTop w:val="0"/>
          <w:marBottom w:val="0"/>
          <w:divBdr>
            <w:top w:val="none" w:sz="0" w:space="0" w:color="auto"/>
            <w:left w:val="none" w:sz="0" w:space="0" w:color="auto"/>
            <w:bottom w:val="none" w:sz="0" w:space="0" w:color="auto"/>
            <w:right w:val="none" w:sz="0" w:space="0" w:color="auto"/>
          </w:divBdr>
        </w:div>
        <w:div w:id="838235605">
          <w:marLeft w:val="0"/>
          <w:marRight w:val="0"/>
          <w:marTop w:val="0"/>
          <w:marBottom w:val="0"/>
          <w:divBdr>
            <w:top w:val="none" w:sz="0" w:space="0" w:color="auto"/>
            <w:left w:val="none" w:sz="0" w:space="0" w:color="auto"/>
            <w:bottom w:val="none" w:sz="0" w:space="0" w:color="auto"/>
            <w:right w:val="none" w:sz="0" w:space="0" w:color="auto"/>
          </w:divBdr>
        </w:div>
        <w:div w:id="1063024863">
          <w:marLeft w:val="0"/>
          <w:marRight w:val="0"/>
          <w:marTop w:val="0"/>
          <w:marBottom w:val="0"/>
          <w:divBdr>
            <w:top w:val="none" w:sz="0" w:space="0" w:color="auto"/>
            <w:left w:val="none" w:sz="0" w:space="0" w:color="auto"/>
            <w:bottom w:val="none" w:sz="0" w:space="0" w:color="auto"/>
            <w:right w:val="none" w:sz="0" w:space="0" w:color="auto"/>
          </w:divBdr>
        </w:div>
        <w:div w:id="1151101139">
          <w:marLeft w:val="0"/>
          <w:marRight w:val="0"/>
          <w:marTop w:val="0"/>
          <w:marBottom w:val="0"/>
          <w:divBdr>
            <w:top w:val="none" w:sz="0" w:space="0" w:color="auto"/>
            <w:left w:val="none" w:sz="0" w:space="0" w:color="auto"/>
            <w:bottom w:val="none" w:sz="0" w:space="0" w:color="auto"/>
            <w:right w:val="none" w:sz="0" w:space="0" w:color="auto"/>
          </w:divBdr>
        </w:div>
        <w:div w:id="1882400908">
          <w:marLeft w:val="0"/>
          <w:marRight w:val="0"/>
          <w:marTop w:val="0"/>
          <w:marBottom w:val="0"/>
          <w:divBdr>
            <w:top w:val="none" w:sz="0" w:space="0" w:color="auto"/>
            <w:left w:val="none" w:sz="0" w:space="0" w:color="auto"/>
            <w:bottom w:val="none" w:sz="0" w:space="0" w:color="auto"/>
            <w:right w:val="none" w:sz="0" w:space="0" w:color="auto"/>
          </w:divBdr>
        </w:div>
        <w:div w:id="1976326716">
          <w:marLeft w:val="0"/>
          <w:marRight w:val="0"/>
          <w:marTop w:val="0"/>
          <w:marBottom w:val="0"/>
          <w:divBdr>
            <w:top w:val="none" w:sz="0" w:space="0" w:color="auto"/>
            <w:left w:val="none" w:sz="0" w:space="0" w:color="auto"/>
            <w:bottom w:val="none" w:sz="0" w:space="0" w:color="auto"/>
            <w:right w:val="none" w:sz="0" w:space="0" w:color="auto"/>
          </w:divBdr>
        </w:div>
      </w:divsChild>
    </w:div>
    <w:div w:id="1262106937">
      <w:bodyDiv w:val="1"/>
      <w:marLeft w:val="0"/>
      <w:marRight w:val="0"/>
      <w:marTop w:val="0"/>
      <w:marBottom w:val="0"/>
      <w:divBdr>
        <w:top w:val="none" w:sz="0" w:space="0" w:color="auto"/>
        <w:left w:val="none" w:sz="0" w:space="0" w:color="auto"/>
        <w:bottom w:val="none" w:sz="0" w:space="0" w:color="auto"/>
        <w:right w:val="none" w:sz="0" w:space="0" w:color="auto"/>
      </w:divBdr>
      <w:divsChild>
        <w:div w:id="217741386">
          <w:marLeft w:val="0"/>
          <w:marRight w:val="0"/>
          <w:marTop w:val="0"/>
          <w:marBottom w:val="0"/>
          <w:divBdr>
            <w:top w:val="none" w:sz="0" w:space="0" w:color="auto"/>
            <w:left w:val="none" w:sz="0" w:space="0" w:color="auto"/>
            <w:bottom w:val="none" w:sz="0" w:space="0" w:color="auto"/>
            <w:right w:val="none" w:sz="0" w:space="0" w:color="auto"/>
          </w:divBdr>
        </w:div>
        <w:div w:id="349257205">
          <w:marLeft w:val="0"/>
          <w:marRight w:val="0"/>
          <w:marTop w:val="0"/>
          <w:marBottom w:val="0"/>
          <w:divBdr>
            <w:top w:val="none" w:sz="0" w:space="0" w:color="auto"/>
            <w:left w:val="none" w:sz="0" w:space="0" w:color="auto"/>
            <w:bottom w:val="none" w:sz="0" w:space="0" w:color="auto"/>
            <w:right w:val="none" w:sz="0" w:space="0" w:color="auto"/>
          </w:divBdr>
        </w:div>
        <w:div w:id="866718273">
          <w:marLeft w:val="0"/>
          <w:marRight w:val="0"/>
          <w:marTop w:val="0"/>
          <w:marBottom w:val="0"/>
          <w:divBdr>
            <w:top w:val="none" w:sz="0" w:space="0" w:color="auto"/>
            <w:left w:val="none" w:sz="0" w:space="0" w:color="auto"/>
            <w:bottom w:val="none" w:sz="0" w:space="0" w:color="auto"/>
            <w:right w:val="none" w:sz="0" w:space="0" w:color="auto"/>
          </w:divBdr>
        </w:div>
        <w:div w:id="866992586">
          <w:marLeft w:val="0"/>
          <w:marRight w:val="0"/>
          <w:marTop w:val="0"/>
          <w:marBottom w:val="0"/>
          <w:divBdr>
            <w:top w:val="none" w:sz="0" w:space="0" w:color="auto"/>
            <w:left w:val="none" w:sz="0" w:space="0" w:color="auto"/>
            <w:bottom w:val="none" w:sz="0" w:space="0" w:color="auto"/>
            <w:right w:val="none" w:sz="0" w:space="0" w:color="auto"/>
          </w:divBdr>
        </w:div>
        <w:div w:id="1188717563">
          <w:marLeft w:val="0"/>
          <w:marRight w:val="0"/>
          <w:marTop w:val="0"/>
          <w:marBottom w:val="0"/>
          <w:divBdr>
            <w:top w:val="none" w:sz="0" w:space="0" w:color="auto"/>
            <w:left w:val="none" w:sz="0" w:space="0" w:color="auto"/>
            <w:bottom w:val="none" w:sz="0" w:space="0" w:color="auto"/>
            <w:right w:val="none" w:sz="0" w:space="0" w:color="auto"/>
          </w:divBdr>
        </w:div>
        <w:div w:id="1233273059">
          <w:marLeft w:val="0"/>
          <w:marRight w:val="0"/>
          <w:marTop w:val="0"/>
          <w:marBottom w:val="0"/>
          <w:divBdr>
            <w:top w:val="none" w:sz="0" w:space="0" w:color="auto"/>
            <w:left w:val="none" w:sz="0" w:space="0" w:color="auto"/>
            <w:bottom w:val="none" w:sz="0" w:space="0" w:color="auto"/>
            <w:right w:val="none" w:sz="0" w:space="0" w:color="auto"/>
          </w:divBdr>
        </w:div>
        <w:div w:id="1337852755">
          <w:marLeft w:val="0"/>
          <w:marRight w:val="0"/>
          <w:marTop w:val="0"/>
          <w:marBottom w:val="0"/>
          <w:divBdr>
            <w:top w:val="none" w:sz="0" w:space="0" w:color="auto"/>
            <w:left w:val="none" w:sz="0" w:space="0" w:color="auto"/>
            <w:bottom w:val="none" w:sz="0" w:space="0" w:color="auto"/>
            <w:right w:val="none" w:sz="0" w:space="0" w:color="auto"/>
          </w:divBdr>
        </w:div>
        <w:div w:id="1342514128">
          <w:marLeft w:val="0"/>
          <w:marRight w:val="0"/>
          <w:marTop w:val="0"/>
          <w:marBottom w:val="0"/>
          <w:divBdr>
            <w:top w:val="none" w:sz="0" w:space="0" w:color="auto"/>
            <w:left w:val="none" w:sz="0" w:space="0" w:color="auto"/>
            <w:bottom w:val="none" w:sz="0" w:space="0" w:color="auto"/>
            <w:right w:val="none" w:sz="0" w:space="0" w:color="auto"/>
          </w:divBdr>
        </w:div>
        <w:div w:id="1583296183">
          <w:marLeft w:val="0"/>
          <w:marRight w:val="0"/>
          <w:marTop w:val="0"/>
          <w:marBottom w:val="0"/>
          <w:divBdr>
            <w:top w:val="none" w:sz="0" w:space="0" w:color="auto"/>
            <w:left w:val="none" w:sz="0" w:space="0" w:color="auto"/>
            <w:bottom w:val="none" w:sz="0" w:space="0" w:color="auto"/>
            <w:right w:val="none" w:sz="0" w:space="0" w:color="auto"/>
          </w:divBdr>
        </w:div>
        <w:div w:id="1753770720">
          <w:marLeft w:val="0"/>
          <w:marRight w:val="0"/>
          <w:marTop w:val="0"/>
          <w:marBottom w:val="0"/>
          <w:divBdr>
            <w:top w:val="none" w:sz="0" w:space="0" w:color="auto"/>
            <w:left w:val="none" w:sz="0" w:space="0" w:color="auto"/>
            <w:bottom w:val="none" w:sz="0" w:space="0" w:color="auto"/>
            <w:right w:val="none" w:sz="0" w:space="0" w:color="auto"/>
          </w:divBdr>
        </w:div>
        <w:div w:id="207396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phe.maps.arcgis.com/apps/dashboards/d79cf93c3938470ca4bcc4823328946b"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ww.cdc.gov/nhsn/covid19/hospital-reporting.html" TargetMode="External"/><Relationship Id="rId12" Type="http://schemas.openxmlformats.org/officeDocument/2006/relationships/image" Target="media/image3.png"/><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cdc.gov/nwss/about-data.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phe.colorado.gov/report-a-disease/cov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530B-C922-4F59-B089-7C015D32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2160</Words>
  <Characters>12317</Characters>
  <Application>Microsoft Office Word</Application>
  <DocSecurity>0</DocSecurity>
  <Lines>102</Lines>
  <Paragraphs>28</Paragraphs>
  <ScaleCrop>false</ScaleCrop>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Grover, Elise</dc:creator>
  <cp:keywords/>
  <dc:description/>
  <cp:lastModifiedBy>Grover, Elise</cp:lastModifiedBy>
  <cp:revision>3</cp:revision>
  <cp:lastPrinted>2024-06-04T22:08:00Z</cp:lastPrinted>
  <dcterms:created xsi:type="dcterms:W3CDTF">2024-06-25T20:07:00Z</dcterms:created>
  <dcterms:modified xsi:type="dcterms:W3CDTF">2024-06-25T20:07:00Z</dcterms:modified>
</cp:coreProperties>
</file>