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B0DB7" w14:textId="77777777" w:rsidR="009E5C6E" w:rsidRPr="0075154E" w:rsidRDefault="009E5C6E" w:rsidP="003A7662">
      <w:pPr>
        <w:tabs>
          <w:tab w:val="left" w:pos="9180"/>
        </w:tabs>
        <w:spacing w:line="360" w:lineRule="auto"/>
        <w:ind w:rightChars="133" w:right="293"/>
        <w:jc w:val="center"/>
        <w:rPr>
          <w:rFonts w:asciiTheme="majorHAnsi" w:hAnsiTheme="majorHAnsi" w:cstheme="majorHAnsi"/>
          <w:sz w:val="24"/>
          <w:szCs w:val="24"/>
        </w:rPr>
      </w:pPr>
      <w:r w:rsidRPr="0075154E"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inline distT="0" distB="0" distL="0" distR="0" wp14:anchorId="4477D43F" wp14:editId="44163B9E">
            <wp:extent cx="3952875" cy="2454608"/>
            <wp:effectExtent l="0" t="0" r="0" b="3175"/>
            <wp:docPr id="5" name="Picture 5" descr="H:\Day_2 all combined without NL str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Day_2 all combined without NL stra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351" cy="246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A053D" w14:textId="6514C13C" w:rsidR="009E5C6E" w:rsidRPr="0075154E" w:rsidRDefault="009E5C6E" w:rsidP="003A7662">
      <w:pPr>
        <w:tabs>
          <w:tab w:val="left" w:pos="9180"/>
        </w:tabs>
        <w:spacing w:line="360" w:lineRule="auto"/>
        <w:ind w:rightChars="133" w:right="293"/>
        <w:jc w:val="both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 w:rsidRPr="0075154E">
        <w:rPr>
          <w:rFonts w:asciiTheme="majorHAnsi" w:hAnsiTheme="majorHAnsi" w:cstheme="majorHAnsi"/>
          <w:b/>
          <w:bCs/>
          <w:i/>
          <w:iCs/>
          <w:sz w:val="24"/>
          <w:szCs w:val="24"/>
          <w:lang w:val="en-US"/>
        </w:rPr>
        <w:t>Supplementary Figure 3:</w:t>
      </w:r>
      <w:r w:rsidRPr="0075154E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Comparison of infectivity of various SARS-CoV-2 variants of concern –</w:t>
      </w:r>
      <w:r w:rsidRPr="0075154E">
        <w:rPr>
          <w:rFonts w:asciiTheme="majorHAnsi" w:hAnsiTheme="majorHAnsi" w:cstheme="majorHAnsi"/>
          <w:sz w:val="24"/>
          <w:szCs w:val="24"/>
          <w:lang w:val="en-US"/>
        </w:rPr>
        <w:t>D614G</w:t>
      </w:r>
      <w:r w:rsidR="003A766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75154E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strain, Alpha (B1.1.7), and Delta (B1.617.2)–using </w:t>
      </w:r>
      <w:proofErr w:type="spellStart"/>
      <w:r w:rsidRPr="0075154E">
        <w:rPr>
          <w:rFonts w:asciiTheme="majorHAnsi" w:hAnsiTheme="majorHAnsi" w:cstheme="majorHAnsi"/>
          <w:i/>
          <w:iCs/>
          <w:sz w:val="24"/>
          <w:szCs w:val="24"/>
          <w:lang w:val="en-US"/>
        </w:rPr>
        <w:t>FlowSA</w:t>
      </w:r>
      <w:proofErr w:type="spellEnd"/>
      <w:r w:rsidRPr="0075154E">
        <w:rPr>
          <w:rFonts w:asciiTheme="majorHAnsi" w:hAnsiTheme="majorHAnsi" w:cstheme="majorHAnsi"/>
          <w:i/>
          <w:iCs/>
          <w:sz w:val="24"/>
          <w:szCs w:val="24"/>
          <w:lang w:val="en-US"/>
        </w:rPr>
        <w:t>. Data are presented as mean ± SEM of three independent experiments.</w:t>
      </w:r>
    </w:p>
    <w:p w14:paraId="4A669D47" w14:textId="77777777" w:rsidR="009E5C6E" w:rsidRPr="0075154E" w:rsidRDefault="009E5C6E" w:rsidP="003A7662">
      <w:pPr>
        <w:jc w:val="center"/>
        <w:rPr>
          <w:sz w:val="24"/>
          <w:szCs w:val="24"/>
        </w:rPr>
      </w:pPr>
    </w:p>
    <w:sectPr w:rsidR="009E5C6E" w:rsidRPr="00751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6E"/>
    <w:rsid w:val="003A7662"/>
    <w:rsid w:val="0075154E"/>
    <w:rsid w:val="009E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8C15A"/>
  <w15:chartTrackingRefBased/>
  <w15:docId w15:val="{C4B5BC91-D730-4A9A-9EE3-73559410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C6E"/>
    <w:rPr>
      <w:szCs w:val="22"/>
      <w:lang w:val="nl-NL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 UPASANI</dc:creator>
  <cp:keywords/>
  <dc:description/>
  <cp:lastModifiedBy>Vinit UPASANI</cp:lastModifiedBy>
  <cp:revision>3</cp:revision>
  <dcterms:created xsi:type="dcterms:W3CDTF">2024-06-06T09:38:00Z</dcterms:created>
  <dcterms:modified xsi:type="dcterms:W3CDTF">2024-06-06T10:01:00Z</dcterms:modified>
</cp:coreProperties>
</file>