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7309" w14:textId="7FFEE91F" w:rsidR="00EB6ADF" w:rsidRPr="00EB6ADF" w:rsidRDefault="00167CDE" w:rsidP="00EB6ADF">
      <w:pPr>
        <w:pStyle w:val="Heading1"/>
        <w:jc w:val="center"/>
        <w:rPr>
          <w:sz w:val="32"/>
          <w:szCs w:val="32"/>
        </w:rPr>
      </w:pPr>
      <w:r w:rsidRPr="00EB6ADF">
        <w:rPr>
          <w:sz w:val="32"/>
          <w:szCs w:val="32"/>
        </w:rPr>
        <w:t>Supplemental information</w:t>
      </w:r>
    </w:p>
    <w:p w14:paraId="33755813" w14:textId="77777777" w:rsidR="009B4FA9" w:rsidRPr="00D23690" w:rsidRDefault="009B4FA9" w:rsidP="009B4FA9">
      <w:pPr>
        <w:pStyle w:val="Heading1"/>
      </w:pPr>
      <w:r w:rsidRPr="00975625">
        <w:t>IL-2</w:t>
      </w:r>
      <w:r>
        <w:t xml:space="preserve">-mediated </w:t>
      </w:r>
      <w:r w:rsidRPr="00975625">
        <w:t>CD4 T</w:t>
      </w:r>
      <w:r>
        <w:t>-</w:t>
      </w:r>
      <w:r w:rsidRPr="00975625">
        <w:t>cell</w:t>
      </w:r>
      <w:r>
        <w:t xml:space="preserve"> activation</w:t>
      </w:r>
      <w:r w:rsidRPr="00975625">
        <w:t xml:space="preserve"> </w:t>
      </w:r>
      <w:r>
        <w:t xml:space="preserve">correlates </w:t>
      </w:r>
      <w:r w:rsidRPr="00975625">
        <w:t>highly with effective serological and T</w:t>
      </w:r>
      <w:r>
        <w:t>-</w:t>
      </w:r>
      <w:r w:rsidRPr="00975625">
        <w:t xml:space="preserve">cell responses </w:t>
      </w:r>
      <w:r>
        <w:t>to</w:t>
      </w:r>
      <w:r w:rsidRPr="00975625">
        <w:t xml:space="preserve"> SARS-CoV-2 vaccination in </w:t>
      </w:r>
      <w:r>
        <w:t xml:space="preserve">people living with </w:t>
      </w:r>
      <w:r w:rsidRPr="00975625">
        <w:t xml:space="preserve">HIV </w:t>
      </w:r>
      <w:r>
        <w:t>(PLWH)</w:t>
      </w:r>
    </w:p>
    <w:p w14:paraId="03D3DC5B" w14:textId="77777777" w:rsidR="00EB6ADF" w:rsidRPr="00EB6ADF" w:rsidRDefault="00EB6ADF" w:rsidP="00EB6ADF">
      <w:pPr>
        <w:jc w:val="both"/>
        <w:rPr>
          <w:rFonts w:eastAsia="Batang"/>
          <w:kern w:val="0"/>
          <w:vertAlign w:val="superscript"/>
          <w:lang w:val="it-IT"/>
          <w14:ligatures w14:val="none"/>
        </w:rPr>
      </w:pPr>
      <w:r w:rsidRPr="00EB6ADF">
        <w:rPr>
          <w:rFonts w:eastAsia="Batang"/>
          <w:color w:val="auto"/>
          <w:kern w:val="0"/>
          <w14:ligatures w14:val="none"/>
        </w:rPr>
        <w:t>Akshita Gupta</w:t>
      </w:r>
      <w:r w:rsidRPr="00EB6ADF">
        <w:rPr>
          <w:rFonts w:eastAsia="Batang"/>
          <w:kern w:val="0"/>
          <w:vertAlign w:val="superscript"/>
          <w14:ligatures w14:val="none"/>
        </w:rPr>
        <w:t>1,2</w:t>
      </w:r>
      <w:r w:rsidRPr="00EB6ADF">
        <w:rPr>
          <w:rFonts w:eastAsia="Batang"/>
          <w:kern w:val="0"/>
          <w14:ligatures w14:val="none"/>
        </w:rPr>
        <w:t>*, Elda Righi</w:t>
      </w:r>
      <w:r w:rsidRPr="00EB6ADF">
        <w:rPr>
          <w:rFonts w:eastAsia="Batang"/>
          <w:kern w:val="0"/>
          <w:vertAlign w:val="superscript"/>
          <w14:ligatures w14:val="none"/>
        </w:rPr>
        <w:t>3</w:t>
      </w:r>
      <w:r w:rsidRPr="00EB6ADF">
        <w:rPr>
          <w:rFonts w:eastAsia="Batang"/>
          <w:kern w:val="0"/>
          <w14:ligatures w14:val="none"/>
        </w:rPr>
        <w:t>*</w:t>
      </w:r>
      <w:r w:rsidRPr="00EB6ADF">
        <w:rPr>
          <w:rFonts w:eastAsia="Batang"/>
          <w:color w:val="auto"/>
          <w:kern w:val="0"/>
          <w14:ligatures w14:val="none"/>
        </w:rPr>
        <w:t>†</w:t>
      </w:r>
      <w:r w:rsidRPr="00EB6ADF">
        <w:rPr>
          <w:rFonts w:eastAsia="Batang"/>
          <w:kern w:val="0"/>
          <w14:ligatures w14:val="none"/>
        </w:rPr>
        <w:t>, Angelina Konnova</w:t>
      </w:r>
      <w:r w:rsidRPr="00EB6ADF">
        <w:rPr>
          <w:rFonts w:eastAsia="Batang"/>
          <w:kern w:val="0"/>
          <w:vertAlign w:val="superscript"/>
          <w14:ligatures w14:val="none"/>
        </w:rPr>
        <w:t>1,2</w:t>
      </w:r>
      <w:r w:rsidRPr="00EB6ADF">
        <w:rPr>
          <w:rFonts w:eastAsia="Batang"/>
          <w:kern w:val="0"/>
          <w14:ligatures w14:val="none"/>
        </w:rPr>
        <w:t>, Concetta Sciammarella</w:t>
      </w:r>
      <w:r w:rsidRPr="00EB6ADF">
        <w:rPr>
          <w:rFonts w:eastAsia="Batang"/>
          <w:kern w:val="0"/>
          <w:vertAlign w:val="superscript"/>
          <w14:ligatures w14:val="none"/>
        </w:rPr>
        <w:t>3</w:t>
      </w:r>
      <w:r w:rsidRPr="00EB6ADF">
        <w:rPr>
          <w:rFonts w:eastAsia="Batang"/>
          <w:kern w:val="0"/>
          <w14:ligatures w14:val="none"/>
        </w:rPr>
        <w:t>, Gianluca Spiteri</w:t>
      </w:r>
      <w:r w:rsidRPr="00EB6ADF">
        <w:rPr>
          <w:rFonts w:eastAsia="Batang"/>
          <w:kern w:val="0"/>
          <w:vertAlign w:val="superscript"/>
          <w14:ligatures w14:val="none"/>
        </w:rPr>
        <w:t>4</w:t>
      </w:r>
      <w:r w:rsidRPr="00EB6ADF">
        <w:rPr>
          <w:rFonts w:eastAsia="Batang"/>
          <w:kern w:val="0"/>
          <w14:ligatures w14:val="none"/>
        </w:rPr>
        <w:t>, Vincent Van Averbeke</w:t>
      </w:r>
      <w:r w:rsidRPr="00EB6ADF">
        <w:rPr>
          <w:rFonts w:eastAsia="Batang"/>
          <w:kern w:val="0"/>
          <w:vertAlign w:val="superscript"/>
          <w14:ligatures w14:val="none"/>
        </w:rPr>
        <w:t>1</w:t>
      </w:r>
      <w:r w:rsidRPr="00EB6ADF">
        <w:rPr>
          <w:rFonts w:eastAsia="Batang"/>
          <w:kern w:val="0"/>
          <w14:ligatures w14:val="none"/>
        </w:rPr>
        <w:t>, Shari Wouters</w:t>
      </w:r>
      <w:r w:rsidRPr="00EB6ADF">
        <w:rPr>
          <w:rFonts w:eastAsia="Batang"/>
          <w:kern w:val="0"/>
          <w:vertAlign w:val="superscript"/>
          <w14:ligatures w14:val="none"/>
        </w:rPr>
        <w:t>1</w:t>
      </w:r>
      <w:r w:rsidRPr="00EB6ADF">
        <w:rPr>
          <w:rFonts w:eastAsia="Batang"/>
          <w:kern w:val="0"/>
          <w14:ligatures w14:val="none"/>
        </w:rPr>
        <w:t>, Matilda Berkell</w:t>
      </w:r>
      <w:r w:rsidRPr="00EB6ADF">
        <w:rPr>
          <w:rFonts w:eastAsia="Batang"/>
          <w:kern w:val="0"/>
          <w:vertAlign w:val="superscript"/>
          <w14:ligatures w14:val="none"/>
        </w:rPr>
        <w:t>1,2</w:t>
      </w:r>
      <w:r w:rsidRPr="00EB6ADF">
        <w:rPr>
          <w:rFonts w:eastAsia="Batang"/>
          <w:kern w:val="0"/>
          <w14:ligatures w14:val="none"/>
        </w:rPr>
        <w:t>, An Hotterbeekx</w:t>
      </w:r>
      <w:r w:rsidRPr="00EB6ADF">
        <w:rPr>
          <w:rFonts w:eastAsia="Batang"/>
          <w:kern w:val="0"/>
          <w:vertAlign w:val="superscript"/>
          <w14:ligatures w14:val="none"/>
        </w:rPr>
        <w:t>1,2</w:t>
      </w:r>
      <w:r w:rsidRPr="00EB6ADF">
        <w:rPr>
          <w:rFonts w:eastAsia="Batang"/>
          <w:kern w:val="0"/>
          <w14:ligatures w14:val="none"/>
        </w:rPr>
        <w:t>, Assunta Sartor</w:t>
      </w:r>
      <w:r w:rsidRPr="00EB6ADF">
        <w:rPr>
          <w:rFonts w:eastAsia="Batang"/>
          <w:kern w:val="0"/>
          <w:vertAlign w:val="superscript"/>
          <w14:ligatures w14:val="none"/>
        </w:rPr>
        <w:t>5</w:t>
      </w:r>
      <w:r w:rsidRPr="00EB6ADF">
        <w:rPr>
          <w:rFonts w:eastAsia="Batang"/>
          <w:kern w:val="0"/>
          <w14:ligatures w14:val="none"/>
        </w:rPr>
        <w:t>, Massimo Mirandola</w:t>
      </w:r>
      <w:r w:rsidRPr="00EB6ADF">
        <w:rPr>
          <w:rFonts w:eastAsia="Batang"/>
          <w:kern w:val="0"/>
          <w:vertAlign w:val="superscript"/>
          <w14:ligatures w14:val="none"/>
        </w:rPr>
        <w:t>3,6</w:t>
      </w:r>
      <w:r w:rsidRPr="00EB6ADF">
        <w:rPr>
          <w:rFonts w:eastAsia="Batang"/>
          <w:kern w:val="0"/>
          <w14:ligatures w14:val="none"/>
        </w:rPr>
        <w:t>, Surbhi Malhotra-Kumar</w:t>
      </w:r>
      <w:r w:rsidRPr="00EB6ADF">
        <w:rPr>
          <w:rFonts w:eastAsia="Batang"/>
          <w:kern w:val="0"/>
          <w:vertAlign w:val="superscript"/>
          <w14:ligatures w14:val="none"/>
        </w:rPr>
        <w:t>2</w:t>
      </w:r>
      <w:r w:rsidRPr="00EB6ADF">
        <w:rPr>
          <w:rFonts w:eastAsia="Batang"/>
          <w:kern w:val="0"/>
          <w14:ligatures w14:val="none"/>
        </w:rPr>
        <w:t>, </w:t>
      </w:r>
      <w:r w:rsidRPr="00EB6ADF">
        <w:rPr>
          <w:rFonts w:eastAsia="Batang"/>
          <w:kern w:val="0"/>
          <w:lang w:val="it-IT"/>
          <w14:ligatures w14:val="none"/>
        </w:rPr>
        <w:t>Anna Maria Azzini</w:t>
      </w:r>
      <w:r w:rsidRPr="00EB6ADF">
        <w:rPr>
          <w:rFonts w:eastAsia="Batang"/>
          <w:kern w:val="0"/>
          <w:vertAlign w:val="superscript"/>
          <w:lang w:val="it-IT"/>
          <w14:ligatures w14:val="none"/>
        </w:rPr>
        <w:t>3</w:t>
      </w:r>
      <w:r w:rsidRPr="00EB6ADF">
        <w:rPr>
          <w:rFonts w:eastAsia="Batang"/>
          <w:kern w:val="0"/>
          <w14:ligatures w14:val="none"/>
        </w:rPr>
        <w:t>, Diletta Pezzani</w:t>
      </w:r>
      <w:r w:rsidRPr="00EB6ADF">
        <w:rPr>
          <w:rFonts w:eastAsia="Batang"/>
          <w:kern w:val="0"/>
          <w:vertAlign w:val="superscript"/>
          <w14:ligatures w14:val="none"/>
        </w:rPr>
        <w:t>3</w:t>
      </w:r>
      <w:r w:rsidRPr="00EB6ADF">
        <w:rPr>
          <w:rFonts w:eastAsia="Batang"/>
          <w:kern w:val="0"/>
          <w14:ligatures w14:val="none"/>
        </w:rPr>
        <w:t>, Maria Grazia Lourdes Monaco</w:t>
      </w:r>
      <w:r w:rsidRPr="00EB6ADF">
        <w:rPr>
          <w:rFonts w:eastAsia="Batang"/>
          <w:kern w:val="0"/>
          <w:vertAlign w:val="superscript"/>
          <w14:ligatures w14:val="none"/>
        </w:rPr>
        <w:t>4</w:t>
      </w:r>
      <w:r w:rsidRPr="00EB6ADF">
        <w:rPr>
          <w:rFonts w:eastAsia="Batang"/>
          <w:kern w:val="0"/>
          <w14:ligatures w14:val="none"/>
        </w:rPr>
        <w:t>, Guido Vanham</w:t>
      </w:r>
      <w:r w:rsidRPr="00EB6ADF">
        <w:rPr>
          <w:rFonts w:eastAsia="Batang"/>
          <w:kern w:val="0"/>
          <w:vertAlign w:val="superscript"/>
          <w14:ligatures w14:val="none"/>
        </w:rPr>
        <w:t>7</w:t>
      </w:r>
      <w:r w:rsidRPr="00EB6ADF">
        <w:rPr>
          <w:rFonts w:eastAsia="Batang"/>
          <w:kern w:val="0"/>
          <w14:ligatures w14:val="none"/>
        </w:rPr>
        <w:t>, Stefano Porru</w:t>
      </w:r>
      <w:r w:rsidRPr="00EB6ADF">
        <w:rPr>
          <w:rFonts w:eastAsia="Batang"/>
          <w:kern w:val="0"/>
          <w:vertAlign w:val="superscript"/>
          <w14:ligatures w14:val="none"/>
        </w:rPr>
        <w:t>4</w:t>
      </w:r>
      <w:r w:rsidRPr="00EB6ADF">
        <w:rPr>
          <w:rFonts w:eastAsia="Batang"/>
          <w:kern w:val="0"/>
          <w14:ligatures w14:val="none"/>
        </w:rPr>
        <w:t>, Evelina Tacconelli</w:t>
      </w:r>
      <w:r w:rsidRPr="00EB6ADF">
        <w:rPr>
          <w:rFonts w:eastAsia="Batang"/>
          <w:kern w:val="0"/>
          <w:vertAlign w:val="superscript"/>
          <w14:ligatures w14:val="none"/>
        </w:rPr>
        <w:t>3</w:t>
      </w:r>
      <w:r w:rsidRPr="00EB6ADF">
        <w:rPr>
          <w:rFonts w:eastAsia="Batang"/>
          <w:color w:val="auto"/>
          <w:kern w:val="0"/>
          <w14:ligatures w14:val="none"/>
        </w:rPr>
        <w:t>†</w:t>
      </w:r>
      <w:r w:rsidRPr="00EB6ADF">
        <w:rPr>
          <w:rFonts w:eastAsia="Batang"/>
          <w:kern w:val="0"/>
          <w14:ligatures w14:val="none"/>
        </w:rPr>
        <w:t>, Samir Kumar-Singh</w:t>
      </w:r>
      <w:r w:rsidRPr="00EB6ADF">
        <w:rPr>
          <w:rFonts w:eastAsia="Batang"/>
          <w:kern w:val="0"/>
          <w:vertAlign w:val="superscript"/>
          <w14:ligatures w14:val="none"/>
        </w:rPr>
        <w:t>1,2</w:t>
      </w:r>
      <w:r w:rsidRPr="00EB6ADF">
        <w:rPr>
          <w:rFonts w:eastAsia="Batang"/>
          <w:color w:val="auto"/>
          <w:kern w:val="0"/>
          <w14:ligatures w14:val="none"/>
        </w:rPr>
        <w:t>†</w:t>
      </w:r>
      <w:r w:rsidRPr="00EB6ADF">
        <w:rPr>
          <w:rFonts w:eastAsia="Batang"/>
          <w:kern w:val="0"/>
          <w:vertAlign w:val="superscript"/>
          <w14:ligatures w14:val="none"/>
        </w:rPr>
        <w:t>#</w:t>
      </w:r>
    </w:p>
    <w:p w14:paraId="71B94C46" w14:textId="77777777" w:rsidR="00EB6ADF" w:rsidRPr="00EB6ADF" w:rsidRDefault="00EB6ADF" w:rsidP="00EB6ADF">
      <w:pPr>
        <w:jc w:val="both"/>
        <w:rPr>
          <w:rFonts w:eastAsia="Batang"/>
          <w:color w:val="auto"/>
          <w:kern w:val="0"/>
          <w14:ligatures w14:val="none"/>
        </w:rPr>
      </w:pPr>
    </w:p>
    <w:p w14:paraId="6CB002A0" w14:textId="77777777" w:rsidR="00EB6ADF" w:rsidRPr="00EB6ADF" w:rsidRDefault="00EB6ADF" w:rsidP="00EB6ADF">
      <w:pPr>
        <w:jc w:val="both"/>
        <w:rPr>
          <w:rFonts w:eastAsia="Batang"/>
          <w:color w:val="auto"/>
          <w:kern w:val="0"/>
          <w:shd w:val="clear" w:color="auto" w:fill="auto"/>
          <w14:ligatures w14:val="none"/>
        </w:rPr>
      </w:pPr>
      <w:r w:rsidRPr="00EB6ADF">
        <w:rPr>
          <w:rFonts w:eastAsia="Batang"/>
          <w:color w:val="auto"/>
          <w:kern w:val="0"/>
          <w:shd w:val="clear" w:color="auto" w:fill="auto"/>
          <w:vertAlign w:val="superscript"/>
          <w14:ligatures w14:val="none"/>
        </w:rPr>
        <w:t>1</w:t>
      </w:r>
      <w:r w:rsidRPr="00EB6ADF">
        <w:rPr>
          <w:rFonts w:eastAsia="Batang"/>
          <w:color w:val="auto"/>
          <w:kern w:val="0"/>
          <w:shd w:val="clear" w:color="auto" w:fill="auto"/>
          <w14:ligatures w14:val="none"/>
        </w:rPr>
        <w:t xml:space="preserve">Molecular Pathology Group, Cell Biology &amp; Histology, Faculty of Medicine and Health Sciences, University of Antwerp, Antwerp, Belgium </w:t>
      </w:r>
    </w:p>
    <w:p w14:paraId="3761B53A" w14:textId="77777777" w:rsidR="00EB6ADF" w:rsidRPr="00EB6ADF" w:rsidRDefault="00EB6ADF" w:rsidP="00EB6ADF">
      <w:pPr>
        <w:jc w:val="both"/>
        <w:rPr>
          <w:rFonts w:eastAsia="Batang"/>
          <w:color w:val="auto"/>
          <w:kern w:val="0"/>
          <w:shd w:val="clear" w:color="auto" w:fill="auto"/>
          <w:vertAlign w:val="superscript"/>
          <w14:ligatures w14:val="none"/>
        </w:rPr>
      </w:pPr>
      <w:r w:rsidRPr="00EB6ADF">
        <w:rPr>
          <w:rFonts w:eastAsia="Batang"/>
          <w:color w:val="auto"/>
          <w:kern w:val="0"/>
          <w:shd w:val="clear" w:color="auto" w:fill="auto"/>
          <w:vertAlign w:val="superscript"/>
          <w14:ligatures w14:val="none"/>
        </w:rPr>
        <w:t>2</w:t>
      </w:r>
      <w:r w:rsidRPr="00EB6ADF">
        <w:rPr>
          <w:rFonts w:eastAsia="Batang"/>
          <w:color w:val="auto"/>
          <w:kern w:val="0"/>
          <w:shd w:val="clear" w:color="auto" w:fill="auto"/>
          <w14:ligatures w14:val="none"/>
        </w:rPr>
        <w:t xml:space="preserve">Laboratory of Medical Microbiology, Vaccine &amp; Infectious Disease Institute, University of Antwerp, Antwerp, Belgium </w:t>
      </w:r>
    </w:p>
    <w:p w14:paraId="3A724AB6" w14:textId="77777777" w:rsidR="00EB6ADF" w:rsidRPr="00EB6ADF" w:rsidRDefault="00EB6ADF" w:rsidP="00EB6ADF">
      <w:pPr>
        <w:jc w:val="both"/>
        <w:rPr>
          <w:rFonts w:eastAsia="Batang"/>
          <w:color w:val="auto"/>
          <w:kern w:val="0"/>
          <w:shd w:val="clear" w:color="auto" w:fill="auto"/>
          <w:vertAlign w:val="superscript"/>
          <w14:ligatures w14:val="none"/>
        </w:rPr>
      </w:pPr>
      <w:r w:rsidRPr="00EB6ADF">
        <w:rPr>
          <w:rFonts w:eastAsia="Batang"/>
          <w:color w:val="auto"/>
          <w:kern w:val="0"/>
          <w:shd w:val="clear" w:color="auto" w:fill="auto"/>
          <w:vertAlign w:val="superscript"/>
          <w14:ligatures w14:val="none"/>
        </w:rPr>
        <w:t>3</w:t>
      </w:r>
      <w:r w:rsidRPr="00EB6ADF">
        <w:rPr>
          <w:rFonts w:eastAsia="Batang"/>
          <w:color w:val="auto"/>
          <w:kern w:val="0"/>
          <w:shd w:val="clear" w:color="auto" w:fill="auto"/>
          <w14:ligatures w14:val="none"/>
        </w:rPr>
        <w:t xml:space="preserve">Infectious Diseases Division, Department of Diagnostics and Public Health, University of Verona, Verona, Italy </w:t>
      </w:r>
    </w:p>
    <w:p w14:paraId="4DA8FD63" w14:textId="77777777" w:rsidR="00EB6ADF" w:rsidRPr="00EB6ADF" w:rsidRDefault="00EB6ADF" w:rsidP="00EB6ADF">
      <w:pPr>
        <w:jc w:val="both"/>
        <w:rPr>
          <w:rFonts w:eastAsia="Batang"/>
          <w:color w:val="auto"/>
          <w:kern w:val="0"/>
          <w:shd w:val="clear" w:color="auto" w:fill="auto"/>
          <w14:ligatures w14:val="none"/>
        </w:rPr>
      </w:pPr>
      <w:r w:rsidRPr="00EB6ADF">
        <w:rPr>
          <w:rFonts w:eastAsia="Batang"/>
          <w:color w:val="auto"/>
          <w:kern w:val="0"/>
          <w:shd w:val="clear" w:color="auto" w:fill="auto"/>
          <w:vertAlign w:val="superscript"/>
          <w14:ligatures w14:val="none"/>
        </w:rPr>
        <w:t>4</w:t>
      </w:r>
      <w:r w:rsidRPr="00EB6ADF">
        <w:rPr>
          <w:rFonts w:eastAsia="Batang"/>
          <w:color w:val="auto"/>
          <w:kern w:val="0"/>
          <w:shd w:val="clear" w:color="auto" w:fill="auto"/>
          <w14:ligatures w14:val="none"/>
        </w:rPr>
        <w:t xml:space="preserve">Occupational Medicine Unit, Department of Diagnostics and Public Health, University of Verona, Verona, Italy </w:t>
      </w:r>
    </w:p>
    <w:p w14:paraId="670D8D90" w14:textId="77777777" w:rsidR="00EB6ADF" w:rsidRPr="00EB6ADF" w:rsidRDefault="00EB6ADF" w:rsidP="00EB6ADF">
      <w:pPr>
        <w:jc w:val="both"/>
        <w:rPr>
          <w:rFonts w:eastAsia="Batang"/>
          <w:color w:val="auto"/>
          <w:kern w:val="0"/>
          <w:shd w:val="clear" w:color="auto" w:fill="auto"/>
          <w14:ligatures w14:val="none"/>
        </w:rPr>
      </w:pPr>
      <w:r w:rsidRPr="00EB6ADF">
        <w:rPr>
          <w:rFonts w:eastAsia="Batang"/>
          <w:color w:val="auto"/>
          <w:kern w:val="0"/>
          <w:shd w:val="clear" w:color="auto" w:fill="auto"/>
          <w:vertAlign w:val="superscript"/>
          <w14:ligatures w14:val="none"/>
        </w:rPr>
        <w:t xml:space="preserve">5 </w:t>
      </w:r>
      <w:r w:rsidRPr="00EB6ADF">
        <w:rPr>
          <w:rFonts w:eastAsia="Batang"/>
          <w:color w:val="auto"/>
          <w:kern w:val="0"/>
          <w:shd w:val="clear" w:color="auto" w:fill="auto"/>
          <w14:ligatures w14:val="none"/>
        </w:rPr>
        <w:t>Microbiology Unit, Udine University Hospital, Udine, Italy</w:t>
      </w:r>
    </w:p>
    <w:p w14:paraId="0DFCBBE9" w14:textId="77777777" w:rsidR="00EB6ADF" w:rsidRPr="00EB6ADF" w:rsidRDefault="00EB6ADF" w:rsidP="00EB6ADF">
      <w:pPr>
        <w:jc w:val="both"/>
        <w:rPr>
          <w:rFonts w:eastAsia="Batang"/>
          <w:color w:val="auto"/>
          <w:kern w:val="0"/>
          <w:shd w:val="clear" w:color="auto" w:fill="auto"/>
          <w14:ligatures w14:val="none"/>
        </w:rPr>
      </w:pPr>
      <w:r w:rsidRPr="00EB6ADF">
        <w:rPr>
          <w:rFonts w:eastAsia="Batang"/>
          <w:color w:val="auto"/>
          <w:kern w:val="0"/>
          <w:shd w:val="clear" w:color="auto" w:fill="auto"/>
          <w:vertAlign w:val="superscript"/>
          <w14:ligatures w14:val="none"/>
        </w:rPr>
        <w:t>6</w:t>
      </w:r>
      <w:r w:rsidRPr="00EB6ADF">
        <w:rPr>
          <w:rFonts w:eastAsia="Batang"/>
          <w:color w:val="auto"/>
          <w:kern w:val="0"/>
          <w:shd w:val="clear" w:color="auto" w:fill="auto"/>
          <w14:ligatures w14:val="none"/>
        </w:rPr>
        <w:t>School of Health Sciences, University of Brighton, Brighton, United Kingdom</w:t>
      </w:r>
    </w:p>
    <w:p w14:paraId="33C19105" w14:textId="77777777" w:rsidR="00EB6ADF" w:rsidRPr="00EB6ADF" w:rsidRDefault="00EB6ADF" w:rsidP="00EB6ADF">
      <w:pPr>
        <w:jc w:val="both"/>
        <w:rPr>
          <w:rFonts w:eastAsia="Batang"/>
          <w:kern w:val="0"/>
          <w14:ligatures w14:val="none"/>
        </w:rPr>
      </w:pPr>
      <w:r w:rsidRPr="00EB6ADF">
        <w:rPr>
          <w:rFonts w:eastAsia="Batang"/>
          <w:kern w:val="0"/>
          <w:vertAlign w:val="superscript"/>
          <w14:ligatures w14:val="none"/>
        </w:rPr>
        <w:t>7</w:t>
      </w:r>
      <w:r w:rsidRPr="00EB6ADF">
        <w:rPr>
          <w:rFonts w:eastAsia="Batang"/>
          <w:kern w:val="0"/>
          <w14:ligatures w14:val="none"/>
        </w:rPr>
        <w:t>Global Health Institute University of Antwerp</w:t>
      </w:r>
    </w:p>
    <w:p w14:paraId="23E52936" w14:textId="77777777" w:rsidR="00EB6ADF" w:rsidRPr="00EB6ADF" w:rsidRDefault="00EB6ADF" w:rsidP="00EB6ADF">
      <w:pPr>
        <w:jc w:val="both"/>
        <w:rPr>
          <w:rFonts w:eastAsia="Batang"/>
          <w:kern w:val="0"/>
          <w14:ligatures w14:val="none"/>
        </w:rPr>
      </w:pPr>
      <w:r w:rsidRPr="00EB6ADF">
        <w:rPr>
          <w:rFonts w:eastAsia="Batang"/>
          <w:kern w:val="0"/>
          <w14:ligatures w14:val="none"/>
        </w:rPr>
        <w:t>* Shared first authorship</w:t>
      </w:r>
    </w:p>
    <w:p w14:paraId="296ABF88" w14:textId="77777777" w:rsidR="00EB6ADF" w:rsidRPr="00EB6ADF" w:rsidRDefault="00EB6ADF" w:rsidP="00EB6ADF">
      <w:pPr>
        <w:jc w:val="both"/>
        <w:rPr>
          <w:rFonts w:eastAsia="Batang"/>
          <w:color w:val="auto"/>
          <w:kern w:val="0"/>
          <w14:ligatures w14:val="none"/>
        </w:rPr>
      </w:pPr>
      <w:r w:rsidRPr="00EB6ADF">
        <w:rPr>
          <w:rFonts w:eastAsia="Batang"/>
          <w:color w:val="auto"/>
          <w:kern w:val="0"/>
          <w14:ligatures w14:val="none"/>
        </w:rPr>
        <w:t>† Shared senior authorship</w:t>
      </w:r>
    </w:p>
    <w:p w14:paraId="7F427FBF" w14:textId="77777777" w:rsidR="00EB6ADF" w:rsidRPr="00EB6ADF" w:rsidRDefault="00EB6ADF" w:rsidP="00EB6ADF">
      <w:pPr>
        <w:jc w:val="both"/>
        <w:rPr>
          <w:rFonts w:eastAsia="Batang"/>
          <w:color w:val="auto"/>
          <w:kern w:val="0"/>
          <w:shd w:val="clear" w:color="auto" w:fill="auto"/>
          <w14:ligatures w14:val="none"/>
        </w:rPr>
      </w:pPr>
    </w:p>
    <w:p w14:paraId="352BBD32" w14:textId="77777777" w:rsidR="00EB6ADF" w:rsidRPr="00EB6ADF" w:rsidRDefault="00EB6ADF" w:rsidP="00EB6ADF">
      <w:pPr>
        <w:spacing w:line="276" w:lineRule="auto"/>
        <w:rPr>
          <w:rFonts w:eastAsia="Batang"/>
          <w:color w:val="auto"/>
          <w:kern w:val="0"/>
          <w:shd w:val="clear" w:color="auto" w:fill="auto"/>
          <w14:ligatures w14:val="none"/>
        </w:rPr>
      </w:pPr>
      <w:r w:rsidRPr="00EB6ADF">
        <w:rPr>
          <w:rFonts w:eastAsia="Batang"/>
          <w:b/>
          <w:bCs/>
          <w:color w:val="auto"/>
          <w:kern w:val="0"/>
          <w:shd w:val="clear" w:color="auto" w:fill="auto"/>
          <w14:ligatures w14:val="none"/>
        </w:rPr>
        <w:t>#Correspondence</w:t>
      </w:r>
      <w:r w:rsidRPr="00EB6ADF">
        <w:rPr>
          <w:rFonts w:eastAsia="Batang"/>
          <w:color w:val="auto"/>
          <w:kern w:val="0"/>
          <w:shd w:val="clear" w:color="auto" w:fill="auto"/>
          <w14:ligatures w14:val="none"/>
        </w:rPr>
        <w:t xml:space="preserve">: Samir Kumar-Singh, Faculty of Medicine &amp; Health Sciences, Vaccine &amp; Infectious Disease Institute, University of Antwerp – CDE – T1.32, </w:t>
      </w:r>
      <w:proofErr w:type="spellStart"/>
      <w:r w:rsidRPr="00EB6ADF">
        <w:rPr>
          <w:rFonts w:eastAsia="Batang"/>
          <w:color w:val="auto"/>
          <w:kern w:val="0"/>
          <w:shd w:val="clear" w:color="auto" w:fill="auto"/>
          <w14:ligatures w14:val="none"/>
        </w:rPr>
        <w:t>Universiteitsplein</w:t>
      </w:r>
      <w:proofErr w:type="spellEnd"/>
      <w:r w:rsidRPr="00EB6ADF">
        <w:rPr>
          <w:rFonts w:eastAsia="Batang"/>
          <w:color w:val="auto"/>
          <w:kern w:val="0"/>
          <w:shd w:val="clear" w:color="auto" w:fill="auto"/>
          <w14:ligatures w14:val="none"/>
        </w:rPr>
        <w:t xml:space="preserve"> 1, 2610 Antwerp, Belgium, +32 3 265 3329, samir.kumarsingh@uantwerpen.be</w:t>
      </w:r>
      <w:r w:rsidRPr="00EB6ADF" w:rsidDel="00102BB0">
        <w:rPr>
          <w:rFonts w:eastAsia="Batang"/>
          <w:color w:val="auto"/>
          <w:kern w:val="0"/>
          <w:shd w:val="clear" w:color="auto" w:fill="auto"/>
          <w14:ligatures w14:val="none"/>
        </w:rPr>
        <w:t xml:space="preserve"> </w:t>
      </w:r>
    </w:p>
    <w:p w14:paraId="6A05F5E9" w14:textId="77777777" w:rsidR="00EB6ADF" w:rsidRPr="00EB6ADF" w:rsidRDefault="00EB6ADF" w:rsidP="00EB6ADF">
      <w:pPr>
        <w:spacing w:line="276" w:lineRule="auto"/>
        <w:rPr>
          <w:rFonts w:eastAsia="Batang"/>
          <w:color w:val="auto"/>
          <w:kern w:val="0"/>
          <w:shd w:val="clear" w:color="auto" w:fill="auto"/>
          <w14:ligatures w14:val="none"/>
        </w:rPr>
      </w:pPr>
      <w:r w:rsidRPr="00EB6ADF">
        <w:rPr>
          <w:rFonts w:eastAsia="Batang"/>
          <w:b/>
          <w:bCs/>
          <w:color w:val="auto"/>
          <w:kern w:val="0"/>
          <w:shd w:val="clear" w:color="auto" w:fill="auto"/>
          <w14:ligatures w14:val="none"/>
        </w:rPr>
        <w:t>Funding</w:t>
      </w:r>
      <w:r w:rsidRPr="00EB6ADF">
        <w:rPr>
          <w:rFonts w:eastAsia="Batang"/>
          <w:color w:val="auto"/>
          <w:kern w:val="0"/>
          <w:shd w:val="clear" w:color="auto" w:fill="auto"/>
          <w14:ligatures w14:val="none"/>
        </w:rPr>
        <w:t>: This work is supported by the ORCHESTRA project, which has received funding from the European Union’s Horizon 2020 research and innovation program under grant agreement No 101016167.</w:t>
      </w:r>
    </w:p>
    <w:p w14:paraId="01B7E82E" w14:textId="77777777" w:rsidR="00EB6ADF" w:rsidRPr="00EB6ADF" w:rsidRDefault="00EB6ADF" w:rsidP="00EB6ADF">
      <w:pPr>
        <w:spacing w:line="276" w:lineRule="auto"/>
        <w:rPr>
          <w:rFonts w:eastAsia="Batang"/>
          <w:color w:val="auto"/>
          <w:kern w:val="0"/>
          <w:shd w:val="clear" w:color="auto" w:fill="auto"/>
          <w14:ligatures w14:val="none"/>
        </w:rPr>
      </w:pPr>
      <w:r w:rsidRPr="00EB6ADF">
        <w:rPr>
          <w:rFonts w:eastAsia="Batang"/>
          <w:b/>
          <w:color w:val="auto"/>
          <w:kern w:val="0"/>
          <w:shd w:val="clear" w:color="auto" w:fill="auto"/>
          <w:lang w:val="en-US"/>
          <w14:ligatures w14:val="none"/>
        </w:rPr>
        <w:t>Conflicts of interest</w:t>
      </w:r>
      <w:r w:rsidRPr="00EB6ADF">
        <w:rPr>
          <w:rFonts w:eastAsia="Batang"/>
          <w:color w:val="auto"/>
          <w:kern w:val="0"/>
          <w:shd w:val="clear" w:color="auto" w:fill="auto"/>
          <w:lang w:val="en-US"/>
          <w14:ligatures w14:val="none"/>
        </w:rPr>
        <w:t>: None of the authors declare any conflict of interest related to this paper.</w:t>
      </w:r>
    </w:p>
    <w:p w14:paraId="0264B53F" w14:textId="77777777" w:rsidR="00EB6ADF" w:rsidRPr="00EB6ADF" w:rsidRDefault="00EB6ADF" w:rsidP="00EB6ADF">
      <w:pPr>
        <w:jc w:val="both"/>
        <w:rPr>
          <w:rFonts w:ascii="Times New Roman" w:eastAsia="Batang" w:hAnsi="Times New Roman" w:cs="Times New Roman"/>
          <w:color w:val="auto"/>
          <w:kern w:val="0"/>
          <w:shd w:val="clear" w:color="auto" w:fill="auto"/>
          <w14:ligatures w14:val="none"/>
        </w:rPr>
      </w:pPr>
    </w:p>
    <w:p w14:paraId="6C89EAE8" w14:textId="77777777" w:rsidR="00EB6ADF" w:rsidRPr="00EB6ADF" w:rsidRDefault="00EB6ADF" w:rsidP="00EB6ADF">
      <w:pPr>
        <w:jc w:val="both"/>
        <w:rPr>
          <w:rFonts w:ascii="Times New Roman" w:eastAsia="Batang" w:hAnsi="Times New Roman" w:cs="Times New Roman"/>
          <w:color w:val="auto"/>
          <w:kern w:val="0"/>
          <w:shd w:val="clear" w:color="auto" w:fill="auto"/>
          <w14:ligatures w14:val="none"/>
        </w:rPr>
      </w:pPr>
    </w:p>
    <w:p w14:paraId="2E2CFEE2" w14:textId="64C59882" w:rsidR="00EB6ADF" w:rsidRPr="00EB6ADF" w:rsidRDefault="009B4FA9" w:rsidP="009B4FA9">
      <w:pPr>
        <w:jc w:val="center"/>
        <w:rPr>
          <w:rFonts w:ascii="Times New Roman" w:eastAsia="Calibri" w:hAnsi="Times New Roman" w:cs="Times New Roman"/>
          <w:b/>
          <w:bCs/>
          <w:color w:val="auto"/>
          <w:kern w:val="0"/>
          <w:shd w:val="clear" w:color="auto" w:fill="auto"/>
          <w14:ligatures w14:val="none"/>
        </w:rPr>
      </w:pPr>
      <w:r>
        <w:rPr>
          <w:rFonts w:ascii="Times New Roman" w:eastAsia="Batang" w:hAnsi="Times New Roman" w:cs="Times New Roman"/>
          <w:noProof/>
          <w:color w:val="auto"/>
          <w:kern w:val="0"/>
          <w:shd w:val="clear" w:color="auto" w:fill="auto"/>
        </w:rPr>
        <w:lastRenderedPageBreak/>
        <w:drawing>
          <wp:inline distT="0" distB="0" distL="0" distR="0" wp14:anchorId="674D8D18" wp14:editId="70D443CC">
            <wp:extent cx="4510691" cy="35065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6603" cy="3511121"/>
                    </a:xfrm>
                    <a:prstGeom prst="rect">
                      <a:avLst/>
                    </a:prstGeom>
                  </pic:spPr>
                </pic:pic>
              </a:graphicData>
            </a:graphic>
          </wp:inline>
        </w:drawing>
      </w:r>
    </w:p>
    <w:p w14:paraId="0F3AE598" w14:textId="77777777" w:rsidR="00EB6ADF" w:rsidRPr="00EB6ADF" w:rsidRDefault="00EB6ADF" w:rsidP="00EB6ADF">
      <w:pPr>
        <w:spacing w:line="276" w:lineRule="auto"/>
        <w:rPr>
          <w:rFonts w:eastAsia="Batang"/>
          <w:color w:val="auto"/>
          <w:kern w:val="0"/>
          <w:shd w:val="clear" w:color="auto" w:fill="auto"/>
          <w14:ligatures w14:val="none"/>
        </w:rPr>
      </w:pPr>
      <w:r w:rsidRPr="00EB6ADF">
        <w:rPr>
          <w:rFonts w:eastAsiaTheme="majorEastAsia"/>
          <w:b/>
          <w:bCs/>
          <w:color w:val="auto"/>
          <w:kern w:val="0"/>
          <w:sz w:val="24"/>
          <w:szCs w:val="24"/>
          <w:shd w:val="clear" w:color="auto" w:fill="auto"/>
          <w14:ligatures w14:val="none"/>
        </w:rPr>
        <w:t xml:space="preserve">Supplementary Figure 1. Study period overview and summary of samples collected per timepoint. </w:t>
      </w:r>
      <w:r w:rsidRPr="00EB6ADF">
        <w:rPr>
          <w:rFonts w:eastAsia="Batang"/>
          <w:color w:val="auto"/>
          <w:kern w:val="0"/>
          <w:shd w:val="clear" w:color="auto" w:fill="auto"/>
          <w14:ligatures w14:val="none"/>
        </w:rPr>
        <w:t>Circulating variants and VOCs have been demonstrated in Italy during the study period. The clinical CD4 counts demonstrating HIV disease progression are demonstrated during the sample collection period. Serum, plasma, and PBMC samples were collected at T0, T1, T2, T3 for PLWH. At T3, only serum and PBMC samples were collected for HCW controls. PBMC: peripheral blood mononuclear cell; PLWH: people living with HIV; HCW: healthcare worker. T0: Pre-vaccination; T1: 1 month after the first vaccination; T2: 3 months after the second vaccination; T3: 6 months after the second vaccination. Figure designed with Bio Render (Toronto, Ontario, Canada).</w:t>
      </w:r>
    </w:p>
    <w:p w14:paraId="6186B941" w14:textId="77777777" w:rsidR="00EB6ADF" w:rsidRPr="00EB6ADF" w:rsidRDefault="00EB6ADF" w:rsidP="00EB6ADF">
      <w:pPr>
        <w:spacing w:line="276" w:lineRule="auto"/>
        <w:rPr>
          <w:rFonts w:eastAsia="Batang"/>
          <w:color w:val="auto"/>
          <w:kern w:val="0"/>
          <w:shd w:val="clear" w:color="auto" w:fill="auto"/>
          <w14:ligatures w14:val="none"/>
        </w:rPr>
      </w:pPr>
      <w:r w:rsidRPr="00EB6ADF">
        <w:rPr>
          <w:rFonts w:eastAsia="Batang"/>
          <w:color w:val="auto"/>
          <w:kern w:val="0"/>
          <w:shd w:val="clear" w:color="auto" w:fill="auto"/>
          <w14:ligatures w14:val="none"/>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B6ADF" w:rsidRPr="00EB6ADF" w14:paraId="60EAA3D7" w14:textId="77777777" w:rsidTr="005D6C7D">
        <w:tc>
          <w:tcPr>
            <w:tcW w:w="9016" w:type="dxa"/>
          </w:tcPr>
          <w:p w14:paraId="087DE5EE" w14:textId="77777777" w:rsidR="00EB6ADF" w:rsidRPr="00EB6ADF" w:rsidRDefault="00EB6ADF" w:rsidP="00EB6ADF">
            <w:pPr>
              <w:jc w:val="center"/>
              <w:rPr>
                <w:rFonts w:ascii="Times New Roman" w:eastAsia="Batang" w:hAnsi="Times New Roman" w:cs="Times New Roman"/>
                <w:color w:val="auto"/>
                <w:shd w:val="clear" w:color="auto" w:fill="auto"/>
              </w:rPr>
            </w:pPr>
            <w:r w:rsidRPr="00EB6ADF">
              <w:rPr>
                <w:rFonts w:ascii="Times New Roman" w:eastAsia="Batang" w:hAnsi="Times New Roman" w:cs="Times New Roman"/>
                <w:noProof/>
                <w:color w:val="auto"/>
                <w:shd w:val="clear" w:color="auto" w:fill="auto"/>
              </w:rPr>
              <w:lastRenderedPageBreak/>
              <w:drawing>
                <wp:inline distT="0" distB="0" distL="0" distR="0" wp14:anchorId="18D79AF5" wp14:editId="22607881">
                  <wp:extent cx="5183600" cy="5346700"/>
                  <wp:effectExtent l="0" t="0" r="0" b="6350"/>
                  <wp:docPr id="15" name="Picture 15" descr="A group of triangles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triangles with different colored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8388" cy="5351639"/>
                          </a:xfrm>
                          <a:prstGeom prst="rect">
                            <a:avLst/>
                          </a:prstGeom>
                        </pic:spPr>
                      </pic:pic>
                    </a:graphicData>
                  </a:graphic>
                </wp:inline>
              </w:drawing>
            </w:r>
          </w:p>
        </w:tc>
      </w:tr>
      <w:tr w:rsidR="00EB6ADF" w:rsidRPr="00EB6ADF" w14:paraId="2268EEDD" w14:textId="77777777" w:rsidTr="005D6C7D">
        <w:tc>
          <w:tcPr>
            <w:tcW w:w="9016" w:type="dxa"/>
          </w:tcPr>
          <w:p w14:paraId="249C5AC8" w14:textId="77777777" w:rsidR="00EB6ADF" w:rsidRPr="00EB6ADF" w:rsidRDefault="00EB6ADF" w:rsidP="00EB6ADF">
            <w:pPr>
              <w:jc w:val="both"/>
              <w:rPr>
                <w:rFonts w:ascii="Times New Roman" w:eastAsia="Batang" w:hAnsi="Times New Roman" w:cs="Times New Roman"/>
                <w:b/>
                <w:bCs/>
                <w:color w:val="auto"/>
                <w:shd w:val="clear" w:color="auto" w:fill="auto"/>
              </w:rPr>
            </w:pPr>
          </w:p>
          <w:p w14:paraId="1D535ECF" w14:textId="5FE8AB0D" w:rsidR="00EB6ADF" w:rsidRPr="00EB6ADF" w:rsidRDefault="00EB6ADF" w:rsidP="00EB6ADF">
            <w:pPr>
              <w:spacing w:line="276" w:lineRule="auto"/>
              <w:rPr>
                <w:rFonts w:eastAsia="Batang"/>
                <w:color w:val="auto"/>
                <w:shd w:val="clear" w:color="auto" w:fill="auto"/>
                <w:lang w:val="en-GB"/>
              </w:rPr>
            </w:pPr>
            <w:r w:rsidRPr="00EB6ADF">
              <w:rPr>
                <w:rFonts w:eastAsiaTheme="majorEastAsia"/>
                <w:b/>
                <w:bCs/>
                <w:color w:val="auto"/>
                <w:sz w:val="24"/>
                <w:szCs w:val="24"/>
                <w:shd w:val="clear" w:color="auto" w:fill="auto"/>
                <w:lang w:val="en-GB"/>
              </w:rPr>
              <w:t>Supplementary Figure 2. Correlation matrix depicting correlation between the various T cell and humoral parameters investigated.</w:t>
            </w:r>
            <w:r w:rsidRPr="00EB6ADF">
              <w:rPr>
                <w:rFonts w:eastAsia="Batang"/>
                <w:color w:val="auto"/>
                <w:shd w:val="clear" w:color="auto" w:fill="auto"/>
                <w:lang w:val="en-GB"/>
              </w:rPr>
              <w:t xml:space="preserve"> IgG antibody levels to SARS-CoV-2 and percentage ACE2 inhibition are log</w:t>
            </w:r>
            <w:r w:rsidRPr="00EB6ADF">
              <w:rPr>
                <w:rFonts w:eastAsia="Batang"/>
                <w:color w:val="auto"/>
                <w:shd w:val="clear" w:color="auto" w:fill="auto"/>
                <w:vertAlign w:val="subscript"/>
                <w:lang w:val="en-GB"/>
              </w:rPr>
              <w:t>10</w:t>
            </w:r>
            <w:r w:rsidRPr="00EB6ADF">
              <w:rPr>
                <w:rFonts w:eastAsia="Batang"/>
                <w:color w:val="auto"/>
                <w:shd w:val="clear" w:color="auto" w:fill="auto"/>
                <w:lang w:val="en-GB"/>
              </w:rPr>
              <w:t xml:space="preserve"> transformed. Dark blue indicates good correlation and light yellow indicates poor corelation. Pearson’s correlations were considered significant when p &lt;0.05. *: p &lt; 0.05. **: p &lt; 0.01. ***: p &lt; 0.001. RF: Relative frequency, S: SARS-CoV-2 spike specific peptides, N: SARS-CoV-2 nucleocapsid-specific peptides. T0: pre-vaccination baseline, T1: 1 month post 1st dose, T2: 3 months post 2nd dose, T3: 6 months post 2nd dose.</w:t>
            </w:r>
          </w:p>
        </w:tc>
      </w:tr>
    </w:tbl>
    <w:p w14:paraId="2EA04896" w14:textId="77777777" w:rsidR="00EB6ADF" w:rsidRPr="00EB6ADF" w:rsidRDefault="00EB6ADF" w:rsidP="00EB6ADF">
      <w:pPr>
        <w:rPr>
          <w:rFonts w:ascii="Times New Roman" w:eastAsia="Batang" w:hAnsi="Times New Roman" w:cs="Times New Roman"/>
          <w:color w:val="auto"/>
          <w:kern w:val="0"/>
          <w:shd w:val="clear" w:color="auto" w:fill="auto"/>
          <w14:ligatures w14:val="none"/>
        </w:rPr>
      </w:pPr>
    </w:p>
    <w:p w14:paraId="1951FCB0" w14:textId="192D4DD7" w:rsidR="00EB6ADF" w:rsidRDefault="00EB6ADF">
      <w:pPr>
        <w:rPr>
          <w:rFonts w:eastAsiaTheme="majorEastAsia"/>
          <w:b/>
          <w:bCs/>
          <w:color w:val="auto"/>
          <w:kern w:val="0"/>
          <w:sz w:val="26"/>
          <w:szCs w:val="26"/>
          <w:shd w:val="clear" w:color="auto" w:fill="auto"/>
          <w14:ligatures w14:val="none"/>
        </w:rPr>
      </w:pPr>
      <w:r>
        <w:rPr>
          <w:rFonts w:eastAsiaTheme="majorEastAsia"/>
          <w:b/>
          <w:bCs/>
          <w:color w:val="auto"/>
          <w:kern w:val="0"/>
          <w:sz w:val="26"/>
          <w:szCs w:val="26"/>
          <w:shd w:val="clear" w:color="auto" w:fill="auto"/>
          <w14:ligatures w14:val="none"/>
        </w:rPr>
        <w:br w:type="page"/>
      </w:r>
    </w:p>
    <w:p w14:paraId="7A0FF044" w14:textId="77777777" w:rsidR="00167CDE" w:rsidRDefault="00167CDE" w:rsidP="00167CDE"/>
    <w:p w14:paraId="14750239" w14:textId="77777777" w:rsidR="00167CDE" w:rsidRPr="00167CDE" w:rsidRDefault="00167CDE" w:rsidP="00167CDE">
      <w:pPr>
        <w:keepNext/>
        <w:keepLines/>
        <w:spacing w:before="240" w:after="120"/>
        <w:jc w:val="both"/>
        <w:outlineLvl w:val="0"/>
        <w:rPr>
          <w:rFonts w:eastAsiaTheme="majorEastAsia"/>
          <w:b/>
          <w:bCs/>
          <w:color w:val="auto"/>
          <w:kern w:val="0"/>
          <w:sz w:val="26"/>
          <w:szCs w:val="26"/>
          <w:shd w:val="clear" w:color="auto" w:fill="auto"/>
          <w14:ligatures w14:val="none"/>
        </w:rPr>
      </w:pPr>
      <w:r w:rsidRPr="00167CDE">
        <w:rPr>
          <w:rFonts w:eastAsiaTheme="majorEastAsia"/>
          <w:b/>
          <w:bCs/>
          <w:color w:val="auto"/>
          <w:kern w:val="0"/>
          <w:sz w:val="26"/>
          <w:szCs w:val="26"/>
          <w:shd w:val="clear" w:color="auto" w:fill="auto"/>
          <w14:ligatures w14:val="none"/>
        </w:rPr>
        <w:t xml:space="preserve">Material and </w:t>
      </w:r>
      <w:bookmarkStart w:id="0" w:name="_Hlk138084165"/>
      <w:r w:rsidRPr="00167CDE">
        <w:rPr>
          <w:rFonts w:eastAsiaTheme="majorEastAsia"/>
          <w:b/>
          <w:bCs/>
          <w:color w:val="auto"/>
          <w:kern w:val="0"/>
          <w:sz w:val="26"/>
          <w:szCs w:val="26"/>
          <w:shd w:val="clear" w:color="auto" w:fill="auto"/>
          <w14:ligatures w14:val="none"/>
        </w:rPr>
        <w:t>Methods</w:t>
      </w:r>
      <w:bookmarkEnd w:id="0"/>
    </w:p>
    <w:p w14:paraId="67E30BE3" w14:textId="77777777" w:rsidR="00167CDE" w:rsidRPr="00167CDE" w:rsidRDefault="00167CDE" w:rsidP="00167CDE">
      <w:pPr>
        <w:keepNext/>
        <w:keepLines/>
        <w:spacing w:before="240" w:after="240"/>
        <w:jc w:val="both"/>
        <w:outlineLvl w:val="1"/>
        <w:rPr>
          <w:rFonts w:eastAsiaTheme="majorEastAsia"/>
          <w:b/>
          <w:bCs/>
          <w:color w:val="auto"/>
          <w:kern w:val="0"/>
          <w:sz w:val="24"/>
          <w:szCs w:val="24"/>
          <w:shd w:val="clear" w:color="auto" w:fill="auto"/>
          <w14:ligatures w14:val="none"/>
        </w:rPr>
      </w:pPr>
      <w:bookmarkStart w:id="1" w:name="_Toc137503852"/>
      <w:r w:rsidRPr="00167CDE">
        <w:rPr>
          <w:rFonts w:eastAsiaTheme="majorEastAsia"/>
          <w:b/>
          <w:bCs/>
          <w:color w:val="auto"/>
          <w:kern w:val="0"/>
          <w:sz w:val="24"/>
          <w:szCs w:val="24"/>
          <w:shd w:val="clear" w:color="auto" w:fill="auto"/>
          <w14:ligatures w14:val="none"/>
        </w:rPr>
        <w:t>Study population and design</w:t>
      </w:r>
      <w:bookmarkEnd w:id="1"/>
      <w:r w:rsidRPr="00167CDE">
        <w:rPr>
          <w:rFonts w:eastAsiaTheme="majorEastAsia"/>
          <w:b/>
          <w:bCs/>
          <w:color w:val="auto"/>
          <w:kern w:val="0"/>
          <w:sz w:val="24"/>
          <w:szCs w:val="24"/>
          <w:shd w:val="clear" w:color="auto" w:fill="auto"/>
          <w14:ligatures w14:val="none"/>
        </w:rPr>
        <w:t xml:space="preserve"> </w:t>
      </w:r>
    </w:p>
    <w:p w14:paraId="58ABE605" w14:textId="4AD1A2E0" w:rsidR="00167CDE" w:rsidRPr="003703D2" w:rsidRDefault="00167CDE" w:rsidP="00167CDE">
      <w:pPr>
        <w:pStyle w:val="Text"/>
      </w:pPr>
      <w:r w:rsidRPr="003703D2">
        <w:t xml:space="preserve">A total of 56 participants were enrolled, of which 30 PLWH and 26 healthcare worker (HNC) controls matched for age and vaccination timepoint. All participants provided informed, written consent before study </w:t>
      </w:r>
      <w:r w:rsidRPr="00B650A1">
        <w:t>participation. The study was approved by the University Hospital Verona Ethics Board and conducted in accordance with the Declaration of Helsinki. As for data collection, clinical data along with serum, plasma, and peripheral blood mononuclear cell (PBMC) samples were collected.</w:t>
      </w:r>
      <w:r w:rsidR="00453D1E">
        <w:t xml:space="preserve"> Pairwise longitudinal data was available for 20 PLWH – </w:t>
      </w:r>
      <w:r w:rsidR="00453D1E" w:rsidRPr="003703D2">
        <w:t>PLWH-high (≥500/mm</w:t>
      </w:r>
      <w:r w:rsidR="00453D1E" w:rsidRPr="003703D2">
        <w:rPr>
          <w:vertAlign w:val="superscript"/>
        </w:rPr>
        <w:t>3</w:t>
      </w:r>
      <w:r w:rsidR="00453D1E" w:rsidRPr="003703D2">
        <w:t>; n=</w:t>
      </w:r>
      <w:r w:rsidR="00453D1E">
        <w:t>12</w:t>
      </w:r>
      <w:r w:rsidR="00453D1E" w:rsidRPr="003703D2">
        <w:t>) and PLWH-low (&lt;500 cells/mm3; n=</w:t>
      </w:r>
      <w:r w:rsidR="00453D1E">
        <w:t>8</w:t>
      </w:r>
      <w:r w:rsidR="00453D1E" w:rsidRPr="003703D2">
        <w:t xml:space="preserve">). </w:t>
      </w:r>
      <w:r w:rsidRPr="00B650A1">
        <w:t>BD FACS</w:t>
      </w:r>
      <w:r>
        <w:t xml:space="preserve"> </w:t>
      </w:r>
      <w:r w:rsidRPr="00B650A1">
        <w:t>Presto system was utilized to have CD4</w:t>
      </w:r>
      <w:r w:rsidRPr="00B650A1">
        <w:rPr>
          <w:vertAlign w:val="superscript"/>
        </w:rPr>
        <w:t>+</w:t>
      </w:r>
      <w:r w:rsidRPr="00B650A1">
        <w:t xml:space="preserve"> T-cell counts as a part of laboratory workup. The system is designed to provide absolute and percentage results of CD4</w:t>
      </w:r>
      <w:r w:rsidRPr="00B650A1">
        <w:rPr>
          <w:vertAlign w:val="superscript"/>
        </w:rPr>
        <w:t>+</w:t>
      </w:r>
      <w:r w:rsidRPr="00B650A1">
        <w:t xml:space="preserve"> T-lymphocytes. All samples were collected between April and December 2021. For each PLWH enrolled, sample collection occurred at multiple timepoints: : (</w:t>
      </w:r>
      <w:proofErr w:type="spellStart"/>
      <w:r w:rsidRPr="00B650A1">
        <w:t>i</w:t>
      </w:r>
      <w:proofErr w:type="spellEnd"/>
      <w:r w:rsidRPr="00B650A1">
        <w:t xml:space="preserve">) </w:t>
      </w:r>
      <w:r>
        <w:t>T0</w:t>
      </w:r>
      <w:r w:rsidRPr="00B650A1">
        <w:t xml:space="preserve">, just prior to the first mRNA vaccine dose; (ii) </w:t>
      </w:r>
      <w:r>
        <w:t>T1</w:t>
      </w:r>
      <w:r w:rsidRPr="00B650A1">
        <w:t xml:space="preserve">, just prior to the second mRNA vaccine dose; (iii) </w:t>
      </w:r>
      <w:r>
        <w:t>T2</w:t>
      </w:r>
      <w:r w:rsidRPr="00B650A1">
        <w:t xml:space="preserve">, three months after the second mRNA vaccine dose </w:t>
      </w:r>
      <w:r w:rsidRPr="00C36B8B">
        <w:rPr>
          <w:color w:val="000000" w:themeColor="text1"/>
          <w:shd w:val="clear" w:color="auto" w:fill="FFFFFF"/>
        </w:rPr>
        <w:t>± 4 days</w:t>
      </w:r>
      <w:r w:rsidRPr="00B650A1">
        <w:t xml:space="preserve">; and (iv) </w:t>
      </w:r>
      <w:r>
        <w:t>T3</w:t>
      </w:r>
      <w:r w:rsidRPr="00B650A1">
        <w:t>, six months after the second</w:t>
      </w:r>
      <w:r w:rsidRPr="003703D2">
        <w:t xml:space="preserve"> mRNA vaccine dose </w:t>
      </w:r>
      <w:r w:rsidRPr="00C36B8B">
        <w:t>± 4 days</w:t>
      </w:r>
      <w:r w:rsidRPr="003703D2">
        <w:t xml:space="preserve">. An overview of sample collection is available in </w:t>
      </w:r>
      <w:r w:rsidRPr="003703D2">
        <w:rPr>
          <w:b/>
          <w:bCs/>
        </w:rPr>
        <w:t>Supplementary Figure 1</w:t>
      </w:r>
      <w:r w:rsidRPr="003703D2">
        <w:t xml:space="preserve">. </w:t>
      </w:r>
    </w:p>
    <w:p w14:paraId="06D043E4" w14:textId="77777777" w:rsidR="00167CDE" w:rsidRPr="00167CDE" w:rsidRDefault="00167CDE" w:rsidP="00167CDE">
      <w:pPr>
        <w:keepNext/>
        <w:keepLines/>
        <w:spacing w:before="240" w:after="240"/>
        <w:jc w:val="both"/>
        <w:outlineLvl w:val="1"/>
        <w:rPr>
          <w:rFonts w:eastAsiaTheme="majorEastAsia"/>
          <w:b/>
          <w:bCs/>
          <w:color w:val="auto"/>
          <w:kern w:val="0"/>
          <w:sz w:val="24"/>
          <w:szCs w:val="24"/>
          <w:shd w:val="clear" w:color="auto" w:fill="auto"/>
          <w14:ligatures w14:val="none"/>
        </w:rPr>
      </w:pPr>
      <w:r w:rsidRPr="00167CDE">
        <w:rPr>
          <w:rFonts w:eastAsiaTheme="majorEastAsia"/>
          <w:b/>
          <w:bCs/>
          <w:color w:val="auto"/>
          <w:kern w:val="0"/>
          <w:sz w:val="24"/>
          <w:szCs w:val="24"/>
          <w:shd w:val="clear" w:color="auto" w:fill="auto"/>
          <w14:ligatures w14:val="none"/>
        </w:rPr>
        <w:t xml:space="preserve">Serology </w:t>
      </w:r>
    </w:p>
    <w:p w14:paraId="30AE2124" w14:textId="05D87C7D" w:rsidR="00167CDE" w:rsidRPr="004463C8" w:rsidRDefault="00167CDE" w:rsidP="004463C8">
      <w:pPr>
        <w:pStyle w:val="Text"/>
      </w:pPr>
      <w:bookmarkStart w:id="2" w:name="_Hlk139990871"/>
      <w:r w:rsidRPr="004463C8">
        <w:t>Blood was collected in 10 mL BD Vacutainer serum tubes (BD Biosciences, NJ, USA). Anti-RBD SARS-CoV-2 IgG titres were measured in serum samples at University Hospital of Verona</w:t>
      </w:r>
      <w:r w:rsidRPr="004463C8" w:rsidDel="00DF7B72">
        <w:t xml:space="preserve"> </w:t>
      </w:r>
      <w:r w:rsidRPr="004463C8">
        <w:t xml:space="preserve">within 3h of blood collection. The </w:t>
      </w:r>
      <w:proofErr w:type="spellStart"/>
      <w:r w:rsidRPr="004463C8">
        <w:t>Elecsys</w:t>
      </w:r>
      <w:proofErr w:type="spellEnd"/>
      <w:r w:rsidRPr="004463C8">
        <w:t xml:space="preserve"> Anti-SARS-CoV-2 Spike (Roche Diagnostics, Basel, Switzerland) immunoassay was utilized and data was reported in WHO-recommended binding antibody units (BAU/mL). </w:t>
      </w:r>
      <w:bookmarkEnd w:id="2"/>
      <w:r w:rsidRPr="004463C8">
        <w:t xml:space="preserve">Serological analyses was also performed in duplicate on anti-N, anti-S, and anti-RBD SARS-CoV-2 IgG titres in plasma samples at Molecular Pathology-CBH Laboratory of University of Antwerp. IgG </w:t>
      </w:r>
      <w:proofErr w:type="spellStart"/>
      <w:r w:rsidRPr="004463C8">
        <w:t>titers</w:t>
      </w:r>
      <w:proofErr w:type="spellEnd"/>
      <w:r w:rsidRPr="004463C8">
        <w:t xml:space="preserve"> were measured in plasma samples using V-PLEX Panel 2, 32, and 34 (IgG) Kit (</w:t>
      </w:r>
      <w:proofErr w:type="spellStart"/>
      <w:r w:rsidRPr="004463C8">
        <w:t>Meso</w:t>
      </w:r>
      <w:proofErr w:type="spellEnd"/>
      <w:r w:rsidRPr="004463C8">
        <w:t xml:space="preserve"> Scale Discovery, MSD, Maryland, USA) according to the manufacturer’s instructions.</w:t>
      </w:r>
    </w:p>
    <w:p w14:paraId="03B41678" w14:textId="77777777" w:rsidR="004463C8" w:rsidRPr="004463C8" w:rsidRDefault="004463C8" w:rsidP="004463C8">
      <w:pPr>
        <w:keepNext/>
        <w:keepLines/>
        <w:spacing w:before="240" w:after="240"/>
        <w:jc w:val="both"/>
        <w:outlineLvl w:val="1"/>
        <w:rPr>
          <w:rFonts w:eastAsiaTheme="majorEastAsia"/>
          <w:b/>
          <w:bCs/>
          <w:color w:val="auto"/>
          <w:kern w:val="0"/>
          <w:sz w:val="24"/>
          <w:szCs w:val="24"/>
          <w:shd w:val="clear" w:color="auto" w:fill="auto"/>
          <w14:ligatures w14:val="none"/>
        </w:rPr>
      </w:pPr>
      <w:r w:rsidRPr="004463C8">
        <w:rPr>
          <w:rFonts w:eastAsiaTheme="majorEastAsia"/>
          <w:b/>
          <w:bCs/>
          <w:color w:val="auto"/>
          <w:kern w:val="0"/>
          <w:sz w:val="24"/>
          <w:szCs w:val="24"/>
          <w:shd w:val="clear" w:color="auto" w:fill="auto"/>
          <w14:ligatures w14:val="none"/>
        </w:rPr>
        <w:t xml:space="preserve">ACE2 neutralization </w:t>
      </w:r>
    </w:p>
    <w:p w14:paraId="2ECEA37B" w14:textId="77777777" w:rsidR="004463C8" w:rsidRPr="004463C8" w:rsidRDefault="004463C8" w:rsidP="004463C8">
      <w:pPr>
        <w:spacing w:line="276" w:lineRule="auto"/>
        <w:jc w:val="both"/>
        <w:rPr>
          <w:rFonts w:eastAsia="Batang"/>
          <w:color w:val="auto"/>
          <w:kern w:val="0"/>
          <w:shd w:val="clear" w:color="auto" w:fill="auto"/>
          <w14:ligatures w14:val="none"/>
        </w:rPr>
      </w:pPr>
      <w:r w:rsidRPr="004463C8">
        <w:rPr>
          <w:rFonts w:eastAsia="Batang"/>
          <w:color w:val="auto"/>
          <w:kern w:val="0"/>
          <w:shd w:val="clear" w:color="auto" w:fill="auto"/>
          <w14:ligatures w14:val="none"/>
        </w:rPr>
        <w:t xml:space="preserve">Blood was collected in 10 mL plasma tubes (EDTA plasma, BD Vacutainer PPT, BD Biosciences). </w:t>
      </w:r>
      <w:bookmarkStart w:id="3" w:name="_Hlk138084664"/>
      <w:r w:rsidRPr="004463C8">
        <w:rPr>
          <w:rFonts w:eastAsia="Batang"/>
          <w:color w:val="auto"/>
          <w:kern w:val="0"/>
          <w:shd w:val="clear" w:color="auto" w:fill="auto"/>
          <w14:ligatures w14:val="none"/>
        </w:rPr>
        <w:t xml:space="preserve">ACE2 neutralization was measured in duplicate in plasma samples using V-PLEX Panel 13, Panel 27, and Panel 32 Kits (ACE2) (MSD) according to the manufacturer’s instructions. </w:t>
      </w:r>
      <w:proofErr w:type="spellStart"/>
      <w:r w:rsidRPr="004463C8">
        <w:rPr>
          <w:rFonts w:eastAsia="Batang"/>
          <w:color w:val="auto"/>
          <w:kern w:val="0"/>
          <w:shd w:val="clear" w:color="auto" w:fill="auto"/>
          <w14:ligatures w14:val="none"/>
        </w:rPr>
        <w:t>IgGs</w:t>
      </w:r>
      <w:proofErr w:type="spellEnd"/>
      <w:r w:rsidRPr="004463C8">
        <w:rPr>
          <w:rFonts w:eastAsia="Batang"/>
          <w:color w:val="auto"/>
          <w:kern w:val="0"/>
          <w:shd w:val="clear" w:color="auto" w:fill="auto"/>
          <w14:ligatures w14:val="none"/>
        </w:rPr>
        <w:t xml:space="preserve"> capable of blocking the binding of ACE2 to the following SARS-CoV-2 variants were measured: Wu-Hu-1 (Wuhan), B.1.1.7 (Alpha), B.1.351 (Beta), P.1 (Gamma), B.1.617.3 (Delta), and Omicron with sub-variants - BA.1, BA.2, BA.2+L452M, BA.2+L452R, BA.2.75, BA.2.75.2, BA.3, BA.4, BA.4.6, BA.5, BF.7, BQ.1, BQ.1.1, BN.1, XBB.1, XBB1.5. </w:t>
      </w:r>
      <w:bookmarkEnd w:id="3"/>
    </w:p>
    <w:p w14:paraId="32E23E74" w14:textId="77777777" w:rsidR="00C20E4D" w:rsidRPr="00C20E4D" w:rsidRDefault="00C20E4D" w:rsidP="00C20E4D">
      <w:pPr>
        <w:keepNext/>
        <w:keepLines/>
        <w:spacing w:before="240" w:after="240"/>
        <w:jc w:val="both"/>
        <w:outlineLvl w:val="1"/>
        <w:rPr>
          <w:rFonts w:eastAsiaTheme="majorEastAsia"/>
          <w:b/>
          <w:bCs/>
          <w:color w:val="auto"/>
          <w:kern w:val="0"/>
          <w:sz w:val="24"/>
          <w:szCs w:val="24"/>
          <w:shd w:val="clear" w:color="auto" w:fill="auto"/>
          <w14:ligatures w14:val="none"/>
        </w:rPr>
      </w:pPr>
      <w:r w:rsidRPr="00C20E4D">
        <w:rPr>
          <w:rFonts w:eastAsiaTheme="majorEastAsia"/>
          <w:b/>
          <w:bCs/>
          <w:color w:val="auto"/>
          <w:kern w:val="0"/>
          <w:sz w:val="24"/>
          <w:szCs w:val="24"/>
          <w:shd w:val="clear" w:color="auto" w:fill="auto"/>
          <w14:ligatures w14:val="none"/>
        </w:rPr>
        <w:t>SARS-CoV-2 specific T-cell responses</w:t>
      </w:r>
    </w:p>
    <w:p w14:paraId="2C82AD3A" w14:textId="7880C08F" w:rsidR="00C20E4D" w:rsidRPr="00C20E4D" w:rsidRDefault="00C20E4D" w:rsidP="00C20E4D">
      <w:pPr>
        <w:spacing w:line="276" w:lineRule="auto"/>
        <w:jc w:val="both"/>
        <w:rPr>
          <w:rFonts w:eastAsia="Batang"/>
          <w:color w:val="auto"/>
          <w:kern w:val="0"/>
          <w:shd w:val="clear" w:color="auto" w:fill="auto"/>
          <w14:ligatures w14:val="none"/>
        </w:rPr>
      </w:pPr>
      <w:r w:rsidRPr="00C20E4D">
        <w:rPr>
          <w:rFonts w:eastAsia="Batang"/>
          <w:color w:val="auto"/>
          <w:kern w:val="0"/>
          <w:shd w:val="clear" w:color="auto" w:fill="auto"/>
          <w:lang w:eastAsia="nl-BE"/>
          <w14:ligatures w14:val="none"/>
        </w:rPr>
        <w:t xml:space="preserve">PBMCs were isolated using Cell Preparation Tubes, CPTs and frozen at -80°C in foetal bovine serum (FBS)/10% dimethyl sulfoxide (DMSO) at the clinical collection site before being transported on dry ice with temperature in-transport monitoring for analyses. Both PLWH and HNC individuals were collected at the same centre with harmonized protocols. </w:t>
      </w:r>
      <w:r w:rsidRPr="00C20E4D">
        <w:rPr>
          <w:rFonts w:eastAsia="Batang"/>
          <w:color w:val="000000" w:themeColor="text1"/>
          <w:kern w:val="0"/>
          <w:shd w:val="clear" w:color="auto" w:fill="auto"/>
          <w14:ligatures w14:val="none"/>
        </w:rPr>
        <w:t xml:space="preserve">On the day of analysis, PBMCs were thawed </w:t>
      </w:r>
      <w:r w:rsidRPr="00C20E4D">
        <w:rPr>
          <w:rFonts w:eastAsia="Batang"/>
          <w:color w:val="000000" w:themeColor="text1"/>
          <w:kern w:val="0"/>
          <w:shd w:val="clear" w:color="auto" w:fill="auto"/>
          <w14:ligatures w14:val="none"/>
        </w:rPr>
        <w:lastRenderedPageBreak/>
        <w:t xml:space="preserve">and rested overnight in RPMI 1640 medium (Gibco, </w:t>
      </w:r>
      <w:proofErr w:type="spellStart"/>
      <w:r w:rsidRPr="00C20E4D">
        <w:rPr>
          <w:rFonts w:eastAsia="Batang"/>
          <w:color w:val="000000" w:themeColor="text1"/>
          <w:kern w:val="0"/>
          <w:shd w:val="clear" w:color="auto" w:fill="auto"/>
          <w14:ligatures w14:val="none"/>
        </w:rPr>
        <w:t>Thermofisher</w:t>
      </w:r>
      <w:proofErr w:type="spellEnd"/>
      <w:r w:rsidRPr="00C20E4D">
        <w:rPr>
          <w:rFonts w:eastAsia="Batang"/>
          <w:color w:val="000000" w:themeColor="text1"/>
          <w:kern w:val="0"/>
          <w:shd w:val="clear" w:color="auto" w:fill="auto"/>
          <w14:ligatures w14:val="none"/>
        </w:rPr>
        <w:t xml:space="preserve"> Scientific, MA, USA) supplemented with 5% heat-inactivated AB serum (Sigma Aldrich), 100 U/mL penicillin (</w:t>
      </w:r>
      <w:proofErr w:type="spellStart"/>
      <w:r w:rsidRPr="00C20E4D">
        <w:rPr>
          <w:rFonts w:eastAsia="Batang"/>
          <w:color w:val="000000" w:themeColor="text1"/>
          <w:kern w:val="0"/>
          <w:shd w:val="clear" w:color="auto" w:fill="auto"/>
          <w14:ligatures w14:val="none"/>
        </w:rPr>
        <w:t>Biochrom</w:t>
      </w:r>
      <w:proofErr w:type="spellEnd"/>
      <w:r w:rsidRPr="00C20E4D">
        <w:rPr>
          <w:rFonts w:eastAsia="Batang"/>
          <w:color w:val="000000" w:themeColor="text1"/>
          <w:kern w:val="0"/>
          <w:shd w:val="clear" w:color="auto" w:fill="auto"/>
          <w14:ligatures w14:val="none"/>
        </w:rPr>
        <w:t>, Berlin, Germany) and 0.1 mg/mL streptomycin (</w:t>
      </w:r>
      <w:proofErr w:type="spellStart"/>
      <w:r w:rsidRPr="00C20E4D">
        <w:rPr>
          <w:rFonts w:eastAsia="Batang"/>
          <w:color w:val="000000" w:themeColor="text1"/>
          <w:kern w:val="0"/>
          <w:shd w:val="clear" w:color="auto" w:fill="auto"/>
          <w14:ligatures w14:val="none"/>
        </w:rPr>
        <w:t>Biochrom</w:t>
      </w:r>
      <w:proofErr w:type="spellEnd"/>
      <w:r w:rsidRPr="00C20E4D">
        <w:rPr>
          <w:rFonts w:eastAsia="Batang"/>
          <w:color w:val="000000" w:themeColor="text1"/>
          <w:kern w:val="0"/>
          <w:shd w:val="clear" w:color="auto" w:fill="auto"/>
          <w14:ligatures w14:val="none"/>
        </w:rPr>
        <w:t xml:space="preserve">). The cells were counted and all aliquots of PBMC were pooled together and selected for processing. </w:t>
      </w:r>
      <w:r w:rsidRPr="00C20E4D">
        <w:rPr>
          <w:rFonts w:eastAsia="Batang"/>
          <w:color w:val="auto"/>
          <w:kern w:val="0"/>
          <w:shd w:val="clear" w:color="auto" w:fill="auto"/>
          <w14:ligatures w14:val="none"/>
        </w:rPr>
        <w:t xml:space="preserve">Activation induced marker (AIM) assay was performed, optimised from earlier protocols </w:t>
      </w:r>
      <w:r w:rsidRPr="00C20E4D">
        <w:rPr>
          <w:rFonts w:eastAsia="Batang"/>
          <w:color w:val="auto"/>
          <w:kern w:val="0"/>
          <w:shd w:val="clear" w:color="auto" w:fill="auto"/>
          <w14:ligatures w14:val="none"/>
        </w:rPr>
        <w:fldChar w:fldCharType="begin"/>
      </w:r>
      <w:r w:rsidRPr="00C20E4D">
        <w:rPr>
          <w:rFonts w:eastAsia="Batang"/>
          <w:color w:val="auto"/>
          <w:kern w:val="0"/>
          <w:shd w:val="clear" w:color="auto" w:fill="auto"/>
          <w14:ligatures w14:val="none"/>
        </w:rPr>
        <w:instrText xml:space="preserve"> ADDIN EN.CITE &lt;EndNote&gt;&lt;Cite&gt;&lt;Author&gt;Gupta&lt;/Author&gt;&lt;Year&gt;2023&lt;/Year&gt;&lt;RecNum&gt;3970&lt;/RecNum&gt;&lt;DisplayText&gt;&lt;style face="superscript"&gt;53&lt;/style&gt;&lt;/DisplayText&gt;&lt;record&gt;&lt;rec-number&gt;3970&lt;/rec-number&gt;&lt;foreign-keys&gt;&lt;key app="EN" db-id="0t025sa9j5pevee2a0s5055ovp0vaaa59txr" timestamp="1676277670"&gt;3970&lt;/key&gt;&lt;/foreign-keys&gt;&lt;ref-type name="Journal Article"&gt;17&lt;/ref-type&gt;&lt;contributors&gt;&lt;authors&gt;&lt;author&gt;Gupta, A.&lt;/author&gt;&lt;author&gt;Konnova, A.&lt;/author&gt;&lt;author&gt;Smet, M.&lt;/author&gt;&lt;author&gt;Berkell, M.&lt;/author&gt;&lt;author&gt;Savoldi, A.&lt;/author&gt;&lt;author&gt;Morra, M.&lt;/author&gt;&lt;author&gt;Van Averbeke, V.&lt;/author&gt;&lt;author&gt;De Winter, F. H.&lt;/author&gt;&lt;author&gt;Peserico, D.&lt;/author&gt;&lt;author&gt;Danese, E.&lt;/author&gt;&lt;author&gt;Hotterbeekx, A.&lt;/author&gt;&lt;author&gt;Righi, E.&lt;/author&gt;&lt;author&gt;De Nardo, P.&lt;/author&gt;&lt;author&gt;Tacconelli, E.&lt;/author&gt;&lt;author&gt;Malhotra-Kumar, S.&lt;/author&gt;&lt;author&gt;Kumar-Singh, S.&lt;/author&gt;&lt;/authors&gt;&lt;/contributors&gt;&lt;auth-address&gt;Molecular Pathology Group, Cell Biology &amp;amp; Histology, University of Antwerp, Antwerp, Belgium.&amp;#xD;Laboratory of Medical Microbiology, Vaccine &amp;amp; Infectious Disease Institute, University of Antwerp, Antwerp, Belgium.&amp;#xD;Division of Infectious Diseases, Department of Diagnostics and Public Healt, University of Verona, Verona, Italy.&amp;#xD;Section of Clinical Biochemistry, University of Verona, Verona, Italy.&lt;/auth-address&gt;&lt;titles&gt;&lt;title&gt;Host immunological responses facilitate development of SARS-CoV-2 mutations in patients receiving monoclonal antibody treatments&lt;/title&gt;&lt;secondary-title&gt;J Clin Invest&lt;/secondary-title&gt;&lt;/titles&gt;&lt;periodical&gt;&lt;full-title&gt;J Clin Invest&lt;/full-title&gt;&lt;/periodical&gt;&lt;edition&gt;20230209&lt;/edition&gt;&lt;keywords&gt;&lt;keyword&gt;Covid-19&lt;/keyword&gt;&lt;keyword&gt;Cellular immune response&lt;/keyword&gt;&lt;/keywords&gt;&lt;dates&gt;&lt;year&gt;2023&lt;/year&gt;&lt;pub-dates&gt;&lt;date&gt;Feb 9&lt;/date&gt;&lt;/pub-dates&gt;&lt;/dates&gt;&lt;isbn&gt;0021-9738&lt;/isbn&gt;&lt;accession-num&gt;36727404&lt;/accession-num&gt;&lt;urls&gt;&lt;/urls&gt;&lt;electronic-resource-num&gt;10.1172/jci166032&lt;/electronic-resource-num&gt;&lt;remote-database-provider&gt;NLM&lt;/remote-database-provider&gt;&lt;language&gt;eng&lt;/language&gt;&lt;/record&gt;&lt;/Cite&gt;&lt;/EndNote&gt;</w:instrText>
      </w:r>
      <w:r w:rsidRPr="00C20E4D">
        <w:rPr>
          <w:rFonts w:eastAsia="Batang"/>
          <w:color w:val="auto"/>
          <w:kern w:val="0"/>
          <w:shd w:val="clear" w:color="auto" w:fill="auto"/>
          <w14:ligatures w14:val="none"/>
        </w:rPr>
        <w:fldChar w:fldCharType="separate"/>
      </w:r>
      <w:r w:rsidRPr="00C20E4D">
        <w:rPr>
          <w:rFonts w:eastAsia="Batang"/>
          <w:noProof/>
          <w:color w:val="auto"/>
          <w:kern w:val="0"/>
          <w:shd w:val="clear" w:color="auto" w:fill="auto"/>
          <w:vertAlign w:val="superscript"/>
          <w14:ligatures w14:val="none"/>
        </w:rPr>
        <w:t>53</w:t>
      </w:r>
      <w:r w:rsidRPr="00C20E4D">
        <w:rPr>
          <w:rFonts w:eastAsia="Batang"/>
          <w:color w:val="auto"/>
          <w:kern w:val="0"/>
          <w:shd w:val="clear" w:color="auto" w:fill="auto"/>
          <w14:ligatures w14:val="none"/>
        </w:rPr>
        <w:fldChar w:fldCharType="end"/>
      </w:r>
      <w:r w:rsidRPr="00C20E4D">
        <w:rPr>
          <w:rFonts w:eastAsia="Batang"/>
          <w:color w:val="auto"/>
          <w:kern w:val="0"/>
          <w:shd w:val="clear" w:color="auto" w:fill="auto"/>
          <w14:ligatures w14:val="none"/>
        </w:rPr>
        <w:t xml:space="preserve">. </w:t>
      </w:r>
      <w:r w:rsidRPr="00C20E4D">
        <w:rPr>
          <w:rFonts w:eastAsia="Batang"/>
          <w:color w:val="auto"/>
          <w:kern w:val="0"/>
          <w:shd w:val="clear" w:color="auto" w:fill="auto"/>
          <w:lang w:eastAsia="nl-BE"/>
          <w14:ligatures w14:val="none"/>
        </w:rPr>
        <w:t xml:space="preserve">For stimulation, 2 pools of lyophilized peptides were utilized. The first pool was of 15-mer sequences with 11 amino acids (aa) overlap, covering the immunodominant sequence domains of the </w:t>
      </w:r>
      <w:r w:rsidR="00052E76">
        <w:rPr>
          <w:rFonts w:eastAsia="Batang"/>
          <w:color w:val="auto"/>
          <w:kern w:val="0"/>
          <w:shd w:val="clear" w:color="auto" w:fill="auto"/>
          <w:lang w:eastAsia="nl-BE"/>
          <w14:ligatures w14:val="none"/>
        </w:rPr>
        <w:t>spike</w:t>
      </w:r>
      <w:r w:rsidRPr="00C20E4D">
        <w:rPr>
          <w:rFonts w:eastAsia="Batang"/>
          <w:color w:val="auto"/>
          <w:kern w:val="0"/>
          <w:shd w:val="clear" w:color="auto" w:fill="auto"/>
          <w:lang w:eastAsia="nl-BE"/>
          <w14:ligatures w14:val="none"/>
        </w:rPr>
        <w:t xml:space="preserve"> glycoprotein (“Protein S”; </w:t>
      </w:r>
      <w:proofErr w:type="spellStart"/>
      <w:r w:rsidRPr="00C20E4D">
        <w:rPr>
          <w:rFonts w:eastAsia="Batang"/>
          <w:color w:val="auto"/>
          <w:kern w:val="0"/>
          <w:shd w:val="clear" w:color="auto" w:fill="auto"/>
          <w:lang w:eastAsia="nl-BE"/>
          <w14:ligatures w14:val="none"/>
        </w:rPr>
        <w:t>Prot_S</w:t>
      </w:r>
      <w:proofErr w:type="spellEnd"/>
      <w:r w:rsidRPr="00C20E4D">
        <w:rPr>
          <w:rFonts w:eastAsia="Batang"/>
          <w:color w:val="auto"/>
          <w:kern w:val="0"/>
          <w:shd w:val="clear" w:color="auto" w:fill="auto"/>
          <w:lang w:eastAsia="nl-BE"/>
          <w14:ligatures w14:val="none"/>
        </w:rPr>
        <w:t xml:space="preserve">, </w:t>
      </w:r>
      <w:r w:rsidRPr="00C20E4D">
        <w:rPr>
          <w:rFonts w:eastAsia="Batang"/>
          <w:color w:val="auto"/>
          <w:kern w:val="0"/>
          <w:shd w:val="clear" w:color="auto" w:fill="auto"/>
          <w14:ligatures w14:val="none"/>
        </w:rPr>
        <w:t>GenBank MN908947.3, Protein QHD43416.1</w:t>
      </w:r>
      <w:r w:rsidRPr="00C20E4D">
        <w:rPr>
          <w:rFonts w:eastAsia="Batang"/>
          <w:color w:val="auto"/>
          <w:kern w:val="0"/>
          <w:shd w:val="clear" w:color="auto" w:fill="auto"/>
          <w:lang w:eastAsia="nl-BE"/>
          <w14:ligatures w14:val="none"/>
        </w:rPr>
        <w:t xml:space="preserve">) of SARS-CoV-2 (Miltenyi Biotech, Leiden, Netherlands). The second pool was a 102-peptide sequence of the nucleocapsid phosphoprotein (“NCAP”; </w:t>
      </w:r>
      <w:r w:rsidRPr="00C20E4D">
        <w:rPr>
          <w:rFonts w:eastAsia="Batang"/>
          <w:color w:val="auto"/>
          <w:kern w:val="0"/>
          <w:shd w:val="clear" w:color="auto" w:fill="auto"/>
          <w14:ligatures w14:val="none"/>
        </w:rPr>
        <w:t>GenBank MN908947.3, Protein QHD43423.2</w:t>
      </w:r>
      <w:r w:rsidRPr="00C20E4D">
        <w:rPr>
          <w:rFonts w:eastAsia="Batang"/>
          <w:color w:val="auto"/>
          <w:kern w:val="0"/>
          <w:shd w:val="clear" w:color="auto" w:fill="auto"/>
          <w:lang w:eastAsia="nl-BE"/>
          <w14:ligatures w14:val="none"/>
        </w:rPr>
        <w:t xml:space="preserve">) of SARS-CoV-2 (JPT peptide technologies, Berlin, Germany). Both peptide pools were utilized at 1 </w:t>
      </w:r>
      <w:proofErr w:type="spellStart"/>
      <w:r w:rsidRPr="00C20E4D">
        <w:rPr>
          <w:rFonts w:eastAsia="Batang"/>
          <w:color w:val="auto"/>
          <w:kern w:val="0"/>
          <w:shd w:val="clear" w:color="auto" w:fill="auto"/>
          <w:lang w:eastAsia="nl-BE"/>
          <w14:ligatures w14:val="none"/>
        </w:rPr>
        <w:t>μg</w:t>
      </w:r>
      <w:proofErr w:type="spellEnd"/>
      <w:r w:rsidRPr="00C20E4D">
        <w:rPr>
          <w:rFonts w:eastAsia="Batang"/>
          <w:color w:val="auto"/>
          <w:kern w:val="0"/>
          <w:shd w:val="clear" w:color="auto" w:fill="auto"/>
          <w:lang w:eastAsia="nl-BE"/>
          <w14:ligatures w14:val="none"/>
        </w:rPr>
        <w:t>/</w:t>
      </w:r>
      <w:proofErr w:type="spellStart"/>
      <w:r w:rsidRPr="00C20E4D">
        <w:rPr>
          <w:rFonts w:eastAsia="Batang"/>
          <w:color w:val="auto"/>
          <w:kern w:val="0"/>
          <w:shd w:val="clear" w:color="auto" w:fill="auto"/>
          <w:lang w:eastAsia="nl-BE"/>
          <w14:ligatures w14:val="none"/>
        </w:rPr>
        <w:t>mL.</w:t>
      </w:r>
      <w:proofErr w:type="spellEnd"/>
      <w:r w:rsidRPr="00C20E4D">
        <w:rPr>
          <w:rFonts w:eastAsia="Batang"/>
          <w:color w:val="auto"/>
          <w:kern w:val="0"/>
          <w:shd w:val="clear" w:color="auto" w:fill="auto"/>
          <w:lang w:eastAsia="nl-BE"/>
          <w14:ligatures w14:val="none"/>
        </w:rPr>
        <w:t xml:space="preserve"> Unstimulated negative controls were performed with equal volumes of sterile water and 10% DMSO. Cell activation cocktail, composed of PMA (phorbol-12-myristate 13- acetate) and ionomycin (Bio Legend, Amsterdam, Netherlands) in DMSO was used as positive controls. Incubation of PMBCs was performed at 37 °C, 5% CO2 for 2 hours after which 2 </w:t>
      </w:r>
      <w:proofErr w:type="spellStart"/>
      <w:r w:rsidRPr="00C20E4D">
        <w:rPr>
          <w:rFonts w:eastAsia="Batang"/>
          <w:color w:val="auto"/>
          <w:kern w:val="0"/>
          <w:shd w:val="clear" w:color="auto" w:fill="auto"/>
          <w:lang w:eastAsia="nl-BE"/>
          <w14:ligatures w14:val="none"/>
        </w:rPr>
        <w:t>μg</w:t>
      </w:r>
      <w:proofErr w:type="spellEnd"/>
      <w:r w:rsidRPr="00C20E4D">
        <w:rPr>
          <w:rFonts w:eastAsia="Batang"/>
          <w:color w:val="auto"/>
          <w:kern w:val="0"/>
          <w:shd w:val="clear" w:color="auto" w:fill="auto"/>
          <w:lang w:eastAsia="nl-BE"/>
          <w14:ligatures w14:val="none"/>
        </w:rPr>
        <w:t>/mL brefeldin A (</w:t>
      </w:r>
      <w:proofErr w:type="spellStart"/>
      <w:r w:rsidRPr="00C20E4D">
        <w:rPr>
          <w:rFonts w:eastAsia="Batang"/>
          <w:color w:val="auto"/>
          <w:kern w:val="0"/>
          <w:shd w:val="clear" w:color="auto" w:fill="auto"/>
          <w:lang w:eastAsia="nl-BE"/>
          <w14:ligatures w14:val="none"/>
        </w:rPr>
        <w:t>BioLegend</w:t>
      </w:r>
      <w:proofErr w:type="spellEnd"/>
      <w:r w:rsidRPr="00C20E4D">
        <w:rPr>
          <w:rFonts w:eastAsia="Batang"/>
          <w:color w:val="auto"/>
          <w:kern w:val="0"/>
          <w:shd w:val="clear" w:color="auto" w:fill="auto"/>
          <w:lang w:eastAsia="nl-BE"/>
          <w14:ligatures w14:val="none"/>
        </w:rPr>
        <w:t>, Amsterdam, Netherlands) was added and further incubation for 4 hours at 37°C and 5% CO2 before being collected for flow cytometric analysis.</w:t>
      </w:r>
    </w:p>
    <w:p w14:paraId="436445E5" w14:textId="77777777" w:rsidR="00052E76" w:rsidRPr="00052E76" w:rsidRDefault="00052E76" w:rsidP="00052E76">
      <w:pPr>
        <w:keepNext/>
        <w:keepLines/>
        <w:spacing w:before="240" w:after="240"/>
        <w:jc w:val="both"/>
        <w:outlineLvl w:val="1"/>
        <w:rPr>
          <w:rFonts w:eastAsiaTheme="majorEastAsia"/>
          <w:b/>
          <w:bCs/>
          <w:color w:val="auto"/>
          <w:kern w:val="0"/>
          <w:sz w:val="24"/>
          <w:szCs w:val="24"/>
          <w:shd w:val="clear" w:color="auto" w:fill="auto"/>
          <w14:ligatures w14:val="none"/>
        </w:rPr>
      </w:pPr>
      <w:r w:rsidRPr="00052E76">
        <w:rPr>
          <w:rFonts w:eastAsiaTheme="majorEastAsia"/>
          <w:b/>
          <w:bCs/>
          <w:color w:val="auto"/>
          <w:kern w:val="0"/>
          <w:sz w:val="24"/>
          <w:szCs w:val="24"/>
          <w:shd w:val="clear" w:color="auto" w:fill="auto"/>
          <w14:ligatures w14:val="none"/>
        </w:rPr>
        <w:t xml:space="preserve">T-cell staining and flow cytometry </w:t>
      </w:r>
    </w:p>
    <w:p w14:paraId="354EC2F2" w14:textId="7D461BE5" w:rsidR="00B60AA6" w:rsidRDefault="00052E76" w:rsidP="00052E76">
      <w:pPr>
        <w:spacing w:line="276" w:lineRule="auto"/>
        <w:jc w:val="both"/>
        <w:rPr>
          <w:rFonts w:eastAsia="Batang"/>
          <w:color w:val="auto"/>
          <w:kern w:val="0"/>
          <w:shd w:val="clear" w:color="auto" w:fill="auto"/>
          <w:lang w:eastAsia="nl-BE"/>
          <w14:ligatures w14:val="none"/>
        </w:rPr>
      </w:pPr>
      <w:r w:rsidRPr="00052E76">
        <w:rPr>
          <w:rFonts w:eastAsia="Batang"/>
          <w:color w:val="auto"/>
          <w:kern w:val="0"/>
          <w:shd w:val="clear" w:color="auto" w:fill="auto"/>
          <w:lang w:eastAsia="nl-BE"/>
          <w14:ligatures w14:val="none"/>
        </w:rPr>
        <w:t>Peptide-stimulated cells (as well as positive and negative controls) were stained with Zombie aqua fixable viability dye (</w:t>
      </w:r>
      <w:proofErr w:type="spellStart"/>
      <w:r w:rsidRPr="00052E76">
        <w:rPr>
          <w:rFonts w:eastAsia="Batang"/>
          <w:color w:val="auto"/>
          <w:kern w:val="0"/>
          <w:shd w:val="clear" w:color="auto" w:fill="auto"/>
          <w:lang w:eastAsia="nl-BE"/>
          <w14:ligatures w14:val="none"/>
        </w:rPr>
        <w:t>BioLegend</w:t>
      </w:r>
      <w:proofErr w:type="spellEnd"/>
      <w:r w:rsidRPr="00052E76">
        <w:rPr>
          <w:rFonts w:eastAsia="Batang"/>
          <w:color w:val="auto"/>
          <w:kern w:val="0"/>
          <w:shd w:val="clear" w:color="auto" w:fill="auto"/>
          <w:lang w:eastAsia="nl-BE"/>
          <w14:ligatures w14:val="none"/>
        </w:rPr>
        <w:t>) for 15 minutes in the dark at room temperature. Cells were washed with cell staining buffer (PBS 1% bovine serum albumin, 2mM EDTA) unless stated otherwise. Cells were stained with surface antibody mixture including anti-CD3-APC Fire750, anti-CD4-FITC, anti-CD8a-BV570, anti-CD154-APC and anti-CD45RO-PerCP/Cyanine5.5 (</w:t>
      </w:r>
      <w:proofErr w:type="spellStart"/>
      <w:r w:rsidRPr="00052E76">
        <w:rPr>
          <w:rFonts w:eastAsia="Batang"/>
          <w:color w:val="auto"/>
          <w:kern w:val="0"/>
          <w:shd w:val="clear" w:color="auto" w:fill="auto"/>
          <w:lang w:eastAsia="nl-BE"/>
          <w14:ligatures w14:val="none"/>
        </w:rPr>
        <w:t>BioLegend</w:t>
      </w:r>
      <w:proofErr w:type="spellEnd"/>
      <w:r w:rsidRPr="00052E76">
        <w:rPr>
          <w:rFonts w:eastAsia="Batang"/>
          <w:color w:val="auto"/>
          <w:kern w:val="0"/>
          <w:shd w:val="clear" w:color="auto" w:fill="auto"/>
          <w:lang w:eastAsia="nl-BE"/>
          <w14:ligatures w14:val="none"/>
        </w:rPr>
        <w:t>) for 15 minutes at room temperature. Afterwards, cells were washed with cell staining buffer and fixed/permeabilized using inside stain kit following manufacturer’s instructions (</w:t>
      </w:r>
      <w:r w:rsidR="00465ED4">
        <w:rPr>
          <w:rFonts w:eastAsia="Batang"/>
          <w:color w:val="auto"/>
          <w:kern w:val="0"/>
          <w:shd w:val="clear" w:color="auto" w:fill="auto"/>
          <w:lang w:eastAsia="nl-BE"/>
          <w14:ligatures w14:val="none"/>
        </w:rPr>
        <w:t xml:space="preserve">Inside stain kit, </w:t>
      </w:r>
      <w:r w:rsidRPr="00052E76">
        <w:rPr>
          <w:rFonts w:eastAsia="Batang"/>
          <w:color w:val="auto"/>
          <w:kern w:val="0"/>
          <w:shd w:val="clear" w:color="auto" w:fill="auto"/>
          <w:lang w:eastAsia="nl-BE"/>
          <w14:ligatures w14:val="none"/>
        </w:rPr>
        <w:t>Miltenyi Biotec) for 20 minutes in the dark at room temperature. Then, cells were washed with permeabilization buffer and stained with antibodies directed towards intracellular cytokines (anti-</w:t>
      </w:r>
      <w:proofErr w:type="spellStart"/>
      <w:r w:rsidRPr="00052E76">
        <w:rPr>
          <w:rFonts w:eastAsia="Batang"/>
          <w:color w:val="auto"/>
          <w:kern w:val="0"/>
          <w:shd w:val="clear" w:color="auto" w:fill="auto"/>
          <w:lang w:eastAsia="nl-BE"/>
          <w14:ligatures w14:val="none"/>
        </w:rPr>
        <w:t>IFNγ</w:t>
      </w:r>
      <w:proofErr w:type="spellEnd"/>
      <w:r w:rsidRPr="00052E76">
        <w:rPr>
          <w:rFonts w:eastAsia="Batang"/>
          <w:color w:val="auto"/>
          <w:kern w:val="0"/>
          <w:shd w:val="clear" w:color="auto" w:fill="auto"/>
          <w:lang w:eastAsia="nl-BE"/>
          <w14:ligatures w14:val="none"/>
        </w:rPr>
        <w:t xml:space="preserve">-PE, anti-TNFα-PE/Cyanine7 and anti-IL-2-BV421, </w:t>
      </w:r>
      <w:proofErr w:type="spellStart"/>
      <w:r w:rsidRPr="00052E76">
        <w:rPr>
          <w:rFonts w:eastAsia="Batang"/>
          <w:color w:val="auto"/>
          <w:kern w:val="0"/>
          <w:shd w:val="clear" w:color="auto" w:fill="auto"/>
          <w:lang w:eastAsia="nl-BE"/>
          <w14:ligatures w14:val="none"/>
        </w:rPr>
        <w:t>BioLegend</w:t>
      </w:r>
      <w:proofErr w:type="spellEnd"/>
      <w:r w:rsidRPr="00052E76">
        <w:rPr>
          <w:rFonts w:eastAsia="Batang"/>
          <w:color w:val="auto"/>
          <w:kern w:val="0"/>
          <w:shd w:val="clear" w:color="auto" w:fill="auto"/>
          <w:lang w:eastAsia="nl-BE"/>
          <w14:ligatures w14:val="none"/>
        </w:rPr>
        <w:t xml:space="preserve">) for 15 minutes in the dark at room temperature. Finally, cells were washed in cell staining buffer. Flow cytometry (FC) was performed on </w:t>
      </w:r>
      <w:proofErr w:type="spellStart"/>
      <w:r w:rsidRPr="00052E76">
        <w:rPr>
          <w:rFonts w:eastAsia="Batang"/>
          <w:color w:val="auto"/>
          <w:kern w:val="0"/>
          <w:shd w:val="clear" w:color="auto" w:fill="auto"/>
          <w:lang w:eastAsia="nl-BE"/>
          <w14:ligatures w14:val="none"/>
        </w:rPr>
        <w:t>NovoCyte</w:t>
      </w:r>
      <w:proofErr w:type="spellEnd"/>
      <w:r w:rsidRPr="00052E76">
        <w:rPr>
          <w:rFonts w:eastAsia="Batang"/>
          <w:color w:val="auto"/>
          <w:kern w:val="0"/>
          <w:shd w:val="clear" w:color="auto" w:fill="auto"/>
          <w:lang w:eastAsia="nl-BE"/>
          <w14:ligatures w14:val="none"/>
        </w:rPr>
        <w:t xml:space="preserve"> </w:t>
      </w:r>
      <w:proofErr w:type="spellStart"/>
      <w:r w:rsidRPr="00052E76">
        <w:rPr>
          <w:rFonts w:eastAsia="Batang"/>
          <w:color w:val="auto"/>
          <w:kern w:val="0"/>
          <w:shd w:val="clear" w:color="auto" w:fill="auto"/>
          <w:lang w:eastAsia="nl-BE"/>
          <w14:ligatures w14:val="none"/>
        </w:rPr>
        <w:t>Quanteon</w:t>
      </w:r>
      <w:proofErr w:type="spellEnd"/>
      <w:r w:rsidRPr="00052E76">
        <w:rPr>
          <w:rFonts w:eastAsia="Batang"/>
          <w:color w:val="auto"/>
          <w:kern w:val="0"/>
          <w:shd w:val="clear" w:color="auto" w:fill="auto"/>
          <w:lang w:eastAsia="nl-BE"/>
          <w14:ligatures w14:val="none"/>
        </w:rPr>
        <w:t xml:space="preserve"> 4025 flow cytometer (Agilent, CA, USA), and FC data analysed using </w:t>
      </w:r>
      <w:proofErr w:type="spellStart"/>
      <w:r w:rsidRPr="00052E76">
        <w:rPr>
          <w:rFonts w:eastAsia="Batang"/>
          <w:color w:val="auto"/>
          <w:kern w:val="0"/>
          <w:shd w:val="clear" w:color="auto" w:fill="auto"/>
          <w:lang w:eastAsia="nl-BE"/>
          <w14:ligatures w14:val="none"/>
        </w:rPr>
        <w:t>FlowJo</w:t>
      </w:r>
      <w:proofErr w:type="spellEnd"/>
      <w:r w:rsidRPr="00052E76">
        <w:rPr>
          <w:rFonts w:eastAsia="Batang"/>
          <w:color w:val="auto"/>
          <w:kern w:val="0"/>
          <w:shd w:val="clear" w:color="auto" w:fill="auto"/>
          <w:lang w:eastAsia="nl-BE"/>
          <w14:ligatures w14:val="none"/>
        </w:rPr>
        <w:t xml:space="preserve"> v10.8.1 (BD Biosciences, CA, USA). </w:t>
      </w:r>
    </w:p>
    <w:p w14:paraId="03AD60CF" w14:textId="65CBF8B9" w:rsidR="00B60AA6" w:rsidRPr="00052E76" w:rsidRDefault="00B60AA6" w:rsidP="00052E76">
      <w:pPr>
        <w:spacing w:line="276" w:lineRule="auto"/>
        <w:jc w:val="both"/>
        <w:rPr>
          <w:rFonts w:eastAsia="Batang"/>
          <w:color w:val="auto"/>
          <w:kern w:val="0"/>
          <w:shd w:val="clear" w:color="auto" w:fill="auto"/>
          <w:lang w:eastAsia="nl-BE"/>
          <w14:ligatures w14:val="none"/>
        </w:rPr>
      </w:pPr>
      <w:r w:rsidRPr="002D459A">
        <w:rPr>
          <w:rFonts w:eastAsia="Batang"/>
          <w:b/>
          <w:bCs/>
          <w:color w:val="auto"/>
          <w:kern w:val="0"/>
          <w:shd w:val="clear" w:color="auto" w:fill="auto"/>
          <w:lang w:eastAsia="nl-BE"/>
          <w14:ligatures w14:val="none"/>
        </w:rPr>
        <w:t>Supplemental Table</w:t>
      </w:r>
      <w:r w:rsidR="002D459A" w:rsidRPr="002D459A">
        <w:rPr>
          <w:rFonts w:eastAsia="Batang"/>
          <w:b/>
          <w:bCs/>
          <w:color w:val="auto"/>
          <w:kern w:val="0"/>
          <w:shd w:val="clear" w:color="auto" w:fill="auto"/>
          <w:lang w:eastAsia="nl-BE"/>
          <w14:ligatures w14:val="none"/>
        </w:rPr>
        <w:t xml:space="preserve"> 1.</w:t>
      </w:r>
      <w:r w:rsidR="002D459A">
        <w:rPr>
          <w:rFonts w:eastAsia="Batang"/>
          <w:color w:val="auto"/>
          <w:kern w:val="0"/>
          <w:shd w:val="clear" w:color="auto" w:fill="auto"/>
          <w:lang w:eastAsia="nl-BE"/>
          <w14:ligatures w14:val="none"/>
        </w:rPr>
        <w:t xml:space="preserve"> List</w:t>
      </w:r>
      <w:r>
        <w:rPr>
          <w:rFonts w:eastAsia="Batang"/>
          <w:color w:val="auto"/>
          <w:kern w:val="0"/>
          <w:shd w:val="clear" w:color="auto" w:fill="auto"/>
          <w:lang w:eastAsia="nl-BE"/>
          <w14:ligatures w14:val="none"/>
        </w:rPr>
        <w:t xml:space="preserve"> of surface and intracellular</w:t>
      </w:r>
      <w:r w:rsidR="002D459A">
        <w:rPr>
          <w:rFonts w:eastAsia="Batang"/>
          <w:color w:val="auto"/>
          <w:kern w:val="0"/>
          <w:shd w:val="clear" w:color="auto" w:fill="auto"/>
          <w:lang w:eastAsia="nl-BE"/>
          <w14:ligatures w14:val="none"/>
        </w:rPr>
        <w:t xml:space="preserve"> staining</w:t>
      </w:r>
      <w:r>
        <w:rPr>
          <w:rFonts w:eastAsia="Batang"/>
          <w:color w:val="auto"/>
          <w:kern w:val="0"/>
          <w:shd w:val="clear" w:color="auto" w:fill="auto"/>
          <w:lang w:eastAsia="nl-BE"/>
          <w14:ligatures w14:val="none"/>
        </w:rPr>
        <w:t xml:space="preserve"> antibodies.</w:t>
      </w:r>
    </w:p>
    <w:tbl>
      <w:tblPr>
        <w:tblStyle w:val="TableGrid"/>
        <w:tblW w:w="0" w:type="auto"/>
        <w:tblLook w:val="04A0" w:firstRow="1" w:lastRow="0" w:firstColumn="1" w:lastColumn="0" w:noHBand="0" w:noVBand="1"/>
      </w:tblPr>
      <w:tblGrid>
        <w:gridCol w:w="3964"/>
        <w:gridCol w:w="2127"/>
      </w:tblGrid>
      <w:tr w:rsidR="00B60AA6" w14:paraId="27E66EE1" w14:textId="77777777" w:rsidTr="00B60AA6">
        <w:tc>
          <w:tcPr>
            <w:tcW w:w="3964" w:type="dxa"/>
          </w:tcPr>
          <w:p w14:paraId="7E5A12E6" w14:textId="3C781479" w:rsidR="00B60AA6" w:rsidRPr="00B60AA6" w:rsidRDefault="00B60AA6" w:rsidP="00B60AA6">
            <w:pPr>
              <w:jc w:val="center"/>
              <w:rPr>
                <w:b/>
                <w:bCs/>
              </w:rPr>
            </w:pPr>
            <w:r w:rsidRPr="00B60AA6">
              <w:rPr>
                <w:b/>
                <w:bCs/>
              </w:rPr>
              <w:t>Antibody</w:t>
            </w:r>
          </w:p>
        </w:tc>
        <w:tc>
          <w:tcPr>
            <w:tcW w:w="2127" w:type="dxa"/>
          </w:tcPr>
          <w:p w14:paraId="6093F9E3" w14:textId="1CAA7F7C" w:rsidR="00B60AA6" w:rsidRPr="00B60AA6" w:rsidRDefault="00B60AA6" w:rsidP="00B60AA6">
            <w:pPr>
              <w:jc w:val="center"/>
              <w:rPr>
                <w:b/>
                <w:bCs/>
              </w:rPr>
            </w:pPr>
            <w:r w:rsidRPr="00B60AA6">
              <w:rPr>
                <w:b/>
                <w:bCs/>
              </w:rPr>
              <w:t>Clone</w:t>
            </w:r>
          </w:p>
        </w:tc>
      </w:tr>
      <w:tr w:rsidR="002D459A" w14:paraId="1DBF16BE" w14:textId="77777777" w:rsidTr="00640477">
        <w:tc>
          <w:tcPr>
            <w:tcW w:w="6091" w:type="dxa"/>
            <w:gridSpan w:val="2"/>
          </w:tcPr>
          <w:p w14:paraId="6796C2E1" w14:textId="732239B5" w:rsidR="002D459A" w:rsidRPr="002D459A" w:rsidRDefault="002D459A" w:rsidP="002D459A">
            <w:pPr>
              <w:rPr>
                <w:b/>
                <w:bCs/>
              </w:rPr>
            </w:pPr>
            <w:r w:rsidRPr="002D459A">
              <w:rPr>
                <w:b/>
                <w:bCs/>
              </w:rPr>
              <w:t>Surface Antibodies</w:t>
            </w:r>
          </w:p>
        </w:tc>
      </w:tr>
      <w:tr w:rsidR="002D459A" w14:paraId="76195D36" w14:textId="77777777" w:rsidTr="00B60AA6">
        <w:tc>
          <w:tcPr>
            <w:tcW w:w="3964" w:type="dxa"/>
          </w:tcPr>
          <w:p w14:paraId="127B0530" w14:textId="6F7C1EA5" w:rsidR="002D459A" w:rsidRPr="00B60AA6" w:rsidRDefault="002D459A" w:rsidP="002D459A">
            <w:pPr>
              <w:rPr>
                <w:lang w:eastAsia="nl-BE"/>
              </w:rPr>
            </w:pPr>
            <w:r w:rsidRPr="00B60AA6">
              <w:rPr>
                <w:lang w:eastAsia="nl-BE"/>
              </w:rPr>
              <w:t>APC anti-human CD154</w:t>
            </w:r>
          </w:p>
        </w:tc>
        <w:tc>
          <w:tcPr>
            <w:tcW w:w="2127" w:type="dxa"/>
          </w:tcPr>
          <w:p w14:paraId="1482B9AA" w14:textId="07B08D44" w:rsidR="002D459A" w:rsidRPr="00B60AA6" w:rsidRDefault="002D459A" w:rsidP="002D459A">
            <w:pPr>
              <w:jc w:val="center"/>
              <w:rPr>
                <w:lang w:eastAsia="nl-BE"/>
              </w:rPr>
            </w:pPr>
            <w:r w:rsidRPr="00B60AA6">
              <w:rPr>
                <w:lang w:eastAsia="nl-BE"/>
              </w:rPr>
              <w:t>24-31</w:t>
            </w:r>
          </w:p>
        </w:tc>
      </w:tr>
      <w:tr w:rsidR="002D459A" w14:paraId="125AC3B5" w14:textId="77777777" w:rsidTr="00B60AA6">
        <w:tc>
          <w:tcPr>
            <w:tcW w:w="3964" w:type="dxa"/>
          </w:tcPr>
          <w:p w14:paraId="46D84B2B" w14:textId="69AA4B70" w:rsidR="002D459A" w:rsidRDefault="002D459A" w:rsidP="002D459A">
            <w:r w:rsidRPr="00B60AA6">
              <w:t>APC/Fir</w:t>
            </w:r>
            <w:r>
              <w:t>e</w:t>
            </w:r>
            <w:r w:rsidRPr="00B60AA6">
              <w:t xml:space="preserve"> 750 anti-human CD3 </w:t>
            </w:r>
          </w:p>
        </w:tc>
        <w:tc>
          <w:tcPr>
            <w:tcW w:w="2127" w:type="dxa"/>
          </w:tcPr>
          <w:p w14:paraId="72C889C8" w14:textId="123C7321" w:rsidR="002D459A" w:rsidRDefault="002D459A" w:rsidP="002D459A">
            <w:pPr>
              <w:jc w:val="center"/>
            </w:pPr>
            <w:r w:rsidRPr="00B60AA6">
              <w:t>SK7</w:t>
            </w:r>
          </w:p>
        </w:tc>
      </w:tr>
      <w:tr w:rsidR="002D459A" w14:paraId="5221AA9A" w14:textId="77777777" w:rsidTr="00B60AA6">
        <w:tc>
          <w:tcPr>
            <w:tcW w:w="3964" w:type="dxa"/>
          </w:tcPr>
          <w:p w14:paraId="3F12A895" w14:textId="67D2D9FF" w:rsidR="002D459A" w:rsidRDefault="002D459A" w:rsidP="002D459A">
            <w:proofErr w:type="spellStart"/>
            <w:r w:rsidRPr="00B60AA6">
              <w:t>PerCP</w:t>
            </w:r>
            <w:proofErr w:type="spellEnd"/>
            <w:r w:rsidRPr="00B60AA6">
              <w:t>/Cyanine5.5 anti-human CD45RO</w:t>
            </w:r>
          </w:p>
        </w:tc>
        <w:tc>
          <w:tcPr>
            <w:tcW w:w="2127" w:type="dxa"/>
          </w:tcPr>
          <w:p w14:paraId="49DA2DF3" w14:textId="1F01E8A0" w:rsidR="002D459A" w:rsidRDefault="002D459A" w:rsidP="002D459A">
            <w:pPr>
              <w:jc w:val="center"/>
            </w:pPr>
            <w:r w:rsidRPr="00B60AA6">
              <w:t>UCHL1</w:t>
            </w:r>
          </w:p>
        </w:tc>
      </w:tr>
      <w:tr w:rsidR="002D459A" w14:paraId="45077F33" w14:textId="77777777" w:rsidTr="00B60AA6">
        <w:tc>
          <w:tcPr>
            <w:tcW w:w="3964" w:type="dxa"/>
          </w:tcPr>
          <w:p w14:paraId="419F7049" w14:textId="27460590" w:rsidR="002D459A" w:rsidRPr="00B60AA6" w:rsidRDefault="002D459A" w:rsidP="002D459A">
            <w:r w:rsidRPr="00B60AA6">
              <w:t xml:space="preserve">Brilliant Violet 570™ anti-human CD8a </w:t>
            </w:r>
          </w:p>
        </w:tc>
        <w:tc>
          <w:tcPr>
            <w:tcW w:w="2127" w:type="dxa"/>
          </w:tcPr>
          <w:p w14:paraId="1CA36FDF" w14:textId="44502B12" w:rsidR="002D459A" w:rsidRPr="00B60AA6" w:rsidRDefault="002D459A" w:rsidP="002D459A">
            <w:pPr>
              <w:jc w:val="center"/>
            </w:pPr>
            <w:r w:rsidRPr="00B60AA6">
              <w:t>RPA-T8</w:t>
            </w:r>
          </w:p>
        </w:tc>
      </w:tr>
      <w:tr w:rsidR="002D459A" w14:paraId="6CF721C2" w14:textId="77777777" w:rsidTr="00B60AA6">
        <w:tc>
          <w:tcPr>
            <w:tcW w:w="3964" w:type="dxa"/>
          </w:tcPr>
          <w:p w14:paraId="709AC24A" w14:textId="52912F80" w:rsidR="002D459A" w:rsidRDefault="002D459A" w:rsidP="002D459A">
            <w:r w:rsidRPr="00B60AA6">
              <w:t xml:space="preserve">FITC anti-human CD4 </w:t>
            </w:r>
          </w:p>
        </w:tc>
        <w:tc>
          <w:tcPr>
            <w:tcW w:w="2127" w:type="dxa"/>
          </w:tcPr>
          <w:p w14:paraId="7C1C83BF" w14:textId="26D812CD" w:rsidR="002D459A" w:rsidRDefault="002D459A" w:rsidP="002D459A">
            <w:pPr>
              <w:jc w:val="center"/>
            </w:pPr>
            <w:r w:rsidRPr="00B60AA6">
              <w:t>RPA-T4</w:t>
            </w:r>
          </w:p>
        </w:tc>
      </w:tr>
      <w:tr w:rsidR="002D459A" w14:paraId="058675F2" w14:textId="77777777" w:rsidTr="00640537">
        <w:tc>
          <w:tcPr>
            <w:tcW w:w="6091" w:type="dxa"/>
            <w:gridSpan w:val="2"/>
          </w:tcPr>
          <w:p w14:paraId="5470C6C6" w14:textId="4D360D09" w:rsidR="002D459A" w:rsidRPr="002D459A" w:rsidRDefault="002D459A" w:rsidP="002D459A">
            <w:pPr>
              <w:rPr>
                <w:b/>
                <w:bCs/>
              </w:rPr>
            </w:pPr>
            <w:r w:rsidRPr="002D459A">
              <w:rPr>
                <w:b/>
                <w:bCs/>
              </w:rPr>
              <w:t>Intracellular antibodies</w:t>
            </w:r>
          </w:p>
        </w:tc>
      </w:tr>
      <w:tr w:rsidR="002D459A" w14:paraId="03437C55" w14:textId="77777777" w:rsidTr="00B60AA6">
        <w:tc>
          <w:tcPr>
            <w:tcW w:w="3964" w:type="dxa"/>
          </w:tcPr>
          <w:p w14:paraId="12677A7E" w14:textId="1716AE4D" w:rsidR="002D459A" w:rsidRDefault="002D459A" w:rsidP="002D459A">
            <w:r w:rsidRPr="00B60AA6">
              <w:t xml:space="preserve">PE anti-human IFN-γ </w:t>
            </w:r>
          </w:p>
        </w:tc>
        <w:tc>
          <w:tcPr>
            <w:tcW w:w="2127" w:type="dxa"/>
          </w:tcPr>
          <w:p w14:paraId="26D2E261" w14:textId="5C29867B" w:rsidR="002D459A" w:rsidRDefault="002D459A" w:rsidP="002D459A">
            <w:pPr>
              <w:jc w:val="center"/>
            </w:pPr>
            <w:r w:rsidRPr="00B60AA6">
              <w:t>4S.B3</w:t>
            </w:r>
          </w:p>
        </w:tc>
      </w:tr>
      <w:tr w:rsidR="002D459A" w14:paraId="06B741F8" w14:textId="77777777" w:rsidTr="00B60AA6">
        <w:tc>
          <w:tcPr>
            <w:tcW w:w="3964" w:type="dxa"/>
          </w:tcPr>
          <w:p w14:paraId="4F057B3B" w14:textId="6C1A8E97" w:rsidR="002D459A" w:rsidRDefault="002D459A" w:rsidP="002D459A">
            <w:r w:rsidRPr="00B60AA6">
              <w:t xml:space="preserve">PE/Cyanine7 anti-human TNF-α </w:t>
            </w:r>
          </w:p>
        </w:tc>
        <w:tc>
          <w:tcPr>
            <w:tcW w:w="2127" w:type="dxa"/>
          </w:tcPr>
          <w:p w14:paraId="205562AD" w14:textId="51DD2CB8" w:rsidR="002D459A" w:rsidRDefault="002D459A" w:rsidP="002D459A">
            <w:pPr>
              <w:jc w:val="center"/>
            </w:pPr>
            <w:r w:rsidRPr="00B60AA6">
              <w:t>MAb11</w:t>
            </w:r>
          </w:p>
        </w:tc>
      </w:tr>
      <w:tr w:rsidR="002D459A" w14:paraId="60DCF607" w14:textId="77777777" w:rsidTr="00B60AA6">
        <w:tc>
          <w:tcPr>
            <w:tcW w:w="3964" w:type="dxa"/>
          </w:tcPr>
          <w:p w14:paraId="16A6472E" w14:textId="7AA137C9" w:rsidR="002D459A" w:rsidRDefault="002D459A" w:rsidP="002D459A">
            <w:r w:rsidRPr="00B60AA6">
              <w:t xml:space="preserve">Brilliant Violet 421 anti-human IL-2 </w:t>
            </w:r>
          </w:p>
        </w:tc>
        <w:tc>
          <w:tcPr>
            <w:tcW w:w="2127" w:type="dxa"/>
          </w:tcPr>
          <w:p w14:paraId="04057818" w14:textId="15E60B04" w:rsidR="002D459A" w:rsidRDefault="002D459A" w:rsidP="002D459A">
            <w:pPr>
              <w:jc w:val="center"/>
            </w:pPr>
            <w:r w:rsidRPr="00B60AA6">
              <w:t>MQ1-17H12</w:t>
            </w:r>
          </w:p>
        </w:tc>
      </w:tr>
    </w:tbl>
    <w:p w14:paraId="566669D9" w14:textId="0A36FD00" w:rsidR="00167CDE" w:rsidRDefault="00B60AA6" w:rsidP="00167CDE">
      <w:pPr>
        <w:rPr>
          <w:rFonts w:eastAsia="Batang"/>
          <w:color w:val="auto"/>
          <w:kern w:val="0"/>
          <w:shd w:val="clear" w:color="auto" w:fill="auto"/>
          <w:lang w:eastAsia="nl-BE"/>
          <w14:ligatures w14:val="none"/>
        </w:rPr>
      </w:pPr>
      <w:r>
        <w:t>*</w:t>
      </w:r>
      <w:r w:rsidRPr="00B60AA6">
        <w:rPr>
          <w:rFonts w:eastAsia="Batang"/>
          <w:color w:val="auto"/>
          <w:kern w:val="0"/>
          <w:shd w:val="clear" w:color="auto" w:fill="auto"/>
          <w:lang w:eastAsia="nl-BE"/>
          <w14:ligatures w14:val="none"/>
        </w:rPr>
        <w:t xml:space="preserve"> </w:t>
      </w:r>
      <w:r w:rsidRPr="00C20E4D">
        <w:rPr>
          <w:rFonts w:eastAsia="Batang"/>
          <w:color w:val="auto"/>
          <w:kern w:val="0"/>
          <w:shd w:val="clear" w:color="auto" w:fill="auto"/>
          <w:lang w:eastAsia="nl-BE"/>
          <w14:ligatures w14:val="none"/>
        </w:rPr>
        <w:t>Bio Legend, Amsterdam, Netherlands</w:t>
      </w:r>
    </w:p>
    <w:p w14:paraId="4DE6C4A2" w14:textId="77777777" w:rsidR="002D459A" w:rsidRDefault="002D459A" w:rsidP="00167CDE">
      <w:pPr>
        <w:rPr>
          <w:rFonts w:eastAsia="Batang"/>
          <w:color w:val="auto"/>
          <w:kern w:val="0"/>
          <w:shd w:val="clear" w:color="auto" w:fill="auto"/>
          <w:lang w:eastAsia="nl-BE"/>
          <w14:ligatures w14:val="none"/>
        </w:rPr>
      </w:pPr>
    </w:p>
    <w:p w14:paraId="37E3330D" w14:textId="77777777" w:rsidR="00465ED4" w:rsidRPr="00465ED4" w:rsidRDefault="00465ED4" w:rsidP="00465ED4">
      <w:pPr>
        <w:keepNext/>
        <w:keepLines/>
        <w:spacing w:before="240" w:after="240"/>
        <w:jc w:val="both"/>
        <w:outlineLvl w:val="1"/>
        <w:rPr>
          <w:rFonts w:eastAsiaTheme="majorEastAsia"/>
          <w:b/>
          <w:bCs/>
          <w:color w:val="auto"/>
          <w:kern w:val="0"/>
          <w:sz w:val="24"/>
          <w:szCs w:val="24"/>
          <w:shd w:val="clear" w:color="auto" w:fill="auto"/>
          <w14:ligatures w14:val="none"/>
        </w:rPr>
      </w:pPr>
      <w:r w:rsidRPr="00465ED4">
        <w:rPr>
          <w:rFonts w:eastAsiaTheme="majorEastAsia"/>
          <w:b/>
          <w:bCs/>
          <w:color w:val="auto"/>
          <w:kern w:val="0"/>
          <w:sz w:val="24"/>
          <w:szCs w:val="24"/>
          <w:shd w:val="clear" w:color="auto" w:fill="auto"/>
          <w14:ligatures w14:val="none"/>
        </w:rPr>
        <w:lastRenderedPageBreak/>
        <w:t xml:space="preserve">Data analysis and statistics </w:t>
      </w:r>
    </w:p>
    <w:p w14:paraId="62C6EA78" w14:textId="77777777" w:rsidR="00465ED4" w:rsidRDefault="00465ED4" w:rsidP="00465ED4">
      <w:pPr>
        <w:spacing w:line="276" w:lineRule="auto"/>
        <w:jc w:val="both"/>
        <w:rPr>
          <w:rFonts w:eastAsia="Batang"/>
          <w:color w:val="auto"/>
          <w:kern w:val="0"/>
          <w:shd w:val="clear" w:color="auto" w:fill="auto"/>
          <w14:ligatures w14:val="none"/>
        </w:rPr>
      </w:pPr>
      <w:bookmarkStart w:id="4" w:name="_Hlk148011793"/>
      <w:r w:rsidRPr="00465ED4">
        <w:rPr>
          <w:rFonts w:eastAsia="Batang"/>
          <w:color w:val="auto"/>
          <w:kern w:val="0"/>
          <w:shd w:val="clear" w:color="auto" w:fill="auto"/>
          <w14:ligatures w14:val="none"/>
        </w:rPr>
        <w:t>All data were collected using Microsoft Excel. Visualization and statistical analysis of all data was done in Studio (R version 4.2.2)</w:t>
      </w:r>
      <w:bookmarkEnd w:id="4"/>
      <w:r w:rsidRPr="00465ED4">
        <w:rPr>
          <w:rFonts w:eastAsia="Batang"/>
          <w:color w:val="auto"/>
          <w:kern w:val="0"/>
          <w:shd w:val="clear" w:color="auto" w:fill="auto"/>
          <w14:ligatures w14:val="none"/>
        </w:rPr>
        <w:t xml:space="preserve">. </w:t>
      </w:r>
      <w:proofErr w:type="spellStart"/>
      <w:r w:rsidRPr="00465ED4">
        <w:rPr>
          <w:rFonts w:eastAsia="Batang"/>
          <w:color w:val="auto"/>
          <w:kern w:val="0"/>
          <w:shd w:val="clear" w:color="auto" w:fill="auto"/>
          <w14:ligatures w14:val="none"/>
        </w:rPr>
        <w:t>Titers</w:t>
      </w:r>
      <w:proofErr w:type="spellEnd"/>
      <w:r w:rsidRPr="00465ED4">
        <w:rPr>
          <w:rFonts w:eastAsia="Batang"/>
          <w:color w:val="auto"/>
          <w:kern w:val="0"/>
          <w:shd w:val="clear" w:color="auto" w:fill="auto"/>
          <w14:ligatures w14:val="none"/>
        </w:rPr>
        <w:t xml:space="preserve"> of binding RBD-, S and N-specific IgG as well as </w:t>
      </w:r>
      <w:proofErr w:type="spellStart"/>
      <w:r w:rsidRPr="00465ED4">
        <w:rPr>
          <w:rFonts w:eastAsia="Batang"/>
          <w:color w:val="auto"/>
          <w:kern w:val="0"/>
          <w:shd w:val="clear" w:color="auto" w:fill="auto"/>
          <w14:ligatures w14:val="none"/>
        </w:rPr>
        <w:t>titers</w:t>
      </w:r>
      <w:proofErr w:type="spellEnd"/>
      <w:r w:rsidRPr="00465ED4">
        <w:rPr>
          <w:rFonts w:eastAsia="Batang"/>
          <w:color w:val="auto"/>
          <w:kern w:val="0"/>
          <w:shd w:val="clear" w:color="auto" w:fill="auto"/>
          <w14:ligatures w14:val="none"/>
        </w:rPr>
        <w:t xml:space="preserve"> of neutralizing Abs were visualized in dot plots indicating average and ±1 standard deviation (SD). T-cell responses over time and compared to HNCs were visualized in boxplots unless mentioned otherwise in the legend. Box plots indicate median (middle line), 25th and 75th percentile (box), and the 5th and 95th percentile (whiskers). All data points, including outliers, are displayed, unless mentioned otherwise in the figure legend. Shapiro Wilk test was used to assess normality. </w:t>
      </w:r>
    </w:p>
    <w:p w14:paraId="08E92F9B" w14:textId="247FC20A" w:rsidR="00465ED4" w:rsidRDefault="00465ED4" w:rsidP="00465ED4">
      <w:pPr>
        <w:spacing w:line="276" w:lineRule="auto"/>
        <w:jc w:val="both"/>
        <w:rPr>
          <w:rFonts w:eastAsia="Batang"/>
          <w:color w:val="auto"/>
          <w:kern w:val="0"/>
          <w:shd w:val="clear" w:color="auto" w:fill="auto"/>
          <w14:ligatures w14:val="none"/>
        </w:rPr>
      </w:pPr>
      <w:r w:rsidRPr="00465ED4">
        <w:rPr>
          <w:rFonts w:eastAsia="Batang"/>
          <w:color w:val="auto"/>
          <w:kern w:val="0"/>
          <w:shd w:val="clear" w:color="auto" w:fill="auto"/>
          <w14:ligatures w14:val="none"/>
        </w:rPr>
        <w:t>Statistics for serology and seroneutralization were performed on the log</w:t>
      </w:r>
      <w:r w:rsidRPr="00465ED4">
        <w:rPr>
          <w:rFonts w:eastAsia="Batang"/>
          <w:color w:val="auto"/>
          <w:kern w:val="0"/>
          <w:shd w:val="clear" w:color="auto" w:fill="auto"/>
          <w:vertAlign w:val="subscript"/>
          <w14:ligatures w14:val="none"/>
        </w:rPr>
        <w:t>10</w:t>
      </w:r>
      <w:r w:rsidRPr="00465ED4">
        <w:rPr>
          <w:rFonts w:eastAsia="Batang"/>
          <w:color w:val="auto"/>
          <w:kern w:val="0"/>
          <w:shd w:val="clear" w:color="auto" w:fill="auto"/>
          <w14:ligatures w14:val="none"/>
        </w:rPr>
        <w:t xml:space="preserve"> transformed average of two technical replicates, values below the detection range were recorded as 1/10</w:t>
      </w:r>
      <w:r w:rsidRPr="00465ED4">
        <w:rPr>
          <w:rFonts w:eastAsia="Batang"/>
          <w:color w:val="auto"/>
          <w:kern w:val="0"/>
          <w:shd w:val="clear" w:color="auto" w:fill="auto"/>
          <w:vertAlign w:val="superscript"/>
          <w14:ligatures w14:val="none"/>
        </w:rPr>
        <w:t>th</w:t>
      </w:r>
      <w:r w:rsidRPr="00465ED4">
        <w:rPr>
          <w:rFonts w:eastAsia="Batang"/>
          <w:color w:val="auto"/>
          <w:kern w:val="0"/>
          <w:shd w:val="clear" w:color="auto" w:fill="auto"/>
          <w14:ligatures w14:val="none"/>
        </w:rPr>
        <w:t xml:space="preserve"> the lower limit of quantitation (LLQ) and values above the detection range were recorded as upper limit of quantitation (ULQ).</w:t>
      </w:r>
      <w:r>
        <w:rPr>
          <w:rFonts w:eastAsia="Batang"/>
          <w:color w:val="auto"/>
          <w:kern w:val="0"/>
          <w:shd w:val="clear" w:color="auto" w:fill="auto"/>
          <w14:ligatures w14:val="none"/>
        </w:rPr>
        <w:t xml:space="preserve"> </w:t>
      </w:r>
      <w:r w:rsidRPr="00465ED4">
        <w:rPr>
          <w:rFonts w:eastAsia="Batang"/>
          <w:color w:val="auto"/>
          <w:kern w:val="0"/>
          <w:shd w:val="clear" w:color="auto" w:fill="auto"/>
          <w14:ligatures w14:val="none"/>
        </w:rPr>
        <w:t xml:space="preserve">One-way analysis of variance (ANOVA) was utilized for longitudinal and cross-sectional comparisons of IgG titres, and neutralizing antibodies, across timepoints followed by pairwise two-tailed t-tests. </w:t>
      </w:r>
      <w:r w:rsidR="00792554" w:rsidRPr="00465ED4">
        <w:rPr>
          <w:rFonts w:eastAsia="Batang"/>
          <w:color w:val="auto"/>
          <w:kern w:val="0"/>
          <w:shd w:val="clear" w:color="auto" w:fill="auto"/>
          <w14:ligatures w14:val="none"/>
        </w:rPr>
        <w:t xml:space="preserve">Post hoc </w:t>
      </w:r>
      <w:r w:rsidR="00792554" w:rsidRPr="00465ED4">
        <w:rPr>
          <w:rFonts w:eastAsia="Batang"/>
          <w:iCs/>
          <w:color w:val="auto"/>
          <w:kern w:val="0"/>
          <w:shd w:val="clear" w:color="auto" w:fill="auto"/>
          <w14:ligatures w14:val="none"/>
        </w:rPr>
        <w:t>p</w:t>
      </w:r>
      <w:r w:rsidR="00792554" w:rsidRPr="00465ED4">
        <w:rPr>
          <w:rFonts w:eastAsia="Batang"/>
          <w:color w:val="auto"/>
          <w:kern w:val="0"/>
          <w:shd w:val="clear" w:color="auto" w:fill="auto"/>
          <w14:ligatures w14:val="none"/>
        </w:rPr>
        <w:t>-value correction was conducted using Bonferroni’s multiple-comparison correction method for all analyses.</w:t>
      </w:r>
    </w:p>
    <w:p w14:paraId="43633C32" w14:textId="7751C0B6" w:rsidR="00792554" w:rsidRDefault="00792554" w:rsidP="00465ED4">
      <w:pPr>
        <w:spacing w:line="276" w:lineRule="auto"/>
        <w:jc w:val="both"/>
        <w:rPr>
          <w:rFonts w:eastAsia="Batang"/>
          <w:color w:val="auto"/>
          <w:kern w:val="0"/>
          <w:shd w:val="clear" w:color="auto" w:fill="auto"/>
          <w14:ligatures w14:val="none"/>
        </w:rPr>
      </w:pPr>
      <w:r w:rsidRPr="00465ED4">
        <w:rPr>
          <w:rFonts w:eastAsia="Batang"/>
          <w:color w:val="auto"/>
          <w:kern w:val="0"/>
          <w:shd w:val="clear" w:color="auto" w:fill="auto"/>
          <w14:ligatures w14:val="none"/>
        </w:rPr>
        <w:t>For cellular immunity analyses, a quality control of minimum 500 live cells was used. CD4</w:t>
      </w:r>
      <w:r w:rsidRPr="00465ED4">
        <w:rPr>
          <w:rFonts w:eastAsia="Batang"/>
          <w:color w:val="auto"/>
          <w:kern w:val="0"/>
          <w:shd w:val="clear" w:color="auto" w:fill="auto"/>
          <w:vertAlign w:val="superscript"/>
          <w14:ligatures w14:val="none"/>
        </w:rPr>
        <w:t>+</w:t>
      </w:r>
      <w:r w:rsidRPr="00465ED4">
        <w:rPr>
          <w:rFonts w:eastAsia="Batang"/>
          <w:color w:val="auto"/>
          <w:kern w:val="0"/>
          <w:shd w:val="clear" w:color="auto" w:fill="auto"/>
          <w14:ligatures w14:val="none"/>
        </w:rPr>
        <w:t xml:space="preserve"> T-cell counts were performed by both an automated T-cell analysis at clinical site and during AIM analysis at laboratory site, T-cell counts showed a significant correlation (Pearson’s R = 0.56; P &lt; 0.001). </w:t>
      </w:r>
      <w:r w:rsidR="00465ED4" w:rsidRPr="00465ED4">
        <w:rPr>
          <w:rFonts w:eastAsia="Batang"/>
          <w:color w:val="auto"/>
          <w:kern w:val="0"/>
          <w:shd w:val="clear" w:color="auto" w:fill="auto"/>
          <w14:ligatures w14:val="none"/>
        </w:rPr>
        <w:t>Non-parametric comparative Kruskal Wallis test were used for all independent activation induced marker (AIM) analyses on PBMCs and Wilcoxon signed rank test for paired</w:t>
      </w:r>
      <w:r w:rsidR="00EB6ADF">
        <w:rPr>
          <w:rFonts w:eastAsia="Batang"/>
          <w:color w:val="auto"/>
          <w:kern w:val="0"/>
          <w:shd w:val="clear" w:color="auto" w:fill="auto"/>
          <w14:ligatures w14:val="none"/>
        </w:rPr>
        <w:t xml:space="preserve"> and unpaired</w:t>
      </w:r>
      <w:r w:rsidR="00465ED4" w:rsidRPr="00465ED4">
        <w:rPr>
          <w:rFonts w:eastAsia="Batang"/>
          <w:color w:val="auto"/>
          <w:kern w:val="0"/>
          <w:shd w:val="clear" w:color="auto" w:fill="auto"/>
          <w14:ligatures w14:val="none"/>
        </w:rPr>
        <w:t xml:space="preserve"> PBMC/AIM analyses. Post hoc </w:t>
      </w:r>
      <w:r w:rsidR="00465ED4" w:rsidRPr="00465ED4">
        <w:rPr>
          <w:rFonts w:eastAsia="Batang"/>
          <w:iCs/>
          <w:color w:val="auto"/>
          <w:kern w:val="0"/>
          <w:shd w:val="clear" w:color="auto" w:fill="auto"/>
          <w14:ligatures w14:val="none"/>
        </w:rPr>
        <w:t>p</w:t>
      </w:r>
      <w:r w:rsidR="00465ED4" w:rsidRPr="00465ED4">
        <w:rPr>
          <w:rFonts w:eastAsia="Batang"/>
          <w:color w:val="auto"/>
          <w:kern w:val="0"/>
          <w:shd w:val="clear" w:color="auto" w:fill="auto"/>
          <w14:ligatures w14:val="none"/>
        </w:rPr>
        <w:t xml:space="preserve">-value correction was conducted using Bonferroni’s multiple-comparison correction method for all analyses. </w:t>
      </w:r>
    </w:p>
    <w:p w14:paraId="222A4E52" w14:textId="5443AD7B" w:rsidR="00465ED4" w:rsidRPr="00465ED4" w:rsidRDefault="00465ED4" w:rsidP="00465ED4">
      <w:pPr>
        <w:spacing w:line="276" w:lineRule="auto"/>
        <w:jc w:val="both"/>
        <w:rPr>
          <w:rFonts w:eastAsia="Batang"/>
          <w:color w:val="auto"/>
          <w:kern w:val="0"/>
          <w:shd w:val="clear" w:color="auto" w:fill="auto"/>
          <w14:ligatures w14:val="none"/>
        </w:rPr>
      </w:pPr>
      <w:r w:rsidRPr="00465ED4">
        <w:rPr>
          <w:rFonts w:eastAsia="Batang"/>
          <w:color w:val="auto"/>
          <w:kern w:val="0"/>
          <w:shd w:val="clear" w:color="auto" w:fill="auto"/>
          <w14:ligatures w14:val="none"/>
        </w:rPr>
        <w:t xml:space="preserve">Pearson’s </w:t>
      </w:r>
      <w:r w:rsidRPr="00465ED4">
        <w:rPr>
          <w:rFonts w:eastAsia="Batang"/>
          <w:color w:val="323232"/>
          <w:kern w:val="0"/>
          <w:shd w:val="clear" w:color="auto" w:fill="auto"/>
          <w14:ligatures w14:val="none"/>
        </w:rPr>
        <w:t xml:space="preserve">correlation on parametric data and Spearman correlation on nonparametric data were utilized to assess the relationship between serology and seroneutralization data, and all other T-cell markers. Distribution differences of the different cytokine combinations between the groups were performed using the nonparametric permutation test using SPICE, distributed by the National Institute of Allergy and Infectious diseases. </w:t>
      </w:r>
      <w:r w:rsidRPr="00465ED4">
        <w:rPr>
          <w:rFonts w:eastAsia="Batang"/>
          <w:color w:val="auto"/>
          <w:kern w:val="0"/>
          <w:shd w:val="clear" w:color="auto" w:fill="auto"/>
          <w14:ligatures w14:val="none"/>
        </w:rPr>
        <w:t xml:space="preserve">One, two, or three stars in the figures indicate p &lt; 0.05, p &lt; 0.01, and p &lt; 0.005, respectively. </w:t>
      </w:r>
    </w:p>
    <w:p w14:paraId="40812DE0" w14:textId="77777777" w:rsidR="002D459A" w:rsidRPr="00167CDE" w:rsidRDefault="002D459A" w:rsidP="00167CDE"/>
    <w:sectPr w:rsidR="002D459A" w:rsidRPr="00167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DE"/>
    <w:rsid w:val="00052E76"/>
    <w:rsid w:val="0007585A"/>
    <w:rsid w:val="000F4990"/>
    <w:rsid w:val="00167CDE"/>
    <w:rsid w:val="002D459A"/>
    <w:rsid w:val="004463C8"/>
    <w:rsid w:val="00453D1E"/>
    <w:rsid w:val="00455231"/>
    <w:rsid w:val="00465ED4"/>
    <w:rsid w:val="00792554"/>
    <w:rsid w:val="009B4FA9"/>
    <w:rsid w:val="00B60AA6"/>
    <w:rsid w:val="00BB0B5B"/>
    <w:rsid w:val="00C20E4D"/>
    <w:rsid w:val="00CC1EC0"/>
    <w:rsid w:val="00EB0213"/>
    <w:rsid w:val="00EB6ADF"/>
    <w:rsid w:val="00FC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B55F"/>
  <w15:chartTrackingRefBased/>
  <w15:docId w15:val="{7DA9E124-DD7A-4D72-B536-C713684D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DE"/>
    <w:rPr>
      <w:rFonts w:cstheme="minorHAnsi"/>
      <w:color w:val="000000"/>
      <w:shd w:val="clear" w:color="auto" w:fill="FFFFFF"/>
    </w:rPr>
  </w:style>
  <w:style w:type="paragraph" w:styleId="Heading1">
    <w:name w:val="heading 1"/>
    <w:basedOn w:val="Normal"/>
    <w:next w:val="Normal"/>
    <w:link w:val="Heading1Char"/>
    <w:uiPriority w:val="9"/>
    <w:qFormat/>
    <w:rsid w:val="00167CDE"/>
    <w:pPr>
      <w:keepNext/>
      <w:keepLines/>
      <w:spacing w:before="240" w:after="120"/>
      <w:jc w:val="both"/>
      <w:outlineLvl w:val="0"/>
    </w:pPr>
    <w:rPr>
      <w:rFonts w:eastAsiaTheme="majorEastAsia"/>
      <w:b/>
      <w:bCs/>
      <w:kern w:val="0"/>
      <w:sz w:val="26"/>
      <w:szCs w:val="26"/>
      <w14:ligatures w14:val="none"/>
    </w:rPr>
  </w:style>
  <w:style w:type="paragraph" w:styleId="Heading2">
    <w:name w:val="heading 2"/>
    <w:basedOn w:val="Normal"/>
    <w:next w:val="Normal"/>
    <w:link w:val="Heading2Char"/>
    <w:uiPriority w:val="9"/>
    <w:semiHidden/>
    <w:unhideWhenUsed/>
    <w:qFormat/>
    <w:rsid w:val="00167C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C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C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7CDE"/>
    <w:rPr>
      <w:rFonts w:eastAsiaTheme="majorEastAsia" w:cstheme="minorHAnsi"/>
      <w:b/>
      <w:bCs/>
      <w:kern w:val="0"/>
      <w:sz w:val="26"/>
      <w:szCs w:val="26"/>
      <w14:ligatures w14:val="none"/>
    </w:rPr>
  </w:style>
  <w:style w:type="character" w:customStyle="1" w:styleId="apple-converted-space">
    <w:name w:val="apple-converted-space"/>
    <w:basedOn w:val="DefaultParagraphFont"/>
    <w:rsid w:val="00167CDE"/>
  </w:style>
  <w:style w:type="character" w:customStyle="1" w:styleId="contentpasted1">
    <w:name w:val="contentpasted1"/>
    <w:basedOn w:val="DefaultParagraphFont"/>
    <w:rsid w:val="00167CDE"/>
  </w:style>
  <w:style w:type="character" w:customStyle="1" w:styleId="contentpasted0">
    <w:name w:val="contentpasted0"/>
    <w:basedOn w:val="DefaultParagraphFont"/>
    <w:rsid w:val="00167CDE"/>
  </w:style>
  <w:style w:type="character" w:customStyle="1" w:styleId="Heading2Char">
    <w:name w:val="Heading 2 Char"/>
    <w:basedOn w:val="DefaultParagraphFont"/>
    <w:link w:val="Heading2"/>
    <w:uiPriority w:val="9"/>
    <w:rsid w:val="00167CDE"/>
    <w:rPr>
      <w:rFonts w:asciiTheme="majorHAnsi" w:eastAsiaTheme="majorEastAsia" w:hAnsiTheme="majorHAnsi" w:cstheme="majorBidi"/>
      <w:color w:val="2F5496" w:themeColor="accent1" w:themeShade="BF"/>
      <w:sz w:val="26"/>
      <w:szCs w:val="26"/>
    </w:rPr>
  </w:style>
  <w:style w:type="paragraph" w:customStyle="1" w:styleId="Text">
    <w:name w:val="Text"/>
    <w:basedOn w:val="Normal"/>
    <w:link w:val="TextChar"/>
    <w:qFormat/>
    <w:rsid w:val="00167CDE"/>
    <w:pPr>
      <w:spacing w:line="276" w:lineRule="auto"/>
      <w:jc w:val="both"/>
    </w:pPr>
    <w:rPr>
      <w:rFonts w:eastAsia="Batang"/>
      <w:color w:val="auto"/>
      <w:kern w:val="0"/>
      <w:shd w:val="clear" w:color="auto" w:fill="auto"/>
      <w14:ligatures w14:val="none"/>
    </w:rPr>
  </w:style>
  <w:style w:type="character" w:customStyle="1" w:styleId="TextChar">
    <w:name w:val="Text Char"/>
    <w:link w:val="Text"/>
    <w:qFormat/>
    <w:rsid w:val="00167CDE"/>
    <w:rPr>
      <w:rFonts w:eastAsia="Batang" w:cstheme="minorHAnsi"/>
      <w:kern w:val="0"/>
      <w14:ligatures w14:val="none"/>
    </w:rPr>
  </w:style>
  <w:style w:type="table" w:styleId="TableGrid">
    <w:name w:val="Table Grid"/>
    <w:basedOn w:val="TableNormal"/>
    <w:uiPriority w:val="39"/>
    <w:rsid w:val="00B6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6ADF"/>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D1E"/>
    <w:pPr>
      <w:spacing w:after="0" w:line="240" w:lineRule="auto"/>
    </w:pPr>
    <w:rPr>
      <w:rFonts w:cstheme="minorHAnsi"/>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 Gupta</dc:creator>
  <cp:keywords/>
  <dc:description/>
  <cp:lastModifiedBy>Akshita Gupta</cp:lastModifiedBy>
  <cp:revision>2</cp:revision>
  <dcterms:created xsi:type="dcterms:W3CDTF">2024-03-02T19:42:00Z</dcterms:created>
  <dcterms:modified xsi:type="dcterms:W3CDTF">2024-03-02T19:42:00Z</dcterms:modified>
</cp:coreProperties>
</file>