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3E66" w14:textId="328ACBA9" w:rsidR="00F87C6D" w:rsidRDefault="00F87C6D" w:rsidP="00F87C6D">
      <w:pPr>
        <w:pStyle w:val="NormalWeb"/>
        <w:spacing w:line="360" w:lineRule="auto"/>
        <w:rPr>
          <w:b/>
          <w:bCs/>
        </w:rPr>
      </w:pPr>
      <w:r w:rsidRPr="002D3055">
        <w:rPr>
          <w:b/>
          <w:bCs/>
        </w:rPr>
        <w:t xml:space="preserve">SUPPLEMENTARY </w:t>
      </w:r>
      <w:r>
        <w:rPr>
          <w:b/>
          <w:bCs/>
        </w:rPr>
        <w:t>MATERIAL</w:t>
      </w:r>
    </w:p>
    <w:p w14:paraId="06608F45" w14:textId="77777777" w:rsidR="00C53649" w:rsidRPr="00F67615" w:rsidRDefault="00C53649" w:rsidP="00C53649">
      <w:pPr>
        <w:spacing w:line="360" w:lineRule="auto"/>
        <w:jc w:val="center"/>
        <w:rPr>
          <w:rFonts w:eastAsia="DengXian"/>
          <w:b/>
          <w:bCs/>
          <w:sz w:val="32"/>
          <w:szCs w:val="32"/>
        </w:rPr>
      </w:pPr>
      <w:r>
        <w:rPr>
          <w:rFonts w:eastAsia="DengXian"/>
          <w:b/>
          <w:bCs/>
          <w:sz w:val="32"/>
          <w:szCs w:val="32"/>
        </w:rPr>
        <w:t>Distances from ligands as main predictive features for pathogenicity and functional effect of variants in NMDA receptors.</w:t>
      </w:r>
    </w:p>
    <w:p w14:paraId="6643D3ED" w14:textId="77777777" w:rsidR="00F87C6D" w:rsidRDefault="00F87C6D" w:rsidP="00F87C6D">
      <w:pPr>
        <w:ind w:left="-360" w:right="-440"/>
        <w:jc w:val="both"/>
        <w:rPr>
          <w:b/>
          <w:color w:val="000000" w:themeColor="text1"/>
        </w:rPr>
      </w:pPr>
    </w:p>
    <w:p w14:paraId="41B8BD80" w14:textId="5F37444B" w:rsidR="00F87C6D" w:rsidRDefault="00F87C6D" w:rsidP="00F87C6D">
      <w:pPr>
        <w:ind w:left="-360" w:right="-4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Supplementary Notes</w:t>
      </w:r>
    </w:p>
    <w:p w14:paraId="674AA74C" w14:textId="77777777" w:rsidR="00F87C6D" w:rsidRDefault="00F87C6D" w:rsidP="00F87C6D">
      <w:pPr>
        <w:ind w:left="-360" w:right="-440"/>
        <w:jc w:val="both"/>
        <w:rPr>
          <w:b/>
          <w:color w:val="000000" w:themeColor="text1"/>
        </w:rPr>
      </w:pPr>
    </w:p>
    <w:p w14:paraId="3600F99C" w14:textId="77777777" w:rsidR="00F87C6D" w:rsidRDefault="00F87C6D" w:rsidP="00F87C6D">
      <w:pPr>
        <w:ind w:left="-360" w:right="-440"/>
        <w:jc w:val="both"/>
        <w:rPr>
          <w:b/>
          <w:color w:val="000000" w:themeColor="text1"/>
        </w:rPr>
      </w:pPr>
    </w:p>
    <w:p w14:paraId="5E7497D5" w14:textId="77777777" w:rsidR="00F87C6D" w:rsidRPr="000B2ED1" w:rsidRDefault="00F87C6D" w:rsidP="00F87C6D">
      <w:pPr>
        <w:spacing w:line="480" w:lineRule="auto"/>
        <w:ind w:left="-360" w:right="-440"/>
        <w:jc w:val="both"/>
        <w:rPr>
          <w:b/>
          <w:color w:val="000000" w:themeColor="text1"/>
        </w:rPr>
      </w:pPr>
      <w:r w:rsidRPr="000B2ED1">
        <w:rPr>
          <w:b/>
          <w:color w:val="000000" w:themeColor="text1"/>
        </w:rPr>
        <w:t>ML computation and cross-validation</w:t>
      </w:r>
    </w:p>
    <w:p w14:paraId="39F1AF21" w14:textId="54D01307" w:rsidR="00F87C6D" w:rsidRPr="00903DD8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903DD8">
        <w:rPr>
          <w:color w:val="000000" w:themeColor="text1"/>
        </w:rPr>
        <w:t xml:space="preserve">The binary classifiers of this study were trained with random forests and implemented through the </w:t>
      </w:r>
      <w:proofErr w:type="spellStart"/>
      <w:r w:rsidRPr="00903DD8">
        <w:rPr>
          <w:color w:val="000000" w:themeColor="text1"/>
        </w:rPr>
        <w:t>RandomForestClassifier</w:t>
      </w:r>
      <w:proofErr w:type="spellEnd"/>
      <w:r w:rsidRPr="00903DD8">
        <w:rPr>
          <w:color w:val="000000" w:themeColor="text1"/>
        </w:rPr>
        <w:t xml:space="preserve"> function of the scikit-learn python package. A combination of 16 estimators, ranging from 10 and 500, and eight different maximum depth parameters, ranging from 2 to 9, were explored. A </w:t>
      </w:r>
      <w:r w:rsidR="001A6ACA">
        <w:rPr>
          <w:color w:val="000000" w:themeColor="text1"/>
        </w:rPr>
        <w:t>5</w:t>
      </w:r>
      <w:r w:rsidRPr="00903DD8">
        <w:rPr>
          <w:color w:val="000000" w:themeColor="text1"/>
        </w:rPr>
        <w:t xml:space="preserve">-fold cross-validation was adopted for both the pathogenicity predictor and the </w:t>
      </w:r>
      <w:r w:rsidR="00433040">
        <w:rPr>
          <w:color w:val="000000" w:themeColor="text1"/>
        </w:rPr>
        <w:t>Increase</w:t>
      </w:r>
      <w:r w:rsidRPr="00903DD8">
        <w:rPr>
          <w:color w:val="000000" w:themeColor="text1"/>
        </w:rPr>
        <w:t>/</w:t>
      </w:r>
      <w:r w:rsidR="00433040">
        <w:rPr>
          <w:color w:val="000000" w:themeColor="text1"/>
        </w:rPr>
        <w:t>Decrease</w:t>
      </w:r>
      <w:r w:rsidRPr="00903DD8">
        <w:rPr>
          <w:color w:val="000000" w:themeColor="text1"/>
        </w:rPr>
        <w:t xml:space="preserve"> predictor. Each cross-validation comprises a training, a validation and a test set. The best </w:t>
      </w:r>
      <w:r>
        <w:rPr>
          <w:color w:val="000000" w:themeColor="text1"/>
        </w:rPr>
        <w:t>parameters</w:t>
      </w:r>
      <w:r w:rsidRPr="00903DD8">
        <w:rPr>
          <w:color w:val="000000" w:themeColor="text1"/>
        </w:rPr>
        <w:t xml:space="preserve"> were chosen as the one</w:t>
      </w:r>
      <w:r>
        <w:rPr>
          <w:color w:val="000000" w:themeColor="text1"/>
        </w:rPr>
        <w:t>s</w:t>
      </w:r>
      <w:r w:rsidRPr="00903DD8">
        <w:rPr>
          <w:color w:val="000000" w:themeColor="text1"/>
        </w:rPr>
        <w:t xml:space="preserve"> which maximize the Matthews correlation coefficient (M</w:t>
      </w:r>
      <w:r>
        <w:rPr>
          <w:color w:val="000000" w:themeColor="text1"/>
        </w:rPr>
        <w:t>C</w:t>
      </w:r>
      <w:r w:rsidRPr="00903DD8">
        <w:rPr>
          <w:color w:val="000000" w:themeColor="text1"/>
        </w:rPr>
        <w:t xml:space="preserve">C) </w:t>
      </w:r>
      <w:r w:rsidRPr="00F02E58">
        <w:rPr>
          <w:color w:val="000000" w:themeColor="text1"/>
        </w:rPr>
        <w:t>on the validation set</w:t>
      </w:r>
      <w:r w:rsidRPr="00903DD8">
        <w:rPr>
          <w:color w:val="000000" w:themeColor="text1"/>
        </w:rPr>
        <w:t xml:space="preserve">. The performances </w:t>
      </w:r>
      <w:r>
        <w:rPr>
          <w:color w:val="000000" w:themeColor="text1"/>
        </w:rPr>
        <w:t>reported in the results section a</w:t>
      </w:r>
      <w:r w:rsidRPr="00903DD8">
        <w:rPr>
          <w:color w:val="000000" w:themeColor="text1"/>
        </w:rPr>
        <w:t xml:space="preserve">re computed on the test set. Given that </w:t>
      </w:r>
      <w:r>
        <w:rPr>
          <w:color w:val="000000" w:themeColor="text1"/>
        </w:rPr>
        <w:t>distance features are only</w:t>
      </w:r>
      <w:r w:rsidRPr="00903DD8">
        <w:rPr>
          <w:color w:val="000000" w:themeColor="text1"/>
        </w:rPr>
        <w:t xml:space="preserve"> based on the </w:t>
      </w:r>
      <w:r>
        <w:rPr>
          <w:color w:val="000000" w:themeColor="text1"/>
        </w:rPr>
        <w:t xml:space="preserve">3D </w:t>
      </w:r>
      <w:r w:rsidRPr="00903DD8">
        <w:rPr>
          <w:color w:val="000000" w:themeColor="text1"/>
        </w:rPr>
        <w:t xml:space="preserve">position of the variant </w:t>
      </w:r>
      <w:r>
        <w:rPr>
          <w:color w:val="000000" w:themeColor="text1"/>
        </w:rPr>
        <w:t>(independently</w:t>
      </w:r>
      <w:r w:rsidRPr="00903D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of </w:t>
      </w:r>
      <w:r w:rsidRPr="00903DD8">
        <w:rPr>
          <w:color w:val="000000" w:themeColor="text1"/>
        </w:rPr>
        <w:t>the substituted residue</w:t>
      </w:r>
      <w:r>
        <w:rPr>
          <w:color w:val="000000" w:themeColor="text1"/>
        </w:rPr>
        <w:t>)</w:t>
      </w:r>
      <w:r w:rsidRPr="00903DD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two different variants in the same position will have the same distance features. To avoid the risk of overfitting, we pooled </w:t>
      </w:r>
      <w:r w:rsidRPr="00903DD8">
        <w:rPr>
          <w:color w:val="000000" w:themeColor="text1"/>
        </w:rPr>
        <w:t>variants at the same position</w:t>
      </w:r>
      <w:r>
        <w:rPr>
          <w:color w:val="000000" w:themeColor="text1"/>
        </w:rPr>
        <w:t xml:space="preserve"> (therefore with the same distance features)</w:t>
      </w:r>
      <w:r w:rsidRPr="00903DD8">
        <w:rPr>
          <w:color w:val="000000" w:themeColor="text1"/>
        </w:rPr>
        <w:t xml:space="preserve"> in the same cross-validation set.</w:t>
      </w:r>
      <w:r>
        <w:rPr>
          <w:color w:val="000000" w:themeColor="text1"/>
        </w:rPr>
        <w:t xml:space="preserve"> For the predictors only based on distance features, only one variant has been retained for each residue position. </w:t>
      </w:r>
    </w:p>
    <w:p w14:paraId="0D128990" w14:textId="77777777" w:rsidR="00EC64E8" w:rsidRDefault="00EC64E8" w:rsidP="00F87C6D">
      <w:pPr>
        <w:spacing w:line="480" w:lineRule="auto"/>
        <w:ind w:left="-360" w:right="-440"/>
        <w:jc w:val="both"/>
        <w:rPr>
          <w:b/>
          <w:color w:val="000000" w:themeColor="text1"/>
        </w:rPr>
      </w:pPr>
    </w:p>
    <w:p w14:paraId="12590116" w14:textId="77777777" w:rsidR="00F87C6D" w:rsidRPr="00851FE4" w:rsidRDefault="00F87C6D" w:rsidP="00F87C6D">
      <w:pPr>
        <w:spacing w:line="480" w:lineRule="auto"/>
        <w:ind w:left="-360" w:right="-440"/>
        <w:jc w:val="both"/>
        <w:rPr>
          <w:b/>
          <w:color w:val="000000" w:themeColor="text1"/>
        </w:rPr>
      </w:pPr>
      <w:r w:rsidRPr="00851FE4">
        <w:rPr>
          <w:b/>
          <w:color w:val="000000" w:themeColor="text1"/>
        </w:rPr>
        <w:t xml:space="preserve">Performance measures for </w:t>
      </w:r>
      <w:r>
        <w:rPr>
          <w:b/>
          <w:color w:val="000000" w:themeColor="text1"/>
        </w:rPr>
        <w:t xml:space="preserve">the </w:t>
      </w:r>
      <w:r w:rsidRPr="00851FE4">
        <w:rPr>
          <w:b/>
          <w:color w:val="000000" w:themeColor="text1"/>
        </w:rPr>
        <w:t xml:space="preserve">binary classifiers </w:t>
      </w:r>
    </w:p>
    <w:p w14:paraId="7B8B750B" w14:textId="7B7E2A70" w:rsidR="00F87C6D" w:rsidRPr="00851FE4" w:rsidRDefault="007565C8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bookmarkStart w:id="0" w:name="_gjdgxs" w:colFirst="0" w:colLast="0"/>
      <w:bookmarkEnd w:id="0"/>
      <w:r w:rsidRPr="00903DD8">
        <w:rPr>
          <w:color w:val="000000" w:themeColor="text1"/>
        </w:rPr>
        <w:t xml:space="preserve">The classifiers were evaluated using the </w:t>
      </w:r>
      <w:r>
        <w:rPr>
          <w:color w:val="000000" w:themeColor="text1"/>
        </w:rPr>
        <w:t xml:space="preserve">following </w:t>
      </w:r>
      <w:r w:rsidRPr="00903DD8">
        <w:rPr>
          <w:color w:val="000000" w:themeColor="text1"/>
        </w:rPr>
        <w:t xml:space="preserve">indexes. </w:t>
      </w:r>
      <w:r w:rsidR="00F87C6D" w:rsidRPr="00851FE4">
        <w:rPr>
          <w:color w:val="000000" w:themeColor="text1"/>
        </w:rPr>
        <w:t>For each prediction, the classification</w:t>
      </w:r>
      <w:r w:rsidR="00F87C6D">
        <w:rPr>
          <w:color w:val="000000" w:themeColor="text1"/>
        </w:rPr>
        <w:t xml:space="preserve"> for each binary classifier</w:t>
      </w:r>
      <w:r w:rsidR="00F87C6D" w:rsidRPr="00851FE4">
        <w:rPr>
          <w:color w:val="000000" w:themeColor="text1"/>
        </w:rPr>
        <w:t xml:space="preserve"> (</w:t>
      </w:r>
      <w:r w:rsidR="00F87C6D" w:rsidRPr="0014332A">
        <w:rPr>
          <w:iCs/>
          <w:color w:val="000000" w:themeColor="text1"/>
        </w:rPr>
        <w:t xml:space="preserve">Pathogenic/Benign and </w:t>
      </w:r>
      <w:r w:rsidR="001A6ACA">
        <w:rPr>
          <w:iCs/>
          <w:color w:val="000000" w:themeColor="text1"/>
        </w:rPr>
        <w:t>Increase</w:t>
      </w:r>
      <w:r w:rsidR="00F87C6D" w:rsidRPr="0014332A">
        <w:rPr>
          <w:iCs/>
          <w:color w:val="000000" w:themeColor="text1"/>
        </w:rPr>
        <w:t>/</w:t>
      </w:r>
      <w:r w:rsidR="001A6ACA">
        <w:rPr>
          <w:iCs/>
          <w:color w:val="000000" w:themeColor="text1"/>
        </w:rPr>
        <w:t>Decrease</w:t>
      </w:r>
      <w:r w:rsidR="00F87C6D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 xml:space="preserve"> is made at the threshold</w:t>
      </w:r>
      <w:r w:rsidR="00F87C6D">
        <w:rPr>
          <w:color w:val="000000" w:themeColor="text1"/>
        </w:rPr>
        <w:t xml:space="preserve"> 0.5</w:t>
      </w:r>
      <w:r w:rsidR="00F87C6D" w:rsidRPr="00851FE4">
        <w:rPr>
          <w:color w:val="000000" w:themeColor="text1"/>
        </w:rPr>
        <w:t>. In all the performance measures</w:t>
      </w:r>
      <w:r w:rsidR="00F87C6D">
        <w:rPr>
          <w:color w:val="000000" w:themeColor="text1"/>
        </w:rPr>
        <w:t>,</w:t>
      </w:r>
      <w:r w:rsidR="00F87C6D" w:rsidRPr="00851FE4">
        <w:rPr>
          <w:color w:val="000000" w:themeColor="text1"/>
        </w:rPr>
        <w:t xml:space="preserve"> TP (true positives) are correctly predicted </w:t>
      </w:r>
      <w:r w:rsidR="00F87C6D">
        <w:rPr>
          <w:color w:val="000000" w:themeColor="text1"/>
        </w:rPr>
        <w:t xml:space="preserve">variants of the first class </w:t>
      </w:r>
      <w:r w:rsidR="00F87C6D">
        <w:rPr>
          <w:color w:val="000000" w:themeColor="text1"/>
        </w:rPr>
        <w:lastRenderedPageBreak/>
        <w:t>(</w:t>
      </w:r>
      <w:r w:rsidR="00F87C6D" w:rsidRPr="0014332A">
        <w:rPr>
          <w:color w:val="000000" w:themeColor="text1"/>
        </w:rPr>
        <w:t>Pathogenic</w:t>
      </w:r>
      <w:r w:rsidR="00F87C6D" w:rsidRPr="00851FE4">
        <w:rPr>
          <w:color w:val="000000" w:themeColor="text1"/>
        </w:rPr>
        <w:t xml:space="preserve"> </w:t>
      </w:r>
      <w:r w:rsidR="00F87C6D">
        <w:rPr>
          <w:color w:val="000000" w:themeColor="text1"/>
        </w:rPr>
        <w:t xml:space="preserve">or </w:t>
      </w:r>
      <w:r w:rsidR="00433040">
        <w:rPr>
          <w:color w:val="000000" w:themeColor="text1"/>
        </w:rPr>
        <w:t>Increase</w:t>
      </w:r>
      <w:r w:rsidR="00F87C6D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 xml:space="preserve">, TN (true negatives) are correctly predicted </w:t>
      </w:r>
      <w:r w:rsidR="00F87C6D">
        <w:rPr>
          <w:color w:val="000000" w:themeColor="text1"/>
        </w:rPr>
        <w:t xml:space="preserve">variants of the second class (Benign or </w:t>
      </w:r>
      <w:r w:rsidR="00433040">
        <w:rPr>
          <w:color w:val="000000" w:themeColor="text1"/>
        </w:rPr>
        <w:t>Decrease</w:t>
      </w:r>
      <w:r w:rsidR="00F87C6D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 xml:space="preserve">, FP (false </w:t>
      </w:r>
      <w:r w:rsidR="00F87C6D" w:rsidRPr="0014332A">
        <w:rPr>
          <w:color w:val="000000" w:themeColor="text1"/>
        </w:rPr>
        <w:t xml:space="preserve">positives) are variants of the </w:t>
      </w:r>
      <w:r w:rsidR="00F87C6D">
        <w:rPr>
          <w:color w:val="000000" w:themeColor="text1"/>
        </w:rPr>
        <w:t xml:space="preserve">second class (Benign or </w:t>
      </w:r>
      <w:r w:rsidR="00433040">
        <w:rPr>
          <w:color w:val="000000" w:themeColor="text1"/>
        </w:rPr>
        <w:t>Decrease</w:t>
      </w:r>
      <w:r w:rsidR="00F87C6D">
        <w:rPr>
          <w:color w:val="000000" w:themeColor="text1"/>
        </w:rPr>
        <w:t xml:space="preserve">) that are predicted to belong to the </w:t>
      </w:r>
      <w:r w:rsidR="00F87C6D" w:rsidRPr="0014332A">
        <w:rPr>
          <w:color w:val="000000" w:themeColor="text1"/>
        </w:rPr>
        <w:t>first cl</w:t>
      </w:r>
      <w:r w:rsidR="00F87C6D">
        <w:rPr>
          <w:color w:val="000000" w:themeColor="text1"/>
        </w:rPr>
        <w:t>a</w:t>
      </w:r>
      <w:r w:rsidR="00F87C6D" w:rsidRPr="0014332A">
        <w:rPr>
          <w:color w:val="000000" w:themeColor="text1"/>
        </w:rPr>
        <w:t>ss (Pathogenic</w:t>
      </w:r>
      <w:r w:rsidR="00F87C6D" w:rsidRPr="00851FE4">
        <w:rPr>
          <w:color w:val="000000" w:themeColor="text1"/>
        </w:rPr>
        <w:t xml:space="preserve"> </w:t>
      </w:r>
      <w:r w:rsidR="00F87C6D">
        <w:rPr>
          <w:color w:val="000000" w:themeColor="text1"/>
        </w:rPr>
        <w:t xml:space="preserve">or </w:t>
      </w:r>
      <w:r w:rsidR="00433040">
        <w:rPr>
          <w:color w:val="000000" w:themeColor="text1"/>
        </w:rPr>
        <w:t>Increase</w:t>
      </w:r>
      <w:r w:rsidR="00F87C6D" w:rsidRPr="0014332A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 xml:space="preserve">, and FN (false negatives) </w:t>
      </w:r>
      <w:r w:rsidR="00F87C6D" w:rsidRPr="0014332A">
        <w:rPr>
          <w:color w:val="000000" w:themeColor="text1"/>
        </w:rPr>
        <w:t>are variants of the first cl</w:t>
      </w:r>
      <w:r w:rsidR="00F87C6D">
        <w:rPr>
          <w:color w:val="000000" w:themeColor="text1"/>
        </w:rPr>
        <w:t>a</w:t>
      </w:r>
      <w:r w:rsidR="00F87C6D" w:rsidRPr="0014332A">
        <w:rPr>
          <w:color w:val="000000" w:themeColor="text1"/>
        </w:rPr>
        <w:t>ss (Pathogenic</w:t>
      </w:r>
      <w:r w:rsidR="00F87C6D" w:rsidRPr="00851FE4">
        <w:rPr>
          <w:color w:val="000000" w:themeColor="text1"/>
        </w:rPr>
        <w:t xml:space="preserve"> </w:t>
      </w:r>
      <w:r w:rsidR="00F87C6D">
        <w:rPr>
          <w:color w:val="000000" w:themeColor="text1"/>
        </w:rPr>
        <w:t xml:space="preserve">or </w:t>
      </w:r>
      <w:r w:rsidR="00433040">
        <w:rPr>
          <w:color w:val="000000" w:themeColor="text1"/>
        </w:rPr>
        <w:t>Increase</w:t>
      </w:r>
      <w:r w:rsidR="00F87C6D" w:rsidRPr="0014332A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 xml:space="preserve"> </w:t>
      </w:r>
      <w:r w:rsidR="00F87C6D">
        <w:rPr>
          <w:color w:val="000000" w:themeColor="text1"/>
        </w:rPr>
        <w:t xml:space="preserve">that are predicted to belong to the second class (Benign or </w:t>
      </w:r>
      <w:r w:rsidR="00433040">
        <w:rPr>
          <w:color w:val="000000" w:themeColor="text1"/>
        </w:rPr>
        <w:t>Decrease</w:t>
      </w:r>
      <w:r w:rsidR="00F87C6D">
        <w:rPr>
          <w:color w:val="000000" w:themeColor="text1"/>
        </w:rPr>
        <w:t>)</w:t>
      </w:r>
      <w:r w:rsidR="00F87C6D" w:rsidRPr="00851FE4">
        <w:rPr>
          <w:color w:val="000000" w:themeColor="text1"/>
        </w:rPr>
        <w:t>. Predictor performance was evaluated using the following metrics: true positive and negative rates (</w:t>
      </w:r>
      <w:r w:rsidR="00F87C6D" w:rsidRPr="00851FE4">
        <w:rPr>
          <w:i/>
          <w:color w:val="000000" w:themeColor="text1"/>
        </w:rPr>
        <w:t>TPR, TNR</w:t>
      </w:r>
      <w:r w:rsidR="00F87C6D" w:rsidRPr="00851FE4">
        <w:rPr>
          <w:color w:val="000000" w:themeColor="text1"/>
        </w:rPr>
        <w:t>), positive and negative predicted values (</w:t>
      </w:r>
      <w:r w:rsidR="00F87C6D" w:rsidRPr="00851FE4">
        <w:rPr>
          <w:i/>
          <w:color w:val="000000" w:themeColor="text1"/>
        </w:rPr>
        <w:t>PPV, NPV</w:t>
      </w:r>
      <w:r w:rsidR="00F87C6D" w:rsidRPr="00851FE4">
        <w:rPr>
          <w:color w:val="000000" w:themeColor="text1"/>
        </w:rPr>
        <w:t>),</w:t>
      </w:r>
      <w:r w:rsidR="00F87C6D">
        <w:rPr>
          <w:color w:val="000000" w:themeColor="text1"/>
        </w:rPr>
        <w:t xml:space="preserve"> </w:t>
      </w:r>
      <w:r w:rsidR="00F87C6D" w:rsidRPr="00851FE4">
        <w:rPr>
          <w:color w:val="000000" w:themeColor="text1"/>
        </w:rPr>
        <w:t>and overall accuracy (</w:t>
      </w:r>
      <w:r w:rsidR="00F87C6D" w:rsidRPr="00851FE4">
        <w:rPr>
          <w:i/>
          <w:color w:val="000000" w:themeColor="text1"/>
        </w:rPr>
        <w:t>Q</w:t>
      </w:r>
      <w:r w:rsidR="00F87C6D" w:rsidRPr="00851FE4">
        <w:rPr>
          <w:i/>
          <w:color w:val="000000" w:themeColor="text1"/>
          <w:vertAlign w:val="subscript"/>
        </w:rPr>
        <w:t>2</w:t>
      </w:r>
      <w:r w:rsidR="00F87C6D" w:rsidRPr="00851FE4">
        <w:rPr>
          <w:color w:val="000000" w:themeColor="text1"/>
        </w:rPr>
        <w:t>)</w:t>
      </w:r>
    </w:p>
    <w:p w14:paraId="30160ED9" w14:textId="77777777" w:rsidR="00F87C6D" w:rsidRPr="00851FE4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851FE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30090AF6" wp14:editId="65F640DA">
            <wp:simplePos x="0" y="0"/>
            <wp:positionH relativeFrom="column">
              <wp:posOffset>590550</wp:posOffset>
            </wp:positionH>
            <wp:positionV relativeFrom="paragraph">
              <wp:posOffset>37762</wp:posOffset>
            </wp:positionV>
            <wp:extent cx="2066925" cy="428625"/>
            <wp:effectExtent l="0" t="0" r="0" b="0"/>
            <wp:wrapSquare wrapText="bothSides" distT="0" distB="0" distL="114300" distR="114300"/>
            <wp:docPr id="7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Shape&#10;&#10;Description automatically generated with medium confidence"/>
                    <pic:cNvPicPr preferRelativeResize="0"/>
                  </pic:nvPicPr>
                  <pic:blipFill>
                    <a:blip r:embed="rId5"/>
                    <a:srcRect l="29773" b="6390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446B61" w14:textId="77777777" w:rsidR="00F87C6D" w:rsidRPr="00851FE4" w:rsidRDefault="00F87C6D" w:rsidP="00F87C6D">
      <w:pPr>
        <w:spacing w:before="100" w:line="480" w:lineRule="auto"/>
        <w:ind w:left="280" w:right="100"/>
        <w:jc w:val="both"/>
        <w:rPr>
          <w:color w:val="000000" w:themeColor="text1"/>
        </w:rPr>
      </w:pPr>
      <w:r w:rsidRPr="00851FE4">
        <w:rPr>
          <w:color w:val="000000" w:themeColor="text1"/>
        </w:rPr>
        <w:t xml:space="preserve">                                             </w:t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hidden="0" allowOverlap="1" wp14:anchorId="3322E1F5" wp14:editId="5C434A05">
            <wp:simplePos x="0" y="0"/>
            <wp:positionH relativeFrom="column">
              <wp:posOffset>542925</wp:posOffset>
            </wp:positionH>
            <wp:positionV relativeFrom="paragraph">
              <wp:posOffset>162263</wp:posOffset>
            </wp:positionV>
            <wp:extent cx="2252663" cy="428625"/>
            <wp:effectExtent l="0" t="0" r="0" b="0"/>
            <wp:wrapSquare wrapText="bothSides" distT="0" distB="0" distL="114300" distR="114300"/>
            <wp:docPr id="3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Shape&#10;&#10;Description automatically generated with medium confidence"/>
                    <pic:cNvPicPr preferRelativeResize="0"/>
                  </pic:nvPicPr>
                  <pic:blipFill>
                    <a:blip r:embed="rId5"/>
                    <a:srcRect l="23462" t="31950" b="3195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84C32" w14:textId="77777777" w:rsidR="00F87C6D" w:rsidRPr="00851FE4" w:rsidRDefault="00F87C6D" w:rsidP="00F87C6D">
      <w:pPr>
        <w:spacing w:before="100" w:line="480" w:lineRule="auto"/>
        <w:ind w:left="6760" w:right="100" w:firstLine="440"/>
        <w:jc w:val="both"/>
        <w:rPr>
          <w:color w:val="000000" w:themeColor="text1"/>
        </w:rPr>
      </w:pPr>
      <w:r w:rsidRPr="00851FE4">
        <w:rPr>
          <w:color w:val="000000" w:themeColor="text1"/>
        </w:rPr>
        <w:t>[Eq. 1]</w:t>
      </w:r>
    </w:p>
    <w:p w14:paraId="74EFD97A" w14:textId="77777777" w:rsidR="00F87C6D" w:rsidRPr="00851FE4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851FE4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hidden="0" allowOverlap="1" wp14:anchorId="1C7B8FBD" wp14:editId="4B460B0B">
            <wp:simplePos x="0" y="0"/>
            <wp:positionH relativeFrom="column">
              <wp:posOffset>796992</wp:posOffset>
            </wp:positionH>
            <wp:positionV relativeFrom="paragraph">
              <wp:posOffset>76835</wp:posOffset>
            </wp:positionV>
            <wp:extent cx="1624965" cy="427990"/>
            <wp:effectExtent l="0" t="0" r="0" b="0"/>
            <wp:wrapSquare wrapText="bothSides" distT="0" distB="0" distL="114300" distR="114300"/>
            <wp:docPr id="5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Shape&#10;&#10;Description automatically generated with medium confidence"/>
                    <pic:cNvPicPr preferRelativeResize="0"/>
                  </pic:nvPicPr>
                  <pic:blipFill rotWithShape="1">
                    <a:blip r:embed="rId5"/>
                    <a:srcRect l="46184" t="68049" r="-1290" b="-4147"/>
                    <a:stretch/>
                  </pic:blipFill>
                  <pic:spPr bwMode="auto">
                    <a:xfrm>
                      <a:off x="0" y="0"/>
                      <a:ext cx="162496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7709D1" w14:textId="77777777" w:rsidR="00F87C6D" w:rsidRPr="00851FE4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</w:p>
    <w:p w14:paraId="61C0715D" w14:textId="77777777" w:rsidR="00F87C6D" w:rsidRPr="00851FE4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851FE4">
        <w:rPr>
          <w:color w:val="000000" w:themeColor="text1"/>
        </w:rPr>
        <w:t xml:space="preserve">We computed the Matthew’s correlation coefficient </w:t>
      </w:r>
      <w:r w:rsidRPr="00851FE4">
        <w:rPr>
          <w:iCs/>
          <w:color w:val="000000" w:themeColor="text1"/>
        </w:rPr>
        <w:t>MCC</w:t>
      </w:r>
      <w:r w:rsidRPr="00851FE4">
        <w:rPr>
          <w:color w:val="000000" w:themeColor="text1"/>
        </w:rPr>
        <w:t xml:space="preserve"> (Eq. 2) as:</w:t>
      </w:r>
    </w:p>
    <w:p w14:paraId="2EC9DFD7" w14:textId="77777777" w:rsidR="00F87C6D" w:rsidRPr="00851FE4" w:rsidRDefault="00F87C6D" w:rsidP="00F87C6D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851FE4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hidden="0" allowOverlap="1" wp14:anchorId="5922867A" wp14:editId="1C8DDC3A">
            <wp:simplePos x="0" y="0"/>
            <wp:positionH relativeFrom="column">
              <wp:posOffset>190500</wp:posOffset>
            </wp:positionH>
            <wp:positionV relativeFrom="paragraph">
              <wp:posOffset>223500</wp:posOffset>
            </wp:positionV>
            <wp:extent cx="3454400" cy="546100"/>
            <wp:effectExtent l="0" t="0" r="0" b="0"/>
            <wp:wrapNone/>
            <wp:docPr id="4" name="image4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Shape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9D19E5" w14:textId="77777777" w:rsidR="00F87C6D" w:rsidRPr="00851FE4" w:rsidRDefault="00F87C6D" w:rsidP="00F87C6D">
      <w:pPr>
        <w:spacing w:before="100" w:line="480" w:lineRule="auto"/>
        <w:ind w:left="280" w:right="100"/>
        <w:jc w:val="both"/>
        <w:rPr>
          <w:color w:val="000000" w:themeColor="text1"/>
        </w:rPr>
      </w:pPr>
      <w:r w:rsidRPr="00851FE4">
        <w:rPr>
          <w:color w:val="000000" w:themeColor="text1"/>
        </w:rPr>
        <w:t xml:space="preserve">                       </w:t>
      </w:r>
      <w:r w:rsidRPr="00851FE4">
        <w:rPr>
          <w:color w:val="000000" w:themeColor="text1"/>
        </w:rPr>
        <w:tab/>
        <w:t xml:space="preserve">             </w:t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</w:r>
      <w:r w:rsidRPr="00851FE4">
        <w:rPr>
          <w:color w:val="000000" w:themeColor="text1"/>
        </w:rPr>
        <w:tab/>
        <w:t>[Eq. 2]</w:t>
      </w:r>
    </w:p>
    <w:p w14:paraId="52F7110D" w14:textId="77777777" w:rsidR="00F87C6D" w:rsidRPr="00851FE4" w:rsidRDefault="00F87C6D" w:rsidP="00F87C6D">
      <w:pPr>
        <w:spacing w:before="100" w:line="480" w:lineRule="auto"/>
        <w:ind w:left="280" w:right="100"/>
        <w:jc w:val="both"/>
        <w:rPr>
          <w:color w:val="000000" w:themeColor="text1"/>
        </w:rPr>
      </w:pPr>
    </w:p>
    <w:p w14:paraId="2350B42A" w14:textId="3C7B126C" w:rsidR="00D03636" w:rsidRPr="00433040" w:rsidRDefault="00F87C6D" w:rsidP="00433040">
      <w:pPr>
        <w:spacing w:before="100" w:line="480" w:lineRule="auto"/>
        <w:ind w:left="-360" w:right="100"/>
        <w:jc w:val="both"/>
        <w:rPr>
          <w:color w:val="000000" w:themeColor="text1"/>
        </w:rPr>
      </w:pPr>
      <w:r w:rsidRPr="00851FE4">
        <w:rPr>
          <w:color w:val="000000" w:themeColor="text1"/>
        </w:rPr>
        <w:t>We also calculated the area under the receiver operating characteristic (ROC) curve (AUC), by plotting the True Positive Rate as a function of the False Positive Rate and the Area and the Precision Recall Curve (AUP) at different probability thresholds.</w:t>
      </w:r>
    </w:p>
    <w:sectPr w:rsidR="00D03636" w:rsidRPr="00433040" w:rsidSect="0083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4703"/>
    <w:multiLevelType w:val="hybridMultilevel"/>
    <w:tmpl w:val="1AD0F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0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6D"/>
    <w:rsid w:val="00006635"/>
    <w:rsid w:val="0001566B"/>
    <w:rsid w:val="00045E88"/>
    <w:rsid w:val="000528E8"/>
    <w:rsid w:val="00054B5C"/>
    <w:rsid w:val="00066759"/>
    <w:rsid w:val="000D2E16"/>
    <w:rsid w:val="000E0671"/>
    <w:rsid w:val="00125807"/>
    <w:rsid w:val="00125D20"/>
    <w:rsid w:val="00141F50"/>
    <w:rsid w:val="00155463"/>
    <w:rsid w:val="001667A3"/>
    <w:rsid w:val="001821CF"/>
    <w:rsid w:val="001A6ACA"/>
    <w:rsid w:val="001B3AFE"/>
    <w:rsid w:val="001D399D"/>
    <w:rsid w:val="001E385E"/>
    <w:rsid w:val="001F2AB5"/>
    <w:rsid w:val="001F480C"/>
    <w:rsid w:val="001F60FE"/>
    <w:rsid w:val="00201116"/>
    <w:rsid w:val="00201AB7"/>
    <w:rsid w:val="002060E0"/>
    <w:rsid w:val="00222049"/>
    <w:rsid w:val="00223215"/>
    <w:rsid w:val="00226C6A"/>
    <w:rsid w:val="002432C8"/>
    <w:rsid w:val="0027134E"/>
    <w:rsid w:val="00277F98"/>
    <w:rsid w:val="00283489"/>
    <w:rsid w:val="00297C09"/>
    <w:rsid w:val="002B5FE6"/>
    <w:rsid w:val="002C138C"/>
    <w:rsid w:val="002C5903"/>
    <w:rsid w:val="002E1877"/>
    <w:rsid w:val="002E1921"/>
    <w:rsid w:val="002E2EF2"/>
    <w:rsid w:val="002F165E"/>
    <w:rsid w:val="00314C3E"/>
    <w:rsid w:val="00316686"/>
    <w:rsid w:val="00317542"/>
    <w:rsid w:val="00321195"/>
    <w:rsid w:val="00324F6F"/>
    <w:rsid w:val="00333D37"/>
    <w:rsid w:val="00334EFE"/>
    <w:rsid w:val="0034331B"/>
    <w:rsid w:val="00363183"/>
    <w:rsid w:val="00370F72"/>
    <w:rsid w:val="00380803"/>
    <w:rsid w:val="00384A64"/>
    <w:rsid w:val="003A542E"/>
    <w:rsid w:val="003B793B"/>
    <w:rsid w:val="003D7964"/>
    <w:rsid w:val="003E36F4"/>
    <w:rsid w:val="003E6345"/>
    <w:rsid w:val="004248A4"/>
    <w:rsid w:val="00433040"/>
    <w:rsid w:val="00445287"/>
    <w:rsid w:val="004471FF"/>
    <w:rsid w:val="00495803"/>
    <w:rsid w:val="004A0E76"/>
    <w:rsid w:val="004A3E26"/>
    <w:rsid w:val="004B7955"/>
    <w:rsid w:val="004D6D48"/>
    <w:rsid w:val="004D7518"/>
    <w:rsid w:val="004E700B"/>
    <w:rsid w:val="004F7AD6"/>
    <w:rsid w:val="00507099"/>
    <w:rsid w:val="005448D5"/>
    <w:rsid w:val="0054676E"/>
    <w:rsid w:val="005475F5"/>
    <w:rsid w:val="005624E4"/>
    <w:rsid w:val="00574054"/>
    <w:rsid w:val="00591DB9"/>
    <w:rsid w:val="005A4545"/>
    <w:rsid w:val="005A5C92"/>
    <w:rsid w:val="005B20E8"/>
    <w:rsid w:val="005D6763"/>
    <w:rsid w:val="005F172C"/>
    <w:rsid w:val="00603953"/>
    <w:rsid w:val="00604975"/>
    <w:rsid w:val="00614BCD"/>
    <w:rsid w:val="00643B1E"/>
    <w:rsid w:val="00686763"/>
    <w:rsid w:val="006B2D42"/>
    <w:rsid w:val="006C47F8"/>
    <w:rsid w:val="006E148B"/>
    <w:rsid w:val="00702C95"/>
    <w:rsid w:val="007078B9"/>
    <w:rsid w:val="007412E1"/>
    <w:rsid w:val="00742639"/>
    <w:rsid w:val="00745A0E"/>
    <w:rsid w:val="00747D28"/>
    <w:rsid w:val="007565C8"/>
    <w:rsid w:val="00773A9C"/>
    <w:rsid w:val="007770D7"/>
    <w:rsid w:val="007816DD"/>
    <w:rsid w:val="007822D1"/>
    <w:rsid w:val="00792B11"/>
    <w:rsid w:val="0079679B"/>
    <w:rsid w:val="007F02D2"/>
    <w:rsid w:val="00801FC9"/>
    <w:rsid w:val="00832072"/>
    <w:rsid w:val="00832DFD"/>
    <w:rsid w:val="0085770B"/>
    <w:rsid w:val="00866130"/>
    <w:rsid w:val="0088145A"/>
    <w:rsid w:val="0089739C"/>
    <w:rsid w:val="008B4E51"/>
    <w:rsid w:val="008C2012"/>
    <w:rsid w:val="008C6BD1"/>
    <w:rsid w:val="008C7422"/>
    <w:rsid w:val="008F41B6"/>
    <w:rsid w:val="00900036"/>
    <w:rsid w:val="0090445F"/>
    <w:rsid w:val="0092229F"/>
    <w:rsid w:val="00950C63"/>
    <w:rsid w:val="00953C20"/>
    <w:rsid w:val="00975B57"/>
    <w:rsid w:val="009A024C"/>
    <w:rsid w:val="009B3526"/>
    <w:rsid w:val="009C2736"/>
    <w:rsid w:val="009D49F2"/>
    <w:rsid w:val="009E0B48"/>
    <w:rsid w:val="009E1D97"/>
    <w:rsid w:val="00A11061"/>
    <w:rsid w:val="00A15E4E"/>
    <w:rsid w:val="00A206C0"/>
    <w:rsid w:val="00A25A0D"/>
    <w:rsid w:val="00A32669"/>
    <w:rsid w:val="00A40FB2"/>
    <w:rsid w:val="00A42962"/>
    <w:rsid w:val="00A504DF"/>
    <w:rsid w:val="00A90120"/>
    <w:rsid w:val="00A96E1B"/>
    <w:rsid w:val="00AB178B"/>
    <w:rsid w:val="00AC3E26"/>
    <w:rsid w:val="00AD6BC8"/>
    <w:rsid w:val="00AF7340"/>
    <w:rsid w:val="00B00079"/>
    <w:rsid w:val="00B15DA3"/>
    <w:rsid w:val="00B23D6C"/>
    <w:rsid w:val="00B36076"/>
    <w:rsid w:val="00B42AEB"/>
    <w:rsid w:val="00B5365B"/>
    <w:rsid w:val="00B8657D"/>
    <w:rsid w:val="00BA5573"/>
    <w:rsid w:val="00BB421F"/>
    <w:rsid w:val="00BB593D"/>
    <w:rsid w:val="00BC1824"/>
    <w:rsid w:val="00BD0E6C"/>
    <w:rsid w:val="00BE5754"/>
    <w:rsid w:val="00C01B2D"/>
    <w:rsid w:val="00C12243"/>
    <w:rsid w:val="00C17A28"/>
    <w:rsid w:val="00C50C6C"/>
    <w:rsid w:val="00C53649"/>
    <w:rsid w:val="00C556AD"/>
    <w:rsid w:val="00C6182B"/>
    <w:rsid w:val="00CA1173"/>
    <w:rsid w:val="00CD5E05"/>
    <w:rsid w:val="00CD75EF"/>
    <w:rsid w:val="00CE1038"/>
    <w:rsid w:val="00D03636"/>
    <w:rsid w:val="00D10275"/>
    <w:rsid w:val="00D103D8"/>
    <w:rsid w:val="00D21B1E"/>
    <w:rsid w:val="00D21B2E"/>
    <w:rsid w:val="00D30E70"/>
    <w:rsid w:val="00D332C1"/>
    <w:rsid w:val="00D456A5"/>
    <w:rsid w:val="00D57C32"/>
    <w:rsid w:val="00D64C99"/>
    <w:rsid w:val="00D667BD"/>
    <w:rsid w:val="00DA0F15"/>
    <w:rsid w:val="00DA3378"/>
    <w:rsid w:val="00DB023C"/>
    <w:rsid w:val="00DC7171"/>
    <w:rsid w:val="00DD2961"/>
    <w:rsid w:val="00DE50EA"/>
    <w:rsid w:val="00DF3441"/>
    <w:rsid w:val="00E24E86"/>
    <w:rsid w:val="00E2769E"/>
    <w:rsid w:val="00E306BC"/>
    <w:rsid w:val="00E47B55"/>
    <w:rsid w:val="00E51C2C"/>
    <w:rsid w:val="00E61EDE"/>
    <w:rsid w:val="00E77C50"/>
    <w:rsid w:val="00E80495"/>
    <w:rsid w:val="00E95072"/>
    <w:rsid w:val="00E954A6"/>
    <w:rsid w:val="00EA169C"/>
    <w:rsid w:val="00EB4918"/>
    <w:rsid w:val="00EB7160"/>
    <w:rsid w:val="00EC64E8"/>
    <w:rsid w:val="00EC75A1"/>
    <w:rsid w:val="00ED6B03"/>
    <w:rsid w:val="00EE4726"/>
    <w:rsid w:val="00EE565D"/>
    <w:rsid w:val="00F02B9F"/>
    <w:rsid w:val="00F418A8"/>
    <w:rsid w:val="00F50182"/>
    <w:rsid w:val="00F56BCD"/>
    <w:rsid w:val="00F57699"/>
    <w:rsid w:val="00F87C6D"/>
    <w:rsid w:val="00FA1AD4"/>
    <w:rsid w:val="00FA1CC8"/>
    <w:rsid w:val="00FA2DAD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8E6D3"/>
  <w15:chartTrackingRefBased/>
  <w15:docId w15:val="{5D2DD5B9-3744-B542-96BD-FE6DEDD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C6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Lal, Dennis</dc:creator>
  <cp:keywords/>
  <dc:description/>
  <cp:lastModifiedBy>Montanucci, Ludovica</cp:lastModifiedBy>
  <cp:revision>32</cp:revision>
  <dcterms:created xsi:type="dcterms:W3CDTF">2022-09-02T18:39:00Z</dcterms:created>
  <dcterms:modified xsi:type="dcterms:W3CDTF">2024-05-02T15:49:00Z</dcterms:modified>
</cp:coreProperties>
</file>