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DC0E5" w14:textId="42FEA8DD" w:rsidR="00387119" w:rsidRPr="00387119" w:rsidRDefault="00303A0E" w:rsidP="00387119">
      <w:pPr>
        <w:pStyle w:val="Title"/>
      </w:pPr>
      <w:r w:rsidRPr="00303A0E">
        <w:t>Validation of a Machine Learning Diagnostic Tool for the Prediction of Sepsis and Critical Illness</w:t>
      </w:r>
      <w:r>
        <w:t xml:space="preserve"> </w:t>
      </w:r>
      <w:r w:rsidR="007C007C">
        <w:t>Online Supplement</w:t>
      </w:r>
    </w:p>
    <w:p w14:paraId="12D50ADC" w14:textId="0809F035" w:rsidR="008A6B85" w:rsidRDefault="008A6B85"/>
    <w:sdt>
      <w:sdtPr>
        <w:rPr>
          <w:rFonts w:eastAsiaTheme="minorEastAsia" w:cstheme="minorBidi"/>
          <w:bCs w:val="0"/>
          <w:color w:val="auto"/>
          <w:sz w:val="20"/>
          <w:szCs w:val="20"/>
          <w:lang w:eastAsia="ja-JP"/>
        </w:rPr>
        <w:id w:val="1062686877"/>
        <w:docPartObj>
          <w:docPartGallery w:val="Table of Contents"/>
          <w:docPartUnique/>
        </w:docPartObj>
      </w:sdtPr>
      <w:sdtEndPr>
        <w:rPr>
          <w:b/>
          <w:bCs/>
          <w:sz w:val="24"/>
          <w:szCs w:val="24"/>
          <w:lang w:eastAsia="en-US"/>
        </w:rPr>
      </w:sdtEndPr>
      <w:sdtContent>
        <w:p w14:paraId="3D1E5E1D" w14:textId="4C1012BF" w:rsidR="00C764CF" w:rsidRDefault="00C764CF">
          <w:pPr>
            <w:pStyle w:val="TOCHeading"/>
          </w:pPr>
          <w:r>
            <w:t>Table of Contents</w:t>
          </w:r>
        </w:p>
        <w:p w14:paraId="680C6F2E" w14:textId="56D502DF" w:rsidR="00625287" w:rsidRDefault="00C764CF">
          <w:pPr>
            <w:pStyle w:val="TOC1"/>
            <w:tabs>
              <w:tab w:val="right" w:leader="dot" w:pos="9350"/>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165296865" w:history="1">
            <w:r w:rsidR="00625287" w:rsidRPr="008122C5">
              <w:rPr>
                <w:rStyle w:val="Hyperlink"/>
                <w:rFonts w:eastAsiaTheme="majorEastAsia"/>
                <w:noProof/>
              </w:rPr>
              <w:t>Study Population</w:t>
            </w:r>
            <w:r w:rsidR="00625287">
              <w:rPr>
                <w:noProof/>
                <w:webHidden/>
              </w:rPr>
              <w:tab/>
            </w:r>
            <w:r w:rsidR="00625287">
              <w:rPr>
                <w:noProof/>
                <w:webHidden/>
              </w:rPr>
              <w:fldChar w:fldCharType="begin"/>
            </w:r>
            <w:r w:rsidR="00625287">
              <w:rPr>
                <w:noProof/>
                <w:webHidden/>
              </w:rPr>
              <w:instrText xml:space="preserve"> PAGEREF _Toc165296865 \h </w:instrText>
            </w:r>
            <w:r w:rsidR="00625287">
              <w:rPr>
                <w:noProof/>
                <w:webHidden/>
              </w:rPr>
            </w:r>
            <w:r w:rsidR="00625287">
              <w:rPr>
                <w:noProof/>
                <w:webHidden/>
              </w:rPr>
              <w:fldChar w:fldCharType="separate"/>
            </w:r>
            <w:r w:rsidR="00625287">
              <w:rPr>
                <w:noProof/>
                <w:webHidden/>
              </w:rPr>
              <w:t>1</w:t>
            </w:r>
            <w:r w:rsidR="00625287">
              <w:rPr>
                <w:noProof/>
                <w:webHidden/>
              </w:rPr>
              <w:fldChar w:fldCharType="end"/>
            </w:r>
          </w:hyperlink>
        </w:p>
        <w:p w14:paraId="401220FC" w14:textId="357209F1" w:rsidR="00625287" w:rsidRDefault="00625287">
          <w:pPr>
            <w:pStyle w:val="TOC1"/>
            <w:tabs>
              <w:tab w:val="right" w:leader="dot" w:pos="9350"/>
            </w:tabs>
            <w:rPr>
              <w:rFonts w:eastAsiaTheme="minorEastAsia" w:cstheme="minorBidi"/>
              <w:b w:val="0"/>
              <w:bCs w:val="0"/>
              <w:i w:val="0"/>
              <w:iCs w:val="0"/>
              <w:noProof/>
            </w:rPr>
          </w:pPr>
          <w:hyperlink w:anchor="_Toc165296866" w:history="1">
            <w:r w:rsidRPr="008122C5">
              <w:rPr>
                <w:rStyle w:val="Hyperlink"/>
                <w:rFonts w:eastAsiaTheme="majorEastAsia"/>
                <w:noProof/>
              </w:rPr>
              <w:t>Study Outcomes</w:t>
            </w:r>
            <w:r>
              <w:rPr>
                <w:noProof/>
                <w:webHidden/>
              </w:rPr>
              <w:tab/>
            </w:r>
            <w:r>
              <w:rPr>
                <w:noProof/>
                <w:webHidden/>
              </w:rPr>
              <w:fldChar w:fldCharType="begin"/>
            </w:r>
            <w:r>
              <w:rPr>
                <w:noProof/>
                <w:webHidden/>
              </w:rPr>
              <w:instrText xml:space="preserve"> PAGEREF _Toc165296866 \h </w:instrText>
            </w:r>
            <w:r>
              <w:rPr>
                <w:noProof/>
                <w:webHidden/>
              </w:rPr>
            </w:r>
            <w:r>
              <w:rPr>
                <w:noProof/>
                <w:webHidden/>
              </w:rPr>
              <w:fldChar w:fldCharType="separate"/>
            </w:r>
            <w:r>
              <w:rPr>
                <w:noProof/>
                <w:webHidden/>
              </w:rPr>
              <w:t>2</w:t>
            </w:r>
            <w:r>
              <w:rPr>
                <w:noProof/>
                <w:webHidden/>
              </w:rPr>
              <w:fldChar w:fldCharType="end"/>
            </w:r>
          </w:hyperlink>
        </w:p>
        <w:p w14:paraId="12884542" w14:textId="1764BFDE" w:rsidR="00625287" w:rsidRDefault="00625287">
          <w:pPr>
            <w:pStyle w:val="TOC2"/>
            <w:tabs>
              <w:tab w:val="right" w:leader="dot" w:pos="9350"/>
            </w:tabs>
            <w:rPr>
              <w:rFonts w:eastAsiaTheme="minorEastAsia" w:cstheme="minorBidi"/>
              <w:b w:val="0"/>
              <w:bCs w:val="0"/>
              <w:noProof/>
              <w:sz w:val="24"/>
              <w:szCs w:val="24"/>
            </w:rPr>
          </w:pPr>
          <w:hyperlink w:anchor="_Toc165296867" w:history="1">
            <w:r w:rsidRPr="008122C5">
              <w:rPr>
                <w:rStyle w:val="Hyperlink"/>
                <w:rFonts w:eastAsiaTheme="majorEastAsia"/>
                <w:noProof/>
              </w:rPr>
              <w:t>Endpoints</w:t>
            </w:r>
            <w:r>
              <w:rPr>
                <w:noProof/>
                <w:webHidden/>
              </w:rPr>
              <w:tab/>
            </w:r>
            <w:r>
              <w:rPr>
                <w:noProof/>
                <w:webHidden/>
              </w:rPr>
              <w:fldChar w:fldCharType="begin"/>
            </w:r>
            <w:r>
              <w:rPr>
                <w:noProof/>
                <w:webHidden/>
              </w:rPr>
              <w:instrText xml:space="preserve"> PAGEREF _Toc165296867 \h </w:instrText>
            </w:r>
            <w:r>
              <w:rPr>
                <w:noProof/>
                <w:webHidden/>
              </w:rPr>
            </w:r>
            <w:r>
              <w:rPr>
                <w:noProof/>
                <w:webHidden/>
              </w:rPr>
              <w:fldChar w:fldCharType="separate"/>
            </w:r>
            <w:r>
              <w:rPr>
                <w:noProof/>
                <w:webHidden/>
              </w:rPr>
              <w:t>2</w:t>
            </w:r>
            <w:r>
              <w:rPr>
                <w:noProof/>
                <w:webHidden/>
              </w:rPr>
              <w:fldChar w:fldCharType="end"/>
            </w:r>
          </w:hyperlink>
        </w:p>
        <w:p w14:paraId="10D5A310" w14:textId="5D9BFA04" w:rsidR="00625287" w:rsidRDefault="00625287">
          <w:pPr>
            <w:pStyle w:val="TOC1"/>
            <w:tabs>
              <w:tab w:val="right" w:leader="dot" w:pos="9350"/>
            </w:tabs>
            <w:rPr>
              <w:rFonts w:eastAsiaTheme="minorEastAsia" w:cstheme="minorBidi"/>
              <w:b w:val="0"/>
              <w:bCs w:val="0"/>
              <w:i w:val="0"/>
              <w:iCs w:val="0"/>
              <w:noProof/>
            </w:rPr>
          </w:pPr>
          <w:hyperlink w:anchor="_Toc165296868" w:history="1">
            <w:r w:rsidRPr="008122C5">
              <w:rPr>
                <w:rStyle w:val="Hyperlink"/>
                <w:rFonts w:eastAsiaTheme="majorEastAsia"/>
                <w:noProof/>
              </w:rPr>
              <w:t>Data Collection</w:t>
            </w:r>
            <w:r>
              <w:rPr>
                <w:noProof/>
                <w:webHidden/>
              </w:rPr>
              <w:tab/>
            </w:r>
            <w:r>
              <w:rPr>
                <w:noProof/>
                <w:webHidden/>
              </w:rPr>
              <w:fldChar w:fldCharType="begin"/>
            </w:r>
            <w:r>
              <w:rPr>
                <w:noProof/>
                <w:webHidden/>
              </w:rPr>
              <w:instrText xml:space="preserve"> PAGEREF _Toc165296868 \h </w:instrText>
            </w:r>
            <w:r>
              <w:rPr>
                <w:noProof/>
                <w:webHidden/>
              </w:rPr>
            </w:r>
            <w:r>
              <w:rPr>
                <w:noProof/>
                <w:webHidden/>
              </w:rPr>
              <w:fldChar w:fldCharType="separate"/>
            </w:r>
            <w:r>
              <w:rPr>
                <w:noProof/>
                <w:webHidden/>
              </w:rPr>
              <w:t>2</w:t>
            </w:r>
            <w:r>
              <w:rPr>
                <w:noProof/>
                <w:webHidden/>
              </w:rPr>
              <w:fldChar w:fldCharType="end"/>
            </w:r>
          </w:hyperlink>
        </w:p>
        <w:p w14:paraId="6EDD451F" w14:textId="77F7A0FD" w:rsidR="00625287" w:rsidRDefault="00625287">
          <w:pPr>
            <w:pStyle w:val="TOC2"/>
            <w:tabs>
              <w:tab w:val="right" w:leader="dot" w:pos="9350"/>
            </w:tabs>
            <w:rPr>
              <w:rFonts w:eastAsiaTheme="minorEastAsia" w:cstheme="minorBidi"/>
              <w:b w:val="0"/>
              <w:bCs w:val="0"/>
              <w:noProof/>
              <w:sz w:val="24"/>
              <w:szCs w:val="24"/>
            </w:rPr>
          </w:pPr>
          <w:hyperlink w:anchor="_Toc165296869" w:history="1">
            <w:r w:rsidRPr="008122C5">
              <w:rPr>
                <w:rStyle w:val="Hyperlink"/>
                <w:rFonts w:eastAsiaTheme="majorEastAsia"/>
                <w:noProof/>
              </w:rPr>
              <w:t>C-Reactive Protein and Procalcitonin Measurements</w:t>
            </w:r>
            <w:r>
              <w:rPr>
                <w:noProof/>
                <w:webHidden/>
              </w:rPr>
              <w:tab/>
            </w:r>
            <w:r>
              <w:rPr>
                <w:noProof/>
                <w:webHidden/>
              </w:rPr>
              <w:fldChar w:fldCharType="begin"/>
            </w:r>
            <w:r>
              <w:rPr>
                <w:noProof/>
                <w:webHidden/>
              </w:rPr>
              <w:instrText xml:space="preserve"> PAGEREF _Toc165296869 \h </w:instrText>
            </w:r>
            <w:r>
              <w:rPr>
                <w:noProof/>
                <w:webHidden/>
              </w:rPr>
            </w:r>
            <w:r>
              <w:rPr>
                <w:noProof/>
                <w:webHidden/>
              </w:rPr>
              <w:fldChar w:fldCharType="separate"/>
            </w:r>
            <w:r>
              <w:rPr>
                <w:noProof/>
                <w:webHidden/>
              </w:rPr>
              <w:t>2</w:t>
            </w:r>
            <w:r>
              <w:rPr>
                <w:noProof/>
                <w:webHidden/>
              </w:rPr>
              <w:fldChar w:fldCharType="end"/>
            </w:r>
          </w:hyperlink>
        </w:p>
        <w:p w14:paraId="39B1ABD3" w14:textId="0D2B4252" w:rsidR="00625287" w:rsidRDefault="00625287">
          <w:pPr>
            <w:pStyle w:val="TOC1"/>
            <w:tabs>
              <w:tab w:val="right" w:leader="dot" w:pos="9350"/>
            </w:tabs>
            <w:rPr>
              <w:rFonts w:eastAsiaTheme="minorEastAsia" w:cstheme="minorBidi"/>
              <w:b w:val="0"/>
              <w:bCs w:val="0"/>
              <w:i w:val="0"/>
              <w:iCs w:val="0"/>
              <w:noProof/>
            </w:rPr>
          </w:pPr>
          <w:hyperlink w:anchor="_Toc165296870" w:history="1">
            <w:r w:rsidRPr="008122C5">
              <w:rPr>
                <w:rStyle w:val="Hyperlink"/>
                <w:rFonts w:eastAsiaTheme="majorEastAsia"/>
                <w:noProof/>
              </w:rPr>
              <w:t>Sepsis ImmunoScore</w:t>
            </w:r>
            <w:r>
              <w:rPr>
                <w:noProof/>
                <w:webHidden/>
              </w:rPr>
              <w:tab/>
            </w:r>
            <w:r>
              <w:rPr>
                <w:noProof/>
                <w:webHidden/>
              </w:rPr>
              <w:fldChar w:fldCharType="begin"/>
            </w:r>
            <w:r>
              <w:rPr>
                <w:noProof/>
                <w:webHidden/>
              </w:rPr>
              <w:instrText xml:space="preserve"> PAGEREF _Toc165296870 \h </w:instrText>
            </w:r>
            <w:r>
              <w:rPr>
                <w:noProof/>
                <w:webHidden/>
              </w:rPr>
            </w:r>
            <w:r>
              <w:rPr>
                <w:noProof/>
                <w:webHidden/>
              </w:rPr>
              <w:fldChar w:fldCharType="separate"/>
            </w:r>
            <w:r>
              <w:rPr>
                <w:noProof/>
                <w:webHidden/>
              </w:rPr>
              <w:t>2</w:t>
            </w:r>
            <w:r>
              <w:rPr>
                <w:noProof/>
                <w:webHidden/>
              </w:rPr>
              <w:fldChar w:fldCharType="end"/>
            </w:r>
          </w:hyperlink>
        </w:p>
        <w:p w14:paraId="70199757" w14:textId="7ED0392E" w:rsidR="00625287" w:rsidRDefault="00625287">
          <w:pPr>
            <w:pStyle w:val="TOC2"/>
            <w:tabs>
              <w:tab w:val="right" w:leader="dot" w:pos="9350"/>
            </w:tabs>
            <w:rPr>
              <w:rFonts w:eastAsiaTheme="minorEastAsia" w:cstheme="minorBidi"/>
              <w:b w:val="0"/>
              <w:bCs w:val="0"/>
              <w:noProof/>
              <w:sz w:val="24"/>
              <w:szCs w:val="24"/>
            </w:rPr>
          </w:pPr>
          <w:hyperlink w:anchor="_Toc165296871" w:history="1">
            <w:r w:rsidRPr="008122C5">
              <w:rPr>
                <w:rStyle w:val="Hyperlink"/>
                <w:rFonts w:eastAsiaTheme="majorEastAsia"/>
                <w:noProof/>
              </w:rPr>
              <w:t>Risk Category Development</w:t>
            </w:r>
            <w:r>
              <w:rPr>
                <w:noProof/>
                <w:webHidden/>
              </w:rPr>
              <w:tab/>
            </w:r>
            <w:r>
              <w:rPr>
                <w:noProof/>
                <w:webHidden/>
              </w:rPr>
              <w:fldChar w:fldCharType="begin"/>
            </w:r>
            <w:r>
              <w:rPr>
                <w:noProof/>
                <w:webHidden/>
              </w:rPr>
              <w:instrText xml:space="preserve"> PAGEREF _Toc165296871 \h </w:instrText>
            </w:r>
            <w:r>
              <w:rPr>
                <w:noProof/>
                <w:webHidden/>
              </w:rPr>
            </w:r>
            <w:r>
              <w:rPr>
                <w:noProof/>
                <w:webHidden/>
              </w:rPr>
              <w:fldChar w:fldCharType="separate"/>
            </w:r>
            <w:r>
              <w:rPr>
                <w:noProof/>
                <w:webHidden/>
              </w:rPr>
              <w:t>2</w:t>
            </w:r>
            <w:r>
              <w:rPr>
                <w:noProof/>
                <w:webHidden/>
              </w:rPr>
              <w:fldChar w:fldCharType="end"/>
            </w:r>
          </w:hyperlink>
        </w:p>
        <w:p w14:paraId="20CFCEB5" w14:textId="497AF3DD" w:rsidR="00625287" w:rsidRDefault="00625287">
          <w:pPr>
            <w:pStyle w:val="TOC1"/>
            <w:tabs>
              <w:tab w:val="right" w:leader="dot" w:pos="9350"/>
            </w:tabs>
            <w:rPr>
              <w:rFonts w:eastAsiaTheme="minorEastAsia" w:cstheme="minorBidi"/>
              <w:b w:val="0"/>
              <w:bCs w:val="0"/>
              <w:i w:val="0"/>
              <w:iCs w:val="0"/>
              <w:noProof/>
            </w:rPr>
          </w:pPr>
          <w:hyperlink w:anchor="_Toc165296872" w:history="1">
            <w:r w:rsidRPr="008122C5">
              <w:rPr>
                <w:rStyle w:val="Hyperlink"/>
                <w:noProof/>
              </w:rPr>
              <w:t>Tables</w:t>
            </w:r>
            <w:r>
              <w:rPr>
                <w:noProof/>
                <w:webHidden/>
              </w:rPr>
              <w:tab/>
            </w:r>
            <w:r>
              <w:rPr>
                <w:noProof/>
                <w:webHidden/>
              </w:rPr>
              <w:fldChar w:fldCharType="begin"/>
            </w:r>
            <w:r>
              <w:rPr>
                <w:noProof/>
                <w:webHidden/>
              </w:rPr>
              <w:instrText xml:space="preserve"> PAGEREF _Toc165296872 \h </w:instrText>
            </w:r>
            <w:r>
              <w:rPr>
                <w:noProof/>
                <w:webHidden/>
              </w:rPr>
            </w:r>
            <w:r>
              <w:rPr>
                <w:noProof/>
                <w:webHidden/>
              </w:rPr>
              <w:fldChar w:fldCharType="separate"/>
            </w:r>
            <w:r>
              <w:rPr>
                <w:noProof/>
                <w:webHidden/>
              </w:rPr>
              <w:t>3</w:t>
            </w:r>
            <w:r>
              <w:rPr>
                <w:noProof/>
                <w:webHidden/>
              </w:rPr>
              <w:fldChar w:fldCharType="end"/>
            </w:r>
          </w:hyperlink>
        </w:p>
        <w:p w14:paraId="5F39B105" w14:textId="1D6CEFEB" w:rsidR="00625287" w:rsidRDefault="00625287">
          <w:pPr>
            <w:pStyle w:val="TOC2"/>
            <w:tabs>
              <w:tab w:val="right" w:leader="dot" w:pos="9350"/>
            </w:tabs>
            <w:rPr>
              <w:rFonts w:eastAsiaTheme="minorEastAsia" w:cstheme="minorBidi"/>
              <w:b w:val="0"/>
              <w:bCs w:val="0"/>
              <w:noProof/>
              <w:sz w:val="24"/>
              <w:szCs w:val="24"/>
            </w:rPr>
          </w:pPr>
          <w:hyperlink w:anchor="_Toc165296873" w:history="1">
            <w:r w:rsidRPr="008122C5">
              <w:rPr>
                <w:rStyle w:val="Hyperlink"/>
                <w:rFonts w:eastAsiaTheme="majorEastAsia"/>
                <w:noProof/>
              </w:rPr>
              <w:t>eTable 1. AUROC of Procalcitonin and Sepsis ImmunoScore for Sepsis in All Cohorts</w:t>
            </w:r>
            <w:r>
              <w:rPr>
                <w:noProof/>
                <w:webHidden/>
              </w:rPr>
              <w:tab/>
            </w:r>
            <w:r>
              <w:rPr>
                <w:noProof/>
                <w:webHidden/>
              </w:rPr>
              <w:fldChar w:fldCharType="begin"/>
            </w:r>
            <w:r>
              <w:rPr>
                <w:noProof/>
                <w:webHidden/>
              </w:rPr>
              <w:instrText xml:space="preserve"> PAGEREF _Toc165296873 \h </w:instrText>
            </w:r>
            <w:r>
              <w:rPr>
                <w:noProof/>
                <w:webHidden/>
              </w:rPr>
            </w:r>
            <w:r>
              <w:rPr>
                <w:noProof/>
                <w:webHidden/>
              </w:rPr>
              <w:fldChar w:fldCharType="separate"/>
            </w:r>
            <w:r>
              <w:rPr>
                <w:noProof/>
                <w:webHidden/>
              </w:rPr>
              <w:t>3</w:t>
            </w:r>
            <w:r>
              <w:rPr>
                <w:noProof/>
                <w:webHidden/>
              </w:rPr>
              <w:fldChar w:fldCharType="end"/>
            </w:r>
          </w:hyperlink>
        </w:p>
        <w:p w14:paraId="434900A8" w14:textId="33DC7ACE" w:rsidR="00625287" w:rsidRDefault="00625287">
          <w:pPr>
            <w:pStyle w:val="TOC2"/>
            <w:tabs>
              <w:tab w:val="right" w:leader="dot" w:pos="9350"/>
            </w:tabs>
            <w:rPr>
              <w:rFonts w:eastAsiaTheme="minorEastAsia" w:cstheme="minorBidi"/>
              <w:b w:val="0"/>
              <w:bCs w:val="0"/>
              <w:noProof/>
              <w:sz w:val="24"/>
              <w:szCs w:val="24"/>
            </w:rPr>
          </w:pPr>
          <w:hyperlink w:anchor="_Toc165296874" w:history="1">
            <w:r w:rsidRPr="008122C5">
              <w:rPr>
                <w:rStyle w:val="Hyperlink"/>
                <w:rFonts w:eastAsiaTheme="majorEastAsia"/>
                <w:noProof/>
              </w:rPr>
              <w:t>eTable 2. Derivation and Internal Validation Sepsis ImmunoScore Risk Stratification for Sepsis</w:t>
            </w:r>
            <w:r>
              <w:rPr>
                <w:noProof/>
                <w:webHidden/>
              </w:rPr>
              <w:tab/>
            </w:r>
            <w:r>
              <w:rPr>
                <w:noProof/>
                <w:webHidden/>
              </w:rPr>
              <w:fldChar w:fldCharType="begin"/>
            </w:r>
            <w:r>
              <w:rPr>
                <w:noProof/>
                <w:webHidden/>
              </w:rPr>
              <w:instrText xml:space="preserve"> PAGEREF _Toc165296874 \h </w:instrText>
            </w:r>
            <w:r>
              <w:rPr>
                <w:noProof/>
                <w:webHidden/>
              </w:rPr>
            </w:r>
            <w:r>
              <w:rPr>
                <w:noProof/>
                <w:webHidden/>
              </w:rPr>
              <w:fldChar w:fldCharType="separate"/>
            </w:r>
            <w:r>
              <w:rPr>
                <w:noProof/>
                <w:webHidden/>
              </w:rPr>
              <w:t>4</w:t>
            </w:r>
            <w:r>
              <w:rPr>
                <w:noProof/>
                <w:webHidden/>
              </w:rPr>
              <w:fldChar w:fldCharType="end"/>
            </w:r>
          </w:hyperlink>
        </w:p>
        <w:p w14:paraId="62AAFFD3" w14:textId="007C840F" w:rsidR="00625287" w:rsidRDefault="00625287">
          <w:pPr>
            <w:pStyle w:val="TOC2"/>
            <w:tabs>
              <w:tab w:val="right" w:leader="dot" w:pos="9350"/>
            </w:tabs>
            <w:rPr>
              <w:rFonts w:eastAsiaTheme="minorEastAsia" w:cstheme="minorBidi"/>
              <w:b w:val="0"/>
              <w:bCs w:val="0"/>
              <w:noProof/>
              <w:sz w:val="24"/>
              <w:szCs w:val="24"/>
            </w:rPr>
          </w:pPr>
          <w:hyperlink w:anchor="_Toc165296875" w:history="1">
            <w:r w:rsidRPr="008122C5">
              <w:rPr>
                <w:rStyle w:val="Hyperlink"/>
                <w:rFonts w:eastAsiaTheme="majorEastAsia"/>
                <w:noProof/>
              </w:rPr>
              <w:t>eTable 3. Derivation and Internal Validation Sepsis ImmunoScore Risk Stratification for Morbidity and Mortality</w:t>
            </w:r>
            <w:r>
              <w:rPr>
                <w:noProof/>
                <w:webHidden/>
              </w:rPr>
              <w:tab/>
            </w:r>
            <w:r>
              <w:rPr>
                <w:noProof/>
                <w:webHidden/>
              </w:rPr>
              <w:fldChar w:fldCharType="begin"/>
            </w:r>
            <w:r>
              <w:rPr>
                <w:noProof/>
                <w:webHidden/>
              </w:rPr>
              <w:instrText xml:space="preserve"> PAGEREF _Toc165296875 \h </w:instrText>
            </w:r>
            <w:r>
              <w:rPr>
                <w:noProof/>
                <w:webHidden/>
              </w:rPr>
            </w:r>
            <w:r>
              <w:rPr>
                <w:noProof/>
                <w:webHidden/>
              </w:rPr>
              <w:fldChar w:fldCharType="separate"/>
            </w:r>
            <w:r>
              <w:rPr>
                <w:noProof/>
                <w:webHidden/>
              </w:rPr>
              <w:t>4</w:t>
            </w:r>
            <w:r>
              <w:rPr>
                <w:noProof/>
                <w:webHidden/>
              </w:rPr>
              <w:fldChar w:fldCharType="end"/>
            </w:r>
          </w:hyperlink>
        </w:p>
        <w:p w14:paraId="552536D7" w14:textId="1C22E96F" w:rsidR="00625287" w:rsidRDefault="00625287">
          <w:pPr>
            <w:pStyle w:val="TOC1"/>
            <w:tabs>
              <w:tab w:val="right" w:leader="dot" w:pos="9350"/>
            </w:tabs>
            <w:rPr>
              <w:rFonts w:eastAsiaTheme="minorEastAsia" w:cstheme="minorBidi"/>
              <w:b w:val="0"/>
              <w:bCs w:val="0"/>
              <w:i w:val="0"/>
              <w:iCs w:val="0"/>
              <w:noProof/>
            </w:rPr>
          </w:pPr>
          <w:hyperlink w:anchor="_Toc165296876" w:history="1">
            <w:r w:rsidRPr="008122C5">
              <w:rPr>
                <w:rStyle w:val="Hyperlink"/>
                <w:rFonts w:eastAsiaTheme="majorEastAsia"/>
                <w:noProof/>
              </w:rPr>
              <w:t>Figures</w:t>
            </w:r>
            <w:r>
              <w:rPr>
                <w:noProof/>
                <w:webHidden/>
              </w:rPr>
              <w:tab/>
            </w:r>
            <w:r>
              <w:rPr>
                <w:noProof/>
                <w:webHidden/>
              </w:rPr>
              <w:fldChar w:fldCharType="begin"/>
            </w:r>
            <w:r>
              <w:rPr>
                <w:noProof/>
                <w:webHidden/>
              </w:rPr>
              <w:instrText xml:space="preserve"> PAGEREF _Toc165296876 \h </w:instrText>
            </w:r>
            <w:r>
              <w:rPr>
                <w:noProof/>
                <w:webHidden/>
              </w:rPr>
            </w:r>
            <w:r>
              <w:rPr>
                <w:noProof/>
                <w:webHidden/>
              </w:rPr>
              <w:fldChar w:fldCharType="separate"/>
            </w:r>
            <w:r>
              <w:rPr>
                <w:noProof/>
                <w:webHidden/>
              </w:rPr>
              <w:t>5</w:t>
            </w:r>
            <w:r>
              <w:rPr>
                <w:noProof/>
                <w:webHidden/>
              </w:rPr>
              <w:fldChar w:fldCharType="end"/>
            </w:r>
          </w:hyperlink>
        </w:p>
        <w:p w14:paraId="0FB5B33F" w14:textId="33D50115" w:rsidR="00625287" w:rsidRDefault="00625287">
          <w:pPr>
            <w:pStyle w:val="TOC2"/>
            <w:tabs>
              <w:tab w:val="right" w:leader="dot" w:pos="9350"/>
            </w:tabs>
            <w:rPr>
              <w:rFonts w:eastAsiaTheme="minorEastAsia" w:cstheme="minorBidi"/>
              <w:b w:val="0"/>
              <w:bCs w:val="0"/>
              <w:noProof/>
              <w:sz w:val="24"/>
              <w:szCs w:val="24"/>
            </w:rPr>
          </w:pPr>
          <w:hyperlink w:anchor="_Toc165296877" w:history="1">
            <w:r w:rsidRPr="008122C5">
              <w:rPr>
                <w:rStyle w:val="Hyperlink"/>
                <w:rFonts w:eastAsiaTheme="majorEastAsia"/>
                <w:noProof/>
              </w:rPr>
              <w:t>eFigure 1. Flow Chart. For Selection of Subjects and Exclusion of Ineligible Subjects</w:t>
            </w:r>
            <w:r>
              <w:rPr>
                <w:noProof/>
                <w:webHidden/>
              </w:rPr>
              <w:tab/>
            </w:r>
            <w:r>
              <w:rPr>
                <w:noProof/>
                <w:webHidden/>
              </w:rPr>
              <w:fldChar w:fldCharType="begin"/>
            </w:r>
            <w:r>
              <w:rPr>
                <w:noProof/>
                <w:webHidden/>
              </w:rPr>
              <w:instrText xml:space="preserve"> PAGEREF _Toc165296877 \h </w:instrText>
            </w:r>
            <w:r>
              <w:rPr>
                <w:noProof/>
                <w:webHidden/>
              </w:rPr>
            </w:r>
            <w:r>
              <w:rPr>
                <w:noProof/>
                <w:webHidden/>
              </w:rPr>
              <w:fldChar w:fldCharType="separate"/>
            </w:r>
            <w:r>
              <w:rPr>
                <w:noProof/>
                <w:webHidden/>
              </w:rPr>
              <w:t>5</w:t>
            </w:r>
            <w:r>
              <w:rPr>
                <w:noProof/>
                <w:webHidden/>
              </w:rPr>
              <w:fldChar w:fldCharType="end"/>
            </w:r>
          </w:hyperlink>
        </w:p>
        <w:p w14:paraId="48AA22E5" w14:textId="65A191D6" w:rsidR="00625287" w:rsidRDefault="00625287">
          <w:pPr>
            <w:pStyle w:val="TOC2"/>
            <w:tabs>
              <w:tab w:val="right" w:leader="dot" w:pos="9350"/>
            </w:tabs>
            <w:rPr>
              <w:rFonts w:eastAsiaTheme="minorEastAsia" w:cstheme="minorBidi"/>
              <w:b w:val="0"/>
              <w:bCs w:val="0"/>
              <w:noProof/>
              <w:sz w:val="24"/>
              <w:szCs w:val="24"/>
            </w:rPr>
          </w:pPr>
          <w:hyperlink w:anchor="_Toc165296878" w:history="1">
            <w:r w:rsidRPr="008122C5">
              <w:rPr>
                <w:rStyle w:val="Hyperlink"/>
                <w:rFonts w:eastAsiaTheme="majorEastAsia"/>
                <w:noProof/>
              </w:rPr>
              <w:t>eFigure 2. Sepsis ImmunoScore Risk Stratification for Morbidity and Mortality: Time to Event (External Validation Cohort)</w:t>
            </w:r>
            <w:r>
              <w:rPr>
                <w:noProof/>
                <w:webHidden/>
              </w:rPr>
              <w:tab/>
            </w:r>
            <w:r>
              <w:rPr>
                <w:noProof/>
                <w:webHidden/>
              </w:rPr>
              <w:fldChar w:fldCharType="begin"/>
            </w:r>
            <w:r>
              <w:rPr>
                <w:noProof/>
                <w:webHidden/>
              </w:rPr>
              <w:instrText xml:space="preserve"> PAGEREF _Toc165296878 \h </w:instrText>
            </w:r>
            <w:r>
              <w:rPr>
                <w:noProof/>
                <w:webHidden/>
              </w:rPr>
            </w:r>
            <w:r>
              <w:rPr>
                <w:noProof/>
                <w:webHidden/>
              </w:rPr>
              <w:fldChar w:fldCharType="separate"/>
            </w:r>
            <w:r>
              <w:rPr>
                <w:noProof/>
                <w:webHidden/>
              </w:rPr>
              <w:t>6</w:t>
            </w:r>
            <w:r>
              <w:rPr>
                <w:noProof/>
                <w:webHidden/>
              </w:rPr>
              <w:fldChar w:fldCharType="end"/>
            </w:r>
          </w:hyperlink>
        </w:p>
        <w:p w14:paraId="510D4B69" w14:textId="42098F12" w:rsidR="00C764CF" w:rsidRDefault="00C764CF">
          <w:r>
            <w:rPr>
              <w:b/>
              <w:bCs/>
              <w:noProof/>
            </w:rPr>
            <w:fldChar w:fldCharType="end"/>
          </w:r>
        </w:p>
      </w:sdtContent>
    </w:sdt>
    <w:p w14:paraId="0050C6F2" w14:textId="65A0BB0A" w:rsidR="008A6B85" w:rsidRDefault="008A6B85"/>
    <w:p w14:paraId="6F6BE54B" w14:textId="195BF769" w:rsidR="00CA57D8" w:rsidRDefault="0001053A" w:rsidP="0001053A">
      <w:pPr>
        <w:pStyle w:val="Heading1"/>
      </w:pPr>
      <w:bookmarkStart w:id="0" w:name="_Toc165296865"/>
      <w:r>
        <w:t>Study Population</w:t>
      </w:r>
      <w:bookmarkEnd w:id="0"/>
    </w:p>
    <w:p w14:paraId="478264E7" w14:textId="588CFBE2" w:rsidR="00C07F20" w:rsidRDefault="00C07F20" w:rsidP="00C07F20">
      <w:pPr>
        <w:rPr>
          <w:rStyle w:val="eop"/>
          <w:bCs/>
        </w:rPr>
      </w:pPr>
      <w:r w:rsidRPr="00C07F20">
        <w:rPr>
          <w:rStyle w:val="normaltextrun"/>
          <w:bCs/>
        </w:rPr>
        <w:t>The derivation cohort consisted of 2,366 participants enrolled between April 2017 and January 2021 from 3 hospitals: Carle Foundation Hospital (Urbana, IL), Mercy Hospital St. Louis (St. Louis, MO), and OSF Saint Francis Medical Center (Peoria, IL). The internal validation cohort consisted of 393 participants enrolled between February 2021 and June 2021 from 2 different hospitals: Mercy Hospital St. Louis (St. Louis, MO) and Our Saint Francis (Peoria, IL). The final external validation cohort consisted of 698 participants enrolled between January 2021 and July 2022 from 3 hospitals: William Beaumont University Hospital (Royal Oak, MI), Jesse Brown Department of Veteran Affairs Medical Center (Chicago, IL), and Beth Israel Deaconess Medical Center (Boston, MA).</w:t>
      </w:r>
      <w:r w:rsidRPr="00C07F20">
        <w:rPr>
          <w:rStyle w:val="eop"/>
          <w:bCs/>
        </w:rPr>
        <w:t> </w:t>
      </w:r>
    </w:p>
    <w:p w14:paraId="33A7ECF0" w14:textId="1BA44FF9" w:rsidR="00373D76" w:rsidRDefault="005C5B35" w:rsidP="005C5B35">
      <w:pPr>
        <w:pStyle w:val="Heading1"/>
        <w:rPr>
          <w:rStyle w:val="eop"/>
          <w:bCs/>
        </w:rPr>
      </w:pPr>
      <w:bookmarkStart w:id="1" w:name="_Toc165296866"/>
      <w:r>
        <w:rPr>
          <w:rStyle w:val="eop"/>
          <w:bCs/>
        </w:rPr>
        <w:lastRenderedPageBreak/>
        <w:t>Study Outcomes</w:t>
      </w:r>
      <w:bookmarkEnd w:id="1"/>
    </w:p>
    <w:p w14:paraId="099CC373" w14:textId="2B415FDD" w:rsidR="005C5B35" w:rsidRDefault="00EC172C" w:rsidP="005C5B35">
      <w:pPr>
        <w:pStyle w:val="Heading2"/>
      </w:pPr>
      <w:bookmarkStart w:id="2" w:name="_Toc165296867"/>
      <w:r>
        <w:t>Endpoints</w:t>
      </w:r>
      <w:bookmarkEnd w:id="2"/>
    </w:p>
    <w:p w14:paraId="06076194" w14:textId="00DDFC64" w:rsidR="00EC172C" w:rsidRDefault="003C5B93" w:rsidP="004C58C7">
      <w:r w:rsidRPr="003C5B93">
        <w:t>Infection was assessed as present if any of the following criteria were met: 4 or more qualifying antimicrobial days (as recommended by the Centers for Disease Control and Prevention’s QAD guidance), or evidence of a definite infection via culture results or other laboratory microbiological testing (excluding common contaminants). Organ dysfunction was considered present if there was a change in SOFA score of 2 or greater from baseline. If available, we calculated SOFA at baseline using historical laboratory measurements and diagnoses; otherwise, we assumed a value of 0. Clinical adjudication was performed for each subject in the internal and external validation cohorts using an independent review by three physicians blinded to each other's review and the Sepsis ImmunoScore result. Each adjudicator used the entirety of the patient’s EMR to assess for the presence of infection and organ dysfunction to determine if the Sepsis-3 criteria were met. The assessment of organ dysfunction was based on whether the adjudicator observed an increase from baseline of the SOFA score of 2 points or more or identified other clinical evidence indicating the presence of life-threatening organ dysfunction. A clinically adjudicated final diagnosis of sepsis-3 within 24 hours was assigned to subjects for whom at least 2 adjudicators indicated that the subject had organ dysfunction caused by an infection within 24 hours of study inclusion.</w:t>
      </w:r>
    </w:p>
    <w:p w14:paraId="5F282879" w14:textId="4809899B" w:rsidR="003C5B93" w:rsidRDefault="00476AF8" w:rsidP="00476AF8">
      <w:pPr>
        <w:pStyle w:val="Heading1"/>
      </w:pPr>
      <w:bookmarkStart w:id="3" w:name="_Toc165296868"/>
      <w:r>
        <w:t>Data Collection</w:t>
      </w:r>
      <w:bookmarkEnd w:id="3"/>
    </w:p>
    <w:p w14:paraId="30F0D58D" w14:textId="40D82517" w:rsidR="00476AF8" w:rsidRDefault="00476AF8" w:rsidP="00476AF8">
      <w:pPr>
        <w:pStyle w:val="Heading2"/>
      </w:pPr>
      <w:bookmarkStart w:id="4" w:name="_Toc165296869"/>
      <w:r>
        <w:t>C</w:t>
      </w:r>
      <w:r w:rsidR="00DA5AB1">
        <w:t>-</w:t>
      </w:r>
      <w:r>
        <w:t>R</w:t>
      </w:r>
      <w:r w:rsidR="00DA5AB1">
        <w:t xml:space="preserve">eactive </w:t>
      </w:r>
      <w:r>
        <w:t>P</w:t>
      </w:r>
      <w:r w:rsidR="00DA5AB1">
        <w:t>rotein</w:t>
      </w:r>
      <w:r>
        <w:t xml:space="preserve"> and P</w:t>
      </w:r>
      <w:r w:rsidR="00DA5AB1">
        <w:t>rocalcitonin Measurements</w:t>
      </w:r>
      <w:bookmarkEnd w:id="4"/>
    </w:p>
    <w:p w14:paraId="3F13BBFF" w14:textId="00E696B2" w:rsidR="00A85501" w:rsidRDefault="00CF15C6" w:rsidP="004C58C7">
      <w:r w:rsidRPr="00CF15C6">
        <w:t>We posited a priori that C-reactive protein (CRP) and procalcitonin (PCT) would be valuable components of a risk prediction score, so we collected discarded specimens for external testing.  We defined eligible samples as plasma collected from the patient in a Li-Hep tube within a 6-hour window centered at the patient’s first blood culture order. Upon identification, the site’s lab technicians processed the sample by spinning, aliquoting them into multiple 175-microliter tubes, and placing them into -80</w:t>
      </w:r>
      <w:r w:rsidRPr="00F87A22">
        <w:rPr>
          <w:vertAlign w:val="superscript"/>
        </w:rPr>
        <w:t>o</w:t>
      </w:r>
      <w:r w:rsidRPr="00CF15C6">
        <w:t xml:space="preserve"> C freezer. The institutions then shipped the frozen aliquots to our central laboratory, where we stored them in a -80</w:t>
      </w:r>
      <w:r w:rsidRPr="00F87A22">
        <w:rPr>
          <w:vertAlign w:val="superscript"/>
        </w:rPr>
        <w:t>o</w:t>
      </w:r>
      <w:r w:rsidRPr="00CF15C6">
        <w:t xml:space="preserve"> C freezer. CRP and PCT measurements in the derivation cohort were obtained by thawing and measuring the frozen samples using the Luminex Assay Platform. CRP and PCT measurements in the internal and validation cohort were conducted by one off three CLIA-certified laboratories using a </w:t>
      </w:r>
      <w:proofErr w:type="spellStart"/>
      <w:r w:rsidRPr="00CF15C6">
        <w:t>Cobas</w:t>
      </w:r>
      <w:proofErr w:type="spellEnd"/>
      <w:r w:rsidRPr="00CF15C6">
        <w:t xml:space="preserve"> 8000 Analyzer Series Module e801 and </w:t>
      </w:r>
      <w:proofErr w:type="spellStart"/>
      <w:r w:rsidRPr="00CF15C6">
        <w:t>Cobas</w:t>
      </w:r>
      <w:proofErr w:type="spellEnd"/>
      <w:r w:rsidRPr="00CF15C6">
        <w:t xml:space="preserve"> 6000 Analyzer Series Module c501 for PCT and CRP concentrations, respectively. All measurements were obtained within 1 year of sample freezing.  </w:t>
      </w:r>
    </w:p>
    <w:p w14:paraId="1D8D8C29" w14:textId="614C34ED" w:rsidR="00DA3596" w:rsidRDefault="00DA3596" w:rsidP="00DA3596">
      <w:pPr>
        <w:pStyle w:val="Heading1"/>
      </w:pPr>
      <w:bookmarkStart w:id="5" w:name="_Toc165296870"/>
      <w:r>
        <w:t>Sepsis ImmunoScore</w:t>
      </w:r>
      <w:bookmarkEnd w:id="5"/>
    </w:p>
    <w:p w14:paraId="5F750BA5" w14:textId="6944B082" w:rsidR="002D176F" w:rsidRPr="002D176F" w:rsidRDefault="002D176F" w:rsidP="004C58C7">
      <w:pPr>
        <w:pStyle w:val="Heading2"/>
      </w:pPr>
      <w:bookmarkStart w:id="6" w:name="_Toc165296871"/>
      <w:r>
        <w:t>Risk Category Development</w:t>
      </w:r>
      <w:bookmarkEnd w:id="6"/>
    </w:p>
    <w:p w14:paraId="41538A4B" w14:textId="23016796" w:rsidR="004C58C7" w:rsidRDefault="004C58C7" w:rsidP="004C58C7">
      <w:pPr>
        <w:rPr>
          <w:color w:val="000000"/>
          <w:szCs w:val="20"/>
          <w:shd w:val="clear" w:color="auto" w:fill="FFFFFF"/>
        </w:rPr>
      </w:pPr>
      <w:r w:rsidRPr="004C58C7">
        <w:rPr>
          <w:color w:val="000000"/>
          <w:szCs w:val="20"/>
          <w:shd w:val="clear" w:color="auto" w:fill="FFFFFF"/>
        </w:rPr>
        <w:t>The boundary between the low and medium risk categories was set at 12.2, the maximally sensitive risk score with a false positive rate no greater than 50%; the boundary between the medium and high risk categories was set at 30.6, the point on the receiver operating characteristic (ROC) curve closest in Euclidian distance to (0,1); and the boundary between the high and very high risk categories was set at 87.2, the risk score below which 95% of the out-of-bag predictions fell.</w:t>
      </w:r>
    </w:p>
    <w:p w14:paraId="499DC7A0" w14:textId="48D97213" w:rsidR="00973EB6" w:rsidRPr="004C58C7" w:rsidRDefault="00973EB6" w:rsidP="00973EB6">
      <w:pPr>
        <w:pStyle w:val="Heading1"/>
        <w:rPr>
          <w:rFonts w:eastAsia="Times New Roman"/>
        </w:rPr>
      </w:pPr>
      <w:bookmarkStart w:id="7" w:name="_Toc165296872"/>
      <w:r>
        <w:rPr>
          <w:rFonts w:eastAsia="Times New Roman"/>
        </w:rPr>
        <w:lastRenderedPageBreak/>
        <w:t>Tables</w:t>
      </w:r>
      <w:bookmarkEnd w:id="7"/>
    </w:p>
    <w:p w14:paraId="2366D1A6" w14:textId="77777777" w:rsidR="009E248D" w:rsidRDefault="009E248D" w:rsidP="009C7C61">
      <w:pPr>
        <w:pStyle w:val="Heading2"/>
      </w:pPr>
    </w:p>
    <w:p w14:paraId="08DAD8DA" w14:textId="627C316C" w:rsidR="009E248D" w:rsidRDefault="009E248D" w:rsidP="009E248D">
      <w:pPr>
        <w:pStyle w:val="Heading2"/>
      </w:pPr>
      <w:bookmarkStart w:id="8" w:name="_Toc165296873"/>
      <w:proofErr w:type="spellStart"/>
      <w:r>
        <w:t>eTable</w:t>
      </w:r>
      <w:proofErr w:type="spellEnd"/>
      <w:r>
        <w:t xml:space="preserve"> 1. AUROC of Procalcitonin and Sepsis ImmunoScore for Sepsis in All Cohorts</w:t>
      </w:r>
      <w:bookmarkEnd w:id="8"/>
    </w:p>
    <w:tbl>
      <w:tblPr>
        <w:tblW w:w="6460" w:type="dxa"/>
        <w:jc w:val="center"/>
        <w:tblLook w:val="04A0" w:firstRow="1" w:lastRow="0" w:firstColumn="1" w:lastColumn="0" w:noHBand="0" w:noVBand="1"/>
      </w:tblPr>
      <w:tblGrid>
        <w:gridCol w:w="1249"/>
        <w:gridCol w:w="2126"/>
        <w:gridCol w:w="2863"/>
        <w:gridCol w:w="222"/>
      </w:tblGrid>
      <w:tr w:rsidR="009E248D" w14:paraId="240C33E0" w14:textId="77777777" w:rsidTr="002835C0">
        <w:trPr>
          <w:gridAfter w:val="1"/>
          <w:wAfter w:w="36" w:type="dxa"/>
          <w:trHeight w:val="481"/>
          <w:jc w:val="center"/>
        </w:trPr>
        <w:tc>
          <w:tcPr>
            <w:tcW w:w="1294" w:type="dxa"/>
            <w:vMerge w:val="restart"/>
            <w:tcBorders>
              <w:top w:val="single" w:sz="8" w:space="0" w:color="000000"/>
              <w:left w:val="single" w:sz="8" w:space="0" w:color="000000"/>
              <w:bottom w:val="single" w:sz="8" w:space="0" w:color="000000"/>
              <w:right w:val="nil"/>
            </w:tcBorders>
            <w:shd w:val="clear" w:color="000000" w:fill="F3F3EA"/>
            <w:vAlign w:val="center"/>
            <w:hideMark/>
          </w:tcPr>
          <w:p w14:paraId="4EBDDF23" w14:textId="77777777" w:rsidR="009E248D" w:rsidRDefault="009E248D" w:rsidP="002835C0">
            <w:pPr>
              <w:jc w:val="center"/>
              <w:rPr>
                <w:rFonts w:ascii="Arial" w:hAnsi="Arial" w:cs="Arial"/>
                <w:color w:val="000000"/>
                <w:sz w:val="16"/>
                <w:szCs w:val="16"/>
              </w:rPr>
            </w:pPr>
            <w:r>
              <w:rPr>
                <w:rFonts w:ascii="Arial" w:hAnsi="Arial" w:cs="Arial"/>
                <w:color w:val="000000"/>
                <w:sz w:val="16"/>
                <w:szCs w:val="16"/>
              </w:rPr>
              <w:t>Cohort</w:t>
            </w:r>
          </w:p>
        </w:tc>
        <w:tc>
          <w:tcPr>
            <w:tcW w:w="2267" w:type="dxa"/>
            <w:vMerge w:val="restart"/>
            <w:tcBorders>
              <w:top w:val="single" w:sz="8" w:space="0" w:color="000000"/>
              <w:left w:val="nil"/>
              <w:bottom w:val="single" w:sz="8" w:space="0" w:color="000000"/>
              <w:right w:val="nil"/>
            </w:tcBorders>
            <w:shd w:val="clear" w:color="000000" w:fill="F3F3EA"/>
            <w:vAlign w:val="center"/>
            <w:hideMark/>
          </w:tcPr>
          <w:p w14:paraId="6526278A" w14:textId="77777777" w:rsidR="009E248D" w:rsidRDefault="009E248D" w:rsidP="002835C0">
            <w:pPr>
              <w:jc w:val="center"/>
              <w:rPr>
                <w:rFonts w:ascii="Arial" w:hAnsi="Arial" w:cs="Arial"/>
                <w:color w:val="000000"/>
                <w:sz w:val="16"/>
                <w:szCs w:val="16"/>
              </w:rPr>
            </w:pPr>
            <w:r>
              <w:rPr>
                <w:rFonts w:ascii="Arial" w:hAnsi="Arial" w:cs="Arial"/>
                <w:color w:val="000000"/>
                <w:sz w:val="16"/>
                <w:szCs w:val="16"/>
              </w:rPr>
              <w:t>Procalcitonin AUROC (95% CI)</w:t>
            </w:r>
          </w:p>
        </w:tc>
        <w:tc>
          <w:tcPr>
            <w:tcW w:w="2863" w:type="dxa"/>
            <w:vMerge w:val="restart"/>
            <w:tcBorders>
              <w:top w:val="single" w:sz="8" w:space="0" w:color="000000"/>
              <w:left w:val="nil"/>
              <w:bottom w:val="single" w:sz="8" w:space="0" w:color="000000"/>
              <w:right w:val="single" w:sz="8" w:space="0" w:color="000000"/>
            </w:tcBorders>
            <w:shd w:val="clear" w:color="000000" w:fill="F3F3EA"/>
            <w:vAlign w:val="center"/>
            <w:hideMark/>
          </w:tcPr>
          <w:p w14:paraId="03C7D392" w14:textId="77777777" w:rsidR="009E248D" w:rsidRDefault="009E248D" w:rsidP="002835C0">
            <w:pPr>
              <w:jc w:val="center"/>
              <w:rPr>
                <w:rFonts w:ascii="Arial" w:hAnsi="Arial" w:cs="Arial"/>
                <w:color w:val="000000"/>
                <w:sz w:val="16"/>
                <w:szCs w:val="16"/>
              </w:rPr>
            </w:pPr>
            <w:r>
              <w:rPr>
                <w:rFonts w:ascii="Arial" w:hAnsi="Arial" w:cs="Arial"/>
                <w:color w:val="000000"/>
                <w:sz w:val="16"/>
                <w:szCs w:val="16"/>
              </w:rPr>
              <w:t xml:space="preserve">Sepsis ImmunoScore </w:t>
            </w:r>
            <w:r>
              <w:rPr>
                <w:rFonts w:ascii="Arial" w:hAnsi="Arial" w:cs="Arial"/>
                <w:color w:val="000000"/>
                <w:sz w:val="16"/>
                <w:szCs w:val="16"/>
              </w:rPr>
              <w:br/>
              <w:t>AUROC (95% CI)</w:t>
            </w:r>
          </w:p>
        </w:tc>
      </w:tr>
      <w:tr w:rsidR="009E248D" w14:paraId="5ACFCE0C" w14:textId="77777777" w:rsidTr="002835C0">
        <w:trPr>
          <w:trHeight w:val="340"/>
          <w:jc w:val="center"/>
        </w:trPr>
        <w:tc>
          <w:tcPr>
            <w:tcW w:w="1294" w:type="dxa"/>
            <w:vMerge/>
            <w:tcBorders>
              <w:top w:val="single" w:sz="8" w:space="0" w:color="000000"/>
              <w:left w:val="single" w:sz="8" w:space="0" w:color="000000"/>
              <w:bottom w:val="single" w:sz="8" w:space="0" w:color="000000"/>
              <w:right w:val="nil"/>
            </w:tcBorders>
            <w:vAlign w:val="center"/>
            <w:hideMark/>
          </w:tcPr>
          <w:p w14:paraId="032ED5D2" w14:textId="77777777" w:rsidR="009E248D" w:rsidRDefault="009E248D" w:rsidP="002835C0">
            <w:pPr>
              <w:rPr>
                <w:rFonts w:ascii="Arial" w:hAnsi="Arial" w:cs="Arial"/>
                <w:color w:val="000000"/>
                <w:sz w:val="16"/>
                <w:szCs w:val="16"/>
              </w:rPr>
            </w:pPr>
          </w:p>
        </w:tc>
        <w:tc>
          <w:tcPr>
            <w:tcW w:w="2267" w:type="dxa"/>
            <w:vMerge/>
            <w:tcBorders>
              <w:top w:val="single" w:sz="8" w:space="0" w:color="000000"/>
              <w:left w:val="nil"/>
              <w:bottom w:val="single" w:sz="8" w:space="0" w:color="000000"/>
              <w:right w:val="nil"/>
            </w:tcBorders>
            <w:vAlign w:val="center"/>
            <w:hideMark/>
          </w:tcPr>
          <w:p w14:paraId="36CD8AAB" w14:textId="77777777" w:rsidR="009E248D" w:rsidRDefault="009E248D" w:rsidP="002835C0">
            <w:pPr>
              <w:rPr>
                <w:rFonts w:ascii="Arial" w:hAnsi="Arial" w:cs="Arial"/>
                <w:color w:val="000000"/>
                <w:sz w:val="16"/>
                <w:szCs w:val="16"/>
              </w:rPr>
            </w:pPr>
          </w:p>
        </w:tc>
        <w:tc>
          <w:tcPr>
            <w:tcW w:w="2863" w:type="dxa"/>
            <w:vMerge/>
            <w:tcBorders>
              <w:top w:val="single" w:sz="8" w:space="0" w:color="000000"/>
              <w:left w:val="nil"/>
              <w:bottom w:val="single" w:sz="8" w:space="0" w:color="000000"/>
              <w:right w:val="single" w:sz="8" w:space="0" w:color="000000"/>
            </w:tcBorders>
            <w:vAlign w:val="center"/>
            <w:hideMark/>
          </w:tcPr>
          <w:p w14:paraId="064D9081" w14:textId="77777777" w:rsidR="009E248D" w:rsidRDefault="009E248D" w:rsidP="002835C0">
            <w:pPr>
              <w:rPr>
                <w:rFonts w:ascii="Arial" w:hAnsi="Arial" w:cs="Arial"/>
                <w:color w:val="000000"/>
                <w:sz w:val="16"/>
                <w:szCs w:val="16"/>
              </w:rPr>
            </w:pPr>
          </w:p>
        </w:tc>
        <w:tc>
          <w:tcPr>
            <w:tcW w:w="36" w:type="dxa"/>
            <w:tcBorders>
              <w:top w:val="nil"/>
              <w:left w:val="nil"/>
              <w:bottom w:val="nil"/>
              <w:right w:val="nil"/>
            </w:tcBorders>
            <w:shd w:val="clear" w:color="auto" w:fill="auto"/>
            <w:noWrap/>
            <w:vAlign w:val="bottom"/>
            <w:hideMark/>
          </w:tcPr>
          <w:p w14:paraId="68AD48D4" w14:textId="77777777" w:rsidR="009E248D" w:rsidRDefault="009E248D" w:rsidP="002835C0">
            <w:pPr>
              <w:jc w:val="center"/>
              <w:rPr>
                <w:rFonts w:ascii="Arial" w:hAnsi="Arial" w:cs="Arial"/>
                <w:color w:val="000000"/>
                <w:sz w:val="16"/>
                <w:szCs w:val="16"/>
              </w:rPr>
            </w:pPr>
          </w:p>
        </w:tc>
      </w:tr>
      <w:tr w:rsidR="009E248D" w14:paraId="5E3962A8" w14:textId="77777777" w:rsidTr="002835C0">
        <w:trPr>
          <w:trHeight w:val="320"/>
          <w:jc w:val="center"/>
        </w:trPr>
        <w:tc>
          <w:tcPr>
            <w:tcW w:w="1294" w:type="dxa"/>
            <w:tcBorders>
              <w:top w:val="nil"/>
              <w:left w:val="single" w:sz="8" w:space="0" w:color="000000"/>
              <w:bottom w:val="nil"/>
              <w:right w:val="nil"/>
            </w:tcBorders>
            <w:shd w:val="clear" w:color="000000" w:fill="F3F3EA"/>
            <w:vAlign w:val="center"/>
            <w:hideMark/>
          </w:tcPr>
          <w:p w14:paraId="712084D0" w14:textId="77777777" w:rsidR="009E248D" w:rsidRDefault="009E248D" w:rsidP="002835C0">
            <w:pPr>
              <w:jc w:val="center"/>
              <w:rPr>
                <w:rFonts w:ascii="Arial" w:hAnsi="Arial" w:cs="Arial"/>
                <w:color w:val="000000"/>
                <w:sz w:val="16"/>
                <w:szCs w:val="16"/>
              </w:rPr>
            </w:pPr>
            <w:r>
              <w:rPr>
                <w:rFonts w:ascii="Arial" w:hAnsi="Arial" w:cs="Arial"/>
                <w:color w:val="000000"/>
                <w:sz w:val="16"/>
                <w:szCs w:val="16"/>
              </w:rPr>
              <w:t>Derivation</w:t>
            </w:r>
          </w:p>
        </w:tc>
        <w:tc>
          <w:tcPr>
            <w:tcW w:w="2267" w:type="dxa"/>
            <w:tcBorders>
              <w:top w:val="nil"/>
              <w:left w:val="nil"/>
              <w:bottom w:val="nil"/>
              <w:right w:val="nil"/>
            </w:tcBorders>
            <w:shd w:val="clear" w:color="000000" w:fill="F3F3EA"/>
            <w:vAlign w:val="center"/>
            <w:hideMark/>
          </w:tcPr>
          <w:p w14:paraId="07941355" w14:textId="77777777" w:rsidR="009E248D" w:rsidRDefault="009E248D" w:rsidP="002835C0">
            <w:pPr>
              <w:jc w:val="center"/>
              <w:rPr>
                <w:rFonts w:ascii="Arial" w:hAnsi="Arial" w:cs="Arial"/>
                <w:color w:val="000000"/>
                <w:sz w:val="16"/>
                <w:szCs w:val="16"/>
              </w:rPr>
            </w:pPr>
            <w:r>
              <w:rPr>
                <w:rFonts w:ascii="Arial" w:hAnsi="Arial" w:cs="Arial"/>
                <w:color w:val="000000"/>
                <w:sz w:val="16"/>
                <w:szCs w:val="16"/>
              </w:rPr>
              <w:t>0.71 (0.69, 0.74)</w:t>
            </w:r>
          </w:p>
        </w:tc>
        <w:tc>
          <w:tcPr>
            <w:tcW w:w="2863" w:type="dxa"/>
            <w:tcBorders>
              <w:top w:val="nil"/>
              <w:left w:val="nil"/>
              <w:bottom w:val="nil"/>
              <w:right w:val="single" w:sz="8" w:space="0" w:color="000000"/>
            </w:tcBorders>
            <w:shd w:val="clear" w:color="000000" w:fill="F3F3EA"/>
            <w:noWrap/>
            <w:vAlign w:val="center"/>
            <w:hideMark/>
          </w:tcPr>
          <w:p w14:paraId="56B6496B" w14:textId="77777777" w:rsidR="009E248D" w:rsidRDefault="009E248D" w:rsidP="002835C0">
            <w:pPr>
              <w:jc w:val="center"/>
              <w:rPr>
                <w:rFonts w:ascii="Arial" w:hAnsi="Arial" w:cs="Arial"/>
                <w:color w:val="000000"/>
                <w:sz w:val="16"/>
                <w:szCs w:val="16"/>
              </w:rPr>
            </w:pPr>
            <w:r>
              <w:rPr>
                <w:rFonts w:ascii="Arial" w:hAnsi="Arial" w:cs="Arial"/>
                <w:color w:val="000000"/>
                <w:sz w:val="16"/>
                <w:szCs w:val="16"/>
              </w:rPr>
              <w:t>0.85 (0.83, 0.87)</w:t>
            </w:r>
          </w:p>
        </w:tc>
        <w:tc>
          <w:tcPr>
            <w:tcW w:w="36" w:type="dxa"/>
            <w:vAlign w:val="center"/>
            <w:hideMark/>
          </w:tcPr>
          <w:p w14:paraId="2A2B67C9" w14:textId="77777777" w:rsidR="009E248D" w:rsidRDefault="009E248D" w:rsidP="002835C0">
            <w:pPr>
              <w:rPr>
                <w:sz w:val="20"/>
                <w:szCs w:val="20"/>
              </w:rPr>
            </w:pPr>
          </w:p>
        </w:tc>
      </w:tr>
      <w:tr w:rsidR="009E248D" w14:paraId="72F6C93F" w14:textId="77777777" w:rsidTr="002835C0">
        <w:trPr>
          <w:trHeight w:val="320"/>
          <w:jc w:val="center"/>
        </w:trPr>
        <w:tc>
          <w:tcPr>
            <w:tcW w:w="1294" w:type="dxa"/>
            <w:tcBorders>
              <w:top w:val="nil"/>
              <w:left w:val="single" w:sz="8" w:space="0" w:color="000000"/>
              <w:bottom w:val="nil"/>
              <w:right w:val="nil"/>
            </w:tcBorders>
            <w:shd w:val="clear" w:color="000000" w:fill="F3F3EA"/>
            <w:vAlign w:val="center"/>
            <w:hideMark/>
          </w:tcPr>
          <w:p w14:paraId="5A8AC2A9" w14:textId="77777777" w:rsidR="009E248D" w:rsidRDefault="009E248D" w:rsidP="002835C0">
            <w:pPr>
              <w:jc w:val="center"/>
              <w:rPr>
                <w:rFonts w:ascii="Arial" w:hAnsi="Arial" w:cs="Arial"/>
                <w:color w:val="000000"/>
                <w:sz w:val="16"/>
                <w:szCs w:val="16"/>
              </w:rPr>
            </w:pPr>
            <w:r>
              <w:rPr>
                <w:rFonts w:ascii="Arial" w:hAnsi="Arial" w:cs="Arial"/>
                <w:color w:val="000000"/>
                <w:sz w:val="16"/>
                <w:szCs w:val="16"/>
              </w:rPr>
              <w:t>Internal Validation</w:t>
            </w:r>
          </w:p>
        </w:tc>
        <w:tc>
          <w:tcPr>
            <w:tcW w:w="2267" w:type="dxa"/>
            <w:tcBorders>
              <w:top w:val="nil"/>
              <w:left w:val="nil"/>
              <w:bottom w:val="nil"/>
              <w:right w:val="nil"/>
            </w:tcBorders>
            <w:shd w:val="clear" w:color="000000" w:fill="F3F3EA"/>
            <w:vAlign w:val="center"/>
            <w:hideMark/>
          </w:tcPr>
          <w:p w14:paraId="185AC25C" w14:textId="77777777" w:rsidR="009E248D" w:rsidRDefault="009E248D" w:rsidP="002835C0">
            <w:pPr>
              <w:jc w:val="center"/>
              <w:rPr>
                <w:rFonts w:ascii="Arial" w:hAnsi="Arial" w:cs="Arial"/>
                <w:color w:val="000000"/>
                <w:sz w:val="16"/>
                <w:szCs w:val="16"/>
              </w:rPr>
            </w:pPr>
            <w:r>
              <w:rPr>
                <w:rFonts w:ascii="Arial" w:hAnsi="Arial" w:cs="Arial"/>
                <w:color w:val="000000"/>
                <w:sz w:val="16"/>
                <w:szCs w:val="16"/>
              </w:rPr>
              <w:t>0.71 (0.65, 0.77)</w:t>
            </w:r>
          </w:p>
        </w:tc>
        <w:tc>
          <w:tcPr>
            <w:tcW w:w="2863" w:type="dxa"/>
            <w:tcBorders>
              <w:top w:val="nil"/>
              <w:left w:val="nil"/>
              <w:bottom w:val="nil"/>
              <w:right w:val="single" w:sz="8" w:space="0" w:color="000000"/>
            </w:tcBorders>
            <w:shd w:val="clear" w:color="000000" w:fill="F3F3EA"/>
            <w:noWrap/>
            <w:vAlign w:val="center"/>
            <w:hideMark/>
          </w:tcPr>
          <w:p w14:paraId="6CDF0BA6" w14:textId="77777777" w:rsidR="009E248D" w:rsidRDefault="009E248D" w:rsidP="002835C0">
            <w:pPr>
              <w:jc w:val="center"/>
              <w:rPr>
                <w:rFonts w:ascii="Arial" w:hAnsi="Arial" w:cs="Arial"/>
                <w:color w:val="000000"/>
                <w:sz w:val="16"/>
                <w:szCs w:val="16"/>
              </w:rPr>
            </w:pPr>
            <w:r>
              <w:rPr>
                <w:rFonts w:ascii="Arial" w:hAnsi="Arial" w:cs="Arial"/>
                <w:color w:val="000000"/>
                <w:sz w:val="16"/>
                <w:szCs w:val="16"/>
              </w:rPr>
              <w:t>0.80 (0.74, 0.86)</w:t>
            </w:r>
          </w:p>
        </w:tc>
        <w:tc>
          <w:tcPr>
            <w:tcW w:w="36" w:type="dxa"/>
            <w:vAlign w:val="center"/>
            <w:hideMark/>
          </w:tcPr>
          <w:p w14:paraId="43CEE367" w14:textId="77777777" w:rsidR="009E248D" w:rsidRDefault="009E248D" w:rsidP="002835C0">
            <w:pPr>
              <w:rPr>
                <w:sz w:val="20"/>
                <w:szCs w:val="20"/>
              </w:rPr>
            </w:pPr>
          </w:p>
        </w:tc>
      </w:tr>
      <w:tr w:rsidR="009E248D" w14:paraId="6819A38B" w14:textId="77777777" w:rsidTr="002835C0">
        <w:trPr>
          <w:trHeight w:val="500"/>
          <w:jc w:val="center"/>
        </w:trPr>
        <w:tc>
          <w:tcPr>
            <w:tcW w:w="1294" w:type="dxa"/>
            <w:tcBorders>
              <w:top w:val="nil"/>
              <w:left w:val="single" w:sz="8" w:space="0" w:color="000000"/>
              <w:bottom w:val="single" w:sz="8" w:space="0" w:color="000000"/>
              <w:right w:val="nil"/>
            </w:tcBorders>
            <w:shd w:val="clear" w:color="000000" w:fill="F3F3EA"/>
            <w:vAlign w:val="center"/>
            <w:hideMark/>
          </w:tcPr>
          <w:p w14:paraId="00936622" w14:textId="77777777" w:rsidR="009E248D" w:rsidRDefault="009E248D" w:rsidP="002835C0">
            <w:pPr>
              <w:jc w:val="center"/>
              <w:rPr>
                <w:rFonts w:ascii="Arial" w:hAnsi="Arial" w:cs="Arial"/>
                <w:color w:val="000000"/>
                <w:sz w:val="16"/>
                <w:szCs w:val="16"/>
              </w:rPr>
            </w:pPr>
            <w:r>
              <w:rPr>
                <w:rFonts w:ascii="Arial" w:hAnsi="Arial" w:cs="Arial"/>
                <w:color w:val="000000"/>
                <w:sz w:val="16"/>
                <w:szCs w:val="16"/>
              </w:rPr>
              <w:t>External Validation</w:t>
            </w:r>
          </w:p>
        </w:tc>
        <w:tc>
          <w:tcPr>
            <w:tcW w:w="2267" w:type="dxa"/>
            <w:tcBorders>
              <w:top w:val="nil"/>
              <w:left w:val="nil"/>
              <w:bottom w:val="single" w:sz="8" w:space="0" w:color="000000"/>
              <w:right w:val="nil"/>
            </w:tcBorders>
            <w:shd w:val="clear" w:color="000000" w:fill="F3F3EA"/>
            <w:vAlign w:val="center"/>
            <w:hideMark/>
          </w:tcPr>
          <w:p w14:paraId="31C1DDBA" w14:textId="77777777" w:rsidR="009E248D" w:rsidRDefault="009E248D" w:rsidP="002835C0">
            <w:pPr>
              <w:jc w:val="center"/>
              <w:rPr>
                <w:rFonts w:ascii="Arial" w:hAnsi="Arial" w:cs="Arial"/>
                <w:color w:val="000000"/>
                <w:sz w:val="16"/>
                <w:szCs w:val="16"/>
              </w:rPr>
            </w:pPr>
            <w:r>
              <w:rPr>
                <w:rFonts w:ascii="Arial" w:hAnsi="Arial" w:cs="Arial"/>
                <w:color w:val="000000"/>
                <w:sz w:val="16"/>
                <w:szCs w:val="16"/>
              </w:rPr>
              <w:t>0.75 (0.70, 0.80)</w:t>
            </w:r>
          </w:p>
        </w:tc>
        <w:tc>
          <w:tcPr>
            <w:tcW w:w="2863" w:type="dxa"/>
            <w:tcBorders>
              <w:top w:val="nil"/>
              <w:left w:val="nil"/>
              <w:bottom w:val="single" w:sz="8" w:space="0" w:color="000000"/>
              <w:right w:val="single" w:sz="8" w:space="0" w:color="000000"/>
            </w:tcBorders>
            <w:shd w:val="clear" w:color="000000" w:fill="F3F3EA"/>
            <w:noWrap/>
            <w:vAlign w:val="center"/>
            <w:hideMark/>
          </w:tcPr>
          <w:p w14:paraId="7563E4F6" w14:textId="77777777" w:rsidR="009E248D" w:rsidRDefault="009E248D" w:rsidP="002835C0">
            <w:pPr>
              <w:jc w:val="center"/>
              <w:rPr>
                <w:rFonts w:ascii="Arial" w:hAnsi="Arial" w:cs="Arial"/>
                <w:color w:val="000000"/>
                <w:sz w:val="16"/>
                <w:szCs w:val="16"/>
              </w:rPr>
            </w:pPr>
            <w:r>
              <w:rPr>
                <w:rFonts w:ascii="Arial" w:hAnsi="Arial" w:cs="Arial"/>
                <w:color w:val="000000"/>
                <w:sz w:val="16"/>
                <w:szCs w:val="16"/>
              </w:rPr>
              <w:t>0.81 (0.77, 0.86)</w:t>
            </w:r>
          </w:p>
        </w:tc>
        <w:tc>
          <w:tcPr>
            <w:tcW w:w="36" w:type="dxa"/>
            <w:vAlign w:val="center"/>
            <w:hideMark/>
          </w:tcPr>
          <w:p w14:paraId="1453A625" w14:textId="77777777" w:rsidR="009E248D" w:rsidRDefault="009E248D" w:rsidP="002835C0">
            <w:pPr>
              <w:rPr>
                <w:sz w:val="20"/>
                <w:szCs w:val="20"/>
              </w:rPr>
            </w:pPr>
          </w:p>
        </w:tc>
      </w:tr>
    </w:tbl>
    <w:p w14:paraId="3AA3FDFD" w14:textId="77777777" w:rsidR="009E248D" w:rsidRDefault="009E248D" w:rsidP="009E248D">
      <w:pPr>
        <w:pStyle w:val="Heading2"/>
      </w:pPr>
      <w:r>
        <w:br w:type="page"/>
      </w:r>
    </w:p>
    <w:p w14:paraId="306AB628" w14:textId="77777777" w:rsidR="009E248D" w:rsidRDefault="009E248D" w:rsidP="009C7C61">
      <w:pPr>
        <w:pStyle w:val="Heading2"/>
      </w:pPr>
    </w:p>
    <w:p w14:paraId="782F3E9F" w14:textId="7798C0D2" w:rsidR="00C07F20" w:rsidRDefault="009C7C61" w:rsidP="009C7C61">
      <w:pPr>
        <w:pStyle w:val="Heading2"/>
      </w:pPr>
      <w:bookmarkStart w:id="9" w:name="_Toc165296874"/>
      <w:proofErr w:type="spellStart"/>
      <w:r>
        <w:t>eTable</w:t>
      </w:r>
      <w:proofErr w:type="spellEnd"/>
      <w:r w:rsidR="00FF6D7A">
        <w:t xml:space="preserve"> </w:t>
      </w:r>
      <w:r w:rsidR="008E037F">
        <w:t>2</w:t>
      </w:r>
      <w:r w:rsidR="00FF6D7A">
        <w:t xml:space="preserve">. Derivation </w:t>
      </w:r>
      <w:r w:rsidR="00702AEC">
        <w:t>and Internal Validation Sepsis ImmunoS</w:t>
      </w:r>
      <w:r w:rsidR="00C05EEC">
        <w:t>core Risk Stratification</w:t>
      </w:r>
      <w:r w:rsidR="001E6A9F">
        <w:t xml:space="preserve"> for Sepsis</w:t>
      </w:r>
      <w:bookmarkEnd w:id="9"/>
    </w:p>
    <w:tbl>
      <w:tblPr>
        <w:tblW w:w="10466" w:type="dxa"/>
        <w:tblLook w:val="04A0" w:firstRow="1" w:lastRow="0" w:firstColumn="1" w:lastColumn="0" w:noHBand="0" w:noVBand="1"/>
      </w:tblPr>
      <w:tblGrid>
        <w:gridCol w:w="1066"/>
        <w:gridCol w:w="1878"/>
        <w:gridCol w:w="1472"/>
        <w:gridCol w:w="1236"/>
        <w:gridCol w:w="1850"/>
        <w:gridCol w:w="1485"/>
        <w:gridCol w:w="1479"/>
      </w:tblGrid>
      <w:tr w:rsidR="00E64EDB" w:rsidRPr="00E64EDB" w14:paraId="593A04A0" w14:textId="77777777" w:rsidTr="00E64EDB">
        <w:trPr>
          <w:trHeight w:val="500"/>
        </w:trPr>
        <w:tc>
          <w:tcPr>
            <w:tcW w:w="1066" w:type="dxa"/>
            <w:vMerge w:val="restart"/>
            <w:tcBorders>
              <w:top w:val="single" w:sz="8" w:space="0" w:color="auto"/>
              <w:left w:val="nil"/>
              <w:bottom w:val="single" w:sz="8" w:space="0" w:color="000000"/>
              <w:right w:val="nil"/>
            </w:tcBorders>
            <w:shd w:val="clear" w:color="000000" w:fill="F3F3EA"/>
            <w:vAlign w:val="bottom"/>
            <w:hideMark/>
          </w:tcPr>
          <w:p w14:paraId="4EE2BFCB"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Cohort</w:t>
            </w:r>
          </w:p>
        </w:tc>
        <w:tc>
          <w:tcPr>
            <w:tcW w:w="1878" w:type="dxa"/>
            <w:vMerge w:val="restart"/>
            <w:tcBorders>
              <w:top w:val="single" w:sz="8" w:space="0" w:color="auto"/>
              <w:left w:val="nil"/>
              <w:bottom w:val="single" w:sz="8" w:space="0" w:color="000000"/>
              <w:right w:val="nil"/>
            </w:tcBorders>
            <w:shd w:val="clear" w:color="000000" w:fill="F3F3EA"/>
            <w:vAlign w:val="bottom"/>
            <w:hideMark/>
          </w:tcPr>
          <w:p w14:paraId="6BE4AF8D"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ImmunoScore Risk Category</w:t>
            </w:r>
          </w:p>
        </w:tc>
        <w:tc>
          <w:tcPr>
            <w:tcW w:w="1472" w:type="dxa"/>
            <w:vMerge w:val="restart"/>
            <w:tcBorders>
              <w:top w:val="single" w:sz="8" w:space="0" w:color="auto"/>
              <w:left w:val="nil"/>
              <w:bottom w:val="single" w:sz="8" w:space="0" w:color="000000"/>
              <w:right w:val="nil"/>
            </w:tcBorders>
            <w:shd w:val="clear" w:color="000000" w:fill="F3F3EA"/>
            <w:vAlign w:val="bottom"/>
            <w:hideMark/>
          </w:tcPr>
          <w:p w14:paraId="3F2FA823"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Total Patients (N)</w:t>
            </w:r>
          </w:p>
        </w:tc>
        <w:tc>
          <w:tcPr>
            <w:tcW w:w="1236" w:type="dxa"/>
            <w:vMerge w:val="restart"/>
            <w:tcBorders>
              <w:top w:val="single" w:sz="8" w:space="0" w:color="auto"/>
              <w:left w:val="nil"/>
              <w:bottom w:val="single" w:sz="8" w:space="0" w:color="000000"/>
              <w:right w:val="nil"/>
            </w:tcBorders>
            <w:shd w:val="clear" w:color="000000" w:fill="F3F3EA"/>
            <w:vAlign w:val="bottom"/>
            <w:hideMark/>
          </w:tcPr>
          <w:p w14:paraId="2252208E"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Septic Patients (N)</w:t>
            </w:r>
          </w:p>
        </w:tc>
        <w:tc>
          <w:tcPr>
            <w:tcW w:w="1850" w:type="dxa"/>
            <w:vMerge w:val="restart"/>
            <w:tcBorders>
              <w:top w:val="single" w:sz="8" w:space="0" w:color="auto"/>
              <w:left w:val="nil"/>
              <w:bottom w:val="single" w:sz="8" w:space="0" w:color="000000"/>
              <w:right w:val="nil"/>
            </w:tcBorders>
            <w:shd w:val="clear" w:color="000000" w:fill="F3F3EA"/>
            <w:vAlign w:val="bottom"/>
            <w:hideMark/>
          </w:tcPr>
          <w:p w14:paraId="43B7B942" w14:textId="63574088"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 xml:space="preserve">Sepsis PV </w:t>
            </w:r>
            <w:r>
              <w:rPr>
                <w:rFonts w:ascii="Arial" w:hAnsi="Arial" w:cs="Arial"/>
                <w:color w:val="000000"/>
                <w:sz w:val="16"/>
                <w:szCs w:val="16"/>
              </w:rPr>
              <w:br/>
            </w:r>
            <w:r w:rsidRPr="00E64EDB">
              <w:rPr>
                <w:rFonts w:ascii="Arial" w:hAnsi="Arial" w:cs="Arial"/>
                <w:color w:val="000000"/>
                <w:sz w:val="16"/>
                <w:szCs w:val="16"/>
              </w:rPr>
              <w:t>[95% CI]</w:t>
            </w:r>
          </w:p>
        </w:tc>
        <w:tc>
          <w:tcPr>
            <w:tcW w:w="1485" w:type="dxa"/>
            <w:vMerge w:val="restart"/>
            <w:tcBorders>
              <w:top w:val="single" w:sz="8" w:space="0" w:color="auto"/>
              <w:left w:val="nil"/>
              <w:bottom w:val="single" w:sz="8" w:space="0" w:color="000000"/>
              <w:right w:val="nil"/>
            </w:tcBorders>
            <w:shd w:val="clear" w:color="000000" w:fill="F3F3EA"/>
            <w:vAlign w:val="bottom"/>
            <w:hideMark/>
          </w:tcPr>
          <w:p w14:paraId="7A4AF25D" w14:textId="25537D7F"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 xml:space="preserve">Sepsis Likelihood Ratio </w:t>
            </w:r>
            <w:r>
              <w:rPr>
                <w:rFonts w:ascii="Arial" w:hAnsi="Arial" w:cs="Arial"/>
                <w:color w:val="000000"/>
                <w:sz w:val="16"/>
                <w:szCs w:val="16"/>
              </w:rPr>
              <w:br/>
            </w:r>
            <w:r w:rsidRPr="00E64EDB">
              <w:rPr>
                <w:rFonts w:ascii="Arial" w:hAnsi="Arial" w:cs="Arial"/>
                <w:color w:val="000000"/>
                <w:sz w:val="16"/>
                <w:szCs w:val="16"/>
              </w:rPr>
              <w:t>[95% CI]</w:t>
            </w:r>
          </w:p>
        </w:tc>
        <w:tc>
          <w:tcPr>
            <w:tcW w:w="1479" w:type="dxa"/>
            <w:tcBorders>
              <w:top w:val="single" w:sz="8" w:space="0" w:color="auto"/>
              <w:left w:val="nil"/>
              <w:bottom w:val="nil"/>
              <w:right w:val="nil"/>
            </w:tcBorders>
            <w:shd w:val="clear" w:color="000000" w:fill="F3F3EA"/>
            <w:vAlign w:val="bottom"/>
            <w:hideMark/>
          </w:tcPr>
          <w:p w14:paraId="2840CE60"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Cochran-Armitage</w:t>
            </w:r>
          </w:p>
        </w:tc>
      </w:tr>
      <w:tr w:rsidR="00E64EDB" w:rsidRPr="00E64EDB" w14:paraId="51C12F86" w14:textId="77777777" w:rsidTr="00F44D46">
        <w:trPr>
          <w:trHeight w:val="36"/>
        </w:trPr>
        <w:tc>
          <w:tcPr>
            <w:tcW w:w="1066" w:type="dxa"/>
            <w:vMerge/>
            <w:tcBorders>
              <w:top w:val="single" w:sz="8" w:space="0" w:color="auto"/>
              <w:left w:val="nil"/>
              <w:bottom w:val="single" w:sz="8" w:space="0" w:color="000000"/>
              <w:right w:val="nil"/>
            </w:tcBorders>
            <w:vAlign w:val="center"/>
            <w:hideMark/>
          </w:tcPr>
          <w:p w14:paraId="21D06078" w14:textId="77777777" w:rsidR="00E64EDB" w:rsidRPr="00E64EDB" w:rsidRDefault="00E64EDB" w:rsidP="00E64EDB">
            <w:pPr>
              <w:rPr>
                <w:rFonts w:ascii="Arial" w:hAnsi="Arial" w:cs="Arial"/>
                <w:color w:val="000000"/>
                <w:sz w:val="16"/>
                <w:szCs w:val="16"/>
              </w:rPr>
            </w:pPr>
          </w:p>
        </w:tc>
        <w:tc>
          <w:tcPr>
            <w:tcW w:w="1878" w:type="dxa"/>
            <w:vMerge/>
            <w:tcBorders>
              <w:top w:val="single" w:sz="8" w:space="0" w:color="auto"/>
              <w:left w:val="nil"/>
              <w:bottom w:val="single" w:sz="8" w:space="0" w:color="000000"/>
              <w:right w:val="nil"/>
            </w:tcBorders>
            <w:vAlign w:val="center"/>
            <w:hideMark/>
          </w:tcPr>
          <w:p w14:paraId="5211961D" w14:textId="77777777" w:rsidR="00E64EDB" w:rsidRPr="00E64EDB" w:rsidRDefault="00E64EDB" w:rsidP="00E64EDB">
            <w:pPr>
              <w:rPr>
                <w:rFonts w:ascii="Arial" w:hAnsi="Arial" w:cs="Arial"/>
                <w:color w:val="000000"/>
                <w:sz w:val="16"/>
                <w:szCs w:val="16"/>
              </w:rPr>
            </w:pPr>
          </w:p>
        </w:tc>
        <w:tc>
          <w:tcPr>
            <w:tcW w:w="1472" w:type="dxa"/>
            <w:vMerge/>
            <w:tcBorders>
              <w:top w:val="single" w:sz="8" w:space="0" w:color="auto"/>
              <w:left w:val="nil"/>
              <w:bottom w:val="single" w:sz="8" w:space="0" w:color="000000"/>
              <w:right w:val="nil"/>
            </w:tcBorders>
            <w:vAlign w:val="center"/>
            <w:hideMark/>
          </w:tcPr>
          <w:p w14:paraId="07B8AB0F" w14:textId="77777777" w:rsidR="00E64EDB" w:rsidRPr="00E64EDB" w:rsidRDefault="00E64EDB" w:rsidP="00E64EDB">
            <w:pPr>
              <w:rPr>
                <w:rFonts w:ascii="Arial" w:hAnsi="Arial" w:cs="Arial"/>
                <w:color w:val="000000"/>
                <w:sz w:val="16"/>
                <w:szCs w:val="16"/>
              </w:rPr>
            </w:pPr>
          </w:p>
        </w:tc>
        <w:tc>
          <w:tcPr>
            <w:tcW w:w="1236" w:type="dxa"/>
            <w:vMerge/>
            <w:tcBorders>
              <w:top w:val="single" w:sz="8" w:space="0" w:color="auto"/>
              <w:left w:val="nil"/>
              <w:bottom w:val="single" w:sz="8" w:space="0" w:color="000000"/>
              <w:right w:val="nil"/>
            </w:tcBorders>
            <w:vAlign w:val="center"/>
            <w:hideMark/>
          </w:tcPr>
          <w:p w14:paraId="52870DBA" w14:textId="77777777" w:rsidR="00E64EDB" w:rsidRPr="00E64EDB" w:rsidRDefault="00E64EDB" w:rsidP="00E64EDB">
            <w:pPr>
              <w:rPr>
                <w:rFonts w:ascii="Arial" w:hAnsi="Arial" w:cs="Arial"/>
                <w:color w:val="000000"/>
                <w:sz w:val="16"/>
                <w:szCs w:val="16"/>
              </w:rPr>
            </w:pPr>
          </w:p>
        </w:tc>
        <w:tc>
          <w:tcPr>
            <w:tcW w:w="1850" w:type="dxa"/>
            <w:vMerge/>
            <w:tcBorders>
              <w:top w:val="single" w:sz="8" w:space="0" w:color="auto"/>
              <w:left w:val="nil"/>
              <w:bottom w:val="single" w:sz="8" w:space="0" w:color="000000"/>
              <w:right w:val="nil"/>
            </w:tcBorders>
            <w:vAlign w:val="center"/>
            <w:hideMark/>
          </w:tcPr>
          <w:p w14:paraId="22268A04" w14:textId="77777777" w:rsidR="00E64EDB" w:rsidRPr="00E64EDB" w:rsidRDefault="00E64EDB" w:rsidP="00E64EDB">
            <w:pPr>
              <w:rPr>
                <w:rFonts w:ascii="Arial" w:hAnsi="Arial" w:cs="Arial"/>
                <w:color w:val="000000"/>
                <w:sz w:val="16"/>
                <w:szCs w:val="16"/>
              </w:rPr>
            </w:pPr>
          </w:p>
        </w:tc>
        <w:tc>
          <w:tcPr>
            <w:tcW w:w="1485" w:type="dxa"/>
            <w:vMerge/>
            <w:tcBorders>
              <w:top w:val="single" w:sz="8" w:space="0" w:color="auto"/>
              <w:left w:val="nil"/>
              <w:bottom w:val="single" w:sz="8" w:space="0" w:color="000000"/>
              <w:right w:val="nil"/>
            </w:tcBorders>
            <w:vAlign w:val="center"/>
            <w:hideMark/>
          </w:tcPr>
          <w:p w14:paraId="3B896F14" w14:textId="77777777" w:rsidR="00E64EDB" w:rsidRPr="00E64EDB" w:rsidRDefault="00E64EDB" w:rsidP="00E64EDB">
            <w:pPr>
              <w:rPr>
                <w:rFonts w:ascii="Arial" w:hAnsi="Arial" w:cs="Arial"/>
                <w:color w:val="000000"/>
                <w:sz w:val="16"/>
                <w:szCs w:val="16"/>
              </w:rPr>
            </w:pPr>
          </w:p>
        </w:tc>
        <w:tc>
          <w:tcPr>
            <w:tcW w:w="1479" w:type="dxa"/>
            <w:tcBorders>
              <w:top w:val="nil"/>
              <w:left w:val="nil"/>
              <w:bottom w:val="single" w:sz="8" w:space="0" w:color="auto"/>
              <w:right w:val="nil"/>
            </w:tcBorders>
            <w:shd w:val="clear" w:color="000000" w:fill="F3F3EA"/>
            <w:vAlign w:val="bottom"/>
            <w:hideMark/>
          </w:tcPr>
          <w:p w14:paraId="227731E0" w14:textId="619F3D0F" w:rsidR="00E64EDB" w:rsidRPr="00E64EDB" w:rsidRDefault="00E64EDB" w:rsidP="00E64EDB">
            <w:pPr>
              <w:jc w:val="center"/>
              <w:rPr>
                <w:rFonts w:ascii="Arial" w:hAnsi="Arial" w:cs="Arial"/>
                <w:i/>
                <w:iCs/>
                <w:color w:val="000000"/>
                <w:sz w:val="16"/>
                <w:szCs w:val="16"/>
              </w:rPr>
            </w:pPr>
            <w:r>
              <w:rPr>
                <w:rFonts w:ascii="Arial" w:hAnsi="Arial" w:cs="Arial"/>
                <w:i/>
                <w:iCs/>
                <w:color w:val="000000"/>
                <w:sz w:val="16"/>
                <w:szCs w:val="16"/>
              </w:rPr>
              <w:t>(</w:t>
            </w:r>
            <w:r w:rsidRPr="00E64EDB">
              <w:rPr>
                <w:rFonts w:ascii="Arial" w:hAnsi="Arial" w:cs="Arial"/>
                <w:i/>
                <w:iCs/>
                <w:color w:val="000000"/>
                <w:sz w:val="16"/>
                <w:szCs w:val="16"/>
              </w:rPr>
              <w:t>p</w:t>
            </w:r>
            <w:r w:rsidRPr="00E64EDB">
              <w:rPr>
                <w:rFonts w:ascii="Arial" w:hAnsi="Arial" w:cs="Arial"/>
                <w:color w:val="000000"/>
                <w:sz w:val="16"/>
                <w:szCs w:val="16"/>
              </w:rPr>
              <w:t>-value</w:t>
            </w:r>
            <w:r>
              <w:rPr>
                <w:rFonts w:ascii="Arial" w:hAnsi="Arial" w:cs="Arial"/>
                <w:color w:val="000000"/>
                <w:sz w:val="16"/>
                <w:szCs w:val="16"/>
              </w:rPr>
              <w:t>)</w:t>
            </w:r>
          </w:p>
        </w:tc>
      </w:tr>
      <w:tr w:rsidR="00E64EDB" w:rsidRPr="00E64EDB" w14:paraId="526AA972" w14:textId="77777777" w:rsidTr="00F44D46">
        <w:trPr>
          <w:trHeight w:val="340"/>
        </w:trPr>
        <w:tc>
          <w:tcPr>
            <w:tcW w:w="1066" w:type="dxa"/>
            <w:tcBorders>
              <w:top w:val="nil"/>
              <w:left w:val="nil"/>
              <w:bottom w:val="nil"/>
              <w:right w:val="nil"/>
            </w:tcBorders>
            <w:shd w:val="clear" w:color="000000" w:fill="F3F3EA"/>
            <w:vAlign w:val="bottom"/>
            <w:hideMark/>
          </w:tcPr>
          <w:p w14:paraId="7B48F6A7"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Derivation</w:t>
            </w:r>
          </w:p>
        </w:tc>
        <w:tc>
          <w:tcPr>
            <w:tcW w:w="1878" w:type="dxa"/>
            <w:tcBorders>
              <w:top w:val="nil"/>
              <w:left w:val="nil"/>
              <w:bottom w:val="nil"/>
              <w:right w:val="nil"/>
            </w:tcBorders>
            <w:shd w:val="clear" w:color="000000" w:fill="F3F3EA"/>
            <w:vAlign w:val="bottom"/>
            <w:hideMark/>
          </w:tcPr>
          <w:p w14:paraId="392B4FBE"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Low</w:t>
            </w:r>
          </w:p>
        </w:tc>
        <w:tc>
          <w:tcPr>
            <w:tcW w:w="1472" w:type="dxa"/>
            <w:tcBorders>
              <w:top w:val="nil"/>
              <w:left w:val="nil"/>
              <w:bottom w:val="nil"/>
              <w:right w:val="nil"/>
            </w:tcBorders>
            <w:shd w:val="clear" w:color="000000" w:fill="F3F3EA"/>
            <w:vAlign w:val="bottom"/>
            <w:hideMark/>
          </w:tcPr>
          <w:p w14:paraId="4D9EF53A"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849</w:t>
            </w:r>
          </w:p>
        </w:tc>
        <w:tc>
          <w:tcPr>
            <w:tcW w:w="1236" w:type="dxa"/>
            <w:tcBorders>
              <w:top w:val="nil"/>
              <w:left w:val="nil"/>
              <w:bottom w:val="nil"/>
              <w:right w:val="nil"/>
            </w:tcBorders>
            <w:shd w:val="clear" w:color="000000" w:fill="F3F3EA"/>
            <w:noWrap/>
            <w:vAlign w:val="bottom"/>
            <w:hideMark/>
          </w:tcPr>
          <w:p w14:paraId="66329DAA"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47</w:t>
            </w:r>
          </w:p>
        </w:tc>
        <w:tc>
          <w:tcPr>
            <w:tcW w:w="1850" w:type="dxa"/>
            <w:tcBorders>
              <w:top w:val="nil"/>
              <w:left w:val="nil"/>
              <w:bottom w:val="nil"/>
              <w:right w:val="nil"/>
            </w:tcBorders>
            <w:shd w:val="clear" w:color="000000" w:fill="F3F3EA"/>
            <w:vAlign w:val="bottom"/>
            <w:hideMark/>
          </w:tcPr>
          <w:p w14:paraId="3ED77CAB"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5.5% [4.1%, 7.3%]</w:t>
            </w:r>
          </w:p>
        </w:tc>
        <w:tc>
          <w:tcPr>
            <w:tcW w:w="1485" w:type="dxa"/>
            <w:tcBorders>
              <w:top w:val="nil"/>
              <w:left w:val="nil"/>
              <w:bottom w:val="nil"/>
              <w:right w:val="nil"/>
            </w:tcBorders>
            <w:shd w:val="clear" w:color="000000" w:fill="F3F3EA"/>
            <w:vAlign w:val="bottom"/>
            <w:hideMark/>
          </w:tcPr>
          <w:p w14:paraId="6BD673E6"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0.1 [0.1, 0.2]</w:t>
            </w:r>
          </w:p>
        </w:tc>
        <w:tc>
          <w:tcPr>
            <w:tcW w:w="1479" w:type="dxa"/>
            <w:tcBorders>
              <w:top w:val="nil"/>
              <w:left w:val="nil"/>
              <w:bottom w:val="nil"/>
              <w:right w:val="nil"/>
            </w:tcBorders>
            <w:shd w:val="clear" w:color="000000" w:fill="F3F3EA"/>
            <w:vAlign w:val="bottom"/>
            <w:hideMark/>
          </w:tcPr>
          <w:p w14:paraId="1D293F36"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&lt; 0.001</w:t>
            </w:r>
          </w:p>
        </w:tc>
      </w:tr>
      <w:tr w:rsidR="00E64EDB" w:rsidRPr="00E64EDB" w14:paraId="5B2088CA" w14:textId="77777777" w:rsidTr="00F44D46">
        <w:trPr>
          <w:trHeight w:val="378"/>
        </w:trPr>
        <w:tc>
          <w:tcPr>
            <w:tcW w:w="1066" w:type="dxa"/>
            <w:tcBorders>
              <w:top w:val="nil"/>
              <w:left w:val="nil"/>
              <w:bottom w:val="nil"/>
              <w:right w:val="nil"/>
            </w:tcBorders>
            <w:shd w:val="clear" w:color="000000" w:fill="F3F3EA"/>
            <w:vAlign w:val="bottom"/>
            <w:hideMark/>
          </w:tcPr>
          <w:p w14:paraId="60F36868" w14:textId="77777777" w:rsidR="00E64EDB" w:rsidRPr="00E64EDB" w:rsidRDefault="00E64EDB" w:rsidP="00F44D46">
            <w:pPr>
              <w:rPr>
                <w:rFonts w:ascii="Arial" w:hAnsi="Arial" w:cs="Arial"/>
                <w:color w:val="000000"/>
                <w:sz w:val="16"/>
                <w:szCs w:val="16"/>
              </w:rPr>
            </w:pPr>
            <w:r w:rsidRPr="00E64EDB">
              <w:rPr>
                <w:rFonts w:ascii="Arial" w:hAnsi="Arial" w:cs="Arial"/>
                <w:color w:val="000000"/>
                <w:sz w:val="16"/>
                <w:szCs w:val="16"/>
              </w:rPr>
              <w:t>(N = 2366)</w:t>
            </w:r>
          </w:p>
        </w:tc>
        <w:tc>
          <w:tcPr>
            <w:tcW w:w="1878" w:type="dxa"/>
            <w:tcBorders>
              <w:top w:val="nil"/>
              <w:left w:val="nil"/>
              <w:bottom w:val="nil"/>
              <w:right w:val="nil"/>
            </w:tcBorders>
            <w:shd w:val="clear" w:color="000000" w:fill="F3F3EA"/>
            <w:vAlign w:val="bottom"/>
            <w:hideMark/>
          </w:tcPr>
          <w:p w14:paraId="74F9507E"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Medium</w:t>
            </w:r>
          </w:p>
        </w:tc>
        <w:tc>
          <w:tcPr>
            <w:tcW w:w="1472" w:type="dxa"/>
            <w:tcBorders>
              <w:top w:val="nil"/>
              <w:left w:val="nil"/>
              <w:bottom w:val="nil"/>
              <w:right w:val="nil"/>
            </w:tcBorders>
            <w:shd w:val="clear" w:color="000000" w:fill="F3F3EA"/>
            <w:vAlign w:val="bottom"/>
            <w:hideMark/>
          </w:tcPr>
          <w:p w14:paraId="1B91F580"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556</w:t>
            </w:r>
          </w:p>
        </w:tc>
        <w:tc>
          <w:tcPr>
            <w:tcW w:w="1236" w:type="dxa"/>
            <w:tcBorders>
              <w:top w:val="nil"/>
              <w:left w:val="nil"/>
              <w:bottom w:val="nil"/>
              <w:right w:val="nil"/>
            </w:tcBorders>
            <w:shd w:val="clear" w:color="000000" w:fill="F3F3EA"/>
            <w:noWrap/>
            <w:vAlign w:val="bottom"/>
            <w:hideMark/>
          </w:tcPr>
          <w:p w14:paraId="4983EF90"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122</w:t>
            </w:r>
          </w:p>
        </w:tc>
        <w:tc>
          <w:tcPr>
            <w:tcW w:w="1850" w:type="dxa"/>
            <w:tcBorders>
              <w:top w:val="nil"/>
              <w:left w:val="nil"/>
              <w:bottom w:val="nil"/>
              <w:right w:val="nil"/>
            </w:tcBorders>
            <w:shd w:val="clear" w:color="000000" w:fill="F3F3EA"/>
            <w:vAlign w:val="bottom"/>
            <w:hideMark/>
          </w:tcPr>
          <w:p w14:paraId="658A4CC3"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21.9% [18.6%, 25.6%]</w:t>
            </w:r>
          </w:p>
        </w:tc>
        <w:tc>
          <w:tcPr>
            <w:tcW w:w="1485" w:type="dxa"/>
            <w:tcBorders>
              <w:top w:val="nil"/>
              <w:left w:val="nil"/>
              <w:bottom w:val="nil"/>
              <w:right w:val="nil"/>
            </w:tcBorders>
            <w:shd w:val="clear" w:color="000000" w:fill="F3F3EA"/>
            <w:vAlign w:val="bottom"/>
            <w:hideMark/>
          </w:tcPr>
          <w:p w14:paraId="05AFD2CC"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0.6 [0.5, 0.7]</w:t>
            </w:r>
          </w:p>
        </w:tc>
        <w:tc>
          <w:tcPr>
            <w:tcW w:w="1479" w:type="dxa"/>
            <w:tcBorders>
              <w:top w:val="nil"/>
              <w:left w:val="nil"/>
              <w:bottom w:val="nil"/>
              <w:right w:val="nil"/>
            </w:tcBorders>
            <w:shd w:val="clear" w:color="000000" w:fill="F3F3EA"/>
            <w:vAlign w:val="bottom"/>
            <w:hideMark/>
          </w:tcPr>
          <w:p w14:paraId="45369C8C"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 </w:t>
            </w:r>
          </w:p>
        </w:tc>
      </w:tr>
      <w:tr w:rsidR="00E64EDB" w:rsidRPr="00E64EDB" w14:paraId="5C7EAF2A" w14:textId="77777777" w:rsidTr="00F44D46">
        <w:trPr>
          <w:trHeight w:val="369"/>
        </w:trPr>
        <w:tc>
          <w:tcPr>
            <w:tcW w:w="1066" w:type="dxa"/>
            <w:tcBorders>
              <w:top w:val="nil"/>
              <w:left w:val="nil"/>
              <w:bottom w:val="nil"/>
              <w:right w:val="nil"/>
            </w:tcBorders>
            <w:shd w:val="clear" w:color="000000" w:fill="F3F3EA"/>
            <w:vAlign w:val="bottom"/>
            <w:hideMark/>
          </w:tcPr>
          <w:p w14:paraId="0A2C96BC"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 </w:t>
            </w:r>
          </w:p>
        </w:tc>
        <w:tc>
          <w:tcPr>
            <w:tcW w:w="1878" w:type="dxa"/>
            <w:tcBorders>
              <w:top w:val="nil"/>
              <w:left w:val="nil"/>
              <w:bottom w:val="nil"/>
              <w:right w:val="nil"/>
            </w:tcBorders>
            <w:shd w:val="clear" w:color="000000" w:fill="F3F3EA"/>
            <w:vAlign w:val="bottom"/>
            <w:hideMark/>
          </w:tcPr>
          <w:p w14:paraId="6B9F6C9B"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High</w:t>
            </w:r>
          </w:p>
        </w:tc>
        <w:tc>
          <w:tcPr>
            <w:tcW w:w="1472" w:type="dxa"/>
            <w:tcBorders>
              <w:top w:val="nil"/>
              <w:left w:val="nil"/>
              <w:bottom w:val="nil"/>
              <w:right w:val="nil"/>
            </w:tcBorders>
            <w:shd w:val="clear" w:color="000000" w:fill="F3F3EA"/>
            <w:vAlign w:val="bottom"/>
            <w:hideMark/>
          </w:tcPr>
          <w:p w14:paraId="5E166CFE"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843</w:t>
            </w:r>
          </w:p>
        </w:tc>
        <w:tc>
          <w:tcPr>
            <w:tcW w:w="1236" w:type="dxa"/>
            <w:tcBorders>
              <w:top w:val="nil"/>
              <w:left w:val="nil"/>
              <w:bottom w:val="nil"/>
              <w:right w:val="nil"/>
            </w:tcBorders>
            <w:shd w:val="clear" w:color="000000" w:fill="F3F3EA"/>
            <w:noWrap/>
            <w:vAlign w:val="bottom"/>
            <w:hideMark/>
          </w:tcPr>
          <w:p w14:paraId="1D6041B0"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485</w:t>
            </w:r>
          </w:p>
        </w:tc>
        <w:tc>
          <w:tcPr>
            <w:tcW w:w="1850" w:type="dxa"/>
            <w:tcBorders>
              <w:top w:val="nil"/>
              <w:left w:val="nil"/>
              <w:bottom w:val="nil"/>
              <w:right w:val="nil"/>
            </w:tcBorders>
            <w:shd w:val="clear" w:color="000000" w:fill="F3F3EA"/>
            <w:vAlign w:val="bottom"/>
            <w:hideMark/>
          </w:tcPr>
          <w:p w14:paraId="10C4C89E"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57.5% [54.1%, 60.9%]</w:t>
            </w:r>
          </w:p>
        </w:tc>
        <w:tc>
          <w:tcPr>
            <w:tcW w:w="1485" w:type="dxa"/>
            <w:tcBorders>
              <w:top w:val="nil"/>
              <w:left w:val="nil"/>
              <w:bottom w:val="nil"/>
              <w:right w:val="nil"/>
            </w:tcBorders>
            <w:shd w:val="clear" w:color="000000" w:fill="F3F3EA"/>
            <w:vAlign w:val="bottom"/>
            <w:hideMark/>
          </w:tcPr>
          <w:p w14:paraId="68511A68"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2.9 [2.6, 3.2]</w:t>
            </w:r>
          </w:p>
        </w:tc>
        <w:tc>
          <w:tcPr>
            <w:tcW w:w="1479" w:type="dxa"/>
            <w:tcBorders>
              <w:top w:val="nil"/>
              <w:left w:val="nil"/>
              <w:bottom w:val="nil"/>
              <w:right w:val="nil"/>
            </w:tcBorders>
            <w:shd w:val="clear" w:color="000000" w:fill="F3F3EA"/>
            <w:vAlign w:val="bottom"/>
            <w:hideMark/>
          </w:tcPr>
          <w:p w14:paraId="0A6EECCA"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 </w:t>
            </w:r>
          </w:p>
        </w:tc>
      </w:tr>
      <w:tr w:rsidR="00E64EDB" w:rsidRPr="00E64EDB" w14:paraId="319C07A2" w14:textId="77777777" w:rsidTr="00F44D46">
        <w:trPr>
          <w:trHeight w:val="369"/>
        </w:trPr>
        <w:tc>
          <w:tcPr>
            <w:tcW w:w="1066" w:type="dxa"/>
            <w:tcBorders>
              <w:top w:val="nil"/>
              <w:left w:val="nil"/>
              <w:bottom w:val="single" w:sz="8" w:space="0" w:color="BFBFBF"/>
              <w:right w:val="nil"/>
            </w:tcBorders>
            <w:shd w:val="clear" w:color="000000" w:fill="F3F3EA"/>
            <w:vAlign w:val="bottom"/>
            <w:hideMark/>
          </w:tcPr>
          <w:p w14:paraId="0312B76D"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 </w:t>
            </w:r>
          </w:p>
        </w:tc>
        <w:tc>
          <w:tcPr>
            <w:tcW w:w="1878" w:type="dxa"/>
            <w:tcBorders>
              <w:top w:val="nil"/>
              <w:left w:val="nil"/>
              <w:bottom w:val="single" w:sz="8" w:space="0" w:color="BFBFBF"/>
              <w:right w:val="nil"/>
            </w:tcBorders>
            <w:shd w:val="clear" w:color="000000" w:fill="F3F3EA"/>
            <w:vAlign w:val="bottom"/>
            <w:hideMark/>
          </w:tcPr>
          <w:p w14:paraId="001389EC"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Very High</w:t>
            </w:r>
          </w:p>
        </w:tc>
        <w:tc>
          <w:tcPr>
            <w:tcW w:w="1472" w:type="dxa"/>
            <w:tcBorders>
              <w:top w:val="nil"/>
              <w:left w:val="nil"/>
              <w:bottom w:val="single" w:sz="8" w:space="0" w:color="BFBFBF"/>
              <w:right w:val="nil"/>
            </w:tcBorders>
            <w:shd w:val="clear" w:color="000000" w:fill="F3F3EA"/>
            <w:vAlign w:val="bottom"/>
            <w:hideMark/>
          </w:tcPr>
          <w:p w14:paraId="089ED47E"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118</w:t>
            </w:r>
          </w:p>
        </w:tc>
        <w:tc>
          <w:tcPr>
            <w:tcW w:w="1236" w:type="dxa"/>
            <w:tcBorders>
              <w:top w:val="nil"/>
              <w:left w:val="nil"/>
              <w:bottom w:val="single" w:sz="8" w:space="0" w:color="BFBFBF"/>
              <w:right w:val="nil"/>
            </w:tcBorders>
            <w:shd w:val="clear" w:color="000000" w:fill="F3F3EA"/>
            <w:noWrap/>
            <w:vAlign w:val="bottom"/>
            <w:hideMark/>
          </w:tcPr>
          <w:p w14:paraId="504AA143"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109</w:t>
            </w:r>
          </w:p>
        </w:tc>
        <w:tc>
          <w:tcPr>
            <w:tcW w:w="1850" w:type="dxa"/>
            <w:tcBorders>
              <w:top w:val="nil"/>
              <w:left w:val="nil"/>
              <w:bottom w:val="single" w:sz="8" w:space="0" w:color="BFBFBF"/>
              <w:right w:val="nil"/>
            </w:tcBorders>
            <w:shd w:val="clear" w:color="000000" w:fill="F3F3EA"/>
            <w:vAlign w:val="bottom"/>
            <w:hideMark/>
          </w:tcPr>
          <w:p w14:paraId="5A1958C0"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92.4% [86.0%, 96.5%]</w:t>
            </w:r>
          </w:p>
        </w:tc>
        <w:tc>
          <w:tcPr>
            <w:tcW w:w="1485" w:type="dxa"/>
            <w:tcBorders>
              <w:top w:val="nil"/>
              <w:left w:val="nil"/>
              <w:bottom w:val="single" w:sz="8" w:space="0" w:color="BFBFBF"/>
              <w:right w:val="nil"/>
            </w:tcBorders>
            <w:shd w:val="clear" w:color="000000" w:fill="F3F3EA"/>
            <w:vAlign w:val="bottom"/>
            <w:hideMark/>
          </w:tcPr>
          <w:p w14:paraId="196E91F9"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25.4 [13.0, 49.9]</w:t>
            </w:r>
          </w:p>
        </w:tc>
        <w:tc>
          <w:tcPr>
            <w:tcW w:w="1479" w:type="dxa"/>
            <w:tcBorders>
              <w:top w:val="nil"/>
              <w:left w:val="nil"/>
              <w:bottom w:val="single" w:sz="8" w:space="0" w:color="BFBFBF"/>
              <w:right w:val="nil"/>
            </w:tcBorders>
            <w:shd w:val="clear" w:color="000000" w:fill="F3F3EA"/>
            <w:vAlign w:val="bottom"/>
            <w:hideMark/>
          </w:tcPr>
          <w:p w14:paraId="41E2B73A"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 </w:t>
            </w:r>
          </w:p>
        </w:tc>
      </w:tr>
      <w:tr w:rsidR="00E64EDB" w:rsidRPr="00E64EDB" w14:paraId="3B80B94F" w14:textId="77777777" w:rsidTr="00F44D46">
        <w:trPr>
          <w:trHeight w:val="322"/>
        </w:trPr>
        <w:tc>
          <w:tcPr>
            <w:tcW w:w="1066" w:type="dxa"/>
            <w:tcBorders>
              <w:top w:val="nil"/>
              <w:left w:val="nil"/>
              <w:bottom w:val="nil"/>
              <w:right w:val="nil"/>
            </w:tcBorders>
            <w:shd w:val="clear" w:color="000000" w:fill="F3F3EA"/>
            <w:vAlign w:val="bottom"/>
            <w:hideMark/>
          </w:tcPr>
          <w:p w14:paraId="49DDAA57"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Internal</w:t>
            </w:r>
          </w:p>
        </w:tc>
        <w:tc>
          <w:tcPr>
            <w:tcW w:w="1878" w:type="dxa"/>
            <w:tcBorders>
              <w:top w:val="nil"/>
              <w:left w:val="nil"/>
              <w:bottom w:val="nil"/>
              <w:right w:val="nil"/>
            </w:tcBorders>
            <w:shd w:val="clear" w:color="000000" w:fill="F3F3EA"/>
            <w:vAlign w:val="bottom"/>
            <w:hideMark/>
          </w:tcPr>
          <w:p w14:paraId="57DCB94D"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Low</w:t>
            </w:r>
          </w:p>
        </w:tc>
        <w:tc>
          <w:tcPr>
            <w:tcW w:w="1472" w:type="dxa"/>
            <w:tcBorders>
              <w:top w:val="nil"/>
              <w:left w:val="nil"/>
              <w:bottom w:val="nil"/>
              <w:right w:val="nil"/>
            </w:tcBorders>
            <w:shd w:val="clear" w:color="000000" w:fill="F3F3EA"/>
            <w:vAlign w:val="bottom"/>
            <w:hideMark/>
          </w:tcPr>
          <w:p w14:paraId="49BD95D0"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144</w:t>
            </w:r>
          </w:p>
        </w:tc>
        <w:tc>
          <w:tcPr>
            <w:tcW w:w="1236" w:type="dxa"/>
            <w:tcBorders>
              <w:top w:val="nil"/>
              <w:left w:val="nil"/>
              <w:bottom w:val="nil"/>
              <w:right w:val="nil"/>
            </w:tcBorders>
            <w:shd w:val="clear" w:color="000000" w:fill="F3F3EA"/>
            <w:noWrap/>
            <w:vAlign w:val="bottom"/>
            <w:hideMark/>
          </w:tcPr>
          <w:p w14:paraId="09293A69"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13</w:t>
            </w:r>
          </w:p>
        </w:tc>
        <w:tc>
          <w:tcPr>
            <w:tcW w:w="1850" w:type="dxa"/>
            <w:tcBorders>
              <w:top w:val="nil"/>
              <w:left w:val="nil"/>
              <w:bottom w:val="nil"/>
              <w:right w:val="nil"/>
            </w:tcBorders>
            <w:shd w:val="clear" w:color="000000" w:fill="F3F3EA"/>
            <w:vAlign w:val="bottom"/>
            <w:hideMark/>
          </w:tcPr>
          <w:p w14:paraId="0DB28C90"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9.0% [4.9%, 14.9%]</w:t>
            </w:r>
          </w:p>
        </w:tc>
        <w:tc>
          <w:tcPr>
            <w:tcW w:w="1485" w:type="dxa"/>
            <w:tcBorders>
              <w:top w:val="nil"/>
              <w:left w:val="nil"/>
              <w:bottom w:val="nil"/>
              <w:right w:val="nil"/>
            </w:tcBorders>
            <w:shd w:val="clear" w:color="000000" w:fill="F3F3EA"/>
            <w:vAlign w:val="bottom"/>
            <w:hideMark/>
          </w:tcPr>
          <w:p w14:paraId="15C72F8E"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0.3 [0.2, 0.4]</w:t>
            </w:r>
          </w:p>
        </w:tc>
        <w:tc>
          <w:tcPr>
            <w:tcW w:w="1479" w:type="dxa"/>
            <w:tcBorders>
              <w:top w:val="nil"/>
              <w:left w:val="nil"/>
              <w:bottom w:val="nil"/>
              <w:right w:val="nil"/>
            </w:tcBorders>
            <w:shd w:val="clear" w:color="000000" w:fill="F3F3EA"/>
            <w:vAlign w:val="bottom"/>
            <w:hideMark/>
          </w:tcPr>
          <w:p w14:paraId="157819C1"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&lt; 0.001</w:t>
            </w:r>
          </w:p>
        </w:tc>
      </w:tr>
      <w:tr w:rsidR="00E64EDB" w:rsidRPr="00E64EDB" w14:paraId="02B74CBB" w14:textId="77777777" w:rsidTr="00F44D46">
        <w:trPr>
          <w:trHeight w:val="369"/>
        </w:trPr>
        <w:tc>
          <w:tcPr>
            <w:tcW w:w="1066" w:type="dxa"/>
            <w:tcBorders>
              <w:top w:val="nil"/>
              <w:left w:val="nil"/>
              <w:bottom w:val="nil"/>
              <w:right w:val="nil"/>
            </w:tcBorders>
            <w:shd w:val="clear" w:color="000000" w:fill="F3F3EA"/>
            <w:vAlign w:val="bottom"/>
            <w:hideMark/>
          </w:tcPr>
          <w:p w14:paraId="5451EE61"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Validation</w:t>
            </w:r>
          </w:p>
        </w:tc>
        <w:tc>
          <w:tcPr>
            <w:tcW w:w="1878" w:type="dxa"/>
            <w:tcBorders>
              <w:top w:val="nil"/>
              <w:left w:val="nil"/>
              <w:bottom w:val="nil"/>
              <w:right w:val="nil"/>
            </w:tcBorders>
            <w:shd w:val="clear" w:color="000000" w:fill="F3F3EA"/>
            <w:vAlign w:val="bottom"/>
            <w:hideMark/>
          </w:tcPr>
          <w:p w14:paraId="6632E18B"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Medium</w:t>
            </w:r>
          </w:p>
        </w:tc>
        <w:tc>
          <w:tcPr>
            <w:tcW w:w="1472" w:type="dxa"/>
            <w:tcBorders>
              <w:top w:val="nil"/>
              <w:left w:val="nil"/>
              <w:bottom w:val="nil"/>
              <w:right w:val="nil"/>
            </w:tcBorders>
            <w:shd w:val="clear" w:color="000000" w:fill="F3F3EA"/>
            <w:vAlign w:val="bottom"/>
            <w:hideMark/>
          </w:tcPr>
          <w:p w14:paraId="49037753"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91</w:t>
            </w:r>
          </w:p>
        </w:tc>
        <w:tc>
          <w:tcPr>
            <w:tcW w:w="1236" w:type="dxa"/>
            <w:tcBorders>
              <w:top w:val="nil"/>
              <w:left w:val="nil"/>
              <w:bottom w:val="nil"/>
              <w:right w:val="nil"/>
            </w:tcBorders>
            <w:shd w:val="clear" w:color="000000" w:fill="F3F3EA"/>
            <w:noWrap/>
            <w:vAlign w:val="bottom"/>
            <w:hideMark/>
          </w:tcPr>
          <w:p w14:paraId="25057F39"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15</w:t>
            </w:r>
          </w:p>
        </w:tc>
        <w:tc>
          <w:tcPr>
            <w:tcW w:w="1850" w:type="dxa"/>
            <w:tcBorders>
              <w:top w:val="nil"/>
              <w:left w:val="nil"/>
              <w:bottom w:val="nil"/>
              <w:right w:val="nil"/>
            </w:tcBorders>
            <w:shd w:val="clear" w:color="000000" w:fill="F3F3EA"/>
            <w:vAlign w:val="bottom"/>
            <w:hideMark/>
          </w:tcPr>
          <w:p w14:paraId="5EEE7FE7"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16.5% [9.5%, 25.7%]</w:t>
            </w:r>
          </w:p>
        </w:tc>
        <w:tc>
          <w:tcPr>
            <w:tcW w:w="1485" w:type="dxa"/>
            <w:tcBorders>
              <w:top w:val="nil"/>
              <w:left w:val="nil"/>
              <w:bottom w:val="nil"/>
              <w:right w:val="nil"/>
            </w:tcBorders>
            <w:shd w:val="clear" w:color="000000" w:fill="F3F3EA"/>
            <w:vAlign w:val="bottom"/>
            <w:hideMark/>
          </w:tcPr>
          <w:p w14:paraId="7EADA4B8"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0.5 [0.3, 0.9]</w:t>
            </w:r>
          </w:p>
        </w:tc>
        <w:tc>
          <w:tcPr>
            <w:tcW w:w="1479" w:type="dxa"/>
            <w:tcBorders>
              <w:top w:val="nil"/>
              <w:left w:val="nil"/>
              <w:bottom w:val="nil"/>
              <w:right w:val="nil"/>
            </w:tcBorders>
            <w:shd w:val="clear" w:color="000000" w:fill="F3F3EA"/>
            <w:vAlign w:val="bottom"/>
            <w:hideMark/>
          </w:tcPr>
          <w:p w14:paraId="669524F2"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 </w:t>
            </w:r>
          </w:p>
        </w:tc>
      </w:tr>
      <w:tr w:rsidR="00E64EDB" w:rsidRPr="00E64EDB" w14:paraId="759A4A5F" w14:textId="77777777" w:rsidTr="00F44D46">
        <w:trPr>
          <w:trHeight w:val="315"/>
        </w:trPr>
        <w:tc>
          <w:tcPr>
            <w:tcW w:w="1066" w:type="dxa"/>
            <w:tcBorders>
              <w:top w:val="nil"/>
              <w:left w:val="nil"/>
              <w:bottom w:val="nil"/>
              <w:right w:val="nil"/>
            </w:tcBorders>
            <w:shd w:val="clear" w:color="000000" w:fill="F3F3EA"/>
            <w:vAlign w:val="bottom"/>
            <w:hideMark/>
          </w:tcPr>
          <w:p w14:paraId="4D075C3A"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(N = 393)</w:t>
            </w:r>
          </w:p>
        </w:tc>
        <w:tc>
          <w:tcPr>
            <w:tcW w:w="1878" w:type="dxa"/>
            <w:tcBorders>
              <w:top w:val="nil"/>
              <w:left w:val="nil"/>
              <w:bottom w:val="nil"/>
              <w:right w:val="nil"/>
            </w:tcBorders>
            <w:shd w:val="clear" w:color="000000" w:fill="F3F3EA"/>
            <w:vAlign w:val="bottom"/>
            <w:hideMark/>
          </w:tcPr>
          <w:p w14:paraId="2E6A030D"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High</w:t>
            </w:r>
          </w:p>
        </w:tc>
        <w:tc>
          <w:tcPr>
            <w:tcW w:w="1472" w:type="dxa"/>
            <w:tcBorders>
              <w:top w:val="nil"/>
              <w:left w:val="nil"/>
              <w:bottom w:val="nil"/>
              <w:right w:val="nil"/>
            </w:tcBorders>
            <w:shd w:val="clear" w:color="000000" w:fill="F3F3EA"/>
            <w:vAlign w:val="bottom"/>
            <w:hideMark/>
          </w:tcPr>
          <w:p w14:paraId="3403DC5F"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141</w:t>
            </w:r>
          </w:p>
        </w:tc>
        <w:tc>
          <w:tcPr>
            <w:tcW w:w="1236" w:type="dxa"/>
            <w:tcBorders>
              <w:top w:val="nil"/>
              <w:left w:val="nil"/>
              <w:bottom w:val="nil"/>
              <w:right w:val="nil"/>
            </w:tcBorders>
            <w:shd w:val="clear" w:color="000000" w:fill="F3F3EA"/>
            <w:noWrap/>
            <w:vAlign w:val="bottom"/>
            <w:hideMark/>
          </w:tcPr>
          <w:p w14:paraId="1329E967"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66</w:t>
            </w:r>
          </w:p>
        </w:tc>
        <w:tc>
          <w:tcPr>
            <w:tcW w:w="1850" w:type="dxa"/>
            <w:tcBorders>
              <w:top w:val="nil"/>
              <w:left w:val="nil"/>
              <w:bottom w:val="nil"/>
              <w:right w:val="nil"/>
            </w:tcBorders>
            <w:shd w:val="clear" w:color="000000" w:fill="F3F3EA"/>
            <w:vAlign w:val="bottom"/>
            <w:hideMark/>
          </w:tcPr>
          <w:p w14:paraId="49EBD36F"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46.8% [38.4%, 55.4%]</w:t>
            </w:r>
          </w:p>
        </w:tc>
        <w:tc>
          <w:tcPr>
            <w:tcW w:w="1485" w:type="dxa"/>
            <w:tcBorders>
              <w:top w:val="nil"/>
              <w:left w:val="nil"/>
              <w:bottom w:val="nil"/>
              <w:right w:val="nil"/>
            </w:tcBorders>
            <w:shd w:val="clear" w:color="000000" w:fill="F3F3EA"/>
            <w:vAlign w:val="bottom"/>
            <w:hideMark/>
          </w:tcPr>
          <w:p w14:paraId="771B19F2"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2.3 [1.8, 3.0]</w:t>
            </w:r>
          </w:p>
        </w:tc>
        <w:tc>
          <w:tcPr>
            <w:tcW w:w="1479" w:type="dxa"/>
            <w:tcBorders>
              <w:top w:val="nil"/>
              <w:left w:val="nil"/>
              <w:bottom w:val="nil"/>
              <w:right w:val="nil"/>
            </w:tcBorders>
            <w:shd w:val="clear" w:color="000000" w:fill="F3F3EA"/>
            <w:vAlign w:val="bottom"/>
            <w:hideMark/>
          </w:tcPr>
          <w:p w14:paraId="65BF43D6"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 </w:t>
            </w:r>
          </w:p>
        </w:tc>
      </w:tr>
      <w:tr w:rsidR="00E64EDB" w:rsidRPr="00E64EDB" w14:paraId="2631E628" w14:textId="77777777" w:rsidTr="00E64EDB">
        <w:trPr>
          <w:trHeight w:val="340"/>
        </w:trPr>
        <w:tc>
          <w:tcPr>
            <w:tcW w:w="1066" w:type="dxa"/>
            <w:tcBorders>
              <w:top w:val="nil"/>
              <w:left w:val="nil"/>
              <w:bottom w:val="single" w:sz="8" w:space="0" w:color="auto"/>
              <w:right w:val="nil"/>
            </w:tcBorders>
            <w:shd w:val="clear" w:color="000000" w:fill="F3F3EA"/>
            <w:noWrap/>
            <w:vAlign w:val="bottom"/>
            <w:hideMark/>
          </w:tcPr>
          <w:p w14:paraId="3B24125A"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 </w:t>
            </w:r>
          </w:p>
        </w:tc>
        <w:tc>
          <w:tcPr>
            <w:tcW w:w="1878" w:type="dxa"/>
            <w:tcBorders>
              <w:top w:val="nil"/>
              <w:left w:val="nil"/>
              <w:bottom w:val="single" w:sz="8" w:space="0" w:color="auto"/>
              <w:right w:val="nil"/>
            </w:tcBorders>
            <w:shd w:val="clear" w:color="000000" w:fill="F3F3EA"/>
            <w:vAlign w:val="bottom"/>
            <w:hideMark/>
          </w:tcPr>
          <w:p w14:paraId="71E0D9A3"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Very High</w:t>
            </w:r>
          </w:p>
        </w:tc>
        <w:tc>
          <w:tcPr>
            <w:tcW w:w="1472" w:type="dxa"/>
            <w:tcBorders>
              <w:top w:val="nil"/>
              <w:left w:val="nil"/>
              <w:bottom w:val="single" w:sz="8" w:space="0" w:color="auto"/>
              <w:right w:val="nil"/>
            </w:tcBorders>
            <w:shd w:val="clear" w:color="000000" w:fill="F3F3EA"/>
            <w:vAlign w:val="bottom"/>
            <w:hideMark/>
          </w:tcPr>
          <w:p w14:paraId="5A0A4557"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17</w:t>
            </w:r>
          </w:p>
        </w:tc>
        <w:tc>
          <w:tcPr>
            <w:tcW w:w="1236" w:type="dxa"/>
            <w:tcBorders>
              <w:top w:val="nil"/>
              <w:left w:val="nil"/>
              <w:bottom w:val="single" w:sz="8" w:space="0" w:color="auto"/>
              <w:right w:val="nil"/>
            </w:tcBorders>
            <w:shd w:val="clear" w:color="000000" w:fill="F3F3EA"/>
            <w:vAlign w:val="bottom"/>
            <w:hideMark/>
          </w:tcPr>
          <w:p w14:paraId="5712EFA6"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14</w:t>
            </w:r>
          </w:p>
        </w:tc>
        <w:tc>
          <w:tcPr>
            <w:tcW w:w="1850" w:type="dxa"/>
            <w:tcBorders>
              <w:top w:val="nil"/>
              <w:left w:val="nil"/>
              <w:bottom w:val="single" w:sz="8" w:space="0" w:color="auto"/>
              <w:right w:val="nil"/>
            </w:tcBorders>
            <w:shd w:val="clear" w:color="000000" w:fill="F3F3EA"/>
            <w:noWrap/>
            <w:vAlign w:val="bottom"/>
            <w:hideMark/>
          </w:tcPr>
          <w:p w14:paraId="0C80935E"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82.4% [56.6%, 96.2%]</w:t>
            </w:r>
          </w:p>
        </w:tc>
        <w:tc>
          <w:tcPr>
            <w:tcW w:w="1485" w:type="dxa"/>
            <w:tcBorders>
              <w:top w:val="nil"/>
              <w:left w:val="nil"/>
              <w:bottom w:val="single" w:sz="8" w:space="0" w:color="auto"/>
              <w:right w:val="nil"/>
            </w:tcBorders>
            <w:shd w:val="clear" w:color="000000" w:fill="F3F3EA"/>
            <w:vAlign w:val="bottom"/>
            <w:hideMark/>
          </w:tcPr>
          <w:p w14:paraId="3BA22B61"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12.3 [3.6, 42]</w:t>
            </w:r>
          </w:p>
        </w:tc>
        <w:tc>
          <w:tcPr>
            <w:tcW w:w="1479" w:type="dxa"/>
            <w:tcBorders>
              <w:top w:val="nil"/>
              <w:left w:val="nil"/>
              <w:bottom w:val="single" w:sz="8" w:space="0" w:color="auto"/>
              <w:right w:val="nil"/>
            </w:tcBorders>
            <w:shd w:val="clear" w:color="000000" w:fill="F3F3EA"/>
            <w:vAlign w:val="bottom"/>
            <w:hideMark/>
          </w:tcPr>
          <w:p w14:paraId="576704D9" w14:textId="77777777" w:rsidR="00E64EDB" w:rsidRPr="00E64EDB" w:rsidRDefault="00E64EDB" w:rsidP="00E64EDB">
            <w:pPr>
              <w:jc w:val="center"/>
              <w:rPr>
                <w:rFonts w:ascii="Arial" w:hAnsi="Arial" w:cs="Arial"/>
                <w:color w:val="000000"/>
                <w:sz w:val="16"/>
                <w:szCs w:val="16"/>
              </w:rPr>
            </w:pPr>
            <w:r w:rsidRPr="00E64EDB">
              <w:rPr>
                <w:rFonts w:ascii="Arial" w:hAnsi="Arial" w:cs="Arial"/>
                <w:color w:val="000000"/>
                <w:sz w:val="16"/>
                <w:szCs w:val="16"/>
              </w:rPr>
              <w:t> </w:t>
            </w:r>
          </w:p>
        </w:tc>
      </w:tr>
    </w:tbl>
    <w:p w14:paraId="394EA703" w14:textId="35628AB5" w:rsidR="00E64EDB" w:rsidRDefault="00E64EDB" w:rsidP="00E64EDB"/>
    <w:p w14:paraId="207006B1" w14:textId="50C9A342" w:rsidR="008640F5" w:rsidRDefault="00087CA9" w:rsidP="00087CA9">
      <w:pPr>
        <w:pStyle w:val="Heading2"/>
      </w:pPr>
      <w:bookmarkStart w:id="10" w:name="_Toc165296875"/>
      <w:proofErr w:type="spellStart"/>
      <w:r>
        <w:t>eTable</w:t>
      </w:r>
      <w:proofErr w:type="spellEnd"/>
      <w:r>
        <w:t xml:space="preserve"> </w:t>
      </w:r>
      <w:r w:rsidR="00525989">
        <w:t>3</w:t>
      </w:r>
      <w:r>
        <w:t>.</w:t>
      </w:r>
      <w:r w:rsidR="00A23A7C">
        <w:t xml:space="preserve"> Derivation and Internal Validation Sepsis Im</w:t>
      </w:r>
      <w:r w:rsidR="001E6A9F">
        <w:t>munoScore Risk Stratification for Morbidity and Mortality</w:t>
      </w:r>
      <w:bookmarkEnd w:id="10"/>
    </w:p>
    <w:tbl>
      <w:tblPr>
        <w:tblW w:w="10840" w:type="dxa"/>
        <w:tblInd w:w="-736" w:type="dxa"/>
        <w:tblLook w:val="04A0" w:firstRow="1" w:lastRow="0" w:firstColumn="1" w:lastColumn="0" w:noHBand="0" w:noVBand="1"/>
      </w:tblPr>
      <w:tblGrid>
        <w:gridCol w:w="1000"/>
        <w:gridCol w:w="1940"/>
        <w:gridCol w:w="1200"/>
        <w:gridCol w:w="820"/>
        <w:gridCol w:w="1100"/>
        <w:gridCol w:w="1606"/>
        <w:gridCol w:w="1194"/>
        <w:gridCol w:w="1236"/>
        <w:gridCol w:w="744"/>
      </w:tblGrid>
      <w:tr w:rsidR="00D14D65" w:rsidRPr="00BF0C9A" w14:paraId="4DA1262D" w14:textId="77777777" w:rsidTr="00F74BC3">
        <w:trPr>
          <w:trHeight w:val="240"/>
        </w:trPr>
        <w:tc>
          <w:tcPr>
            <w:tcW w:w="1000" w:type="dxa"/>
            <w:vMerge w:val="restart"/>
            <w:tcBorders>
              <w:top w:val="nil"/>
              <w:left w:val="nil"/>
              <w:bottom w:val="single" w:sz="8" w:space="0" w:color="000000"/>
              <w:right w:val="nil"/>
            </w:tcBorders>
            <w:shd w:val="clear" w:color="000000" w:fill="F3F3EA"/>
            <w:noWrap/>
            <w:vAlign w:val="center"/>
            <w:hideMark/>
          </w:tcPr>
          <w:p w14:paraId="14672755"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Cohort</w:t>
            </w:r>
          </w:p>
        </w:tc>
        <w:tc>
          <w:tcPr>
            <w:tcW w:w="1940" w:type="dxa"/>
            <w:vMerge w:val="restart"/>
            <w:tcBorders>
              <w:top w:val="nil"/>
              <w:left w:val="nil"/>
              <w:bottom w:val="single" w:sz="8" w:space="0" w:color="000000"/>
              <w:right w:val="nil"/>
            </w:tcBorders>
            <w:shd w:val="clear" w:color="000000" w:fill="F3F3EA"/>
            <w:vAlign w:val="center"/>
            <w:hideMark/>
          </w:tcPr>
          <w:p w14:paraId="545CB009"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Secondary Outcome</w:t>
            </w:r>
          </w:p>
        </w:tc>
        <w:tc>
          <w:tcPr>
            <w:tcW w:w="1200" w:type="dxa"/>
            <w:vMerge w:val="restart"/>
            <w:tcBorders>
              <w:top w:val="nil"/>
              <w:left w:val="nil"/>
              <w:bottom w:val="single" w:sz="8" w:space="0" w:color="000000"/>
              <w:right w:val="nil"/>
            </w:tcBorders>
            <w:shd w:val="clear" w:color="000000" w:fill="F3F3EA"/>
            <w:vAlign w:val="center"/>
            <w:hideMark/>
          </w:tcPr>
          <w:p w14:paraId="02DA200A"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Sepsis Risk Category</w:t>
            </w:r>
          </w:p>
        </w:tc>
        <w:tc>
          <w:tcPr>
            <w:tcW w:w="820" w:type="dxa"/>
            <w:vMerge w:val="restart"/>
            <w:tcBorders>
              <w:top w:val="nil"/>
              <w:left w:val="nil"/>
              <w:bottom w:val="single" w:sz="8" w:space="0" w:color="000000"/>
              <w:right w:val="nil"/>
            </w:tcBorders>
            <w:shd w:val="clear" w:color="000000" w:fill="F3F3EA"/>
            <w:vAlign w:val="center"/>
            <w:hideMark/>
          </w:tcPr>
          <w:p w14:paraId="050BE026"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Total Patients</w:t>
            </w:r>
          </w:p>
        </w:tc>
        <w:tc>
          <w:tcPr>
            <w:tcW w:w="1100" w:type="dxa"/>
            <w:vMerge w:val="restart"/>
            <w:tcBorders>
              <w:top w:val="nil"/>
              <w:left w:val="nil"/>
              <w:bottom w:val="single" w:sz="8" w:space="0" w:color="000000"/>
              <w:right w:val="nil"/>
            </w:tcBorders>
            <w:shd w:val="clear" w:color="000000" w:fill="F3F3EA"/>
            <w:vAlign w:val="center"/>
            <w:hideMark/>
          </w:tcPr>
          <w:p w14:paraId="33A2D458"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Patients with Event</w:t>
            </w:r>
          </w:p>
        </w:tc>
        <w:tc>
          <w:tcPr>
            <w:tcW w:w="1606" w:type="dxa"/>
            <w:vMerge w:val="restart"/>
            <w:tcBorders>
              <w:top w:val="nil"/>
              <w:left w:val="nil"/>
              <w:bottom w:val="single" w:sz="8" w:space="0" w:color="000000"/>
              <w:right w:val="nil"/>
            </w:tcBorders>
            <w:shd w:val="clear" w:color="000000" w:fill="F3F3EA"/>
            <w:vAlign w:val="center"/>
            <w:hideMark/>
          </w:tcPr>
          <w:p w14:paraId="08B909D5"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Predictive Value [95% CI]</w:t>
            </w:r>
          </w:p>
        </w:tc>
        <w:tc>
          <w:tcPr>
            <w:tcW w:w="1194" w:type="dxa"/>
            <w:vMerge w:val="restart"/>
            <w:tcBorders>
              <w:top w:val="nil"/>
              <w:left w:val="nil"/>
              <w:bottom w:val="single" w:sz="8" w:space="0" w:color="000000"/>
              <w:right w:val="nil"/>
            </w:tcBorders>
            <w:shd w:val="clear" w:color="000000" w:fill="F3F3EA"/>
            <w:vAlign w:val="center"/>
            <w:hideMark/>
          </w:tcPr>
          <w:p w14:paraId="3DBADAC0"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Likelihood Ratio [95% CI]</w:t>
            </w:r>
          </w:p>
        </w:tc>
        <w:tc>
          <w:tcPr>
            <w:tcW w:w="1236" w:type="dxa"/>
            <w:vMerge w:val="restart"/>
            <w:tcBorders>
              <w:top w:val="nil"/>
              <w:left w:val="nil"/>
              <w:bottom w:val="single" w:sz="8" w:space="0" w:color="000000"/>
              <w:right w:val="nil"/>
            </w:tcBorders>
            <w:shd w:val="clear" w:color="000000" w:fill="F3F3EA"/>
            <w:vAlign w:val="center"/>
            <w:hideMark/>
          </w:tcPr>
          <w:p w14:paraId="4466D9F2"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Days [95% CI]</w:t>
            </w:r>
          </w:p>
        </w:tc>
        <w:tc>
          <w:tcPr>
            <w:tcW w:w="744" w:type="dxa"/>
            <w:tcBorders>
              <w:top w:val="nil"/>
              <w:left w:val="nil"/>
              <w:bottom w:val="nil"/>
              <w:right w:val="nil"/>
            </w:tcBorders>
            <w:shd w:val="clear" w:color="000000" w:fill="F3F3EA"/>
            <w:vAlign w:val="center"/>
            <w:hideMark/>
          </w:tcPr>
          <w:p w14:paraId="38C3E125"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Cochran-Armitage</w:t>
            </w:r>
          </w:p>
        </w:tc>
      </w:tr>
      <w:tr w:rsidR="00BF0C9A" w:rsidRPr="00BF0C9A" w14:paraId="7072C6AF" w14:textId="77777777" w:rsidTr="00F74BC3">
        <w:trPr>
          <w:trHeight w:val="240"/>
        </w:trPr>
        <w:tc>
          <w:tcPr>
            <w:tcW w:w="1000" w:type="dxa"/>
            <w:vMerge/>
            <w:tcBorders>
              <w:top w:val="nil"/>
              <w:left w:val="nil"/>
              <w:bottom w:val="single" w:sz="8" w:space="0" w:color="000000"/>
              <w:right w:val="nil"/>
            </w:tcBorders>
            <w:vAlign w:val="center"/>
            <w:hideMark/>
          </w:tcPr>
          <w:p w14:paraId="3A426F1B" w14:textId="77777777" w:rsidR="00BF0C9A" w:rsidRPr="00BF0C9A" w:rsidRDefault="00BF0C9A" w:rsidP="00BF0C9A">
            <w:pPr>
              <w:rPr>
                <w:rFonts w:ascii="Arial" w:hAnsi="Arial" w:cs="Arial"/>
                <w:color w:val="000000"/>
                <w:sz w:val="12"/>
                <w:szCs w:val="12"/>
              </w:rPr>
            </w:pPr>
          </w:p>
        </w:tc>
        <w:tc>
          <w:tcPr>
            <w:tcW w:w="1940" w:type="dxa"/>
            <w:vMerge/>
            <w:tcBorders>
              <w:top w:val="nil"/>
              <w:left w:val="nil"/>
              <w:bottom w:val="single" w:sz="8" w:space="0" w:color="000000"/>
              <w:right w:val="nil"/>
            </w:tcBorders>
            <w:vAlign w:val="center"/>
            <w:hideMark/>
          </w:tcPr>
          <w:p w14:paraId="21AD21B9" w14:textId="77777777" w:rsidR="00BF0C9A" w:rsidRPr="00BF0C9A" w:rsidRDefault="00BF0C9A" w:rsidP="00BF0C9A">
            <w:pPr>
              <w:rPr>
                <w:rFonts w:ascii="Arial" w:hAnsi="Arial" w:cs="Arial"/>
                <w:color w:val="000000"/>
                <w:sz w:val="12"/>
                <w:szCs w:val="12"/>
              </w:rPr>
            </w:pPr>
          </w:p>
        </w:tc>
        <w:tc>
          <w:tcPr>
            <w:tcW w:w="1200" w:type="dxa"/>
            <w:vMerge/>
            <w:tcBorders>
              <w:top w:val="nil"/>
              <w:left w:val="nil"/>
              <w:bottom w:val="single" w:sz="8" w:space="0" w:color="000000"/>
              <w:right w:val="nil"/>
            </w:tcBorders>
            <w:vAlign w:val="center"/>
            <w:hideMark/>
          </w:tcPr>
          <w:p w14:paraId="09F3718E" w14:textId="77777777" w:rsidR="00BF0C9A" w:rsidRPr="00BF0C9A" w:rsidRDefault="00BF0C9A" w:rsidP="00BF0C9A">
            <w:pPr>
              <w:rPr>
                <w:rFonts w:ascii="Arial" w:hAnsi="Arial" w:cs="Arial"/>
                <w:color w:val="000000"/>
                <w:sz w:val="12"/>
                <w:szCs w:val="12"/>
              </w:rPr>
            </w:pPr>
          </w:p>
        </w:tc>
        <w:tc>
          <w:tcPr>
            <w:tcW w:w="820" w:type="dxa"/>
            <w:vMerge/>
            <w:tcBorders>
              <w:top w:val="nil"/>
              <w:left w:val="nil"/>
              <w:bottom w:val="single" w:sz="8" w:space="0" w:color="000000"/>
              <w:right w:val="nil"/>
            </w:tcBorders>
            <w:vAlign w:val="center"/>
            <w:hideMark/>
          </w:tcPr>
          <w:p w14:paraId="5B5802AA" w14:textId="77777777" w:rsidR="00BF0C9A" w:rsidRPr="00BF0C9A" w:rsidRDefault="00BF0C9A" w:rsidP="00BF0C9A">
            <w:pPr>
              <w:rPr>
                <w:rFonts w:ascii="Arial" w:hAnsi="Arial" w:cs="Arial"/>
                <w:color w:val="000000"/>
                <w:sz w:val="12"/>
                <w:szCs w:val="12"/>
              </w:rPr>
            </w:pPr>
          </w:p>
        </w:tc>
        <w:tc>
          <w:tcPr>
            <w:tcW w:w="1100" w:type="dxa"/>
            <w:vMerge/>
            <w:tcBorders>
              <w:top w:val="nil"/>
              <w:left w:val="nil"/>
              <w:bottom w:val="single" w:sz="8" w:space="0" w:color="000000"/>
              <w:right w:val="nil"/>
            </w:tcBorders>
            <w:vAlign w:val="center"/>
            <w:hideMark/>
          </w:tcPr>
          <w:p w14:paraId="5A6B28CB" w14:textId="77777777" w:rsidR="00BF0C9A" w:rsidRPr="00BF0C9A" w:rsidRDefault="00BF0C9A" w:rsidP="00BF0C9A">
            <w:pPr>
              <w:rPr>
                <w:rFonts w:ascii="Arial" w:hAnsi="Arial" w:cs="Arial"/>
                <w:color w:val="000000"/>
                <w:sz w:val="12"/>
                <w:szCs w:val="12"/>
              </w:rPr>
            </w:pPr>
          </w:p>
        </w:tc>
        <w:tc>
          <w:tcPr>
            <w:tcW w:w="1606" w:type="dxa"/>
            <w:vMerge/>
            <w:tcBorders>
              <w:top w:val="nil"/>
              <w:left w:val="nil"/>
              <w:bottom w:val="single" w:sz="8" w:space="0" w:color="000000"/>
              <w:right w:val="nil"/>
            </w:tcBorders>
            <w:vAlign w:val="center"/>
            <w:hideMark/>
          </w:tcPr>
          <w:p w14:paraId="5C08E94F" w14:textId="77777777" w:rsidR="00BF0C9A" w:rsidRPr="00BF0C9A" w:rsidRDefault="00BF0C9A" w:rsidP="00BF0C9A">
            <w:pPr>
              <w:rPr>
                <w:rFonts w:ascii="Arial" w:hAnsi="Arial" w:cs="Arial"/>
                <w:color w:val="000000"/>
                <w:sz w:val="12"/>
                <w:szCs w:val="12"/>
              </w:rPr>
            </w:pPr>
          </w:p>
        </w:tc>
        <w:tc>
          <w:tcPr>
            <w:tcW w:w="1194" w:type="dxa"/>
            <w:vMerge/>
            <w:tcBorders>
              <w:top w:val="nil"/>
              <w:left w:val="nil"/>
              <w:bottom w:val="single" w:sz="8" w:space="0" w:color="000000"/>
              <w:right w:val="nil"/>
            </w:tcBorders>
            <w:vAlign w:val="center"/>
            <w:hideMark/>
          </w:tcPr>
          <w:p w14:paraId="5CEB5550" w14:textId="77777777" w:rsidR="00BF0C9A" w:rsidRPr="00BF0C9A" w:rsidRDefault="00BF0C9A" w:rsidP="00BF0C9A">
            <w:pPr>
              <w:rPr>
                <w:rFonts w:ascii="Arial" w:hAnsi="Arial" w:cs="Arial"/>
                <w:color w:val="000000"/>
                <w:sz w:val="12"/>
                <w:szCs w:val="12"/>
              </w:rPr>
            </w:pPr>
          </w:p>
        </w:tc>
        <w:tc>
          <w:tcPr>
            <w:tcW w:w="1236" w:type="dxa"/>
            <w:vMerge/>
            <w:tcBorders>
              <w:top w:val="nil"/>
              <w:left w:val="nil"/>
              <w:bottom w:val="single" w:sz="8" w:space="0" w:color="000000"/>
              <w:right w:val="nil"/>
            </w:tcBorders>
            <w:vAlign w:val="center"/>
            <w:hideMark/>
          </w:tcPr>
          <w:p w14:paraId="4B34C131" w14:textId="77777777" w:rsidR="00BF0C9A" w:rsidRPr="00BF0C9A" w:rsidRDefault="00BF0C9A" w:rsidP="00BF0C9A">
            <w:pPr>
              <w:rPr>
                <w:rFonts w:ascii="Arial" w:hAnsi="Arial" w:cs="Arial"/>
                <w:color w:val="000000"/>
                <w:sz w:val="12"/>
                <w:szCs w:val="12"/>
              </w:rPr>
            </w:pPr>
          </w:p>
        </w:tc>
        <w:tc>
          <w:tcPr>
            <w:tcW w:w="744" w:type="dxa"/>
            <w:tcBorders>
              <w:top w:val="nil"/>
              <w:left w:val="nil"/>
              <w:bottom w:val="single" w:sz="8" w:space="0" w:color="auto"/>
              <w:right w:val="nil"/>
            </w:tcBorders>
            <w:shd w:val="clear" w:color="000000" w:fill="F3F3EA"/>
            <w:vAlign w:val="center"/>
            <w:hideMark/>
          </w:tcPr>
          <w:p w14:paraId="41E45A8E"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p-value</w:t>
            </w:r>
          </w:p>
        </w:tc>
      </w:tr>
      <w:tr w:rsidR="00D14D65" w:rsidRPr="00BF0C9A" w14:paraId="302DFB21" w14:textId="77777777" w:rsidTr="00F74BC3">
        <w:trPr>
          <w:trHeight w:val="240"/>
        </w:trPr>
        <w:tc>
          <w:tcPr>
            <w:tcW w:w="1000" w:type="dxa"/>
            <w:tcBorders>
              <w:top w:val="nil"/>
              <w:left w:val="nil"/>
              <w:bottom w:val="nil"/>
              <w:right w:val="nil"/>
            </w:tcBorders>
            <w:shd w:val="clear" w:color="000000" w:fill="F3F3EA"/>
            <w:noWrap/>
            <w:vAlign w:val="center"/>
            <w:hideMark/>
          </w:tcPr>
          <w:p w14:paraId="7E3D2440"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Derivation</w:t>
            </w:r>
          </w:p>
        </w:tc>
        <w:tc>
          <w:tcPr>
            <w:tcW w:w="1940" w:type="dxa"/>
            <w:vMerge w:val="restart"/>
            <w:tcBorders>
              <w:top w:val="nil"/>
              <w:left w:val="nil"/>
              <w:bottom w:val="single" w:sz="8" w:space="0" w:color="BFBFBF"/>
              <w:right w:val="nil"/>
            </w:tcBorders>
            <w:shd w:val="clear" w:color="000000" w:fill="F3F3EA"/>
            <w:vAlign w:val="center"/>
            <w:hideMark/>
          </w:tcPr>
          <w:p w14:paraId="0AA4B50C"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ICU Transfer within 24 Hrs</w:t>
            </w:r>
            <w:r w:rsidRPr="00BF0C9A">
              <w:rPr>
                <w:rFonts w:ascii="Arial" w:hAnsi="Arial" w:cs="Arial"/>
                <w:b/>
                <w:bCs/>
                <w:color w:val="000000"/>
                <w:sz w:val="12"/>
                <w:szCs w:val="12"/>
                <w:vertAlign w:val="superscript"/>
              </w:rPr>
              <w:t>1</w:t>
            </w:r>
          </w:p>
        </w:tc>
        <w:tc>
          <w:tcPr>
            <w:tcW w:w="1200" w:type="dxa"/>
            <w:tcBorders>
              <w:top w:val="nil"/>
              <w:left w:val="nil"/>
              <w:bottom w:val="nil"/>
              <w:right w:val="nil"/>
            </w:tcBorders>
            <w:shd w:val="clear" w:color="000000" w:fill="F3F3EA"/>
            <w:vAlign w:val="center"/>
            <w:hideMark/>
          </w:tcPr>
          <w:p w14:paraId="6BC24255"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Low</w:t>
            </w:r>
          </w:p>
        </w:tc>
        <w:tc>
          <w:tcPr>
            <w:tcW w:w="820" w:type="dxa"/>
            <w:tcBorders>
              <w:top w:val="nil"/>
              <w:left w:val="nil"/>
              <w:bottom w:val="nil"/>
              <w:right w:val="nil"/>
            </w:tcBorders>
            <w:shd w:val="clear" w:color="000000" w:fill="F3F3EA"/>
            <w:vAlign w:val="center"/>
            <w:hideMark/>
          </w:tcPr>
          <w:p w14:paraId="1677A0D5"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624</w:t>
            </w:r>
          </w:p>
        </w:tc>
        <w:tc>
          <w:tcPr>
            <w:tcW w:w="1100" w:type="dxa"/>
            <w:tcBorders>
              <w:top w:val="nil"/>
              <w:left w:val="nil"/>
              <w:bottom w:val="nil"/>
              <w:right w:val="nil"/>
            </w:tcBorders>
            <w:shd w:val="clear" w:color="000000" w:fill="F3F3EA"/>
            <w:vAlign w:val="center"/>
            <w:hideMark/>
          </w:tcPr>
          <w:p w14:paraId="0661B8DD"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43</w:t>
            </w:r>
          </w:p>
        </w:tc>
        <w:tc>
          <w:tcPr>
            <w:tcW w:w="1606" w:type="dxa"/>
            <w:tcBorders>
              <w:top w:val="nil"/>
              <w:left w:val="nil"/>
              <w:bottom w:val="nil"/>
              <w:right w:val="nil"/>
            </w:tcBorders>
            <w:shd w:val="clear" w:color="000000" w:fill="F3F3EA"/>
            <w:noWrap/>
            <w:vAlign w:val="center"/>
            <w:hideMark/>
          </w:tcPr>
          <w:p w14:paraId="6DFDB393" w14:textId="48A0014A"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6.</w:t>
            </w:r>
            <w:r w:rsidR="00F23507">
              <w:rPr>
                <w:rFonts w:ascii="Arial" w:hAnsi="Arial" w:cs="Arial"/>
                <w:color w:val="000000"/>
                <w:sz w:val="12"/>
                <w:szCs w:val="12"/>
              </w:rPr>
              <w:t>9</w:t>
            </w:r>
            <w:r w:rsidRPr="00BF0C9A">
              <w:rPr>
                <w:rFonts w:ascii="Arial" w:hAnsi="Arial" w:cs="Arial"/>
                <w:color w:val="000000"/>
                <w:sz w:val="12"/>
                <w:szCs w:val="12"/>
              </w:rPr>
              <w:t>% [5.03%, 9.2%]</w:t>
            </w:r>
          </w:p>
        </w:tc>
        <w:tc>
          <w:tcPr>
            <w:tcW w:w="1194" w:type="dxa"/>
            <w:tcBorders>
              <w:top w:val="nil"/>
              <w:left w:val="nil"/>
              <w:bottom w:val="nil"/>
              <w:right w:val="nil"/>
            </w:tcBorders>
            <w:shd w:val="clear" w:color="000000" w:fill="F3F3EA"/>
            <w:vAlign w:val="center"/>
            <w:hideMark/>
          </w:tcPr>
          <w:p w14:paraId="38DEFE92"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0.2 [0.2, 0.3]</w:t>
            </w:r>
          </w:p>
        </w:tc>
        <w:tc>
          <w:tcPr>
            <w:tcW w:w="1236" w:type="dxa"/>
            <w:tcBorders>
              <w:top w:val="nil"/>
              <w:left w:val="nil"/>
              <w:bottom w:val="nil"/>
              <w:right w:val="nil"/>
            </w:tcBorders>
            <w:shd w:val="clear" w:color="000000" w:fill="F3F3EA"/>
            <w:vAlign w:val="center"/>
            <w:hideMark/>
          </w:tcPr>
          <w:p w14:paraId="5DD8FDBB"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w:t>
            </w:r>
          </w:p>
        </w:tc>
        <w:tc>
          <w:tcPr>
            <w:tcW w:w="744" w:type="dxa"/>
            <w:tcBorders>
              <w:top w:val="nil"/>
              <w:left w:val="nil"/>
              <w:bottom w:val="nil"/>
              <w:right w:val="nil"/>
            </w:tcBorders>
            <w:shd w:val="clear" w:color="000000" w:fill="F3F3EA"/>
            <w:vAlign w:val="center"/>
            <w:hideMark/>
          </w:tcPr>
          <w:p w14:paraId="688ACED7"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&lt; 0.001</w:t>
            </w:r>
          </w:p>
        </w:tc>
      </w:tr>
      <w:tr w:rsidR="00D14D65" w:rsidRPr="00BF0C9A" w14:paraId="66BAD196" w14:textId="77777777" w:rsidTr="00F74BC3">
        <w:trPr>
          <w:trHeight w:val="240"/>
        </w:trPr>
        <w:tc>
          <w:tcPr>
            <w:tcW w:w="1000" w:type="dxa"/>
            <w:tcBorders>
              <w:top w:val="nil"/>
              <w:left w:val="nil"/>
              <w:bottom w:val="nil"/>
              <w:right w:val="nil"/>
            </w:tcBorders>
            <w:shd w:val="clear" w:color="000000" w:fill="F3F3EA"/>
            <w:noWrap/>
            <w:vAlign w:val="center"/>
            <w:hideMark/>
          </w:tcPr>
          <w:p w14:paraId="6F07DF7A"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c>
          <w:tcPr>
            <w:tcW w:w="1940" w:type="dxa"/>
            <w:vMerge/>
            <w:tcBorders>
              <w:top w:val="nil"/>
              <w:left w:val="nil"/>
              <w:bottom w:val="single" w:sz="8" w:space="0" w:color="BFBFBF"/>
              <w:right w:val="nil"/>
            </w:tcBorders>
            <w:vAlign w:val="center"/>
            <w:hideMark/>
          </w:tcPr>
          <w:p w14:paraId="1C1537E5" w14:textId="77777777" w:rsidR="00BF0C9A" w:rsidRPr="00BF0C9A" w:rsidRDefault="00BF0C9A" w:rsidP="00BF0C9A">
            <w:pPr>
              <w:rPr>
                <w:rFonts w:ascii="Arial" w:hAnsi="Arial" w:cs="Arial"/>
                <w:color w:val="000000"/>
                <w:sz w:val="12"/>
                <w:szCs w:val="12"/>
              </w:rPr>
            </w:pPr>
          </w:p>
        </w:tc>
        <w:tc>
          <w:tcPr>
            <w:tcW w:w="1200" w:type="dxa"/>
            <w:tcBorders>
              <w:top w:val="nil"/>
              <w:left w:val="nil"/>
              <w:bottom w:val="nil"/>
              <w:right w:val="nil"/>
            </w:tcBorders>
            <w:shd w:val="clear" w:color="000000" w:fill="F3F3EA"/>
            <w:vAlign w:val="center"/>
            <w:hideMark/>
          </w:tcPr>
          <w:p w14:paraId="750E074F"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xml:space="preserve">Medium </w:t>
            </w:r>
          </w:p>
        </w:tc>
        <w:tc>
          <w:tcPr>
            <w:tcW w:w="820" w:type="dxa"/>
            <w:tcBorders>
              <w:top w:val="nil"/>
              <w:left w:val="nil"/>
              <w:bottom w:val="nil"/>
              <w:right w:val="nil"/>
            </w:tcBorders>
            <w:shd w:val="clear" w:color="000000" w:fill="F3F3EA"/>
            <w:vAlign w:val="center"/>
            <w:hideMark/>
          </w:tcPr>
          <w:p w14:paraId="363B479A"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426</w:t>
            </w:r>
          </w:p>
        </w:tc>
        <w:tc>
          <w:tcPr>
            <w:tcW w:w="1100" w:type="dxa"/>
            <w:tcBorders>
              <w:top w:val="nil"/>
              <w:left w:val="nil"/>
              <w:bottom w:val="nil"/>
              <w:right w:val="nil"/>
            </w:tcBorders>
            <w:shd w:val="clear" w:color="000000" w:fill="F3F3EA"/>
            <w:vAlign w:val="center"/>
            <w:hideMark/>
          </w:tcPr>
          <w:p w14:paraId="1B36B9FC"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76</w:t>
            </w:r>
          </w:p>
        </w:tc>
        <w:tc>
          <w:tcPr>
            <w:tcW w:w="1606" w:type="dxa"/>
            <w:tcBorders>
              <w:top w:val="nil"/>
              <w:left w:val="nil"/>
              <w:bottom w:val="nil"/>
              <w:right w:val="nil"/>
            </w:tcBorders>
            <w:shd w:val="clear" w:color="000000" w:fill="F3F3EA"/>
            <w:noWrap/>
            <w:vAlign w:val="center"/>
            <w:hideMark/>
          </w:tcPr>
          <w:p w14:paraId="1D89C6A0" w14:textId="3D5E4375"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17.8% [14.3%, 21.8%]</w:t>
            </w:r>
          </w:p>
        </w:tc>
        <w:tc>
          <w:tcPr>
            <w:tcW w:w="1194" w:type="dxa"/>
            <w:tcBorders>
              <w:top w:val="nil"/>
              <w:left w:val="nil"/>
              <w:bottom w:val="nil"/>
              <w:right w:val="nil"/>
            </w:tcBorders>
            <w:shd w:val="clear" w:color="000000" w:fill="F3F3EA"/>
            <w:vAlign w:val="center"/>
            <w:hideMark/>
          </w:tcPr>
          <w:p w14:paraId="4995A5F1"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0.7 [0.54, 0.9]</w:t>
            </w:r>
          </w:p>
        </w:tc>
        <w:tc>
          <w:tcPr>
            <w:tcW w:w="1236" w:type="dxa"/>
            <w:tcBorders>
              <w:top w:val="nil"/>
              <w:left w:val="nil"/>
              <w:bottom w:val="nil"/>
              <w:right w:val="nil"/>
            </w:tcBorders>
            <w:shd w:val="clear" w:color="000000" w:fill="F3F3EA"/>
            <w:vAlign w:val="center"/>
            <w:hideMark/>
          </w:tcPr>
          <w:p w14:paraId="0D0BE2C6"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w:t>
            </w:r>
          </w:p>
        </w:tc>
        <w:tc>
          <w:tcPr>
            <w:tcW w:w="744" w:type="dxa"/>
            <w:tcBorders>
              <w:top w:val="nil"/>
              <w:left w:val="nil"/>
              <w:bottom w:val="nil"/>
              <w:right w:val="nil"/>
            </w:tcBorders>
            <w:shd w:val="clear" w:color="000000" w:fill="F3F3EA"/>
            <w:vAlign w:val="center"/>
            <w:hideMark/>
          </w:tcPr>
          <w:p w14:paraId="1C077FB4"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r>
      <w:tr w:rsidR="00D14D65" w:rsidRPr="00BF0C9A" w14:paraId="7CA01D8C" w14:textId="77777777" w:rsidTr="00F74BC3">
        <w:trPr>
          <w:trHeight w:val="240"/>
        </w:trPr>
        <w:tc>
          <w:tcPr>
            <w:tcW w:w="1000" w:type="dxa"/>
            <w:tcBorders>
              <w:top w:val="nil"/>
              <w:left w:val="nil"/>
              <w:bottom w:val="nil"/>
              <w:right w:val="nil"/>
            </w:tcBorders>
            <w:shd w:val="clear" w:color="000000" w:fill="F3F3EA"/>
            <w:noWrap/>
            <w:vAlign w:val="center"/>
            <w:hideMark/>
          </w:tcPr>
          <w:p w14:paraId="28076659"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c>
          <w:tcPr>
            <w:tcW w:w="1940" w:type="dxa"/>
            <w:vMerge/>
            <w:tcBorders>
              <w:top w:val="nil"/>
              <w:left w:val="nil"/>
              <w:bottom w:val="single" w:sz="8" w:space="0" w:color="BFBFBF"/>
              <w:right w:val="nil"/>
            </w:tcBorders>
            <w:vAlign w:val="center"/>
            <w:hideMark/>
          </w:tcPr>
          <w:p w14:paraId="3EEE2BAA" w14:textId="77777777" w:rsidR="00BF0C9A" w:rsidRPr="00BF0C9A" w:rsidRDefault="00BF0C9A" w:rsidP="00BF0C9A">
            <w:pPr>
              <w:rPr>
                <w:rFonts w:ascii="Arial" w:hAnsi="Arial" w:cs="Arial"/>
                <w:color w:val="000000"/>
                <w:sz w:val="12"/>
                <w:szCs w:val="12"/>
              </w:rPr>
            </w:pPr>
          </w:p>
        </w:tc>
        <w:tc>
          <w:tcPr>
            <w:tcW w:w="1200" w:type="dxa"/>
            <w:tcBorders>
              <w:top w:val="nil"/>
              <w:left w:val="nil"/>
              <w:bottom w:val="nil"/>
              <w:right w:val="nil"/>
            </w:tcBorders>
            <w:shd w:val="clear" w:color="000000" w:fill="F3F3EA"/>
            <w:vAlign w:val="center"/>
            <w:hideMark/>
          </w:tcPr>
          <w:p w14:paraId="520DEF99"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xml:space="preserve">High </w:t>
            </w:r>
          </w:p>
        </w:tc>
        <w:tc>
          <w:tcPr>
            <w:tcW w:w="820" w:type="dxa"/>
            <w:tcBorders>
              <w:top w:val="nil"/>
              <w:left w:val="nil"/>
              <w:bottom w:val="nil"/>
              <w:right w:val="nil"/>
            </w:tcBorders>
            <w:shd w:val="clear" w:color="000000" w:fill="F3F3EA"/>
            <w:vAlign w:val="center"/>
            <w:hideMark/>
          </w:tcPr>
          <w:p w14:paraId="7BADAE6C"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625</w:t>
            </w:r>
          </w:p>
        </w:tc>
        <w:tc>
          <w:tcPr>
            <w:tcW w:w="1100" w:type="dxa"/>
            <w:tcBorders>
              <w:top w:val="nil"/>
              <w:left w:val="nil"/>
              <w:bottom w:val="nil"/>
              <w:right w:val="nil"/>
            </w:tcBorders>
            <w:shd w:val="clear" w:color="000000" w:fill="F3F3EA"/>
            <w:vAlign w:val="center"/>
            <w:hideMark/>
          </w:tcPr>
          <w:p w14:paraId="51097060"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249</w:t>
            </w:r>
          </w:p>
        </w:tc>
        <w:tc>
          <w:tcPr>
            <w:tcW w:w="1606" w:type="dxa"/>
            <w:tcBorders>
              <w:top w:val="nil"/>
              <w:left w:val="nil"/>
              <w:bottom w:val="nil"/>
              <w:right w:val="nil"/>
            </w:tcBorders>
            <w:shd w:val="clear" w:color="000000" w:fill="F3F3EA"/>
            <w:noWrap/>
            <w:vAlign w:val="center"/>
            <w:hideMark/>
          </w:tcPr>
          <w:p w14:paraId="7228F88D" w14:textId="644EB598"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39.2% [35.4%, 43.1%]</w:t>
            </w:r>
          </w:p>
        </w:tc>
        <w:tc>
          <w:tcPr>
            <w:tcW w:w="1194" w:type="dxa"/>
            <w:tcBorders>
              <w:top w:val="nil"/>
              <w:left w:val="nil"/>
              <w:bottom w:val="nil"/>
              <w:right w:val="nil"/>
            </w:tcBorders>
            <w:shd w:val="clear" w:color="000000" w:fill="F3F3EA"/>
            <w:vAlign w:val="center"/>
            <w:hideMark/>
          </w:tcPr>
          <w:p w14:paraId="28D425B8"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2.0 [1.76, 2.3]</w:t>
            </w:r>
          </w:p>
        </w:tc>
        <w:tc>
          <w:tcPr>
            <w:tcW w:w="1236" w:type="dxa"/>
            <w:tcBorders>
              <w:top w:val="nil"/>
              <w:left w:val="nil"/>
              <w:bottom w:val="nil"/>
              <w:right w:val="nil"/>
            </w:tcBorders>
            <w:shd w:val="clear" w:color="000000" w:fill="F3F3EA"/>
            <w:vAlign w:val="center"/>
            <w:hideMark/>
          </w:tcPr>
          <w:p w14:paraId="6DB7DE48"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w:t>
            </w:r>
          </w:p>
        </w:tc>
        <w:tc>
          <w:tcPr>
            <w:tcW w:w="744" w:type="dxa"/>
            <w:tcBorders>
              <w:top w:val="nil"/>
              <w:left w:val="nil"/>
              <w:bottom w:val="nil"/>
              <w:right w:val="nil"/>
            </w:tcBorders>
            <w:shd w:val="clear" w:color="000000" w:fill="F3F3EA"/>
            <w:vAlign w:val="center"/>
            <w:hideMark/>
          </w:tcPr>
          <w:p w14:paraId="41D75336"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r>
      <w:tr w:rsidR="00D14D65" w:rsidRPr="00BF0C9A" w14:paraId="345CB1C9" w14:textId="77777777" w:rsidTr="00F74BC3">
        <w:trPr>
          <w:trHeight w:val="240"/>
        </w:trPr>
        <w:tc>
          <w:tcPr>
            <w:tcW w:w="1000" w:type="dxa"/>
            <w:tcBorders>
              <w:top w:val="nil"/>
              <w:left w:val="nil"/>
              <w:bottom w:val="single" w:sz="8" w:space="0" w:color="BFBFBF"/>
              <w:right w:val="nil"/>
            </w:tcBorders>
            <w:shd w:val="clear" w:color="000000" w:fill="F3F3EA"/>
            <w:noWrap/>
            <w:vAlign w:val="center"/>
            <w:hideMark/>
          </w:tcPr>
          <w:p w14:paraId="259A8962"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c>
          <w:tcPr>
            <w:tcW w:w="1940" w:type="dxa"/>
            <w:vMerge/>
            <w:tcBorders>
              <w:top w:val="nil"/>
              <w:left w:val="nil"/>
              <w:bottom w:val="single" w:sz="8" w:space="0" w:color="BFBFBF"/>
              <w:right w:val="nil"/>
            </w:tcBorders>
            <w:vAlign w:val="center"/>
            <w:hideMark/>
          </w:tcPr>
          <w:p w14:paraId="34954274" w14:textId="77777777" w:rsidR="00BF0C9A" w:rsidRPr="00BF0C9A" w:rsidRDefault="00BF0C9A" w:rsidP="00BF0C9A">
            <w:pPr>
              <w:rPr>
                <w:rFonts w:ascii="Arial" w:hAnsi="Arial" w:cs="Arial"/>
                <w:color w:val="000000"/>
                <w:sz w:val="12"/>
                <w:szCs w:val="12"/>
              </w:rPr>
            </w:pPr>
          </w:p>
        </w:tc>
        <w:tc>
          <w:tcPr>
            <w:tcW w:w="1200" w:type="dxa"/>
            <w:tcBorders>
              <w:top w:val="nil"/>
              <w:left w:val="nil"/>
              <w:bottom w:val="single" w:sz="8" w:space="0" w:color="BFBFBF"/>
              <w:right w:val="nil"/>
            </w:tcBorders>
            <w:shd w:val="clear" w:color="000000" w:fill="F3F3EA"/>
            <w:vAlign w:val="center"/>
            <w:hideMark/>
          </w:tcPr>
          <w:p w14:paraId="5D232B6A"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xml:space="preserve">Very High </w:t>
            </w:r>
          </w:p>
        </w:tc>
        <w:tc>
          <w:tcPr>
            <w:tcW w:w="820" w:type="dxa"/>
            <w:tcBorders>
              <w:top w:val="nil"/>
              <w:left w:val="nil"/>
              <w:bottom w:val="single" w:sz="8" w:space="0" w:color="BFBFBF"/>
              <w:right w:val="nil"/>
            </w:tcBorders>
            <w:shd w:val="clear" w:color="000000" w:fill="F3F3EA"/>
            <w:vAlign w:val="center"/>
            <w:hideMark/>
          </w:tcPr>
          <w:p w14:paraId="29456218"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88</w:t>
            </w:r>
          </w:p>
        </w:tc>
        <w:tc>
          <w:tcPr>
            <w:tcW w:w="1100" w:type="dxa"/>
            <w:tcBorders>
              <w:top w:val="nil"/>
              <w:left w:val="nil"/>
              <w:bottom w:val="single" w:sz="8" w:space="0" w:color="BFBFBF"/>
              <w:right w:val="nil"/>
            </w:tcBorders>
            <w:shd w:val="clear" w:color="000000" w:fill="F3F3EA"/>
            <w:vAlign w:val="center"/>
            <w:hideMark/>
          </w:tcPr>
          <w:p w14:paraId="65D0EB5D"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60</w:t>
            </w:r>
          </w:p>
        </w:tc>
        <w:tc>
          <w:tcPr>
            <w:tcW w:w="1606" w:type="dxa"/>
            <w:tcBorders>
              <w:top w:val="nil"/>
              <w:left w:val="nil"/>
              <w:bottom w:val="single" w:sz="8" w:space="0" w:color="BFBFBF"/>
              <w:right w:val="nil"/>
            </w:tcBorders>
            <w:shd w:val="clear" w:color="000000" w:fill="F3F3EA"/>
            <w:noWrap/>
            <w:vAlign w:val="center"/>
            <w:hideMark/>
          </w:tcPr>
          <w:p w14:paraId="1AE234EA" w14:textId="0B23F02F"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68.</w:t>
            </w:r>
            <w:r w:rsidR="00F23507">
              <w:rPr>
                <w:rFonts w:ascii="Arial" w:hAnsi="Arial" w:cs="Arial"/>
                <w:color w:val="000000"/>
                <w:sz w:val="12"/>
                <w:szCs w:val="12"/>
              </w:rPr>
              <w:t>2</w:t>
            </w:r>
            <w:r w:rsidRPr="00BF0C9A">
              <w:rPr>
                <w:rFonts w:ascii="Arial" w:hAnsi="Arial" w:cs="Arial"/>
                <w:color w:val="000000"/>
                <w:sz w:val="12"/>
                <w:szCs w:val="12"/>
              </w:rPr>
              <w:t>% [57.4%, 77.7%]</w:t>
            </w:r>
          </w:p>
        </w:tc>
        <w:tc>
          <w:tcPr>
            <w:tcW w:w="1194" w:type="dxa"/>
            <w:tcBorders>
              <w:top w:val="nil"/>
              <w:left w:val="nil"/>
              <w:bottom w:val="single" w:sz="8" w:space="0" w:color="BFBFBF"/>
              <w:right w:val="nil"/>
            </w:tcBorders>
            <w:shd w:val="clear" w:color="000000" w:fill="F3F3EA"/>
            <w:vAlign w:val="center"/>
            <w:hideMark/>
          </w:tcPr>
          <w:p w14:paraId="7314BE96"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6.7 [4.32, 10.5]</w:t>
            </w:r>
          </w:p>
        </w:tc>
        <w:tc>
          <w:tcPr>
            <w:tcW w:w="1236" w:type="dxa"/>
            <w:tcBorders>
              <w:top w:val="nil"/>
              <w:left w:val="nil"/>
              <w:bottom w:val="single" w:sz="8" w:space="0" w:color="BFBFBF"/>
              <w:right w:val="nil"/>
            </w:tcBorders>
            <w:shd w:val="clear" w:color="000000" w:fill="F3F3EA"/>
            <w:vAlign w:val="center"/>
            <w:hideMark/>
          </w:tcPr>
          <w:p w14:paraId="7DE06890"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w:t>
            </w:r>
          </w:p>
        </w:tc>
        <w:tc>
          <w:tcPr>
            <w:tcW w:w="744" w:type="dxa"/>
            <w:tcBorders>
              <w:top w:val="nil"/>
              <w:left w:val="nil"/>
              <w:bottom w:val="single" w:sz="8" w:space="0" w:color="BFBFBF"/>
              <w:right w:val="nil"/>
            </w:tcBorders>
            <w:shd w:val="clear" w:color="000000" w:fill="F3F3EA"/>
            <w:vAlign w:val="center"/>
            <w:hideMark/>
          </w:tcPr>
          <w:p w14:paraId="2518680E"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r>
      <w:tr w:rsidR="00D14D65" w:rsidRPr="00BF0C9A" w14:paraId="0B86E27A" w14:textId="77777777" w:rsidTr="00F74BC3">
        <w:trPr>
          <w:trHeight w:val="240"/>
        </w:trPr>
        <w:tc>
          <w:tcPr>
            <w:tcW w:w="1000" w:type="dxa"/>
            <w:tcBorders>
              <w:top w:val="nil"/>
              <w:left w:val="nil"/>
              <w:bottom w:val="nil"/>
              <w:right w:val="nil"/>
            </w:tcBorders>
            <w:shd w:val="clear" w:color="000000" w:fill="F3F3EA"/>
            <w:noWrap/>
            <w:vAlign w:val="center"/>
            <w:hideMark/>
          </w:tcPr>
          <w:p w14:paraId="631D378C"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c>
          <w:tcPr>
            <w:tcW w:w="1940" w:type="dxa"/>
            <w:vMerge w:val="restart"/>
            <w:tcBorders>
              <w:top w:val="nil"/>
              <w:left w:val="nil"/>
              <w:bottom w:val="single" w:sz="8" w:space="0" w:color="BFBFBF"/>
              <w:right w:val="nil"/>
            </w:tcBorders>
            <w:shd w:val="clear" w:color="000000" w:fill="F3F3EA"/>
            <w:vAlign w:val="center"/>
            <w:hideMark/>
          </w:tcPr>
          <w:p w14:paraId="72E8D34B"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In-Hospital Mortality</w:t>
            </w:r>
          </w:p>
        </w:tc>
        <w:tc>
          <w:tcPr>
            <w:tcW w:w="1200" w:type="dxa"/>
            <w:tcBorders>
              <w:top w:val="nil"/>
              <w:left w:val="nil"/>
              <w:bottom w:val="nil"/>
              <w:right w:val="nil"/>
            </w:tcBorders>
            <w:shd w:val="clear" w:color="000000" w:fill="F3F3EA"/>
            <w:vAlign w:val="center"/>
            <w:hideMark/>
          </w:tcPr>
          <w:p w14:paraId="68FED17D"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Low</w:t>
            </w:r>
          </w:p>
        </w:tc>
        <w:tc>
          <w:tcPr>
            <w:tcW w:w="820" w:type="dxa"/>
            <w:tcBorders>
              <w:top w:val="nil"/>
              <w:left w:val="nil"/>
              <w:bottom w:val="nil"/>
              <w:right w:val="nil"/>
            </w:tcBorders>
            <w:shd w:val="clear" w:color="000000" w:fill="F3F3EA"/>
            <w:vAlign w:val="center"/>
            <w:hideMark/>
          </w:tcPr>
          <w:p w14:paraId="12B7A252"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849</w:t>
            </w:r>
          </w:p>
        </w:tc>
        <w:tc>
          <w:tcPr>
            <w:tcW w:w="1100" w:type="dxa"/>
            <w:tcBorders>
              <w:top w:val="nil"/>
              <w:left w:val="nil"/>
              <w:bottom w:val="nil"/>
              <w:right w:val="nil"/>
            </w:tcBorders>
            <w:shd w:val="clear" w:color="000000" w:fill="F3F3EA"/>
            <w:vAlign w:val="center"/>
            <w:hideMark/>
          </w:tcPr>
          <w:p w14:paraId="29DAEB92"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6</w:t>
            </w:r>
          </w:p>
        </w:tc>
        <w:tc>
          <w:tcPr>
            <w:tcW w:w="1606" w:type="dxa"/>
            <w:tcBorders>
              <w:top w:val="nil"/>
              <w:left w:val="nil"/>
              <w:bottom w:val="nil"/>
              <w:right w:val="nil"/>
            </w:tcBorders>
            <w:shd w:val="clear" w:color="000000" w:fill="F3F3EA"/>
            <w:noWrap/>
            <w:vAlign w:val="center"/>
            <w:hideMark/>
          </w:tcPr>
          <w:p w14:paraId="4E8C1A54"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0.7% [0.3%, 1.5%]</w:t>
            </w:r>
          </w:p>
        </w:tc>
        <w:tc>
          <w:tcPr>
            <w:tcW w:w="1194" w:type="dxa"/>
            <w:tcBorders>
              <w:top w:val="nil"/>
              <w:left w:val="nil"/>
              <w:bottom w:val="nil"/>
              <w:right w:val="nil"/>
            </w:tcBorders>
            <w:shd w:val="clear" w:color="000000" w:fill="F3F3EA"/>
            <w:vAlign w:val="center"/>
            <w:hideMark/>
          </w:tcPr>
          <w:p w14:paraId="6FDADDA2"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0.1 [0.05, 0.2]</w:t>
            </w:r>
          </w:p>
        </w:tc>
        <w:tc>
          <w:tcPr>
            <w:tcW w:w="1236" w:type="dxa"/>
            <w:tcBorders>
              <w:top w:val="nil"/>
              <w:left w:val="nil"/>
              <w:bottom w:val="nil"/>
              <w:right w:val="nil"/>
            </w:tcBorders>
            <w:shd w:val="clear" w:color="000000" w:fill="F3F3EA"/>
            <w:vAlign w:val="center"/>
            <w:hideMark/>
          </w:tcPr>
          <w:p w14:paraId="3A7576E1"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w:t>
            </w:r>
          </w:p>
        </w:tc>
        <w:tc>
          <w:tcPr>
            <w:tcW w:w="744" w:type="dxa"/>
            <w:tcBorders>
              <w:top w:val="nil"/>
              <w:left w:val="nil"/>
              <w:bottom w:val="nil"/>
              <w:right w:val="nil"/>
            </w:tcBorders>
            <w:shd w:val="clear" w:color="000000" w:fill="F3F3EA"/>
            <w:vAlign w:val="center"/>
            <w:hideMark/>
          </w:tcPr>
          <w:p w14:paraId="475E6649"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&lt; 0.001</w:t>
            </w:r>
          </w:p>
        </w:tc>
      </w:tr>
      <w:tr w:rsidR="00D14D65" w:rsidRPr="00BF0C9A" w14:paraId="6B4BB64A" w14:textId="77777777" w:rsidTr="00F74BC3">
        <w:trPr>
          <w:trHeight w:val="240"/>
        </w:trPr>
        <w:tc>
          <w:tcPr>
            <w:tcW w:w="1000" w:type="dxa"/>
            <w:tcBorders>
              <w:top w:val="nil"/>
              <w:left w:val="nil"/>
              <w:bottom w:val="nil"/>
              <w:right w:val="nil"/>
            </w:tcBorders>
            <w:shd w:val="clear" w:color="000000" w:fill="F3F3EA"/>
            <w:noWrap/>
            <w:vAlign w:val="center"/>
            <w:hideMark/>
          </w:tcPr>
          <w:p w14:paraId="50AB21A2"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c>
          <w:tcPr>
            <w:tcW w:w="1940" w:type="dxa"/>
            <w:vMerge/>
            <w:tcBorders>
              <w:top w:val="nil"/>
              <w:left w:val="nil"/>
              <w:bottom w:val="single" w:sz="8" w:space="0" w:color="BFBFBF"/>
              <w:right w:val="nil"/>
            </w:tcBorders>
            <w:vAlign w:val="center"/>
            <w:hideMark/>
          </w:tcPr>
          <w:p w14:paraId="50363059" w14:textId="77777777" w:rsidR="00BF0C9A" w:rsidRPr="00BF0C9A" w:rsidRDefault="00BF0C9A" w:rsidP="00BF0C9A">
            <w:pPr>
              <w:rPr>
                <w:rFonts w:ascii="Arial" w:hAnsi="Arial" w:cs="Arial"/>
                <w:color w:val="000000"/>
                <w:sz w:val="12"/>
                <w:szCs w:val="12"/>
              </w:rPr>
            </w:pPr>
          </w:p>
        </w:tc>
        <w:tc>
          <w:tcPr>
            <w:tcW w:w="1200" w:type="dxa"/>
            <w:tcBorders>
              <w:top w:val="nil"/>
              <w:left w:val="nil"/>
              <w:bottom w:val="nil"/>
              <w:right w:val="nil"/>
            </w:tcBorders>
            <w:shd w:val="clear" w:color="000000" w:fill="F3F3EA"/>
            <w:vAlign w:val="center"/>
            <w:hideMark/>
          </w:tcPr>
          <w:p w14:paraId="49E9A0C5"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xml:space="preserve">Medium </w:t>
            </w:r>
          </w:p>
        </w:tc>
        <w:tc>
          <w:tcPr>
            <w:tcW w:w="820" w:type="dxa"/>
            <w:tcBorders>
              <w:top w:val="nil"/>
              <w:left w:val="nil"/>
              <w:bottom w:val="nil"/>
              <w:right w:val="nil"/>
            </w:tcBorders>
            <w:shd w:val="clear" w:color="000000" w:fill="F3F3EA"/>
            <w:vAlign w:val="center"/>
            <w:hideMark/>
          </w:tcPr>
          <w:p w14:paraId="22C988A0"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556</w:t>
            </w:r>
          </w:p>
        </w:tc>
        <w:tc>
          <w:tcPr>
            <w:tcW w:w="1100" w:type="dxa"/>
            <w:tcBorders>
              <w:top w:val="nil"/>
              <w:left w:val="nil"/>
              <w:bottom w:val="nil"/>
              <w:right w:val="nil"/>
            </w:tcBorders>
            <w:shd w:val="clear" w:color="000000" w:fill="F3F3EA"/>
            <w:vAlign w:val="center"/>
            <w:hideMark/>
          </w:tcPr>
          <w:p w14:paraId="288B1A8C"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20</w:t>
            </w:r>
          </w:p>
        </w:tc>
        <w:tc>
          <w:tcPr>
            <w:tcW w:w="1606" w:type="dxa"/>
            <w:tcBorders>
              <w:top w:val="nil"/>
              <w:left w:val="nil"/>
              <w:bottom w:val="nil"/>
              <w:right w:val="nil"/>
            </w:tcBorders>
            <w:shd w:val="clear" w:color="000000" w:fill="F3F3EA"/>
            <w:noWrap/>
            <w:vAlign w:val="center"/>
            <w:hideMark/>
          </w:tcPr>
          <w:p w14:paraId="7B863E14"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3.6% [2.2%, 5.5%]</w:t>
            </w:r>
          </w:p>
        </w:tc>
        <w:tc>
          <w:tcPr>
            <w:tcW w:w="1194" w:type="dxa"/>
            <w:tcBorders>
              <w:top w:val="nil"/>
              <w:left w:val="nil"/>
              <w:bottom w:val="nil"/>
              <w:right w:val="nil"/>
            </w:tcBorders>
            <w:shd w:val="clear" w:color="000000" w:fill="F3F3EA"/>
            <w:vAlign w:val="center"/>
            <w:hideMark/>
          </w:tcPr>
          <w:p w14:paraId="68088192"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0.6 [0.4, 0.9]</w:t>
            </w:r>
          </w:p>
        </w:tc>
        <w:tc>
          <w:tcPr>
            <w:tcW w:w="1236" w:type="dxa"/>
            <w:tcBorders>
              <w:top w:val="nil"/>
              <w:left w:val="nil"/>
              <w:bottom w:val="nil"/>
              <w:right w:val="nil"/>
            </w:tcBorders>
            <w:shd w:val="clear" w:color="000000" w:fill="F3F3EA"/>
            <w:vAlign w:val="center"/>
            <w:hideMark/>
          </w:tcPr>
          <w:p w14:paraId="295FA511"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w:t>
            </w:r>
          </w:p>
        </w:tc>
        <w:tc>
          <w:tcPr>
            <w:tcW w:w="744" w:type="dxa"/>
            <w:tcBorders>
              <w:top w:val="nil"/>
              <w:left w:val="nil"/>
              <w:bottom w:val="nil"/>
              <w:right w:val="nil"/>
            </w:tcBorders>
            <w:shd w:val="clear" w:color="000000" w:fill="F3F3EA"/>
            <w:vAlign w:val="center"/>
            <w:hideMark/>
          </w:tcPr>
          <w:p w14:paraId="554C4DA6"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r>
      <w:tr w:rsidR="00D14D65" w:rsidRPr="00BF0C9A" w14:paraId="2A6149D3" w14:textId="77777777" w:rsidTr="00F74BC3">
        <w:trPr>
          <w:trHeight w:val="240"/>
        </w:trPr>
        <w:tc>
          <w:tcPr>
            <w:tcW w:w="1000" w:type="dxa"/>
            <w:tcBorders>
              <w:top w:val="nil"/>
              <w:left w:val="nil"/>
              <w:bottom w:val="nil"/>
              <w:right w:val="nil"/>
            </w:tcBorders>
            <w:shd w:val="clear" w:color="000000" w:fill="F3F3EA"/>
            <w:noWrap/>
            <w:vAlign w:val="center"/>
            <w:hideMark/>
          </w:tcPr>
          <w:p w14:paraId="529D1EAE"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c>
          <w:tcPr>
            <w:tcW w:w="1940" w:type="dxa"/>
            <w:vMerge/>
            <w:tcBorders>
              <w:top w:val="nil"/>
              <w:left w:val="nil"/>
              <w:bottom w:val="single" w:sz="8" w:space="0" w:color="BFBFBF"/>
              <w:right w:val="nil"/>
            </w:tcBorders>
            <w:vAlign w:val="center"/>
            <w:hideMark/>
          </w:tcPr>
          <w:p w14:paraId="70AEE554" w14:textId="77777777" w:rsidR="00BF0C9A" w:rsidRPr="00BF0C9A" w:rsidRDefault="00BF0C9A" w:rsidP="00BF0C9A">
            <w:pPr>
              <w:rPr>
                <w:rFonts w:ascii="Arial" w:hAnsi="Arial" w:cs="Arial"/>
                <w:color w:val="000000"/>
                <w:sz w:val="12"/>
                <w:szCs w:val="12"/>
              </w:rPr>
            </w:pPr>
          </w:p>
        </w:tc>
        <w:tc>
          <w:tcPr>
            <w:tcW w:w="1200" w:type="dxa"/>
            <w:tcBorders>
              <w:top w:val="nil"/>
              <w:left w:val="nil"/>
              <w:bottom w:val="nil"/>
              <w:right w:val="nil"/>
            </w:tcBorders>
            <w:shd w:val="clear" w:color="000000" w:fill="F3F3EA"/>
            <w:vAlign w:val="center"/>
            <w:hideMark/>
          </w:tcPr>
          <w:p w14:paraId="00A0CBD8"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xml:space="preserve">High </w:t>
            </w:r>
          </w:p>
        </w:tc>
        <w:tc>
          <w:tcPr>
            <w:tcW w:w="820" w:type="dxa"/>
            <w:tcBorders>
              <w:top w:val="nil"/>
              <w:left w:val="nil"/>
              <w:bottom w:val="nil"/>
              <w:right w:val="nil"/>
            </w:tcBorders>
            <w:shd w:val="clear" w:color="000000" w:fill="F3F3EA"/>
            <w:vAlign w:val="center"/>
            <w:hideMark/>
          </w:tcPr>
          <w:p w14:paraId="33B8C88E"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843</w:t>
            </w:r>
          </w:p>
        </w:tc>
        <w:tc>
          <w:tcPr>
            <w:tcW w:w="1100" w:type="dxa"/>
            <w:tcBorders>
              <w:top w:val="nil"/>
              <w:left w:val="nil"/>
              <w:bottom w:val="nil"/>
              <w:right w:val="nil"/>
            </w:tcBorders>
            <w:shd w:val="clear" w:color="000000" w:fill="F3F3EA"/>
            <w:vAlign w:val="center"/>
            <w:hideMark/>
          </w:tcPr>
          <w:p w14:paraId="52F2B412"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87</w:t>
            </w:r>
          </w:p>
        </w:tc>
        <w:tc>
          <w:tcPr>
            <w:tcW w:w="1606" w:type="dxa"/>
            <w:tcBorders>
              <w:top w:val="nil"/>
              <w:left w:val="nil"/>
              <w:bottom w:val="nil"/>
              <w:right w:val="nil"/>
            </w:tcBorders>
            <w:shd w:val="clear" w:color="000000" w:fill="F3F3EA"/>
            <w:noWrap/>
            <w:vAlign w:val="center"/>
            <w:hideMark/>
          </w:tcPr>
          <w:p w14:paraId="43F2FCA1"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10.3% [8.4%, 12.6%]</w:t>
            </w:r>
          </w:p>
        </w:tc>
        <w:tc>
          <w:tcPr>
            <w:tcW w:w="1194" w:type="dxa"/>
            <w:tcBorders>
              <w:top w:val="nil"/>
              <w:left w:val="nil"/>
              <w:bottom w:val="nil"/>
              <w:right w:val="nil"/>
            </w:tcBorders>
            <w:shd w:val="clear" w:color="000000" w:fill="F3F3EA"/>
            <w:vAlign w:val="center"/>
            <w:hideMark/>
          </w:tcPr>
          <w:p w14:paraId="5BD285CD"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1.7 [1.4, 2.]</w:t>
            </w:r>
          </w:p>
        </w:tc>
        <w:tc>
          <w:tcPr>
            <w:tcW w:w="1236" w:type="dxa"/>
            <w:tcBorders>
              <w:top w:val="nil"/>
              <w:left w:val="nil"/>
              <w:bottom w:val="nil"/>
              <w:right w:val="nil"/>
            </w:tcBorders>
            <w:shd w:val="clear" w:color="000000" w:fill="F3F3EA"/>
            <w:vAlign w:val="center"/>
            <w:hideMark/>
          </w:tcPr>
          <w:p w14:paraId="3663F718"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w:t>
            </w:r>
          </w:p>
        </w:tc>
        <w:tc>
          <w:tcPr>
            <w:tcW w:w="744" w:type="dxa"/>
            <w:tcBorders>
              <w:top w:val="nil"/>
              <w:left w:val="nil"/>
              <w:bottom w:val="nil"/>
              <w:right w:val="nil"/>
            </w:tcBorders>
            <w:shd w:val="clear" w:color="000000" w:fill="F3F3EA"/>
            <w:vAlign w:val="center"/>
            <w:hideMark/>
          </w:tcPr>
          <w:p w14:paraId="340B2398"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r>
      <w:tr w:rsidR="00D14D65" w:rsidRPr="00BF0C9A" w14:paraId="5A0243BE" w14:textId="77777777" w:rsidTr="00F74BC3">
        <w:trPr>
          <w:trHeight w:val="240"/>
        </w:trPr>
        <w:tc>
          <w:tcPr>
            <w:tcW w:w="1000" w:type="dxa"/>
            <w:tcBorders>
              <w:top w:val="nil"/>
              <w:left w:val="nil"/>
              <w:bottom w:val="single" w:sz="8" w:space="0" w:color="BFBFBF"/>
              <w:right w:val="nil"/>
            </w:tcBorders>
            <w:shd w:val="clear" w:color="000000" w:fill="F3F3EA"/>
            <w:noWrap/>
            <w:vAlign w:val="center"/>
            <w:hideMark/>
          </w:tcPr>
          <w:p w14:paraId="7159E1B1"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c>
          <w:tcPr>
            <w:tcW w:w="1940" w:type="dxa"/>
            <w:vMerge/>
            <w:tcBorders>
              <w:top w:val="nil"/>
              <w:left w:val="nil"/>
              <w:bottom w:val="single" w:sz="8" w:space="0" w:color="BFBFBF"/>
              <w:right w:val="nil"/>
            </w:tcBorders>
            <w:vAlign w:val="center"/>
            <w:hideMark/>
          </w:tcPr>
          <w:p w14:paraId="20342C6D" w14:textId="77777777" w:rsidR="00BF0C9A" w:rsidRPr="00BF0C9A" w:rsidRDefault="00BF0C9A" w:rsidP="00BF0C9A">
            <w:pPr>
              <w:rPr>
                <w:rFonts w:ascii="Arial" w:hAnsi="Arial" w:cs="Arial"/>
                <w:color w:val="000000"/>
                <w:sz w:val="12"/>
                <w:szCs w:val="12"/>
              </w:rPr>
            </w:pPr>
          </w:p>
        </w:tc>
        <w:tc>
          <w:tcPr>
            <w:tcW w:w="1200" w:type="dxa"/>
            <w:tcBorders>
              <w:top w:val="nil"/>
              <w:left w:val="nil"/>
              <w:bottom w:val="single" w:sz="8" w:space="0" w:color="BFBFBF"/>
              <w:right w:val="nil"/>
            </w:tcBorders>
            <w:shd w:val="clear" w:color="000000" w:fill="F3F3EA"/>
            <w:vAlign w:val="center"/>
            <w:hideMark/>
          </w:tcPr>
          <w:p w14:paraId="0C992572"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xml:space="preserve">Very High </w:t>
            </w:r>
          </w:p>
        </w:tc>
        <w:tc>
          <w:tcPr>
            <w:tcW w:w="820" w:type="dxa"/>
            <w:tcBorders>
              <w:top w:val="nil"/>
              <w:left w:val="nil"/>
              <w:bottom w:val="single" w:sz="8" w:space="0" w:color="BFBFBF"/>
              <w:right w:val="nil"/>
            </w:tcBorders>
            <w:shd w:val="clear" w:color="000000" w:fill="F3F3EA"/>
            <w:vAlign w:val="center"/>
            <w:hideMark/>
          </w:tcPr>
          <w:p w14:paraId="6A3E43B4"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118</w:t>
            </w:r>
          </w:p>
        </w:tc>
        <w:tc>
          <w:tcPr>
            <w:tcW w:w="1100" w:type="dxa"/>
            <w:tcBorders>
              <w:top w:val="nil"/>
              <w:left w:val="nil"/>
              <w:bottom w:val="single" w:sz="8" w:space="0" w:color="BFBFBF"/>
              <w:right w:val="nil"/>
            </w:tcBorders>
            <w:shd w:val="clear" w:color="000000" w:fill="F3F3EA"/>
            <w:vAlign w:val="center"/>
            <w:hideMark/>
          </w:tcPr>
          <w:p w14:paraId="71B8408E"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34</w:t>
            </w:r>
          </w:p>
        </w:tc>
        <w:tc>
          <w:tcPr>
            <w:tcW w:w="1606" w:type="dxa"/>
            <w:tcBorders>
              <w:top w:val="nil"/>
              <w:left w:val="nil"/>
              <w:bottom w:val="single" w:sz="8" w:space="0" w:color="BFBFBF"/>
              <w:right w:val="nil"/>
            </w:tcBorders>
            <w:shd w:val="clear" w:color="000000" w:fill="F3F3EA"/>
            <w:noWrap/>
            <w:vAlign w:val="center"/>
            <w:hideMark/>
          </w:tcPr>
          <w:p w14:paraId="44918491"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28.8% [20.9%, 37.9%]</w:t>
            </w:r>
          </w:p>
        </w:tc>
        <w:tc>
          <w:tcPr>
            <w:tcW w:w="1194" w:type="dxa"/>
            <w:tcBorders>
              <w:top w:val="nil"/>
              <w:left w:val="nil"/>
              <w:bottom w:val="single" w:sz="8" w:space="0" w:color="BFBFBF"/>
              <w:right w:val="nil"/>
            </w:tcBorders>
            <w:shd w:val="clear" w:color="000000" w:fill="F3F3EA"/>
            <w:vAlign w:val="center"/>
            <w:hideMark/>
          </w:tcPr>
          <w:p w14:paraId="1D97879E"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6.1 [4.1, 9.0]</w:t>
            </w:r>
          </w:p>
        </w:tc>
        <w:tc>
          <w:tcPr>
            <w:tcW w:w="1236" w:type="dxa"/>
            <w:tcBorders>
              <w:top w:val="nil"/>
              <w:left w:val="nil"/>
              <w:bottom w:val="single" w:sz="8" w:space="0" w:color="BFBFBF"/>
              <w:right w:val="nil"/>
            </w:tcBorders>
            <w:shd w:val="clear" w:color="000000" w:fill="F3F3EA"/>
            <w:vAlign w:val="center"/>
            <w:hideMark/>
          </w:tcPr>
          <w:p w14:paraId="593A832D"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w:t>
            </w:r>
          </w:p>
        </w:tc>
        <w:tc>
          <w:tcPr>
            <w:tcW w:w="744" w:type="dxa"/>
            <w:tcBorders>
              <w:top w:val="nil"/>
              <w:left w:val="nil"/>
              <w:bottom w:val="single" w:sz="8" w:space="0" w:color="BFBFBF"/>
              <w:right w:val="nil"/>
            </w:tcBorders>
            <w:shd w:val="clear" w:color="000000" w:fill="F3F3EA"/>
            <w:vAlign w:val="center"/>
            <w:hideMark/>
          </w:tcPr>
          <w:p w14:paraId="34C739D4"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r>
      <w:tr w:rsidR="00D14D65" w:rsidRPr="00BF0C9A" w14:paraId="3FBD4426" w14:textId="77777777" w:rsidTr="00F74BC3">
        <w:trPr>
          <w:trHeight w:val="240"/>
        </w:trPr>
        <w:tc>
          <w:tcPr>
            <w:tcW w:w="1000" w:type="dxa"/>
            <w:tcBorders>
              <w:top w:val="nil"/>
              <w:left w:val="nil"/>
              <w:bottom w:val="nil"/>
              <w:right w:val="nil"/>
            </w:tcBorders>
            <w:shd w:val="clear" w:color="000000" w:fill="F3F3EA"/>
            <w:noWrap/>
            <w:vAlign w:val="center"/>
            <w:hideMark/>
          </w:tcPr>
          <w:p w14:paraId="23EDC60A"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c>
          <w:tcPr>
            <w:tcW w:w="1940" w:type="dxa"/>
            <w:vMerge w:val="restart"/>
            <w:tcBorders>
              <w:top w:val="nil"/>
              <w:left w:val="nil"/>
              <w:bottom w:val="single" w:sz="8" w:space="0" w:color="BFBFBF"/>
              <w:right w:val="nil"/>
            </w:tcBorders>
            <w:shd w:val="clear" w:color="000000" w:fill="F3F3EA"/>
            <w:vAlign w:val="center"/>
            <w:hideMark/>
          </w:tcPr>
          <w:p w14:paraId="73D32454"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xml:space="preserve">Mechanical Ventilation within 24 </w:t>
            </w:r>
            <w:proofErr w:type="spellStart"/>
            <w:r w:rsidRPr="00BF0C9A">
              <w:rPr>
                <w:rFonts w:ascii="Arial" w:hAnsi="Arial" w:cs="Arial"/>
                <w:color w:val="000000"/>
                <w:sz w:val="12"/>
                <w:szCs w:val="12"/>
              </w:rPr>
              <w:t>Hrs</w:t>
            </w:r>
            <w:proofErr w:type="spellEnd"/>
          </w:p>
        </w:tc>
        <w:tc>
          <w:tcPr>
            <w:tcW w:w="1200" w:type="dxa"/>
            <w:tcBorders>
              <w:top w:val="nil"/>
              <w:left w:val="nil"/>
              <w:bottom w:val="nil"/>
              <w:right w:val="nil"/>
            </w:tcBorders>
            <w:shd w:val="clear" w:color="000000" w:fill="F3F3EA"/>
            <w:vAlign w:val="center"/>
            <w:hideMark/>
          </w:tcPr>
          <w:p w14:paraId="06259B49"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Low</w:t>
            </w:r>
          </w:p>
        </w:tc>
        <w:tc>
          <w:tcPr>
            <w:tcW w:w="820" w:type="dxa"/>
            <w:tcBorders>
              <w:top w:val="nil"/>
              <w:left w:val="nil"/>
              <w:bottom w:val="nil"/>
              <w:right w:val="nil"/>
            </w:tcBorders>
            <w:shd w:val="clear" w:color="000000" w:fill="F3F3EA"/>
            <w:vAlign w:val="center"/>
            <w:hideMark/>
          </w:tcPr>
          <w:p w14:paraId="6BC3013B"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849</w:t>
            </w:r>
          </w:p>
        </w:tc>
        <w:tc>
          <w:tcPr>
            <w:tcW w:w="1100" w:type="dxa"/>
            <w:tcBorders>
              <w:top w:val="nil"/>
              <w:left w:val="nil"/>
              <w:bottom w:val="nil"/>
              <w:right w:val="nil"/>
            </w:tcBorders>
            <w:shd w:val="clear" w:color="000000" w:fill="F3F3EA"/>
            <w:vAlign w:val="center"/>
            <w:hideMark/>
          </w:tcPr>
          <w:p w14:paraId="331319BD"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9</w:t>
            </w:r>
          </w:p>
        </w:tc>
        <w:tc>
          <w:tcPr>
            <w:tcW w:w="1606" w:type="dxa"/>
            <w:tcBorders>
              <w:top w:val="nil"/>
              <w:left w:val="nil"/>
              <w:bottom w:val="nil"/>
              <w:right w:val="nil"/>
            </w:tcBorders>
            <w:shd w:val="clear" w:color="000000" w:fill="F3F3EA"/>
            <w:noWrap/>
            <w:vAlign w:val="center"/>
            <w:hideMark/>
          </w:tcPr>
          <w:p w14:paraId="7ECF3150"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1.1% [0.5%, 2.00%]</w:t>
            </w:r>
          </w:p>
        </w:tc>
        <w:tc>
          <w:tcPr>
            <w:tcW w:w="1194" w:type="dxa"/>
            <w:tcBorders>
              <w:top w:val="nil"/>
              <w:left w:val="nil"/>
              <w:bottom w:val="nil"/>
              <w:right w:val="nil"/>
            </w:tcBorders>
            <w:shd w:val="clear" w:color="000000" w:fill="F3F3EA"/>
            <w:vAlign w:val="center"/>
            <w:hideMark/>
          </w:tcPr>
          <w:p w14:paraId="6DA3B91B"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0.2 [0.1, 0.4]</w:t>
            </w:r>
          </w:p>
        </w:tc>
        <w:tc>
          <w:tcPr>
            <w:tcW w:w="1236" w:type="dxa"/>
            <w:tcBorders>
              <w:top w:val="nil"/>
              <w:left w:val="nil"/>
              <w:bottom w:val="nil"/>
              <w:right w:val="nil"/>
            </w:tcBorders>
            <w:shd w:val="clear" w:color="000000" w:fill="F3F3EA"/>
            <w:vAlign w:val="center"/>
            <w:hideMark/>
          </w:tcPr>
          <w:p w14:paraId="3D012224"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w:t>
            </w:r>
          </w:p>
        </w:tc>
        <w:tc>
          <w:tcPr>
            <w:tcW w:w="744" w:type="dxa"/>
            <w:tcBorders>
              <w:top w:val="nil"/>
              <w:left w:val="nil"/>
              <w:bottom w:val="nil"/>
              <w:right w:val="nil"/>
            </w:tcBorders>
            <w:shd w:val="clear" w:color="000000" w:fill="F3F3EA"/>
            <w:vAlign w:val="center"/>
            <w:hideMark/>
          </w:tcPr>
          <w:p w14:paraId="6F87971E"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&lt; 0.001</w:t>
            </w:r>
          </w:p>
        </w:tc>
      </w:tr>
      <w:tr w:rsidR="00D14D65" w:rsidRPr="00BF0C9A" w14:paraId="3215B219" w14:textId="77777777" w:rsidTr="00F74BC3">
        <w:trPr>
          <w:trHeight w:val="240"/>
        </w:trPr>
        <w:tc>
          <w:tcPr>
            <w:tcW w:w="1000" w:type="dxa"/>
            <w:tcBorders>
              <w:top w:val="nil"/>
              <w:left w:val="nil"/>
              <w:bottom w:val="nil"/>
              <w:right w:val="nil"/>
            </w:tcBorders>
            <w:shd w:val="clear" w:color="000000" w:fill="F3F3EA"/>
            <w:noWrap/>
            <w:vAlign w:val="center"/>
            <w:hideMark/>
          </w:tcPr>
          <w:p w14:paraId="5AEC2F28"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c>
          <w:tcPr>
            <w:tcW w:w="1940" w:type="dxa"/>
            <w:vMerge/>
            <w:tcBorders>
              <w:top w:val="nil"/>
              <w:left w:val="nil"/>
              <w:bottom w:val="single" w:sz="8" w:space="0" w:color="BFBFBF"/>
              <w:right w:val="nil"/>
            </w:tcBorders>
            <w:vAlign w:val="center"/>
            <w:hideMark/>
          </w:tcPr>
          <w:p w14:paraId="31DA0B11" w14:textId="77777777" w:rsidR="00BF0C9A" w:rsidRPr="00BF0C9A" w:rsidRDefault="00BF0C9A" w:rsidP="00BF0C9A">
            <w:pPr>
              <w:rPr>
                <w:rFonts w:ascii="Arial" w:hAnsi="Arial" w:cs="Arial"/>
                <w:color w:val="000000"/>
                <w:sz w:val="12"/>
                <w:szCs w:val="12"/>
              </w:rPr>
            </w:pPr>
          </w:p>
        </w:tc>
        <w:tc>
          <w:tcPr>
            <w:tcW w:w="1200" w:type="dxa"/>
            <w:tcBorders>
              <w:top w:val="nil"/>
              <w:left w:val="nil"/>
              <w:bottom w:val="nil"/>
              <w:right w:val="nil"/>
            </w:tcBorders>
            <w:shd w:val="clear" w:color="000000" w:fill="F3F3EA"/>
            <w:vAlign w:val="center"/>
            <w:hideMark/>
          </w:tcPr>
          <w:p w14:paraId="14E7567B"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xml:space="preserve">Medium </w:t>
            </w:r>
          </w:p>
        </w:tc>
        <w:tc>
          <w:tcPr>
            <w:tcW w:w="820" w:type="dxa"/>
            <w:tcBorders>
              <w:top w:val="nil"/>
              <w:left w:val="nil"/>
              <w:bottom w:val="nil"/>
              <w:right w:val="nil"/>
            </w:tcBorders>
            <w:shd w:val="clear" w:color="000000" w:fill="F3F3EA"/>
            <w:vAlign w:val="center"/>
            <w:hideMark/>
          </w:tcPr>
          <w:p w14:paraId="09ED7538"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556</w:t>
            </w:r>
          </w:p>
        </w:tc>
        <w:tc>
          <w:tcPr>
            <w:tcW w:w="1100" w:type="dxa"/>
            <w:tcBorders>
              <w:top w:val="nil"/>
              <w:left w:val="nil"/>
              <w:bottom w:val="nil"/>
              <w:right w:val="nil"/>
            </w:tcBorders>
            <w:shd w:val="clear" w:color="000000" w:fill="F3F3EA"/>
            <w:vAlign w:val="center"/>
            <w:hideMark/>
          </w:tcPr>
          <w:p w14:paraId="75B69239"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16</w:t>
            </w:r>
          </w:p>
        </w:tc>
        <w:tc>
          <w:tcPr>
            <w:tcW w:w="1606" w:type="dxa"/>
            <w:tcBorders>
              <w:top w:val="nil"/>
              <w:left w:val="nil"/>
              <w:bottom w:val="nil"/>
              <w:right w:val="nil"/>
            </w:tcBorders>
            <w:shd w:val="clear" w:color="000000" w:fill="F3F3EA"/>
            <w:noWrap/>
            <w:vAlign w:val="center"/>
            <w:hideMark/>
          </w:tcPr>
          <w:p w14:paraId="78148D57"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2.9% [1.7%, 4.63%]</w:t>
            </w:r>
          </w:p>
        </w:tc>
        <w:tc>
          <w:tcPr>
            <w:tcW w:w="1194" w:type="dxa"/>
            <w:tcBorders>
              <w:top w:val="nil"/>
              <w:left w:val="nil"/>
              <w:bottom w:val="nil"/>
              <w:right w:val="nil"/>
            </w:tcBorders>
            <w:shd w:val="clear" w:color="000000" w:fill="F3F3EA"/>
            <w:vAlign w:val="center"/>
            <w:hideMark/>
          </w:tcPr>
          <w:p w14:paraId="477F2D87"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0.5 [0.3, 0.8]</w:t>
            </w:r>
          </w:p>
        </w:tc>
        <w:tc>
          <w:tcPr>
            <w:tcW w:w="1236" w:type="dxa"/>
            <w:tcBorders>
              <w:top w:val="nil"/>
              <w:left w:val="nil"/>
              <w:bottom w:val="nil"/>
              <w:right w:val="nil"/>
            </w:tcBorders>
            <w:shd w:val="clear" w:color="000000" w:fill="F3F3EA"/>
            <w:vAlign w:val="center"/>
            <w:hideMark/>
          </w:tcPr>
          <w:p w14:paraId="750275AC"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w:t>
            </w:r>
          </w:p>
        </w:tc>
        <w:tc>
          <w:tcPr>
            <w:tcW w:w="744" w:type="dxa"/>
            <w:tcBorders>
              <w:top w:val="nil"/>
              <w:left w:val="nil"/>
              <w:bottom w:val="nil"/>
              <w:right w:val="nil"/>
            </w:tcBorders>
            <w:shd w:val="clear" w:color="000000" w:fill="F3F3EA"/>
            <w:vAlign w:val="center"/>
            <w:hideMark/>
          </w:tcPr>
          <w:p w14:paraId="7A693B52"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r>
      <w:tr w:rsidR="00D14D65" w:rsidRPr="00BF0C9A" w14:paraId="02F5B556" w14:textId="77777777" w:rsidTr="00F74BC3">
        <w:trPr>
          <w:trHeight w:val="240"/>
        </w:trPr>
        <w:tc>
          <w:tcPr>
            <w:tcW w:w="1000" w:type="dxa"/>
            <w:tcBorders>
              <w:top w:val="nil"/>
              <w:left w:val="nil"/>
              <w:bottom w:val="nil"/>
              <w:right w:val="nil"/>
            </w:tcBorders>
            <w:shd w:val="clear" w:color="000000" w:fill="F3F3EA"/>
            <w:noWrap/>
            <w:vAlign w:val="center"/>
            <w:hideMark/>
          </w:tcPr>
          <w:p w14:paraId="055E45EC"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c>
          <w:tcPr>
            <w:tcW w:w="1940" w:type="dxa"/>
            <w:vMerge/>
            <w:tcBorders>
              <w:top w:val="nil"/>
              <w:left w:val="nil"/>
              <w:bottom w:val="single" w:sz="8" w:space="0" w:color="BFBFBF"/>
              <w:right w:val="nil"/>
            </w:tcBorders>
            <w:vAlign w:val="center"/>
            <w:hideMark/>
          </w:tcPr>
          <w:p w14:paraId="0CAD243D" w14:textId="77777777" w:rsidR="00BF0C9A" w:rsidRPr="00BF0C9A" w:rsidRDefault="00BF0C9A" w:rsidP="00BF0C9A">
            <w:pPr>
              <w:rPr>
                <w:rFonts w:ascii="Arial" w:hAnsi="Arial" w:cs="Arial"/>
                <w:color w:val="000000"/>
                <w:sz w:val="12"/>
                <w:szCs w:val="12"/>
              </w:rPr>
            </w:pPr>
          </w:p>
        </w:tc>
        <w:tc>
          <w:tcPr>
            <w:tcW w:w="1200" w:type="dxa"/>
            <w:tcBorders>
              <w:top w:val="nil"/>
              <w:left w:val="nil"/>
              <w:bottom w:val="nil"/>
              <w:right w:val="nil"/>
            </w:tcBorders>
            <w:shd w:val="clear" w:color="000000" w:fill="F3F3EA"/>
            <w:vAlign w:val="center"/>
            <w:hideMark/>
          </w:tcPr>
          <w:p w14:paraId="6953DFCC"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xml:space="preserve">High </w:t>
            </w:r>
          </w:p>
        </w:tc>
        <w:tc>
          <w:tcPr>
            <w:tcW w:w="820" w:type="dxa"/>
            <w:tcBorders>
              <w:top w:val="nil"/>
              <w:left w:val="nil"/>
              <w:bottom w:val="nil"/>
              <w:right w:val="nil"/>
            </w:tcBorders>
            <w:shd w:val="clear" w:color="000000" w:fill="F3F3EA"/>
            <w:vAlign w:val="center"/>
            <w:hideMark/>
          </w:tcPr>
          <w:p w14:paraId="51BD7252"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843</w:t>
            </w:r>
          </w:p>
        </w:tc>
        <w:tc>
          <w:tcPr>
            <w:tcW w:w="1100" w:type="dxa"/>
            <w:tcBorders>
              <w:top w:val="nil"/>
              <w:left w:val="nil"/>
              <w:bottom w:val="nil"/>
              <w:right w:val="nil"/>
            </w:tcBorders>
            <w:shd w:val="clear" w:color="000000" w:fill="F3F3EA"/>
            <w:vAlign w:val="center"/>
            <w:hideMark/>
          </w:tcPr>
          <w:p w14:paraId="6BD78C21"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70</w:t>
            </w:r>
          </w:p>
        </w:tc>
        <w:tc>
          <w:tcPr>
            <w:tcW w:w="1606" w:type="dxa"/>
            <w:tcBorders>
              <w:top w:val="nil"/>
              <w:left w:val="nil"/>
              <w:bottom w:val="nil"/>
              <w:right w:val="nil"/>
            </w:tcBorders>
            <w:shd w:val="clear" w:color="000000" w:fill="F3F3EA"/>
            <w:noWrap/>
            <w:vAlign w:val="center"/>
            <w:hideMark/>
          </w:tcPr>
          <w:p w14:paraId="4727ADBF"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8.3% [6.5%, 10.37%]</w:t>
            </w:r>
          </w:p>
        </w:tc>
        <w:tc>
          <w:tcPr>
            <w:tcW w:w="1194" w:type="dxa"/>
            <w:tcBorders>
              <w:top w:val="nil"/>
              <w:left w:val="nil"/>
              <w:bottom w:val="nil"/>
              <w:right w:val="nil"/>
            </w:tcBorders>
            <w:shd w:val="clear" w:color="000000" w:fill="F3F3EA"/>
            <w:vAlign w:val="center"/>
            <w:hideMark/>
          </w:tcPr>
          <w:p w14:paraId="5841579F"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1.5 [1.2, 2.0]</w:t>
            </w:r>
          </w:p>
        </w:tc>
        <w:tc>
          <w:tcPr>
            <w:tcW w:w="1236" w:type="dxa"/>
            <w:tcBorders>
              <w:top w:val="nil"/>
              <w:left w:val="nil"/>
              <w:bottom w:val="nil"/>
              <w:right w:val="nil"/>
            </w:tcBorders>
            <w:shd w:val="clear" w:color="000000" w:fill="F3F3EA"/>
            <w:vAlign w:val="center"/>
            <w:hideMark/>
          </w:tcPr>
          <w:p w14:paraId="5DCB436E"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w:t>
            </w:r>
          </w:p>
        </w:tc>
        <w:tc>
          <w:tcPr>
            <w:tcW w:w="744" w:type="dxa"/>
            <w:tcBorders>
              <w:top w:val="nil"/>
              <w:left w:val="nil"/>
              <w:bottom w:val="nil"/>
              <w:right w:val="nil"/>
            </w:tcBorders>
            <w:shd w:val="clear" w:color="000000" w:fill="F3F3EA"/>
            <w:vAlign w:val="center"/>
            <w:hideMark/>
          </w:tcPr>
          <w:p w14:paraId="59E6B68A"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r>
      <w:tr w:rsidR="00D14D65" w:rsidRPr="00BF0C9A" w14:paraId="7B18A185" w14:textId="77777777" w:rsidTr="00F74BC3">
        <w:trPr>
          <w:trHeight w:val="240"/>
        </w:trPr>
        <w:tc>
          <w:tcPr>
            <w:tcW w:w="1000" w:type="dxa"/>
            <w:tcBorders>
              <w:top w:val="nil"/>
              <w:left w:val="nil"/>
              <w:bottom w:val="single" w:sz="8" w:space="0" w:color="BFBFBF"/>
              <w:right w:val="nil"/>
            </w:tcBorders>
            <w:shd w:val="clear" w:color="000000" w:fill="F3F3EA"/>
            <w:noWrap/>
            <w:vAlign w:val="center"/>
            <w:hideMark/>
          </w:tcPr>
          <w:p w14:paraId="273A589E"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c>
          <w:tcPr>
            <w:tcW w:w="1940" w:type="dxa"/>
            <w:vMerge/>
            <w:tcBorders>
              <w:top w:val="nil"/>
              <w:left w:val="nil"/>
              <w:bottom w:val="single" w:sz="8" w:space="0" w:color="BFBFBF"/>
              <w:right w:val="nil"/>
            </w:tcBorders>
            <w:vAlign w:val="center"/>
            <w:hideMark/>
          </w:tcPr>
          <w:p w14:paraId="04667DF8" w14:textId="77777777" w:rsidR="00BF0C9A" w:rsidRPr="00BF0C9A" w:rsidRDefault="00BF0C9A" w:rsidP="00BF0C9A">
            <w:pPr>
              <w:rPr>
                <w:rFonts w:ascii="Arial" w:hAnsi="Arial" w:cs="Arial"/>
                <w:color w:val="000000"/>
                <w:sz w:val="12"/>
                <w:szCs w:val="12"/>
              </w:rPr>
            </w:pPr>
          </w:p>
        </w:tc>
        <w:tc>
          <w:tcPr>
            <w:tcW w:w="1200" w:type="dxa"/>
            <w:tcBorders>
              <w:top w:val="nil"/>
              <w:left w:val="nil"/>
              <w:bottom w:val="single" w:sz="8" w:space="0" w:color="BFBFBF"/>
              <w:right w:val="nil"/>
            </w:tcBorders>
            <w:shd w:val="clear" w:color="000000" w:fill="F3F3EA"/>
            <w:vAlign w:val="center"/>
            <w:hideMark/>
          </w:tcPr>
          <w:p w14:paraId="6AFB5208"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xml:space="preserve">Very High </w:t>
            </w:r>
          </w:p>
        </w:tc>
        <w:tc>
          <w:tcPr>
            <w:tcW w:w="820" w:type="dxa"/>
            <w:tcBorders>
              <w:top w:val="nil"/>
              <w:left w:val="nil"/>
              <w:bottom w:val="single" w:sz="8" w:space="0" w:color="BFBFBF"/>
              <w:right w:val="nil"/>
            </w:tcBorders>
            <w:shd w:val="clear" w:color="000000" w:fill="F3F3EA"/>
            <w:vAlign w:val="center"/>
            <w:hideMark/>
          </w:tcPr>
          <w:p w14:paraId="4686ECED"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118</w:t>
            </w:r>
          </w:p>
        </w:tc>
        <w:tc>
          <w:tcPr>
            <w:tcW w:w="1100" w:type="dxa"/>
            <w:tcBorders>
              <w:top w:val="nil"/>
              <w:left w:val="nil"/>
              <w:bottom w:val="single" w:sz="8" w:space="0" w:color="BFBFBF"/>
              <w:right w:val="nil"/>
            </w:tcBorders>
            <w:shd w:val="clear" w:color="000000" w:fill="F3F3EA"/>
            <w:vAlign w:val="center"/>
            <w:hideMark/>
          </w:tcPr>
          <w:p w14:paraId="413C08DA"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36</w:t>
            </w:r>
          </w:p>
        </w:tc>
        <w:tc>
          <w:tcPr>
            <w:tcW w:w="1606" w:type="dxa"/>
            <w:tcBorders>
              <w:top w:val="nil"/>
              <w:left w:val="nil"/>
              <w:bottom w:val="single" w:sz="8" w:space="0" w:color="BFBFBF"/>
              <w:right w:val="nil"/>
            </w:tcBorders>
            <w:shd w:val="clear" w:color="000000" w:fill="F3F3EA"/>
            <w:noWrap/>
            <w:vAlign w:val="center"/>
            <w:hideMark/>
          </w:tcPr>
          <w:p w14:paraId="372C7B59"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30.5% [22.4%, 39.7%]</w:t>
            </w:r>
          </w:p>
        </w:tc>
        <w:tc>
          <w:tcPr>
            <w:tcW w:w="1194" w:type="dxa"/>
            <w:tcBorders>
              <w:top w:val="nil"/>
              <w:left w:val="nil"/>
              <w:bottom w:val="single" w:sz="8" w:space="0" w:color="BFBFBF"/>
              <w:right w:val="nil"/>
            </w:tcBorders>
            <w:shd w:val="clear" w:color="000000" w:fill="F3F3EA"/>
            <w:vAlign w:val="center"/>
            <w:hideMark/>
          </w:tcPr>
          <w:p w14:paraId="4084CB3E"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7.5 [5.1, 11.0]</w:t>
            </w:r>
          </w:p>
        </w:tc>
        <w:tc>
          <w:tcPr>
            <w:tcW w:w="1236" w:type="dxa"/>
            <w:tcBorders>
              <w:top w:val="nil"/>
              <w:left w:val="nil"/>
              <w:bottom w:val="single" w:sz="8" w:space="0" w:color="BFBFBF"/>
              <w:right w:val="nil"/>
            </w:tcBorders>
            <w:shd w:val="clear" w:color="000000" w:fill="F3F3EA"/>
            <w:vAlign w:val="center"/>
            <w:hideMark/>
          </w:tcPr>
          <w:p w14:paraId="4175CF0F"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w:t>
            </w:r>
          </w:p>
        </w:tc>
        <w:tc>
          <w:tcPr>
            <w:tcW w:w="744" w:type="dxa"/>
            <w:tcBorders>
              <w:top w:val="nil"/>
              <w:left w:val="nil"/>
              <w:bottom w:val="single" w:sz="8" w:space="0" w:color="BFBFBF"/>
              <w:right w:val="nil"/>
            </w:tcBorders>
            <w:shd w:val="clear" w:color="000000" w:fill="F3F3EA"/>
            <w:vAlign w:val="center"/>
            <w:hideMark/>
          </w:tcPr>
          <w:p w14:paraId="5F953B81"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r>
      <w:tr w:rsidR="00D14D65" w:rsidRPr="00BF0C9A" w14:paraId="38F523B3" w14:textId="77777777" w:rsidTr="00F74BC3">
        <w:trPr>
          <w:trHeight w:val="240"/>
        </w:trPr>
        <w:tc>
          <w:tcPr>
            <w:tcW w:w="1000" w:type="dxa"/>
            <w:tcBorders>
              <w:top w:val="nil"/>
              <w:left w:val="nil"/>
              <w:bottom w:val="nil"/>
              <w:right w:val="nil"/>
            </w:tcBorders>
            <w:shd w:val="clear" w:color="000000" w:fill="F3F3EA"/>
            <w:noWrap/>
            <w:vAlign w:val="center"/>
            <w:hideMark/>
          </w:tcPr>
          <w:p w14:paraId="7AF96D77"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c>
          <w:tcPr>
            <w:tcW w:w="1940" w:type="dxa"/>
            <w:vMerge w:val="restart"/>
            <w:tcBorders>
              <w:top w:val="nil"/>
              <w:left w:val="nil"/>
              <w:bottom w:val="single" w:sz="8" w:space="0" w:color="BFBFBF"/>
              <w:right w:val="nil"/>
            </w:tcBorders>
            <w:shd w:val="clear" w:color="000000" w:fill="F3F3EA"/>
            <w:vAlign w:val="center"/>
            <w:hideMark/>
          </w:tcPr>
          <w:p w14:paraId="4DE95BB3"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xml:space="preserve">Vasopressor within 24 </w:t>
            </w:r>
            <w:proofErr w:type="spellStart"/>
            <w:r w:rsidRPr="00BF0C9A">
              <w:rPr>
                <w:rFonts w:ascii="Arial" w:hAnsi="Arial" w:cs="Arial"/>
                <w:color w:val="000000"/>
                <w:sz w:val="12"/>
                <w:szCs w:val="12"/>
              </w:rPr>
              <w:t>Hrs</w:t>
            </w:r>
            <w:proofErr w:type="spellEnd"/>
          </w:p>
        </w:tc>
        <w:tc>
          <w:tcPr>
            <w:tcW w:w="1200" w:type="dxa"/>
            <w:tcBorders>
              <w:top w:val="nil"/>
              <w:left w:val="nil"/>
              <w:bottom w:val="nil"/>
              <w:right w:val="nil"/>
            </w:tcBorders>
            <w:shd w:val="clear" w:color="000000" w:fill="F3F3EA"/>
            <w:vAlign w:val="center"/>
            <w:hideMark/>
          </w:tcPr>
          <w:p w14:paraId="0C6FCA68"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Low</w:t>
            </w:r>
          </w:p>
        </w:tc>
        <w:tc>
          <w:tcPr>
            <w:tcW w:w="820" w:type="dxa"/>
            <w:tcBorders>
              <w:top w:val="nil"/>
              <w:left w:val="nil"/>
              <w:bottom w:val="nil"/>
              <w:right w:val="nil"/>
            </w:tcBorders>
            <w:shd w:val="clear" w:color="000000" w:fill="F3F3EA"/>
            <w:vAlign w:val="center"/>
            <w:hideMark/>
          </w:tcPr>
          <w:p w14:paraId="37B4AC3B"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849</w:t>
            </w:r>
          </w:p>
        </w:tc>
        <w:tc>
          <w:tcPr>
            <w:tcW w:w="1100" w:type="dxa"/>
            <w:tcBorders>
              <w:top w:val="nil"/>
              <w:left w:val="nil"/>
              <w:bottom w:val="nil"/>
              <w:right w:val="nil"/>
            </w:tcBorders>
            <w:shd w:val="clear" w:color="000000" w:fill="F3F3EA"/>
            <w:vAlign w:val="center"/>
            <w:hideMark/>
          </w:tcPr>
          <w:p w14:paraId="294032F8"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3</w:t>
            </w:r>
          </w:p>
        </w:tc>
        <w:tc>
          <w:tcPr>
            <w:tcW w:w="1606" w:type="dxa"/>
            <w:tcBorders>
              <w:top w:val="nil"/>
              <w:left w:val="nil"/>
              <w:bottom w:val="nil"/>
              <w:right w:val="nil"/>
            </w:tcBorders>
            <w:shd w:val="clear" w:color="000000" w:fill="F3F3EA"/>
            <w:noWrap/>
            <w:vAlign w:val="center"/>
            <w:hideMark/>
          </w:tcPr>
          <w:p w14:paraId="1EF01E46"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0.4% [0.1%, 1.0%]</w:t>
            </w:r>
          </w:p>
        </w:tc>
        <w:tc>
          <w:tcPr>
            <w:tcW w:w="1194" w:type="dxa"/>
            <w:tcBorders>
              <w:top w:val="nil"/>
              <w:left w:val="nil"/>
              <w:bottom w:val="nil"/>
              <w:right w:val="nil"/>
            </w:tcBorders>
            <w:shd w:val="clear" w:color="000000" w:fill="F3F3EA"/>
            <w:vAlign w:val="center"/>
            <w:hideMark/>
          </w:tcPr>
          <w:p w14:paraId="7CC63686"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0.1 [0.0, 0.2]</w:t>
            </w:r>
          </w:p>
        </w:tc>
        <w:tc>
          <w:tcPr>
            <w:tcW w:w="1236" w:type="dxa"/>
            <w:tcBorders>
              <w:top w:val="nil"/>
              <w:left w:val="nil"/>
              <w:bottom w:val="nil"/>
              <w:right w:val="nil"/>
            </w:tcBorders>
            <w:shd w:val="clear" w:color="000000" w:fill="F3F3EA"/>
            <w:vAlign w:val="center"/>
            <w:hideMark/>
          </w:tcPr>
          <w:p w14:paraId="5B269D60"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w:t>
            </w:r>
          </w:p>
        </w:tc>
        <w:tc>
          <w:tcPr>
            <w:tcW w:w="744" w:type="dxa"/>
            <w:tcBorders>
              <w:top w:val="nil"/>
              <w:left w:val="nil"/>
              <w:bottom w:val="nil"/>
              <w:right w:val="nil"/>
            </w:tcBorders>
            <w:shd w:val="clear" w:color="000000" w:fill="F3F3EA"/>
            <w:vAlign w:val="center"/>
            <w:hideMark/>
          </w:tcPr>
          <w:p w14:paraId="73705EE3"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&lt; 0.001</w:t>
            </w:r>
          </w:p>
        </w:tc>
      </w:tr>
      <w:tr w:rsidR="00D14D65" w:rsidRPr="00BF0C9A" w14:paraId="0D4A5F5B" w14:textId="77777777" w:rsidTr="00F74BC3">
        <w:trPr>
          <w:trHeight w:val="240"/>
        </w:trPr>
        <w:tc>
          <w:tcPr>
            <w:tcW w:w="1000" w:type="dxa"/>
            <w:tcBorders>
              <w:top w:val="nil"/>
              <w:left w:val="nil"/>
              <w:bottom w:val="nil"/>
              <w:right w:val="nil"/>
            </w:tcBorders>
            <w:shd w:val="clear" w:color="000000" w:fill="F3F3EA"/>
            <w:noWrap/>
            <w:vAlign w:val="center"/>
            <w:hideMark/>
          </w:tcPr>
          <w:p w14:paraId="2F675FF9"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c>
          <w:tcPr>
            <w:tcW w:w="1940" w:type="dxa"/>
            <w:vMerge/>
            <w:tcBorders>
              <w:top w:val="nil"/>
              <w:left w:val="nil"/>
              <w:bottom w:val="single" w:sz="8" w:space="0" w:color="BFBFBF"/>
              <w:right w:val="nil"/>
            </w:tcBorders>
            <w:vAlign w:val="center"/>
            <w:hideMark/>
          </w:tcPr>
          <w:p w14:paraId="2BD9940C" w14:textId="77777777" w:rsidR="00BF0C9A" w:rsidRPr="00BF0C9A" w:rsidRDefault="00BF0C9A" w:rsidP="00BF0C9A">
            <w:pPr>
              <w:rPr>
                <w:rFonts w:ascii="Arial" w:hAnsi="Arial" w:cs="Arial"/>
                <w:color w:val="000000"/>
                <w:sz w:val="12"/>
                <w:szCs w:val="12"/>
              </w:rPr>
            </w:pPr>
          </w:p>
        </w:tc>
        <w:tc>
          <w:tcPr>
            <w:tcW w:w="1200" w:type="dxa"/>
            <w:tcBorders>
              <w:top w:val="nil"/>
              <w:left w:val="nil"/>
              <w:bottom w:val="nil"/>
              <w:right w:val="nil"/>
            </w:tcBorders>
            <w:shd w:val="clear" w:color="000000" w:fill="F3F3EA"/>
            <w:vAlign w:val="center"/>
            <w:hideMark/>
          </w:tcPr>
          <w:p w14:paraId="551159DD"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xml:space="preserve">Medium </w:t>
            </w:r>
          </w:p>
        </w:tc>
        <w:tc>
          <w:tcPr>
            <w:tcW w:w="820" w:type="dxa"/>
            <w:tcBorders>
              <w:top w:val="nil"/>
              <w:left w:val="nil"/>
              <w:bottom w:val="nil"/>
              <w:right w:val="nil"/>
            </w:tcBorders>
            <w:shd w:val="clear" w:color="000000" w:fill="F3F3EA"/>
            <w:vAlign w:val="center"/>
            <w:hideMark/>
          </w:tcPr>
          <w:p w14:paraId="15B15465"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556</w:t>
            </w:r>
          </w:p>
        </w:tc>
        <w:tc>
          <w:tcPr>
            <w:tcW w:w="1100" w:type="dxa"/>
            <w:tcBorders>
              <w:top w:val="nil"/>
              <w:left w:val="nil"/>
              <w:bottom w:val="nil"/>
              <w:right w:val="nil"/>
            </w:tcBorders>
            <w:shd w:val="clear" w:color="000000" w:fill="F3F3EA"/>
            <w:vAlign w:val="center"/>
            <w:hideMark/>
          </w:tcPr>
          <w:p w14:paraId="4EFF69C0"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12</w:t>
            </w:r>
          </w:p>
        </w:tc>
        <w:tc>
          <w:tcPr>
            <w:tcW w:w="1606" w:type="dxa"/>
            <w:tcBorders>
              <w:top w:val="nil"/>
              <w:left w:val="nil"/>
              <w:bottom w:val="nil"/>
              <w:right w:val="nil"/>
            </w:tcBorders>
            <w:shd w:val="clear" w:color="000000" w:fill="F3F3EA"/>
            <w:noWrap/>
            <w:vAlign w:val="center"/>
            <w:hideMark/>
          </w:tcPr>
          <w:p w14:paraId="3788DA65"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2.2% [1.1%, 3.7%]</w:t>
            </w:r>
          </w:p>
        </w:tc>
        <w:tc>
          <w:tcPr>
            <w:tcW w:w="1194" w:type="dxa"/>
            <w:tcBorders>
              <w:top w:val="nil"/>
              <w:left w:val="nil"/>
              <w:bottom w:val="nil"/>
              <w:right w:val="nil"/>
            </w:tcBorders>
            <w:shd w:val="clear" w:color="000000" w:fill="F3F3EA"/>
            <w:vAlign w:val="center"/>
            <w:hideMark/>
          </w:tcPr>
          <w:p w14:paraId="182F20E5"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0.3 [0.2, 0.5]</w:t>
            </w:r>
          </w:p>
        </w:tc>
        <w:tc>
          <w:tcPr>
            <w:tcW w:w="1236" w:type="dxa"/>
            <w:tcBorders>
              <w:top w:val="nil"/>
              <w:left w:val="nil"/>
              <w:bottom w:val="nil"/>
              <w:right w:val="nil"/>
            </w:tcBorders>
            <w:shd w:val="clear" w:color="000000" w:fill="F3F3EA"/>
            <w:vAlign w:val="center"/>
            <w:hideMark/>
          </w:tcPr>
          <w:p w14:paraId="630DC09D"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w:t>
            </w:r>
          </w:p>
        </w:tc>
        <w:tc>
          <w:tcPr>
            <w:tcW w:w="744" w:type="dxa"/>
            <w:tcBorders>
              <w:top w:val="nil"/>
              <w:left w:val="nil"/>
              <w:bottom w:val="nil"/>
              <w:right w:val="nil"/>
            </w:tcBorders>
            <w:shd w:val="clear" w:color="000000" w:fill="F3F3EA"/>
            <w:vAlign w:val="center"/>
            <w:hideMark/>
          </w:tcPr>
          <w:p w14:paraId="21A3358E"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r>
      <w:tr w:rsidR="00D14D65" w:rsidRPr="00BF0C9A" w14:paraId="0011DF4C" w14:textId="77777777" w:rsidTr="00F74BC3">
        <w:trPr>
          <w:trHeight w:val="240"/>
        </w:trPr>
        <w:tc>
          <w:tcPr>
            <w:tcW w:w="1000" w:type="dxa"/>
            <w:tcBorders>
              <w:top w:val="nil"/>
              <w:left w:val="nil"/>
              <w:bottom w:val="nil"/>
              <w:right w:val="nil"/>
            </w:tcBorders>
            <w:shd w:val="clear" w:color="000000" w:fill="F3F3EA"/>
            <w:noWrap/>
            <w:vAlign w:val="center"/>
            <w:hideMark/>
          </w:tcPr>
          <w:p w14:paraId="7938E692"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c>
          <w:tcPr>
            <w:tcW w:w="1940" w:type="dxa"/>
            <w:vMerge/>
            <w:tcBorders>
              <w:top w:val="nil"/>
              <w:left w:val="nil"/>
              <w:bottom w:val="single" w:sz="8" w:space="0" w:color="BFBFBF"/>
              <w:right w:val="nil"/>
            </w:tcBorders>
            <w:vAlign w:val="center"/>
            <w:hideMark/>
          </w:tcPr>
          <w:p w14:paraId="16F257F1" w14:textId="77777777" w:rsidR="00BF0C9A" w:rsidRPr="00BF0C9A" w:rsidRDefault="00BF0C9A" w:rsidP="00BF0C9A">
            <w:pPr>
              <w:rPr>
                <w:rFonts w:ascii="Arial" w:hAnsi="Arial" w:cs="Arial"/>
                <w:color w:val="000000"/>
                <w:sz w:val="12"/>
                <w:szCs w:val="12"/>
              </w:rPr>
            </w:pPr>
          </w:p>
        </w:tc>
        <w:tc>
          <w:tcPr>
            <w:tcW w:w="1200" w:type="dxa"/>
            <w:tcBorders>
              <w:top w:val="nil"/>
              <w:left w:val="nil"/>
              <w:bottom w:val="nil"/>
              <w:right w:val="nil"/>
            </w:tcBorders>
            <w:shd w:val="clear" w:color="000000" w:fill="F3F3EA"/>
            <w:vAlign w:val="center"/>
            <w:hideMark/>
          </w:tcPr>
          <w:p w14:paraId="6A24776A"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xml:space="preserve">High </w:t>
            </w:r>
          </w:p>
        </w:tc>
        <w:tc>
          <w:tcPr>
            <w:tcW w:w="820" w:type="dxa"/>
            <w:tcBorders>
              <w:top w:val="nil"/>
              <w:left w:val="nil"/>
              <w:bottom w:val="nil"/>
              <w:right w:val="nil"/>
            </w:tcBorders>
            <w:shd w:val="clear" w:color="000000" w:fill="F3F3EA"/>
            <w:vAlign w:val="center"/>
            <w:hideMark/>
          </w:tcPr>
          <w:p w14:paraId="1406068F"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843</w:t>
            </w:r>
          </w:p>
        </w:tc>
        <w:tc>
          <w:tcPr>
            <w:tcW w:w="1100" w:type="dxa"/>
            <w:tcBorders>
              <w:top w:val="nil"/>
              <w:left w:val="nil"/>
              <w:bottom w:val="nil"/>
              <w:right w:val="nil"/>
            </w:tcBorders>
            <w:shd w:val="clear" w:color="000000" w:fill="F3F3EA"/>
            <w:vAlign w:val="center"/>
            <w:hideMark/>
          </w:tcPr>
          <w:p w14:paraId="463668C0"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92</w:t>
            </w:r>
          </w:p>
        </w:tc>
        <w:tc>
          <w:tcPr>
            <w:tcW w:w="1606" w:type="dxa"/>
            <w:tcBorders>
              <w:top w:val="nil"/>
              <w:left w:val="nil"/>
              <w:bottom w:val="nil"/>
              <w:right w:val="nil"/>
            </w:tcBorders>
            <w:shd w:val="clear" w:color="000000" w:fill="F3F3EA"/>
            <w:noWrap/>
            <w:vAlign w:val="center"/>
            <w:hideMark/>
          </w:tcPr>
          <w:p w14:paraId="305D6E8F"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10.9% [8.9%, 13.2%]</w:t>
            </w:r>
          </w:p>
        </w:tc>
        <w:tc>
          <w:tcPr>
            <w:tcW w:w="1194" w:type="dxa"/>
            <w:tcBorders>
              <w:top w:val="nil"/>
              <w:left w:val="nil"/>
              <w:bottom w:val="nil"/>
              <w:right w:val="nil"/>
            </w:tcBorders>
            <w:shd w:val="clear" w:color="000000" w:fill="F3F3EA"/>
            <w:vAlign w:val="center"/>
            <w:hideMark/>
          </w:tcPr>
          <w:p w14:paraId="0B673181"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1.8 [1.4, 2.2]</w:t>
            </w:r>
          </w:p>
        </w:tc>
        <w:tc>
          <w:tcPr>
            <w:tcW w:w="1236" w:type="dxa"/>
            <w:tcBorders>
              <w:top w:val="nil"/>
              <w:left w:val="nil"/>
              <w:bottom w:val="nil"/>
              <w:right w:val="nil"/>
            </w:tcBorders>
            <w:shd w:val="clear" w:color="000000" w:fill="F3F3EA"/>
            <w:vAlign w:val="center"/>
            <w:hideMark/>
          </w:tcPr>
          <w:p w14:paraId="10E2D544"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w:t>
            </w:r>
          </w:p>
        </w:tc>
        <w:tc>
          <w:tcPr>
            <w:tcW w:w="744" w:type="dxa"/>
            <w:tcBorders>
              <w:top w:val="nil"/>
              <w:left w:val="nil"/>
              <w:bottom w:val="nil"/>
              <w:right w:val="nil"/>
            </w:tcBorders>
            <w:shd w:val="clear" w:color="000000" w:fill="F3F3EA"/>
            <w:vAlign w:val="center"/>
            <w:hideMark/>
          </w:tcPr>
          <w:p w14:paraId="691C5C68"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r>
      <w:tr w:rsidR="00D14D65" w:rsidRPr="00BF0C9A" w14:paraId="44CF455B" w14:textId="77777777" w:rsidTr="00F74BC3">
        <w:trPr>
          <w:trHeight w:val="240"/>
        </w:trPr>
        <w:tc>
          <w:tcPr>
            <w:tcW w:w="1000" w:type="dxa"/>
            <w:tcBorders>
              <w:top w:val="nil"/>
              <w:left w:val="nil"/>
              <w:bottom w:val="single" w:sz="8" w:space="0" w:color="BFBFBF"/>
              <w:right w:val="nil"/>
            </w:tcBorders>
            <w:shd w:val="clear" w:color="000000" w:fill="F3F3EA"/>
            <w:noWrap/>
            <w:vAlign w:val="center"/>
            <w:hideMark/>
          </w:tcPr>
          <w:p w14:paraId="48B00E19"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c>
          <w:tcPr>
            <w:tcW w:w="1940" w:type="dxa"/>
            <w:vMerge/>
            <w:tcBorders>
              <w:top w:val="nil"/>
              <w:left w:val="nil"/>
              <w:bottom w:val="single" w:sz="8" w:space="0" w:color="BFBFBF"/>
              <w:right w:val="nil"/>
            </w:tcBorders>
            <w:vAlign w:val="center"/>
            <w:hideMark/>
          </w:tcPr>
          <w:p w14:paraId="2519A45C" w14:textId="77777777" w:rsidR="00BF0C9A" w:rsidRPr="00BF0C9A" w:rsidRDefault="00BF0C9A" w:rsidP="00BF0C9A">
            <w:pPr>
              <w:rPr>
                <w:rFonts w:ascii="Arial" w:hAnsi="Arial" w:cs="Arial"/>
                <w:color w:val="000000"/>
                <w:sz w:val="12"/>
                <w:szCs w:val="12"/>
              </w:rPr>
            </w:pPr>
          </w:p>
        </w:tc>
        <w:tc>
          <w:tcPr>
            <w:tcW w:w="1200" w:type="dxa"/>
            <w:tcBorders>
              <w:top w:val="nil"/>
              <w:left w:val="nil"/>
              <w:bottom w:val="single" w:sz="8" w:space="0" w:color="BFBFBF"/>
              <w:right w:val="nil"/>
            </w:tcBorders>
            <w:shd w:val="clear" w:color="000000" w:fill="F3F3EA"/>
            <w:vAlign w:val="center"/>
            <w:hideMark/>
          </w:tcPr>
          <w:p w14:paraId="63C32547"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Very High</w:t>
            </w:r>
          </w:p>
        </w:tc>
        <w:tc>
          <w:tcPr>
            <w:tcW w:w="820" w:type="dxa"/>
            <w:tcBorders>
              <w:top w:val="nil"/>
              <w:left w:val="nil"/>
              <w:bottom w:val="single" w:sz="8" w:space="0" w:color="BFBFBF"/>
              <w:right w:val="nil"/>
            </w:tcBorders>
            <w:shd w:val="clear" w:color="000000" w:fill="F3F3EA"/>
            <w:vAlign w:val="center"/>
            <w:hideMark/>
          </w:tcPr>
          <w:p w14:paraId="5079F60D"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118</w:t>
            </w:r>
          </w:p>
        </w:tc>
        <w:tc>
          <w:tcPr>
            <w:tcW w:w="1100" w:type="dxa"/>
            <w:tcBorders>
              <w:top w:val="nil"/>
              <w:left w:val="nil"/>
              <w:bottom w:val="single" w:sz="8" w:space="0" w:color="BFBFBF"/>
              <w:right w:val="nil"/>
            </w:tcBorders>
            <w:shd w:val="clear" w:color="000000" w:fill="F3F3EA"/>
            <w:vAlign w:val="center"/>
            <w:hideMark/>
          </w:tcPr>
          <w:p w14:paraId="71E121B8"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45</w:t>
            </w:r>
          </w:p>
        </w:tc>
        <w:tc>
          <w:tcPr>
            <w:tcW w:w="1606" w:type="dxa"/>
            <w:tcBorders>
              <w:top w:val="nil"/>
              <w:left w:val="nil"/>
              <w:bottom w:val="single" w:sz="8" w:space="0" w:color="BFBFBF"/>
              <w:right w:val="nil"/>
            </w:tcBorders>
            <w:shd w:val="clear" w:color="000000" w:fill="F3F3EA"/>
            <w:noWrap/>
            <w:vAlign w:val="center"/>
            <w:hideMark/>
          </w:tcPr>
          <w:p w14:paraId="64D7773E"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38.1% [29.4%, 47.5%]</w:t>
            </w:r>
          </w:p>
        </w:tc>
        <w:tc>
          <w:tcPr>
            <w:tcW w:w="1194" w:type="dxa"/>
            <w:tcBorders>
              <w:top w:val="nil"/>
              <w:left w:val="nil"/>
              <w:bottom w:val="single" w:sz="8" w:space="0" w:color="BFBFBF"/>
              <w:right w:val="nil"/>
            </w:tcBorders>
            <w:shd w:val="clear" w:color="000000" w:fill="F3F3EA"/>
            <w:vAlign w:val="center"/>
            <w:hideMark/>
          </w:tcPr>
          <w:p w14:paraId="390678D7"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xml:space="preserve"> 9.0 6.2, 12.9]</w:t>
            </w:r>
          </w:p>
        </w:tc>
        <w:tc>
          <w:tcPr>
            <w:tcW w:w="1236" w:type="dxa"/>
            <w:tcBorders>
              <w:top w:val="nil"/>
              <w:left w:val="nil"/>
              <w:bottom w:val="single" w:sz="8" w:space="0" w:color="BFBFBF"/>
              <w:right w:val="nil"/>
            </w:tcBorders>
            <w:shd w:val="clear" w:color="000000" w:fill="F3F3EA"/>
            <w:vAlign w:val="center"/>
            <w:hideMark/>
          </w:tcPr>
          <w:p w14:paraId="4856987C"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w:t>
            </w:r>
          </w:p>
        </w:tc>
        <w:tc>
          <w:tcPr>
            <w:tcW w:w="744" w:type="dxa"/>
            <w:tcBorders>
              <w:top w:val="nil"/>
              <w:left w:val="nil"/>
              <w:bottom w:val="single" w:sz="8" w:space="0" w:color="BFBFBF"/>
              <w:right w:val="nil"/>
            </w:tcBorders>
            <w:shd w:val="clear" w:color="000000" w:fill="F3F3EA"/>
            <w:vAlign w:val="center"/>
            <w:hideMark/>
          </w:tcPr>
          <w:p w14:paraId="3D24B8B8"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r>
      <w:tr w:rsidR="00D14D65" w:rsidRPr="00BF0C9A" w14:paraId="13F584C5" w14:textId="77777777" w:rsidTr="00F74BC3">
        <w:trPr>
          <w:trHeight w:val="240"/>
        </w:trPr>
        <w:tc>
          <w:tcPr>
            <w:tcW w:w="1000" w:type="dxa"/>
            <w:tcBorders>
              <w:top w:val="nil"/>
              <w:left w:val="nil"/>
              <w:bottom w:val="nil"/>
              <w:right w:val="nil"/>
            </w:tcBorders>
            <w:shd w:val="clear" w:color="000000" w:fill="F3F3EA"/>
            <w:noWrap/>
            <w:vAlign w:val="center"/>
            <w:hideMark/>
          </w:tcPr>
          <w:p w14:paraId="5EA49E15"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c>
          <w:tcPr>
            <w:tcW w:w="1940" w:type="dxa"/>
            <w:vMerge w:val="restart"/>
            <w:tcBorders>
              <w:top w:val="nil"/>
              <w:left w:val="nil"/>
              <w:bottom w:val="single" w:sz="8" w:space="0" w:color="000000"/>
              <w:right w:val="nil"/>
            </w:tcBorders>
            <w:shd w:val="clear" w:color="000000" w:fill="F3F3EA"/>
            <w:vAlign w:val="center"/>
            <w:hideMark/>
          </w:tcPr>
          <w:p w14:paraId="6C51664A"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Length of Stay</w:t>
            </w:r>
            <w:r w:rsidRPr="00BF0C9A">
              <w:rPr>
                <w:rFonts w:ascii="Arial" w:hAnsi="Arial" w:cs="Arial"/>
                <w:b/>
                <w:bCs/>
                <w:color w:val="000000"/>
                <w:sz w:val="12"/>
                <w:szCs w:val="12"/>
                <w:vertAlign w:val="superscript"/>
              </w:rPr>
              <w:t>2</w:t>
            </w:r>
          </w:p>
        </w:tc>
        <w:tc>
          <w:tcPr>
            <w:tcW w:w="1200" w:type="dxa"/>
            <w:tcBorders>
              <w:top w:val="nil"/>
              <w:left w:val="nil"/>
              <w:bottom w:val="nil"/>
              <w:right w:val="nil"/>
            </w:tcBorders>
            <w:shd w:val="clear" w:color="000000" w:fill="F3F3EA"/>
            <w:vAlign w:val="center"/>
            <w:hideMark/>
          </w:tcPr>
          <w:p w14:paraId="09CE1CD9"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Low</w:t>
            </w:r>
          </w:p>
        </w:tc>
        <w:tc>
          <w:tcPr>
            <w:tcW w:w="820" w:type="dxa"/>
            <w:tcBorders>
              <w:top w:val="nil"/>
              <w:left w:val="nil"/>
              <w:bottom w:val="nil"/>
              <w:right w:val="nil"/>
            </w:tcBorders>
            <w:shd w:val="clear" w:color="000000" w:fill="F3F3EA"/>
            <w:vAlign w:val="center"/>
            <w:hideMark/>
          </w:tcPr>
          <w:p w14:paraId="43355CF7"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849</w:t>
            </w:r>
          </w:p>
        </w:tc>
        <w:tc>
          <w:tcPr>
            <w:tcW w:w="1100" w:type="dxa"/>
            <w:tcBorders>
              <w:top w:val="nil"/>
              <w:left w:val="nil"/>
              <w:bottom w:val="nil"/>
              <w:right w:val="nil"/>
            </w:tcBorders>
            <w:shd w:val="clear" w:color="000000" w:fill="F3F3EA"/>
            <w:vAlign w:val="center"/>
            <w:hideMark/>
          </w:tcPr>
          <w:p w14:paraId="713C490B"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849</w:t>
            </w:r>
          </w:p>
        </w:tc>
        <w:tc>
          <w:tcPr>
            <w:tcW w:w="1606" w:type="dxa"/>
            <w:tcBorders>
              <w:top w:val="nil"/>
              <w:left w:val="nil"/>
              <w:bottom w:val="nil"/>
              <w:right w:val="nil"/>
            </w:tcBorders>
            <w:shd w:val="clear" w:color="000000" w:fill="F3F3EA"/>
            <w:noWrap/>
            <w:vAlign w:val="center"/>
            <w:hideMark/>
          </w:tcPr>
          <w:p w14:paraId="30CB189E"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w:t>
            </w:r>
          </w:p>
        </w:tc>
        <w:tc>
          <w:tcPr>
            <w:tcW w:w="1194" w:type="dxa"/>
            <w:tcBorders>
              <w:top w:val="nil"/>
              <w:left w:val="nil"/>
              <w:bottom w:val="nil"/>
              <w:right w:val="nil"/>
            </w:tcBorders>
            <w:shd w:val="clear" w:color="000000" w:fill="F3F3EA"/>
            <w:vAlign w:val="center"/>
            <w:hideMark/>
          </w:tcPr>
          <w:p w14:paraId="7A7C3558"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w:t>
            </w:r>
          </w:p>
        </w:tc>
        <w:tc>
          <w:tcPr>
            <w:tcW w:w="1236" w:type="dxa"/>
            <w:tcBorders>
              <w:top w:val="nil"/>
              <w:left w:val="nil"/>
              <w:bottom w:val="nil"/>
              <w:right w:val="nil"/>
            </w:tcBorders>
            <w:shd w:val="clear" w:color="000000" w:fill="F3F3EA"/>
            <w:vAlign w:val="center"/>
            <w:hideMark/>
          </w:tcPr>
          <w:p w14:paraId="0A1769E8"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3.1 [2.9, 3.3]</w:t>
            </w:r>
          </w:p>
        </w:tc>
        <w:tc>
          <w:tcPr>
            <w:tcW w:w="744" w:type="dxa"/>
            <w:tcBorders>
              <w:top w:val="nil"/>
              <w:left w:val="nil"/>
              <w:bottom w:val="nil"/>
              <w:right w:val="nil"/>
            </w:tcBorders>
            <w:shd w:val="clear" w:color="000000" w:fill="F3F3EA"/>
            <w:vAlign w:val="center"/>
            <w:hideMark/>
          </w:tcPr>
          <w:p w14:paraId="3F46A35A"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r>
      <w:tr w:rsidR="00D14D65" w:rsidRPr="00BF0C9A" w14:paraId="36348CAE" w14:textId="77777777" w:rsidTr="00F74BC3">
        <w:trPr>
          <w:trHeight w:val="240"/>
        </w:trPr>
        <w:tc>
          <w:tcPr>
            <w:tcW w:w="1000" w:type="dxa"/>
            <w:tcBorders>
              <w:top w:val="nil"/>
              <w:left w:val="nil"/>
              <w:bottom w:val="nil"/>
              <w:right w:val="nil"/>
            </w:tcBorders>
            <w:shd w:val="clear" w:color="000000" w:fill="F3F3EA"/>
            <w:noWrap/>
            <w:vAlign w:val="center"/>
            <w:hideMark/>
          </w:tcPr>
          <w:p w14:paraId="4CF34192"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c>
          <w:tcPr>
            <w:tcW w:w="1940" w:type="dxa"/>
            <w:vMerge/>
            <w:tcBorders>
              <w:top w:val="nil"/>
              <w:left w:val="nil"/>
              <w:bottom w:val="single" w:sz="8" w:space="0" w:color="000000"/>
              <w:right w:val="nil"/>
            </w:tcBorders>
            <w:vAlign w:val="center"/>
            <w:hideMark/>
          </w:tcPr>
          <w:p w14:paraId="2B276D3C" w14:textId="77777777" w:rsidR="00BF0C9A" w:rsidRPr="00BF0C9A" w:rsidRDefault="00BF0C9A" w:rsidP="00BF0C9A">
            <w:pPr>
              <w:rPr>
                <w:rFonts w:ascii="Arial" w:hAnsi="Arial" w:cs="Arial"/>
                <w:color w:val="000000"/>
                <w:sz w:val="12"/>
                <w:szCs w:val="12"/>
              </w:rPr>
            </w:pPr>
          </w:p>
        </w:tc>
        <w:tc>
          <w:tcPr>
            <w:tcW w:w="1200" w:type="dxa"/>
            <w:tcBorders>
              <w:top w:val="nil"/>
              <w:left w:val="nil"/>
              <w:bottom w:val="nil"/>
              <w:right w:val="nil"/>
            </w:tcBorders>
            <w:shd w:val="clear" w:color="000000" w:fill="F3F3EA"/>
            <w:vAlign w:val="center"/>
            <w:hideMark/>
          </w:tcPr>
          <w:p w14:paraId="22965F8E"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xml:space="preserve">Medium </w:t>
            </w:r>
          </w:p>
        </w:tc>
        <w:tc>
          <w:tcPr>
            <w:tcW w:w="820" w:type="dxa"/>
            <w:tcBorders>
              <w:top w:val="nil"/>
              <w:left w:val="nil"/>
              <w:bottom w:val="nil"/>
              <w:right w:val="nil"/>
            </w:tcBorders>
            <w:shd w:val="clear" w:color="000000" w:fill="F3F3EA"/>
            <w:vAlign w:val="center"/>
            <w:hideMark/>
          </w:tcPr>
          <w:p w14:paraId="7DDC8C5F"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556</w:t>
            </w:r>
          </w:p>
        </w:tc>
        <w:tc>
          <w:tcPr>
            <w:tcW w:w="1100" w:type="dxa"/>
            <w:tcBorders>
              <w:top w:val="nil"/>
              <w:left w:val="nil"/>
              <w:bottom w:val="nil"/>
              <w:right w:val="nil"/>
            </w:tcBorders>
            <w:shd w:val="clear" w:color="000000" w:fill="F3F3EA"/>
            <w:vAlign w:val="center"/>
            <w:hideMark/>
          </w:tcPr>
          <w:p w14:paraId="110204C9"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556</w:t>
            </w:r>
          </w:p>
        </w:tc>
        <w:tc>
          <w:tcPr>
            <w:tcW w:w="1606" w:type="dxa"/>
            <w:tcBorders>
              <w:top w:val="nil"/>
              <w:left w:val="nil"/>
              <w:bottom w:val="nil"/>
              <w:right w:val="nil"/>
            </w:tcBorders>
            <w:shd w:val="clear" w:color="000000" w:fill="F3F3EA"/>
            <w:noWrap/>
            <w:vAlign w:val="center"/>
            <w:hideMark/>
          </w:tcPr>
          <w:p w14:paraId="157E58A1"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w:t>
            </w:r>
          </w:p>
        </w:tc>
        <w:tc>
          <w:tcPr>
            <w:tcW w:w="1194" w:type="dxa"/>
            <w:tcBorders>
              <w:top w:val="nil"/>
              <w:left w:val="nil"/>
              <w:bottom w:val="nil"/>
              <w:right w:val="nil"/>
            </w:tcBorders>
            <w:shd w:val="clear" w:color="000000" w:fill="F3F3EA"/>
            <w:vAlign w:val="center"/>
            <w:hideMark/>
          </w:tcPr>
          <w:p w14:paraId="2B1AE883"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w:t>
            </w:r>
          </w:p>
        </w:tc>
        <w:tc>
          <w:tcPr>
            <w:tcW w:w="1236" w:type="dxa"/>
            <w:tcBorders>
              <w:top w:val="nil"/>
              <w:left w:val="nil"/>
              <w:bottom w:val="nil"/>
              <w:right w:val="nil"/>
            </w:tcBorders>
            <w:shd w:val="clear" w:color="000000" w:fill="F3F3EA"/>
            <w:vAlign w:val="center"/>
            <w:hideMark/>
          </w:tcPr>
          <w:p w14:paraId="4256C321"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4.3 [4.0, 4.8]</w:t>
            </w:r>
          </w:p>
        </w:tc>
        <w:tc>
          <w:tcPr>
            <w:tcW w:w="744" w:type="dxa"/>
            <w:tcBorders>
              <w:top w:val="nil"/>
              <w:left w:val="nil"/>
              <w:bottom w:val="nil"/>
              <w:right w:val="nil"/>
            </w:tcBorders>
            <w:shd w:val="clear" w:color="000000" w:fill="F3F3EA"/>
            <w:vAlign w:val="center"/>
            <w:hideMark/>
          </w:tcPr>
          <w:p w14:paraId="1588A527"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r>
      <w:tr w:rsidR="00D14D65" w:rsidRPr="00BF0C9A" w14:paraId="246250C6" w14:textId="77777777" w:rsidTr="00F74BC3">
        <w:trPr>
          <w:trHeight w:val="240"/>
        </w:trPr>
        <w:tc>
          <w:tcPr>
            <w:tcW w:w="1000" w:type="dxa"/>
            <w:tcBorders>
              <w:top w:val="nil"/>
              <w:left w:val="nil"/>
              <w:bottom w:val="nil"/>
              <w:right w:val="nil"/>
            </w:tcBorders>
            <w:shd w:val="clear" w:color="000000" w:fill="F3F3EA"/>
            <w:noWrap/>
            <w:vAlign w:val="center"/>
            <w:hideMark/>
          </w:tcPr>
          <w:p w14:paraId="1905BBF1"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c>
          <w:tcPr>
            <w:tcW w:w="1940" w:type="dxa"/>
            <w:vMerge/>
            <w:tcBorders>
              <w:top w:val="nil"/>
              <w:left w:val="nil"/>
              <w:bottom w:val="single" w:sz="8" w:space="0" w:color="000000"/>
              <w:right w:val="nil"/>
            </w:tcBorders>
            <w:vAlign w:val="center"/>
            <w:hideMark/>
          </w:tcPr>
          <w:p w14:paraId="0C07C008" w14:textId="77777777" w:rsidR="00BF0C9A" w:rsidRPr="00BF0C9A" w:rsidRDefault="00BF0C9A" w:rsidP="00BF0C9A">
            <w:pPr>
              <w:rPr>
                <w:rFonts w:ascii="Arial" w:hAnsi="Arial" w:cs="Arial"/>
                <w:color w:val="000000"/>
                <w:sz w:val="12"/>
                <w:szCs w:val="12"/>
              </w:rPr>
            </w:pPr>
          </w:p>
        </w:tc>
        <w:tc>
          <w:tcPr>
            <w:tcW w:w="1200" w:type="dxa"/>
            <w:tcBorders>
              <w:top w:val="nil"/>
              <w:left w:val="nil"/>
              <w:bottom w:val="nil"/>
              <w:right w:val="nil"/>
            </w:tcBorders>
            <w:shd w:val="clear" w:color="000000" w:fill="F3F3EA"/>
            <w:vAlign w:val="center"/>
            <w:hideMark/>
          </w:tcPr>
          <w:p w14:paraId="205E9E38"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xml:space="preserve">High </w:t>
            </w:r>
          </w:p>
        </w:tc>
        <w:tc>
          <w:tcPr>
            <w:tcW w:w="820" w:type="dxa"/>
            <w:tcBorders>
              <w:top w:val="nil"/>
              <w:left w:val="nil"/>
              <w:bottom w:val="nil"/>
              <w:right w:val="nil"/>
            </w:tcBorders>
            <w:shd w:val="clear" w:color="000000" w:fill="F3F3EA"/>
            <w:vAlign w:val="center"/>
            <w:hideMark/>
          </w:tcPr>
          <w:p w14:paraId="68E87D5E"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843</w:t>
            </w:r>
          </w:p>
        </w:tc>
        <w:tc>
          <w:tcPr>
            <w:tcW w:w="1100" w:type="dxa"/>
            <w:tcBorders>
              <w:top w:val="nil"/>
              <w:left w:val="nil"/>
              <w:bottom w:val="nil"/>
              <w:right w:val="nil"/>
            </w:tcBorders>
            <w:shd w:val="clear" w:color="000000" w:fill="F3F3EA"/>
            <w:vAlign w:val="center"/>
            <w:hideMark/>
          </w:tcPr>
          <w:p w14:paraId="3A1E73BD"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843</w:t>
            </w:r>
          </w:p>
        </w:tc>
        <w:tc>
          <w:tcPr>
            <w:tcW w:w="1606" w:type="dxa"/>
            <w:tcBorders>
              <w:top w:val="nil"/>
              <w:left w:val="nil"/>
              <w:bottom w:val="nil"/>
              <w:right w:val="nil"/>
            </w:tcBorders>
            <w:shd w:val="clear" w:color="000000" w:fill="F3F3EA"/>
            <w:noWrap/>
            <w:vAlign w:val="center"/>
            <w:hideMark/>
          </w:tcPr>
          <w:p w14:paraId="3D4AE56A"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w:t>
            </w:r>
          </w:p>
        </w:tc>
        <w:tc>
          <w:tcPr>
            <w:tcW w:w="1194" w:type="dxa"/>
            <w:tcBorders>
              <w:top w:val="nil"/>
              <w:left w:val="nil"/>
              <w:bottom w:val="nil"/>
              <w:right w:val="nil"/>
            </w:tcBorders>
            <w:shd w:val="clear" w:color="000000" w:fill="F3F3EA"/>
            <w:vAlign w:val="center"/>
            <w:hideMark/>
          </w:tcPr>
          <w:p w14:paraId="7D4FDF7B"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w:t>
            </w:r>
          </w:p>
        </w:tc>
        <w:tc>
          <w:tcPr>
            <w:tcW w:w="1236" w:type="dxa"/>
            <w:tcBorders>
              <w:top w:val="nil"/>
              <w:left w:val="nil"/>
              <w:bottom w:val="nil"/>
              <w:right w:val="nil"/>
            </w:tcBorders>
            <w:shd w:val="clear" w:color="000000" w:fill="F3F3EA"/>
            <w:vAlign w:val="center"/>
            <w:hideMark/>
          </w:tcPr>
          <w:p w14:paraId="7C3D78ED"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6.7 [6.2, 7.0]</w:t>
            </w:r>
          </w:p>
        </w:tc>
        <w:tc>
          <w:tcPr>
            <w:tcW w:w="744" w:type="dxa"/>
            <w:tcBorders>
              <w:top w:val="nil"/>
              <w:left w:val="nil"/>
              <w:bottom w:val="nil"/>
              <w:right w:val="nil"/>
            </w:tcBorders>
            <w:shd w:val="clear" w:color="000000" w:fill="F3F3EA"/>
            <w:vAlign w:val="center"/>
            <w:hideMark/>
          </w:tcPr>
          <w:p w14:paraId="5D55170E"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r>
      <w:tr w:rsidR="00D14D65" w:rsidRPr="00BF0C9A" w14:paraId="1A446E48" w14:textId="77777777" w:rsidTr="00F74BC3">
        <w:trPr>
          <w:trHeight w:val="240"/>
        </w:trPr>
        <w:tc>
          <w:tcPr>
            <w:tcW w:w="1000" w:type="dxa"/>
            <w:tcBorders>
              <w:top w:val="nil"/>
              <w:left w:val="nil"/>
              <w:bottom w:val="single" w:sz="8" w:space="0" w:color="auto"/>
              <w:right w:val="nil"/>
            </w:tcBorders>
            <w:shd w:val="clear" w:color="000000" w:fill="F3F3EA"/>
            <w:noWrap/>
            <w:vAlign w:val="center"/>
            <w:hideMark/>
          </w:tcPr>
          <w:p w14:paraId="6AC189DA"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c>
          <w:tcPr>
            <w:tcW w:w="1940" w:type="dxa"/>
            <w:vMerge/>
            <w:tcBorders>
              <w:top w:val="nil"/>
              <w:left w:val="nil"/>
              <w:bottom w:val="single" w:sz="8" w:space="0" w:color="000000"/>
              <w:right w:val="nil"/>
            </w:tcBorders>
            <w:vAlign w:val="center"/>
            <w:hideMark/>
          </w:tcPr>
          <w:p w14:paraId="1DD26CCE" w14:textId="77777777" w:rsidR="00BF0C9A" w:rsidRPr="00BF0C9A" w:rsidRDefault="00BF0C9A" w:rsidP="00BF0C9A">
            <w:pPr>
              <w:rPr>
                <w:rFonts w:ascii="Arial" w:hAnsi="Arial" w:cs="Arial"/>
                <w:color w:val="000000"/>
                <w:sz w:val="12"/>
                <w:szCs w:val="12"/>
              </w:rPr>
            </w:pPr>
          </w:p>
        </w:tc>
        <w:tc>
          <w:tcPr>
            <w:tcW w:w="1200" w:type="dxa"/>
            <w:tcBorders>
              <w:top w:val="nil"/>
              <w:left w:val="nil"/>
              <w:bottom w:val="single" w:sz="8" w:space="0" w:color="auto"/>
              <w:right w:val="nil"/>
            </w:tcBorders>
            <w:shd w:val="clear" w:color="000000" w:fill="F3F3EA"/>
            <w:vAlign w:val="center"/>
            <w:hideMark/>
          </w:tcPr>
          <w:p w14:paraId="2CA4D0F0"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Very High</w:t>
            </w:r>
          </w:p>
        </w:tc>
        <w:tc>
          <w:tcPr>
            <w:tcW w:w="820" w:type="dxa"/>
            <w:tcBorders>
              <w:top w:val="nil"/>
              <w:left w:val="nil"/>
              <w:bottom w:val="single" w:sz="8" w:space="0" w:color="auto"/>
              <w:right w:val="nil"/>
            </w:tcBorders>
            <w:shd w:val="clear" w:color="000000" w:fill="F3F3EA"/>
            <w:vAlign w:val="center"/>
            <w:hideMark/>
          </w:tcPr>
          <w:p w14:paraId="49F04035"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118</w:t>
            </w:r>
          </w:p>
        </w:tc>
        <w:tc>
          <w:tcPr>
            <w:tcW w:w="1100" w:type="dxa"/>
            <w:tcBorders>
              <w:top w:val="nil"/>
              <w:left w:val="nil"/>
              <w:bottom w:val="single" w:sz="8" w:space="0" w:color="auto"/>
              <w:right w:val="nil"/>
            </w:tcBorders>
            <w:shd w:val="clear" w:color="000000" w:fill="F3F3EA"/>
            <w:vAlign w:val="center"/>
            <w:hideMark/>
          </w:tcPr>
          <w:p w14:paraId="20DC13DD"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118</w:t>
            </w:r>
          </w:p>
        </w:tc>
        <w:tc>
          <w:tcPr>
            <w:tcW w:w="1606" w:type="dxa"/>
            <w:tcBorders>
              <w:top w:val="nil"/>
              <w:left w:val="nil"/>
              <w:bottom w:val="single" w:sz="8" w:space="0" w:color="auto"/>
              <w:right w:val="nil"/>
            </w:tcBorders>
            <w:shd w:val="clear" w:color="000000" w:fill="F3F3EA"/>
            <w:noWrap/>
            <w:vAlign w:val="center"/>
            <w:hideMark/>
          </w:tcPr>
          <w:p w14:paraId="35F2BA43"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w:t>
            </w:r>
          </w:p>
        </w:tc>
        <w:tc>
          <w:tcPr>
            <w:tcW w:w="1194" w:type="dxa"/>
            <w:tcBorders>
              <w:top w:val="nil"/>
              <w:left w:val="nil"/>
              <w:bottom w:val="single" w:sz="8" w:space="0" w:color="auto"/>
              <w:right w:val="nil"/>
            </w:tcBorders>
            <w:shd w:val="clear" w:color="000000" w:fill="F3F3EA"/>
            <w:vAlign w:val="center"/>
            <w:hideMark/>
          </w:tcPr>
          <w:p w14:paraId="3BE05FED"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w:t>
            </w:r>
          </w:p>
        </w:tc>
        <w:tc>
          <w:tcPr>
            <w:tcW w:w="1236" w:type="dxa"/>
            <w:tcBorders>
              <w:top w:val="nil"/>
              <w:left w:val="nil"/>
              <w:bottom w:val="single" w:sz="8" w:space="0" w:color="auto"/>
              <w:right w:val="nil"/>
            </w:tcBorders>
            <w:shd w:val="clear" w:color="000000" w:fill="F3F3EA"/>
            <w:vAlign w:val="center"/>
            <w:hideMark/>
          </w:tcPr>
          <w:p w14:paraId="29CCDACB"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14.6 [10.7, 21.0]</w:t>
            </w:r>
          </w:p>
        </w:tc>
        <w:tc>
          <w:tcPr>
            <w:tcW w:w="744" w:type="dxa"/>
            <w:tcBorders>
              <w:top w:val="nil"/>
              <w:left w:val="nil"/>
              <w:bottom w:val="single" w:sz="8" w:space="0" w:color="auto"/>
              <w:right w:val="nil"/>
            </w:tcBorders>
            <w:shd w:val="clear" w:color="000000" w:fill="F3F3EA"/>
            <w:vAlign w:val="center"/>
            <w:hideMark/>
          </w:tcPr>
          <w:p w14:paraId="32F27377"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r>
      <w:tr w:rsidR="00D14D65" w:rsidRPr="00BF0C9A" w14:paraId="2A9EA595" w14:textId="77777777" w:rsidTr="00F74BC3">
        <w:trPr>
          <w:trHeight w:val="240"/>
        </w:trPr>
        <w:tc>
          <w:tcPr>
            <w:tcW w:w="1000" w:type="dxa"/>
            <w:tcBorders>
              <w:top w:val="nil"/>
              <w:left w:val="nil"/>
              <w:bottom w:val="nil"/>
              <w:right w:val="nil"/>
            </w:tcBorders>
            <w:shd w:val="clear" w:color="000000" w:fill="F3F3EA"/>
            <w:vAlign w:val="center"/>
            <w:hideMark/>
          </w:tcPr>
          <w:p w14:paraId="4E476FA9"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Internal Validation</w:t>
            </w:r>
          </w:p>
        </w:tc>
        <w:tc>
          <w:tcPr>
            <w:tcW w:w="1940" w:type="dxa"/>
            <w:vMerge w:val="restart"/>
            <w:tcBorders>
              <w:top w:val="nil"/>
              <w:left w:val="nil"/>
              <w:bottom w:val="single" w:sz="8" w:space="0" w:color="BFBFBF"/>
              <w:right w:val="nil"/>
            </w:tcBorders>
            <w:shd w:val="clear" w:color="000000" w:fill="F3F3EA"/>
            <w:vAlign w:val="center"/>
            <w:hideMark/>
          </w:tcPr>
          <w:p w14:paraId="25938661"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xml:space="preserve">ICU Transfer within 24 </w:t>
            </w:r>
            <w:proofErr w:type="spellStart"/>
            <w:r w:rsidRPr="00BF0C9A">
              <w:rPr>
                <w:rFonts w:ascii="Arial" w:hAnsi="Arial" w:cs="Arial"/>
                <w:color w:val="000000"/>
                <w:sz w:val="12"/>
                <w:szCs w:val="12"/>
              </w:rPr>
              <w:t>Hrs</w:t>
            </w:r>
            <w:proofErr w:type="spellEnd"/>
          </w:p>
        </w:tc>
        <w:tc>
          <w:tcPr>
            <w:tcW w:w="1200" w:type="dxa"/>
            <w:tcBorders>
              <w:top w:val="nil"/>
              <w:left w:val="nil"/>
              <w:bottom w:val="nil"/>
              <w:right w:val="nil"/>
            </w:tcBorders>
            <w:shd w:val="clear" w:color="000000" w:fill="F3F3EA"/>
            <w:vAlign w:val="center"/>
            <w:hideMark/>
          </w:tcPr>
          <w:p w14:paraId="279704DE"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Low</w:t>
            </w:r>
          </w:p>
        </w:tc>
        <w:tc>
          <w:tcPr>
            <w:tcW w:w="820" w:type="dxa"/>
            <w:tcBorders>
              <w:top w:val="nil"/>
              <w:left w:val="nil"/>
              <w:bottom w:val="nil"/>
              <w:right w:val="nil"/>
            </w:tcBorders>
            <w:shd w:val="clear" w:color="000000" w:fill="F3F3EA"/>
            <w:vAlign w:val="center"/>
            <w:hideMark/>
          </w:tcPr>
          <w:p w14:paraId="67A27304"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144</w:t>
            </w:r>
          </w:p>
        </w:tc>
        <w:tc>
          <w:tcPr>
            <w:tcW w:w="1100" w:type="dxa"/>
            <w:tcBorders>
              <w:top w:val="nil"/>
              <w:left w:val="nil"/>
              <w:bottom w:val="nil"/>
              <w:right w:val="nil"/>
            </w:tcBorders>
            <w:shd w:val="clear" w:color="000000" w:fill="F3F3EA"/>
            <w:vAlign w:val="center"/>
            <w:hideMark/>
          </w:tcPr>
          <w:p w14:paraId="5E234D66"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14</w:t>
            </w:r>
          </w:p>
        </w:tc>
        <w:tc>
          <w:tcPr>
            <w:tcW w:w="1606" w:type="dxa"/>
            <w:tcBorders>
              <w:top w:val="nil"/>
              <w:left w:val="nil"/>
              <w:bottom w:val="nil"/>
              <w:right w:val="nil"/>
            </w:tcBorders>
            <w:shd w:val="clear" w:color="000000" w:fill="F3F3EA"/>
            <w:noWrap/>
            <w:vAlign w:val="center"/>
            <w:hideMark/>
          </w:tcPr>
          <w:p w14:paraId="0B5D1FF2"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9.7% [5.4%, 15.8%]</w:t>
            </w:r>
          </w:p>
        </w:tc>
        <w:tc>
          <w:tcPr>
            <w:tcW w:w="1194" w:type="dxa"/>
            <w:tcBorders>
              <w:top w:val="nil"/>
              <w:left w:val="nil"/>
              <w:bottom w:val="nil"/>
              <w:right w:val="nil"/>
            </w:tcBorders>
            <w:shd w:val="clear" w:color="000000" w:fill="F3F3EA"/>
            <w:vAlign w:val="center"/>
            <w:hideMark/>
          </w:tcPr>
          <w:p w14:paraId="0E9F2AE2"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0.22 [0.1, 0.4]</w:t>
            </w:r>
          </w:p>
        </w:tc>
        <w:tc>
          <w:tcPr>
            <w:tcW w:w="1236" w:type="dxa"/>
            <w:tcBorders>
              <w:top w:val="nil"/>
              <w:left w:val="nil"/>
              <w:bottom w:val="nil"/>
              <w:right w:val="nil"/>
            </w:tcBorders>
            <w:shd w:val="clear" w:color="000000" w:fill="F3F3EA"/>
            <w:vAlign w:val="center"/>
            <w:hideMark/>
          </w:tcPr>
          <w:p w14:paraId="0B3CDAC6"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w:t>
            </w:r>
          </w:p>
        </w:tc>
        <w:tc>
          <w:tcPr>
            <w:tcW w:w="744" w:type="dxa"/>
            <w:tcBorders>
              <w:top w:val="nil"/>
              <w:left w:val="nil"/>
              <w:bottom w:val="nil"/>
              <w:right w:val="nil"/>
            </w:tcBorders>
            <w:shd w:val="clear" w:color="000000" w:fill="F3F3EA"/>
            <w:vAlign w:val="center"/>
            <w:hideMark/>
          </w:tcPr>
          <w:p w14:paraId="38A19A06"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&lt; 0.001</w:t>
            </w:r>
          </w:p>
        </w:tc>
      </w:tr>
      <w:tr w:rsidR="00D14D65" w:rsidRPr="00BF0C9A" w14:paraId="0C0E03AB" w14:textId="77777777" w:rsidTr="00F74BC3">
        <w:trPr>
          <w:trHeight w:val="240"/>
        </w:trPr>
        <w:tc>
          <w:tcPr>
            <w:tcW w:w="1000" w:type="dxa"/>
            <w:tcBorders>
              <w:top w:val="nil"/>
              <w:left w:val="nil"/>
              <w:bottom w:val="nil"/>
              <w:right w:val="nil"/>
            </w:tcBorders>
            <w:shd w:val="clear" w:color="000000" w:fill="F3F3EA"/>
            <w:noWrap/>
            <w:vAlign w:val="center"/>
            <w:hideMark/>
          </w:tcPr>
          <w:p w14:paraId="234310F5"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c>
          <w:tcPr>
            <w:tcW w:w="1940" w:type="dxa"/>
            <w:vMerge/>
            <w:tcBorders>
              <w:top w:val="nil"/>
              <w:left w:val="nil"/>
              <w:bottom w:val="single" w:sz="8" w:space="0" w:color="BFBFBF"/>
              <w:right w:val="nil"/>
            </w:tcBorders>
            <w:vAlign w:val="center"/>
            <w:hideMark/>
          </w:tcPr>
          <w:p w14:paraId="5EEE59F3" w14:textId="77777777" w:rsidR="00BF0C9A" w:rsidRPr="00BF0C9A" w:rsidRDefault="00BF0C9A" w:rsidP="00BF0C9A">
            <w:pPr>
              <w:rPr>
                <w:rFonts w:ascii="Arial" w:hAnsi="Arial" w:cs="Arial"/>
                <w:color w:val="000000"/>
                <w:sz w:val="12"/>
                <w:szCs w:val="12"/>
              </w:rPr>
            </w:pPr>
          </w:p>
        </w:tc>
        <w:tc>
          <w:tcPr>
            <w:tcW w:w="1200" w:type="dxa"/>
            <w:tcBorders>
              <w:top w:val="nil"/>
              <w:left w:val="nil"/>
              <w:bottom w:val="nil"/>
              <w:right w:val="nil"/>
            </w:tcBorders>
            <w:shd w:val="clear" w:color="000000" w:fill="F3F3EA"/>
            <w:vAlign w:val="center"/>
            <w:hideMark/>
          </w:tcPr>
          <w:p w14:paraId="78FD9C09"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xml:space="preserve">Medium </w:t>
            </w:r>
          </w:p>
        </w:tc>
        <w:tc>
          <w:tcPr>
            <w:tcW w:w="820" w:type="dxa"/>
            <w:tcBorders>
              <w:top w:val="nil"/>
              <w:left w:val="nil"/>
              <w:bottom w:val="nil"/>
              <w:right w:val="nil"/>
            </w:tcBorders>
            <w:shd w:val="clear" w:color="000000" w:fill="F3F3EA"/>
            <w:vAlign w:val="center"/>
            <w:hideMark/>
          </w:tcPr>
          <w:p w14:paraId="34580087"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91</w:t>
            </w:r>
          </w:p>
        </w:tc>
        <w:tc>
          <w:tcPr>
            <w:tcW w:w="1100" w:type="dxa"/>
            <w:tcBorders>
              <w:top w:val="nil"/>
              <w:left w:val="nil"/>
              <w:bottom w:val="nil"/>
              <w:right w:val="nil"/>
            </w:tcBorders>
            <w:shd w:val="clear" w:color="000000" w:fill="F3F3EA"/>
            <w:vAlign w:val="center"/>
            <w:hideMark/>
          </w:tcPr>
          <w:p w14:paraId="2F190D3E"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29</w:t>
            </w:r>
          </w:p>
        </w:tc>
        <w:tc>
          <w:tcPr>
            <w:tcW w:w="1606" w:type="dxa"/>
            <w:tcBorders>
              <w:top w:val="nil"/>
              <w:left w:val="nil"/>
              <w:bottom w:val="nil"/>
              <w:right w:val="nil"/>
            </w:tcBorders>
            <w:shd w:val="clear" w:color="000000" w:fill="F3F3EA"/>
            <w:noWrap/>
            <w:vAlign w:val="center"/>
            <w:hideMark/>
          </w:tcPr>
          <w:p w14:paraId="6F1DC0F6"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31.9% [22.5%, 42.5%]</w:t>
            </w:r>
          </w:p>
        </w:tc>
        <w:tc>
          <w:tcPr>
            <w:tcW w:w="1194" w:type="dxa"/>
            <w:tcBorders>
              <w:top w:val="nil"/>
              <w:left w:val="nil"/>
              <w:bottom w:val="nil"/>
              <w:right w:val="nil"/>
            </w:tcBorders>
            <w:shd w:val="clear" w:color="000000" w:fill="F3F3EA"/>
            <w:vAlign w:val="center"/>
            <w:hideMark/>
          </w:tcPr>
          <w:p w14:paraId="63809B78"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xml:space="preserve"> 1.0 [0.6, 1.4]</w:t>
            </w:r>
          </w:p>
        </w:tc>
        <w:tc>
          <w:tcPr>
            <w:tcW w:w="1236" w:type="dxa"/>
            <w:tcBorders>
              <w:top w:val="nil"/>
              <w:left w:val="nil"/>
              <w:bottom w:val="nil"/>
              <w:right w:val="nil"/>
            </w:tcBorders>
            <w:shd w:val="clear" w:color="000000" w:fill="F3F3EA"/>
            <w:vAlign w:val="center"/>
            <w:hideMark/>
          </w:tcPr>
          <w:p w14:paraId="57D93F68"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w:t>
            </w:r>
          </w:p>
        </w:tc>
        <w:tc>
          <w:tcPr>
            <w:tcW w:w="744" w:type="dxa"/>
            <w:tcBorders>
              <w:top w:val="nil"/>
              <w:left w:val="nil"/>
              <w:bottom w:val="nil"/>
              <w:right w:val="nil"/>
            </w:tcBorders>
            <w:shd w:val="clear" w:color="000000" w:fill="F3F3EA"/>
            <w:vAlign w:val="center"/>
            <w:hideMark/>
          </w:tcPr>
          <w:p w14:paraId="44625970"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r>
      <w:tr w:rsidR="00D14D65" w:rsidRPr="00BF0C9A" w14:paraId="57F94934" w14:textId="77777777" w:rsidTr="00F74BC3">
        <w:trPr>
          <w:trHeight w:val="240"/>
        </w:trPr>
        <w:tc>
          <w:tcPr>
            <w:tcW w:w="1000" w:type="dxa"/>
            <w:tcBorders>
              <w:top w:val="nil"/>
              <w:left w:val="nil"/>
              <w:bottom w:val="nil"/>
              <w:right w:val="nil"/>
            </w:tcBorders>
            <w:shd w:val="clear" w:color="000000" w:fill="F3F3EA"/>
            <w:noWrap/>
            <w:vAlign w:val="center"/>
            <w:hideMark/>
          </w:tcPr>
          <w:p w14:paraId="10AF72C4"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c>
          <w:tcPr>
            <w:tcW w:w="1940" w:type="dxa"/>
            <w:vMerge/>
            <w:tcBorders>
              <w:top w:val="nil"/>
              <w:left w:val="nil"/>
              <w:bottom w:val="single" w:sz="8" w:space="0" w:color="BFBFBF"/>
              <w:right w:val="nil"/>
            </w:tcBorders>
            <w:vAlign w:val="center"/>
            <w:hideMark/>
          </w:tcPr>
          <w:p w14:paraId="35D29329" w14:textId="77777777" w:rsidR="00BF0C9A" w:rsidRPr="00BF0C9A" w:rsidRDefault="00BF0C9A" w:rsidP="00BF0C9A">
            <w:pPr>
              <w:rPr>
                <w:rFonts w:ascii="Arial" w:hAnsi="Arial" w:cs="Arial"/>
                <w:color w:val="000000"/>
                <w:sz w:val="12"/>
                <w:szCs w:val="12"/>
              </w:rPr>
            </w:pPr>
          </w:p>
        </w:tc>
        <w:tc>
          <w:tcPr>
            <w:tcW w:w="1200" w:type="dxa"/>
            <w:tcBorders>
              <w:top w:val="nil"/>
              <w:left w:val="nil"/>
              <w:bottom w:val="nil"/>
              <w:right w:val="nil"/>
            </w:tcBorders>
            <w:shd w:val="clear" w:color="000000" w:fill="F3F3EA"/>
            <w:vAlign w:val="center"/>
            <w:hideMark/>
          </w:tcPr>
          <w:p w14:paraId="6A644A15"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xml:space="preserve">High </w:t>
            </w:r>
          </w:p>
        </w:tc>
        <w:tc>
          <w:tcPr>
            <w:tcW w:w="820" w:type="dxa"/>
            <w:tcBorders>
              <w:top w:val="nil"/>
              <w:left w:val="nil"/>
              <w:bottom w:val="nil"/>
              <w:right w:val="nil"/>
            </w:tcBorders>
            <w:shd w:val="clear" w:color="000000" w:fill="F3F3EA"/>
            <w:vAlign w:val="center"/>
            <w:hideMark/>
          </w:tcPr>
          <w:p w14:paraId="247AFEB1"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141</w:t>
            </w:r>
          </w:p>
        </w:tc>
        <w:tc>
          <w:tcPr>
            <w:tcW w:w="1100" w:type="dxa"/>
            <w:tcBorders>
              <w:top w:val="nil"/>
              <w:left w:val="nil"/>
              <w:bottom w:val="nil"/>
              <w:right w:val="nil"/>
            </w:tcBorders>
            <w:shd w:val="clear" w:color="000000" w:fill="F3F3EA"/>
            <w:vAlign w:val="center"/>
            <w:hideMark/>
          </w:tcPr>
          <w:p w14:paraId="1D8997D5"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73</w:t>
            </w:r>
          </w:p>
        </w:tc>
        <w:tc>
          <w:tcPr>
            <w:tcW w:w="1606" w:type="dxa"/>
            <w:tcBorders>
              <w:top w:val="nil"/>
              <w:left w:val="nil"/>
              <w:bottom w:val="nil"/>
              <w:right w:val="nil"/>
            </w:tcBorders>
            <w:shd w:val="clear" w:color="000000" w:fill="F3F3EA"/>
            <w:noWrap/>
            <w:vAlign w:val="center"/>
            <w:hideMark/>
          </w:tcPr>
          <w:p w14:paraId="42927D74"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51.8% [43.2%, 60.3%]</w:t>
            </w:r>
          </w:p>
        </w:tc>
        <w:tc>
          <w:tcPr>
            <w:tcW w:w="1194" w:type="dxa"/>
            <w:tcBorders>
              <w:top w:val="nil"/>
              <w:left w:val="nil"/>
              <w:bottom w:val="nil"/>
              <w:right w:val="nil"/>
            </w:tcBorders>
            <w:shd w:val="clear" w:color="000000" w:fill="F3F3EA"/>
            <w:vAlign w:val="center"/>
            <w:hideMark/>
          </w:tcPr>
          <w:p w14:paraId="08E39207"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2.2 [1.6, 2.9]</w:t>
            </w:r>
          </w:p>
        </w:tc>
        <w:tc>
          <w:tcPr>
            <w:tcW w:w="1236" w:type="dxa"/>
            <w:tcBorders>
              <w:top w:val="nil"/>
              <w:left w:val="nil"/>
              <w:bottom w:val="nil"/>
              <w:right w:val="nil"/>
            </w:tcBorders>
            <w:shd w:val="clear" w:color="000000" w:fill="F3F3EA"/>
            <w:vAlign w:val="center"/>
            <w:hideMark/>
          </w:tcPr>
          <w:p w14:paraId="1D65C394"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w:t>
            </w:r>
          </w:p>
        </w:tc>
        <w:tc>
          <w:tcPr>
            <w:tcW w:w="744" w:type="dxa"/>
            <w:tcBorders>
              <w:top w:val="nil"/>
              <w:left w:val="nil"/>
              <w:bottom w:val="nil"/>
              <w:right w:val="nil"/>
            </w:tcBorders>
            <w:shd w:val="clear" w:color="000000" w:fill="F3F3EA"/>
            <w:vAlign w:val="center"/>
            <w:hideMark/>
          </w:tcPr>
          <w:p w14:paraId="640CBE9C"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r>
      <w:tr w:rsidR="00D14D65" w:rsidRPr="00BF0C9A" w14:paraId="40276E48" w14:textId="77777777" w:rsidTr="00F74BC3">
        <w:trPr>
          <w:trHeight w:val="240"/>
        </w:trPr>
        <w:tc>
          <w:tcPr>
            <w:tcW w:w="1000" w:type="dxa"/>
            <w:tcBorders>
              <w:top w:val="nil"/>
              <w:left w:val="nil"/>
              <w:bottom w:val="single" w:sz="8" w:space="0" w:color="BFBFBF"/>
              <w:right w:val="nil"/>
            </w:tcBorders>
            <w:shd w:val="clear" w:color="000000" w:fill="F3F3EA"/>
            <w:noWrap/>
            <w:vAlign w:val="center"/>
            <w:hideMark/>
          </w:tcPr>
          <w:p w14:paraId="117A2443"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c>
          <w:tcPr>
            <w:tcW w:w="1940" w:type="dxa"/>
            <w:vMerge/>
            <w:tcBorders>
              <w:top w:val="nil"/>
              <w:left w:val="nil"/>
              <w:bottom w:val="single" w:sz="8" w:space="0" w:color="BFBFBF"/>
              <w:right w:val="nil"/>
            </w:tcBorders>
            <w:vAlign w:val="center"/>
            <w:hideMark/>
          </w:tcPr>
          <w:p w14:paraId="15CDE60D" w14:textId="77777777" w:rsidR="00BF0C9A" w:rsidRPr="00BF0C9A" w:rsidRDefault="00BF0C9A" w:rsidP="00BF0C9A">
            <w:pPr>
              <w:rPr>
                <w:rFonts w:ascii="Arial" w:hAnsi="Arial" w:cs="Arial"/>
                <w:color w:val="000000"/>
                <w:sz w:val="12"/>
                <w:szCs w:val="12"/>
              </w:rPr>
            </w:pPr>
          </w:p>
        </w:tc>
        <w:tc>
          <w:tcPr>
            <w:tcW w:w="1200" w:type="dxa"/>
            <w:tcBorders>
              <w:top w:val="nil"/>
              <w:left w:val="nil"/>
              <w:bottom w:val="single" w:sz="8" w:space="0" w:color="BFBFBF"/>
              <w:right w:val="nil"/>
            </w:tcBorders>
            <w:shd w:val="clear" w:color="000000" w:fill="F3F3EA"/>
            <w:vAlign w:val="center"/>
            <w:hideMark/>
          </w:tcPr>
          <w:p w14:paraId="16FF2DAF"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xml:space="preserve">Very High </w:t>
            </w:r>
          </w:p>
        </w:tc>
        <w:tc>
          <w:tcPr>
            <w:tcW w:w="820" w:type="dxa"/>
            <w:tcBorders>
              <w:top w:val="nil"/>
              <w:left w:val="nil"/>
              <w:bottom w:val="single" w:sz="8" w:space="0" w:color="BFBFBF"/>
              <w:right w:val="nil"/>
            </w:tcBorders>
            <w:shd w:val="clear" w:color="000000" w:fill="F3F3EA"/>
            <w:vAlign w:val="center"/>
            <w:hideMark/>
          </w:tcPr>
          <w:p w14:paraId="56884573"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17</w:t>
            </w:r>
          </w:p>
        </w:tc>
        <w:tc>
          <w:tcPr>
            <w:tcW w:w="1100" w:type="dxa"/>
            <w:tcBorders>
              <w:top w:val="nil"/>
              <w:left w:val="nil"/>
              <w:bottom w:val="single" w:sz="8" w:space="0" w:color="BFBFBF"/>
              <w:right w:val="nil"/>
            </w:tcBorders>
            <w:shd w:val="clear" w:color="000000" w:fill="F3F3EA"/>
            <w:vAlign w:val="center"/>
            <w:hideMark/>
          </w:tcPr>
          <w:p w14:paraId="44DD336E"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14</w:t>
            </w:r>
          </w:p>
        </w:tc>
        <w:tc>
          <w:tcPr>
            <w:tcW w:w="1606" w:type="dxa"/>
            <w:tcBorders>
              <w:top w:val="nil"/>
              <w:left w:val="nil"/>
              <w:bottom w:val="single" w:sz="8" w:space="0" w:color="BFBFBF"/>
              <w:right w:val="nil"/>
            </w:tcBorders>
            <w:shd w:val="clear" w:color="000000" w:fill="F3F3EA"/>
            <w:noWrap/>
            <w:vAlign w:val="center"/>
            <w:hideMark/>
          </w:tcPr>
          <w:p w14:paraId="750AD6F4"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82.4% [56.6%, 96.2%]</w:t>
            </w:r>
          </w:p>
        </w:tc>
        <w:tc>
          <w:tcPr>
            <w:tcW w:w="1194" w:type="dxa"/>
            <w:tcBorders>
              <w:top w:val="nil"/>
              <w:left w:val="nil"/>
              <w:bottom w:val="single" w:sz="8" w:space="0" w:color="BFBFBF"/>
              <w:right w:val="nil"/>
            </w:tcBorders>
            <w:shd w:val="clear" w:color="000000" w:fill="F3F3EA"/>
            <w:vAlign w:val="center"/>
            <w:hideMark/>
          </w:tcPr>
          <w:p w14:paraId="3BE5403C"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9.4 [2.7, 32.6]</w:t>
            </w:r>
          </w:p>
        </w:tc>
        <w:tc>
          <w:tcPr>
            <w:tcW w:w="1236" w:type="dxa"/>
            <w:tcBorders>
              <w:top w:val="nil"/>
              <w:left w:val="nil"/>
              <w:bottom w:val="single" w:sz="8" w:space="0" w:color="BFBFBF"/>
              <w:right w:val="nil"/>
            </w:tcBorders>
            <w:shd w:val="clear" w:color="000000" w:fill="F3F3EA"/>
            <w:vAlign w:val="center"/>
            <w:hideMark/>
          </w:tcPr>
          <w:p w14:paraId="64DDFF5B"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w:t>
            </w:r>
          </w:p>
        </w:tc>
        <w:tc>
          <w:tcPr>
            <w:tcW w:w="744" w:type="dxa"/>
            <w:tcBorders>
              <w:top w:val="nil"/>
              <w:left w:val="nil"/>
              <w:bottom w:val="single" w:sz="8" w:space="0" w:color="BFBFBF"/>
              <w:right w:val="nil"/>
            </w:tcBorders>
            <w:shd w:val="clear" w:color="000000" w:fill="F3F3EA"/>
            <w:vAlign w:val="center"/>
            <w:hideMark/>
          </w:tcPr>
          <w:p w14:paraId="339A43CA"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r>
      <w:tr w:rsidR="00D14D65" w:rsidRPr="00BF0C9A" w14:paraId="4DCC68BE" w14:textId="77777777" w:rsidTr="00F74BC3">
        <w:trPr>
          <w:trHeight w:val="240"/>
        </w:trPr>
        <w:tc>
          <w:tcPr>
            <w:tcW w:w="1000" w:type="dxa"/>
            <w:tcBorders>
              <w:top w:val="nil"/>
              <w:left w:val="nil"/>
              <w:bottom w:val="nil"/>
              <w:right w:val="nil"/>
            </w:tcBorders>
            <w:shd w:val="clear" w:color="000000" w:fill="F3F3EA"/>
            <w:noWrap/>
            <w:vAlign w:val="center"/>
            <w:hideMark/>
          </w:tcPr>
          <w:p w14:paraId="43BE8816"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c>
          <w:tcPr>
            <w:tcW w:w="1940" w:type="dxa"/>
            <w:vMerge w:val="restart"/>
            <w:tcBorders>
              <w:top w:val="nil"/>
              <w:left w:val="nil"/>
              <w:bottom w:val="single" w:sz="8" w:space="0" w:color="BFBFBF"/>
              <w:right w:val="nil"/>
            </w:tcBorders>
            <w:shd w:val="clear" w:color="000000" w:fill="F3F3EA"/>
            <w:vAlign w:val="center"/>
            <w:hideMark/>
          </w:tcPr>
          <w:p w14:paraId="7F779C37"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In-Hospital Mortality</w:t>
            </w:r>
          </w:p>
        </w:tc>
        <w:tc>
          <w:tcPr>
            <w:tcW w:w="1200" w:type="dxa"/>
            <w:tcBorders>
              <w:top w:val="nil"/>
              <w:left w:val="nil"/>
              <w:bottom w:val="nil"/>
              <w:right w:val="nil"/>
            </w:tcBorders>
            <w:shd w:val="clear" w:color="000000" w:fill="F3F3EA"/>
            <w:vAlign w:val="center"/>
            <w:hideMark/>
          </w:tcPr>
          <w:p w14:paraId="2AB0DD39"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Low</w:t>
            </w:r>
          </w:p>
        </w:tc>
        <w:tc>
          <w:tcPr>
            <w:tcW w:w="820" w:type="dxa"/>
            <w:tcBorders>
              <w:top w:val="nil"/>
              <w:left w:val="nil"/>
              <w:bottom w:val="nil"/>
              <w:right w:val="nil"/>
            </w:tcBorders>
            <w:shd w:val="clear" w:color="000000" w:fill="F3F3EA"/>
            <w:vAlign w:val="center"/>
            <w:hideMark/>
          </w:tcPr>
          <w:p w14:paraId="5E239545"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144</w:t>
            </w:r>
          </w:p>
        </w:tc>
        <w:tc>
          <w:tcPr>
            <w:tcW w:w="1100" w:type="dxa"/>
            <w:tcBorders>
              <w:top w:val="nil"/>
              <w:left w:val="nil"/>
              <w:bottom w:val="nil"/>
              <w:right w:val="nil"/>
            </w:tcBorders>
            <w:shd w:val="clear" w:color="000000" w:fill="F3F3EA"/>
            <w:vAlign w:val="center"/>
            <w:hideMark/>
          </w:tcPr>
          <w:p w14:paraId="16224F70"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1</w:t>
            </w:r>
          </w:p>
        </w:tc>
        <w:tc>
          <w:tcPr>
            <w:tcW w:w="1606" w:type="dxa"/>
            <w:tcBorders>
              <w:top w:val="nil"/>
              <w:left w:val="nil"/>
              <w:bottom w:val="nil"/>
              <w:right w:val="nil"/>
            </w:tcBorders>
            <w:shd w:val="clear" w:color="000000" w:fill="F3F3EA"/>
            <w:noWrap/>
            <w:vAlign w:val="center"/>
            <w:hideMark/>
          </w:tcPr>
          <w:p w14:paraId="3D4E2739"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0.% [0.00%, 3.81%]</w:t>
            </w:r>
          </w:p>
        </w:tc>
        <w:tc>
          <w:tcPr>
            <w:tcW w:w="1194" w:type="dxa"/>
            <w:tcBorders>
              <w:top w:val="nil"/>
              <w:left w:val="nil"/>
              <w:bottom w:val="nil"/>
              <w:right w:val="nil"/>
            </w:tcBorders>
            <w:shd w:val="clear" w:color="000000" w:fill="F3F3EA"/>
            <w:vAlign w:val="center"/>
            <w:hideMark/>
          </w:tcPr>
          <w:p w14:paraId="7A437DA3"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0.1 [0.0, 0.5]</w:t>
            </w:r>
          </w:p>
        </w:tc>
        <w:tc>
          <w:tcPr>
            <w:tcW w:w="1236" w:type="dxa"/>
            <w:tcBorders>
              <w:top w:val="nil"/>
              <w:left w:val="nil"/>
              <w:bottom w:val="nil"/>
              <w:right w:val="nil"/>
            </w:tcBorders>
            <w:shd w:val="clear" w:color="000000" w:fill="F3F3EA"/>
            <w:vAlign w:val="center"/>
            <w:hideMark/>
          </w:tcPr>
          <w:p w14:paraId="0A37BE72"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w:t>
            </w:r>
          </w:p>
        </w:tc>
        <w:tc>
          <w:tcPr>
            <w:tcW w:w="744" w:type="dxa"/>
            <w:tcBorders>
              <w:top w:val="nil"/>
              <w:left w:val="nil"/>
              <w:bottom w:val="nil"/>
              <w:right w:val="nil"/>
            </w:tcBorders>
            <w:shd w:val="clear" w:color="000000" w:fill="F3F3EA"/>
            <w:vAlign w:val="center"/>
            <w:hideMark/>
          </w:tcPr>
          <w:p w14:paraId="1791C201"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&lt; 0.001</w:t>
            </w:r>
          </w:p>
        </w:tc>
      </w:tr>
      <w:tr w:rsidR="00D14D65" w:rsidRPr="00BF0C9A" w14:paraId="6AAA838C" w14:textId="77777777" w:rsidTr="00F74BC3">
        <w:trPr>
          <w:trHeight w:val="240"/>
        </w:trPr>
        <w:tc>
          <w:tcPr>
            <w:tcW w:w="1000" w:type="dxa"/>
            <w:tcBorders>
              <w:top w:val="nil"/>
              <w:left w:val="nil"/>
              <w:bottom w:val="nil"/>
              <w:right w:val="nil"/>
            </w:tcBorders>
            <w:shd w:val="clear" w:color="000000" w:fill="F3F3EA"/>
            <w:noWrap/>
            <w:vAlign w:val="center"/>
            <w:hideMark/>
          </w:tcPr>
          <w:p w14:paraId="35DB2CB2"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lastRenderedPageBreak/>
              <w:t> </w:t>
            </w:r>
          </w:p>
        </w:tc>
        <w:tc>
          <w:tcPr>
            <w:tcW w:w="1940" w:type="dxa"/>
            <w:vMerge/>
            <w:tcBorders>
              <w:top w:val="nil"/>
              <w:left w:val="nil"/>
              <w:bottom w:val="single" w:sz="8" w:space="0" w:color="BFBFBF"/>
              <w:right w:val="nil"/>
            </w:tcBorders>
            <w:vAlign w:val="center"/>
            <w:hideMark/>
          </w:tcPr>
          <w:p w14:paraId="344E832E" w14:textId="77777777" w:rsidR="00BF0C9A" w:rsidRPr="00BF0C9A" w:rsidRDefault="00BF0C9A" w:rsidP="00BF0C9A">
            <w:pPr>
              <w:rPr>
                <w:rFonts w:ascii="Arial" w:hAnsi="Arial" w:cs="Arial"/>
                <w:color w:val="000000"/>
                <w:sz w:val="12"/>
                <w:szCs w:val="12"/>
              </w:rPr>
            </w:pPr>
          </w:p>
        </w:tc>
        <w:tc>
          <w:tcPr>
            <w:tcW w:w="1200" w:type="dxa"/>
            <w:tcBorders>
              <w:top w:val="nil"/>
              <w:left w:val="nil"/>
              <w:bottom w:val="nil"/>
              <w:right w:val="nil"/>
            </w:tcBorders>
            <w:shd w:val="clear" w:color="000000" w:fill="F3F3EA"/>
            <w:vAlign w:val="center"/>
            <w:hideMark/>
          </w:tcPr>
          <w:p w14:paraId="430B3F5F"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xml:space="preserve">Medium </w:t>
            </w:r>
          </w:p>
        </w:tc>
        <w:tc>
          <w:tcPr>
            <w:tcW w:w="820" w:type="dxa"/>
            <w:tcBorders>
              <w:top w:val="nil"/>
              <w:left w:val="nil"/>
              <w:bottom w:val="nil"/>
              <w:right w:val="nil"/>
            </w:tcBorders>
            <w:shd w:val="clear" w:color="000000" w:fill="F3F3EA"/>
            <w:vAlign w:val="center"/>
            <w:hideMark/>
          </w:tcPr>
          <w:p w14:paraId="218AFA2D"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91</w:t>
            </w:r>
          </w:p>
        </w:tc>
        <w:tc>
          <w:tcPr>
            <w:tcW w:w="1100" w:type="dxa"/>
            <w:tcBorders>
              <w:top w:val="nil"/>
              <w:left w:val="nil"/>
              <w:bottom w:val="nil"/>
              <w:right w:val="nil"/>
            </w:tcBorders>
            <w:shd w:val="clear" w:color="000000" w:fill="F3F3EA"/>
            <w:vAlign w:val="center"/>
            <w:hideMark/>
          </w:tcPr>
          <w:p w14:paraId="6BAC61F1"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6</w:t>
            </w:r>
          </w:p>
        </w:tc>
        <w:tc>
          <w:tcPr>
            <w:tcW w:w="1606" w:type="dxa"/>
            <w:tcBorders>
              <w:top w:val="nil"/>
              <w:left w:val="nil"/>
              <w:bottom w:val="nil"/>
              <w:right w:val="nil"/>
            </w:tcBorders>
            <w:shd w:val="clear" w:color="000000" w:fill="F3F3EA"/>
            <w:noWrap/>
            <w:vAlign w:val="center"/>
            <w:hideMark/>
          </w:tcPr>
          <w:p w14:paraId="4F365356"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6.6% [2.5%, 13.8%]</w:t>
            </w:r>
          </w:p>
        </w:tc>
        <w:tc>
          <w:tcPr>
            <w:tcW w:w="1194" w:type="dxa"/>
            <w:tcBorders>
              <w:top w:val="nil"/>
              <w:left w:val="nil"/>
              <w:bottom w:val="nil"/>
              <w:right w:val="nil"/>
            </w:tcBorders>
            <w:shd w:val="clear" w:color="000000" w:fill="F3F3EA"/>
            <w:vAlign w:val="center"/>
            <w:hideMark/>
          </w:tcPr>
          <w:p w14:paraId="7227DC96"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0.8 [0.3, 1.7]</w:t>
            </w:r>
          </w:p>
        </w:tc>
        <w:tc>
          <w:tcPr>
            <w:tcW w:w="1236" w:type="dxa"/>
            <w:tcBorders>
              <w:top w:val="nil"/>
              <w:left w:val="nil"/>
              <w:bottom w:val="nil"/>
              <w:right w:val="nil"/>
            </w:tcBorders>
            <w:shd w:val="clear" w:color="000000" w:fill="F3F3EA"/>
            <w:vAlign w:val="center"/>
            <w:hideMark/>
          </w:tcPr>
          <w:p w14:paraId="7E46583B"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w:t>
            </w:r>
          </w:p>
        </w:tc>
        <w:tc>
          <w:tcPr>
            <w:tcW w:w="744" w:type="dxa"/>
            <w:tcBorders>
              <w:top w:val="nil"/>
              <w:left w:val="nil"/>
              <w:bottom w:val="nil"/>
              <w:right w:val="nil"/>
            </w:tcBorders>
            <w:shd w:val="clear" w:color="000000" w:fill="F3F3EA"/>
            <w:vAlign w:val="center"/>
            <w:hideMark/>
          </w:tcPr>
          <w:p w14:paraId="6BB3C571"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r>
      <w:tr w:rsidR="00D14D65" w:rsidRPr="00BF0C9A" w14:paraId="6775BB89" w14:textId="77777777" w:rsidTr="00F74BC3">
        <w:trPr>
          <w:trHeight w:val="240"/>
        </w:trPr>
        <w:tc>
          <w:tcPr>
            <w:tcW w:w="1000" w:type="dxa"/>
            <w:tcBorders>
              <w:top w:val="nil"/>
              <w:left w:val="nil"/>
              <w:bottom w:val="nil"/>
              <w:right w:val="nil"/>
            </w:tcBorders>
            <w:shd w:val="clear" w:color="000000" w:fill="F3F3EA"/>
            <w:noWrap/>
            <w:vAlign w:val="center"/>
            <w:hideMark/>
          </w:tcPr>
          <w:p w14:paraId="2A8589AC"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c>
          <w:tcPr>
            <w:tcW w:w="1940" w:type="dxa"/>
            <w:vMerge/>
            <w:tcBorders>
              <w:top w:val="nil"/>
              <w:left w:val="nil"/>
              <w:bottom w:val="single" w:sz="8" w:space="0" w:color="BFBFBF"/>
              <w:right w:val="nil"/>
            </w:tcBorders>
            <w:vAlign w:val="center"/>
            <w:hideMark/>
          </w:tcPr>
          <w:p w14:paraId="5FFF4FF8" w14:textId="77777777" w:rsidR="00BF0C9A" w:rsidRPr="00BF0C9A" w:rsidRDefault="00BF0C9A" w:rsidP="00BF0C9A">
            <w:pPr>
              <w:rPr>
                <w:rFonts w:ascii="Arial" w:hAnsi="Arial" w:cs="Arial"/>
                <w:color w:val="000000"/>
                <w:sz w:val="12"/>
                <w:szCs w:val="12"/>
              </w:rPr>
            </w:pPr>
          </w:p>
        </w:tc>
        <w:tc>
          <w:tcPr>
            <w:tcW w:w="1200" w:type="dxa"/>
            <w:tcBorders>
              <w:top w:val="nil"/>
              <w:left w:val="nil"/>
              <w:bottom w:val="nil"/>
              <w:right w:val="nil"/>
            </w:tcBorders>
            <w:shd w:val="clear" w:color="000000" w:fill="F3F3EA"/>
            <w:vAlign w:val="center"/>
            <w:hideMark/>
          </w:tcPr>
          <w:p w14:paraId="60ABB7AE"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xml:space="preserve">High </w:t>
            </w:r>
          </w:p>
        </w:tc>
        <w:tc>
          <w:tcPr>
            <w:tcW w:w="820" w:type="dxa"/>
            <w:tcBorders>
              <w:top w:val="nil"/>
              <w:left w:val="nil"/>
              <w:bottom w:val="nil"/>
              <w:right w:val="nil"/>
            </w:tcBorders>
            <w:shd w:val="clear" w:color="000000" w:fill="F3F3EA"/>
            <w:vAlign w:val="center"/>
            <w:hideMark/>
          </w:tcPr>
          <w:p w14:paraId="36B27F34"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141</w:t>
            </w:r>
          </w:p>
        </w:tc>
        <w:tc>
          <w:tcPr>
            <w:tcW w:w="1100" w:type="dxa"/>
            <w:tcBorders>
              <w:top w:val="nil"/>
              <w:left w:val="nil"/>
              <w:bottom w:val="nil"/>
              <w:right w:val="nil"/>
            </w:tcBorders>
            <w:shd w:val="clear" w:color="000000" w:fill="F3F3EA"/>
            <w:vAlign w:val="center"/>
            <w:hideMark/>
          </w:tcPr>
          <w:p w14:paraId="78C6C46E"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19</w:t>
            </w:r>
          </w:p>
        </w:tc>
        <w:tc>
          <w:tcPr>
            <w:tcW w:w="1606" w:type="dxa"/>
            <w:tcBorders>
              <w:top w:val="nil"/>
              <w:left w:val="nil"/>
              <w:bottom w:val="nil"/>
              <w:right w:val="nil"/>
            </w:tcBorders>
            <w:shd w:val="clear" w:color="000000" w:fill="F3F3EA"/>
            <w:noWrap/>
            <w:vAlign w:val="center"/>
            <w:hideMark/>
          </w:tcPr>
          <w:p w14:paraId="7C6AA84B"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13.5% [8.3%, 20.2%]</w:t>
            </w:r>
          </w:p>
        </w:tc>
        <w:tc>
          <w:tcPr>
            <w:tcW w:w="1194" w:type="dxa"/>
            <w:tcBorders>
              <w:top w:val="nil"/>
              <w:left w:val="nil"/>
              <w:bottom w:val="nil"/>
              <w:right w:val="nil"/>
            </w:tcBorders>
            <w:shd w:val="clear" w:color="000000" w:fill="F3F3EA"/>
            <w:vAlign w:val="center"/>
            <w:hideMark/>
          </w:tcPr>
          <w:p w14:paraId="22C73AA9"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1.7 [1.1, 2.7]</w:t>
            </w:r>
          </w:p>
        </w:tc>
        <w:tc>
          <w:tcPr>
            <w:tcW w:w="1236" w:type="dxa"/>
            <w:tcBorders>
              <w:top w:val="nil"/>
              <w:left w:val="nil"/>
              <w:bottom w:val="nil"/>
              <w:right w:val="nil"/>
            </w:tcBorders>
            <w:shd w:val="clear" w:color="000000" w:fill="F3F3EA"/>
            <w:vAlign w:val="center"/>
            <w:hideMark/>
          </w:tcPr>
          <w:p w14:paraId="50223125"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w:t>
            </w:r>
          </w:p>
        </w:tc>
        <w:tc>
          <w:tcPr>
            <w:tcW w:w="744" w:type="dxa"/>
            <w:tcBorders>
              <w:top w:val="nil"/>
              <w:left w:val="nil"/>
              <w:bottom w:val="nil"/>
              <w:right w:val="nil"/>
            </w:tcBorders>
            <w:shd w:val="clear" w:color="000000" w:fill="F3F3EA"/>
            <w:vAlign w:val="center"/>
            <w:hideMark/>
          </w:tcPr>
          <w:p w14:paraId="4AC44AC8"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r>
      <w:tr w:rsidR="00D14D65" w:rsidRPr="00BF0C9A" w14:paraId="5F818E81" w14:textId="77777777" w:rsidTr="00F74BC3">
        <w:trPr>
          <w:trHeight w:val="240"/>
        </w:trPr>
        <w:tc>
          <w:tcPr>
            <w:tcW w:w="1000" w:type="dxa"/>
            <w:tcBorders>
              <w:top w:val="nil"/>
              <w:left w:val="nil"/>
              <w:bottom w:val="single" w:sz="8" w:space="0" w:color="BFBFBF"/>
              <w:right w:val="nil"/>
            </w:tcBorders>
            <w:shd w:val="clear" w:color="000000" w:fill="F3F3EA"/>
            <w:noWrap/>
            <w:vAlign w:val="center"/>
            <w:hideMark/>
          </w:tcPr>
          <w:p w14:paraId="2AA871A7"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c>
          <w:tcPr>
            <w:tcW w:w="1940" w:type="dxa"/>
            <w:vMerge/>
            <w:tcBorders>
              <w:top w:val="nil"/>
              <w:left w:val="nil"/>
              <w:bottom w:val="single" w:sz="8" w:space="0" w:color="BFBFBF"/>
              <w:right w:val="nil"/>
            </w:tcBorders>
            <w:vAlign w:val="center"/>
            <w:hideMark/>
          </w:tcPr>
          <w:p w14:paraId="1B1CE950" w14:textId="77777777" w:rsidR="00BF0C9A" w:rsidRPr="00BF0C9A" w:rsidRDefault="00BF0C9A" w:rsidP="00BF0C9A">
            <w:pPr>
              <w:rPr>
                <w:rFonts w:ascii="Arial" w:hAnsi="Arial" w:cs="Arial"/>
                <w:color w:val="000000"/>
                <w:sz w:val="12"/>
                <w:szCs w:val="12"/>
              </w:rPr>
            </w:pPr>
          </w:p>
        </w:tc>
        <w:tc>
          <w:tcPr>
            <w:tcW w:w="1200" w:type="dxa"/>
            <w:tcBorders>
              <w:top w:val="nil"/>
              <w:left w:val="nil"/>
              <w:bottom w:val="single" w:sz="8" w:space="0" w:color="BFBFBF"/>
              <w:right w:val="nil"/>
            </w:tcBorders>
            <w:shd w:val="clear" w:color="000000" w:fill="F3F3EA"/>
            <w:vAlign w:val="center"/>
            <w:hideMark/>
          </w:tcPr>
          <w:p w14:paraId="3F2F6D24"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xml:space="preserve">Very High </w:t>
            </w:r>
          </w:p>
        </w:tc>
        <w:tc>
          <w:tcPr>
            <w:tcW w:w="820" w:type="dxa"/>
            <w:tcBorders>
              <w:top w:val="nil"/>
              <w:left w:val="nil"/>
              <w:bottom w:val="single" w:sz="8" w:space="0" w:color="BFBFBF"/>
              <w:right w:val="nil"/>
            </w:tcBorders>
            <w:shd w:val="clear" w:color="000000" w:fill="F3F3EA"/>
            <w:vAlign w:val="center"/>
            <w:hideMark/>
          </w:tcPr>
          <w:p w14:paraId="197AD812"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17</w:t>
            </w:r>
          </w:p>
        </w:tc>
        <w:tc>
          <w:tcPr>
            <w:tcW w:w="1100" w:type="dxa"/>
            <w:tcBorders>
              <w:top w:val="nil"/>
              <w:left w:val="nil"/>
              <w:bottom w:val="single" w:sz="8" w:space="0" w:color="BFBFBF"/>
              <w:right w:val="nil"/>
            </w:tcBorders>
            <w:shd w:val="clear" w:color="000000" w:fill="F3F3EA"/>
            <w:vAlign w:val="center"/>
            <w:hideMark/>
          </w:tcPr>
          <w:p w14:paraId="18BFE3C9"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7</w:t>
            </w:r>
          </w:p>
        </w:tc>
        <w:tc>
          <w:tcPr>
            <w:tcW w:w="1606" w:type="dxa"/>
            <w:tcBorders>
              <w:top w:val="nil"/>
              <w:left w:val="nil"/>
              <w:bottom w:val="single" w:sz="8" w:space="0" w:color="BFBFBF"/>
              <w:right w:val="nil"/>
            </w:tcBorders>
            <w:shd w:val="clear" w:color="000000" w:fill="F3F3EA"/>
            <w:noWrap/>
            <w:vAlign w:val="center"/>
            <w:hideMark/>
          </w:tcPr>
          <w:p w14:paraId="1492672B"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41.2% [18.4%, 67.1%]</w:t>
            </w:r>
          </w:p>
        </w:tc>
        <w:tc>
          <w:tcPr>
            <w:tcW w:w="1194" w:type="dxa"/>
            <w:tcBorders>
              <w:top w:val="nil"/>
              <w:left w:val="nil"/>
              <w:bottom w:val="single" w:sz="8" w:space="0" w:color="BFBFBF"/>
              <w:right w:val="nil"/>
            </w:tcBorders>
            <w:shd w:val="clear" w:color="000000" w:fill="F3F3EA"/>
            <w:vAlign w:val="center"/>
            <w:hideMark/>
          </w:tcPr>
          <w:p w14:paraId="4F8CAB98"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7.6 [3.0, 20.0]</w:t>
            </w:r>
          </w:p>
        </w:tc>
        <w:tc>
          <w:tcPr>
            <w:tcW w:w="1236" w:type="dxa"/>
            <w:tcBorders>
              <w:top w:val="nil"/>
              <w:left w:val="nil"/>
              <w:bottom w:val="single" w:sz="8" w:space="0" w:color="BFBFBF"/>
              <w:right w:val="nil"/>
            </w:tcBorders>
            <w:shd w:val="clear" w:color="000000" w:fill="F3F3EA"/>
            <w:vAlign w:val="center"/>
            <w:hideMark/>
          </w:tcPr>
          <w:p w14:paraId="629FD14A"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w:t>
            </w:r>
          </w:p>
        </w:tc>
        <w:tc>
          <w:tcPr>
            <w:tcW w:w="744" w:type="dxa"/>
            <w:tcBorders>
              <w:top w:val="nil"/>
              <w:left w:val="nil"/>
              <w:bottom w:val="single" w:sz="8" w:space="0" w:color="BFBFBF"/>
              <w:right w:val="nil"/>
            </w:tcBorders>
            <w:shd w:val="clear" w:color="000000" w:fill="F3F3EA"/>
            <w:vAlign w:val="center"/>
            <w:hideMark/>
          </w:tcPr>
          <w:p w14:paraId="282CF361"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r>
      <w:tr w:rsidR="00D14D65" w:rsidRPr="00BF0C9A" w14:paraId="0B5316EF" w14:textId="77777777" w:rsidTr="00F74BC3">
        <w:trPr>
          <w:trHeight w:val="240"/>
        </w:trPr>
        <w:tc>
          <w:tcPr>
            <w:tcW w:w="1000" w:type="dxa"/>
            <w:tcBorders>
              <w:top w:val="nil"/>
              <w:left w:val="nil"/>
              <w:bottom w:val="nil"/>
              <w:right w:val="nil"/>
            </w:tcBorders>
            <w:shd w:val="clear" w:color="000000" w:fill="F3F3EA"/>
            <w:noWrap/>
            <w:vAlign w:val="center"/>
            <w:hideMark/>
          </w:tcPr>
          <w:p w14:paraId="0844C288"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c>
          <w:tcPr>
            <w:tcW w:w="1940" w:type="dxa"/>
            <w:vMerge w:val="restart"/>
            <w:tcBorders>
              <w:top w:val="nil"/>
              <w:left w:val="nil"/>
              <w:bottom w:val="single" w:sz="8" w:space="0" w:color="BFBFBF"/>
              <w:right w:val="nil"/>
            </w:tcBorders>
            <w:shd w:val="clear" w:color="000000" w:fill="F3F3EA"/>
            <w:vAlign w:val="center"/>
            <w:hideMark/>
          </w:tcPr>
          <w:p w14:paraId="50E7A2D0"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xml:space="preserve">Mechanical Ventilation within 24 </w:t>
            </w:r>
            <w:proofErr w:type="spellStart"/>
            <w:r w:rsidRPr="00BF0C9A">
              <w:rPr>
                <w:rFonts w:ascii="Arial" w:hAnsi="Arial" w:cs="Arial"/>
                <w:color w:val="000000"/>
                <w:sz w:val="12"/>
                <w:szCs w:val="12"/>
              </w:rPr>
              <w:t>Hrs</w:t>
            </w:r>
            <w:proofErr w:type="spellEnd"/>
          </w:p>
        </w:tc>
        <w:tc>
          <w:tcPr>
            <w:tcW w:w="1200" w:type="dxa"/>
            <w:tcBorders>
              <w:top w:val="nil"/>
              <w:left w:val="nil"/>
              <w:bottom w:val="nil"/>
              <w:right w:val="nil"/>
            </w:tcBorders>
            <w:shd w:val="clear" w:color="000000" w:fill="F3F3EA"/>
            <w:vAlign w:val="center"/>
            <w:hideMark/>
          </w:tcPr>
          <w:p w14:paraId="615DE35F"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Low</w:t>
            </w:r>
          </w:p>
        </w:tc>
        <w:tc>
          <w:tcPr>
            <w:tcW w:w="820" w:type="dxa"/>
            <w:tcBorders>
              <w:top w:val="nil"/>
              <w:left w:val="nil"/>
              <w:bottom w:val="nil"/>
              <w:right w:val="nil"/>
            </w:tcBorders>
            <w:shd w:val="clear" w:color="000000" w:fill="F3F3EA"/>
            <w:vAlign w:val="center"/>
            <w:hideMark/>
          </w:tcPr>
          <w:p w14:paraId="69E89D3C"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144</w:t>
            </w:r>
          </w:p>
        </w:tc>
        <w:tc>
          <w:tcPr>
            <w:tcW w:w="1100" w:type="dxa"/>
            <w:tcBorders>
              <w:top w:val="nil"/>
              <w:left w:val="nil"/>
              <w:bottom w:val="nil"/>
              <w:right w:val="nil"/>
            </w:tcBorders>
            <w:shd w:val="clear" w:color="000000" w:fill="F3F3EA"/>
            <w:vAlign w:val="center"/>
            <w:hideMark/>
          </w:tcPr>
          <w:p w14:paraId="1BE4EBF4"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2</w:t>
            </w:r>
          </w:p>
        </w:tc>
        <w:tc>
          <w:tcPr>
            <w:tcW w:w="1606" w:type="dxa"/>
            <w:tcBorders>
              <w:top w:val="nil"/>
              <w:left w:val="nil"/>
              <w:bottom w:val="nil"/>
              <w:right w:val="nil"/>
            </w:tcBorders>
            <w:shd w:val="clear" w:color="000000" w:fill="F3F3EA"/>
            <w:noWrap/>
            <w:vAlign w:val="center"/>
            <w:hideMark/>
          </w:tcPr>
          <w:p w14:paraId="383CAB5C"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1.4% [0.2%, 4.9%]</w:t>
            </w:r>
          </w:p>
        </w:tc>
        <w:tc>
          <w:tcPr>
            <w:tcW w:w="1194" w:type="dxa"/>
            <w:tcBorders>
              <w:top w:val="nil"/>
              <w:left w:val="nil"/>
              <w:bottom w:val="nil"/>
              <w:right w:val="nil"/>
            </w:tcBorders>
            <w:shd w:val="clear" w:color="000000" w:fill="F3F3EA"/>
            <w:vAlign w:val="center"/>
            <w:hideMark/>
          </w:tcPr>
          <w:p w14:paraId="0A86B959"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0.2 [0.0, 0.7]</w:t>
            </w:r>
          </w:p>
        </w:tc>
        <w:tc>
          <w:tcPr>
            <w:tcW w:w="1236" w:type="dxa"/>
            <w:tcBorders>
              <w:top w:val="nil"/>
              <w:left w:val="nil"/>
              <w:bottom w:val="nil"/>
              <w:right w:val="nil"/>
            </w:tcBorders>
            <w:shd w:val="clear" w:color="000000" w:fill="F3F3EA"/>
            <w:vAlign w:val="center"/>
            <w:hideMark/>
          </w:tcPr>
          <w:p w14:paraId="6D814566"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w:t>
            </w:r>
          </w:p>
        </w:tc>
        <w:tc>
          <w:tcPr>
            <w:tcW w:w="744" w:type="dxa"/>
            <w:tcBorders>
              <w:top w:val="nil"/>
              <w:left w:val="nil"/>
              <w:bottom w:val="nil"/>
              <w:right w:val="nil"/>
            </w:tcBorders>
            <w:shd w:val="clear" w:color="000000" w:fill="F3F3EA"/>
            <w:vAlign w:val="center"/>
            <w:hideMark/>
          </w:tcPr>
          <w:p w14:paraId="1350517E"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&lt; 0.001</w:t>
            </w:r>
          </w:p>
        </w:tc>
      </w:tr>
      <w:tr w:rsidR="00D14D65" w:rsidRPr="00BF0C9A" w14:paraId="262DECC9" w14:textId="77777777" w:rsidTr="00F74BC3">
        <w:trPr>
          <w:trHeight w:val="240"/>
        </w:trPr>
        <w:tc>
          <w:tcPr>
            <w:tcW w:w="1000" w:type="dxa"/>
            <w:tcBorders>
              <w:top w:val="nil"/>
              <w:left w:val="nil"/>
              <w:bottom w:val="nil"/>
              <w:right w:val="nil"/>
            </w:tcBorders>
            <w:shd w:val="clear" w:color="000000" w:fill="F3F3EA"/>
            <w:noWrap/>
            <w:vAlign w:val="center"/>
            <w:hideMark/>
          </w:tcPr>
          <w:p w14:paraId="0DA37F3B"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c>
          <w:tcPr>
            <w:tcW w:w="1940" w:type="dxa"/>
            <w:vMerge/>
            <w:tcBorders>
              <w:top w:val="nil"/>
              <w:left w:val="nil"/>
              <w:bottom w:val="single" w:sz="8" w:space="0" w:color="BFBFBF"/>
              <w:right w:val="nil"/>
            </w:tcBorders>
            <w:vAlign w:val="center"/>
            <w:hideMark/>
          </w:tcPr>
          <w:p w14:paraId="5454BAF2" w14:textId="77777777" w:rsidR="00BF0C9A" w:rsidRPr="00BF0C9A" w:rsidRDefault="00BF0C9A" w:rsidP="00BF0C9A">
            <w:pPr>
              <w:rPr>
                <w:rFonts w:ascii="Arial" w:hAnsi="Arial" w:cs="Arial"/>
                <w:color w:val="000000"/>
                <w:sz w:val="12"/>
                <w:szCs w:val="12"/>
              </w:rPr>
            </w:pPr>
          </w:p>
        </w:tc>
        <w:tc>
          <w:tcPr>
            <w:tcW w:w="1200" w:type="dxa"/>
            <w:tcBorders>
              <w:top w:val="nil"/>
              <w:left w:val="nil"/>
              <w:bottom w:val="nil"/>
              <w:right w:val="nil"/>
            </w:tcBorders>
            <w:shd w:val="clear" w:color="000000" w:fill="F3F3EA"/>
            <w:vAlign w:val="center"/>
            <w:hideMark/>
          </w:tcPr>
          <w:p w14:paraId="5194BED0"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xml:space="preserve">Medium </w:t>
            </w:r>
          </w:p>
        </w:tc>
        <w:tc>
          <w:tcPr>
            <w:tcW w:w="820" w:type="dxa"/>
            <w:tcBorders>
              <w:top w:val="nil"/>
              <w:left w:val="nil"/>
              <w:bottom w:val="nil"/>
              <w:right w:val="nil"/>
            </w:tcBorders>
            <w:shd w:val="clear" w:color="000000" w:fill="F3F3EA"/>
            <w:vAlign w:val="center"/>
            <w:hideMark/>
          </w:tcPr>
          <w:p w14:paraId="526916CA"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91</w:t>
            </w:r>
          </w:p>
        </w:tc>
        <w:tc>
          <w:tcPr>
            <w:tcW w:w="1100" w:type="dxa"/>
            <w:tcBorders>
              <w:top w:val="nil"/>
              <w:left w:val="nil"/>
              <w:bottom w:val="nil"/>
              <w:right w:val="nil"/>
            </w:tcBorders>
            <w:shd w:val="clear" w:color="000000" w:fill="F3F3EA"/>
            <w:vAlign w:val="center"/>
            <w:hideMark/>
          </w:tcPr>
          <w:p w14:paraId="249C2C6F"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5</w:t>
            </w:r>
          </w:p>
        </w:tc>
        <w:tc>
          <w:tcPr>
            <w:tcW w:w="1606" w:type="dxa"/>
            <w:tcBorders>
              <w:top w:val="nil"/>
              <w:left w:val="nil"/>
              <w:bottom w:val="nil"/>
              <w:right w:val="nil"/>
            </w:tcBorders>
            <w:shd w:val="clear" w:color="000000" w:fill="F3F3EA"/>
            <w:noWrap/>
            <w:vAlign w:val="center"/>
            <w:hideMark/>
          </w:tcPr>
          <w:p w14:paraId="16616B21"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5.5% [1.8%, 12.4%]</w:t>
            </w:r>
          </w:p>
        </w:tc>
        <w:tc>
          <w:tcPr>
            <w:tcW w:w="1194" w:type="dxa"/>
            <w:tcBorders>
              <w:top w:val="nil"/>
              <w:left w:val="nil"/>
              <w:bottom w:val="nil"/>
              <w:right w:val="nil"/>
            </w:tcBorders>
            <w:shd w:val="clear" w:color="000000" w:fill="F3F3EA"/>
            <w:vAlign w:val="center"/>
            <w:hideMark/>
          </w:tcPr>
          <w:p w14:paraId="32578B6F"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0.7 [0.3, 1.8]</w:t>
            </w:r>
          </w:p>
        </w:tc>
        <w:tc>
          <w:tcPr>
            <w:tcW w:w="1236" w:type="dxa"/>
            <w:tcBorders>
              <w:top w:val="nil"/>
              <w:left w:val="nil"/>
              <w:bottom w:val="nil"/>
              <w:right w:val="nil"/>
            </w:tcBorders>
            <w:shd w:val="clear" w:color="000000" w:fill="F3F3EA"/>
            <w:vAlign w:val="center"/>
            <w:hideMark/>
          </w:tcPr>
          <w:p w14:paraId="638CEEE0"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w:t>
            </w:r>
          </w:p>
        </w:tc>
        <w:tc>
          <w:tcPr>
            <w:tcW w:w="744" w:type="dxa"/>
            <w:tcBorders>
              <w:top w:val="nil"/>
              <w:left w:val="nil"/>
              <w:bottom w:val="nil"/>
              <w:right w:val="nil"/>
            </w:tcBorders>
            <w:shd w:val="clear" w:color="000000" w:fill="F3F3EA"/>
            <w:vAlign w:val="center"/>
            <w:hideMark/>
          </w:tcPr>
          <w:p w14:paraId="30B4E124"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r>
      <w:tr w:rsidR="00D14D65" w:rsidRPr="00BF0C9A" w14:paraId="4DA373FB" w14:textId="77777777" w:rsidTr="00F74BC3">
        <w:trPr>
          <w:trHeight w:val="240"/>
        </w:trPr>
        <w:tc>
          <w:tcPr>
            <w:tcW w:w="1000" w:type="dxa"/>
            <w:tcBorders>
              <w:top w:val="nil"/>
              <w:left w:val="nil"/>
              <w:bottom w:val="nil"/>
              <w:right w:val="nil"/>
            </w:tcBorders>
            <w:shd w:val="clear" w:color="000000" w:fill="F3F3EA"/>
            <w:noWrap/>
            <w:vAlign w:val="center"/>
            <w:hideMark/>
          </w:tcPr>
          <w:p w14:paraId="4AE1922B"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c>
          <w:tcPr>
            <w:tcW w:w="1940" w:type="dxa"/>
            <w:vMerge/>
            <w:tcBorders>
              <w:top w:val="nil"/>
              <w:left w:val="nil"/>
              <w:bottom w:val="single" w:sz="8" w:space="0" w:color="BFBFBF"/>
              <w:right w:val="nil"/>
            </w:tcBorders>
            <w:vAlign w:val="center"/>
            <w:hideMark/>
          </w:tcPr>
          <w:p w14:paraId="4AB14979" w14:textId="77777777" w:rsidR="00BF0C9A" w:rsidRPr="00BF0C9A" w:rsidRDefault="00BF0C9A" w:rsidP="00BF0C9A">
            <w:pPr>
              <w:rPr>
                <w:rFonts w:ascii="Arial" w:hAnsi="Arial" w:cs="Arial"/>
                <w:color w:val="000000"/>
                <w:sz w:val="12"/>
                <w:szCs w:val="12"/>
              </w:rPr>
            </w:pPr>
          </w:p>
        </w:tc>
        <w:tc>
          <w:tcPr>
            <w:tcW w:w="1200" w:type="dxa"/>
            <w:tcBorders>
              <w:top w:val="nil"/>
              <w:left w:val="nil"/>
              <w:bottom w:val="nil"/>
              <w:right w:val="nil"/>
            </w:tcBorders>
            <w:shd w:val="clear" w:color="000000" w:fill="F3F3EA"/>
            <w:vAlign w:val="center"/>
            <w:hideMark/>
          </w:tcPr>
          <w:p w14:paraId="0E5C763C"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xml:space="preserve">High </w:t>
            </w:r>
          </w:p>
        </w:tc>
        <w:tc>
          <w:tcPr>
            <w:tcW w:w="820" w:type="dxa"/>
            <w:tcBorders>
              <w:top w:val="nil"/>
              <w:left w:val="nil"/>
              <w:bottom w:val="nil"/>
              <w:right w:val="nil"/>
            </w:tcBorders>
            <w:shd w:val="clear" w:color="000000" w:fill="F3F3EA"/>
            <w:vAlign w:val="center"/>
            <w:hideMark/>
          </w:tcPr>
          <w:p w14:paraId="0C309605"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141</w:t>
            </w:r>
          </w:p>
        </w:tc>
        <w:tc>
          <w:tcPr>
            <w:tcW w:w="1100" w:type="dxa"/>
            <w:tcBorders>
              <w:top w:val="nil"/>
              <w:left w:val="nil"/>
              <w:bottom w:val="nil"/>
              <w:right w:val="nil"/>
            </w:tcBorders>
            <w:shd w:val="clear" w:color="000000" w:fill="F3F3EA"/>
            <w:vAlign w:val="center"/>
            <w:hideMark/>
          </w:tcPr>
          <w:p w14:paraId="3EF7F676"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16</w:t>
            </w:r>
          </w:p>
        </w:tc>
        <w:tc>
          <w:tcPr>
            <w:tcW w:w="1606" w:type="dxa"/>
            <w:tcBorders>
              <w:top w:val="nil"/>
              <w:left w:val="nil"/>
              <w:bottom w:val="nil"/>
              <w:right w:val="nil"/>
            </w:tcBorders>
            <w:shd w:val="clear" w:color="000000" w:fill="F3F3EA"/>
            <w:noWrap/>
            <w:vAlign w:val="center"/>
            <w:hideMark/>
          </w:tcPr>
          <w:p w14:paraId="49B6F2FF"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11.4% [6.6%, 17.8%]</w:t>
            </w:r>
          </w:p>
        </w:tc>
        <w:tc>
          <w:tcPr>
            <w:tcW w:w="1194" w:type="dxa"/>
            <w:tcBorders>
              <w:top w:val="nil"/>
              <w:left w:val="nil"/>
              <w:bottom w:val="nil"/>
              <w:right w:val="nil"/>
            </w:tcBorders>
            <w:shd w:val="clear" w:color="000000" w:fill="F3F3EA"/>
            <w:vAlign w:val="center"/>
            <w:hideMark/>
          </w:tcPr>
          <w:p w14:paraId="0A94EA38"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1.6 [1.0, 2.7]</w:t>
            </w:r>
          </w:p>
        </w:tc>
        <w:tc>
          <w:tcPr>
            <w:tcW w:w="1236" w:type="dxa"/>
            <w:tcBorders>
              <w:top w:val="nil"/>
              <w:left w:val="nil"/>
              <w:bottom w:val="nil"/>
              <w:right w:val="nil"/>
            </w:tcBorders>
            <w:shd w:val="clear" w:color="000000" w:fill="F3F3EA"/>
            <w:vAlign w:val="center"/>
            <w:hideMark/>
          </w:tcPr>
          <w:p w14:paraId="0DEA280F"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w:t>
            </w:r>
          </w:p>
        </w:tc>
        <w:tc>
          <w:tcPr>
            <w:tcW w:w="744" w:type="dxa"/>
            <w:tcBorders>
              <w:top w:val="nil"/>
              <w:left w:val="nil"/>
              <w:bottom w:val="nil"/>
              <w:right w:val="nil"/>
            </w:tcBorders>
            <w:shd w:val="clear" w:color="000000" w:fill="F3F3EA"/>
            <w:vAlign w:val="center"/>
            <w:hideMark/>
          </w:tcPr>
          <w:p w14:paraId="6B0F8663"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r>
      <w:tr w:rsidR="00D14D65" w:rsidRPr="00BF0C9A" w14:paraId="2D4EC4C7" w14:textId="77777777" w:rsidTr="00F74BC3">
        <w:trPr>
          <w:trHeight w:val="240"/>
        </w:trPr>
        <w:tc>
          <w:tcPr>
            <w:tcW w:w="1000" w:type="dxa"/>
            <w:tcBorders>
              <w:top w:val="nil"/>
              <w:left w:val="nil"/>
              <w:bottom w:val="single" w:sz="8" w:space="0" w:color="BFBFBF"/>
              <w:right w:val="nil"/>
            </w:tcBorders>
            <w:shd w:val="clear" w:color="000000" w:fill="F3F3EA"/>
            <w:noWrap/>
            <w:vAlign w:val="center"/>
            <w:hideMark/>
          </w:tcPr>
          <w:p w14:paraId="12A5534E"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c>
          <w:tcPr>
            <w:tcW w:w="1940" w:type="dxa"/>
            <w:vMerge/>
            <w:tcBorders>
              <w:top w:val="nil"/>
              <w:left w:val="nil"/>
              <w:bottom w:val="single" w:sz="8" w:space="0" w:color="BFBFBF"/>
              <w:right w:val="nil"/>
            </w:tcBorders>
            <w:vAlign w:val="center"/>
            <w:hideMark/>
          </w:tcPr>
          <w:p w14:paraId="6B79991F" w14:textId="77777777" w:rsidR="00BF0C9A" w:rsidRPr="00BF0C9A" w:rsidRDefault="00BF0C9A" w:rsidP="00BF0C9A">
            <w:pPr>
              <w:rPr>
                <w:rFonts w:ascii="Arial" w:hAnsi="Arial" w:cs="Arial"/>
                <w:color w:val="000000"/>
                <w:sz w:val="12"/>
                <w:szCs w:val="12"/>
              </w:rPr>
            </w:pPr>
          </w:p>
        </w:tc>
        <w:tc>
          <w:tcPr>
            <w:tcW w:w="1200" w:type="dxa"/>
            <w:tcBorders>
              <w:top w:val="nil"/>
              <w:left w:val="nil"/>
              <w:bottom w:val="single" w:sz="8" w:space="0" w:color="BFBFBF"/>
              <w:right w:val="nil"/>
            </w:tcBorders>
            <w:shd w:val="clear" w:color="000000" w:fill="F3F3EA"/>
            <w:vAlign w:val="center"/>
            <w:hideMark/>
          </w:tcPr>
          <w:p w14:paraId="32F42689"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xml:space="preserve">Very High </w:t>
            </w:r>
          </w:p>
        </w:tc>
        <w:tc>
          <w:tcPr>
            <w:tcW w:w="820" w:type="dxa"/>
            <w:tcBorders>
              <w:top w:val="nil"/>
              <w:left w:val="nil"/>
              <w:bottom w:val="single" w:sz="8" w:space="0" w:color="BFBFBF"/>
              <w:right w:val="nil"/>
            </w:tcBorders>
            <w:shd w:val="clear" w:color="000000" w:fill="F3F3EA"/>
            <w:vAlign w:val="center"/>
            <w:hideMark/>
          </w:tcPr>
          <w:p w14:paraId="5B771B60"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17</w:t>
            </w:r>
          </w:p>
        </w:tc>
        <w:tc>
          <w:tcPr>
            <w:tcW w:w="1100" w:type="dxa"/>
            <w:tcBorders>
              <w:top w:val="nil"/>
              <w:left w:val="nil"/>
              <w:bottom w:val="single" w:sz="8" w:space="0" w:color="BFBFBF"/>
              <w:right w:val="nil"/>
            </w:tcBorders>
            <w:shd w:val="clear" w:color="000000" w:fill="F3F3EA"/>
            <w:vAlign w:val="center"/>
            <w:hideMark/>
          </w:tcPr>
          <w:p w14:paraId="03622844"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6</w:t>
            </w:r>
          </w:p>
        </w:tc>
        <w:tc>
          <w:tcPr>
            <w:tcW w:w="1606" w:type="dxa"/>
            <w:tcBorders>
              <w:top w:val="nil"/>
              <w:left w:val="nil"/>
              <w:bottom w:val="single" w:sz="8" w:space="0" w:color="BFBFBF"/>
              <w:right w:val="nil"/>
            </w:tcBorders>
            <w:shd w:val="clear" w:color="000000" w:fill="F3F3EA"/>
            <w:noWrap/>
            <w:vAlign w:val="center"/>
            <w:hideMark/>
          </w:tcPr>
          <w:p w14:paraId="67AF6BE1"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35.3% [14.2%, 61.7%]</w:t>
            </w:r>
          </w:p>
        </w:tc>
        <w:tc>
          <w:tcPr>
            <w:tcW w:w="1194" w:type="dxa"/>
            <w:tcBorders>
              <w:top w:val="nil"/>
              <w:left w:val="nil"/>
              <w:bottom w:val="single" w:sz="8" w:space="0" w:color="BFBFBF"/>
              <w:right w:val="nil"/>
            </w:tcBorders>
            <w:shd w:val="clear" w:color="000000" w:fill="F3F3EA"/>
            <w:vAlign w:val="center"/>
            <w:hideMark/>
          </w:tcPr>
          <w:p w14:paraId="4FCA72E6"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6.9 [2.6, 18.3]</w:t>
            </w:r>
          </w:p>
        </w:tc>
        <w:tc>
          <w:tcPr>
            <w:tcW w:w="1236" w:type="dxa"/>
            <w:tcBorders>
              <w:top w:val="nil"/>
              <w:left w:val="nil"/>
              <w:bottom w:val="single" w:sz="8" w:space="0" w:color="BFBFBF"/>
              <w:right w:val="nil"/>
            </w:tcBorders>
            <w:shd w:val="clear" w:color="000000" w:fill="F3F3EA"/>
            <w:vAlign w:val="center"/>
            <w:hideMark/>
          </w:tcPr>
          <w:p w14:paraId="24A6CB6E"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w:t>
            </w:r>
          </w:p>
        </w:tc>
        <w:tc>
          <w:tcPr>
            <w:tcW w:w="744" w:type="dxa"/>
            <w:tcBorders>
              <w:top w:val="nil"/>
              <w:left w:val="nil"/>
              <w:bottom w:val="single" w:sz="8" w:space="0" w:color="BFBFBF"/>
              <w:right w:val="nil"/>
            </w:tcBorders>
            <w:shd w:val="clear" w:color="000000" w:fill="F3F3EA"/>
            <w:vAlign w:val="center"/>
            <w:hideMark/>
          </w:tcPr>
          <w:p w14:paraId="2DD707B0"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r>
      <w:tr w:rsidR="00D14D65" w:rsidRPr="00BF0C9A" w14:paraId="5E70E466" w14:textId="77777777" w:rsidTr="00F74BC3">
        <w:trPr>
          <w:trHeight w:val="240"/>
        </w:trPr>
        <w:tc>
          <w:tcPr>
            <w:tcW w:w="1000" w:type="dxa"/>
            <w:tcBorders>
              <w:top w:val="nil"/>
              <w:left w:val="nil"/>
              <w:bottom w:val="nil"/>
              <w:right w:val="nil"/>
            </w:tcBorders>
            <w:shd w:val="clear" w:color="000000" w:fill="F3F3EA"/>
            <w:noWrap/>
            <w:vAlign w:val="center"/>
            <w:hideMark/>
          </w:tcPr>
          <w:p w14:paraId="41DFD7F7"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c>
          <w:tcPr>
            <w:tcW w:w="1940" w:type="dxa"/>
            <w:vMerge w:val="restart"/>
            <w:tcBorders>
              <w:top w:val="nil"/>
              <w:left w:val="nil"/>
              <w:bottom w:val="single" w:sz="8" w:space="0" w:color="BFBFBF"/>
              <w:right w:val="nil"/>
            </w:tcBorders>
            <w:shd w:val="clear" w:color="000000" w:fill="F3F3EA"/>
            <w:vAlign w:val="center"/>
            <w:hideMark/>
          </w:tcPr>
          <w:p w14:paraId="436CF81F"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xml:space="preserve">Vasopressor within 24 </w:t>
            </w:r>
            <w:proofErr w:type="spellStart"/>
            <w:r w:rsidRPr="00BF0C9A">
              <w:rPr>
                <w:rFonts w:ascii="Arial" w:hAnsi="Arial" w:cs="Arial"/>
                <w:color w:val="000000"/>
                <w:sz w:val="12"/>
                <w:szCs w:val="12"/>
              </w:rPr>
              <w:t>Hrs</w:t>
            </w:r>
            <w:proofErr w:type="spellEnd"/>
          </w:p>
        </w:tc>
        <w:tc>
          <w:tcPr>
            <w:tcW w:w="1200" w:type="dxa"/>
            <w:tcBorders>
              <w:top w:val="nil"/>
              <w:left w:val="nil"/>
              <w:bottom w:val="nil"/>
              <w:right w:val="nil"/>
            </w:tcBorders>
            <w:shd w:val="clear" w:color="000000" w:fill="F3F3EA"/>
            <w:vAlign w:val="center"/>
            <w:hideMark/>
          </w:tcPr>
          <w:p w14:paraId="46778B7D"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Low</w:t>
            </w:r>
          </w:p>
        </w:tc>
        <w:tc>
          <w:tcPr>
            <w:tcW w:w="820" w:type="dxa"/>
            <w:tcBorders>
              <w:top w:val="nil"/>
              <w:left w:val="nil"/>
              <w:bottom w:val="nil"/>
              <w:right w:val="nil"/>
            </w:tcBorders>
            <w:shd w:val="clear" w:color="000000" w:fill="F3F3EA"/>
            <w:vAlign w:val="center"/>
            <w:hideMark/>
          </w:tcPr>
          <w:p w14:paraId="732F0629"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144</w:t>
            </w:r>
          </w:p>
        </w:tc>
        <w:tc>
          <w:tcPr>
            <w:tcW w:w="1100" w:type="dxa"/>
            <w:tcBorders>
              <w:top w:val="nil"/>
              <w:left w:val="nil"/>
              <w:bottom w:val="nil"/>
              <w:right w:val="nil"/>
            </w:tcBorders>
            <w:shd w:val="clear" w:color="000000" w:fill="F3F3EA"/>
            <w:vAlign w:val="center"/>
            <w:hideMark/>
          </w:tcPr>
          <w:p w14:paraId="6E0C453C"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2</w:t>
            </w:r>
          </w:p>
        </w:tc>
        <w:tc>
          <w:tcPr>
            <w:tcW w:w="1606" w:type="dxa"/>
            <w:tcBorders>
              <w:top w:val="nil"/>
              <w:left w:val="nil"/>
              <w:bottom w:val="nil"/>
              <w:right w:val="nil"/>
            </w:tcBorders>
            <w:shd w:val="clear" w:color="000000" w:fill="F3F3EA"/>
            <w:noWrap/>
            <w:vAlign w:val="center"/>
            <w:hideMark/>
          </w:tcPr>
          <w:p w14:paraId="67C8EFD4"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1.4% [0.2%, 4.9%]</w:t>
            </w:r>
          </w:p>
        </w:tc>
        <w:tc>
          <w:tcPr>
            <w:tcW w:w="1194" w:type="dxa"/>
            <w:tcBorders>
              <w:top w:val="nil"/>
              <w:left w:val="nil"/>
              <w:bottom w:val="nil"/>
              <w:right w:val="nil"/>
            </w:tcBorders>
            <w:shd w:val="clear" w:color="000000" w:fill="F3F3EA"/>
            <w:vAlign w:val="center"/>
            <w:hideMark/>
          </w:tcPr>
          <w:p w14:paraId="22A57A8C"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0.1 [0.0, 0.6]</w:t>
            </w:r>
          </w:p>
        </w:tc>
        <w:tc>
          <w:tcPr>
            <w:tcW w:w="1236" w:type="dxa"/>
            <w:tcBorders>
              <w:top w:val="nil"/>
              <w:left w:val="nil"/>
              <w:bottom w:val="nil"/>
              <w:right w:val="nil"/>
            </w:tcBorders>
            <w:shd w:val="clear" w:color="000000" w:fill="F3F3EA"/>
            <w:vAlign w:val="center"/>
            <w:hideMark/>
          </w:tcPr>
          <w:p w14:paraId="415B213B"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w:t>
            </w:r>
          </w:p>
        </w:tc>
        <w:tc>
          <w:tcPr>
            <w:tcW w:w="744" w:type="dxa"/>
            <w:tcBorders>
              <w:top w:val="nil"/>
              <w:left w:val="nil"/>
              <w:bottom w:val="nil"/>
              <w:right w:val="nil"/>
            </w:tcBorders>
            <w:shd w:val="clear" w:color="000000" w:fill="F3F3EA"/>
            <w:vAlign w:val="center"/>
            <w:hideMark/>
          </w:tcPr>
          <w:p w14:paraId="60169C23"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&lt; 0.001</w:t>
            </w:r>
          </w:p>
        </w:tc>
      </w:tr>
      <w:tr w:rsidR="00D14D65" w:rsidRPr="00BF0C9A" w14:paraId="749E172B" w14:textId="77777777" w:rsidTr="00F74BC3">
        <w:trPr>
          <w:trHeight w:val="240"/>
        </w:trPr>
        <w:tc>
          <w:tcPr>
            <w:tcW w:w="1000" w:type="dxa"/>
            <w:tcBorders>
              <w:top w:val="nil"/>
              <w:left w:val="nil"/>
              <w:bottom w:val="nil"/>
              <w:right w:val="nil"/>
            </w:tcBorders>
            <w:shd w:val="clear" w:color="000000" w:fill="F3F3EA"/>
            <w:noWrap/>
            <w:vAlign w:val="center"/>
            <w:hideMark/>
          </w:tcPr>
          <w:p w14:paraId="2BF6F64C"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c>
          <w:tcPr>
            <w:tcW w:w="1940" w:type="dxa"/>
            <w:vMerge/>
            <w:tcBorders>
              <w:top w:val="nil"/>
              <w:left w:val="nil"/>
              <w:bottom w:val="single" w:sz="8" w:space="0" w:color="BFBFBF"/>
              <w:right w:val="nil"/>
            </w:tcBorders>
            <w:vAlign w:val="center"/>
            <w:hideMark/>
          </w:tcPr>
          <w:p w14:paraId="3C5381E6" w14:textId="77777777" w:rsidR="00BF0C9A" w:rsidRPr="00BF0C9A" w:rsidRDefault="00BF0C9A" w:rsidP="00BF0C9A">
            <w:pPr>
              <w:rPr>
                <w:rFonts w:ascii="Arial" w:hAnsi="Arial" w:cs="Arial"/>
                <w:color w:val="000000"/>
                <w:sz w:val="12"/>
                <w:szCs w:val="12"/>
              </w:rPr>
            </w:pPr>
          </w:p>
        </w:tc>
        <w:tc>
          <w:tcPr>
            <w:tcW w:w="1200" w:type="dxa"/>
            <w:tcBorders>
              <w:top w:val="nil"/>
              <w:left w:val="nil"/>
              <w:bottom w:val="nil"/>
              <w:right w:val="nil"/>
            </w:tcBorders>
            <w:shd w:val="clear" w:color="000000" w:fill="F3F3EA"/>
            <w:vAlign w:val="center"/>
            <w:hideMark/>
          </w:tcPr>
          <w:p w14:paraId="6AAB288C"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xml:space="preserve">Medium </w:t>
            </w:r>
          </w:p>
        </w:tc>
        <w:tc>
          <w:tcPr>
            <w:tcW w:w="820" w:type="dxa"/>
            <w:tcBorders>
              <w:top w:val="nil"/>
              <w:left w:val="nil"/>
              <w:bottom w:val="nil"/>
              <w:right w:val="nil"/>
            </w:tcBorders>
            <w:shd w:val="clear" w:color="000000" w:fill="F3F3EA"/>
            <w:vAlign w:val="center"/>
            <w:hideMark/>
          </w:tcPr>
          <w:p w14:paraId="433F7473"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91</w:t>
            </w:r>
          </w:p>
        </w:tc>
        <w:tc>
          <w:tcPr>
            <w:tcW w:w="1100" w:type="dxa"/>
            <w:tcBorders>
              <w:top w:val="nil"/>
              <w:left w:val="nil"/>
              <w:bottom w:val="nil"/>
              <w:right w:val="nil"/>
            </w:tcBorders>
            <w:shd w:val="clear" w:color="000000" w:fill="F3F3EA"/>
            <w:vAlign w:val="center"/>
            <w:hideMark/>
          </w:tcPr>
          <w:p w14:paraId="746347B3"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4</w:t>
            </w:r>
          </w:p>
        </w:tc>
        <w:tc>
          <w:tcPr>
            <w:tcW w:w="1606" w:type="dxa"/>
            <w:tcBorders>
              <w:top w:val="nil"/>
              <w:left w:val="nil"/>
              <w:bottom w:val="nil"/>
              <w:right w:val="nil"/>
            </w:tcBorders>
            <w:shd w:val="clear" w:color="000000" w:fill="F3F3EA"/>
            <w:noWrap/>
            <w:vAlign w:val="center"/>
            <w:hideMark/>
          </w:tcPr>
          <w:p w14:paraId="1FC29BC2"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4.4% [1.2%, 10.9%]</w:t>
            </w:r>
          </w:p>
        </w:tc>
        <w:tc>
          <w:tcPr>
            <w:tcW w:w="1194" w:type="dxa"/>
            <w:tcBorders>
              <w:top w:val="nil"/>
              <w:left w:val="nil"/>
              <w:bottom w:val="nil"/>
              <w:right w:val="nil"/>
            </w:tcBorders>
            <w:shd w:val="clear" w:color="000000" w:fill="F3F3EA"/>
            <w:vAlign w:val="center"/>
            <w:hideMark/>
          </w:tcPr>
          <w:p w14:paraId="07DE3387"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0.5 [0.2, 1.2]</w:t>
            </w:r>
          </w:p>
        </w:tc>
        <w:tc>
          <w:tcPr>
            <w:tcW w:w="1236" w:type="dxa"/>
            <w:tcBorders>
              <w:top w:val="nil"/>
              <w:left w:val="nil"/>
              <w:bottom w:val="nil"/>
              <w:right w:val="nil"/>
            </w:tcBorders>
            <w:shd w:val="clear" w:color="000000" w:fill="F3F3EA"/>
            <w:vAlign w:val="center"/>
            <w:hideMark/>
          </w:tcPr>
          <w:p w14:paraId="726B718B"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w:t>
            </w:r>
          </w:p>
        </w:tc>
        <w:tc>
          <w:tcPr>
            <w:tcW w:w="744" w:type="dxa"/>
            <w:tcBorders>
              <w:top w:val="nil"/>
              <w:left w:val="nil"/>
              <w:bottom w:val="nil"/>
              <w:right w:val="nil"/>
            </w:tcBorders>
            <w:shd w:val="clear" w:color="000000" w:fill="F3F3EA"/>
            <w:vAlign w:val="center"/>
            <w:hideMark/>
          </w:tcPr>
          <w:p w14:paraId="1EEFE7D8"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r>
      <w:tr w:rsidR="00D14D65" w:rsidRPr="00BF0C9A" w14:paraId="27C3870F" w14:textId="77777777" w:rsidTr="00F74BC3">
        <w:trPr>
          <w:trHeight w:val="240"/>
        </w:trPr>
        <w:tc>
          <w:tcPr>
            <w:tcW w:w="1000" w:type="dxa"/>
            <w:tcBorders>
              <w:top w:val="nil"/>
              <w:left w:val="nil"/>
              <w:bottom w:val="nil"/>
              <w:right w:val="nil"/>
            </w:tcBorders>
            <w:shd w:val="clear" w:color="000000" w:fill="F3F3EA"/>
            <w:noWrap/>
            <w:vAlign w:val="center"/>
            <w:hideMark/>
          </w:tcPr>
          <w:p w14:paraId="6FEBB452"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c>
          <w:tcPr>
            <w:tcW w:w="1940" w:type="dxa"/>
            <w:vMerge/>
            <w:tcBorders>
              <w:top w:val="nil"/>
              <w:left w:val="nil"/>
              <w:bottom w:val="single" w:sz="8" w:space="0" w:color="BFBFBF"/>
              <w:right w:val="nil"/>
            </w:tcBorders>
            <w:vAlign w:val="center"/>
            <w:hideMark/>
          </w:tcPr>
          <w:p w14:paraId="4071969D" w14:textId="77777777" w:rsidR="00BF0C9A" w:rsidRPr="00BF0C9A" w:rsidRDefault="00BF0C9A" w:rsidP="00BF0C9A">
            <w:pPr>
              <w:rPr>
                <w:rFonts w:ascii="Arial" w:hAnsi="Arial" w:cs="Arial"/>
                <w:color w:val="000000"/>
                <w:sz w:val="12"/>
                <w:szCs w:val="12"/>
              </w:rPr>
            </w:pPr>
          </w:p>
        </w:tc>
        <w:tc>
          <w:tcPr>
            <w:tcW w:w="1200" w:type="dxa"/>
            <w:tcBorders>
              <w:top w:val="nil"/>
              <w:left w:val="nil"/>
              <w:bottom w:val="nil"/>
              <w:right w:val="nil"/>
            </w:tcBorders>
            <w:shd w:val="clear" w:color="000000" w:fill="F3F3EA"/>
            <w:vAlign w:val="center"/>
            <w:hideMark/>
          </w:tcPr>
          <w:p w14:paraId="60ABE35E"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xml:space="preserve">High </w:t>
            </w:r>
          </w:p>
        </w:tc>
        <w:tc>
          <w:tcPr>
            <w:tcW w:w="820" w:type="dxa"/>
            <w:tcBorders>
              <w:top w:val="nil"/>
              <w:left w:val="nil"/>
              <w:bottom w:val="nil"/>
              <w:right w:val="nil"/>
            </w:tcBorders>
            <w:shd w:val="clear" w:color="000000" w:fill="F3F3EA"/>
            <w:vAlign w:val="center"/>
            <w:hideMark/>
          </w:tcPr>
          <w:p w14:paraId="3D3E814A"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141</w:t>
            </w:r>
          </w:p>
        </w:tc>
        <w:tc>
          <w:tcPr>
            <w:tcW w:w="1100" w:type="dxa"/>
            <w:tcBorders>
              <w:top w:val="nil"/>
              <w:left w:val="nil"/>
              <w:bottom w:val="nil"/>
              <w:right w:val="nil"/>
            </w:tcBorders>
            <w:shd w:val="clear" w:color="000000" w:fill="F3F3EA"/>
            <w:vAlign w:val="center"/>
            <w:hideMark/>
          </w:tcPr>
          <w:p w14:paraId="21F2BC31"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20</w:t>
            </w:r>
          </w:p>
        </w:tc>
        <w:tc>
          <w:tcPr>
            <w:tcW w:w="1606" w:type="dxa"/>
            <w:tcBorders>
              <w:top w:val="nil"/>
              <w:left w:val="nil"/>
              <w:bottom w:val="nil"/>
              <w:right w:val="nil"/>
            </w:tcBorders>
            <w:shd w:val="clear" w:color="000000" w:fill="F3F3EA"/>
            <w:noWrap/>
            <w:vAlign w:val="center"/>
            <w:hideMark/>
          </w:tcPr>
          <w:p w14:paraId="782A6223"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14.2% [8.9%, 21.1%]</w:t>
            </w:r>
          </w:p>
        </w:tc>
        <w:tc>
          <w:tcPr>
            <w:tcW w:w="1194" w:type="dxa"/>
            <w:tcBorders>
              <w:top w:val="nil"/>
              <w:left w:val="nil"/>
              <w:bottom w:val="nil"/>
              <w:right w:val="nil"/>
            </w:tcBorders>
            <w:shd w:val="clear" w:color="000000" w:fill="F3F3EA"/>
            <w:vAlign w:val="center"/>
            <w:hideMark/>
          </w:tcPr>
          <w:p w14:paraId="0D03DDB7"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1.6 [1.04, 2.6]</w:t>
            </w:r>
          </w:p>
        </w:tc>
        <w:tc>
          <w:tcPr>
            <w:tcW w:w="1236" w:type="dxa"/>
            <w:tcBorders>
              <w:top w:val="nil"/>
              <w:left w:val="nil"/>
              <w:bottom w:val="nil"/>
              <w:right w:val="nil"/>
            </w:tcBorders>
            <w:shd w:val="clear" w:color="000000" w:fill="F3F3EA"/>
            <w:vAlign w:val="center"/>
            <w:hideMark/>
          </w:tcPr>
          <w:p w14:paraId="685D78D7"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w:t>
            </w:r>
          </w:p>
        </w:tc>
        <w:tc>
          <w:tcPr>
            <w:tcW w:w="744" w:type="dxa"/>
            <w:tcBorders>
              <w:top w:val="nil"/>
              <w:left w:val="nil"/>
              <w:bottom w:val="nil"/>
              <w:right w:val="nil"/>
            </w:tcBorders>
            <w:shd w:val="clear" w:color="000000" w:fill="F3F3EA"/>
            <w:vAlign w:val="center"/>
            <w:hideMark/>
          </w:tcPr>
          <w:p w14:paraId="64F1B542"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r>
      <w:tr w:rsidR="00D14D65" w:rsidRPr="00BF0C9A" w14:paraId="4BC61F48" w14:textId="77777777" w:rsidTr="00F74BC3">
        <w:trPr>
          <w:trHeight w:val="240"/>
        </w:trPr>
        <w:tc>
          <w:tcPr>
            <w:tcW w:w="1000" w:type="dxa"/>
            <w:tcBorders>
              <w:top w:val="nil"/>
              <w:left w:val="nil"/>
              <w:bottom w:val="single" w:sz="8" w:space="0" w:color="BFBFBF"/>
              <w:right w:val="nil"/>
            </w:tcBorders>
            <w:shd w:val="clear" w:color="000000" w:fill="F3F3EA"/>
            <w:noWrap/>
            <w:vAlign w:val="center"/>
            <w:hideMark/>
          </w:tcPr>
          <w:p w14:paraId="13211B60"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c>
          <w:tcPr>
            <w:tcW w:w="1940" w:type="dxa"/>
            <w:vMerge/>
            <w:tcBorders>
              <w:top w:val="nil"/>
              <w:left w:val="nil"/>
              <w:bottom w:val="single" w:sz="8" w:space="0" w:color="BFBFBF"/>
              <w:right w:val="nil"/>
            </w:tcBorders>
            <w:vAlign w:val="center"/>
            <w:hideMark/>
          </w:tcPr>
          <w:p w14:paraId="7823EBF1" w14:textId="77777777" w:rsidR="00BF0C9A" w:rsidRPr="00BF0C9A" w:rsidRDefault="00BF0C9A" w:rsidP="00BF0C9A">
            <w:pPr>
              <w:rPr>
                <w:rFonts w:ascii="Arial" w:hAnsi="Arial" w:cs="Arial"/>
                <w:color w:val="000000"/>
                <w:sz w:val="12"/>
                <w:szCs w:val="12"/>
              </w:rPr>
            </w:pPr>
          </w:p>
        </w:tc>
        <w:tc>
          <w:tcPr>
            <w:tcW w:w="1200" w:type="dxa"/>
            <w:tcBorders>
              <w:top w:val="nil"/>
              <w:left w:val="nil"/>
              <w:bottom w:val="single" w:sz="8" w:space="0" w:color="BFBFBF"/>
              <w:right w:val="nil"/>
            </w:tcBorders>
            <w:shd w:val="clear" w:color="000000" w:fill="F3F3EA"/>
            <w:vAlign w:val="center"/>
            <w:hideMark/>
          </w:tcPr>
          <w:p w14:paraId="151F73FD"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xml:space="preserve">Very High </w:t>
            </w:r>
          </w:p>
        </w:tc>
        <w:tc>
          <w:tcPr>
            <w:tcW w:w="820" w:type="dxa"/>
            <w:tcBorders>
              <w:top w:val="nil"/>
              <w:left w:val="nil"/>
              <w:bottom w:val="single" w:sz="8" w:space="0" w:color="BFBFBF"/>
              <w:right w:val="nil"/>
            </w:tcBorders>
            <w:shd w:val="clear" w:color="000000" w:fill="F3F3EA"/>
            <w:vAlign w:val="center"/>
            <w:hideMark/>
          </w:tcPr>
          <w:p w14:paraId="72B17910"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17</w:t>
            </w:r>
          </w:p>
        </w:tc>
        <w:tc>
          <w:tcPr>
            <w:tcW w:w="1100" w:type="dxa"/>
            <w:tcBorders>
              <w:top w:val="nil"/>
              <w:left w:val="nil"/>
              <w:bottom w:val="single" w:sz="8" w:space="0" w:color="BFBFBF"/>
              <w:right w:val="nil"/>
            </w:tcBorders>
            <w:shd w:val="clear" w:color="000000" w:fill="F3F3EA"/>
            <w:vAlign w:val="center"/>
            <w:hideMark/>
          </w:tcPr>
          <w:p w14:paraId="1D7E57F2"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10</w:t>
            </w:r>
          </w:p>
        </w:tc>
        <w:tc>
          <w:tcPr>
            <w:tcW w:w="1606" w:type="dxa"/>
            <w:tcBorders>
              <w:top w:val="nil"/>
              <w:left w:val="nil"/>
              <w:bottom w:val="single" w:sz="8" w:space="0" w:color="BFBFBF"/>
              <w:right w:val="nil"/>
            </w:tcBorders>
            <w:shd w:val="clear" w:color="000000" w:fill="F3F3EA"/>
            <w:noWrap/>
            <w:vAlign w:val="center"/>
            <w:hideMark/>
          </w:tcPr>
          <w:p w14:paraId="13009F95"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58.8% [32.9%, 81.6%]</w:t>
            </w:r>
          </w:p>
        </w:tc>
        <w:tc>
          <w:tcPr>
            <w:tcW w:w="1194" w:type="dxa"/>
            <w:tcBorders>
              <w:top w:val="nil"/>
              <w:left w:val="nil"/>
              <w:bottom w:val="single" w:sz="8" w:space="0" w:color="BFBFBF"/>
              <w:right w:val="nil"/>
            </w:tcBorders>
            <w:shd w:val="clear" w:color="000000" w:fill="F3F3EA"/>
            <w:vAlign w:val="center"/>
            <w:hideMark/>
          </w:tcPr>
          <w:p w14:paraId="19F6C13E"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14.2 [5.5, 36.8]</w:t>
            </w:r>
          </w:p>
        </w:tc>
        <w:tc>
          <w:tcPr>
            <w:tcW w:w="1236" w:type="dxa"/>
            <w:tcBorders>
              <w:top w:val="nil"/>
              <w:left w:val="nil"/>
              <w:bottom w:val="single" w:sz="8" w:space="0" w:color="BFBFBF"/>
              <w:right w:val="nil"/>
            </w:tcBorders>
            <w:shd w:val="clear" w:color="000000" w:fill="F3F3EA"/>
            <w:vAlign w:val="center"/>
            <w:hideMark/>
          </w:tcPr>
          <w:p w14:paraId="2A601E26"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w:t>
            </w:r>
          </w:p>
        </w:tc>
        <w:tc>
          <w:tcPr>
            <w:tcW w:w="744" w:type="dxa"/>
            <w:tcBorders>
              <w:top w:val="nil"/>
              <w:left w:val="nil"/>
              <w:bottom w:val="single" w:sz="8" w:space="0" w:color="BFBFBF"/>
              <w:right w:val="nil"/>
            </w:tcBorders>
            <w:shd w:val="clear" w:color="000000" w:fill="F3F3EA"/>
            <w:vAlign w:val="center"/>
            <w:hideMark/>
          </w:tcPr>
          <w:p w14:paraId="44715B3D"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r>
      <w:tr w:rsidR="00D14D65" w:rsidRPr="00BF0C9A" w14:paraId="0426757D" w14:textId="77777777" w:rsidTr="00F74BC3">
        <w:trPr>
          <w:trHeight w:val="240"/>
        </w:trPr>
        <w:tc>
          <w:tcPr>
            <w:tcW w:w="1000" w:type="dxa"/>
            <w:tcBorders>
              <w:top w:val="nil"/>
              <w:left w:val="nil"/>
              <w:bottom w:val="nil"/>
              <w:right w:val="nil"/>
            </w:tcBorders>
            <w:shd w:val="clear" w:color="000000" w:fill="F3F3EA"/>
            <w:noWrap/>
            <w:vAlign w:val="center"/>
            <w:hideMark/>
          </w:tcPr>
          <w:p w14:paraId="0AAAEB1F"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c>
          <w:tcPr>
            <w:tcW w:w="1940" w:type="dxa"/>
            <w:vMerge w:val="restart"/>
            <w:tcBorders>
              <w:top w:val="nil"/>
              <w:left w:val="nil"/>
              <w:bottom w:val="single" w:sz="8" w:space="0" w:color="000000"/>
              <w:right w:val="nil"/>
            </w:tcBorders>
            <w:shd w:val="clear" w:color="000000" w:fill="F3F3EA"/>
            <w:vAlign w:val="center"/>
            <w:hideMark/>
          </w:tcPr>
          <w:p w14:paraId="5A0AAF32"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Length of Stay</w:t>
            </w:r>
            <w:r w:rsidRPr="00BF0C9A">
              <w:rPr>
                <w:rFonts w:ascii="Arial" w:hAnsi="Arial" w:cs="Arial"/>
                <w:b/>
                <w:bCs/>
                <w:color w:val="000000"/>
                <w:sz w:val="12"/>
                <w:szCs w:val="12"/>
                <w:vertAlign w:val="superscript"/>
              </w:rPr>
              <w:t>2</w:t>
            </w:r>
          </w:p>
        </w:tc>
        <w:tc>
          <w:tcPr>
            <w:tcW w:w="1200" w:type="dxa"/>
            <w:tcBorders>
              <w:top w:val="nil"/>
              <w:left w:val="nil"/>
              <w:bottom w:val="nil"/>
              <w:right w:val="nil"/>
            </w:tcBorders>
            <w:shd w:val="clear" w:color="000000" w:fill="F3F3EA"/>
            <w:vAlign w:val="center"/>
            <w:hideMark/>
          </w:tcPr>
          <w:p w14:paraId="66EFEE13"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Low</w:t>
            </w:r>
          </w:p>
        </w:tc>
        <w:tc>
          <w:tcPr>
            <w:tcW w:w="820" w:type="dxa"/>
            <w:tcBorders>
              <w:top w:val="nil"/>
              <w:left w:val="nil"/>
              <w:bottom w:val="nil"/>
              <w:right w:val="nil"/>
            </w:tcBorders>
            <w:shd w:val="clear" w:color="000000" w:fill="F3F3EA"/>
            <w:vAlign w:val="center"/>
            <w:hideMark/>
          </w:tcPr>
          <w:p w14:paraId="1D8D31BC"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144</w:t>
            </w:r>
          </w:p>
        </w:tc>
        <w:tc>
          <w:tcPr>
            <w:tcW w:w="1100" w:type="dxa"/>
            <w:tcBorders>
              <w:top w:val="nil"/>
              <w:left w:val="nil"/>
              <w:bottom w:val="nil"/>
              <w:right w:val="nil"/>
            </w:tcBorders>
            <w:shd w:val="clear" w:color="000000" w:fill="F3F3EA"/>
            <w:vAlign w:val="center"/>
            <w:hideMark/>
          </w:tcPr>
          <w:p w14:paraId="4CB9C32D"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144</w:t>
            </w:r>
          </w:p>
        </w:tc>
        <w:tc>
          <w:tcPr>
            <w:tcW w:w="1606" w:type="dxa"/>
            <w:tcBorders>
              <w:top w:val="nil"/>
              <w:left w:val="nil"/>
              <w:bottom w:val="nil"/>
              <w:right w:val="nil"/>
            </w:tcBorders>
            <w:shd w:val="clear" w:color="000000" w:fill="F3F3EA"/>
            <w:noWrap/>
            <w:vAlign w:val="center"/>
            <w:hideMark/>
          </w:tcPr>
          <w:p w14:paraId="0D8172F0"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w:t>
            </w:r>
          </w:p>
        </w:tc>
        <w:tc>
          <w:tcPr>
            <w:tcW w:w="1194" w:type="dxa"/>
            <w:tcBorders>
              <w:top w:val="nil"/>
              <w:left w:val="nil"/>
              <w:bottom w:val="nil"/>
              <w:right w:val="nil"/>
            </w:tcBorders>
            <w:shd w:val="clear" w:color="000000" w:fill="F3F3EA"/>
            <w:vAlign w:val="center"/>
            <w:hideMark/>
          </w:tcPr>
          <w:p w14:paraId="3A230FA5"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w:t>
            </w:r>
          </w:p>
        </w:tc>
        <w:tc>
          <w:tcPr>
            <w:tcW w:w="1236" w:type="dxa"/>
            <w:tcBorders>
              <w:top w:val="nil"/>
              <w:left w:val="nil"/>
              <w:bottom w:val="nil"/>
              <w:right w:val="nil"/>
            </w:tcBorders>
            <w:shd w:val="clear" w:color="000000" w:fill="F3F3EA"/>
            <w:vAlign w:val="center"/>
            <w:hideMark/>
          </w:tcPr>
          <w:p w14:paraId="6E1BF818"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3.3 [3.0, 4.0]</w:t>
            </w:r>
          </w:p>
        </w:tc>
        <w:tc>
          <w:tcPr>
            <w:tcW w:w="744" w:type="dxa"/>
            <w:tcBorders>
              <w:top w:val="nil"/>
              <w:left w:val="nil"/>
              <w:bottom w:val="nil"/>
              <w:right w:val="nil"/>
            </w:tcBorders>
            <w:shd w:val="clear" w:color="000000" w:fill="F3F3EA"/>
            <w:vAlign w:val="center"/>
            <w:hideMark/>
          </w:tcPr>
          <w:p w14:paraId="420991AD"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r>
      <w:tr w:rsidR="00D14D65" w:rsidRPr="00BF0C9A" w14:paraId="3D89262C" w14:textId="77777777" w:rsidTr="00F74BC3">
        <w:trPr>
          <w:trHeight w:val="240"/>
        </w:trPr>
        <w:tc>
          <w:tcPr>
            <w:tcW w:w="1000" w:type="dxa"/>
            <w:tcBorders>
              <w:top w:val="nil"/>
              <w:left w:val="nil"/>
              <w:bottom w:val="nil"/>
              <w:right w:val="nil"/>
            </w:tcBorders>
            <w:shd w:val="clear" w:color="000000" w:fill="F3F3EA"/>
            <w:noWrap/>
            <w:vAlign w:val="center"/>
            <w:hideMark/>
          </w:tcPr>
          <w:p w14:paraId="5275F581"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c>
          <w:tcPr>
            <w:tcW w:w="1940" w:type="dxa"/>
            <w:vMerge/>
            <w:tcBorders>
              <w:top w:val="nil"/>
              <w:left w:val="nil"/>
              <w:bottom w:val="single" w:sz="8" w:space="0" w:color="000000"/>
              <w:right w:val="nil"/>
            </w:tcBorders>
            <w:vAlign w:val="center"/>
            <w:hideMark/>
          </w:tcPr>
          <w:p w14:paraId="12583F71" w14:textId="77777777" w:rsidR="00BF0C9A" w:rsidRPr="00BF0C9A" w:rsidRDefault="00BF0C9A" w:rsidP="00BF0C9A">
            <w:pPr>
              <w:rPr>
                <w:rFonts w:ascii="Arial" w:hAnsi="Arial" w:cs="Arial"/>
                <w:color w:val="000000"/>
                <w:sz w:val="12"/>
                <w:szCs w:val="12"/>
              </w:rPr>
            </w:pPr>
          </w:p>
        </w:tc>
        <w:tc>
          <w:tcPr>
            <w:tcW w:w="1200" w:type="dxa"/>
            <w:tcBorders>
              <w:top w:val="nil"/>
              <w:left w:val="nil"/>
              <w:bottom w:val="nil"/>
              <w:right w:val="nil"/>
            </w:tcBorders>
            <w:shd w:val="clear" w:color="000000" w:fill="F3F3EA"/>
            <w:vAlign w:val="center"/>
            <w:hideMark/>
          </w:tcPr>
          <w:p w14:paraId="5E8682E7"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xml:space="preserve">Medium </w:t>
            </w:r>
          </w:p>
        </w:tc>
        <w:tc>
          <w:tcPr>
            <w:tcW w:w="820" w:type="dxa"/>
            <w:tcBorders>
              <w:top w:val="nil"/>
              <w:left w:val="nil"/>
              <w:bottom w:val="nil"/>
              <w:right w:val="nil"/>
            </w:tcBorders>
            <w:shd w:val="clear" w:color="000000" w:fill="F3F3EA"/>
            <w:vAlign w:val="center"/>
            <w:hideMark/>
          </w:tcPr>
          <w:p w14:paraId="6958C23D"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91</w:t>
            </w:r>
          </w:p>
        </w:tc>
        <w:tc>
          <w:tcPr>
            <w:tcW w:w="1100" w:type="dxa"/>
            <w:tcBorders>
              <w:top w:val="nil"/>
              <w:left w:val="nil"/>
              <w:bottom w:val="nil"/>
              <w:right w:val="nil"/>
            </w:tcBorders>
            <w:shd w:val="clear" w:color="000000" w:fill="F3F3EA"/>
            <w:vAlign w:val="center"/>
            <w:hideMark/>
          </w:tcPr>
          <w:p w14:paraId="0D2094B3"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91</w:t>
            </w:r>
          </w:p>
        </w:tc>
        <w:tc>
          <w:tcPr>
            <w:tcW w:w="1606" w:type="dxa"/>
            <w:tcBorders>
              <w:top w:val="nil"/>
              <w:left w:val="nil"/>
              <w:bottom w:val="nil"/>
              <w:right w:val="nil"/>
            </w:tcBorders>
            <w:shd w:val="clear" w:color="000000" w:fill="F3F3EA"/>
            <w:noWrap/>
            <w:vAlign w:val="center"/>
            <w:hideMark/>
          </w:tcPr>
          <w:p w14:paraId="35F55824"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w:t>
            </w:r>
          </w:p>
        </w:tc>
        <w:tc>
          <w:tcPr>
            <w:tcW w:w="1194" w:type="dxa"/>
            <w:tcBorders>
              <w:top w:val="nil"/>
              <w:left w:val="nil"/>
              <w:bottom w:val="nil"/>
              <w:right w:val="nil"/>
            </w:tcBorders>
            <w:shd w:val="clear" w:color="000000" w:fill="F3F3EA"/>
            <w:vAlign w:val="center"/>
            <w:hideMark/>
          </w:tcPr>
          <w:p w14:paraId="20433100"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w:t>
            </w:r>
          </w:p>
        </w:tc>
        <w:tc>
          <w:tcPr>
            <w:tcW w:w="1236" w:type="dxa"/>
            <w:tcBorders>
              <w:top w:val="nil"/>
              <w:left w:val="nil"/>
              <w:bottom w:val="nil"/>
              <w:right w:val="nil"/>
            </w:tcBorders>
            <w:shd w:val="clear" w:color="000000" w:fill="F3F3EA"/>
            <w:vAlign w:val="center"/>
            <w:hideMark/>
          </w:tcPr>
          <w:p w14:paraId="4CBB9142"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5.9 [4.6, 7.4]</w:t>
            </w:r>
          </w:p>
        </w:tc>
        <w:tc>
          <w:tcPr>
            <w:tcW w:w="744" w:type="dxa"/>
            <w:tcBorders>
              <w:top w:val="nil"/>
              <w:left w:val="nil"/>
              <w:bottom w:val="nil"/>
              <w:right w:val="nil"/>
            </w:tcBorders>
            <w:shd w:val="clear" w:color="000000" w:fill="F3F3EA"/>
            <w:vAlign w:val="center"/>
            <w:hideMark/>
          </w:tcPr>
          <w:p w14:paraId="52C07D06"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r>
      <w:tr w:rsidR="00D14D65" w:rsidRPr="00BF0C9A" w14:paraId="6B79F6DB" w14:textId="77777777" w:rsidTr="00F74BC3">
        <w:trPr>
          <w:trHeight w:val="240"/>
        </w:trPr>
        <w:tc>
          <w:tcPr>
            <w:tcW w:w="1000" w:type="dxa"/>
            <w:tcBorders>
              <w:top w:val="nil"/>
              <w:left w:val="nil"/>
              <w:bottom w:val="nil"/>
              <w:right w:val="nil"/>
            </w:tcBorders>
            <w:shd w:val="clear" w:color="000000" w:fill="F3F3EA"/>
            <w:noWrap/>
            <w:vAlign w:val="center"/>
            <w:hideMark/>
          </w:tcPr>
          <w:p w14:paraId="518A3B67"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c>
          <w:tcPr>
            <w:tcW w:w="1940" w:type="dxa"/>
            <w:vMerge/>
            <w:tcBorders>
              <w:top w:val="nil"/>
              <w:left w:val="nil"/>
              <w:bottom w:val="single" w:sz="8" w:space="0" w:color="000000"/>
              <w:right w:val="nil"/>
            </w:tcBorders>
            <w:vAlign w:val="center"/>
            <w:hideMark/>
          </w:tcPr>
          <w:p w14:paraId="3F15BAF4" w14:textId="77777777" w:rsidR="00BF0C9A" w:rsidRPr="00BF0C9A" w:rsidRDefault="00BF0C9A" w:rsidP="00BF0C9A">
            <w:pPr>
              <w:rPr>
                <w:rFonts w:ascii="Arial" w:hAnsi="Arial" w:cs="Arial"/>
                <w:color w:val="000000"/>
                <w:sz w:val="12"/>
                <w:szCs w:val="12"/>
              </w:rPr>
            </w:pPr>
          </w:p>
        </w:tc>
        <w:tc>
          <w:tcPr>
            <w:tcW w:w="1200" w:type="dxa"/>
            <w:tcBorders>
              <w:top w:val="nil"/>
              <w:left w:val="nil"/>
              <w:bottom w:val="nil"/>
              <w:right w:val="nil"/>
            </w:tcBorders>
            <w:shd w:val="clear" w:color="000000" w:fill="F3F3EA"/>
            <w:vAlign w:val="center"/>
            <w:hideMark/>
          </w:tcPr>
          <w:p w14:paraId="3FB208FE"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xml:space="preserve">High </w:t>
            </w:r>
          </w:p>
        </w:tc>
        <w:tc>
          <w:tcPr>
            <w:tcW w:w="820" w:type="dxa"/>
            <w:tcBorders>
              <w:top w:val="nil"/>
              <w:left w:val="nil"/>
              <w:bottom w:val="nil"/>
              <w:right w:val="nil"/>
            </w:tcBorders>
            <w:shd w:val="clear" w:color="000000" w:fill="F3F3EA"/>
            <w:vAlign w:val="center"/>
            <w:hideMark/>
          </w:tcPr>
          <w:p w14:paraId="2C0FD6C2"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141</w:t>
            </w:r>
          </w:p>
        </w:tc>
        <w:tc>
          <w:tcPr>
            <w:tcW w:w="1100" w:type="dxa"/>
            <w:tcBorders>
              <w:top w:val="nil"/>
              <w:left w:val="nil"/>
              <w:bottom w:val="nil"/>
              <w:right w:val="nil"/>
            </w:tcBorders>
            <w:shd w:val="clear" w:color="000000" w:fill="F3F3EA"/>
            <w:vAlign w:val="center"/>
            <w:hideMark/>
          </w:tcPr>
          <w:p w14:paraId="76AEAC30"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141</w:t>
            </w:r>
          </w:p>
        </w:tc>
        <w:tc>
          <w:tcPr>
            <w:tcW w:w="1606" w:type="dxa"/>
            <w:tcBorders>
              <w:top w:val="nil"/>
              <w:left w:val="nil"/>
              <w:bottom w:val="nil"/>
              <w:right w:val="nil"/>
            </w:tcBorders>
            <w:shd w:val="clear" w:color="000000" w:fill="F3F3EA"/>
            <w:noWrap/>
            <w:vAlign w:val="center"/>
            <w:hideMark/>
          </w:tcPr>
          <w:p w14:paraId="261093DE"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w:t>
            </w:r>
          </w:p>
        </w:tc>
        <w:tc>
          <w:tcPr>
            <w:tcW w:w="1194" w:type="dxa"/>
            <w:tcBorders>
              <w:top w:val="nil"/>
              <w:left w:val="nil"/>
              <w:bottom w:val="nil"/>
              <w:right w:val="nil"/>
            </w:tcBorders>
            <w:shd w:val="clear" w:color="000000" w:fill="F3F3EA"/>
            <w:vAlign w:val="center"/>
            <w:hideMark/>
          </w:tcPr>
          <w:p w14:paraId="65056AD0"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w:t>
            </w:r>
          </w:p>
        </w:tc>
        <w:tc>
          <w:tcPr>
            <w:tcW w:w="1236" w:type="dxa"/>
            <w:tcBorders>
              <w:top w:val="nil"/>
              <w:left w:val="nil"/>
              <w:bottom w:val="nil"/>
              <w:right w:val="nil"/>
            </w:tcBorders>
            <w:shd w:val="clear" w:color="000000" w:fill="F3F3EA"/>
            <w:vAlign w:val="center"/>
            <w:hideMark/>
          </w:tcPr>
          <w:p w14:paraId="1BDF8C20"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7.1 [5.8, 9.8]</w:t>
            </w:r>
          </w:p>
        </w:tc>
        <w:tc>
          <w:tcPr>
            <w:tcW w:w="744" w:type="dxa"/>
            <w:tcBorders>
              <w:top w:val="nil"/>
              <w:left w:val="nil"/>
              <w:bottom w:val="nil"/>
              <w:right w:val="nil"/>
            </w:tcBorders>
            <w:shd w:val="clear" w:color="000000" w:fill="F3F3EA"/>
            <w:vAlign w:val="center"/>
            <w:hideMark/>
          </w:tcPr>
          <w:p w14:paraId="6A0F63F1"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r>
      <w:tr w:rsidR="00D14D65" w:rsidRPr="00BF0C9A" w14:paraId="1C590D38" w14:textId="77777777" w:rsidTr="00F74BC3">
        <w:trPr>
          <w:trHeight w:val="240"/>
        </w:trPr>
        <w:tc>
          <w:tcPr>
            <w:tcW w:w="1000" w:type="dxa"/>
            <w:tcBorders>
              <w:top w:val="nil"/>
              <w:left w:val="nil"/>
              <w:bottom w:val="single" w:sz="8" w:space="0" w:color="auto"/>
              <w:right w:val="nil"/>
            </w:tcBorders>
            <w:shd w:val="clear" w:color="000000" w:fill="F3F3EA"/>
            <w:noWrap/>
            <w:vAlign w:val="center"/>
            <w:hideMark/>
          </w:tcPr>
          <w:p w14:paraId="41001563"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c>
          <w:tcPr>
            <w:tcW w:w="1940" w:type="dxa"/>
            <w:vMerge/>
            <w:tcBorders>
              <w:top w:val="nil"/>
              <w:left w:val="nil"/>
              <w:bottom w:val="single" w:sz="8" w:space="0" w:color="000000"/>
              <w:right w:val="nil"/>
            </w:tcBorders>
            <w:vAlign w:val="center"/>
            <w:hideMark/>
          </w:tcPr>
          <w:p w14:paraId="3B414B1C" w14:textId="77777777" w:rsidR="00BF0C9A" w:rsidRPr="00BF0C9A" w:rsidRDefault="00BF0C9A" w:rsidP="00BF0C9A">
            <w:pPr>
              <w:rPr>
                <w:rFonts w:ascii="Arial" w:hAnsi="Arial" w:cs="Arial"/>
                <w:color w:val="000000"/>
                <w:sz w:val="12"/>
                <w:szCs w:val="12"/>
              </w:rPr>
            </w:pPr>
          </w:p>
        </w:tc>
        <w:tc>
          <w:tcPr>
            <w:tcW w:w="1200" w:type="dxa"/>
            <w:tcBorders>
              <w:top w:val="nil"/>
              <w:left w:val="nil"/>
              <w:bottom w:val="single" w:sz="8" w:space="0" w:color="auto"/>
              <w:right w:val="nil"/>
            </w:tcBorders>
            <w:shd w:val="clear" w:color="000000" w:fill="F3F3EA"/>
            <w:vAlign w:val="center"/>
            <w:hideMark/>
          </w:tcPr>
          <w:p w14:paraId="52EB4A56"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xml:space="preserve">Very High </w:t>
            </w:r>
          </w:p>
        </w:tc>
        <w:tc>
          <w:tcPr>
            <w:tcW w:w="820" w:type="dxa"/>
            <w:tcBorders>
              <w:top w:val="nil"/>
              <w:left w:val="nil"/>
              <w:bottom w:val="single" w:sz="8" w:space="0" w:color="auto"/>
              <w:right w:val="nil"/>
            </w:tcBorders>
            <w:shd w:val="clear" w:color="000000" w:fill="F3F3EA"/>
            <w:vAlign w:val="center"/>
            <w:hideMark/>
          </w:tcPr>
          <w:p w14:paraId="278FA4ED"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17</w:t>
            </w:r>
          </w:p>
        </w:tc>
        <w:tc>
          <w:tcPr>
            <w:tcW w:w="1100" w:type="dxa"/>
            <w:tcBorders>
              <w:top w:val="nil"/>
              <w:left w:val="nil"/>
              <w:bottom w:val="single" w:sz="8" w:space="0" w:color="auto"/>
              <w:right w:val="nil"/>
            </w:tcBorders>
            <w:shd w:val="clear" w:color="000000" w:fill="F3F3EA"/>
            <w:vAlign w:val="center"/>
            <w:hideMark/>
          </w:tcPr>
          <w:p w14:paraId="4CB6F036"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17</w:t>
            </w:r>
          </w:p>
        </w:tc>
        <w:tc>
          <w:tcPr>
            <w:tcW w:w="1606" w:type="dxa"/>
            <w:tcBorders>
              <w:top w:val="nil"/>
              <w:left w:val="nil"/>
              <w:bottom w:val="single" w:sz="8" w:space="0" w:color="auto"/>
              <w:right w:val="nil"/>
            </w:tcBorders>
            <w:shd w:val="clear" w:color="000000" w:fill="F3F3EA"/>
            <w:noWrap/>
            <w:vAlign w:val="center"/>
            <w:hideMark/>
          </w:tcPr>
          <w:p w14:paraId="212A38D6"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w:t>
            </w:r>
          </w:p>
        </w:tc>
        <w:tc>
          <w:tcPr>
            <w:tcW w:w="1194" w:type="dxa"/>
            <w:tcBorders>
              <w:top w:val="nil"/>
              <w:left w:val="nil"/>
              <w:bottom w:val="single" w:sz="8" w:space="0" w:color="auto"/>
              <w:right w:val="nil"/>
            </w:tcBorders>
            <w:shd w:val="clear" w:color="000000" w:fill="F3F3EA"/>
            <w:vAlign w:val="center"/>
            <w:hideMark/>
          </w:tcPr>
          <w:p w14:paraId="6BD32ED3"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w:t>
            </w:r>
          </w:p>
        </w:tc>
        <w:tc>
          <w:tcPr>
            <w:tcW w:w="1236" w:type="dxa"/>
            <w:tcBorders>
              <w:top w:val="nil"/>
              <w:left w:val="nil"/>
              <w:bottom w:val="single" w:sz="8" w:space="0" w:color="auto"/>
              <w:right w:val="nil"/>
            </w:tcBorders>
            <w:shd w:val="clear" w:color="000000" w:fill="F3F3EA"/>
            <w:vAlign w:val="center"/>
            <w:hideMark/>
          </w:tcPr>
          <w:p w14:paraId="1FB840A0"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19.4 [7.9, -]</w:t>
            </w:r>
          </w:p>
        </w:tc>
        <w:tc>
          <w:tcPr>
            <w:tcW w:w="744" w:type="dxa"/>
            <w:tcBorders>
              <w:top w:val="nil"/>
              <w:left w:val="nil"/>
              <w:bottom w:val="single" w:sz="8" w:space="0" w:color="auto"/>
              <w:right w:val="nil"/>
            </w:tcBorders>
            <w:shd w:val="clear" w:color="000000" w:fill="F3F3EA"/>
            <w:vAlign w:val="center"/>
            <w:hideMark/>
          </w:tcPr>
          <w:p w14:paraId="7A940A38" w14:textId="77777777" w:rsidR="00BF0C9A" w:rsidRPr="00BF0C9A" w:rsidRDefault="00BF0C9A" w:rsidP="00BF0C9A">
            <w:pPr>
              <w:jc w:val="center"/>
              <w:rPr>
                <w:rFonts w:ascii="Arial" w:hAnsi="Arial" w:cs="Arial"/>
                <w:color w:val="000000"/>
                <w:sz w:val="12"/>
                <w:szCs w:val="12"/>
              </w:rPr>
            </w:pPr>
            <w:r w:rsidRPr="00BF0C9A">
              <w:rPr>
                <w:rFonts w:ascii="Arial" w:hAnsi="Arial" w:cs="Arial"/>
                <w:color w:val="000000"/>
                <w:sz w:val="12"/>
                <w:szCs w:val="12"/>
              </w:rPr>
              <w:t> </w:t>
            </w:r>
          </w:p>
        </w:tc>
      </w:tr>
    </w:tbl>
    <w:p w14:paraId="669CA0B1" w14:textId="7A7A56B2" w:rsidR="001E6A9F" w:rsidRDefault="00B51285" w:rsidP="00B51285">
      <w:r>
        <w:rPr>
          <w:vertAlign w:val="superscript"/>
        </w:rPr>
        <w:t>1</w:t>
      </w:r>
      <w:r>
        <w:t xml:space="preserve"> Hospital Location from Carle Foundation Hospital was unavailable</w:t>
      </w:r>
    </w:p>
    <w:p w14:paraId="425CF2A9" w14:textId="7F8F83B7" w:rsidR="00B51285" w:rsidRPr="00B51285" w:rsidRDefault="00B51285" w:rsidP="00B51285">
      <w:r>
        <w:rPr>
          <w:vertAlign w:val="superscript"/>
        </w:rPr>
        <w:t>2</w:t>
      </w:r>
      <w:r>
        <w:t xml:space="preserve"> Subjects with an in-hospital mortality were treated with an infinite length of stay due to </w:t>
      </w:r>
      <w:proofErr w:type="spellStart"/>
      <w:r>
        <w:t>competiting</w:t>
      </w:r>
      <w:proofErr w:type="spellEnd"/>
      <w:r>
        <w:t xml:space="preserve"> risk </w:t>
      </w:r>
    </w:p>
    <w:p w14:paraId="5BBEEC5C" w14:textId="1E312109" w:rsidR="00B51285" w:rsidRDefault="00F52798" w:rsidP="00F52798">
      <w:pPr>
        <w:pStyle w:val="Heading1"/>
      </w:pPr>
      <w:bookmarkStart w:id="11" w:name="_Toc165296876"/>
      <w:r>
        <w:t>Figures</w:t>
      </w:r>
      <w:bookmarkEnd w:id="11"/>
    </w:p>
    <w:p w14:paraId="2D6DC8D9" w14:textId="77777777" w:rsidR="00F52798" w:rsidRDefault="00F52798" w:rsidP="00F52798">
      <w:pPr>
        <w:pStyle w:val="Heading2"/>
      </w:pPr>
      <w:bookmarkStart w:id="12" w:name="_Toc165296877"/>
      <w:proofErr w:type="spellStart"/>
      <w:r>
        <w:t>eFigure</w:t>
      </w:r>
      <w:proofErr w:type="spellEnd"/>
      <w:r>
        <w:t xml:space="preserve"> 1. Flow Chart. For Selection of Subjects and Exclusion of Ineligible Subjects</w:t>
      </w:r>
      <w:bookmarkEnd w:id="12"/>
    </w:p>
    <w:p w14:paraId="67BF0146" w14:textId="77777777" w:rsidR="00F52798" w:rsidRDefault="00F52798" w:rsidP="00F52798"/>
    <w:p w14:paraId="25A0CF78" w14:textId="77777777" w:rsidR="00F52798" w:rsidRDefault="00F52798" w:rsidP="00F52798">
      <w:pPr>
        <w:pBdr>
          <w:bottom w:val="single" w:sz="6" w:space="1" w:color="auto"/>
        </w:pBdr>
        <w:jc w:val="center"/>
      </w:pPr>
      <w:r>
        <w:rPr>
          <w:noProof/>
        </w:rPr>
        <w:drawing>
          <wp:inline distT="0" distB="0" distL="0" distR="0" wp14:anchorId="42B0BD57" wp14:editId="115C9D15">
            <wp:extent cx="5943600" cy="1166495"/>
            <wp:effectExtent l="0" t="0" r="0" b="1905"/>
            <wp:docPr id="2" name="Picture 2"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4_03_27_Sepsis_ImmunoScore_Validation_Paper_FIgures-02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1166495"/>
                    </a:xfrm>
                    <a:prstGeom prst="rect">
                      <a:avLst/>
                    </a:prstGeom>
                  </pic:spPr>
                </pic:pic>
              </a:graphicData>
            </a:graphic>
          </wp:inline>
        </w:drawing>
      </w:r>
    </w:p>
    <w:p w14:paraId="2543FDCB" w14:textId="77777777" w:rsidR="00F52798" w:rsidRPr="00CE6809" w:rsidRDefault="00F52798" w:rsidP="00F52798">
      <w:r w:rsidRPr="00CE6809">
        <w:rPr>
          <w:shd w:val="clear" w:color="auto" w:fill="FFFFFF"/>
        </w:rPr>
        <w:t xml:space="preserve">This waterfall diagram illustrates the enrollment process for adult subjects (≥18 years old) suspected of infection (based on a blood culture order) who presented to the emergency department (ED) or hospital across the derivation, internal validation, and external validation cohorts. Several exclusion criteria were applied </w:t>
      </w:r>
      <w:r>
        <w:rPr>
          <w:shd w:val="clear" w:color="auto" w:fill="FFFFFF"/>
        </w:rPr>
        <w:t>between</w:t>
      </w:r>
      <w:r w:rsidRPr="00CE6809">
        <w:rPr>
          <w:shd w:val="clear" w:color="auto" w:fill="FFFFFF"/>
        </w:rPr>
        <w:t xml:space="preserve"> subject assessment and enrollment. These included: </w:t>
      </w:r>
      <w:r>
        <w:rPr>
          <w:shd w:val="clear" w:color="auto" w:fill="FFFFFF"/>
        </w:rPr>
        <w:t xml:space="preserve">Invalid Sepsis ImmunoScore results due to </w:t>
      </w:r>
      <w:r w:rsidRPr="00CE6809">
        <w:rPr>
          <w:shd w:val="clear" w:color="auto" w:fill="FFFFFF"/>
        </w:rPr>
        <w:t>missing laboratory data (measurements for PCT, CRP, WBC, platelet count, creatinine, or BUN within a timeframe spanning 24 hours before the blood culture order [study entry] to 3.5 hours after),</w:t>
      </w:r>
      <w:r>
        <w:rPr>
          <w:shd w:val="clear" w:color="auto" w:fill="FFFFFF"/>
        </w:rPr>
        <w:t xml:space="preserve"> Invalid Sepsis ImmunoScore results due to</w:t>
      </w:r>
      <w:r w:rsidRPr="00CE6809">
        <w:rPr>
          <w:shd w:val="clear" w:color="auto" w:fill="FFFFFF"/>
        </w:rPr>
        <w:t xml:space="preserve"> missing vital signs (data for systolic BP, diastolic BP, SpO2, heart rate, or respiratory rate between six hours before study entry and 3.5 hours after), inability to collect a lithium-heparin blood sample within a 6-hour window around study entry, and insufficient data for </w:t>
      </w:r>
      <w:r>
        <w:rPr>
          <w:shd w:val="clear" w:color="auto" w:fill="FFFFFF"/>
        </w:rPr>
        <w:t>proper adjudication</w:t>
      </w:r>
      <w:r w:rsidRPr="00CE6809">
        <w:rPr>
          <w:shd w:val="clear" w:color="auto" w:fill="FFFFFF"/>
        </w:rPr>
        <w:t>.</w:t>
      </w:r>
    </w:p>
    <w:p w14:paraId="3C6C2E5C" w14:textId="77777777" w:rsidR="00F52798" w:rsidRDefault="00F52798" w:rsidP="00F52798"/>
    <w:p w14:paraId="1D3B628E" w14:textId="77777777" w:rsidR="00F52798" w:rsidRDefault="00F52798" w:rsidP="00F52798"/>
    <w:p w14:paraId="0A40A0FB" w14:textId="77777777" w:rsidR="00F52798" w:rsidRDefault="00F52798" w:rsidP="00F52798">
      <w:r>
        <w:br w:type="page"/>
      </w:r>
    </w:p>
    <w:p w14:paraId="6C6C63EB" w14:textId="77777777" w:rsidR="00F52798" w:rsidRDefault="00F52798" w:rsidP="00F52798">
      <w:pPr>
        <w:pStyle w:val="Heading2"/>
      </w:pPr>
      <w:bookmarkStart w:id="13" w:name="_Toc165296878"/>
      <w:proofErr w:type="spellStart"/>
      <w:r>
        <w:lastRenderedPageBreak/>
        <w:t>eFigure</w:t>
      </w:r>
      <w:proofErr w:type="spellEnd"/>
      <w:r>
        <w:t xml:space="preserve"> 2. Sepsis ImmunoScore Risk Stratification for Morbidity and Mortality: Time to Event (External Validation Cohort)</w:t>
      </w:r>
      <w:bookmarkEnd w:id="13"/>
    </w:p>
    <w:p w14:paraId="15422B0E" w14:textId="7069E26B" w:rsidR="00F52798" w:rsidRDefault="002835C0" w:rsidP="00F52798">
      <w:r>
        <w:rPr>
          <w:noProof/>
        </w:rPr>
        <w:drawing>
          <wp:inline distT="0" distB="0" distL="0" distR="0" wp14:anchorId="29201331" wp14:editId="3EF1C1E0">
            <wp:extent cx="5943600" cy="4131310"/>
            <wp:effectExtent l="0" t="0" r="0" b="0"/>
            <wp:docPr id="3" name="Picture 3" descr="A graph of a patient's lif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4-04-19 at 12.15.16 P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4131310"/>
                    </a:xfrm>
                    <a:prstGeom prst="rect">
                      <a:avLst/>
                    </a:prstGeom>
                  </pic:spPr>
                </pic:pic>
              </a:graphicData>
            </a:graphic>
          </wp:inline>
        </w:drawing>
      </w:r>
    </w:p>
    <w:p w14:paraId="267A7528" w14:textId="77777777" w:rsidR="00F52798" w:rsidRDefault="00F52798" w:rsidP="00F52798"/>
    <w:p w14:paraId="42ED346E" w14:textId="77777777" w:rsidR="00F52798" w:rsidRDefault="00F52798" w:rsidP="00F52798">
      <w:r>
        <w:t>Cumulative Incidence Plots for are shown for external validation datasets for the secondary endpoints (ICU transfer, in-hospital mortality, mechanical ventilation, vasopressor administration, and length of stay from inclusion time) for each Sepsis ImmunoScore risk stratification category. All subjects who died in-hospital were assumed to have a length of stay &gt; 30 days. All subjects who were discharged and did not die in-hospital were assumed to have an in-hospital mortality time &gt; 30 days. All subjects who were discharged or died prior their first ICU transfer, mechanical ventilation, or vasopressor administration were assumed to have an event time of &gt; 5 days.</w:t>
      </w:r>
    </w:p>
    <w:p w14:paraId="210142F2" w14:textId="77777777" w:rsidR="00F52798" w:rsidRDefault="00F52798" w:rsidP="00F52798"/>
    <w:p w14:paraId="4871EF5E" w14:textId="77777777" w:rsidR="00F52798" w:rsidRDefault="00F52798" w:rsidP="00F52798"/>
    <w:p w14:paraId="55F8BE7E" w14:textId="77777777" w:rsidR="00F52798" w:rsidRDefault="00F52798" w:rsidP="00F52798"/>
    <w:p w14:paraId="20E43491" w14:textId="77777777" w:rsidR="00F52798" w:rsidRPr="00F52798" w:rsidRDefault="00F52798" w:rsidP="00F52798"/>
    <w:sectPr w:rsidR="00F52798" w:rsidRPr="00F52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mbria"/>
    <w:panose1 w:val="020B00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altName w:val="Calibri"/>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C3FC15"/>
    <w:rsid w:val="0001053A"/>
    <w:rsid w:val="00087CA9"/>
    <w:rsid w:val="0011171B"/>
    <w:rsid w:val="001E6A9F"/>
    <w:rsid w:val="00253E9A"/>
    <w:rsid w:val="002835C0"/>
    <w:rsid w:val="002C6205"/>
    <w:rsid w:val="002D176F"/>
    <w:rsid w:val="002D460F"/>
    <w:rsid w:val="00303A0E"/>
    <w:rsid w:val="0032613B"/>
    <w:rsid w:val="00373D76"/>
    <w:rsid w:val="00387119"/>
    <w:rsid w:val="00391E96"/>
    <w:rsid w:val="003C5B93"/>
    <w:rsid w:val="0043002B"/>
    <w:rsid w:val="00476AF8"/>
    <w:rsid w:val="004C58C7"/>
    <w:rsid w:val="00525989"/>
    <w:rsid w:val="005404D7"/>
    <w:rsid w:val="00580300"/>
    <w:rsid w:val="005C5B35"/>
    <w:rsid w:val="005E4F96"/>
    <w:rsid w:val="00625287"/>
    <w:rsid w:val="00681E11"/>
    <w:rsid w:val="00702AEC"/>
    <w:rsid w:val="007C007C"/>
    <w:rsid w:val="00803B69"/>
    <w:rsid w:val="00831DFE"/>
    <w:rsid w:val="00857E3A"/>
    <w:rsid w:val="008640F5"/>
    <w:rsid w:val="008A5A1F"/>
    <w:rsid w:val="008A6B85"/>
    <w:rsid w:val="008E037F"/>
    <w:rsid w:val="008E517B"/>
    <w:rsid w:val="00927E0F"/>
    <w:rsid w:val="00957A42"/>
    <w:rsid w:val="00973EB6"/>
    <w:rsid w:val="009B21EB"/>
    <w:rsid w:val="009C7C61"/>
    <w:rsid w:val="009E248D"/>
    <w:rsid w:val="00A23A7C"/>
    <w:rsid w:val="00A528F0"/>
    <w:rsid w:val="00A85501"/>
    <w:rsid w:val="00B001D4"/>
    <w:rsid w:val="00B51285"/>
    <w:rsid w:val="00B7437C"/>
    <w:rsid w:val="00BA471F"/>
    <w:rsid w:val="00BA48D2"/>
    <w:rsid w:val="00BD0ED9"/>
    <w:rsid w:val="00BF0C9A"/>
    <w:rsid w:val="00BF6B13"/>
    <w:rsid w:val="00C05EEC"/>
    <w:rsid w:val="00C07F20"/>
    <w:rsid w:val="00C1229E"/>
    <w:rsid w:val="00C214B2"/>
    <w:rsid w:val="00C274ED"/>
    <w:rsid w:val="00C71578"/>
    <w:rsid w:val="00C72B98"/>
    <w:rsid w:val="00C764CF"/>
    <w:rsid w:val="00C92870"/>
    <w:rsid w:val="00CA57D8"/>
    <w:rsid w:val="00CF15C6"/>
    <w:rsid w:val="00D14D65"/>
    <w:rsid w:val="00D70032"/>
    <w:rsid w:val="00DA3596"/>
    <w:rsid w:val="00DA5AB1"/>
    <w:rsid w:val="00DE38E9"/>
    <w:rsid w:val="00E64EDB"/>
    <w:rsid w:val="00EA4F2A"/>
    <w:rsid w:val="00EC172C"/>
    <w:rsid w:val="00F23507"/>
    <w:rsid w:val="00F375F8"/>
    <w:rsid w:val="00F44D46"/>
    <w:rsid w:val="00F52798"/>
    <w:rsid w:val="00F66858"/>
    <w:rsid w:val="00F74BC3"/>
    <w:rsid w:val="00F87A22"/>
    <w:rsid w:val="00FE19C8"/>
    <w:rsid w:val="00FF6D7A"/>
    <w:rsid w:val="20C56CD9"/>
    <w:rsid w:val="23C3FC15"/>
    <w:rsid w:val="636DF63E"/>
    <w:rsid w:val="6C6C8F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14ECD"/>
  <w15:chartTrackingRefBased/>
  <w15:docId w15:val="{B425B3FA-12DA-45E7-95C0-B9563DB0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98"/>
    <w:pPr>
      <w:spacing w:after="0" w:line="240" w:lineRule="auto"/>
    </w:pPr>
    <w:rPr>
      <w:rFonts w:ascii="Times New Roman" w:eastAsia="Times New Roman" w:hAnsi="Times New Roman" w:cs="Times New Roman"/>
      <w:lang w:eastAsia="en-US"/>
    </w:rPr>
  </w:style>
  <w:style w:type="paragraph" w:styleId="Heading1">
    <w:name w:val="heading 1"/>
    <w:basedOn w:val="Normal"/>
    <w:next w:val="Normal"/>
    <w:link w:val="Heading1Char"/>
    <w:autoRedefine/>
    <w:uiPriority w:val="9"/>
    <w:qFormat/>
    <w:rsid w:val="00373D76"/>
    <w:pPr>
      <w:keepNext/>
      <w:keepLines/>
      <w:spacing w:before="360" w:after="80"/>
      <w:outlineLvl w:val="0"/>
    </w:pPr>
    <w:rPr>
      <w:rFonts w:eastAsiaTheme="majorEastAsia" w:cstheme="majorBidi"/>
      <w:b/>
      <w:color w:val="000000" w:themeColor="text1"/>
      <w:szCs w:val="40"/>
    </w:rPr>
  </w:style>
  <w:style w:type="paragraph" w:styleId="Heading2">
    <w:name w:val="heading 2"/>
    <w:basedOn w:val="Normal"/>
    <w:next w:val="Normal"/>
    <w:link w:val="Heading2Char"/>
    <w:autoRedefine/>
    <w:uiPriority w:val="9"/>
    <w:unhideWhenUsed/>
    <w:qFormat/>
    <w:rsid w:val="00EC172C"/>
    <w:pPr>
      <w:keepNext/>
      <w:keepLines/>
      <w:spacing w:before="160" w:after="80"/>
      <w:outlineLvl w:val="1"/>
    </w:pPr>
    <w:rPr>
      <w:rFonts w:eastAsiaTheme="majorEastAsia" w:cstheme="majorBidi"/>
      <w:b/>
      <w:color w:val="000000" w:themeColor="text1"/>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D76"/>
    <w:rPr>
      <w:rFonts w:ascii="Times New Roman" w:eastAsiaTheme="majorEastAsia" w:hAnsi="Times New Roman" w:cstheme="majorBidi"/>
      <w:b/>
      <w:color w:val="000000" w:themeColor="text1"/>
      <w:szCs w:val="40"/>
      <w:lang w:eastAsia="en-US"/>
    </w:rPr>
  </w:style>
  <w:style w:type="character" w:customStyle="1" w:styleId="Heading2Char">
    <w:name w:val="Heading 2 Char"/>
    <w:basedOn w:val="DefaultParagraphFont"/>
    <w:link w:val="Heading2"/>
    <w:uiPriority w:val="9"/>
    <w:rsid w:val="00EC172C"/>
    <w:rPr>
      <w:rFonts w:ascii="Times New Roman" w:eastAsiaTheme="majorEastAsia" w:hAnsi="Times New Roman" w:cstheme="majorBidi"/>
      <w:b/>
      <w:color w:val="000000" w:themeColor="text1"/>
      <w:sz w:val="20"/>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ascii="Times New Roman" w:eastAsiaTheme="majorEastAsia" w:hAnsi="Times New Roman" w:cstheme="majorBidi"/>
      <w:i/>
      <w:iCs/>
      <w:color w:val="595959" w:themeColor="text1" w:themeTint="A6"/>
      <w:lang w:eastAsia="en-US"/>
    </w:rPr>
  </w:style>
  <w:style w:type="character" w:customStyle="1" w:styleId="Heading7Char">
    <w:name w:val="Heading 7 Char"/>
    <w:basedOn w:val="DefaultParagraphFont"/>
    <w:link w:val="Heading7"/>
    <w:uiPriority w:val="9"/>
    <w:rPr>
      <w:rFonts w:ascii="Times New Roman" w:eastAsiaTheme="majorEastAsia" w:hAnsi="Times New Roman" w:cstheme="majorBidi"/>
      <w:color w:val="595959" w:themeColor="text1" w:themeTint="A6"/>
      <w:lang w:eastAsia="en-US"/>
    </w:rPr>
  </w:style>
  <w:style w:type="character" w:customStyle="1" w:styleId="Heading8Char">
    <w:name w:val="Heading 8 Char"/>
    <w:basedOn w:val="DefaultParagraphFont"/>
    <w:link w:val="Heading8"/>
    <w:uiPriority w:val="9"/>
    <w:rPr>
      <w:rFonts w:ascii="Times New Roman" w:eastAsiaTheme="majorEastAsia" w:hAnsi="Times New Roman" w:cstheme="majorBidi"/>
      <w:i/>
      <w:iCs/>
      <w:color w:val="272727" w:themeColor="text1" w:themeTint="D8"/>
      <w:lang w:eastAsia="en-US"/>
    </w:rPr>
  </w:style>
  <w:style w:type="character" w:customStyle="1" w:styleId="Heading9Char">
    <w:name w:val="Heading 9 Char"/>
    <w:basedOn w:val="DefaultParagraphFont"/>
    <w:link w:val="Heading9"/>
    <w:uiPriority w:val="9"/>
    <w:rPr>
      <w:rFonts w:ascii="Times New Roman" w:eastAsiaTheme="majorEastAsia" w:hAnsi="Times New Roman" w:cstheme="majorBidi"/>
      <w:color w:val="272727" w:themeColor="text1" w:themeTint="D8"/>
      <w:lang w:eastAsia="en-US"/>
    </w:rPr>
  </w:style>
  <w:style w:type="character" w:customStyle="1" w:styleId="TitleChar">
    <w:name w:val="Title Char"/>
    <w:basedOn w:val="DefaultParagraphFont"/>
    <w:link w:val="Title"/>
    <w:uiPriority w:val="10"/>
    <w:rsid w:val="007C007C"/>
    <w:rPr>
      <w:rFonts w:ascii="Times New Roman" w:eastAsiaTheme="majorEastAsia" w:hAnsi="Times New Roman" w:cstheme="majorBidi"/>
      <w:spacing w:val="-10"/>
      <w:kern w:val="28"/>
      <w:sz w:val="32"/>
      <w:szCs w:val="56"/>
    </w:rPr>
  </w:style>
  <w:style w:type="paragraph" w:styleId="Title">
    <w:name w:val="Title"/>
    <w:basedOn w:val="Normal"/>
    <w:next w:val="Normal"/>
    <w:link w:val="TitleChar"/>
    <w:uiPriority w:val="10"/>
    <w:qFormat/>
    <w:rsid w:val="007C007C"/>
    <w:pPr>
      <w:spacing w:after="80"/>
      <w:contextualSpacing/>
    </w:pPr>
    <w:rPr>
      <w:rFonts w:eastAsiaTheme="majorEastAsia" w:cstheme="majorBidi"/>
      <w:spacing w:val="-10"/>
      <w:kern w:val="28"/>
      <w:sz w:val="32"/>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BalloonText">
    <w:name w:val="Balloon Text"/>
    <w:basedOn w:val="Normal"/>
    <w:link w:val="BalloonTextChar"/>
    <w:uiPriority w:val="99"/>
    <w:semiHidden/>
    <w:unhideWhenUsed/>
    <w:rsid w:val="00387119"/>
    <w:rPr>
      <w:sz w:val="18"/>
      <w:szCs w:val="18"/>
    </w:rPr>
  </w:style>
  <w:style w:type="character" w:customStyle="1" w:styleId="BalloonTextChar">
    <w:name w:val="Balloon Text Char"/>
    <w:basedOn w:val="DefaultParagraphFont"/>
    <w:link w:val="BalloonText"/>
    <w:uiPriority w:val="99"/>
    <w:semiHidden/>
    <w:rsid w:val="00387119"/>
    <w:rPr>
      <w:rFonts w:ascii="Times New Roman" w:eastAsia="Times New Roman" w:hAnsi="Times New Roman" w:cs="Times New Roman"/>
      <w:sz w:val="18"/>
      <w:szCs w:val="18"/>
      <w:lang w:eastAsia="en-US"/>
    </w:rPr>
  </w:style>
  <w:style w:type="paragraph" w:styleId="TOCHeading">
    <w:name w:val="TOC Heading"/>
    <w:basedOn w:val="Heading1"/>
    <w:next w:val="Normal"/>
    <w:uiPriority w:val="39"/>
    <w:unhideWhenUsed/>
    <w:qFormat/>
    <w:rsid w:val="002C6205"/>
    <w:pPr>
      <w:spacing w:before="480" w:after="0" w:line="276" w:lineRule="auto"/>
      <w:outlineLvl w:val="9"/>
    </w:pPr>
    <w:rPr>
      <w:b w:val="0"/>
      <w:bCs/>
      <w:sz w:val="28"/>
      <w:szCs w:val="28"/>
    </w:rPr>
  </w:style>
  <w:style w:type="paragraph" w:styleId="TOC1">
    <w:name w:val="toc 1"/>
    <w:basedOn w:val="Normal"/>
    <w:next w:val="Normal"/>
    <w:autoRedefine/>
    <w:uiPriority w:val="39"/>
    <w:unhideWhenUsed/>
    <w:rsid w:val="002C6205"/>
    <w:pPr>
      <w:spacing w:before="120"/>
    </w:pPr>
    <w:rPr>
      <w:rFonts w:asciiTheme="minorHAnsi" w:hAnsiTheme="minorHAnsi"/>
      <w:b/>
      <w:bCs/>
      <w:i/>
      <w:iCs/>
    </w:rPr>
  </w:style>
  <w:style w:type="paragraph" w:styleId="TOC2">
    <w:name w:val="toc 2"/>
    <w:basedOn w:val="Normal"/>
    <w:next w:val="Normal"/>
    <w:autoRedefine/>
    <w:uiPriority w:val="39"/>
    <w:unhideWhenUsed/>
    <w:rsid w:val="002C6205"/>
    <w:pPr>
      <w:spacing w:before="120"/>
      <w:ind w:left="200"/>
    </w:pPr>
    <w:rPr>
      <w:rFonts w:asciiTheme="minorHAnsi" w:hAnsiTheme="minorHAnsi"/>
      <w:b/>
      <w:bCs/>
      <w:sz w:val="22"/>
      <w:szCs w:val="22"/>
    </w:rPr>
  </w:style>
  <w:style w:type="paragraph" w:styleId="TOC3">
    <w:name w:val="toc 3"/>
    <w:basedOn w:val="Normal"/>
    <w:next w:val="Normal"/>
    <w:autoRedefine/>
    <w:uiPriority w:val="39"/>
    <w:semiHidden/>
    <w:unhideWhenUsed/>
    <w:rsid w:val="002C6205"/>
    <w:pPr>
      <w:ind w:left="400"/>
    </w:pPr>
    <w:rPr>
      <w:rFonts w:asciiTheme="minorHAnsi" w:hAnsiTheme="minorHAnsi"/>
      <w:szCs w:val="20"/>
    </w:rPr>
  </w:style>
  <w:style w:type="paragraph" w:styleId="TOC4">
    <w:name w:val="toc 4"/>
    <w:basedOn w:val="Normal"/>
    <w:next w:val="Normal"/>
    <w:autoRedefine/>
    <w:uiPriority w:val="39"/>
    <w:semiHidden/>
    <w:unhideWhenUsed/>
    <w:rsid w:val="002C6205"/>
    <w:pPr>
      <w:ind w:left="600"/>
    </w:pPr>
    <w:rPr>
      <w:rFonts w:asciiTheme="minorHAnsi" w:hAnsiTheme="minorHAnsi"/>
      <w:szCs w:val="20"/>
    </w:rPr>
  </w:style>
  <w:style w:type="paragraph" w:styleId="TOC5">
    <w:name w:val="toc 5"/>
    <w:basedOn w:val="Normal"/>
    <w:next w:val="Normal"/>
    <w:autoRedefine/>
    <w:uiPriority w:val="39"/>
    <w:semiHidden/>
    <w:unhideWhenUsed/>
    <w:rsid w:val="002C6205"/>
    <w:pPr>
      <w:ind w:left="800"/>
    </w:pPr>
    <w:rPr>
      <w:rFonts w:asciiTheme="minorHAnsi" w:hAnsiTheme="minorHAnsi"/>
      <w:szCs w:val="20"/>
    </w:rPr>
  </w:style>
  <w:style w:type="paragraph" w:styleId="TOC6">
    <w:name w:val="toc 6"/>
    <w:basedOn w:val="Normal"/>
    <w:next w:val="Normal"/>
    <w:autoRedefine/>
    <w:uiPriority w:val="39"/>
    <w:semiHidden/>
    <w:unhideWhenUsed/>
    <w:rsid w:val="002C6205"/>
    <w:pPr>
      <w:ind w:left="1000"/>
    </w:pPr>
    <w:rPr>
      <w:rFonts w:asciiTheme="minorHAnsi" w:hAnsiTheme="minorHAnsi"/>
      <w:szCs w:val="20"/>
    </w:rPr>
  </w:style>
  <w:style w:type="paragraph" w:styleId="TOC7">
    <w:name w:val="toc 7"/>
    <w:basedOn w:val="Normal"/>
    <w:next w:val="Normal"/>
    <w:autoRedefine/>
    <w:uiPriority w:val="39"/>
    <w:semiHidden/>
    <w:unhideWhenUsed/>
    <w:rsid w:val="002C6205"/>
    <w:pPr>
      <w:ind w:left="1200"/>
    </w:pPr>
    <w:rPr>
      <w:rFonts w:asciiTheme="minorHAnsi" w:hAnsiTheme="minorHAnsi"/>
      <w:szCs w:val="20"/>
    </w:rPr>
  </w:style>
  <w:style w:type="paragraph" w:styleId="TOC8">
    <w:name w:val="toc 8"/>
    <w:basedOn w:val="Normal"/>
    <w:next w:val="Normal"/>
    <w:autoRedefine/>
    <w:uiPriority w:val="39"/>
    <w:semiHidden/>
    <w:unhideWhenUsed/>
    <w:rsid w:val="002C6205"/>
    <w:pPr>
      <w:ind w:left="1400"/>
    </w:pPr>
    <w:rPr>
      <w:rFonts w:asciiTheme="minorHAnsi" w:hAnsiTheme="minorHAnsi"/>
      <w:szCs w:val="20"/>
    </w:rPr>
  </w:style>
  <w:style w:type="paragraph" w:styleId="TOC9">
    <w:name w:val="toc 9"/>
    <w:basedOn w:val="Normal"/>
    <w:next w:val="Normal"/>
    <w:autoRedefine/>
    <w:uiPriority w:val="39"/>
    <w:semiHidden/>
    <w:unhideWhenUsed/>
    <w:rsid w:val="002C6205"/>
    <w:pPr>
      <w:ind w:left="1600"/>
    </w:pPr>
    <w:rPr>
      <w:rFonts w:asciiTheme="minorHAnsi" w:hAnsiTheme="minorHAnsi"/>
      <w:szCs w:val="20"/>
    </w:rPr>
  </w:style>
  <w:style w:type="character" w:customStyle="1" w:styleId="normaltextrun">
    <w:name w:val="normaltextrun"/>
    <w:basedOn w:val="DefaultParagraphFont"/>
    <w:rsid w:val="00C07F20"/>
  </w:style>
  <w:style w:type="character" w:customStyle="1" w:styleId="eop">
    <w:name w:val="eop"/>
    <w:basedOn w:val="DefaultParagraphFont"/>
    <w:rsid w:val="00C07F20"/>
  </w:style>
  <w:style w:type="character" w:styleId="Hyperlink">
    <w:name w:val="Hyperlink"/>
    <w:basedOn w:val="DefaultParagraphFont"/>
    <w:uiPriority w:val="99"/>
    <w:unhideWhenUsed/>
    <w:rsid w:val="003C5B93"/>
    <w:rPr>
      <w:color w:val="467886" w:themeColor="hyperlink"/>
      <w:u w:val="single"/>
    </w:rPr>
  </w:style>
  <w:style w:type="paragraph" w:styleId="CommentText">
    <w:name w:val="annotation text"/>
    <w:basedOn w:val="Normal"/>
    <w:link w:val="CommentTextChar"/>
    <w:uiPriority w:val="99"/>
    <w:semiHidden/>
    <w:unhideWhenUsed/>
    <w:rsid w:val="002D460F"/>
    <w:rPr>
      <w:szCs w:val="20"/>
    </w:rPr>
  </w:style>
  <w:style w:type="character" w:customStyle="1" w:styleId="CommentTextChar">
    <w:name w:val="Comment Text Char"/>
    <w:basedOn w:val="DefaultParagraphFont"/>
    <w:link w:val="CommentText"/>
    <w:uiPriority w:val="99"/>
    <w:semiHidden/>
    <w:rsid w:val="002D460F"/>
    <w:rPr>
      <w:rFonts w:ascii="Times New Roman" w:hAnsi="Times New Roman"/>
      <w:sz w:val="20"/>
      <w:szCs w:val="20"/>
    </w:rPr>
  </w:style>
  <w:style w:type="character" w:styleId="CommentReference">
    <w:name w:val="annotation reference"/>
    <w:basedOn w:val="DefaultParagraphFont"/>
    <w:uiPriority w:val="99"/>
    <w:semiHidden/>
    <w:unhideWhenUsed/>
    <w:rsid w:val="002D460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964769">
      <w:bodyDiv w:val="1"/>
      <w:marLeft w:val="0"/>
      <w:marRight w:val="0"/>
      <w:marTop w:val="0"/>
      <w:marBottom w:val="0"/>
      <w:divBdr>
        <w:top w:val="none" w:sz="0" w:space="0" w:color="auto"/>
        <w:left w:val="none" w:sz="0" w:space="0" w:color="auto"/>
        <w:bottom w:val="none" w:sz="0" w:space="0" w:color="auto"/>
        <w:right w:val="none" w:sz="0" w:space="0" w:color="auto"/>
      </w:divBdr>
    </w:div>
    <w:div w:id="345712920">
      <w:bodyDiv w:val="1"/>
      <w:marLeft w:val="0"/>
      <w:marRight w:val="0"/>
      <w:marTop w:val="0"/>
      <w:marBottom w:val="0"/>
      <w:divBdr>
        <w:top w:val="none" w:sz="0" w:space="0" w:color="auto"/>
        <w:left w:val="none" w:sz="0" w:space="0" w:color="auto"/>
        <w:bottom w:val="none" w:sz="0" w:space="0" w:color="auto"/>
        <w:right w:val="none" w:sz="0" w:space="0" w:color="auto"/>
      </w:divBdr>
    </w:div>
    <w:div w:id="555510345">
      <w:bodyDiv w:val="1"/>
      <w:marLeft w:val="0"/>
      <w:marRight w:val="0"/>
      <w:marTop w:val="0"/>
      <w:marBottom w:val="0"/>
      <w:divBdr>
        <w:top w:val="none" w:sz="0" w:space="0" w:color="auto"/>
        <w:left w:val="none" w:sz="0" w:space="0" w:color="auto"/>
        <w:bottom w:val="none" w:sz="0" w:space="0" w:color="auto"/>
        <w:right w:val="none" w:sz="0" w:space="0" w:color="auto"/>
      </w:divBdr>
    </w:div>
    <w:div w:id="876236243">
      <w:bodyDiv w:val="1"/>
      <w:marLeft w:val="0"/>
      <w:marRight w:val="0"/>
      <w:marTop w:val="0"/>
      <w:marBottom w:val="0"/>
      <w:divBdr>
        <w:top w:val="none" w:sz="0" w:space="0" w:color="auto"/>
        <w:left w:val="none" w:sz="0" w:space="0" w:color="auto"/>
        <w:bottom w:val="none" w:sz="0" w:space="0" w:color="auto"/>
        <w:right w:val="none" w:sz="0" w:space="0" w:color="auto"/>
      </w:divBdr>
    </w:div>
    <w:div w:id="923033180">
      <w:bodyDiv w:val="1"/>
      <w:marLeft w:val="0"/>
      <w:marRight w:val="0"/>
      <w:marTop w:val="0"/>
      <w:marBottom w:val="0"/>
      <w:divBdr>
        <w:top w:val="none" w:sz="0" w:space="0" w:color="auto"/>
        <w:left w:val="none" w:sz="0" w:space="0" w:color="auto"/>
        <w:bottom w:val="none" w:sz="0" w:space="0" w:color="auto"/>
        <w:right w:val="none" w:sz="0" w:space="0" w:color="auto"/>
      </w:divBdr>
    </w:div>
    <w:div w:id="1268781329">
      <w:bodyDiv w:val="1"/>
      <w:marLeft w:val="0"/>
      <w:marRight w:val="0"/>
      <w:marTop w:val="0"/>
      <w:marBottom w:val="0"/>
      <w:divBdr>
        <w:top w:val="none" w:sz="0" w:space="0" w:color="auto"/>
        <w:left w:val="none" w:sz="0" w:space="0" w:color="auto"/>
        <w:bottom w:val="none" w:sz="0" w:space="0" w:color="auto"/>
        <w:right w:val="none" w:sz="0" w:space="0" w:color="auto"/>
      </w:divBdr>
    </w:div>
    <w:div w:id="1830514713">
      <w:bodyDiv w:val="1"/>
      <w:marLeft w:val="0"/>
      <w:marRight w:val="0"/>
      <w:marTop w:val="0"/>
      <w:marBottom w:val="0"/>
      <w:divBdr>
        <w:top w:val="none" w:sz="0" w:space="0" w:color="auto"/>
        <w:left w:val="none" w:sz="0" w:space="0" w:color="auto"/>
        <w:bottom w:val="none" w:sz="0" w:space="0" w:color="auto"/>
        <w:right w:val="none" w:sz="0" w:space="0" w:color="auto"/>
      </w:divBdr>
    </w:div>
    <w:div w:id="214553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0A8777ABDCA8042BBE64526C125C8BF" ma:contentTypeVersion="6" ma:contentTypeDescription="Create a new document." ma:contentTypeScope="" ma:versionID="dac4dc91911879188dc30c280b2182e5">
  <xsd:schema xmlns:xsd="http://www.w3.org/2001/XMLSchema" xmlns:xs="http://www.w3.org/2001/XMLSchema" xmlns:p="http://schemas.microsoft.com/office/2006/metadata/properties" xmlns:ns2="93ed2b2c-f7c8-4895-99c5-1588ca148050" xmlns:ns3="1c1e00b2-5a47-4bcc-bec8-95f86e5d3b76" targetNamespace="http://schemas.microsoft.com/office/2006/metadata/properties" ma:root="true" ma:fieldsID="24c286fac2781d21f835baa52353c4a4" ns2:_="" ns3:_="">
    <xsd:import namespace="93ed2b2c-f7c8-4895-99c5-1588ca148050"/>
    <xsd:import namespace="1c1e00b2-5a47-4bcc-bec8-95f86e5d3b7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d2b2c-f7c8-4895-99c5-1588ca1480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e00b2-5a47-4bcc-bec8-95f86e5d3b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c1e00b2-5a47-4bcc-bec8-95f86e5d3b76">
      <UserInfo>
        <DisplayName>Bobby Reddy, Jr.</DisplayName>
        <AccountId>11</AccountId>
        <AccountType/>
      </UserInfo>
      <UserInfo>
        <DisplayName>Carlos Lopez-Espina</DisplayName>
        <AccountId>41</AccountId>
        <AccountType/>
      </UserInfo>
      <UserInfo>
        <DisplayName>Nathan Shapiro</DisplayName>
        <AccountId>62</AccountId>
        <AccountType/>
      </UserInfo>
      <UserInfo>
        <DisplayName>Greg Watson</DisplayName>
        <AccountId>61</AccountId>
        <AccountType/>
      </UserInfo>
    </SharedWithUsers>
  </documentManagement>
</p:properties>
</file>

<file path=customXml/itemProps1.xml><?xml version="1.0" encoding="utf-8"?>
<ds:datastoreItem xmlns:ds="http://schemas.openxmlformats.org/officeDocument/2006/customXml" ds:itemID="{5FA0C138-49A4-4A70-B470-5597445A5BA0}">
  <ds:schemaRefs>
    <ds:schemaRef ds:uri="http://schemas.microsoft.com/sharepoint/v3/contenttype/forms"/>
  </ds:schemaRefs>
</ds:datastoreItem>
</file>

<file path=customXml/itemProps2.xml><?xml version="1.0" encoding="utf-8"?>
<ds:datastoreItem xmlns:ds="http://schemas.openxmlformats.org/officeDocument/2006/customXml" ds:itemID="{BF75D72D-6395-424E-922B-E92F5B6ED61B}">
  <ds:schemaRefs>
    <ds:schemaRef ds:uri="http://schemas.openxmlformats.org/officeDocument/2006/bibliography"/>
  </ds:schemaRefs>
</ds:datastoreItem>
</file>

<file path=customXml/itemProps3.xml><?xml version="1.0" encoding="utf-8"?>
<ds:datastoreItem xmlns:ds="http://schemas.openxmlformats.org/officeDocument/2006/customXml" ds:itemID="{F55B7B0A-8C0B-4536-A9AA-A3F98CC47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d2b2c-f7c8-4895-99c5-1588ca148050"/>
    <ds:schemaRef ds:uri="1c1e00b2-5a47-4bcc-bec8-95f86e5d3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8AB56E-CF14-4510-9DB1-C766592F3ED1}">
  <ds:schemaRefs>
    <ds:schemaRef ds:uri="http://schemas.microsoft.com/office/2006/metadata/properties"/>
    <ds:schemaRef ds:uri="http://schemas.microsoft.com/office/infopath/2007/PartnerControls"/>
    <ds:schemaRef ds:uri="1c1e00b2-5a47-4bcc-bec8-95f86e5d3b7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1728</Words>
  <Characters>9852</Characters>
  <Application>Microsoft Office Word</Application>
  <DocSecurity>0</DocSecurity>
  <Lines>82</Lines>
  <Paragraphs>23</Paragraphs>
  <ScaleCrop>false</ScaleCrop>
  <Company/>
  <LinksUpToDate>false</LinksUpToDate>
  <CharactersWithSpaces>11557</CharactersWithSpaces>
  <SharedDoc>false</SharedDoc>
  <HLinks>
    <vt:vector size="84" baseType="variant">
      <vt:variant>
        <vt:i4>1179701</vt:i4>
      </vt:variant>
      <vt:variant>
        <vt:i4>80</vt:i4>
      </vt:variant>
      <vt:variant>
        <vt:i4>0</vt:i4>
      </vt:variant>
      <vt:variant>
        <vt:i4>5</vt:i4>
      </vt:variant>
      <vt:variant>
        <vt:lpwstr/>
      </vt:variant>
      <vt:variant>
        <vt:lpwstr>_Toc165296878</vt:lpwstr>
      </vt:variant>
      <vt:variant>
        <vt:i4>1179701</vt:i4>
      </vt:variant>
      <vt:variant>
        <vt:i4>74</vt:i4>
      </vt:variant>
      <vt:variant>
        <vt:i4>0</vt:i4>
      </vt:variant>
      <vt:variant>
        <vt:i4>5</vt:i4>
      </vt:variant>
      <vt:variant>
        <vt:lpwstr/>
      </vt:variant>
      <vt:variant>
        <vt:lpwstr>_Toc165296877</vt:lpwstr>
      </vt:variant>
      <vt:variant>
        <vt:i4>1179701</vt:i4>
      </vt:variant>
      <vt:variant>
        <vt:i4>68</vt:i4>
      </vt:variant>
      <vt:variant>
        <vt:i4>0</vt:i4>
      </vt:variant>
      <vt:variant>
        <vt:i4>5</vt:i4>
      </vt:variant>
      <vt:variant>
        <vt:lpwstr/>
      </vt:variant>
      <vt:variant>
        <vt:lpwstr>_Toc165296876</vt:lpwstr>
      </vt:variant>
      <vt:variant>
        <vt:i4>1179701</vt:i4>
      </vt:variant>
      <vt:variant>
        <vt:i4>62</vt:i4>
      </vt:variant>
      <vt:variant>
        <vt:i4>0</vt:i4>
      </vt:variant>
      <vt:variant>
        <vt:i4>5</vt:i4>
      </vt:variant>
      <vt:variant>
        <vt:lpwstr/>
      </vt:variant>
      <vt:variant>
        <vt:lpwstr>_Toc165296875</vt:lpwstr>
      </vt:variant>
      <vt:variant>
        <vt:i4>1179701</vt:i4>
      </vt:variant>
      <vt:variant>
        <vt:i4>56</vt:i4>
      </vt:variant>
      <vt:variant>
        <vt:i4>0</vt:i4>
      </vt:variant>
      <vt:variant>
        <vt:i4>5</vt:i4>
      </vt:variant>
      <vt:variant>
        <vt:lpwstr/>
      </vt:variant>
      <vt:variant>
        <vt:lpwstr>_Toc165296874</vt:lpwstr>
      </vt:variant>
      <vt:variant>
        <vt:i4>1179701</vt:i4>
      </vt:variant>
      <vt:variant>
        <vt:i4>50</vt:i4>
      </vt:variant>
      <vt:variant>
        <vt:i4>0</vt:i4>
      </vt:variant>
      <vt:variant>
        <vt:i4>5</vt:i4>
      </vt:variant>
      <vt:variant>
        <vt:lpwstr/>
      </vt:variant>
      <vt:variant>
        <vt:lpwstr>_Toc165296873</vt:lpwstr>
      </vt:variant>
      <vt:variant>
        <vt:i4>1179701</vt:i4>
      </vt:variant>
      <vt:variant>
        <vt:i4>44</vt:i4>
      </vt:variant>
      <vt:variant>
        <vt:i4>0</vt:i4>
      </vt:variant>
      <vt:variant>
        <vt:i4>5</vt:i4>
      </vt:variant>
      <vt:variant>
        <vt:lpwstr/>
      </vt:variant>
      <vt:variant>
        <vt:lpwstr>_Toc165296872</vt:lpwstr>
      </vt:variant>
      <vt:variant>
        <vt:i4>1179701</vt:i4>
      </vt:variant>
      <vt:variant>
        <vt:i4>38</vt:i4>
      </vt:variant>
      <vt:variant>
        <vt:i4>0</vt:i4>
      </vt:variant>
      <vt:variant>
        <vt:i4>5</vt:i4>
      </vt:variant>
      <vt:variant>
        <vt:lpwstr/>
      </vt:variant>
      <vt:variant>
        <vt:lpwstr>_Toc165296871</vt:lpwstr>
      </vt:variant>
      <vt:variant>
        <vt:i4>1179701</vt:i4>
      </vt:variant>
      <vt:variant>
        <vt:i4>32</vt:i4>
      </vt:variant>
      <vt:variant>
        <vt:i4>0</vt:i4>
      </vt:variant>
      <vt:variant>
        <vt:i4>5</vt:i4>
      </vt:variant>
      <vt:variant>
        <vt:lpwstr/>
      </vt:variant>
      <vt:variant>
        <vt:lpwstr>_Toc165296870</vt:lpwstr>
      </vt:variant>
      <vt:variant>
        <vt:i4>1245237</vt:i4>
      </vt:variant>
      <vt:variant>
        <vt:i4>26</vt:i4>
      </vt:variant>
      <vt:variant>
        <vt:i4>0</vt:i4>
      </vt:variant>
      <vt:variant>
        <vt:i4>5</vt:i4>
      </vt:variant>
      <vt:variant>
        <vt:lpwstr/>
      </vt:variant>
      <vt:variant>
        <vt:lpwstr>_Toc165296869</vt:lpwstr>
      </vt:variant>
      <vt:variant>
        <vt:i4>1245237</vt:i4>
      </vt:variant>
      <vt:variant>
        <vt:i4>20</vt:i4>
      </vt:variant>
      <vt:variant>
        <vt:i4>0</vt:i4>
      </vt:variant>
      <vt:variant>
        <vt:i4>5</vt:i4>
      </vt:variant>
      <vt:variant>
        <vt:lpwstr/>
      </vt:variant>
      <vt:variant>
        <vt:lpwstr>_Toc165296868</vt:lpwstr>
      </vt:variant>
      <vt:variant>
        <vt:i4>1245237</vt:i4>
      </vt:variant>
      <vt:variant>
        <vt:i4>14</vt:i4>
      </vt:variant>
      <vt:variant>
        <vt:i4>0</vt:i4>
      </vt:variant>
      <vt:variant>
        <vt:i4>5</vt:i4>
      </vt:variant>
      <vt:variant>
        <vt:lpwstr/>
      </vt:variant>
      <vt:variant>
        <vt:lpwstr>_Toc165296867</vt:lpwstr>
      </vt:variant>
      <vt:variant>
        <vt:i4>1245237</vt:i4>
      </vt:variant>
      <vt:variant>
        <vt:i4>8</vt:i4>
      </vt:variant>
      <vt:variant>
        <vt:i4>0</vt:i4>
      </vt:variant>
      <vt:variant>
        <vt:i4>5</vt:i4>
      </vt:variant>
      <vt:variant>
        <vt:lpwstr/>
      </vt:variant>
      <vt:variant>
        <vt:lpwstr>_Toc165296866</vt:lpwstr>
      </vt:variant>
      <vt:variant>
        <vt:i4>1245237</vt:i4>
      </vt:variant>
      <vt:variant>
        <vt:i4>2</vt:i4>
      </vt:variant>
      <vt:variant>
        <vt:i4>0</vt:i4>
      </vt:variant>
      <vt:variant>
        <vt:i4>5</vt:i4>
      </vt:variant>
      <vt:variant>
        <vt:lpwstr/>
      </vt:variant>
      <vt:variant>
        <vt:lpwstr>_Toc165296865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Akhil Bhargava</dc:creator>
  <cp:keywords/>
  <dc:description/>
  <cp:lastModifiedBy>Akhil Bhargava</cp:lastModifiedBy>
  <cp:revision>75</cp:revision>
  <dcterms:created xsi:type="dcterms:W3CDTF">2024-04-18T19:28:00Z</dcterms:created>
  <dcterms:modified xsi:type="dcterms:W3CDTF">2024-04-29T21:18:00Z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0x010100B0A8777ABDCA8042BBE64526C125C8BF</vt:lpwstr>
  </property>
</Properties>
</file>