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568C" w14:textId="77777777" w:rsidR="009A0ABF" w:rsidRPr="00A96A99" w:rsidRDefault="009A0ABF" w:rsidP="009A0ABF">
      <w:pPr>
        <w:rPr>
          <w:rFonts w:eastAsiaTheme="minorEastAsia"/>
        </w:rPr>
      </w:pPr>
    </w:p>
    <w:p w14:paraId="66B21864" w14:textId="77777777" w:rsidR="009A0ABF" w:rsidRDefault="009A0ABF" w:rsidP="009A0ABF">
      <w:pPr>
        <w:spacing w:line="480" w:lineRule="auto"/>
      </w:pPr>
      <w:r w:rsidRPr="005E4FE7">
        <w:rPr>
          <w:rFonts w:ascii="Calibri" w:cs="Calibri"/>
        </w:rPr>
        <w:t xml:space="preserve"> </w:t>
      </w:r>
      <w:r w:rsidRPr="00C85E71">
        <w:rPr>
          <w:b/>
          <w:bCs/>
        </w:rPr>
        <w:t>Table 1</w:t>
      </w:r>
      <w:r>
        <w:rPr>
          <w:b/>
          <w:bCs/>
        </w:rPr>
        <w:t xml:space="preserve"> </w:t>
      </w:r>
      <w:proofErr w:type="gramStart"/>
      <w:r>
        <w:rPr>
          <w:b/>
          <w:bCs/>
        </w:rPr>
        <w:t xml:space="preserve">| </w:t>
      </w:r>
      <w:r w:rsidRPr="00C85E71">
        <w:rPr>
          <w:b/>
          <w:bCs/>
        </w:rPr>
        <w:t xml:space="preserve"> Demographics</w:t>
      </w:r>
      <w:proofErr w:type="gramEnd"/>
      <w:r w:rsidRPr="00C85E71">
        <w:rPr>
          <w:b/>
          <w:bCs/>
        </w:rPr>
        <w:t xml:space="preserve"> of </w:t>
      </w:r>
      <w:r>
        <w:rPr>
          <w:b/>
          <w:bCs/>
        </w:rPr>
        <w:t>antidepressant exposed and unexposed individuals using the prescription</w:t>
      </w:r>
      <w:r w:rsidRPr="00C85E71">
        <w:rPr>
          <w:b/>
          <w:bCs/>
        </w:rPr>
        <w:t>-derived and self-reported</w:t>
      </w:r>
      <w:r>
        <w:rPr>
          <w:b/>
          <w:bCs/>
        </w:rPr>
        <w:t xml:space="preserve"> antidepressant exposure phenotypes in Generation Scotland. </w:t>
      </w:r>
      <w:r>
        <w:t>M = Mean, SD = Standard Deviation.</w:t>
      </w:r>
    </w:p>
    <w:tbl>
      <w:tblPr>
        <w:tblStyle w:val="TableGrid"/>
        <w:tblW w:w="9445" w:type="dxa"/>
        <w:tblLook w:val="04A0" w:firstRow="1" w:lastRow="0" w:firstColumn="1" w:lastColumn="0" w:noHBand="0" w:noVBand="1"/>
      </w:tblPr>
      <w:tblGrid>
        <w:gridCol w:w="1525"/>
        <w:gridCol w:w="1674"/>
        <w:gridCol w:w="1939"/>
        <w:gridCol w:w="1939"/>
        <w:gridCol w:w="2368"/>
      </w:tblGrid>
      <w:tr w:rsidR="009A0ABF" w:rsidRPr="00FE3D05" w14:paraId="0CDB87E2" w14:textId="77777777" w:rsidTr="00CC22CE">
        <w:trPr>
          <w:trHeight w:val="320"/>
        </w:trPr>
        <w:tc>
          <w:tcPr>
            <w:tcW w:w="1525" w:type="dxa"/>
            <w:tcBorders>
              <w:bottom w:val="nil"/>
            </w:tcBorders>
          </w:tcPr>
          <w:p w14:paraId="595EA4DF" w14:textId="77777777" w:rsidR="009A0ABF" w:rsidRDefault="009A0ABF" w:rsidP="00CC22CE">
            <w:pPr>
              <w:spacing w:line="480" w:lineRule="auto"/>
            </w:pPr>
          </w:p>
        </w:tc>
        <w:tc>
          <w:tcPr>
            <w:tcW w:w="3613" w:type="dxa"/>
            <w:gridSpan w:val="2"/>
            <w:noWrap/>
            <w:hideMark/>
          </w:tcPr>
          <w:p w14:paraId="1EE7D21C" w14:textId="77777777" w:rsidR="009A0ABF" w:rsidRPr="00FE3D05" w:rsidRDefault="009A0ABF" w:rsidP="00CC22CE">
            <w:pPr>
              <w:spacing w:line="480" w:lineRule="auto"/>
            </w:pPr>
            <w:r>
              <w:t>Prescription-derived phenotype</w:t>
            </w:r>
          </w:p>
        </w:tc>
        <w:tc>
          <w:tcPr>
            <w:tcW w:w="4307" w:type="dxa"/>
            <w:gridSpan w:val="2"/>
            <w:noWrap/>
            <w:hideMark/>
          </w:tcPr>
          <w:p w14:paraId="3E744082" w14:textId="77777777" w:rsidR="009A0ABF" w:rsidRPr="00FE3D05" w:rsidRDefault="009A0ABF" w:rsidP="00CC22CE">
            <w:pPr>
              <w:spacing w:line="480" w:lineRule="auto"/>
            </w:pPr>
            <w:r w:rsidRPr="00FE3D05">
              <w:t>Self</w:t>
            </w:r>
            <w:r>
              <w:t xml:space="preserve">-report phenotype </w:t>
            </w:r>
          </w:p>
        </w:tc>
      </w:tr>
      <w:tr w:rsidR="009A0ABF" w:rsidRPr="00FE3D05" w14:paraId="35F34BB9" w14:textId="77777777" w:rsidTr="00CC22CE">
        <w:trPr>
          <w:trHeight w:val="320"/>
        </w:trPr>
        <w:tc>
          <w:tcPr>
            <w:tcW w:w="1525" w:type="dxa"/>
            <w:tcBorders>
              <w:top w:val="nil"/>
            </w:tcBorders>
          </w:tcPr>
          <w:p w14:paraId="5CF8959C" w14:textId="77777777" w:rsidR="009A0ABF" w:rsidRDefault="009A0ABF" w:rsidP="00CC22CE">
            <w:pPr>
              <w:spacing w:line="480" w:lineRule="auto"/>
            </w:pPr>
          </w:p>
        </w:tc>
        <w:tc>
          <w:tcPr>
            <w:tcW w:w="1674" w:type="dxa"/>
            <w:noWrap/>
          </w:tcPr>
          <w:p w14:paraId="47905777" w14:textId="77777777" w:rsidR="009A0ABF" w:rsidRPr="00FE3D05" w:rsidRDefault="009A0ABF" w:rsidP="00CC22CE">
            <w:pPr>
              <w:spacing w:line="480" w:lineRule="auto"/>
            </w:pPr>
            <w:r>
              <w:t>Unexposed</w:t>
            </w:r>
          </w:p>
        </w:tc>
        <w:tc>
          <w:tcPr>
            <w:tcW w:w="1939" w:type="dxa"/>
            <w:noWrap/>
          </w:tcPr>
          <w:p w14:paraId="07784940" w14:textId="77777777" w:rsidR="009A0ABF" w:rsidRPr="00FE3D05" w:rsidRDefault="009A0ABF" w:rsidP="00CC22CE">
            <w:pPr>
              <w:spacing w:line="480" w:lineRule="auto"/>
            </w:pPr>
            <w:r>
              <w:t>Exposed</w:t>
            </w:r>
          </w:p>
        </w:tc>
        <w:tc>
          <w:tcPr>
            <w:tcW w:w="1939" w:type="dxa"/>
            <w:noWrap/>
          </w:tcPr>
          <w:p w14:paraId="2C9EC7A3" w14:textId="77777777" w:rsidR="009A0ABF" w:rsidRPr="00FE3D05" w:rsidRDefault="009A0ABF" w:rsidP="00CC22CE">
            <w:pPr>
              <w:spacing w:line="480" w:lineRule="auto"/>
            </w:pPr>
            <w:r>
              <w:t>Unexposed</w:t>
            </w:r>
          </w:p>
        </w:tc>
        <w:tc>
          <w:tcPr>
            <w:tcW w:w="2368" w:type="dxa"/>
            <w:noWrap/>
          </w:tcPr>
          <w:p w14:paraId="625D7235" w14:textId="77777777" w:rsidR="009A0ABF" w:rsidRPr="00FE3D05" w:rsidRDefault="009A0ABF" w:rsidP="00CC22CE">
            <w:pPr>
              <w:spacing w:line="480" w:lineRule="auto"/>
            </w:pPr>
            <w:r>
              <w:t>Exposed</w:t>
            </w:r>
          </w:p>
        </w:tc>
      </w:tr>
      <w:tr w:rsidR="009A0ABF" w:rsidRPr="00FE3D05" w14:paraId="73A9663C" w14:textId="77777777" w:rsidTr="00CC22CE">
        <w:trPr>
          <w:trHeight w:val="320"/>
        </w:trPr>
        <w:tc>
          <w:tcPr>
            <w:tcW w:w="1525" w:type="dxa"/>
          </w:tcPr>
          <w:p w14:paraId="51ACC455" w14:textId="77777777" w:rsidR="009A0ABF" w:rsidRPr="00FE3D05" w:rsidRDefault="009A0ABF" w:rsidP="00CC22CE">
            <w:pPr>
              <w:spacing w:line="480" w:lineRule="auto"/>
            </w:pPr>
            <w:r>
              <w:t>N</w:t>
            </w:r>
          </w:p>
        </w:tc>
        <w:tc>
          <w:tcPr>
            <w:tcW w:w="1674" w:type="dxa"/>
            <w:noWrap/>
            <w:hideMark/>
          </w:tcPr>
          <w:p w14:paraId="6BF4DFB2" w14:textId="77777777" w:rsidR="009A0ABF" w:rsidRPr="00FE3D05" w:rsidRDefault="009A0ABF" w:rsidP="00CC22CE">
            <w:pPr>
              <w:spacing w:line="480" w:lineRule="auto"/>
            </w:pPr>
            <w:r w:rsidRPr="00FE3D05">
              <w:t>7090</w:t>
            </w:r>
          </w:p>
        </w:tc>
        <w:tc>
          <w:tcPr>
            <w:tcW w:w="1939" w:type="dxa"/>
            <w:noWrap/>
            <w:hideMark/>
          </w:tcPr>
          <w:p w14:paraId="2C36A24E" w14:textId="77777777" w:rsidR="009A0ABF" w:rsidRPr="00FE3D05" w:rsidRDefault="009A0ABF" w:rsidP="00CC22CE">
            <w:pPr>
              <w:spacing w:line="480" w:lineRule="auto"/>
            </w:pPr>
            <w:r w:rsidRPr="00FE3D05">
              <w:t>861</w:t>
            </w:r>
          </w:p>
        </w:tc>
        <w:tc>
          <w:tcPr>
            <w:tcW w:w="1939" w:type="dxa"/>
            <w:noWrap/>
            <w:hideMark/>
          </w:tcPr>
          <w:p w14:paraId="46FD60BA" w14:textId="77777777" w:rsidR="009A0ABF" w:rsidRPr="00FE3D05" w:rsidRDefault="009A0ABF" w:rsidP="00CC22CE">
            <w:pPr>
              <w:spacing w:line="480" w:lineRule="auto"/>
            </w:pPr>
            <w:r w:rsidRPr="00FE3D05">
              <w:t>15028</w:t>
            </w:r>
          </w:p>
        </w:tc>
        <w:tc>
          <w:tcPr>
            <w:tcW w:w="2368" w:type="dxa"/>
            <w:noWrap/>
            <w:hideMark/>
          </w:tcPr>
          <w:p w14:paraId="0174A9F9" w14:textId="77777777" w:rsidR="009A0ABF" w:rsidRPr="00FE3D05" w:rsidRDefault="009A0ABF" w:rsidP="00CC22CE">
            <w:pPr>
              <w:spacing w:line="480" w:lineRule="auto"/>
            </w:pPr>
            <w:r w:rsidRPr="00FE3D05">
              <w:t>1508</w:t>
            </w:r>
          </w:p>
        </w:tc>
      </w:tr>
      <w:tr w:rsidR="009A0ABF" w:rsidRPr="00FE3D05" w14:paraId="42A200DA" w14:textId="77777777" w:rsidTr="00CC22CE">
        <w:trPr>
          <w:trHeight w:val="320"/>
        </w:trPr>
        <w:tc>
          <w:tcPr>
            <w:tcW w:w="1525" w:type="dxa"/>
          </w:tcPr>
          <w:p w14:paraId="44C3EF27" w14:textId="77777777" w:rsidR="009A0ABF" w:rsidRPr="00FE3D05" w:rsidRDefault="009A0ABF" w:rsidP="00CC22CE">
            <w:pPr>
              <w:spacing w:line="480" w:lineRule="auto"/>
            </w:pPr>
            <w:r>
              <w:t>Age: M (SD)</w:t>
            </w:r>
          </w:p>
        </w:tc>
        <w:tc>
          <w:tcPr>
            <w:tcW w:w="1674" w:type="dxa"/>
            <w:noWrap/>
            <w:hideMark/>
          </w:tcPr>
          <w:p w14:paraId="2BBA8B01" w14:textId="77777777" w:rsidR="009A0ABF" w:rsidRPr="00FE3D05" w:rsidRDefault="009A0ABF" w:rsidP="00CC22CE">
            <w:pPr>
              <w:spacing w:line="480" w:lineRule="auto"/>
            </w:pPr>
            <w:r w:rsidRPr="00FE3D05">
              <w:t>47.6 (15.2</w:t>
            </w:r>
            <w:r>
              <w:t>)</w:t>
            </w:r>
          </w:p>
        </w:tc>
        <w:tc>
          <w:tcPr>
            <w:tcW w:w="1939" w:type="dxa"/>
            <w:noWrap/>
            <w:hideMark/>
          </w:tcPr>
          <w:p w14:paraId="2E73650E" w14:textId="77777777" w:rsidR="009A0ABF" w:rsidRPr="00FE3D05" w:rsidRDefault="009A0ABF" w:rsidP="00CC22CE">
            <w:pPr>
              <w:spacing w:line="480" w:lineRule="auto"/>
            </w:pPr>
            <w:r w:rsidRPr="00FE3D05">
              <w:t>51.1 (12.7)</w:t>
            </w:r>
          </w:p>
        </w:tc>
        <w:tc>
          <w:tcPr>
            <w:tcW w:w="1939" w:type="dxa"/>
            <w:noWrap/>
            <w:hideMark/>
          </w:tcPr>
          <w:p w14:paraId="1BF88CB3" w14:textId="77777777" w:rsidR="009A0ABF" w:rsidRPr="00FE3D05" w:rsidRDefault="009A0ABF" w:rsidP="00CC22CE">
            <w:pPr>
              <w:spacing w:line="480" w:lineRule="auto"/>
            </w:pPr>
            <w:r w:rsidRPr="00FE3D05">
              <w:t>46.6 (14.9)</w:t>
            </w:r>
          </w:p>
        </w:tc>
        <w:tc>
          <w:tcPr>
            <w:tcW w:w="2368" w:type="dxa"/>
            <w:noWrap/>
            <w:hideMark/>
          </w:tcPr>
          <w:p w14:paraId="293A74DD" w14:textId="77777777" w:rsidR="009A0ABF" w:rsidRPr="00FE3D05" w:rsidRDefault="009A0ABF" w:rsidP="00CC22CE">
            <w:pPr>
              <w:spacing w:line="480" w:lineRule="auto"/>
            </w:pPr>
            <w:r w:rsidRPr="00FE3D05">
              <w:t>50.2 (12.4</w:t>
            </w:r>
            <w:r>
              <w:t>)</w:t>
            </w:r>
          </w:p>
        </w:tc>
      </w:tr>
      <w:tr w:rsidR="009A0ABF" w:rsidRPr="00FE3D05" w14:paraId="7FA08F25" w14:textId="77777777" w:rsidTr="00CC22CE">
        <w:trPr>
          <w:trHeight w:val="320"/>
        </w:trPr>
        <w:tc>
          <w:tcPr>
            <w:tcW w:w="1525" w:type="dxa"/>
          </w:tcPr>
          <w:p w14:paraId="5C07785F" w14:textId="77777777" w:rsidR="009A0ABF" w:rsidRPr="00FE3D05" w:rsidRDefault="009A0ABF" w:rsidP="00CC22CE">
            <w:pPr>
              <w:spacing w:line="480" w:lineRule="auto"/>
            </w:pPr>
            <w:r>
              <w:t>BMI: M (SD)</w:t>
            </w:r>
          </w:p>
        </w:tc>
        <w:tc>
          <w:tcPr>
            <w:tcW w:w="1674" w:type="dxa"/>
            <w:noWrap/>
            <w:hideMark/>
          </w:tcPr>
          <w:p w14:paraId="25A1B1CD" w14:textId="77777777" w:rsidR="009A0ABF" w:rsidRPr="00FE3D05" w:rsidRDefault="009A0ABF" w:rsidP="00CC22CE">
            <w:pPr>
              <w:spacing w:line="480" w:lineRule="auto"/>
            </w:pPr>
            <w:r w:rsidRPr="00FE3D05">
              <w:t>26.4 (4.78)</w:t>
            </w:r>
          </w:p>
        </w:tc>
        <w:tc>
          <w:tcPr>
            <w:tcW w:w="1939" w:type="dxa"/>
            <w:noWrap/>
            <w:hideMark/>
          </w:tcPr>
          <w:p w14:paraId="472EBE6B" w14:textId="77777777" w:rsidR="009A0ABF" w:rsidRPr="00FE3D05" w:rsidRDefault="009A0ABF" w:rsidP="00CC22CE">
            <w:pPr>
              <w:spacing w:line="480" w:lineRule="auto"/>
            </w:pPr>
            <w:r w:rsidRPr="00FE3D05">
              <w:t>28.5 (6.11)</w:t>
            </w:r>
          </w:p>
        </w:tc>
        <w:tc>
          <w:tcPr>
            <w:tcW w:w="1939" w:type="dxa"/>
            <w:noWrap/>
            <w:hideMark/>
          </w:tcPr>
          <w:p w14:paraId="674BEA82" w14:textId="77777777" w:rsidR="009A0ABF" w:rsidRPr="00FE3D05" w:rsidRDefault="009A0ABF" w:rsidP="00CC22CE">
            <w:pPr>
              <w:spacing w:line="480" w:lineRule="auto"/>
            </w:pPr>
            <w:r w:rsidRPr="00FE3D05">
              <w:t>26.4 (5.01)</w:t>
            </w:r>
          </w:p>
        </w:tc>
        <w:tc>
          <w:tcPr>
            <w:tcW w:w="2368" w:type="dxa"/>
            <w:noWrap/>
            <w:hideMark/>
          </w:tcPr>
          <w:p w14:paraId="66705CAF" w14:textId="77777777" w:rsidR="009A0ABF" w:rsidRPr="00FE3D05" w:rsidRDefault="009A0ABF" w:rsidP="00CC22CE">
            <w:pPr>
              <w:spacing w:line="480" w:lineRule="auto"/>
            </w:pPr>
            <w:r w:rsidRPr="00FE3D05">
              <w:t>28.2 (6.05)</w:t>
            </w:r>
          </w:p>
        </w:tc>
      </w:tr>
      <w:tr w:rsidR="009A0ABF" w:rsidRPr="00FE3D05" w14:paraId="20C2B624" w14:textId="77777777" w:rsidTr="00CC22CE">
        <w:trPr>
          <w:trHeight w:val="320"/>
        </w:trPr>
        <w:tc>
          <w:tcPr>
            <w:tcW w:w="9445" w:type="dxa"/>
            <w:gridSpan w:val="5"/>
          </w:tcPr>
          <w:p w14:paraId="4DA07C05" w14:textId="77777777" w:rsidR="009A0ABF" w:rsidRPr="00FE3D05" w:rsidRDefault="009A0ABF" w:rsidP="00CC22CE">
            <w:pPr>
              <w:spacing w:line="480" w:lineRule="auto"/>
            </w:pPr>
            <w:r>
              <w:t>Sex</w:t>
            </w:r>
          </w:p>
        </w:tc>
      </w:tr>
      <w:tr w:rsidR="009A0ABF" w:rsidRPr="00FE3D05" w14:paraId="3B8AD7A2" w14:textId="77777777" w:rsidTr="00CC22CE">
        <w:trPr>
          <w:trHeight w:val="320"/>
        </w:trPr>
        <w:tc>
          <w:tcPr>
            <w:tcW w:w="1525" w:type="dxa"/>
          </w:tcPr>
          <w:p w14:paraId="68D25340" w14:textId="77777777" w:rsidR="009A0ABF" w:rsidRPr="00FE3D05" w:rsidRDefault="009A0ABF" w:rsidP="00CC22CE">
            <w:pPr>
              <w:spacing w:line="480" w:lineRule="auto"/>
            </w:pPr>
            <w:r>
              <w:t>Female: N (%)</w:t>
            </w:r>
          </w:p>
        </w:tc>
        <w:tc>
          <w:tcPr>
            <w:tcW w:w="1674" w:type="dxa"/>
            <w:noWrap/>
            <w:hideMark/>
          </w:tcPr>
          <w:p w14:paraId="67D0A5B9" w14:textId="77777777" w:rsidR="009A0ABF" w:rsidRPr="00FE3D05" w:rsidRDefault="009A0ABF" w:rsidP="00CC22CE">
            <w:pPr>
              <w:spacing w:line="480" w:lineRule="auto"/>
            </w:pPr>
            <w:r w:rsidRPr="00FE3D05">
              <w:t>3746 (53)</w:t>
            </w:r>
          </w:p>
        </w:tc>
        <w:tc>
          <w:tcPr>
            <w:tcW w:w="1939" w:type="dxa"/>
            <w:noWrap/>
            <w:hideMark/>
          </w:tcPr>
          <w:p w14:paraId="4A72A47D" w14:textId="77777777" w:rsidR="009A0ABF" w:rsidRPr="00FE3D05" w:rsidRDefault="009A0ABF" w:rsidP="00CC22CE">
            <w:pPr>
              <w:spacing w:line="480" w:lineRule="auto"/>
            </w:pPr>
            <w:r w:rsidRPr="00FE3D05">
              <w:t>631 (73)</w:t>
            </w:r>
          </w:p>
        </w:tc>
        <w:tc>
          <w:tcPr>
            <w:tcW w:w="1939" w:type="dxa"/>
            <w:noWrap/>
            <w:hideMark/>
          </w:tcPr>
          <w:p w14:paraId="2B1D3A09" w14:textId="77777777" w:rsidR="009A0ABF" w:rsidRPr="00FE3D05" w:rsidRDefault="009A0ABF" w:rsidP="00CC22CE">
            <w:pPr>
              <w:spacing w:line="480" w:lineRule="auto"/>
            </w:pPr>
            <w:r w:rsidRPr="00FE3D05">
              <w:t>8552 (57)</w:t>
            </w:r>
          </w:p>
        </w:tc>
        <w:tc>
          <w:tcPr>
            <w:tcW w:w="2368" w:type="dxa"/>
            <w:noWrap/>
            <w:hideMark/>
          </w:tcPr>
          <w:p w14:paraId="1B4830F5" w14:textId="77777777" w:rsidR="009A0ABF" w:rsidRPr="00FE3D05" w:rsidRDefault="009A0ABF" w:rsidP="00CC22CE">
            <w:pPr>
              <w:spacing w:line="480" w:lineRule="auto"/>
            </w:pPr>
            <w:r w:rsidRPr="00FE3D05">
              <w:t>1151 (76)</w:t>
            </w:r>
          </w:p>
        </w:tc>
      </w:tr>
      <w:tr w:rsidR="009A0ABF" w:rsidRPr="004A35F3" w14:paraId="0EB8C864" w14:textId="77777777" w:rsidTr="00CC22CE">
        <w:trPr>
          <w:trHeight w:val="320"/>
        </w:trPr>
        <w:tc>
          <w:tcPr>
            <w:tcW w:w="1525" w:type="dxa"/>
          </w:tcPr>
          <w:p w14:paraId="587F3745"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Male</w:t>
            </w:r>
            <w:r>
              <w:rPr>
                <w:rFonts w:asciiTheme="majorBidi" w:hAnsiTheme="majorBidi" w:cstheme="majorBidi"/>
              </w:rPr>
              <w:t>:</w:t>
            </w:r>
            <w:r w:rsidRPr="004A35F3">
              <w:rPr>
                <w:rFonts w:asciiTheme="majorBidi" w:hAnsiTheme="majorBidi" w:cstheme="majorBidi"/>
              </w:rPr>
              <w:t xml:space="preserve"> </w:t>
            </w:r>
            <w:r>
              <w:rPr>
                <w:rFonts w:asciiTheme="majorBidi" w:hAnsiTheme="majorBidi" w:cstheme="majorBidi"/>
              </w:rPr>
              <w:t>N</w:t>
            </w:r>
            <w:r w:rsidRPr="004A35F3">
              <w:rPr>
                <w:rFonts w:asciiTheme="majorBidi" w:hAnsiTheme="majorBidi" w:cstheme="majorBidi"/>
              </w:rPr>
              <w:t xml:space="preserve"> (%)</w:t>
            </w:r>
          </w:p>
        </w:tc>
        <w:tc>
          <w:tcPr>
            <w:tcW w:w="1674" w:type="dxa"/>
            <w:noWrap/>
            <w:hideMark/>
          </w:tcPr>
          <w:p w14:paraId="23782E9B"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3342 (47)</w:t>
            </w:r>
          </w:p>
        </w:tc>
        <w:tc>
          <w:tcPr>
            <w:tcW w:w="1939" w:type="dxa"/>
            <w:noWrap/>
            <w:hideMark/>
          </w:tcPr>
          <w:p w14:paraId="54A0B04C"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230 (27)</w:t>
            </w:r>
          </w:p>
        </w:tc>
        <w:tc>
          <w:tcPr>
            <w:tcW w:w="1939" w:type="dxa"/>
            <w:noWrap/>
            <w:hideMark/>
          </w:tcPr>
          <w:p w14:paraId="33983218"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6464 (43)</w:t>
            </w:r>
          </w:p>
        </w:tc>
        <w:tc>
          <w:tcPr>
            <w:tcW w:w="2368" w:type="dxa"/>
            <w:noWrap/>
            <w:hideMark/>
          </w:tcPr>
          <w:p w14:paraId="70C69E6E"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354 (23)</w:t>
            </w:r>
          </w:p>
        </w:tc>
      </w:tr>
      <w:tr w:rsidR="009A0ABF" w:rsidRPr="004A35F3" w14:paraId="44B1B755" w14:textId="77777777" w:rsidTr="00CC22CE">
        <w:trPr>
          <w:trHeight w:val="320"/>
        </w:trPr>
        <w:tc>
          <w:tcPr>
            <w:tcW w:w="9445" w:type="dxa"/>
            <w:gridSpan w:val="5"/>
          </w:tcPr>
          <w:p w14:paraId="61EC637E"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 xml:space="preserve">Smoking behaviours </w:t>
            </w:r>
          </w:p>
        </w:tc>
      </w:tr>
      <w:tr w:rsidR="009A0ABF" w:rsidRPr="004A35F3" w14:paraId="623FBD33" w14:textId="77777777" w:rsidTr="00CC22CE">
        <w:trPr>
          <w:trHeight w:val="320"/>
        </w:trPr>
        <w:tc>
          <w:tcPr>
            <w:tcW w:w="1525" w:type="dxa"/>
          </w:tcPr>
          <w:p w14:paraId="70D31A8F"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Current</w:t>
            </w:r>
            <w:r>
              <w:rPr>
                <w:rFonts w:asciiTheme="majorBidi" w:hAnsiTheme="majorBidi" w:cstheme="majorBidi"/>
              </w:rPr>
              <w:t>:</w:t>
            </w:r>
            <w:r w:rsidRPr="004A35F3">
              <w:rPr>
                <w:rFonts w:asciiTheme="majorBidi" w:hAnsiTheme="majorBidi" w:cstheme="majorBidi"/>
              </w:rPr>
              <w:t xml:space="preserve"> </w:t>
            </w:r>
            <w:r>
              <w:rPr>
                <w:rFonts w:asciiTheme="majorBidi" w:hAnsiTheme="majorBidi" w:cstheme="majorBidi"/>
              </w:rPr>
              <w:t>N</w:t>
            </w:r>
            <w:r w:rsidRPr="004A35F3">
              <w:rPr>
                <w:rFonts w:asciiTheme="majorBidi" w:hAnsiTheme="majorBidi" w:cstheme="majorBidi"/>
              </w:rPr>
              <w:t xml:space="preserve"> (%)</w:t>
            </w:r>
          </w:p>
        </w:tc>
        <w:tc>
          <w:tcPr>
            <w:tcW w:w="1674" w:type="dxa"/>
            <w:noWrap/>
            <w:hideMark/>
          </w:tcPr>
          <w:p w14:paraId="6DAEC241"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963 (14)</w:t>
            </w:r>
          </w:p>
        </w:tc>
        <w:tc>
          <w:tcPr>
            <w:tcW w:w="1939" w:type="dxa"/>
            <w:noWrap/>
            <w:hideMark/>
          </w:tcPr>
          <w:p w14:paraId="645F1D70"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214 (25)</w:t>
            </w:r>
          </w:p>
        </w:tc>
        <w:tc>
          <w:tcPr>
            <w:tcW w:w="1939" w:type="dxa"/>
            <w:noWrap/>
            <w:hideMark/>
          </w:tcPr>
          <w:p w14:paraId="2FF94C32"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2448 (16)</w:t>
            </w:r>
          </w:p>
        </w:tc>
        <w:tc>
          <w:tcPr>
            <w:tcW w:w="2368" w:type="dxa"/>
            <w:noWrap/>
            <w:hideMark/>
          </w:tcPr>
          <w:p w14:paraId="09ECF355"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402 (27)</w:t>
            </w:r>
          </w:p>
        </w:tc>
      </w:tr>
      <w:tr w:rsidR="009A0ABF" w:rsidRPr="004A35F3" w14:paraId="4FA24C0D" w14:textId="77777777" w:rsidTr="00CC22CE">
        <w:trPr>
          <w:trHeight w:val="320"/>
        </w:trPr>
        <w:tc>
          <w:tcPr>
            <w:tcW w:w="1525" w:type="dxa"/>
          </w:tcPr>
          <w:p w14:paraId="424A25A5"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Former</w:t>
            </w:r>
            <w:r>
              <w:rPr>
                <w:rFonts w:asciiTheme="majorBidi" w:hAnsiTheme="majorBidi" w:cstheme="majorBidi"/>
              </w:rPr>
              <w:t>:</w:t>
            </w:r>
            <w:r w:rsidRPr="004A35F3">
              <w:rPr>
                <w:rFonts w:asciiTheme="majorBidi" w:hAnsiTheme="majorBidi" w:cstheme="majorBidi"/>
              </w:rPr>
              <w:t xml:space="preserve"> </w:t>
            </w:r>
            <w:r>
              <w:rPr>
                <w:rFonts w:asciiTheme="majorBidi" w:hAnsiTheme="majorBidi" w:cstheme="majorBidi"/>
              </w:rPr>
              <w:t>N</w:t>
            </w:r>
            <w:r w:rsidRPr="004A35F3">
              <w:rPr>
                <w:rFonts w:asciiTheme="majorBidi" w:hAnsiTheme="majorBidi" w:cstheme="majorBidi"/>
              </w:rPr>
              <w:t xml:space="preserve"> (%)</w:t>
            </w:r>
          </w:p>
        </w:tc>
        <w:tc>
          <w:tcPr>
            <w:tcW w:w="1674" w:type="dxa"/>
            <w:noWrap/>
            <w:hideMark/>
          </w:tcPr>
          <w:p w14:paraId="3192F5CC"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1942 (27)</w:t>
            </w:r>
          </w:p>
        </w:tc>
        <w:tc>
          <w:tcPr>
            <w:tcW w:w="1939" w:type="dxa"/>
            <w:noWrap/>
            <w:hideMark/>
          </w:tcPr>
          <w:p w14:paraId="6DEC5831"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273 (32)</w:t>
            </w:r>
          </w:p>
        </w:tc>
        <w:tc>
          <w:tcPr>
            <w:tcW w:w="1939" w:type="dxa"/>
            <w:noWrap/>
            <w:hideMark/>
          </w:tcPr>
          <w:p w14:paraId="1F003BC6"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4183 (28)</w:t>
            </w:r>
          </w:p>
        </w:tc>
        <w:tc>
          <w:tcPr>
            <w:tcW w:w="2368" w:type="dxa"/>
            <w:noWrap/>
            <w:hideMark/>
          </w:tcPr>
          <w:p w14:paraId="6701EB07"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481 (32)</w:t>
            </w:r>
          </w:p>
        </w:tc>
      </w:tr>
      <w:tr w:rsidR="009A0ABF" w:rsidRPr="004A35F3" w14:paraId="392C3C90" w14:textId="77777777" w:rsidTr="00CC22CE">
        <w:trPr>
          <w:trHeight w:val="320"/>
        </w:trPr>
        <w:tc>
          <w:tcPr>
            <w:tcW w:w="1525" w:type="dxa"/>
          </w:tcPr>
          <w:p w14:paraId="204C66C4"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Never</w:t>
            </w:r>
            <w:r>
              <w:rPr>
                <w:rFonts w:asciiTheme="majorBidi" w:hAnsiTheme="majorBidi" w:cstheme="majorBidi"/>
              </w:rPr>
              <w:t>:</w:t>
            </w:r>
            <w:r w:rsidRPr="004A35F3">
              <w:rPr>
                <w:rFonts w:asciiTheme="majorBidi" w:hAnsiTheme="majorBidi" w:cstheme="majorBidi"/>
              </w:rPr>
              <w:t xml:space="preserve"> </w:t>
            </w:r>
            <w:r>
              <w:rPr>
                <w:rFonts w:asciiTheme="majorBidi" w:hAnsiTheme="majorBidi" w:cstheme="majorBidi"/>
              </w:rPr>
              <w:t>N</w:t>
            </w:r>
            <w:r w:rsidRPr="004A35F3">
              <w:rPr>
                <w:rFonts w:asciiTheme="majorBidi" w:hAnsiTheme="majorBidi" w:cstheme="majorBidi"/>
              </w:rPr>
              <w:t xml:space="preserve"> (%)</w:t>
            </w:r>
          </w:p>
        </w:tc>
        <w:tc>
          <w:tcPr>
            <w:tcW w:w="1674" w:type="dxa"/>
            <w:noWrap/>
            <w:hideMark/>
          </w:tcPr>
          <w:p w14:paraId="2E0F3117"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3913 (55)</w:t>
            </w:r>
          </w:p>
        </w:tc>
        <w:tc>
          <w:tcPr>
            <w:tcW w:w="1939" w:type="dxa"/>
            <w:noWrap/>
            <w:hideMark/>
          </w:tcPr>
          <w:p w14:paraId="17DB0890"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328 (38)</w:t>
            </w:r>
          </w:p>
        </w:tc>
        <w:tc>
          <w:tcPr>
            <w:tcW w:w="1939" w:type="dxa"/>
            <w:noWrap/>
            <w:hideMark/>
          </w:tcPr>
          <w:p w14:paraId="48E4418C"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8114 (54)</w:t>
            </w:r>
          </w:p>
        </w:tc>
        <w:tc>
          <w:tcPr>
            <w:tcW w:w="2368" w:type="dxa"/>
            <w:noWrap/>
            <w:hideMark/>
          </w:tcPr>
          <w:p w14:paraId="77B36B67"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576 (38)</w:t>
            </w:r>
          </w:p>
        </w:tc>
      </w:tr>
      <w:tr w:rsidR="009A0ABF" w:rsidRPr="004A35F3" w14:paraId="6F1A009F" w14:textId="77777777" w:rsidTr="00CC22CE">
        <w:trPr>
          <w:trHeight w:val="320"/>
        </w:trPr>
        <w:tc>
          <w:tcPr>
            <w:tcW w:w="1525" w:type="dxa"/>
          </w:tcPr>
          <w:p w14:paraId="711C3A99"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Pack years</w:t>
            </w:r>
            <w:r>
              <w:rPr>
                <w:rFonts w:asciiTheme="majorBidi" w:hAnsiTheme="majorBidi" w:cstheme="majorBidi"/>
              </w:rPr>
              <w:t>:</w:t>
            </w:r>
            <w:r w:rsidRPr="004A35F3">
              <w:rPr>
                <w:rFonts w:asciiTheme="majorBidi" w:hAnsiTheme="majorBidi" w:cstheme="majorBidi"/>
              </w:rPr>
              <w:t xml:space="preserve"> </w:t>
            </w:r>
            <w:r>
              <w:rPr>
                <w:rFonts w:asciiTheme="majorBidi" w:hAnsiTheme="majorBidi" w:cstheme="majorBidi"/>
              </w:rPr>
              <w:t>M</w:t>
            </w:r>
            <w:r w:rsidRPr="004A35F3">
              <w:rPr>
                <w:rFonts w:asciiTheme="majorBidi" w:hAnsiTheme="majorBidi" w:cstheme="majorBidi"/>
              </w:rPr>
              <w:t xml:space="preserve"> (SD)</w:t>
            </w:r>
          </w:p>
        </w:tc>
        <w:tc>
          <w:tcPr>
            <w:tcW w:w="1674" w:type="dxa"/>
            <w:noWrap/>
            <w:hideMark/>
          </w:tcPr>
          <w:p w14:paraId="6300FB10"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6.3 (13.1)</w:t>
            </w:r>
          </w:p>
        </w:tc>
        <w:tc>
          <w:tcPr>
            <w:tcW w:w="1939" w:type="dxa"/>
            <w:noWrap/>
            <w:hideMark/>
          </w:tcPr>
          <w:p w14:paraId="37AC7BD7"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12 (17.1)</w:t>
            </w:r>
          </w:p>
        </w:tc>
        <w:tc>
          <w:tcPr>
            <w:tcW w:w="1939" w:type="dxa"/>
            <w:noWrap/>
            <w:hideMark/>
          </w:tcPr>
          <w:p w14:paraId="6F17B793"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6.55 (13.3)</w:t>
            </w:r>
          </w:p>
        </w:tc>
        <w:tc>
          <w:tcPr>
            <w:tcW w:w="2368" w:type="dxa"/>
            <w:noWrap/>
            <w:hideMark/>
          </w:tcPr>
          <w:p w14:paraId="7BEA85C0"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11.6 (16.9)</w:t>
            </w:r>
          </w:p>
        </w:tc>
      </w:tr>
      <w:tr w:rsidR="009A0ABF" w:rsidRPr="004A35F3" w14:paraId="5A5A52FB" w14:textId="77777777" w:rsidTr="00CC22CE">
        <w:trPr>
          <w:trHeight w:val="320"/>
        </w:trPr>
        <w:tc>
          <w:tcPr>
            <w:tcW w:w="9445" w:type="dxa"/>
            <w:gridSpan w:val="5"/>
          </w:tcPr>
          <w:p w14:paraId="5396C6ED"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M</w:t>
            </w:r>
            <w:r>
              <w:rPr>
                <w:rFonts w:asciiTheme="majorBidi" w:hAnsiTheme="majorBidi" w:cstheme="majorBidi"/>
              </w:rPr>
              <w:t>ajor Depressive Disorder (Lifetime status)</w:t>
            </w:r>
          </w:p>
        </w:tc>
      </w:tr>
      <w:tr w:rsidR="009A0ABF" w:rsidRPr="004A35F3" w14:paraId="41A60134" w14:textId="77777777" w:rsidTr="00CC22CE">
        <w:trPr>
          <w:trHeight w:val="320"/>
        </w:trPr>
        <w:tc>
          <w:tcPr>
            <w:tcW w:w="1525" w:type="dxa"/>
          </w:tcPr>
          <w:p w14:paraId="562E3BB4"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Cases</w:t>
            </w:r>
            <w:r>
              <w:rPr>
                <w:rFonts w:asciiTheme="majorBidi" w:hAnsiTheme="majorBidi" w:cstheme="majorBidi"/>
              </w:rPr>
              <w:t>: N (%)</w:t>
            </w:r>
          </w:p>
        </w:tc>
        <w:tc>
          <w:tcPr>
            <w:tcW w:w="1674" w:type="dxa"/>
            <w:noWrap/>
            <w:hideMark/>
          </w:tcPr>
          <w:p w14:paraId="46B53E09"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414 (5.8)</w:t>
            </w:r>
          </w:p>
        </w:tc>
        <w:tc>
          <w:tcPr>
            <w:tcW w:w="1939" w:type="dxa"/>
            <w:noWrap/>
            <w:hideMark/>
          </w:tcPr>
          <w:p w14:paraId="3219AA59"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382 (44)</w:t>
            </w:r>
          </w:p>
        </w:tc>
        <w:tc>
          <w:tcPr>
            <w:tcW w:w="1939" w:type="dxa"/>
            <w:noWrap/>
            <w:hideMark/>
          </w:tcPr>
          <w:p w14:paraId="1DA8F253"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1502 (10)</w:t>
            </w:r>
          </w:p>
        </w:tc>
        <w:tc>
          <w:tcPr>
            <w:tcW w:w="2368" w:type="dxa"/>
            <w:noWrap/>
            <w:hideMark/>
          </w:tcPr>
          <w:p w14:paraId="75651365"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766 (51)</w:t>
            </w:r>
          </w:p>
        </w:tc>
      </w:tr>
      <w:tr w:rsidR="009A0ABF" w:rsidRPr="004A35F3" w14:paraId="3C64C1D2" w14:textId="77777777" w:rsidTr="00CC22CE">
        <w:trPr>
          <w:trHeight w:val="320"/>
        </w:trPr>
        <w:tc>
          <w:tcPr>
            <w:tcW w:w="1525" w:type="dxa"/>
          </w:tcPr>
          <w:p w14:paraId="1888F6F1"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lastRenderedPageBreak/>
              <w:t>Controls</w:t>
            </w:r>
            <w:r>
              <w:rPr>
                <w:rFonts w:asciiTheme="majorBidi" w:hAnsiTheme="majorBidi" w:cstheme="majorBidi"/>
              </w:rPr>
              <w:t>: N (%)</w:t>
            </w:r>
          </w:p>
        </w:tc>
        <w:tc>
          <w:tcPr>
            <w:tcW w:w="1674" w:type="dxa"/>
            <w:noWrap/>
            <w:hideMark/>
          </w:tcPr>
          <w:p w14:paraId="5976473A"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6514 (92)</w:t>
            </w:r>
          </w:p>
        </w:tc>
        <w:tc>
          <w:tcPr>
            <w:tcW w:w="1939" w:type="dxa"/>
            <w:noWrap/>
            <w:hideMark/>
          </w:tcPr>
          <w:p w14:paraId="29976772" w14:textId="77777777" w:rsidR="009A0ABF" w:rsidRPr="004A35F3" w:rsidRDefault="009A0ABF" w:rsidP="00CC22CE">
            <w:pPr>
              <w:spacing w:line="480" w:lineRule="auto"/>
              <w:rPr>
                <w:rFonts w:asciiTheme="majorBidi" w:hAnsiTheme="majorBidi" w:cstheme="majorBidi"/>
                <w:color w:val="000000"/>
              </w:rPr>
            </w:pPr>
            <w:r w:rsidRPr="004A35F3">
              <w:rPr>
                <w:rFonts w:asciiTheme="majorBidi" w:hAnsiTheme="majorBidi" w:cstheme="majorBidi"/>
                <w:color w:val="000000"/>
              </w:rPr>
              <w:t>373 (43)</w:t>
            </w:r>
          </w:p>
          <w:p w14:paraId="30683F0E" w14:textId="77777777" w:rsidR="009A0ABF" w:rsidRPr="004A35F3" w:rsidRDefault="009A0ABF" w:rsidP="00CC22CE">
            <w:pPr>
              <w:spacing w:line="480" w:lineRule="auto"/>
              <w:rPr>
                <w:rFonts w:asciiTheme="majorBidi" w:hAnsiTheme="majorBidi" w:cstheme="majorBidi"/>
              </w:rPr>
            </w:pPr>
          </w:p>
        </w:tc>
        <w:tc>
          <w:tcPr>
            <w:tcW w:w="1939" w:type="dxa"/>
            <w:noWrap/>
            <w:hideMark/>
          </w:tcPr>
          <w:p w14:paraId="2A47D03B" w14:textId="77777777" w:rsidR="009A0ABF" w:rsidRPr="004A35F3" w:rsidRDefault="009A0ABF" w:rsidP="00CC22CE">
            <w:pPr>
              <w:spacing w:line="480" w:lineRule="auto"/>
              <w:rPr>
                <w:rFonts w:asciiTheme="majorBidi" w:hAnsiTheme="majorBidi" w:cstheme="majorBidi"/>
              </w:rPr>
            </w:pPr>
            <w:r w:rsidRPr="004A35F3">
              <w:rPr>
                <w:rFonts w:asciiTheme="majorBidi" w:hAnsiTheme="majorBidi" w:cstheme="majorBidi"/>
              </w:rPr>
              <w:t>12704 (85)</w:t>
            </w:r>
          </w:p>
        </w:tc>
        <w:tc>
          <w:tcPr>
            <w:tcW w:w="2368" w:type="dxa"/>
            <w:noWrap/>
            <w:hideMark/>
          </w:tcPr>
          <w:p w14:paraId="200C409A" w14:textId="77777777" w:rsidR="009A0ABF" w:rsidRPr="004A35F3" w:rsidRDefault="009A0ABF" w:rsidP="00CC22CE">
            <w:pPr>
              <w:spacing w:line="480" w:lineRule="auto"/>
              <w:rPr>
                <w:rFonts w:asciiTheme="majorBidi" w:hAnsiTheme="majorBidi" w:cstheme="majorBidi"/>
                <w:color w:val="000000"/>
              </w:rPr>
            </w:pPr>
            <w:r w:rsidRPr="004A35F3">
              <w:rPr>
                <w:rFonts w:asciiTheme="majorBidi" w:hAnsiTheme="majorBidi" w:cstheme="majorBidi"/>
                <w:color w:val="000000"/>
              </w:rPr>
              <w:t>556 (37)</w:t>
            </w:r>
          </w:p>
          <w:p w14:paraId="11170D45" w14:textId="77777777" w:rsidR="009A0ABF" w:rsidRPr="004A35F3" w:rsidRDefault="009A0ABF" w:rsidP="00CC22CE">
            <w:pPr>
              <w:spacing w:line="480" w:lineRule="auto"/>
              <w:rPr>
                <w:rFonts w:asciiTheme="majorBidi" w:hAnsiTheme="majorBidi" w:cstheme="majorBidi"/>
              </w:rPr>
            </w:pPr>
          </w:p>
        </w:tc>
      </w:tr>
    </w:tbl>
    <w:p w14:paraId="006C6026" w14:textId="77777777" w:rsidR="009A0ABF" w:rsidRDefault="009A0ABF" w:rsidP="009A0ABF">
      <w:pPr>
        <w:spacing w:line="480" w:lineRule="auto"/>
      </w:pPr>
    </w:p>
    <w:p w14:paraId="58B13086" w14:textId="77777777" w:rsidR="009A0ABF" w:rsidRPr="007820D1" w:rsidRDefault="009A0ABF" w:rsidP="009A0ABF">
      <w:pPr>
        <w:rPr>
          <w:rFonts w:ascii="Calibri" w:cs="Calibri"/>
        </w:rPr>
      </w:pPr>
    </w:p>
    <w:p w14:paraId="209F70A8" w14:textId="77777777" w:rsidR="009A0ABF" w:rsidRDefault="009A0ABF" w:rsidP="009A0ABF"/>
    <w:p w14:paraId="1FB19228" w14:textId="77777777" w:rsidR="009A0ABF" w:rsidRDefault="009A0ABF" w:rsidP="009A0ABF"/>
    <w:p w14:paraId="7A40DA0D" w14:textId="77777777" w:rsidR="009A0ABF" w:rsidRDefault="009A0ABF" w:rsidP="009A0ABF"/>
    <w:p w14:paraId="24FA168A" w14:textId="77777777" w:rsidR="009A0ABF" w:rsidRDefault="009A0ABF" w:rsidP="009A0ABF"/>
    <w:p w14:paraId="293F82AD" w14:textId="77777777" w:rsidR="009A0ABF" w:rsidRDefault="009A0ABF" w:rsidP="009A0ABF"/>
    <w:p w14:paraId="0484F8D3" w14:textId="77777777" w:rsidR="009A0ABF" w:rsidRDefault="009A0ABF" w:rsidP="009A0ABF"/>
    <w:p w14:paraId="7C4A5F2F" w14:textId="77777777" w:rsidR="009A0ABF" w:rsidRDefault="009A0ABF" w:rsidP="009A0ABF"/>
    <w:p w14:paraId="4C32988B" w14:textId="77777777" w:rsidR="009A0ABF" w:rsidRDefault="009A0ABF" w:rsidP="009A0ABF"/>
    <w:p w14:paraId="4C12D9BF" w14:textId="77777777" w:rsidR="009A0ABF" w:rsidRDefault="009A0ABF" w:rsidP="009A0ABF"/>
    <w:p w14:paraId="0A3858A5" w14:textId="77777777" w:rsidR="009A0ABF" w:rsidRDefault="009A0ABF" w:rsidP="009A0ABF"/>
    <w:p w14:paraId="2EAD66C4" w14:textId="77777777" w:rsidR="009A0ABF" w:rsidRDefault="009A0ABF" w:rsidP="009A0ABF"/>
    <w:p w14:paraId="4D4C4937" w14:textId="77777777" w:rsidR="009A0ABF" w:rsidRDefault="009A0ABF" w:rsidP="009A0ABF"/>
    <w:p w14:paraId="02A19EEC" w14:textId="77777777" w:rsidR="009A0ABF" w:rsidRDefault="009A0ABF" w:rsidP="009A0ABF"/>
    <w:p w14:paraId="0D5A7258" w14:textId="77777777" w:rsidR="009A0ABF" w:rsidRDefault="009A0ABF" w:rsidP="009A0ABF"/>
    <w:p w14:paraId="61E14CB2" w14:textId="77777777" w:rsidR="009A0ABF" w:rsidRDefault="009A0ABF" w:rsidP="009A0ABF"/>
    <w:p w14:paraId="1B483862" w14:textId="77777777" w:rsidR="009A0ABF" w:rsidRDefault="009A0ABF" w:rsidP="009A0ABF"/>
    <w:p w14:paraId="3CA7DAC6" w14:textId="77777777" w:rsidR="009A0ABF" w:rsidRDefault="009A0ABF" w:rsidP="009A0ABF"/>
    <w:p w14:paraId="0E80A93C" w14:textId="77777777" w:rsidR="009A0ABF" w:rsidRDefault="009A0ABF" w:rsidP="009A0ABF"/>
    <w:p w14:paraId="78E92B53" w14:textId="77777777" w:rsidR="009A0ABF" w:rsidRDefault="009A0ABF" w:rsidP="009A0ABF"/>
    <w:p w14:paraId="243008C3" w14:textId="77777777" w:rsidR="009A0ABF" w:rsidRDefault="009A0ABF" w:rsidP="009A0ABF"/>
    <w:p w14:paraId="61CCF32F" w14:textId="77777777" w:rsidR="009A0ABF" w:rsidRDefault="009A0ABF" w:rsidP="009A0ABF"/>
    <w:p w14:paraId="0E9A43D2" w14:textId="77777777" w:rsidR="009A0ABF" w:rsidRDefault="009A0ABF" w:rsidP="009A0ABF"/>
    <w:p w14:paraId="4F28786D" w14:textId="77777777" w:rsidR="009A0ABF" w:rsidRDefault="009A0ABF" w:rsidP="009A0ABF"/>
    <w:p w14:paraId="5EA0BCB8" w14:textId="77777777" w:rsidR="009A0ABF" w:rsidRDefault="009A0ABF" w:rsidP="009A0ABF"/>
    <w:p w14:paraId="5774D7DA" w14:textId="77777777" w:rsidR="009A0ABF" w:rsidRDefault="009A0ABF" w:rsidP="009A0ABF"/>
    <w:p w14:paraId="0A5EF6CE" w14:textId="77777777" w:rsidR="009A0ABF" w:rsidRDefault="009A0ABF" w:rsidP="009A0ABF"/>
    <w:p w14:paraId="3DBD081A" w14:textId="77777777" w:rsidR="009A0ABF" w:rsidRDefault="009A0ABF" w:rsidP="009A0ABF"/>
    <w:p w14:paraId="6DF42084" w14:textId="77777777" w:rsidR="009A0ABF" w:rsidRDefault="009A0ABF" w:rsidP="009A0ABF"/>
    <w:p w14:paraId="40DF3BF9" w14:textId="77777777" w:rsidR="009A0ABF" w:rsidRDefault="009A0ABF" w:rsidP="009A0ABF"/>
    <w:p w14:paraId="3056764F" w14:textId="77777777" w:rsidR="009A0ABF" w:rsidRDefault="009A0ABF" w:rsidP="009A0ABF"/>
    <w:p w14:paraId="701A773A" w14:textId="77777777" w:rsidR="009A0ABF" w:rsidRDefault="009A0ABF" w:rsidP="009A0ABF"/>
    <w:p w14:paraId="7D1B6FD9" w14:textId="77777777" w:rsidR="009A0ABF" w:rsidRDefault="009A0ABF" w:rsidP="009A0ABF"/>
    <w:p w14:paraId="3889AD73" w14:textId="77777777" w:rsidR="009A0ABF" w:rsidRDefault="009A0ABF" w:rsidP="009A0ABF"/>
    <w:p w14:paraId="14CFD3CC" w14:textId="77777777" w:rsidR="009A0ABF" w:rsidRDefault="009A0ABF" w:rsidP="009A0ABF"/>
    <w:p w14:paraId="03FCE35F" w14:textId="77777777" w:rsidR="009A0ABF" w:rsidRDefault="009A0ABF" w:rsidP="009A0ABF"/>
    <w:p w14:paraId="17AB7813" w14:textId="77777777" w:rsidR="009A0ABF" w:rsidRDefault="009A0ABF" w:rsidP="009A0ABF"/>
    <w:p w14:paraId="282A2C19" w14:textId="77777777" w:rsidR="009A0ABF" w:rsidRDefault="009A0ABF" w:rsidP="009A0ABF"/>
    <w:p w14:paraId="74EA8196" w14:textId="77777777" w:rsidR="009A0ABF" w:rsidRDefault="009A0ABF" w:rsidP="009A0ABF"/>
    <w:p w14:paraId="637A54C5" w14:textId="77777777" w:rsidR="009A0ABF" w:rsidRDefault="009A0ABF" w:rsidP="009A0ABF"/>
    <w:p w14:paraId="6712FE61" w14:textId="77777777" w:rsidR="009A0ABF" w:rsidRDefault="009A0ABF" w:rsidP="009A0ABF"/>
    <w:p w14:paraId="5EB5AFE5" w14:textId="77777777" w:rsidR="009A0ABF" w:rsidRDefault="009A0ABF" w:rsidP="009A0ABF">
      <w:pPr>
        <w:spacing w:line="480" w:lineRule="auto"/>
      </w:pPr>
      <w:r>
        <w:rPr>
          <w:b/>
          <w:bCs/>
          <w:lang w:eastAsia="ko-KR"/>
        </w:rPr>
        <w:lastRenderedPageBreak/>
        <w:t xml:space="preserve">Table 2 </w:t>
      </w:r>
      <w:proofErr w:type="gramStart"/>
      <w:r>
        <w:rPr>
          <w:b/>
          <w:bCs/>
          <w:lang w:eastAsia="ko-KR"/>
        </w:rPr>
        <w:t>|  Eight</w:t>
      </w:r>
      <w:proofErr w:type="gramEnd"/>
      <w:r>
        <w:rPr>
          <w:b/>
          <w:bCs/>
          <w:lang w:eastAsia="ko-KR"/>
        </w:rPr>
        <w:t xml:space="preserve"> </w:t>
      </w:r>
      <w:proofErr w:type="spellStart"/>
      <w:r>
        <w:rPr>
          <w:b/>
          <w:bCs/>
          <w:lang w:eastAsia="ko-KR"/>
        </w:rPr>
        <w:t>CpGs</w:t>
      </w:r>
      <w:proofErr w:type="spellEnd"/>
      <w:r>
        <w:rPr>
          <w:b/>
          <w:bCs/>
          <w:lang w:eastAsia="ko-KR"/>
        </w:rPr>
        <w:t xml:space="preserve"> associated with self-reported and/or prescription-derived antidepressant use. </w:t>
      </w:r>
      <w:r>
        <w:rPr>
          <w:lang w:eastAsia="ko-KR"/>
        </w:rPr>
        <w:t xml:space="preserve">The EWAS </w:t>
      </w:r>
      <w:proofErr w:type="spellStart"/>
      <w:r>
        <w:rPr>
          <w:lang w:eastAsia="ko-KR"/>
        </w:rPr>
        <w:t>catalog</w:t>
      </w:r>
      <w:proofErr w:type="spellEnd"/>
      <w:r>
        <w:rPr>
          <w:lang w:eastAsia="ko-KR"/>
        </w:rPr>
        <w:t xml:space="preserve"> was searched using the </w:t>
      </w:r>
      <w:proofErr w:type="spellStart"/>
      <w:r w:rsidRPr="008F339D">
        <w:rPr>
          <w:i/>
          <w:iCs/>
          <w:lang w:eastAsia="ko-KR"/>
        </w:rPr>
        <w:t>ewascatalog</w:t>
      </w:r>
      <w:proofErr w:type="spellEnd"/>
      <w:r>
        <w:rPr>
          <w:lang w:eastAsia="ko-KR"/>
        </w:rPr>
        <w:t xml:space="preserve"> R package</w:t>
      </w:r>
      <w:r>
        <w:rPr>
          <w:color w:val="2B579A"/>
          <w:shd w:val="clear" w:color="auto" w:fill="E6E6E6"/>
        </w:rPr>
        <w:fldChar w:fldCharType="begin"/>
      </w:r>
      <w:r>
        <w:rPr>
          <w:lang w:eastAsia="ko-KR"/>
        </w:rPr>
        <w:instrText xml:space="preserve"> ADDIN ZOTERO_ITEM CSL_CITATION {"citationID":"ev7IVn2z","properties":{"formattedCitation":"\\super 45\\nosupersub{}","plainCitation":"45","noteIndex":0},"citationItems":[{"id":1424,"uris":["http://zotero.org/users/8479915/items/8B5K5XA4"],"itemData":{"id":1424,"type":"article-journal","abstract":"Epigenome-wide association studies (EWAS) seek to quantify associations between traits/exposures and DNA methylation measured at thousands or millions of CpG sites across the genome. In recent years, the increase in availability of DNA methylation measures in population-based cohorts and case-control studies has resulted in a dramatic expansion of the number of EWAS being performed and published. To make this rich source of results more accessible, we have manually curated a database of CpG-trait associations (with p&lt;1x10\n-4) from published EWAS, each assaying over 100,000 CpGs in at least 100 individuals. From January 7, 2022, The EWAS Catalog contained 1,737,746 associations from 2,686 EWAS. This includes 1,345,398 associations from 342 peer-reviewed publications. In addition, it also contains summary statistics for 392,348 associations from 427 EWAS, performed on data from the Avon Longitudinal Study of Parents and Children (ALSPAC) and the Gene Expression Omnibus (GEO). The database is accompanied by a web-based tool and R package, giving researchers the opportunity to query EWAS associations quickly and easily, and gain insight into the molecular underpinnings of disease as well as the impact of traits and exposures on the DNA methylome. The EWAS Catalog data extraction team continue to update the database monthly and we encourage any EWAS authors to upload their summary statistics to our website. Details of how to upload data can be found here:\nhttp://www.ewascatalog.org/upload.,  The EWAS Catalog is available at\nhttp://www.ewascatalog.org.","container-title":"Wellcome Open Research","DOI":"10.12688/wellcomeopenres.17598.2","ISSN":"2398-502X","journalAbbreviation":"Wellcome Open Res","note":"PMID: 35592546\nPMCID: PMC9096146","page":"41","source":"PubMed Central","title":"The EWAS Catalog: a database of epigenome-wide association studies","title-short":"The EWAS Catalog","volume":"7","author":[{"family":"Battram","given":"Thomas"},{"family":"Yousefi","given":"Paul"},{"family":"Crawford","given":"Gemma"},{"family":"Prince","given":"Claire"},{"family":"Sheikhali Babaei","given":"Mahsa"},{"family":"Sharp","given":"Gemma"},{"family":"Hatcher","given":"Charlie"},{"family":"Vega-Salas","given":"María Jesús"},{"family":"Khodabakhsh","given":"Sahar"},{"family":"Whitehurst","given":"Oliver"},{"family":"Langdon","given":"Ryan"},{"family":"Mahoney","given":"Luke"},{"family":"Elliott","given":"Hannah R."},{"family":"Mancano","given":"Giulia"},{"family":"Lee","given":"Matthew A."},{"family":"Watkins","given":"Sarah H."},{"family":"Lay","given":"Abigail C."},{"family":"Hemani","given":"Gibran"},{"family":"Gaunt","given":"Tom R."},{"family":"Relton","given":"Caroline L."},{"family":"Staley","given":"James R."},{"family":"Suderman","given":"Matthew"}],"issued":{"date-parts":[["2022",5,31]]}}}],"schema":"https://github.com/citation-style-language/schema/raw/master/csl-citation.json"} </w:instrText>
      </w:r>
      <w:r>
        <w:rPr>
          <w:color w:val="2B579A"/>
          <w:shd w:val="clear" w:color="auto" w:fill="E6E6E6"/>
        </w:rPr>
        <w:fldChar w:fldCharType="separate"/>
      </w:r>
      <w:r w:rsidRPr="007820D1">
        <w:rPr>
          <w:rFonts w:ascii="Calibri" w:hAnsiTheme="minorHAnsi" w:cs="Calibri"/>
          <w:vertAlign w:val="superscript"/>
        </w:rPr>
        <w:t>45</w:t>
      </w:r>
      <w:r>
        <w:rPr>
          <w:color w:val="2B579A"/>
          <w:shd w:val="clear" w:color="auto" w:fill="E6E6E6"/>
        </w:rPr>
        <w:fldChar w:fldCharType="end"/>
      </w:r>
      <w:r>
        <w:t xml:space="preserve"> for other studies (n &gt; 1000) which report a significant CpG-trait association, accessed on </w:t>
      </w:r>
    </w:p>
    <w:p w14:paraId="7B29CA2A" w14:textId="77777777" w:rsidR="009A0ABF" w:rsidRDefault="009A0ABF" w:rsidP="009A0ABF">
      <w:pPr>
        <w:spacing w:line="480" w:lineRule="auto"/>
      </w:pPr>
      <w:r>
        <w:t xml:space="preserve">17/03/2024. </w:t>
      </w:r>
    </w:p>
    <w:p w14:paraId="0D3DB5A1" w14:textId="77777777" w:rsidR="009A0ABF" w:rsidRDefault="009A0ABF" w:rsidP="009A0ABF">
      <w:pPr>
        <w:spacing w:line="480" w:lineRule="auto"/>
        <w:sectPr w:rsidR="009A0ABF">
          <w:headerReference w:type="default" r:id="rId4"/>
          <w:footerReference w:type="default" r:id="rId5"/>
          <w:pgSz w:w="11906" w:h="16838"/>
          <w:pgMar w:top="1440" w:right="1440" w:bottom="1440" w:left="1440" w:header="708" w:footer="708" w:gutter="0"/>
          <w:cols w:space="708"/>
          <w:docGrid w:linePitch="360"/>
        </w:sectPr>
      </w:pPr>
    </w:p>
    <w:p w14:paraId="136DAB72" w14:textId="77777777" w:rsidR="009A0ABF" w:rsidRDefault="009A0ABF" w:rsidP="009A0ABF">
      <w:pPr>
        <w:spacing w:line="480" w:lineRule="auto"/>
      </w:pPr>
    </w:p>
    <w:p w14:paraId="7156F29A" w14:textId="77777777" w:rsidR="009A0ABF" w:rsidRDefault="009A0ABF" w:rsidP="009A0ABF">
      <w:pPr>
        <w:spacing w:line="480" w:lineRule="auto"/>
      </w:pPr>
    </w:p>
    <w:tbl>
      <w:tblPr>
        <w:tblStyle w:val="TableGrid"/>
        <w:tblW w:w="15594" w:type="dxa"/>
        <w:tblInd w:w="-998" w:type="dxa"/>
        <w:tblLayout w:type="fixed"/>
        <w:tblLook w:val="04A0" w:firstRow="1" w:lastRow="0" w:firstColumn="1" w:lastColumn="0" w:noHBand="0" w:noVBand="1"/>
      </w:tblPr>
      <w:tblGrid>
        <w:gridCol w:w="1560"/>
        <w:gridCol w:w="709"/>
        <w:gridCol w:w="1276"/>
        <w:gridCol w:w="1276"/>
        <w:gridCol w:w="850"/>
        <w:gridCol w:w="992"/>
        <w:gridCol w:w="1276"/>
        <w:gridCol w:w="851"/>
        <w:gridCol w:w="992"/>
        <w:gridCol w:w="1134"/>
        <w:gridCol w:w="4678"/>
      </w:tblGrid>
      <w:tr w:rsidR="009A0ABF" w:rsidRPr="00435006" w14:paraId="147B1925" w14:textId="77777777" w:rsidTr="00CC22CE">
        <w:trPr>
          <w:trHeight w:val="346"/>
        </w:trPr>
        <w:tc>
          <w:tcPr>
            <w:tcW w:w="1560" w:type="dxa"/>
            <w:noWrap/>
            <w:hideMark/>
          </w:tcPr>
          <w:p w14:paraId="2FA5F502" w14:textId="77777777" w:rsidR="009A0ABF" w:rsidRPr="00435006" w:rsidRDefault="009A0ABF" w:rsidP="00CC22CE">
            <w:pPr>
              <w:spacing w:line="480" w:lineRule="auto"/>
            </w:pPr>
            <w:r w:rsidRPr="00435006">
              <w:t>Probe</w:t>
            </w:r>
          </w:p>
        </w:tc>
        <w:tc>
          <w:tcPr>
            <w:tcW w:w="709" w:type="dxa"/>
            <w:noWrap/>
            <w:hideMark/>
          </w:tcPr>
          <w:p w14:paraId="0CB51955" w14:textId="77777777" w:rsidR="009A0ABF" w:rsidRPr="00435006" w:rsidRDefault="009A0ABF" w:rsidP="00CC22CE">
            <w:pPr>
              <w:spacing w:line="480" w:lineRule="auto"/>
            </w:pPr>
            <w:r w:rsidRPr="00435006">
              <w:t>Chr</w:t>
            </w:r>
          </w:p>
        </w:tc>
        <w:tc>
          <w:tcPr>
            <w:tcW w:w="1276" w:type="dxa"/>
            <w:noWrap/>
            <w:hideMark/>
          </w:tcPr>
          <w:p w14:paraId="1A998FEC" w14:textId="77777777" w:rsidR="009A0ABF" w:rsidRPr="00435006" w:rsidRDefault="009A0ABF" w:rsidP="00CC22CE">
            <w:pPr>
              <w:spacing w:line="480" w:lineRule="auto"/>
            </w:pPr>
            <w:r w:rsidRPr="00435006">
              <w:t>BP</w:t>
            </w:r>
          </w:p>
        </w:tc>
        <w:tc>
          <w:tcPr>
            <w:tcW w:w="1276" w:type="dxa"/>
            <w:noWrap/>
            <w:hideMark/>
          </w:tcPr>
          <w:p w14:paraId="10331380" w14:textId="77777777" w:rsidR="009A0ABF" w:rsidRPr="00435006" w:rsidRDefault="009A0ABF" w:rsidP="00CC22CE">
            <w:pPr>
              <w:spacing w:line="480" w:lineRule="auto"/>
            </w:pPr>
            <w:r w:rsidRPr="00435006">
              <w:t>Gene</w:t>
            </w:r>
          </w:p>
        </w:tc>
        <w:tc>
          <w:tcPr>
            <w:tcW w:w="850" w:type="dxa"/>
            <w:noWrap/>
            <w:hideMark/>
          </w:tcPr>
          <w:p w14:paraId="127FC2E9" w14:textId="77777777" w:rsidR="009A0ABF" w:rsidRPr="00435006" w:rsidRDefault="009A0ABF" w:rsidP="00CC22CE">
            <w:pPr>
              <w:spacing w:line="480" w:lineRule="auto"/>
            </w:pPr>
            <m:oMath>
              <m:r>
                <w:rPr>
                  <w:rFonts w:ascii="Cambria Math" w:hAnsi="Cambria Math"/>
                </w:rPr>
                <m:t>β</m:t>
              </m:r>
            </m:oMath>
            <w:r>
              <w:rPr>
                <w:vertAlign w:val="subscript"/>
              </w:rPr>
              <w:t>SR</w:t>
            </w:r>
          </w:p>
        </w:tc>
        <w:tc>
          <w:tcPr>
            <w:tcW w:w="992" w:type="dxa"/>
            <w:noWrap/>
            <w:hideMark/>
          </w:tcPr>
          <w:p w14:paraId="4A651AF8" w14:textId="77777777" w:rsidR="009A0ABF" w:rsidRPr="00435006" w:rsidRDefault="009A0ABF" w:rsidP="00CC22CE">
            <w:pPr>
              <w:spacing w:line="480" w:lineRule="auto"/>
            </w:pPr>
            <w:r w:rsidRPr="00435006">
              <w:t>SE</w:t>
            </w:r>
            <w:r>
              <w:rPr>
                <w:vertAlign w:val="subscript"/>
              </w:rPr>
              <w:t>SR</w:t>
            </w:r>
          </w:p>
        </w:tc>
        <w:tc>
          <w:tcPr>
            <w:tcW w:w="1276" w:type="dxa"/>
            <w:noWrap/>
            <w:hideMark/>
          </w:tcPr>
          <w:p w14:paraId="23C86A05" w14:textId="77777777" w:rsidR="009A0ABF" w:rsidRPr="00435006" w:rsidRDefault="009A0ABF" w:rsidP="00CC22CE">
            <w:pPr>
              <w:spacing w:line="480" w:lineRule="auto"/>
            </w:pPr>
            <w:r>
              <w:t>P</w:t>
            </w:r>
            <w:r>
              <w:rPr>
                <w:vertAlign w:val="subscript"/>
              </w:rPr>
              <w:t>SR</w:t>
            </w:r>
          </w:p>
        </w:tc>
        <w:tc>
          <w:tcPr>
            <w:tcW w:w="851" w:type="dxa"/>
          </w:tcPr>
          <w:p w14:paraId="5A98180F" w14:textId="77777777" w:rsidR="009A0ABF" w:rsidRPr="006C4E90" w:rsidRDefault="009A0ABF" w:rsidP="00CC22CE">
            <w:pPr>
              <w:spacing w:line="480" w:lineRule="auto"/>
              <w:rPr>
                <w:rFonts w:ascii="Cambria Math" w:hAnsi="Cambria Math"/>
                <w:i/>
              </w:rPr>
            </w:pPr>
            <m:oMath>
              <m:r>
                <w:rPr>
                  <w:rFonts w:ascii="Cambria Math" w:hAnsi="Cambria Math"/>
                </w:rPr>
                <m:t>β</m:t>
              </m:r>
            </m:oMath>
            <w:r w:rsidRPr="006C4E90">
              <w:rPr>
                <w:rFonts w:ascii="Cambria Math" w:hAnsi="Cambria Math"/>
                <w:iCs/>
                <w:vertAlign w:val="subscript"/>
              </w:rPr>
              <w:t>PD</w:t>
            </w:r>
          </w:p>
        </w:tc>
        <w:tc>
          <w:tcPr>
            <w:tcW w:w="992" w:type="dxa"/>
          </w:tcPr>
          <w:p w14:paraId="17DFD3EA" w14:textId="77777777" w:rsidR="009A0ABF" w:rsidRPr="00435006" w:rsidRDefault="009A0ABF" w:rsidP="00CC22CE">
            <w:pPr>
              <w:spacing w:line="480" w:lineRule="auto"/>
            </w:pPr>
            <w:r>
              <w:t>SE</w:t>
            </w:r>
            <w:r w:rsidRPr="006C4E90">
              <w:rPr>
                <w:vertAlign w:val="subscript"/>
              </w:rPr>
              <w:t>PD</w:t>
            </w:r>
          </w:p>
        </w:tc>
        <w:tc>
          <w:tcPr>
            <w:tcW w:w="1134" w:type="dxa"/>
          </w:tcPr>
          <w:p w14:paraId="00D17108" w14:textId="77777777" w:rsidR="009A0ABF" w:rsidRPr="00435006" w:rsidRDefault="009A0ABF" w:rsidP="00CC22CE">
            <w:pPr>
              <w:spacing w:line="480" w:lineRule="auto"/>
            </w:pPr>
            <w:r>
              <w:t>P</w:t>
            </w:r>
            <w:r w:rsidRPr="006C4E90">
              <w:rPr>
                <w:vertAlign w:val="subscript"/>
              </w:rPr>
              <w:t>PD</w:t>
            </w:r>
          </w:p>
        </w:tc>
        <w:tc>
          <w:tcPr>
            <w:tcW w:w="4678" w:type="dxa"/>
            <w:noWrap/>
            <w:hideMark/>
          </w:tcPr>
          <w:p w14:paraId="7DE9FC25" w14:textId="77777777" w:rsidR="009A0ABF" w:rsidRPr="00435006" w:rsidRDefault="009A0ABF" w:rsidP="00CC22CE">
            <w:pPr>
              <w:spacing w:line="480" w:lineRule="auto"/>
              <w:rPr>
                <w:lang w:eastAsia="ko-KR"/>
              </w:rPr>
            </w:pPr>
            <w:r w:rsidRPr="00435006">
              <w:t>Other traits associated with the CpG</w:t>
            </w:r>
            <w:r>
              <w:t xml:space="preserve"> (EWAS </w:t>
            </w:r>
            <w:proofErr w:type="spellStart"/>
            <w:r>
              <w:t>catalog</w:t>
            </w:r>
            <w:proofErr w:type="spellEnd"/>
            <w:r>
              <w:t xml:space="preserve">) </w:t>
            </w:r>
            <w:r w:rsidRPr="72AFB19A">
              <w:rPr>
                <w:color w:val="2B579A"/>
              </w:rPr>
              <w:fldChar w:fldCharType="begin"/>
            </w:r>
            <w:r>
              <w:rPr>
                <w:lang w:eastAsia="ko-KR"/>
              </w:rPr>
              <w:instrText xml:space="preserve"> ADDIN ZOTERO_ITEM CSL_CITATION {"citationID":"2KUrQZWi","properties":{"formattedCitation":"\\super 45\\nosupersub{}","plainCitation":"45","noteIndex":0},"citationItems":[{"id":1424,"uris":["http://zotero.org/users/8479915/items/8B5K5XA4"],"itemData":{"id":1424,"type":"article-journal","abstract":"Epigenome-wide association studies (EWAS) seek to quantify associations between traits/exposures and DNA methylation measured at thousands or millions of CpG sites across the genome. In recent years, the increase in availability of DNA methylation measures in population-based cohorts and case-control studies has resulted in a dramatic expansion of the number of EWAS being performed and published. To make this rich source of results more accessible, we have manually curated a database of CpG-trait associations (with p&lt;1x10\n-4) from published EWAS, each assaying over 100,000 CpGs in at least 100 individuals. From January 7, 2022, The EWAS Catalog contained 1,737,746 associations from 2,686 EWAS. This includes 1,345,398 associations from 342 peer-reviewed publications. In addition, it also contains summary statistics for 392,348 associations from 427 EWAS, performed on data from the Avon Longitudinal Study of Parents and Children (ALSPAC) and the Gene Expression Omnibus (GEO). The database is accompanied by a web-based tool and R package, giving researchers the opportunity to query EWAS associations quickly and easily, and gain insight into the molecular underpinnings of disease as well as the impact of traits and exposures on the DNA methylome. The EWAS Catalog data extraction team continue to update the database monthly and we encourage any EWAS authors to upload their summary statistics to our website. Details of how to upload data can be found here:\nhttp://www.ewascatalog.org/upload.,  The EWAS Catalog is available at\nhttp://www.ewascatalog.org.","container-title":"Wellcome Open Research","DOI":"10.12688/wellcomeopenres.17598.2","ISSN":"2398-502X","journalAbbreviation":"Wellcome Open Res","note":"PMID: 35592546\nPMCID: PMC9096146","page":"41","source":"PubMed Central","title":"The EWAS Catalog: a database of epigenome-wide association studies","title-short":"The EWAS Catalog","volume":"7","author":[{"family":"Battram","given":"Thomas"},{"family":"Yousefi","given":"Paul"},{"family":"Crawford","given":"Gemma"},{"family":"Prince","given":"Claire"},{"family":"Sheikhali Babaei","given":"Mahsa"},{"family":"Sharp","given":"Gemma"},{"family":"Hatcher","given":"Charlie"},{"family":"Vega-Salas","given":"María Jesús"},{"family":"Khodabakhsh","given":"Sahar"},{"family":"Whitehurst","given":"Oliver"},{"family":"Langdon","given":"Ryan"},{"family":"Mahoney","given":"Luke"},{"family":"Elliott","given":"Hannah R."},{"family":"Mancano","given":"Giulia"},{"family":"Lee","given":"Matthew A."},{"family":"Watkins","given":"Sarah H."},{"family":"Lay","given":"Abigail C."},{"family":"Hemani","given":"Gibran"},{"family":"Gaunt","given":"Tom R."},{"family":"Relton","given":"Caroline L."},{"family":"Staley","given":"James R."},{"family":"Suderman","given":"Matthew"}],"issued":{"date-parts":[["2022",5,31]]}}}],"schema":"https://github.com/citation-style-language/schema/raw/master/csl-citation.json"} </w:instrText>
            </w:r>
            <w:r w:rsidRPr="72AFB19A">
              <w:rPr>
                <w:color w:val="2B579A"/>
              </w:rPr>
              <w:fldChar w:fldCharType="separate"/>
            </w:r>
            <w:r w:rsidRPr="007820D1">
              <w:rPr>
                <w:rFonts w:ascii="Calibri" w:hAnsiTheme="minorHAnsi" w:cs="Calibri"/>
                <w:vertAlign w:val="superscript"/>
                <w:lang w:eastAsia="ko-KR"/>
              </w:rPr>
              <w:t>45</w:t>
            </w:r>
            <w:r w:rsidRPr="72AFB19A">
              <w:rPr>
                <w:color w:val="2B579A"/>
              </w:rPr>
              <w:fldChar w:fldCharType="end"/>
            </w:r>
          </w:p>
        </w:tc>
      </w:tr>
      <w:tr w:rsidR="009A0ABF" w:rsidRPr="00435006" w14:paraId="41E99A12" w14:textId="77777777" w:rsidTr="00CC22CE">
        <w:trPr>
          <w:trHeight w:val="320"/>
        </w:trPr>
        <w:tc>
          <w:tcPr>
            <w:tcW w:w="1560" w:type="dxa"/>
            <w:noWrap/>
            <w:hideMark/>
          </w:tcPr>
          <w:p w14:paraId="51806F7D" w14:textId="77777777" w:rsidR="009A0ABF" w:rsidRPr="00435006" w:rsidRDefault="009A0ABF" w:rsidP="00CC22CE">
            <w:pPr>
              <w:spacing w:line="480" w:lineRule="auto"/>
              <w:rPr>
                <w:lang w:eastAsia="ko-KR"/>
              </w:rPr>
            </w:pPr>
            <w:r w:rsidRPr="00435006">
              <w:rPr>
                <w:lang w:eastAsia="ko-KR"/>
              </w:rPr>
              <w:t>cg26277237</w:t>
            </w:r>
          </w:p>
        </w:tc>
        <w:tc>
          <w:tcPr>
            <w:tcW w:w="709" w:type="dxa"/>
            <w:noWrap/>
            <w:hideMark/>
          </w:tcPr>
          <w:p w14:paraId="47420073" w14:textId="77777777" w:rsidR="009A0ABF" w:rsidRPr="00435006" w:rsidRDefault="009A0ABF" w:rsidP="00CC22CE">
            <w:pPr>
              <w:spacing w:line="480" w:lineRule="auto"/>
              <w:rPr>
                <w:lang w:eastAsia="ko-KR"/>
              </w:rPr>
            </w:pPr>
            <w:r w:rsidRPr="00435006">
              <w:rPr>
                <w:lang w:eastAsia="ko-KR"/>
              </w:rPr>
              <w:t>9</w:t>
            </w:r>
          </w:p>
        </w:tc>
        <w:tc>
          <w:tcPr>
            <w:tcW w:w="1276" w:type="dxa"/>
            <w:noWrap/>
            <w:hideMark/>
          </w:tcPr>
          <w:p w14:paraId="4A182726" w14:textId="77777777" w:rsidR="009A0ABF" w:rsidRPr="00435006" w:rsidRDefault="009A0ABF" w:rsidP="00CC22CE">
            <w:pPr>
              <w:spacing w:line="480" w:lineRule="auto"/>
              <w:rPr>
                <w:lang w:eastAsia="ko-KR"/>
              </w:rPr>
            </w:pPr>
            <w:r w:rsidRPr="00435006">
              <w:rPr>
                <w:lang w:eastAsia="ko-KR"/>
              </w:rPr>
              <w:t>631910</w:t>
            </w:r>
          </w:p>
        </w:tc>
        <w:tc>
          <w:tcPr>
            <w:tcW w:w="1276" w:type="dxa"/>
            <w:noWrap/>
            <w:hideMark/>
          </w:tcPr>
          <w:p w14:paraId="1BA2C1D0" w14:textId="77777777" w:rsidR="009A0ABF" w:rsidRPr="005E4FE7" w:rsidRDefault="009A0ABF" w:rsidP="00CC22CE">
            <w:pPr>
              <w:spacing w:line="480" w:lineRule="auto"/>
              <w:rPr>
                <w:i/>
                <w:lang w:eastAsia="ko-KR"/>
              </w:rPr>
            </w:pPr>
            <w:r w:rsidRPr="005E4FE7">
              <w:rPr>
                <w:i/>
                <w:lang w:eastAsia="ko-KR"/>
              </w:rPr>
              <w:t>KANK1</w:t>
            </w:r>
          </w:p>
        </w:tc>
        <w:tc>
          <w:tcPr>
            <w:tcW w:w="850" w:type="dxa"/>
            <w:noWrap/>
            <w:hideMark/>
          </w:tcPr>
          <w:p w14:paraId="4DF1F658" w14:textId="77777777" w:rsidR="009A0ABF" w:rsidRPr="00435006" w:rsidRDefault="009A0ABF" w:rsidP="00CC22CE">
            <w:pPr>
              <w:spacing w:line="480" w:lineRule="auto"/>
              <w:rPr>
                <w:lang w:eastAsia="ko-KR"/>
              </w:rPr>
            </w:pPr>
            <w:r w:rsidRPr="00265DC6">
              <w:rPr>
                <w:lang w:eastAsia="ko-KR"/>
              </w:rPr>
              <w:t>0.02</w:t>
            </w:r>
            <w:r>
              <w:rPr>
                <w:lang w:eastAsia="ko-KR"/>
              </w:rPr>
              <w:t>4</w:t>
            </w:r>
          </w:p>
        </w:tc>
        <w:tc>
          <w:tcPr>
            <w:tcW w:w="992" w:type="dxa"/>
            <w:noWrap/>
            <w:hideMark/>
          </w:tcPr>
          <w:p w14:paraId="56846722" w14:textId="77777777" w:rsidR="009A0ABF" w:rsidRPr="00435006" w:rsidRDefault="009A0ABF" w:rsidP="00CC22CE">
            <w:pPr>
              <w:spacing w:line="480" w:lineRule="auto"/>
              <w:rPr>
                <w:lang w:eastAsia="ko-KR"/>
              </w:rPr>
            </w:pPr>
            <w:r w:rsidRPr="00265DC6">
              <w:rPr>
                <w:lang w:eastAsia="ko-KR"/>
              </w:rPr>
              <w:t>0.0033</w:t>
            </w:r>
          </w:p>
        </w:tc>
        <w:tc>
          <w:tcPr>
            <w:tcW w:w="1276" w:type="dxa"/>
            <w:noWrap/>
            <w:hideMark/>
          </w:tcPr>
          <w:p w14:paraId="30756309" w14:textId="77777777" w:rsidR="009A0ABF" w:rsidRPr="00435006" w:rsidRDefault="009A0ABF" w:rsidP="00CC22CE">
            <w:pPr>
              <w:spacing w:line="480" w:lineRule="auto"/>
              <w:rPr>
                <w:lang w:eastAsia="ko-KR"/>
              </w:rPr>
            </w:pPr>
            <w:r w:rsidRPr="00435006">
              <w:rPr>
                <w:lang w:eastAsia="ko-KR"/>
              </w:rPr>
              <w:t>9.</w:t>
            </w:r>
            <w:r>
              <w:rPr>
                <w:lang w:eastAsia="ko-KR"/>
              </w:rPr>
              <w:t>3x10</w:t>
            </w:r>
            <w:r w:rsidRPr="00435006">
              <w:rPr>
                <w:vertAlign w:val="superscript"/>
                <w:lang w:eastAsia="ko-KR"/>
              </w:rPr>
              <w:t>-13</w:t>
            </w:r>
          </w:p>
        </w:tc>
        <w:tc>
          <w:tcPr>
            <w:tcW w:w="851" w:type="dxa"/>
          </w:tcPr>
          <w:p w14:paraId="22652863" w14:textId="77777777" w:rsidR="009A0ABF" w:rsidRDefault="009A0ABF" w:rsidP="00CC22CE">
            <w:pPr>
              <w:spacing w:line="480" w:lineRule="auto"/>
              <w:rPr>
                <w:lang w:eastAsia="ko-KR"/>
              </w:rPr>
            </w:pPr>
            <w:r>
              <w:rPr>
                <w:lang w:eastAsia="ko-KR"/>
              </w:rPr>
              <w:t>0.027</w:t>
            </w:r>
          </w:p>
        </w:tc>
        <w:tc>
          <w:tcPr>
            <w:tcW w:w="992" w:type="dxa"/>
          </w:tcPr>
          <w:p w14:paraId="1DCB28D2" w14:textId="77777777" w:rsidR="009A0ABF" w:rsidRDefault="009A0ABF" w:rsidP="00CC22CE">
            <w:pPr>
              <w:spacing w:line="480" w:lineRule="auto"/>
              <w:rPr>
                <w:lang w:eastAsia="ko-KR"/>
              </w:rPr>
            </w:pPr>
            <w:r>
              <w:rPr>
                <w:lang w:eastAsia="ko-KR"/>
              </w:rPr>
              <w:t>0.0044</w:t>
            </w:r>
          </w:p>
        </w:tc>
        <w:tc>
          <w:tcPr>
            <w:tcW w:w="1134" w:type="dxa"/>
          </w:tcPr>
          <w:p w14:paraId="15E9C560" w14:textId="77777777" w:rsidR="009A0ABF" w:rsidRDefault="009A0ABF" w:rsidP="00CC22CE">
            <w:pPr>
              <w:spacing w:line="480" w:lineRule="auto"/>
              <w:rPr>
                <w:lang w:eastAsia="ko-KR"/>
              </w:rPr>
            </w:pPr>
            <w:r>
              <w:rPr>
                <w:lang w:eastAsia="ko-KR"/>
              </w:rPr>
              <w:t>6.1x10</w:t>
            </w:r>
            <w:r w:rsidRPr="006C4E90">
              <w:rPr>
                <w:vertAlign w:val="superscript"/>
                <w:lang w:eastAsia="ko-KR"/>
              </w:rPr>
              <w:t>-10</w:t>
            </w:r>
          </w:p>
        </w:tc>
        <w:tc>
          <w:tcPr>
            <w:tcW w:w="4678" w:type="dxa"/>
            <w:noWrap/>
            <w:hideMark/>
          </w:tcPr>
          <w:p w14:paraId="4445B97C" w14:textId="77777777" w:rsidR="009A0ABF" w:rsidRPr="00435006" w:rsidRDefault="009A0ABF" w:rsidP="00CC22CE">
            <w:pPr>
              <w:spacing w:line="480" w:lineRule="auto"/>
              <w:rPr>
                <w:lang w:eastAsia="ko-KR"/>
              </w:rPr>
            </w:pPr>
            <w:r>
              <w:rPr>
                <w:lang w:eastAsia="ko-KR"/>
              </w:rPr>
              <w:t>C-reactive protein levels</w:t>
            </w:r>
            <w:r>
              <w:fldChar w:fldCharType="begin"/>
            </w:r>
            <w:r>
              <w:rPr>
                <w:lang w:eastAsia="ko-KR"/>
              </w:rPr>
              <w:instrText xml:space="preserve"> ADDIN ZOTERO_ITEM CSL_CITATION {"citationID":"a69scm490l","properties":{"formattedCitation":"\\super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fldChar w:fldCharType="separate"/>
            </w:r>
            <w:r w:rsidRPr="00A10A06">
              <w:rPr>
                <w:vertAlign w:val="superscript"/>
              </w:rPr>
              <w:t>62</w:t>
            </w:r>
            <w:r>
              <w:fldChar w:fldCharType="end"/>
            </w:r>
            <w:r w:rsidRPr="59D28559">
              <w:rPr>
                <w:lang w:eastAsia="ko-KR"/>
              </w:rPr>
              <w:t xml:space="preserve"> (basic model),</w:t>
            </w:r>
            <w:r>
              <w:rPr>
                <w:lang w:eastAsia="ko-KR"/>
              </w:rPr>
              <w:t xml:space="preserve"> </w:t>
            </w:r>
            <w:r w:rsidRPr="00435006">
              <w:rPr>
                <w:lang w:eastAsia="ko-KR"/>
              </w:rPr>
              <w:t xml:space="preserve">Chronic </w:t>
            </w:r>
            <w:r>
              <w:rPr>
                <w:lang w:eastAsia="ko-KR"/>
              </w:rPr>
              <w:t>k</w:t>
            </w:r>
            <w:r w:rsidRPr="00435006">
              <w:rPr>
                <w:lang w:eastAsia="ko-KR"/>
              </w:rPr>
              <w:t xml:space="preserve">idney </w:t>
            </w:r>
            <w:r>
              <w:rPr>
                <w:lang w:eastAsia="ko-KR"/>
              </w:rPr>
              <w:t>d</w:t>
            </w:r>
            <w:r w:rsidRPr="00435006">
              <w:rPr>
                <w:lang w:eastAsia="ko-KR"/>
              </w:rPr>
              <w:t>isease</w:t>
            </w:r>
            <w:r>
              <w:rPr>
                <w:lang w:eastAsia="ko-KR"/>
              </w:rPr>
              <w:t xml:space="preserve"> </w:t>
            </w:r>
            <w:r w:rsidRPr="00435006">
              <w:rPr>
                <w:lang w:eastAsia="ko-KR"/>
              </w:rPr>
              <w:t>(basic model)</w:t>
            </w:r>
            <w:r>
              <w:rPr>
                <w:color w:val="2B579A"/>
                <w:shd w:val="clear" w:color="auto" w:fill="E6E6E6"/>
              </w:rPr>
              <w:fldChar w:fldCharType="begin"/>
            </w:r>
            <w:r>
              <w:rPr>
                <w:lang w:eastAsia="ko-KR"/>
              </w:rPr>
              <w:instrText>ADDIN ZOTERO_TEMP</w:instrText>
            </w:r>
            <w:r>
              <w:rPr>
                <w:color w:val="2B579A"/>
                <w:shd w:val="clear" w:color="auto" w:fill="E6E6E6"/>
              </w:rPr>
              <w:fldChar w:fldCharType="separate"/>
            </w:r>
            <w:r w:rsidRPr="00CD7C68">
              <w:rPr>
                <w:vertAlign w:val="superscript"/>
                <w:lang w:eastAsia="ko-KR"/>
              </w:rPr>
              <w:t>13</w:t>
            </w:r>
            <w:r>
              <w:rPr>
                <w:color w:val="2B579A"/>
                <w:shd w:val="clear" w:color="auto" w:fill="E6E6E6"/>
              </w:rPr>
              <w:fldChar w:fldCharType="end"/>
            </w:r>
            <w:r>
              <w:rPr>
                <w:color w:val="2B579A"/>
                <w:shd w:val="clear" w:color="auto" w:fill="E6E6E6"/>
                <w:lang w:eastAsia="ko-KR"/>
              </w:rPr>
              <w:t>,</w:t>
            </w:r>
            <w:r>
              <w:rPr>
                <w:lang w:eastAsia="ko-KR"/>
              </w:rPr>
              <w:t xml:space="preserve"> </w:t>
            </w:r>
            <w:r w:rsidRPr="00435006">
              <w:rPr>
                <w:lang w:eastAsia="ko-KR"/>
              </w:rPr>
              <w:t xml:space="preserve">Type 2 </w:t>
            </w:r>
            <w:r>
              <w:rPr>
                <w:lang w:eastAsia="ko-KR"/>
              </w:rPr>
              <w:t>d</w:t>
            </w:r>
            <w:r w:rsidRPr="00435006">
              <w:rPr>
                <w:lang w:eastAsia="ko-KR"/>
              </w:rPr>
              <w:t>iabetes</w:t>
            </w:r>
            <w:r>
              <w:rPr>
                <w:lang w:eastAsia="ko-KR"/>
              </w:rPr>
              <w:t xml:space="preserve"> </w:t>
            </w:r>
            <w:r w:rsidRPr="00435006">
              <w:rPr>
                <w:lang w:eastAsia="ko-KR"/>
              </w:rPr>
              <w:t>(</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ZOTERO_ITEM CSL_CITATION {"citationID":"tu3N3GiW","properties":{"formattedCitation":"\\super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w:t>
            </w:r>
            <w:r>
              <w:rPr>
                <w:lang w:eastAsia="ko-KR"/>
              </w:rPr>
              <w:t>E</w:t>
            </w:r>
            <w:r w:rsidRPr="00435006">
              <w:rPr>
                <w:lang w:eastAsia="ko-KR"/>
              </w:rPr>
              <w:t>stimated glomerular filtration rate</w:t>
            </w:r>
            <w:r>
              <w:rPr>
                <w:color w:val="2B579A"/>
                <w:shd w:val="clear" w:color="auto" w:fill="E6E6E6"/>
              </w:rPr>
              <w:fldChar w:fldCharType="begin"/>
            </w:r>
            <w:r>
              <w:rPr>
                <w:lang w:eastAsia="ko-KR"/>
              </w:rPr>
              <w:instrText xml:space="preserve"> ADDIN ZOTERO_ITEM CSL_CITATION {"citationID":"ozvibjup","properties":{"formattedCitation":"\\super 69\\nosupersub{}","plainCitation":"69","noteIndex":0},"citationItems":[{"id":1384,"uris":["http://zotero.org/users/8479915/items/5GIAJHSP"],"itemData":{"id":1384,"type":"article-journal","abstract":"BACKGROUND: DNA methylation (DNAm) is associated with gene regulation and estimated glomerular filtration rate (eGFR), a measure of kidney function. Decreased eGFR is more common among US Hispanics and African Americans. The causes for this are poorly understood. We aimed to identify trans-ethnic and ethnic-specific differentially methylated positions (DMPs) associated with eGFR using an agnostic, genome-wide approach.\nMETHODS: The study included up to 5428 participants from multi-ethnic studies for discovery and 8109 participants for replication. We tested the associations between whole blood DNAm and eGFR using beta values from Illumina 450K or EPIC arrays. Ethnicity-stratified analyses were performed using linear mixed models adjusting for age, sex, smoking, and study-specific and technical variables. Summary results were meta-analyzed within and across ethnicities. Findings were assessed using integrative epigenomics methods and pathway analyses.\nRESULTS: We identified 93 DMPs associated with eGFR at an FDR of 0.05 and replicated 13 and 1 DMPs across independent samples in trans-ethnic and African American meta-analyses, respectively. The study also validated 6 previously published DMPs. Identified DMPs showed significant overlap enrichment with DNase I hypersensitive sites in kidney tissue, sites associated with the expression of proximal genes, and transcription factor motifs and pathways associated with kidney tissue and kidney development.\nCONCLUSIONS: We uncovered trans-ethnic and ethnic-specific DMPs associated with eGFR, including DMPs enriched in regulatory elements in kidney tissue and pathways related to kidney development. These findings shed light on epigenetic mechanisms associated with kidney function, bridging the gap between population-specific eGFR-associated DNAm and tissue-specific regulatory context.","container-title":"Genome Medicine","DOI":"10.1186/s13073-021-00877-z","ISSN":"1756-994X","issue":"1","journalAbbreviation":"Genome Med","language":"eng","note":"PMID: 33931109\nPMCID: PMC8088054","page":"74","source":"PubMed","title":"Epigenome-wide association study of kidney function identifies trans-ethnic and ethnic-specific loci","volume":"13","author":[{"family":"Breeze","given":"Charles E."},{"family":"Batorsky","given":"Anna"},{"family":"Lee","given":"Mi Kyeong"},{"family":"Szeto","given":"Mindy D."},{"family":"Xu","given":"Xiaoguang"},{"family":"McCartney","given":"Daniel L."},{"family":"Jiang","given":"Rong"},{"family":"Patki","given":"Amit"},{"family":"Kramer","given":"Holly J."},{"family":"Eales","given":"James M."},{"family":"Raffield","given":"Laura"},{"family":"Lange","given":"Leslie"},{"family":"Lange","given":"Ethan"},{"family":"Durda","given":"Peter"},{"family":"Liu","given":"Yongmei"},{"family":"Tracy","given":"Russ P."},{"family":"Van Den Berg","given":"David"},{"literal":"NHLBI Trans-Omics for Precision Medicine (TOPMed) Consortium, TOPMed MESA Multi-Omics Working Group"},{"family":"Evans","given":"Kathryn L."},{"family":"Kraus","given":"William E."},{"family":"Shah","given":"Svati"},{"family":"Tiwari","given":"Hermant K."},{"family":"Hou","given":"Lifang"},{"family":"Whitsel","given":"Eric A."},{"family":"Jiang","given":"Xiao"},{"family":"Charchar","given":"Fadi J."},{"family":"Baccarelli","given":"Andrea A."},{"family":"Rich","given":"Stephen S."},{"family":"Morris","given":"Andrew P."},{"family":"Irvin","given":"Marguerite R."},{"family":"Arnett","given":"Donna K."},{"family":"Hauser","given":"Elizabeth R."},{"family":"Rotter","given":"Jerome I."},{"family":"Correa","given":"Adolfo"},{"family":"Hayward","given":"Caroline"},{"family":"Horvath","given":"Steve"},{"family":"Marioni","given":"Riccardo E."},{"family":"Tomaszewski","given":"Maciej"},{"family":"Beck","given":"Stephan"},{"family":"Berndt","given":"Sonja I."},{"family":"London","given":"Stephanie J."},{"family":"Mychaleckyj","given":"Josyf C."},{"family":"Franceschini","given":"Nora"}],"issued":{"date-parts":[["2021",4,30]]}}}],"schema":"https://github.com/citation-style-language/schema/raw/master/csl-citation.json"}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69</w:t>
            </w:r>
            <w:r>
              <w:rPr>
                <w:color w:val="2B579A"/>
                <w:shd w:val="clear" w:color="auto" w:fill="E6E6E6"/>
              </w:rPr>
              <w:fldChar w:fldCharType="end"/>
            </w:r>
            <w:r>
              <w:rPr>
                <w:color w:val="2B579A"/>
                <w:shd w:val="clear" w:color="auto" w:fill="E6E6E6"/>
              </w:rPr>
              <w:fldChar w:fldCharType="begin"/>
            </w:r>
            <w:r>
              <w:instrText xml:space="preserve"> PRINTDATE  \* MERGEFORMAT </w:instrText>
            </w:r>
            <w:r>
              <w:rPr>
                <w:color w:val="2B579A"/>
                <w:shd w:val="clear" w:color="auto" w:fill="E6E6E6"/>
              </w:rPr>
              <w:fldChar w:fldCharType="end"/>
            </w:r>
          </w:p>
        </w:tc>
      </w:tr>
      <w:tr w:rsidR="009A0ABF" w:rsidRPr="00435006" w14:paraId="4B8CCC78" w14:textId="77777777" w:rsidTr="00CC22CE">
        <w:trPr>
          <w:trHeight w:val="320"/>
        </w:trPr>
        <w:tc>
          <w:tcPr>
            <w:tcW w:w="1560" w:type="dxa"/>
            <w:noWrap/>
          </w:tcPr>
          <w:p w14:paraId="39C87E14" w14:textId="77777777" w:rsidR="009A0ABF" w:rsidRPr="00435006" w:rsidRDefault="009A0ABF" w:rsidP="00CC22CE">
            <w:pPr>
              <w:spacing w:line="480" w:lineRule="auto"/>
              <w:rPr>
                <w:lang w:eastAsia="ko-KR"/>
              </w:rPr>
            </w:pPr>
            <w:r w:rsidRPr="00435006">
              <w:rPr>
                <w:lang w:eastAsia="ko-KR"/>
              </w:rPr>
              <w:t>cg04173586</w:t>
            </w:r>
          </w:p>
        </w:tc>
        <w:tc>
          <w:tcPr>
            <w:tcW w:w="709" w:type="dxa"/>
            <w:noWrap/>
          </w:tcPr>
          <w:p w14:paraId="5B99A16D" w14:textId="77777777" w:rsidR="009A0ABF" w:rsidRPr="00435006" w:rsidRDefault="009A0ABF" w:rsidP="00CC22CE">
            <w:pPr>
              <w:spacing w:line="480" w:lineRule="auto"/>
              <w:rPr>
                <w:lang w:eastAsia="ko-KR"/>
              </w:rPr>
            </w:pPr>
            <w:r w:rsidRPr="00435006">
              <w:rPr>
                <w:lang w:eastAsia="ko-KR"/>
              </w:rPr>
              <w:t>19</w:t>
            </w:r>
          </w:p>
        </w:tc>
        <w:tc>
          <w:tcPr>
            <w:tcW w:w="1276" w:type="dxa"/>
            <w:noWrap/>
          </w:tcPr>
          <w:p w14:paraId="2FD2BC79" w14:textId="77777777" w:rsidR="009A0ABF" w:rsidRPr="00435006" w:rsidRDefault="009A0ABF" w:rsidP="00CC22CE">
            <w:pPr>
              <w:spacing w:line="480" w:lineRule="auto"/>
              <w:rPr>
                <w:lang w:eastAsia="ko-KR"/>
              </w:rPr>
            </w:pPr>
            <w:r w:rsidRPr="00435006">
              <w:rPr>
                <w:lang w:eastAsia="ko-KR"/>
              </w:rPr>
              <w:t>2167496</w:t>
            </w:r>
          </w:p>
        </w:tc>
        <w:tc>
          <w:tcPr>
            <w:tcW w:w="1276" w:type="dxa"/>
            <w:noWrap/>
          </w:tcPr>
          <w:p w14:paraId="42953AAF" w14:textId="77777777" w:rsidR="009A0ABF" w:rsidRPr="005E4FE7" w:rsidRDefault="009A0ABF" w:rsidP="00CC22CE">
            <w:pPr>
              <w:spacing w:line="480" w:lineRule="auto"/>
              <w:rPr>
                <w:i/>
                <w:lang w:eastAsia="ko-KR"/>
              </w:rPr>
            </w:pPr>
            <w:r w:rsidRPr="00435006">
              <w:rPr>
                <w:lang w:eastAsia="ko-KR"/>
              </w:rPr>
              <w:t>DOT1L</w:t>
            </w:r>
          </w:p>
        </w:tc>
        <w:tc>
          <w:tcPr>
            <w:tcW w:w="850" w:type="dxa"/>
            <w:noWrap/>
          </w:tcPr>
          <w:p w14:paraId="71F92569" w14:textId="77777777" w:rsidR="009A0ABF" w:rsidRPr="00265DC6" w:rsidRDefault="009A0ABF" w:rsidP="00CC22CE">
            <w:pPr>
              <w:spacing w:line="480" w:lineRule="auto"/>
              <w:rPr>
                <w:lang w:eastAsia="ko-KR"/>
              </w:rPr>
            </w:pPr>
            <w:r w:rsidRPr="00265DC6">
              <w:rPr>
                <w:lang w:eastAsia="ko-KR"/>
              </w:rPr>
              <w:t>0.02</w:t>
            </w:r>
            <w:r>
              <w:rPr>
                <w:lang w:eastAsia="ko-KR"/>
              </w:rPr>
              <w:t>3</w:t>
            </w:r>
          </w:p>
        </w:tc>
        <w:tc>
          <w:tcPr>
            <w:tcW w:w="992" w:type="dxa"/>
            <w:noWrap/>
          </w:tcPr>
          <w:p w14:paraId="7E1D252D" w14:textId="77777777" w:rsidR="009A0ABF" w:rsidRPr="00265DC6" w:rsidRDefault="009A0ABF" w:rsidP="00CC22CE">
            <w:pPr>
              <w:spacing w:line="480" w:lineRule="auto"/>
              <w:rPr>
                <w:lang w:eastAsia="ko-KR"/>
              </w:rPr>
            </w:pPr>
            <w:r w:rsidRPr="00265DC6">
              <w:rPr>
                <w:lang w:eastAsia="ko-KR"/>
              </w:rPr>
              <w:t>0.0036</w:t>
            </w:r>
          </w:p>
        </w:tc>
        <w:tc>
          <w:tcPr>
            <w:tcW w:w="1276" w:type="dxa"/>
            <w:noWrap/>
          </w:tcPr>
          <w:p w14:paraId="3F282F1A" w14:textId="77777777" w:rsidR="009A0ABF" w:rsidRPr="00435006" w:rsidRDefault="009A0ABF" w:rsidP="00CC22CE">
            <w:pPr>
              <w:spacing w:line="480" w:lineRule="auto"/>
              <w:rPr>
                <w:lang w:eastAsia="ko-KR"/>
              </w:rPr>
            </w:pPr>
            <w:r w:rsidRPr="00435006">
              <w:rPr>
                <w:lang w:eastAsia="ko-KR"/>
              </w:rPr>
              <w:t>2.35</w:t>
            </w:r>
            <w:r>
              <w:rPr>
                <w:lang w:eastAsia="ko-KR"/>
              </w:rPr>
              <w:t>x10</w:t>
            </w:r>
            <w:r w:rsidRPr="00435006">
              <w:rPr>
                <w:vertAlign w:val="superscript"/>
                <w:lang w:eastAsia="ko-KR"/>
              </w:rPr>
              <w:t>-10</w:t>
            </w:r>
          </w:p>
        </w:tc>
        <w:tc>
          <w:tcPr>
            <w:tcW w:w="851" w:type="dxa"/>
          </w:tcPr>
          <w:p w14:paraId="03A3C6C0" w14:textId="77777777" w:rsidR="009A0ABF" w:rsidRDefault="009A0ABF" w:rsidP="00CC22CE">
            <w:pPr>
              <w:spacing w:line="480" w:lineRule="auto"/>
              <w:rPr>
                <w:lang w:eastAsia="ko-KR"/>
              </w:rPr>
            </w:pPr>
            <w:r>
              <w:rPr>
                <w:lang w:eastAsia="ko-KR"/>
              </w:rPr>
              <w:t>0.034</w:t>
            </w:r>
          </w:p>
        </w:tc>
        <w:tc>
          <w:tcPr>
            <w:tcW w:w="992" w:type="dxa"/>
          </w:tcPr>
          <w:p w14:paraId="3D0C601C" w14:textId="77777777" w:rsidR="009A0ABF" w:rsidRDefault="009A0ABF" w:rsidP="00CC22CE">
            <w:pPr>
              <w:spacing w:line="480" w:lineRule="auto"/>
              <w:rPr>
                <w:lang w:eastAsia="ko-KR"/>
              </w:rPr>
            </w:pPr>
            <w:r>
              <w:rPr>
                <w:lang w:eastAsia="ko-KR"/>
              </w:rPr>
              <w:t>0.0048</w:t>
            </w:r>
          </w:p>
        </w:tc>
        <w:tc>
          <w:tcPr>
            <w:tcW w:w="1134" w:type="dxa"/>
          </w:tcPr>
          <w:p w14:paraId="1ECFDA08" w14:textId="77777777" w:rsidR="009A0ABF" w:rsidRDefault="009A0ABF" w:rsidP="00CC22CE">
            <w:pPr>
              <w:spacing w:line="480" w:lineRule="auto"/>
              <w:rPr>
                <w:lang w:eastAsia="ko-KR"/>
              </w:rPr>
            </w:pPr>
            <w:r>
              <w:rPr>
                <w:lang w:eastAsia="ko-KR"/>
              </w:rPr>
              <w:t>7x10</w:t>
            </w:r>
            <w:r w:rsidRPr="006C4E90">
              <w:rPr>
                <w:vertAlign w:val="superscript"/>
                <w:lang w:eastAsia="ko-KR"/>
              </w:rPr>
              <w:t>-13</w:t>
            </w:r>
          </w:p>
        </w:tc>
        <w:tc>
          <w:tcPr>
            <w:tcW w:w="4678" w:type="dxa"/>
            <w:noWrap/>
          </w:tcPr>
          <w:p w14:paraId="26EC1FCD" w14:textId="77777777" w:rsidR="009A0ABF" w:rsidRDefault="009A0ABF" w:rsidP="00CC22CE">
            <w:pPr>
              <w:spacing w:line="480" w:lineRule="auto"/>
              <w:rPr>
                <w:lang w:eastAsia="ko-KR"/>
              </w:rPr>
            </w:pPr>
            <w:r w:rsidRPr="00435006">
              <w:rPr>
                <w:lang w:eastAsia="ko-KR"/>
              </w:rPr>
              <w:t>Alcohol consumption</w:t>
            </w:r>
            <w:r>
              <w:rPr>
                <w:color w:val="2B579A"/>
                <w:shd w:val="clear" w:color="auto" w:fill="E6E6E6"/>
              </w:rPr>
              <w:fldChar w:fldCharType="begin"/>
            </w:r>
            <w:r>
              <w:rPr>
                <w:lang w:eastAsia="ko-KR"/>
              </w:rPr>
              <w:instrText xml:space="preserve"> ADDIN ZOTERO_ITEM CSL_CITATION {"citationID":"d1OEDuRP","properties":{"formattedCitation":"\\super 70\\nosupersub{}","plainCitation":"70","noteIndex":0},"citationItems":[{"id":1270,"uris":["http://zotero.org/users/8479915/items/P7ELEXTA"],"itemData":{"id":1270,"type":"article-journal","abstract":"We performed a systematic analysis of blood DNA methylation profiles from 4483 participants from seven independent cohorts identifying differentially methylated positions (DMPs) associated with psychosis, schizophrenia, and treatment-resistant schizophrenia. Psychosis cases were characterized by significant differences in measures of blood cell proportions and elevated smoking exposure derived from the DNA methylation data, with the largest differences seen in treatment-resistant schizophrenia patients. We implemented a stringent pipeline to meta-analyze epigenome-wide association study (EWAS) results across datasets, identifying 95 DMPs associated with psychosis and 1048 DMPs associated with schizophrenia, with evidence of colocalization to regions nominated by genetic association studies of disease. Many schizophrenia-associated DNA methylation differences were only present in patients with treatment-resistant schizophrenia, potentially reflecting exposure to the atypical antipsychotic clozapine. Our results highlight how DNA methylation data can be leveraged to identify physiological (e.g., differential cell counts) and environmental (e.g., smoking) factors associated with psychosis and molecular biomarkers of treatment-resistant schizophrenia.","container-title":"eLife","DOI":"10.7554/eLife.58430","ISSN":"2050-084X","journalAbbreviation":"Elife","language":"eng","note":"PMID: 33646943\nPMCID: PMC8009672","page":"e58430","source":"PubMed","title":"DNA methylation meta-analysis reveals cellular alterations in psychosis and markers of treatment-resistant schizophrenia","volume":"10","author":[{"family":"Hannon","given":"Eilis"},{"family":"Dempster","given":"Emma L."},{"family":"Mansell","given":"Georgina"},{"family":"Burrage","given":"Joe"},{"family":"Bass","given":"Nick"},{"family":"Bohlken","given":"Marc M."},{"family":"Corvin","given":"Aiden"},{"family":"Curtis","given":"Charles J."},{"family":"Dempster","given":"David"},{"family":"Di Forti","given":"Marta"},{"family":"Dinan","given":"Timothy G."},{"family":"Donohoe","given":"Gary"},{"family":"Gaughran","given":"Fiona"},{"family":"Gill","given":"Michael"},{"family":"Gillespie","given":"Amy"},{"family":"Gunasinghe","given":"Cerisse"},{"family":"Hulshoff","given":"Hilleke E."},{"family":"Hultman","given":"Christina M."},{"family":"Johansson","given":"Viktoria"},{"family":"Kahn","given":"René S."},{"family":"Kaprio","given":"Jaakko"},{"family":"Kenis","given":"Gunter"},{"family":"Kowalec","given":"Kaarina"},{"family":"MacCabe","given":"James"},{"family":"McDonald","given":"Colm"},{"family":"McQuillin","given":"Andrew"},{"family":"Morris","given":"Derek W."},{"family":"Murphy","given":"Kieran C."},{"family":"Mustard","given":"Colette J."},{"family":"Nenadic","given":"Igor"},{"family":"O'Donovan","given":"Michael C."},{"family":"Quattrone","given":"Diego"},{"family":"Richards","given":"Alexander L."},{"family":"Rutten","given":"Bart Pf"},{"family":"St Clair","given":"David"},{"family":"Therman","given":"Sebastian"},{"family":"Toulopoulou","given":"Timothea"},{"family":"Van Os","given":"Jim"},{"family":"Waddington","given":"John L."},{"literal":"Wellcome Trust Case Control Consortium (WTCCC)"},{"literal":"CRESTAR consortium"},{"family":"Sullivan","given":"Patrick"},{"family":"Vassos","given":"Evangelos"},{"family":"Breen","given":"Gerome"},{"family":"Collier","given":"David Andrew"},{"family":"Murray","given":"Robin M."},{"family":"Schalkwyk","given":"Leonard S."},{"family":"Mill","given":"Jonathan"}],"issued":{"date-parts":[["2021",2,26]]}}}],"schema":"https://github.com/citation-style-language/schema/raw/master/csl-citation.json"}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70</w:t>
            </w:r>
            <w:r>
              <w:rPr>
                <w:color w:val="2B579A"/>
                <w:shd w:val="clear" w:color="auto" w:fill="E6E6E6"/>
              </w:rPr>
              <w:fldChar w:fldCharType="end"/>
            </w:r>
            <w:r>
              <w:rPr>
                <w:lang w:eastAsia="ko-KR"/>
              </w:rPr>
              <w:t xml:space="preserve">, </w:t>
            </w:r>
            <w:r w:rsidRPr="00435006">
              <w:rPr>
                <w:lang w:eastAsia="ko-KR"/>
              </w:rPr>
              <w:t xml:space="preserve">COVID-19 </w:t>
            </w:r>
            <w:r>
              <w:rPr>
                <w:lang w:eastAsia="ko-KR"/>
              </w:rPr>
              <w:t>s</w:t>
            </w:r>
            <w:r w:rsidRPr="00435006">
              <w:rPr>
                <w:lang w:eastAsia="ko-KR"/>
              </w:rPr>
              <w:t>everity (</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ZOTERO_ITEM CSL_CITATION {"citationID":"tfRz7Mpc","properties":{"formattedCitation":"\\super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t>,</w:t>
            </w:r>
            <w:r w:rsidRPr="00435006">
              <w:t xml:space="preserve"> </w:t>
            </w:r>
            <w:r w:rsidRPr="00211579">
              <w:rPr>
                <w:lang w:val="sv-SE"/>
              </w:rPr>
              <w:t>Sex</w:t>
            </w:r>
            <w:r w:rsidRPr="40470B69">
              <w:rPr>
                <w:color w:val="2B579A"/>
              </w:rPr>
              <w:fldChar w:fldCharType="begin"/>
            </w:r>
            <w:r>
              <w:rPr>
                <w:lang w:val="sv-SE"/>
              </w:rPr>
              <w:instrText xml:space="preserve"> ADDIN ZOTERO_ITEM CSL_CITATION {"citationID":"ydfSRxnL","properties":{"formattedCitation":"\\super 71\\nosupersub{}","plainCitation":"71","noteIndex":0},"citationItems":[{"id":1400,"uris":["http://zotero.org/users/8479915/items/H57BERDU"],"itemData":{"id":1400,"type":"article-journal","abstract":"BACKGROUND: Disease risk and incidence between males and females reveal differences, and sex is an important component of any investigation of the determinants of phenotypes or disease etiology. Further striking differences between men and women are known, for instance, at the metabolic level. The extent to which men and women vary at the level of the epigenome, however, is not well documented. DNA methylation is the best known epigenetic mechanism to date.\nRESULTS: In order to shed light on epigenetic differences, we compared autosomal DNA methylation levels between men and women in blood in a large prospective European cohort of 1799 subjects, and replicated our findings in three independent European cohorts. We identified and validated 1184 CpG sites to be differentially methylated between men and women and observed that these CpG sites were distributed across all autosomes. We showed that some of the differentially methylated loci also exhibit differential gene expression between men and women. Finally, we found that the differentially methylated loci are enriched among imprinted genes, and that their genomic location in the genome is concentrated in CpG island shores.\nCONCLUSION: Our epigenome-wide association study indicates that differences between men and women are so substantial that they should be considered in design and analyses of future studies.","container-title":"Epigenetics &amp; Chromatin","DOI":"10.1186/s13072-015-0035-3","ISSN":"1756-8935","journalAbbreviation":"Epigenetics Chromatin","language":"eng","note":"PMID: 26500701\nPMCID: PMC4615866","page":"43","source":"PubMed","title":"Characterization of whole-genome autosomal differences of DNA methylation between men and women","volume":"8","author":[{"family":"Singmann","given":"Paula"},{"family":"Shem-Tov","given":"Doron"},{"family":"Wahl","given":"Simone"},{"family":"Grallert","given":"Harald"},{"family":"Fiorito","given":"Giovanni"},{"family":"Shin","given":"So-Youn"},{"family":"Schramm","given":"Katharina"},{"family":"Wolf","given":"Petra"},{"family":"Kunze","given":"Sonja"},{"family":"Baran","given":"Yael"},{"family":"Guarrera","given":"Simonetta"},{"family":"Vineis","given":"Paolo"},{"family":"Krogh","given":"Vittorio"},{"family":"Panico","given":"Salvatore"},{"family":"Tumino","given":"Rosario"},{"family":"Kretschmer","given":"Anja"},{"family":"Gieger","given":"Christian"},{"family":"Peters","given":"Annette"},{"family":"Prokisch","given":"Holger"},{"family":"Relton","given":"Caroline L."},{"family":"Matullo","given":"Giuseppe"},{"family":"Illig","given":"Thomas"},{"family":"Waldenberger","given":"Melanie"},{"family":"Halperin","given":"Eran"}],"issued":{"date-parts":[["2015"]]}}}],"schema":"https://github.com/citation-style-language/schema/raw/master/csl-citation.json"} </w:instrText>
            </w:r>
            <w:r w:rsidRPr="40470B69">
              <w:rPr>
                <w:color w:val="2B579A"/>
              </w:rPr>
              <w:fldChar w:fldCharType="separate"/>
            </w:r>
            <w:r w:rsidRPr="00A10A06">
              <w:rPr>
                <w:rFonts w:ascii="Calibri" w:hAnsiTheme="minorHAnsi" w:cs="Calibri"/>
                <w:vertAlign w:val="superscript"/>
              </w:rPr>
              <w:t>71</w:t>
            </w:r>
            <w:r w:rsidRPr="40470B69">
              <w:rPr>
                <w:color w:val="2B579A"/>
              </w:rPr>
              <w:fldChar w:fldCharType="end"/>
            </w:r>
            <w:r>
              <w:t>,</w:t>
            </w:r>
            <w:r w:rsidRPr="006E33C5">
              <w:t xml:space="preserve"> </w:t>
            </w:r>
            <w:r w:rsidRPr="00211579">
              <w:t>Age</w:t>
            </w:r>
            <w:r w:rsidRPr="40470B69">
              <w:rPr>
                <w:color w:val="2B579A"/>
                <w:lang w:val="sv-SE"/>
              </w:rPr>
              <w:fldChar w:fldCharType="begin"/>
            </w:r>
            <w:r>
              <w:instrText xml:space="preserve"> ADDIN ZOTERO_ITEM CSL_CITATION {"citationID":"dlVDjne2","properties":{"formattedCitation":"\\super 72\\nosupersub{}","plainCitation":"72","noteIndex":0},"citationItems":[{"id":1406,"uris":["http://zotero.org/users/8479915/items/XTBFG4WM"],"itemData":{"id":1406,"type":"article-journal","abstract":"DNA methylation (DNAm) is known to play a pivotal role in childhood health and development, but a comprehensive characterization of genome-wide DNAm trajectories across this age period is currently lacking. We have therefore performed a series of epigenome-wide association studies in 5019 blood samples collected at multiple time-points from birth to late adolescence from 2348 participants of two large independent cohorts. DNAm profiles of autosomal CpG sites (CpGs) were generated using the Illumina Infinium HumanMethylation450 BeadChip. Change over time was widespread, observed at over one-half (53%) of CpGs. In most cases, DNAm was decreasing (36% of CpGs). Inter-individual variation in linear trajectories was similarly widespread (27% of CpGs). Evidence for non-linear change and inter-individual variation in non-linear trajectories was somewhat less common (11 and 8% of CpGs, respectively). Very little inter-individual variation in change was explained by sex differences (0.4% of CpGs) even though sex-specific DNAm was observed at 5% of CpGs. DNAm trajectories were distributed non-randomly across the genome. For example, CpGs with decreasing DNAm were enriched in gene bodies and enhancers and were annotated to genes enriched in immune-developmental functions. In contrast, CpGs with increasing DNAm were enriched in promoter regions and annotated to genes enriched in neurodevelopmental functions. These findings depict a methylome undergoing widespread and often non-linear change throughout childhood. They support a developmental role for DNA methylation that extends beyond birth into late adolescence and has implications for understanding life-long health and disease. DNAm trajectories can be visualized at http://epidelta.mrcieu.ac.uk.","container-title":"Human Molecular Genetics","DOI":"10.1093/hmg/ddaa280","ISSN":"1460-2083","issue":"1","journalAbbreviation":"Hum Mol Genet","language":"eng","note":"PMID: 33450751\nPMCID: PMC8033147","page":"119-134","source":"PubMed","title":"Epigenome-wide change and variation in DNA methylation in childhood: trajectories from birth to late adolescence","title-short":"Epigenome-wide change and variation in DNA methylation in childhood","volume":"30","author":[{"family":"Mulder","given":"Rosa H."},{"family":"Neumann","given":"Alexander"},{"family":"Cecil","given":"Charlotte A. M."},{"family":"Walton","given":"Esther"},{"family":"Houtepen","given":"Lotte C."},{"family":"Simpkin","given":"Andrew J."},{"family":"Rijlaarsdam","given":"Jolien"},{"family":"Heijmans","given":"Bastiaan T."},{"family":"Gaunt","given":"Tom R."},{"family":"Felix","given":"Janine F."},{"family":"Jaddoe","given":"Vincent W. V."},{"family":"Bakermans-Kranenburg","given":"Marian J."},{"family":"Tiemeier","given":"Henning"},{"family":"Relton","given":"Caroline L."},{"family":"IJzendoorn","given":"Marinus H.","non-dropping-particle":"van"},{"family":"Suderman","given":"Matthew"}],"issued":{"date-parts":[["2021",3,25]]}}}],"schema":"https://github.com/citation-style-language/schema/raw/master/csl-citation.json"} </w:instrText>
            </w:r>
            <w:r w:rsidRPr="40470B69">
              <w:rPr>
                <w:color w:val="2B579A"/>
                <w:lang w:val="sv-SE"/>
              </w:rPr>
              <w:fldChar w:fldCharType="separate"/>
            </w:r>
            <w:r w:rsidRPr="00A10A06">
              <w:rPr>
                <w:rFonts w:ascii="Calibri" w:hAnsiTheme="minorHAnsi" w:cs="Calibri"/>
                <w:vertAlign w:val="superscript"/>
              </w:rPr>
              <w:t>72</w:t>
            </w:r>
            <w:r w:rsidRPr="40470B69">
              <w:rPr>
                <w:color w:val="2B579A"/>
                <w:lang w:val="sv-SE"/>
              </w:rPr>
              <w:fldChar w:fldCharType="end"/>
            </w:r>
            <w:r>
              <w:rPr>
                <w:lang w:eastAsia="ko-KR"/>
              </w:rPr>
              <w:t>,</w:t>
            </w:r>
            <w:r w:rsidRPr="00211579">
              <w:rPr>
                <w:lang w:eastAsia="ko-KR"/>
              </w:rPr>
              <w:t xml:space="preserve"> </w:t>
            </w:r>
            <w:r>
              <w:rPr>
                <w:lang w:eastAsia="ko-KR"/>
              </w:rPr>
              <w:t>A</w:t>
            </w:r>
            <w:r w:rsidRPr="00211579">
              <w:rPr>
                <w:lang w:eastAsia="ko-KR"/>
              </w:rPr>
              <w:t>lzheimer</w:t>
            </w:r>
            <w:r>
              <w:rPr>
                <w:lang w:eastAsia="ko-KR"/>
              </w:rPr>
              <w:t>’</w:t>
            </w:r>
            <w:r w:rsidRPr="00211579">
              <w:rPr>
                <w:lang w:eastAsia="ko-KR"/>
              </w:rPr>
              <w:t xml:space="preserve">s disease </w:t>
            </w:r>
            <w:proofErr w:type="spellStart"/>
            <w:r>
              <w:rPr>
                <w:lang w:eastAsia="ko-KR"/>
              </w:rPr>
              <w:t>B</w:t>
            </w:r>
            <w:r w:rsidRPr="00211579">
              <w:rPr>
                <w:lang w:eastAsia="ko-KR"/>
              </w:rPr>
              <w:t>raak</w:t>
            </w:r>
            <w:proofErr w:type="spellEnd"/>
            <w:r w:rsidRPr="00211579">
              <w:rPr>
                <w:lang w:eastAsia="ko-KR"/>
              </w:rPr>
              <w:t xml:space="preserve"> stage</w:t>
            </w:r>
            <w:r>
              <w:rPr>
                <w:color w:val="2B579A"/>
                <w:shd w:val="clear" w:color="auto" w:fill="E6E6E6"/>
              </w:rPr>
              <w:fldChar w:fldCharType="begin"/>
            </w:r>
            <w:r>
              <w:rPr>
                <w:lang w:eastAsia="ko-KR"/>
              </w:rPr>
              <w:instrText xml:space="preserve"> ADDIN ZOTERO_ITEM CSL_CITATION {"citationID":"QA6atBTR","properties":{"formattedCitation":"\\super 73\\nosupersub{}","plainCitation":"73","noteIndex":0},"citationItems":[{"id":1414,"uris":["http://zotero.org/users/8479915/items/ZPDDMPD8"],"itemData":{"id":1414,"type":"article-journal","abstract":"DNA methylation differences in Alzheimer's disease (AD) have been reported. Here, we conducted a meta-analysis of more than 1000 prefrontal cortex brain samples to prioritize the most consistent methylation differences in multiple cohorts. Using a uniform analysis pipeline, we identified 3751 CpGs and 119 differentially methylated regions (DMRs) significantly associated with Braak stage. Our analysis identified differentially methylated genes such as MAMSTR, AGAP2, and AZU1. The most significant DMR identified is located on the MAMSTR gene, which encodes a cofactor that stimulates MEF2C. Notably, MEF2C cooperates with another transcription factor, PU.1, a central hub in the AD gene network. Our enrichment analysis highlighted the potential roles of the immune system and polycomb repressive complex 2 in pathological AD. These results may help facilitate future mechanistic and biomarker discovery studies in AD.","container-title":"Nature Communications","DOI":"10.1038/s41467-020-19791-w","ISSN":"2041-1723","issue":"1","journalAbbreviation":"Nat Commun","language":"eng","note":"PMID: 33257653\nPMCID: PMC7704686","page":"6114","source":"PubMed","title":"Epigenome-wide meta-analysis of DNA methylation differences in prefrontal cortex implicates the immune processes in Alzheimer's disease","volume":"11","author":[{"family":"Zhang","given":"Lanyu"},{"family":"Silva","given":"Tiago C."},{"family":"Young","given":"Juan I."},{"family":"Gomez","given":"Lissette"},{"family":"Schmidt","given":"Michael A."},{"family":"Hamilton-Nelson","given":"Kara L."},{"family":"Kunkle","given":"Brian W."},{"family":"Chen","given":"Xi"},{"family":"Martin","given":"Eden R."},{"family":"Wang","given":"Lily"}],"issued":{"date-parts":[["2020",11,30]]}}}],"schema":"https://github.com/citation-style-language/schema/raw/master/csl-citation.json"}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73</w:t>
            </w:r>
            <w:r>
              <w:rPr>
                <w:color w:val="2B579A"/>
                <w:shd w:val="clear" w:color="auto" w:fill="E6E6E6"/>
              </w:rPr>
              <w:fldChar w:fldCharType="end"/>
            </w:r>
            <w:r>
              <w:t>,</w:t>
            </w:r>
            <w:r>
              <w:rPr>
                <w:lang w:eastAsia="ko-KR"/>
              </w:rPr>
              <w:t xml:space="preserve"> </w:t>
            </w:r>
            <w:r>
              <w:t>E</w:t>
            </w:r>
            <w:r w:rsidRPr="00211579">
              <w:t>stimated glomerular filtration rate</w:t>
            </w:r>
            <w:r>
              <w:rPr>
                <w:color w:val="2B579A"/>
                <w:shd w:val="clear" w:color="auto" w:fill="E6E6E6"/>
              </w:rPr>
              <w:fldChar w:fldCharType="begin"/>
            </w:r>
            <w:r>
              <w:instrText xml:space="preserve"> ADDIN ZOTERO_ITEM CSL_CITATION {"citationID":"0lZ4aT9I","properties":{"formattedCitation":"\\super 69\\nosupersub{}","plainCitation":"69","noteIndex":0},"citationItems":[{"id":1384,"uris":["http://zotero.org/users/8479915/items/5GIAJHSP"],"itemData":{"id":1384,"type":"article-journal","abstract":"BACKGROUND: DNA methylation (DNAm) is associated with gene regulation and estimated glomerular filtration rate (eGFR), a measure of kidney function. Decreased eGFR is more common among US Hispanics and African Americans. The causes for this are poorly understood. We aimed to identify trans-ethnic and ethnic-specific differentially methylated positions (DMPs) associated with eGFR using an agnostic, genome-wide approach.\nMETHODS: The study included up to 5428 participants from multi-ethnic studies for discovery and 8109 participants for replication. We tested the associations between whole blood DNAm and eGFR using beta values from Illumina 450K or EPIC arrays. Ethnicity-stratified analyses were performed using linear mixed models adjusting for age, sex, smoking, and study-specific and technical variables. Summary results were meta-analyzed within and across ethnicities. Findings were assessed using integrative epigenomics methods and pathway analyses.\nRESULTS: We identified 93 DMPs associated with eGFR at an FDR of 0.05 and replicated 13 and 1 DMPs across independent samples in trans-ethnic and African American meta-analyses, respectively. The study also validated 6 previously published DMPs. Identified DMPs showed significant overlap enrichment with DNase I hypersensitive sites in kidney tissue, sites associated with the expression of proximal genes, and transcription factor motifs and pathways associated with kidney tissue and kidney development.\nCONCLUSIONS: We uncovered trans-ethnic and ethnic-specific DMPs associated with eGFR, including DMPs enriched in regulatory elements in kidney tissue and pathways related to kidney development. These findings shed light on epigenetic mechanisms associated with kidney function, bridging the gap between population-specific eGFR-associated DNAm and tissue-specific regulatory context.","container-title":"Genome Medicine","DOI":"10.1186/s13073-021-00877-z","ISSN":"1756-994X","issue":"1","journalAbbreviation":"Genome Med","language":"eng","note":"PMID: 33931109\nPMCID: PMC8088054","page":"74","source":"PubMed","title":"Epigenome-wide association study of kidney function identifies trans-ethnic and ethnic-specific loci","volume":"13","author":[{"family":"Breeze","given":"Charles E."},{"family":"Batorsky","given":"Anna"},{"family":"Lee","given":"Mi Kyeong"},{"family":"Szeto","given":"Mindy D."},{"family":"Xu","given":"Xiaoguang"},{"family":"McCartney","given":"Daniel L."},{"family":"Jiang","given":"Rong"},{"family":"Patki","given":"Amit"},{"family":"Kramer","given":"Holly J."},{"family":"Eales","given":"James M."},{"family":"Raffield","given":"Laura"},{"family":"Lange","given":"Leslie"},{"family":"Lange","given":"Ethan"},{"family":"Durda","given":"Peter"},{"family":"Liu","given":"Yongmei"},{"family":"Tracy","given":"Russ P."},{"family":"Van Den Berg","given":"David"},{"literal":"NHLBI Trans-Omics for Precision Medicine (TOPMed) Consortium, TOPMed MESA Multi-Omics Working Group"},{"family":"Evans","given":"Kathryn L."},{"family":"Kraus","given":"William E."},{"family":"Shah","given":"Svati"},{"family":"Tiwari","given":"Hermant K."},{"family":"Hou","given":"Lifang"},{"family":"Whitsel","given":"Eric A."},{"family":"Jiang","given":"Xiao"},{"family":"Charchar","given":"Fadi J."},{"family":"Baccarelli","given":"Andrea A."},{"family":"Rich","given":"Stephen S."},{"family":"Morris","given":"Andrew P."},{"family":"Irvin","given":"Marguerite R."},{"family":"Arnett","given":"Donna K."},{"family":"Hauser","given":"Elizabeth R."},{"family":"Rotter","given":"Jerome I."},{"family":"Correa","given":"Adolfo"},{"family":"Hayward","given":"Caroline"},{"family":"Horvath","given":"Steve"},{"family":"Marioni","given":"Riccardo E."},{"family":"Tomaszewski","given":"Maciej"},{"family":"Beck","given":"Stephan"},{"family":"Berndt","given":"Sonja I."},{"family":"London","given":"Stephanie J."},{"family":"Mychaleckyj","given":"Josyf C."},{"family":"Franceschini","given":"Nora"}],"issued":{"date-parts":[["2021",4,30]]}}}],"schema":"https://github.com/citation-style-language/schema/raw/master/csl-citation.json"}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69</w:t>
            </w:r>
            <w:r>
              <w:rPr>
                <w:color w:val="2B579A"/>
                <w:shd w:val="clear" w:color="auto" w:fill="E6E6E6"/>
              </w:rPr>
              <w:fldChar w:fldCharType="end"/>
            </w:r>
            <w:r>
              <w:rPr>
                <w:color w:val="2B579A"/>
                <w:shd w:val="clear" w:color="auto" w:fill="E6E6E6"/>
              </w:rPr>
              <w:t>,</w:t>
            </w:r>
            <w:r w:rsidRPr="00211579">
              <w:t xml:space="preserve"> </w:t>
            </w:r>
            <w:r>
              <w:t>S</w:t>
            </w:r>
            <w:r w:rsidRPr="00211579">
              <w:t>chizophrenia</w:t>
            </w:r>
            <w:r>
              <w:rPr>
                <w:color w:val="2B579A"/>
                <w:shd w:val="clear" w:color="auto" w:fill="E6E6E6"/>
              </w:rPr>
              <w:fldChar w:fldCharType="begin"/>
            </w:r>
            <w:r>
              <w:instrText xml:space="preserve"> ADDIN ZOTERO_ITEM CSL_CITATION {"citationID":"xJeSMKJQ","properties":{"formattedCitation":"\\super 70\\nosupersub{}","plainCitation":"70","noteIndex":0},"citationItems":[{"id":1270,"uris":["http://zotero.org/users/8479915/items/P7ELEXTA"],"itemData":{"id":1270,"type":"article-journal","abstract":"We performed a systematic analysis of blood DNA methylation profiles from 4483 participants from seven independent cohorts identifying differentially methylated positions (DMPs) associated with psychosis, schizophrenia, and treatment-resistant schizophrenia. Psychosis cases were characterized by significant differences in measures of blood cell proportions and elevated smoking exposure derived from the DNA methylation data, with the largest differences seen in treatment-resistant schizophrenia patients. We implemented a stringent pipeline to meta-analyze epigenome-wide association study (EWAS) results across datasets, identifying 95 DMPs associated with psychosis and 1048 DMPs associated with schizophrenia, with evidence of colocalization to regions nominated by genetic association studies of disease. Many schizophrenia-associated DNA methylation differences were only present in patients with treatment-resistant schizophrenia, potentially reflecting exposure to the atypical antipsychotic clozapine. Our results highlight how DNA methylation data can be leveraged to identify physiological (e.g., differential cell counts) and environmental (e.g., smoking) factors associated with psychosis and molecular biomarkers of treatment-resistant schizophrenia.","container-title":"eLife","DOI":"10.7554/eLife.58430","ISSN":"2050-084X","journalAbbreviation":"Elife","language":"eng","note":"PMID: 33646943\nPMCID: PMC8009672","page":"e58430","source":"PubMed","title":"DNA methylation meta-analysis reveals cellular alterations in psychosis and markers of treatment-resistant schizophrenia","volume":"10","author":[{"family":"Hannon","given":"Eilis"},{"family":"Dempster","given":"Emma L."},{"family":"Mansell","given":"Georgina"},{"family":"Burrage","given":"Joe"},{"family":"Bass","given":"Nick"},{"family":"Bohlken","given":"Marc M."},{"family":"Corvin","given":"Aiden"},{"family":"Curtis","given":"Charles J."},{"family":"Dempster","given":"David"},{"family":"Di Forti","given":"Marta"},{"family":"Dinan","given":"Timothy G."},{"family":"Donohoe","given":"Gary"},{"family":"Gaughran","given":"Fiona"},{"family":"Gill","given":"Michael"},{"family":"Gillespie","given":"Amy"},{"family":"Gunasinghe","given":"Cerisse"},{"family":"Hulshoff","given":"Hilleke E."},{"family":"Hultman","given":"Christina M."},{"family":"Johansson","given":"Viktoria"},{"family":"Kahn","given":"René S."},{"family":"Kaprio","given":"Jaakko"},{"family":"Kenis","given":"Gunter"},{"family":"Kowalec","given":"Kaarina"},{"family":"MacCabe","given":"James"},{"family":"McDonald","given":"Colm"},{"family":"McQuillin","given":"Andrew"},{"family":"Morris","given":"Derek W."},{"family":"Murphy","given":"Kieran C."},{"family":"Mustard","given":"Colette J."},{"family":"Nenadic","given":"Igor"},{"family":"O'Donovan","given":"Michael C."},{"family":"Quattrone","given":"Diego"},{"family":"Richards","given":"Alexander L."},{"family":"Rutten","given":"Bart Pf"},{"family":"St Clair","given":"David"},{"family":"Therman","given":"Sebastian"},{"family":"Toulopoulou","given":"Timothea"},{"family":"Van Os","given":"Jim"},{"family":"Waddington","given":"John L."},{"literal":"Wellcome Trust Case Control Consortium (WTCCC)"},{"literal":"CRESTAR consortium"},{"family":"Sullivan","given":"Patrick"},{"family":"Vassos","given":"Evangelos"},{"family":"Breen","given":"Gerome"},{"family":"Collier","given":"David Andrew"},{"family":"Murray","given":"Robin M."},{"family":"Schalkwyk","given":"Leonard S."},{"family":"Mill","given":"Jonathan"}],"issued":{"date-parts":[["2021",2,26]]}}}],"schema":"https://github.com/citation-style-language/schema/raw/master/csl-citation.json"}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70</w:t>
            </w:r>
            <w:r>
              <w:rPr>
                <w:color w:val="2B579A"/>
                <w:shd w:val="clear" w:color="auto" w:fill="E6E6E6"/>
              </w:rPr>
              <w:fldChar w:fldCharType="end"/>
            </w:r>
          </w:p>
        </w:tc>
      </w:tr>
      <w:tr w:rsidR="009A0ABF" w:rsidRPr="00435006" w14:paraId="432BEFB0" w14:textId="77777777" w:rsidTr="00CC22CE">
        <w:trPr>
          <w:trHeight w:val="320"/>
        </w:trPr>
        <w:tc>
          <w:tcPr>
            <w:tcW w:w="1560" w:type="dxa"/>
            <w:noWrap/>
          </w:tcPr>
          <w:p w14:paraId="738CFEFE" w14:textId="77777777" w:rsidR="009A0ABF" w:rsidRPr="00435006" w:rsidRDefault="009A0ABF" w:rsidP="00CC22CE">
            <w:pPr>
              <w:spacing w:line="480" w:lineRule="auto"/>
              <w:rPr>
                <w:lang w:eastAsia="ko-KR"/>
              </w:rPr>
            </w:pPr>
            <w:r w:rsidRPr="00435006">
              <w:rPr>
                <w:lang w:eastAsia="ko-KR"/>
              </w:rPr>
              <w:t>cg08907118</w:t>
            </w:r>
          </w:p>
        </w:tc>
        <w:tc>
          <w:tcPr>
            <w:tcW w:w="709" w:type="dxa"/>
            <w:noWrap/>
          </w:tcPr>
          <w:p w14:paraId="031F4998" w14:textId="77777777" w:rsidR="009A0ABF" w:rsidRPr="00435006" w:rsidRDefault="009A0ABF" w:rsidP="00CC22CE">
            <w:pPr>
              <w:spacing w:line="480" w:lineRule="auto"/>
              <w:rPr>
                <w:lang w:eastAsia="ko-KR"/>
              </w:rPr>
            </w:pPr>
            <w:r w:rsidRPr="00435006">
              <w:rPr>
                <w:lang w:eastAsia="ko-KR"/>
              </w:rPr>
              <w:t>16</w:t>
            </w:r>
          </w:p>
        </w:tc>
        <w:tc>
          <w:tcPr>
            <w:tcW w:w="1276" w:type="dxa"/>
            <w:noWrap/>
          </w:tcPr>
          <w:p w14:paraId="6256EE4F" w14:textId="77777777" w:rsidR="009A0ABF" w:rsidRPr="00435006" w:rsidRDefault="009A0ABF" w:rsidP="00CC22CE">
            <w:pPr>
              <w:spacing w:line="480" w:lineRule="auto"/>
              <w:rPr>
                <w:lang w:eastAsia="ko-KR"/>
              </w:rPr>
            </w:pPr>
            <w:r w:rsidRPr="00435006">
              <w:rPr>
                <w:lang w:eastAsia="ko-KR"/>
              </w:rPr>
              <w:t>27482516</w:t>
            </w:r>
          </w:p>
        </w:tc>
        <w:tc>
          <w:tcPr>
            <w:tcW w:w="1276" w:type="dxa"/>
            <w:noWrap/>
          </w:tcPr>
          <w:p w14:paraId="3C013F58" w14:textId="77777777" w:rsidR="009A0ABF" w:rsidRPr="00435006" w:rsidRDefault="009A0ABF" w:rsidP="00CC22CE">
            <w:pPr>
              <w:spacing w:line="480" w:lineRule="auto"/>
              <w:rPr>
                <w:lang w:eastAsia="ko-KR"/>
              </w:rPr>
            </w:pPr>
            <w:r w:rsidRPr="00435006">
              <w:rPr>
                <w:lang w:eastAsia="ko-KR"/>
              </w:rPr>
              <w:t>GTF3C1</w:t>
            </w:r>
          </w:p>
        </w:tc>
        <w:tc>
          <w:tcPr>
            <w:tcW w:w="850" w:type="dxa"/>
            <w:noWrap/>
          </w:tcPr>
          <w:p w14:paraId="16E7DA01" w14:textId="77777777" w:rsidR="009A0ABF" w:rsidRPr="00265DC6" w:rsidRDefault="009A0ABF" w:rsidP="00CC22CE">
            <w:pPr>
              <w:spacing w:line="480" w:lineRule="auto"/>
              <w:rPr>
                <w:lang w:eastAsia="ko-KR"/>
              </w:rPr>
            </w:pPr>
            <w:r w:rsidRPr="00265DC6">
              <w:rPr>
                <w:lang w:eastAsia="ko-KR"/>
              </w:rPr>
              <w:t>0.021</w:t>
            </w:r>
          </w:p>
        </w:tc>
        <w:tc>
          <w:tcPr>
            <w:tcW w:w="992" w:type="dxa"/>
            <w:noWrap/>
          </w:tcPr>
          <w:p w14:paraId="57A31355" w14:textId="77777777" w:rsidR="009A0ABF" w:rsidRPr="00265DC6" w:rsidRDefault="009A0ABF" w:rsidP="00CC22CE">
            <w:pPr>
              <w:spacing w:line="480" w:lineRule="auto"/>
              <w:rPr>
                <w:lang w:eastAsia="ko-KR"/>
              </w:rPr>
            </w:pPr>
            <w:r w:rsidRPr="00265DC6">
              <w:rPr>
                <w:lang w:eastAsia="ko-KR"/>
              </w:rPr>
              <w:t>0.0039</w:t>
            </w:r>
          </w:p>
        </w:tc>
        <w:tc>
          <w:tcPr>
            <w:tcW w:w="1276" w:type="dxa"/>
            <w:noWrap/>
          </w:tcPr>
          <w:p w14:paraId="26297BD9" w14:textId="77777777" w:rsidR="009A0ABF" w:rsidRPr="00435006" w:rsidRDefault="009A0ABF" w:rsidP="00CC22CE">
            <w:pPr>
              <w:spacing w:line="480" w:lineRule="auto"/>
              <w:rPr>
                <w:lang w:eastAsia="ko-KR"/>
              </w:rPr>
            </w:pPr>
            <w:r w:rsidRPr="00435006">
              <w:rPr>
                <w:lang w:eastAsia="ko-KR"/>
              </w:rPr>
              <w:t>6.46</w:t>
            </w:r>
            <w:r>
              <w:rPr>
                <w:lang w:eastAsia="ko-KR"/>
              </w:rPr>
              <w:t>x10</w:t>
            </w:r>
            <w:r w:rsidRPr="00435006">
              <w:rPr>
                <w:vertAlign w:val="superscript"/>
                <w:lang w:eastAsia="ko-KR"/>
              </w:rPr>
              <w:t>-8</w:t>
            </w:r>
          </w:p>
        </w:tc>
        <w:tc>
          <w:tcPr>
            <w:tcW w:w="851" w:type="dxa"/>
          </w:tcPr>
          <w:p w14:paraId="2080F0C0" w14:textId="77777777" w:rsidR="009A0ABF" w:rsidRDefault="009A0ABF" w:rsidP="00CC22CE">
            <w:pPr>
              <w:spacing w:line="480" w:lineRule="auto"/>
              <w:rPr>
                <w:lang w:eastAsia="ko-KR"/>
              </w:rPr>
            </w:pPr>
            <w:r>
              <w:rPr>
                <w:lang w:eastAsia="ko-KR"/>
              </w:rPr>
              <w:t>0.027</w:t>
            </w:r>
          </w:p>
        </w:tc>
        <w:tc>
          <w:tcPr>
            <w:tcW w:w="992" w:type="dxa"/>
          </w:tcPr>
          <w:p w14:paraId="0DA0C314" w14:textId="77777777" w:rsidR="009A0ABF" w:rsidRDefault="009A0ABF" w:rsidP="00CC22CE">
            <w:pPr>
              <w:spacing w:line="480" w:lineRule="auto"/>
              <w:rPr>
                <w:lang w:eastAsia="ko-KR"/>
              </w:rPr>
            </w:pPr>
            <w:r>
              <w:rPr>
                <w:lang w:eastAsia="ko-KR"/>
              </w:rPr>
              <w:t>0.0052</w:t>
            </w:r>
          </w:p>
        </w:tc>
        <w:tc>
          <w:tcPr>
            <w:tcW w:w="1134" w:type="dxa"/>
          </w:tcPr>
          <w:p w14:paraId="6B689B1F" w14:textId="77777777" w:rsidR="009A0ABF" w:rsidRDefault="009A0ABF" w:rsidP="00CC22CE">
            <w:pPr>
              <w:spacing w:line="480" w:lineRule="auto"/>
              <w:rPr>
                <w:lang w:eastAsia="ko-KR"/>
              </w:rPr>
            </w:pPr>
            <w:r>
              <w:rPr>
                <w:lang w:eastAsia="ko-KR"/>
              </w:rPr>
              <w:t>3.0x10</w:t>
            </w:r>
            <w:r w:rsidRPr="001279F7">
              <w:rPr>
                <w:vertAlign w:val="superscript"/>
                <w:lang w:eastAsia="ko-KR"/>
              </w:rPr>
              <w:t>-7</w:t>
            </w:r>
          </w:p>
        </w:tc>
        <w:tc>
          <w:tcPr>
            <w:tcW w:w="4678" w:type="dxa"/>
            <w:noWrap/>
          </w:tcPr>
          <w:p w14:paraId="2713F1B2" w14:textId="77777777" w:rsidR="009A0ABF" w:rsidRPr="00435006" w:rsidRDefault="009A0ABF" w:rsidP="00CC22CE">
            <w:pPr>
              <w:spacing w:line="480" w:lineRule="auto"/>
              <w:rPr>
                <w:lang w:eastAsia="ko-KR"/>
              </w:rPr>
            </w:pPr>
            <w:r>
              <w:rPr>
                <w:lang w:eastAsia="ko-KR"/>
              </w:rPr>
              <w:t>C-reactive protein levels</w:t>
            </w:r>
            <w:r w:rsidRPr="59D28559">
              <w:rPr>
                <w:lang w:eastAsia="ko-KR"/>
              </w:rPr>
              <w:t xml:space="preserve"> (basic model)</w:t>
            </w:r>
            <w:r>
              <w:rPr>
                <w:lang w:eastAsia="ko-KR"/>
              </w:rPr>
              <w:fldChar w:fldCharType="begin"/>
            </w:r>
            <w:r>
              <w:rPr>
                <w:lang w:eastAsia="ko-KR"/>
              </w:rPr>
              <w:instrText xml:space="preserve"> ADDIN ZOTERO_ITEM CSL_CITATION {"citationID":"a2c4tocs4r4","properties":{"formattedCitation":"\\super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rPr>
                <w:lang w:eastAsia="ko-KR"/>
              </w:rPr>
              <w:fldChar w:fldCharType="separate"/>
            </w:r>
            <w:r w:rsidRPr="00A10A06">
              <w:rPr>
                <w:vertAlign w:val="superscript"/>
              </w:rPr>
              <w:t>62</w:t>
            </w:r>
            <w:r>
              <w:rPr>
                <w:lang w:eastAsia="ko-KR"/>
              </w:rPr>
              <w:fldChar w:fldCharType="end"/>
            </w:r>
            <w:r>
              <w:rPr>
                <w:lang w:eastAsia="ko-KR"/>
              </w:rPr>
              <w:t xml:space="preserve">, </w:t>
            </w:r>
            <w:r w:rsidRPr="00435006">
              <w:rPr>
                <w:lang w:eastAsia="ko-KR"/>
              </w:rPr>
              <w:t xml:space="preserve">Chronic </w:t>
            </w:r>
            <w:r>
              <w:rPr>
                <w:lang w:eastAsia="ko-KR"/>
              </w:rPr>
              <w:t>p</w:t>
            </w:r>
            <w:r w:rsidRPr="00435006">
              <w:rPr>
                <w:lang w:eastAsia="ko-KR"/>
              </w:rPr>
              <w:t>ain (</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ZOTERO_ITEM CSL_CITATION {"citationID":"a3lyzl1j","properties":{"formattedCitation":"\\super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w:t>
            </w:r>
            <w:r w:rsidRPr="006E33C5">
              <w:rPr>
                <w:lang w:eastAsia="ko-KR"/>
              </w:rPr>
              <w:t xml:space="preserve">Type 2 </w:t>
            </w:r>
            <w:r>
              <w:rPr>
                <w:lang w:eastAsia="ko-KR"/>
              </w:rPr>
              <w:t>d</w:t>
            </w:r>
            <w:r w:rsidRPr="006E33C5">
              <w:rPr>
                <w:lang w:eastAsia="ko-KR"/>
              </w:rPr>
              <w:t>iabetes (</w:t>
            </w:r>
            <w:r w:rsidRPr="59D28559">
              <w:rPr>
                <w:lang w:eastAsia="ko-KR"/>
              </w:rPr>
              <w:t>basic model</w:t>
            </w:r>
            <w:r w:rsidRPr="006E33C5">
              <w:rPr>
                <w:lang w:eastAsia="ko-KR"/>
              </w:rPr>
              <w:t>)</w:t>
            </w:r>
            <w:r w:rsidRPr="59D28559">
              <w:rPr>
                <w:color w:val="2B579A"/>
              </w:rPr>
              <w:fldChar w:fldCharType="begin"/>
            </w:r>
            <w:r>
              <w:rPr>
                <w:lang w:eastAsia="ko-KR"/>
              </w:rPr>
              <w:instrText xml:space="preserve"> ADDIN ZOTERO_ITEM CSL_CITATION {"citationID":"2GqUeDiQ","properties":{"formattedCitation":"\\super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t>,</w:t>
            </w:r>
            <w:r w:rsidRPr="006E33C5">
              <w:t xml:space="preserve"> </w:t>
            </w:r>
            <w:r w:rsidRPr="00435006">
              <w:t>Sex</w:t>
            </w:r>
            <w:r>
              <w:rPr>
                <w:color w:val="2B579A"/>
                <w:shd w:val="clear" w:color="auto" w:fill="E6E6E6"/>
              </w:rPr>
              <w:fldChar w:fldCharType="begin"/>
            </w:r>
            <w:r>
              <w:instrText xml:space="preserve"> ADDIN ZOTERO_ITEM CSL_CITATION {"citationID":"Zz2uhAzs","properties":{"formattedCitation":"\\super 71\\nosupersub{}","plainCitation":"71","noteIndex":0},"citationItems":[{"id":1400,"uris":["http://zotero.org/users/8479915/items/H57BERDU"],"itemData":{"id":1400,"type":"article-journal","abstract":"BACKGROUND: Disease risk and incidence between males and females reveal differences, and sex is an important component of any investigation of the determinants of phenotypes or disease etiology. Further striking differences between men and women are known, for instance, at the metabolic level. The extent to which men and women vary at the level of the epigenome, however, is not well documented. DNA methylation is the best known epigenetic mechanism to date.\nRESULTS: In order to shed light on epigenetic differences, we compared autosomal DNA methylation levels between men and women in blood in a large prospective European cohort of 1799 subjects, and replicated our findings in three independent European cohorts. We identified and validated 1184 CpG sites to be differentially methylated between men and women and observed that these CpG sites were distributed across all autosomes. We showed that some of the differentially methylated loci also exhibit differential gene expression between men and women. Finally, we found that the differentially methylated loci are enriched among imprinted genes, and that their genomic location in the genome is concentrated in CpG island shores.\nCONCLUSION: Our epigenome-wide association study indicates that differences between men and women are so substantial that they should be considered in design and analyses of future studies.","container-title":"Epigenetics &amp; Chromatin","DOI":"10.1186/s13072-015-0035-3","ISSN":"1756-8935","journalAbbreviation":"Epigenetics Chromatin","language":"eng","note":"PMID: 26500701\nPMCID: PMC4615866","page":"43","source":"PubMed","title":"Characterization of whole-genome autosomal differences of DNA methylation between men and women","volume":"8","author":[{"family":"Singmann","given":"Paula"},{"family":"Shem-Tov","given":"Doron"},{"family":"Wahl","given":"Simone"},{"family":"Grallert","given":"Harald"},{"family":"Fiorito","given":"Giovanni"},{"family":"Shin","given":"So-Youn"},{"family":"Schramm","given":"Katharina"},{"family":"Wolf","given":"Petra"},{"family":"Kunze","given":"Sonja"},{"family":"Baran","given":"Yael"},{"family":"Guarrera","given":"Simonetta"},{"family":"Vineis","given":"Paolo"},{"family":"Krogh","given":"Vittorio"},{"family":"Panico","given":"Salvatore"},{"family":"Tumino","given":"Rosario"},{"family":"Kretschmer","given":"Anja"},{"family":"Gieger","given":"Christian"},{"family":"Peters","given":"Annette"},{"family":"Prokisch","given":"Holger"},{"family":"Relton","given":"Caroline L."},{"family":"Matullo","given":"Giuseppe"},{"family":"Illig","given":"Thomas"},{"family":"Waldenberger","given":"Melanie"},{"family":"Halperin","given":"Eran"}],"issued":{"date-parts":[["2015"]]}}}],"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71</w:t>
            </w:r>
            <w:r>
              <w:rPr>
                <w:color w:val="2B579A"/>
                <w:shd w:val="clear" w:color="auto" w:fill="E6E6E6"/>
              </w:rPr>
              <w:fldChar w:fldCharType="end"/>
            </w:r>
            <w:r>
              <w:t>,</w:t>
            </w:r>
            <w:r w:rsidRPr="00435006">
              <w:t xml:space="preserve"> </w:t>
            </w:r>
            <w:r>
              <w:t>A</w:t>
            </w:r>
            <w:r w:rsidRPr="00435006">
              <w:t>ge</w:t>
            </w:r>
            <w:r>
              <w:rPr>
                <w:color w:val="2B579A"/>
                <w:shd w:val="clear" w:color="auto" w:fill="E6E6E6"/>
              </w:rPr>
              <w:fldChar w:fldCharType="begin"/>
            </w:r>
            <w:r>
              <w:instrText xml:space="preserve"> ADDIN ZOTERO_ITEM CSL_CITATION {"citationID":"NNZETGp2","properties":{"formattedCitation":"\\super 72\\nosupersub{}","plainCitation":"72","noteIndex":0},"citationItems":[{"id":1406,"uris":["http://zotero.org/users/8479915/items/XTBFG4WM"],"itemData":{"id":1406,"type":"article-journal","abstract":"DNA methylation (DNAm) is known to play a pivotal role in childhood health and development, but a comprehensive characterization of genome-wide DNAm trajectories across this age period is currently lacking. We have therefore performed a series of epigenome-wide association studies in 5019 blood samples collected at multiple time-points from birth to late adolescence from 2348 participants of two large independent cohorts. DNAm profiles of autosomal CpG sites (CpGs) were generated using the Illumina Infinium HumanMethylation450 BeadChip. Change over time was widespread, observed at over one-half (53%) of CpGs. In most cases, DNAm was decreasing (36% of CpGs). Inter-individual variation in linear trajectories was similarly widespread (27% of CpGs). Evidence for non-linear change and inter-individual variation in non-linear trajectories was somewhat less common (11 and 8% of CpGs, respectively). Very little inter-individual variation in change was explained by sex differences (0.4% of CpGs) even though sex-specific DNAm was observed at 5% of CpGs. DNAm trajectories were distributed non-randomly across the genome. For example, CpGs with decreasing DNAm were enriched in gene bodies and enhancers and were annotated to genes enriched in immune-developmental functions. In contrast, CpGs with increasing DNAm were enriched in promoter regions and annotated to genes enriched in neurodevelopmental functions. These findings depict a methylome undergoing widespread and often non-linear change throughout childhood. They support a developmental role for DNA methylation that extends beyond birth into late adolescence and has implications for understanding life-long health and disease. DNAm trajectories can be visualized at http://epidelta.mrcieu.ac.uk.","container-title":"Human Molecular Genetics","DOI":"10.1093/hmg/ddaa280","ISSN":"1460-2083","issue":"1","journalAbbreviation":"Hum Mol Genet","language":"eng","note":"PMID: 33450751\nPMCID: PMC8033147","page":"119-134","source":"PubMed","title":"Epigenome-wide change and variation in DNA methylation in childhood: trajectories from birth to late adolescence","title-short":"Epigenome-wide change and variation in DNA methylation in childhood","volume":"30","author":[{"family":"Mulder","given":"Rosa H."},{"family":"Neumann","given":"Alexander"},{"family":"Cecil","given":"Charlotte A. M."},{"family":"Walton","given":"Esther"},{"family":"Houtepen","given":"Lotte C."},{"family":"Simpkin","given":"Andrew J."},{"family":"Rijlaarsdam","given":"Jolien"},{"family":"Heijmans","given":"Bastiaan T."},{"family":"Gaunt","given":"Tom R."},{"family":"Felix","given":"Janine F."},{"family":"Jaddoe","given":"Vincent W. V."},{"family":"Bakermans-Kranenburg","given":"Marian J."},{"family":"Tiemeier","given":"Henning"},{"family":"Relton","given":"Caroline L."},{"family":"IJzendoorn","given":"Marinus H.","non-dropping-particle":"van"},{"family":"Suderman","given":"Matthew"}],"issued":{"date-parts":[["2021",3,25]]}}}],"schema":"https://github.com/citation-style-language/schema/raw/master/csl-citation.json"}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72</w:t>
            </w:r>
            <w:r>
              <w:rPr>
                <w:color w:val="2B579A"/>
                <w:shd w:val="clear" w:color="auto" w:fill="E6E6E6"/>
              </w:rPr>
              <w:fldChar w:fldCharType="end"/>
            </w:r>
          </w:p>
        </w:tc>
      </w:tr>
      <w:tr w:rsidR="009A0ABF" w:rsidRPr="00435006" w14:paraId="25623816" w14:textId="77777777" w:rsidTr="00CC22CE">
        <w:trPr>
          <w:trHeight w:val="320"/>
        </w:trPr>
        <w:tc>
          <w:tcPr>
            <w:tcW w:w="1560" w:type="dxa"/>
            <w:noWrap/>
            <w:hideMark/>
          </w:tcPr>
          <w:p w14:paraId="07970B5B" w14:textId="77777777" w:rsidR="009A0ABF" w:rsidRPr="00435006" w:rsidRDefault="009A0ABF" w:rsidP="00CC22CE">
            <w:pPr>
              <w:spacing w:line="480" w:lineRule="auto"/>
            </w:pPr>
            <w:r w:rsidRPr="00435006">
              <w:lastRenderedPageBreak/>
              <w:t>cg02183564</w:t>
            </w:r>
          </w:p>
        </w:tc>
        <w:tc>
          <w:tcPr>
            <w:tcW w:w="709" w:type="dxa"/>
            <w:noWrap/>
            <w:hideMark/>
          </w:tcPr>
          <w:p w14:paraId="489B626C" w14:textId="77777777" w:rsidR="009A0ABF" w:rsidRPr="00435006" w:rsidRDefault="009A0ABF" w:rsidP="00CC22CE">
            <w:pPr>
              <w:spacing w:line="480" w:lineRule="auto"/>
            </w:pPr>
            <w:r w:rsidRPr="00435006">
              <w:t>7</w:t>
            </w:r>
          </w:p>
        </w:tc>
        <w:tc>
          <w:tcPr>
            <w:tcW w:w="1276" w:type="dxa"/>
            <w:noWrap/>
            <w:hideMark/>
          </w:tcPr>
          <w:p w14:paraId="0C1BA433" w14:textId="77777777" w:rsidR="009A0ABF" w:rsidRPr="00435006" w:rsidRDefault="009A0ABF" w:rsidP="00CC22CE">
            <w:pPr>
              <w:spacing w:line="480" w:lineRule="auto"/>
            </w:pPr>
            <w:r w:rsidRPr="00435006">
              <w:t>76874892</w:t>
            </w:r>
          </w:p>
        </w:tc>
        <w:tc>
          <w:tcPr>
            <w:tcW w:w="1276" w:type="dxa"/>
            <w:noWrap/>
            <w:hideMark/>
          </w:tcPr>
          <w:p w14:paraId="1B76FFA3" w14:textId="77777777" w:rsidR="009A0ABF" w:rsidRPr="00435006" w:rsidRDefault="009A0ABF" w:rsidP="00CC22CE">
            <w:pPr>
              <w:spacing w:line="480" w:lineRule="auto"/>
            </w:pPr>
            <w:r w:rsidRPr="00435006">
              <w:t>CCDC146</w:t>
            </w:r>
          </w:p>
        </w:tc>
        <w:tc>
          <w:tcPr>
            <w:tcW w:w="850" w:type="dxa"/>
            <w:noWrap/>
            <w:hideMark/>
          </w:tcPr>
          <w:p w14:paraId="3F39D227" w14:textId="77777777" w:rsidR="009A0ABF" w:rsidRPr="00435006" w:rsidRDefault="009A0ABF" w:rsidP="00CC22CE">
            <w:pPr>
              <w:spacing w:line="480" w:lineRule="auto"/>
            </w:pPr>
            <w:r w:rsidRPr="00265DC6">
              <w:t>0.01</w:t>
            </w:r>
            <w:r>
              <w:t>9</w:t>
            </w:r>
          </w:p>
        </w:tc>
        <w:tc>
          <w:tcPr>
            <w:tcW w:w="992" w:type="dxa"/>
            <w:noWrap/>
            <w:hideMark/>
          </w:tcPr>
          <w:p w14:paraId="283FF604" w14:textId="77777777" w:rsidR="009A0ABF" w:rsidRPr="00435006" w:rsidRDefault="009A0ABF" w:rsidP="00CC22CE">
            <w:pPr>
              <w:spacing w:line="480" w:lineRule="auto"/>
            </w:pPr>
            <w:r w:rsidRPr="00265DC6">
              <w:t>0.0028</w:t>
            </w:r>
          </w:p>
        </w:tc>
        <w:tc>
          <w:tcPr>
            <w:tcW w:w="1276" w:type="dxa"/>
            <w:noWrap/>
            <w:hideMark/>
          </w:tcPr>
          <w:p w14:paraId="38CDB4BF" w14:textId="77777777" w:rsidR="009A0ABF" w:rsidRPr="00435006" w:rsidRDefault="009A0ABF" w:rsidP="00CC22CE">
            <w:pPr>
              <w:spacing w:line="480" w:lineRule="auto"/>
            </w:pPr>
            <w:r w:rsidRPr="00435006">
              <w:t>3.59</w:t>
            </w:r>
            <w:r>
              <w:t>x10</w:t>
            </w:r>
            <w:r w:rsidRPr="00435006">
              <w:rPr>
                <w:vertAlign w:val="superscript"/>
              </w:rPr>
              <w:t>-11</w:t>
            </w:r>
          </w:p>
        </w:tc>
        <w:tc>
          <w:tcPr>
            <w:tcW w:w="851" w:type="dxa"/>
          </w:tcPr>
          <w:p w14:paraId="469BCD31" w14:textId="77777777" w:rsidR="009A0ABF" w:rsidRPr="00435006" w:rsidRDefault="009A0ABF" w:rsidP="00CC22CE">
            <w:pPr>
              <w:spacing w:line="480" w:lineRule="auto"/>
            </w:pPr>
            <w:r>
              <w:t>0.019</w:t>
            </w:r>
          </w:p>
        </w:tc>
        <w:tc>
          <w:tcPr>
            <w:tcW w:w="992" w:type="dxa"/>
          </w:tcPr>
          <w:p w14:paraId="621BA76B" w14:textId="77777777" w:rsidR="009A0ABF" w:rsidRPr="00435006" w:rsidRDefault="009A0ABF" w:rsidP="00CC22CE">
            <w:pPr>
              <w:spacing w:line="480" w:lineRule="auto"/>
            </w:pPr>
            <w:r>
              <w:t>0.0037</w:t>
            </w:r>
          </w:p>
        </w:tc>
        <w:tc>
          <w:tcPr>
            <w:tcW w:w="1134" w:type="dxa"/>
          </w:tcPr>
          <w:p w14:paraId="59F28CCF" w14:textId="77777777" w:rsidR="009A0ABF" w:rsidRPr="00435006" w:rsidRDefault="009A0ABF" w:rsidP="00CC22CE">
            <w:pPr>
              <w:spacing w:line="480" w:lineRule="auto"/>
            </w:pPr>
            <w:r>
              <w:t>5.17x10</w:t>
            </w:r>
            <w:r w:rsidRPr="006C4E90">
              <w:rPr>
                <w:vertAlign w:val="superscript"/>
              </w:rPr>
              <w:t>-7</w:t>
            </w:r>
          </w:p>
        </w:tc>
        <w:tc>
          <w:tcPr>
            <w:tcW w:w="4678" w:type="dxa"/>
            <w:noWrap/>
            <w:hideMark/>
          </w:tcPr>
          <w:p w14:paraId="4910D257" w14:textId="77777777" w:rsidR="009A0ABF" w:rsidRPr="00435006" w:rsidRDefault="009A0ABF" w:rsidP="00CC22CE">
            <w:pPr>
              <w:spacing w:line="480" w:lineRule="auto"/>
              <w:rPr>
                <w:lang w:eastAsia="ko-KR"/>
              </w:rPr>
            </w:pPr>
            <w:r w:rsidRPr="00435006">
              <w:t>Birthweight</w:t>
            </w:r>
            <w:r>
              <w:rPr>
                <w:color w:val="2B579A"/>
                <w:shd w:val="clear" w:color="auto" w:fill="E6E6E6"/>
              </w:rPr>
              <w:fldChar w:fldCharType="begin"/>
            </w:r>
            <w:r>
              <w:instrText xml:space="preserve"> ADDIN ZOTERO_ITEM CSL_CITATION {"citationID":"qGaq5w6q","properties":{"formattedCitation":"\\super 72\\nosupersub{}","plainCitation":"72","noteIndex":0},"citationItems":[{"id":1406,"uris":["http://zotero.org/users/8479915/items/XTBFG4WM"],"itemData":{"id":1406,"type":"article-journal","abstract":"DNA methylation (DNAm) is known to play a pivotal role in childhood health and development, but a comprehensive characterization of genome-wide DNAm trajectories across this age period is currently lacking. We have therefore performed a series of epigenome-wide association studies in 5019 blood samples collected at multiple time-points from birth to late adolescence from 2348 participants of two large independent cohorts. DNAm profiles of autosomal CpG sites (CpGs) were generated using the Illumina Infinium HumanMethylation450 BeadChip. Change over time was widespread, observed at over one-half (53%) of CpGs. In most cases, DNAm was decreasing (36% of CpGs). Inter-individual variation in linear trajectories was similarly widespread (27% of CpGs). Evidence for non-linear change and inter-individual variation in non-linear trajectories was somewhat less common (11 and 8% of CpGs, respectively). Very little inter-individual variation in change was explained by sex differences (0.4% of CpGs) even though sex-specific DNAm was observed at 5% of CpGs. DNAm trajectories were distributed non-randomly across the genome. For example, CpGs with decreasing DNAm were enriched in gene bodies and enhancers and were annotated to genes enriched in immune-developmental functions. In contrast, CpGs with increasing DNAm were enriched in promoter regions and annotated to genes enriched in neurodevelopmental functions. These findings depict a methylome undergoing widespread and often non-linear change throughout childhood. They support a developmental role for DNA methylation that extends beyond birth into late adolescence and has implications for understanding life-long health and disease. DNAm trajectories can be visualized at http://epidelta.mrcieu.ac.uk.","container-title":"Human Molecular Genetics","DOI":"10.1093/hmg/ddaa280","ISSN":"1460-2083","issue":"1","journalAbbreviation":"Hum Mol Genet","language":"eng","note":"PMID: 33450751\nPMCID: PMC8033147","page":"119-134","source":"PubMed","title":"Epigenome-wide change and variation in DNA methylation in childhood: trajectories from birth to late adolescence","title-short":"Epigenome-wide change and variation in DNA methylation in childhood","volume":"30","author":[{"family":"Mulder","given":"Rosa H."},{"family":"Neumann","given":"Alexander"},{"family":"Cecil","given":"Charlotte A. M."},{"family":"Walton","given":"Esther"},{"family":"Houtepen","given":"Lotte C."},{"family":"Simpkin","given":"Andrew J."},{"family":"Rijlaarsdam","given":"Jolien"},{"family":"Heijmans","given":"Bastiaan T."},{"family":"Gaunt","given":"Tom R."},{"family":"Felix","given":"Janine F."},{"family":"Jaddoe","given":"Vincent W. V."},{"family":"Bakermans-Kranenburg","given":"Marian J."},{"family":"Tiemeier","given":"Henning"},{"family":"Relton","given":"Caroline L."},{"family":"IJzendoorn","given":"Marinus H.","non-dropping-particle":"van"},{"family":"Suderman","given":"Matthew"}],"issued":{"date-parts":[["2021",3,25]]}}}],"schema":"https://github.com/citation-style-language/schema/raw/master/csl-citation.json"}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72</w:t>
            </w:r>
            <w:r>
              <w:rPr>
                <w:color w:val="2B579A"/>
                <w:shd w:val="clear" w:color="auto" w:fill="E6E6E6"/>
              </w:rPr>
              <w:fldChar w:fldCharType="end"/>
            </w:r>
            <w:r>
              <w:rPr>
                <w:lang w:eastAsia="ko-KR"/>
              </w:rPr>
              <w:t>,</w:t>
            </w:r>
            <w:r w:rsidRPr="00435006">
              <w:rPr>
                <w:lang w:eastAsia="ko-KR"/>
              </w:rPr>
              <w:t xml:space="preserve"> </w:t>
            </w:r>
            <w:r>
              <w:rPr>
                <w:lang w:eastAsia="ko-KR"/>
              </w:rPr>
              <w:t>C-reactive protein levels</w:t>
            </w:r>
            <w:r w:rsidRPr="59D28559">
              <w:rPr>
                <w:lang w:eastAsia="ko-KR"/>
              </w:rPr>
              <w:t xml:space="preserve"> (basic model)</w:t>
            </w:r>
            <w:r>
              <w:fldChar w:fldCharType="begin"/>
            </w:r>
            <w:r>
              <w:rPr>
                <w:lang w:eastAsia="ko-KR"/>
              </w:rPr>
              <w:instrText xml:space="preserve"> ADDIN ZOTERO_ITEM CSL_CITATION {"citationID":"a26o17s7bup","properties":{"formattedCitation":"\\super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fldChar w:fldCharType="separate"/>
            </w:r>
            <w:r w:rsidRPr="00A10A06">
              <w:rPr>
                <w:vertAlign w:val="superscript"/>
              </w:rPr>
              <w:t>62</w:t>
            </w:r>
            <w:r>
              <w:fldChar w:fldCharType="end"/>
            </w:r>
            <w:r>
              <w:rPr>
                <w:lang w:eastAsia="ko-KR"/>
              </w:rPr>
              <w:t xml:space="preserve">, </w:t>
            </w:r>
            <w:r w:rsidRPr="00435006">
              <w:rPr>
                <w:lang w:eastAsia="ko-KR"/>
              </w:rPr>
              <w:t>Gestational ag</w:t>
            </w:r>
            <w:r>
              <w:rPr>
                <w:lang w:eastAsia="ko-KR"/>
              </w:rPr>
              <w:t>e</w:t>
            </w:r>
            <w:r>
              <w:rPr>
                <w:color w:val="2B579A"/>
                <w:shd w:val="clear" w:color="auto" w:fill="E6E6E6"/>
                <w:lang w:eastAsia="ko-KR"/>
              </w:rPr>
              <w:t>,</w:t>
            </w:r>
            <w:r>
              <w:rPr>
                <w:lang w:eastAsia="ko-KR"/>
              </w:rPr>
              <w:t xml:space="preserve"> </w:t>
            </w:r>
            <w:r w:rsidRPr="00435006">
              <w:rPr>
                <w:lang w:eastAsia="ko-KR"/>
              </w:rPr>
              <w:t xml:space="preserve">Chronic </w:t>
            </w:r>
            <w:r>
              <w:rPr>
                <w:lang w:eastAsia="ko-KR"/>
              </w:rPr>
              <w:t>p</w:t>
            </w:r>
            <w:r w:rsidRPr="00435006">
              <w:rPr>
                <w:lang w:eastAsia="ko-KR"/>
              </w:rPr>
              <w:t>ain (</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ZOTERO_ITEM CSL_CITATION {"citationID":"9fuQiXhd","properties":{"formattedCitation":"\\super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w:t>
            </w:r>
            <w:r w:rsidRPr="00CD7C68">
              <w:rPr>
                <w:lang w:val="fr-FR" w:eastAsia="ko-KR"/>
              </w:rPr>
              <w:t xml:space="preserve">Type 2 </w:t>
            </w:r>
            <w:proofErr w:type="spellStart"/>
            <w:r>
              <w:rPr>
                <w:lang w:val="fr-FR" w:eastAsia="ko-KR"/>
              </w:rPr>
              <w:t>d</w:t>
            </w:r>
            <w:r w:rsidRPr="00CD7C68">
              <w:rPr>
                <w:lang w:val="fr-FR" w:eastAsia="ko-KR"/>
              </w:rPr>
              <w:t>iabetes</w:t>
            </w:r>
            <w:proofErr w:type="spellEnd"/>
            <w:r w:rsidRPr="00CD7C68">
              <w:rPr>
                <w:lang w:val="fr-FR" w:eastAsia="ko-KR"/>
              </w:rPr>
              <w:t xml:space="preserve"> (</w:t>
            </w:r>
            <w:r w:rsidRPr="59D28559">
              <w:rPr>
                <w:lang w:val="fr-FR" w:eastAsia="ko-KR"/>
              </w:rPr>
              <w:t>basic model</w:t>
            </w:r>
            <w:r w:rsidRPr="00CD7C68">
              <w:rPr>
                <w:lang w:val="fr-FR" w:eastAsia="ko-KR"/>
              </w:rPr>
              <w:t>)</w:t>
            </w:r>
            <w:r w:rsidRPr="59D28559">
              <w:rPr>
                <w:color w:val="2B579A"/>
              </w:rPr>
              <w:fldChar w:fldCharType="begin"/>
            </w:r>
            <w:r>
              <w:rPr>
                <w:lang w:val="fr-FR" w:eastAsia="ko-KR"/>
              </w:rPr>
              <w:instrText xml:space="preserve"> ADDIN ZOTERO_ITEM CSL_CITATION {"citationID":"iTvdqdPv","properties":{"formattedCitation":"\\super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val="fr-FR"/>
              </w:rPr>
              <w:t xml:space="preserve">, </w:t>
            </w:r>
            <w:r>
              <w:t>A</w:t>
            </w:r>
            <w:r w:rsidRPr="00435006">
              <w:t>ge</w:t>
            </w:r>
            <w:r>
              <w:rPr>
                <w:color w:val="2B579A"/>
                <w:shd w:val="clear" w:color="auto" w:fill="E6E6E6"/>
              </w:rPr>
              <w:fldChar w:fldCharType="begin"/>
            </w:r>
            <w:r>
              <w:instrText xml:space="preserve"> ADDIN ZOTERO_ITEM CSL_CITATION {"citationID":"jzxWGV1o","properties":{"formattedCitation":"\\super 72\\nosupersub{}","plainCitation":"72","noteIndex":0},"citationItems":[{"id":1406,"uris":["http://zotero.org/users/8479915/items/XTBFG4WM"],"itemData":{"id":1406,"type":"article-journal","abstract":"DNA methylation (DNAm) is known to play a pivotal role in childhood health and development, but a comprehensive characterization of genome-wide DNAm trajectories across this age period is currently lacking. We have therefore performed a series of epigenome-wide association studies in 5019 blood samples collected at multiple time-points from birth to late adolescence from 2348 participants of two large independent cohorts. DNAm profiles of autosomal CpG sites (CpGs) were generated using the Illumina Infinium HumanMethylation450 BeadChip. Change over time was widespread, observed at over one-half (53%) of CpGs. In most cases, DNAm was decreasing (36% of CpGs). Inter-individual variation in linear trajectories was similarly widespread (27% of CpGs). Evidence for non-linear change and inter-individual variation in non-linear trajectories was somewhat less common (11 and 8% of CpGs, respectively). Very little inter-individual variation in change was explained by sex differences (0.4% of CpGs) even though sex-specific DNAm was observed at 5% of CpGs. DNAm trajectories were distributed non-randomly across the genome. For example, CpGs with decreasing DNAm were enriched in gene bodies and enhancers and were annotated to genes enriched in immune-developmental functions. In contrast, CpGs with increasing DNAm were enriched in promoter regions and annotated to genes enriched in neurodevelopmental functions. These findings depict a methylome undergoing widespread and often non-linear change throughout childhood. They support a developmental role for DNA me</w:instrText>
            </w:r>
            <w:r>
              <w:rPr>
                <w:lang w:eastAsia="ko-KR"/>
              </w:rPr>
              <w:instrText xml:space="preserve">thylation that extends beyond birth into late adolescence and has implications for understanding life-long health and disease. DNAm trajectories can be visualized at http://epidelta.mrcieu.ac.uk.","container-title":"Human Molecular Genetics","DOI":"10.1093/hmg/ddaa280","ISSN":"1460-2083","issue":"1","journalAbbreviation":"Hum Mol Genet","language":"eng","note":"PMID: 33450751\nPMCID: PMC8033147","page":"119-134","source":"PubMed","title":"Epigenome-wide change and variation in DNA methylation in childhood: trajectories from birth to late adolescence","title-short":"Epigenome-wide change and variation in DNA methylation in childhood","volume":"30","author":[{"family":"Mulder","given":"Rosa H."},{"family":"Neumann","given":"Alexander"},{"family":"Cecil","given":"Charlotte A. M."},{"family":"Walton","given":"Esther"},{"family":"Houtepen","given":"Lotte C."},{"family":"Simpkin","given":"Andrew J."},{"family":"Rijlaarsdam","given":"Jolien"},{"family":"Heijmans","given":"Bastiaan T."},{"family":"Gaunt","given":"Tom R."},{"family":"Felix","given":"Janine F."},{"family":"Jaddoe","given":"Vincent W. V."},{"family":"Bakermans-Kranenburg","given":"Marian J."},{"family":"Tiemeier","given":"Henning"},{"family":"Relton","given":"Caroline L."},{"family":"IJzendoorn","given":"Marinus H.","non-dropping-particle":"van"},{"family":"Suderman","given":"Matthew"}],"issued":{"date-parts":[["2021",3,25]]}}}],"schema":"https://github.com/citation-style-language/schema/raw/master/csl-citation.json"}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lang w:eastAsia="ko-KR"/>
              </w:rPr>
              <w:t>72</w:t>
            </w:r>
            <w:r>
              <w:rPr>
                <w:color w:val="2B579A"/>
                <w:shd w:val="clear" w:color="auto" w:fill="E6E6E6"/>
              </w:rPr>
              <w:fldChar w:fldCharType="end"/>
            </w:r>
          </w:p>
        </w:tc>
      </w:tr>
      <w:tr w:rsidR="009A0ABF" w:rsidRPr="00CD7C68" w14:paraId="5F1176EC" w14:textId="77777777" w:rsidTr="00CC22CE">
        <w:trPr>
          <w:trHeight w:val="320"/>
        </w:trPr>
        <w:tc>
          <w:tcPr>
            <w:tcW w:w="1560" w:type="dxa"/>
            <w:noWrap/>
            <w:hideMark/>
          </w:tcPr>
          <w:p w14:paraId="440E6DB9" w14:textId="77777777" w:rsidR="009A0ABF" w:rsidRPr="00435006" w:rsidRDefault="009A0ABF" w:rsidP="00CC22CE">
            <w:pPr>
              <w:spacing w:line="480" w:lineRule="auto"/>
              <w:rPr>
                <w:lang w:eastAsia="ko-KR"/>
              </w:rPr>
            </w:pPr>
            <w:r w:rsidRPr="00435006">
              <w:rPr>
                <w:lang w:eastAsia="ko-KR"/>
              </w:rPr>
              <w:t>cg15071067</w:t>
            </w:r>
          </w:p>
        </w:tc>
        <w:tc>
          <w:tcPr>
            <w:tcW w:w="709" w:type="dxa"/>
            <w:noWrap/>
            <w:hideMark/>
          </w:tcPr>
          <w:p w14:paraId="789421DA" w14:textId="77777777" w:rsidR="009A0ABF" w:rsidRPr="00435006" w:rsidRDefault="009A0ABF" w:rsidP="00CC22CE">
            <w:pPr>
              <w:spacing w:line="480" w:lineRule="auto"/>
              <w:rPr>
                <w:lang w:eastAsia="ko-KR"/>
              </w:rPr>
            </w:pPr>
            <w:r w:rsidRPr="00435006">
              <w:rPr>
                <w:lang w:eastAsia="ko-KR"/>
              </w:rPr>
              <w:t>2</w:t>
            </w:r>
          </w:p>
        </w:tc>
        <w:tc>
          <w:tcPr>
            <w:tcW w:w="1276" w:type="dxa"/>
            <w:noWrap/>
            <w:hideMark/>
          </w:tcPr>
          <w:p w14:paraId="65E3AB9E" w14:textId="77777777" w:rsidR="009A0ABF" w:rsidRPr="00435006" w:rsidRDefault="009A0ABF" w:rsidP="00CC22CE">
            <w:pPr>
              <w:spacing w:line="480" w:lineRule="auto"/>
              <w:rPr>
                <w:lang w:eastAsia="ko-KR"/>
              </w:rPr>
            </w:pPr>
            <w:r w:rsidRPr="00435006">
              <w:rPr>
                <w:lang w:eastAsia="ko-KR"/>
              </w:rPr>
              <w:t>74196550</w:t>
            </w:r>
          </w:p>
        </w:tc>
        <w:tc>
          <w:tcPr>
            <w:tcW w:w="1276" w:type="dxa"/>
            <w:noWrap/>
            <w:hideMark/>
          </w:tcPr>
          <w:p w14:paraId="6A3BBD2A" w14:textId="77777777" w:rsidR="009A0ABF" w:rsidRPr="00435006" w:rsidRDefault="009A0ABF" w:rsidP="00CC22CE">
            <w:pPr>
              <w:spacing w:line="480" w:lineRule="auto"/>
              <w:rPr>
                <w:lang w:eastAsia="ko-KR"/>
              </w:rPr>
            </w:pPr>
            <w:r w:rsidRPr="00435006">
              <w:rPr>
                <w:lang w:eastAsia="ko-KR"/>
              </w:rPr>
              <w:t>DGUOK-AS1</w:t>
            </w:r>
          </w:p>
        </w:tc>
        <w:tc>
          <w:tcPr>
            <w:tcW w:w="850" w:type="dxa"/>
            <w:noWrap/>
            <w:hideMark/>
          </w:tcPr>
          <w:p w14:paraId="10D4DC43" w14:textId="77777777" w:rsidR="009A0ABF" w:rsidRPr="00435006" w:rsidRDefault="009A0ABF" w:rsidP="00CC22CE">
            <w:pPr>
              <w:spacing w:line="480" w:lineRule="auto"/>
              <w:rPr>
                <w:lang w:eastAsia="ko-KR"/>
              </w:rPr>
            </w:pPr>
            <w:r w:rsidRPr="00265DC6">
              <w:rPr>
                <w:lang w:eastAsia="ko-KR"/>
              </w:rPr>
              <w:t>0.01</w:t>
            </w:r>
            <w:r>
              <w:rPr>
                <w:lang w:eastAsia="ko-KR"/>
              </w:rPr>
              <w:t>8</w:t>
            </w:r>
          </w:p>
        </w:tc>
        <w:tc>
          <w:tcPr>
            <w:tcW w:w="992" w:type="dxa"/>
            <w:noWrap/>
            <w:hideMark/>
          </w:tcPr>
          <w:p w14:paraId="5112AE50" w14:textId="77777777" w:rsidR="009A0ABF" w:rsidRPr="00435006" w:rsidRDefault="009A0ABF" w:rsidP="00CC22CE">
            <w:pPr>
              <w:spacing w:line="480" w:lineRule="auto"/>
              <w:rPr>
                <w:lang w:eastAsia="ko-KR"/>
              </w:rPr>
            </w:pPr>
            <w:r w:rsidRPr="00265DC6">
              <w:rPr>
                <w:lang w:eastAsia="ko-KR"/>
              </w:rPr>
              <w:t>0.0032</w:t>
            </w:r>
          </w:p>
        </w:tc>
        <w:tc>
          <w:tcPr>
            <w:tcW w:w="1276" w:type="dxa"/>
            <w:noWrap/>
            <w:hideMark/>
          </w:tcPr>
          <w:p w14:paraId="54B600D6" w14:textId="77777777" w:rsidR="009A0ABF" w:rsidRPr="00435006" w:rsidRDefault="009A0ABF" w:rsidP="00CC22CE">
            <w:pPr>
              <w:spacing w:line="480" w:lineRule="auto"/>
              <w:rPr>
                <w:lang w:eastAsia="ko-KR"/>
              </w:rPr>
            </w:pPr>
            <w:r w:rsidRPr="00435006">
              <w:rPr>
                <w:lang w:eastAsia="ko-KR"/>
              </w:rPr>
              <w:t>9.84</w:t>
            </w:r>
            <w:r>
              <w:rPr>
                <w:lang w:eastAsia="ko-KR"/>
              </w:rPr>
              <w:t>x10</w:t>
            </w:r>
            <w:r w:rsidRPr="00435006">
              <w:rPr>
                <w:vertAlign w:val="superscript"/>
                <w:lang w:eastAsia="ko-KR"/>
              </w:rPr>
              <w:t>-9</w:t>
            </w:r>
          </w:p>
        </w:tc>
        <w:tc>
          <w:tcPr>
            <w:tcW w:w="851" w:type="dxa"/>
          </w:tcPr>
          <w:p w14:paraId="654B0069" w14:textId="77777777" w:rsidR="009A0ABF" w:rsidRDefault="009A0ABF" w:rsidP="00CC22CE">
            <w:pPr>
              <w:spacing w:line="480" w:lineRule="auto"/>
              <w:rPr>
                <w:lang w:eastAsia="ko-KR"/>
              </w:rPr>
            </w:pPr>
            <w:r>
              <w:rPr>
                <w:lang w:eastAsia="ko-KR"/>
              </w:rPr>
              <w:t>0.020</w:t>
            </w:r>
          </w:p>
        </w:tc>
        <w:tc>
          <w:tcPr>
            <w:tcW w:w="992" w:type="dxa"/>
          </w:tcPr>
          <w:p w14:paraId="095BA0DA" w14:textId="77777777" w:rsidR="009A0ABF" w:rsidRDefault="009A0ABF" w:rsidP="00CC22CE">
            <w:pPr>
              <w:spacing w:line="480" w:lineRule="auto"/>
              <w:rPr>
                <w:lang w:eastAsia="ko-KR"/>
              </w:rPr>
            </w:pPr>
            <w:r>
              <w:rPr>
                <w:lang w:eastAsia="ko-KR"/>
              </w:rPr>
              <w:t>0.0042</w:t>
            </w:r>
          </w:p>
        </w:tc>
        <w:tc>
          <w:tcPr>
            <w:tcW w:w="1134" w:type="dxa"/>
          </w:tcPr>
          <w:p w14:paraId="1B368378" w14:textId="77777777" w:rsidR="009A0ABF" w:rsidRDefault="009A0ABF" w:rsidP="00CC22CE">
            <w:pPr>
              <w:spacing w:line="480" w:lineRule="auto"/>
              <w:rPr>
                <w:lang w:eastAsia="ko-KR"/>
              </w:rPr>
            </w:pPr>
            <w:r>
              <w:rPr>
                <w:lang w:eastAsia="ko-KR"/>
              </w:rPr>
              <w:t>3.3x10</w:t>
            </w:r>
            <w:r w:rsidRPr="001279F7">
              <w:rPr>
                <w:vertAlign w:val="superscript"/>
                <w:lang w:eastAsia="ko-KR"/>
              </w:rPr>
              <w:t>-6</w:t>
            </w:r>
          </w:p>
        </w:tc>
        <w:tc>
          <w:tcPr>
            <w:tcW w:w="4678" w:type="dxa"/>
            <w:noWrap/>
            <w:hideMark/>
          </w:tcPr>
          <w:p w14:paraId="155E55E2" w14:textId="77777777" w:rsidR="009A0ABF" w:rsidRPr="0014756A" w:rsidRDefault="009A0ABF" w:rsidP="00CC22CE">
            <w:pPr>
              <w:spacing w:line="480" w:lineRule="auto"/>
              <w:rPr>
                <w:lang w:eastAsia="ko-KR"/>
              </w:rPr>
            </w:pPr>
            <w:r>
              <w:rPr>
                <w:lang w:eastAsia="ko-KR"/>
              </w:rPr>
              <w:t>C-reactive protein levels</w:t>
            </w:r>
            <w:r w:rsidRPr="59D28559">
              <w:rPr>
                <w:lang w:eastAsia="ko-KR"/>
              </w:rPr>
              <w:t xml:space="preserve"> (basic model)</w:t>
            </w:r>
            <w:r>
              <w:rPr>
                <w:lang w:eastAsia="ko-KR"/>
              </w:rPr>
              <w:fldChar w:fldCharType="begin"/>
            </w:r>
            <w:r>
              <w:rPr>
                <w:lang w:eastAsia="ko-KR"/>
              </w:rPr>
              <w:instrText xml:space="preserve"> ADDIN ZOTERO_ITEM CSL_CITATION {"citationID":"a1n73c2on7r","properties":{"formattedCitation":"\\super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rPr>
                <w:lang w:eastAsia="ko-KR"/>
              </w:rPr>
              <w:fldChar w:fldCharType="separate"/>
            </w:r>
            <w:r w:rsidRPr="00A10A06">
              <w:rPr>
                <w:vertAlign w:val="superscript"/>
              </w:rPr>
              <w:t>62</w:t>
            </w:r>
            <w:r>
              <w:rPr>
                <w:lang w:eastAsia="ko-KR"/>
              </w:rPr>
              <w:fldChar w:fldCharType="end"/>
            </w:r>
            <w:r>
              <w:rPr>
                <w:lang w:eastAsia="ko-KR"/>
              </w:rPr>
              <w:t xml:space="preserve">,  </w:t>
            </w:r>
            <w:r w:rsidRPr="00435006">
              <w:rPr>
                <w:lang w:eastAsia="ko-KR"/>
              </w:rPr>
              <w:t xml:space="preserve">Incident </w:t>
            </w:r>
            <w:r>
              <w:rPr>
                <w:lang w:eastAsia="ko-KR"/>
              </w:rPr>
              <w:t>c</w:t>
            </w:r>
            <w:r w:rsidRPr="00435006">
              <w:rPr>
                <w:lang w:eastAsia="ko-KR"/>
              </w:rPr>
              <w:t xml:space="preserve">hronic </w:t>
            </w:r>
            <w:r>
              <w:rPr>
                <w:lang w:eastAsia="ko-KR"/>
              </w:rPr>
              <w:t>p</w:t>
            </w:r>
            <w:r w:rsidRPr="00435006">
              <w:rPr>
                <w:lang w:eastAsia="ko-KR"/>
              </w:rPr>
              <w:t>ain</w:t>
            </w:r>
            <w:r w:rsidRPr="59D28559">
              <w:rPr>
                <w:lang w:eastAsia="ko-KR"/>
              </w:rPr>
              <w:t xml:space="preserve"> (basic model)</w:t>
            </w:r>
            <w:r w:rsidRPr="59D28559">
              <w:rPr>
                <w:color w:val="2B579A"/>
              </w:rPr>
              <w:fldChar w:fldCharType="begin"/>
            </w:r>
            <w:r>
              <w:rPr>
                <w:lang w:eastAsia="ko-KR"/>
              </w:rPr>
              <w:instrText xml:space="preserve"> ADDIN ZOTERO_ITEM CSL_CITATION {"citationID":"Oz7j8oOe","properties":{"formattedCitation":"\\super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w:t>
            </w:r>
            <w:r>
              <w:rPr>
                <w:lang w:eastAsia="ko-KR"/>
              </w:rPr>
              <w:t xml:space="preserve"> </w:t>
            </w:r>
            <w:r w:rsidRPr="00435006">
              <w:rPr>
                <w:lang w:eastAsia="ko-KR"/>
              </w:rPr>
              <w:t xml:space="preserve">Incident </w:t>
            </w:r>
            <w:r>
              <w:rPr>
                <w:lang w:eastAsia="ko-KR"/>
              </w:rPr>
              <w:t>t</w:t>
            </w:r>
            <w:r w:rsidRPr="00435006">
              <w:rPr>
                <w:lang w:eastAsia="ko-KR"/>
              </w:rPr>
              <w:t xml:space="preserve">ype 2 </w:t>
            </w:r>
            <w:r>
              <w:rPr>
                <w:lang w:eastAsia="ko-KR"/>
              </w:rPr>
              <w:t>d</w:t>
            </w:r>
            <w:r w:rsidRPr="00435006">
              <w:rPr>
                <w:lang w:eastAsia="ko-KR"/>
              </w:rPr>
              <w:t>iabetes</w:t>
            </w:r>
            <w:r w:rsidRPr="59D28559">
              <w:rPr>
                <w:lang w:eastAsia="ko-KR"/>
              </w:rPr>
              <w:t xml:space="preserve"> (basic &amp; fully adjusted model)</w:t>
            </w:r>
            <w:r w:rsidRPr="59D28559">
              <w:rPr>
                <w:color w:val="2B579A"/>
              </w:rPr>
              <w:fldChar w:fldCharType="begin"/>
            </w:r>
            <w:r>
              <w:rPr>
                <w:lang w:eastAsia="ko-KR"/>
              </w:rPr>
              <w:instrText xml:space="preserve"> ADDIN ZOTERO_ITEM CSL_CITATION {"citationID":"8hecx3lP","properties":{"formattedCitation":"\\super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Chronic </w:t>
            </w:r>
            <w:r>
              <w:rPr>
                <w:lang w:eastAsia="ko-KR"/>
              </w:rPr>
              <w:t>p</w:t>
            </w:r>
            <w:r w:rsidRPr="00435006">
              <w:rPr>
                <w:lang w:eastAsia="ko-KR"/>
              </w:rPr>
              <w:t>ain (</w:t>
            </w:r>
            <w:r>
              <w:rPr>
                <w:lang w:eastAsia="ko-KR"/>
              </w:rPr>
              <w:t>s</w:t>
            </w:r>
            <w:r w:rsidRPr="00435006">
              <w:rPr>
                <w:lang w:eastAsia="ko-KR"/>
              </w:rPr>
              <w:t>elf-report</w:t>
            </w:r>
            <w:r>
              <w:rPr>
                <w:lang w:eastAsia="ko-KR"/>
              </w:rPr>
              <w:t>)</w:t>
            </w:r>
            <w:r>
              <w:rPr>
                <w:color w:val="2B579A"/>
                <w:shd w:val="clear" w:color="auto" w:fill="E6E6E6"/>
              </w:rPr>
              <w:fldChar w:fldCharType="begin"/>
            </w:r>
            <w:r>
              <w:rPr>
                <w:lang w:eastAsia="ko-KR"/>
              </w:rPr>
              <w:instrText xml:space="preserve"> ADDIN ZOTERO_ITEM CSL_CITATION {"citationID":"nTZizZPU","properties":{"formattedCitation":"\\super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color w:val="2B579A"/>
                <w:shd w:val="clear" w:color="auto" w:fill="E6E6E6"/>
              </w:rPr>
              <w:fldChar w:fldCharType="separate"/>
            </w:r>
            <w:r w:rsidRPr="00A10A06">
              <w:rPr>
                <w:rFonts w:ascii="Calibri" w:hAnsiTheme="minorHAnsi" w:cs="Calibri"/>
                <w:vertAlign w:val="superscript"/>
              </w:rPr>
              <w:t>59</w:t>
            </w:r>
            <w:r>
              <w:rPr>
                <w:color w:val="2B579A"/>
                <w:shd w:val="clear" w:color="auto" w:fill="E6E6E6"/>
              </w:rPr>
              <w:fldChar w:fldCharType="end"/>
            </w:r>
            <w:r>
              <w:rPr>
                <w:lang w:eastAsia="ko-KR"/>
              </w:rPr>
              <w:t>,</w:t>
            </w:r>
            <w:r w:rsidRPr="00435006">
              <w:rPr>
                <w:lang w:eastAsia="ko-KR"/>
              </w:rPr>
              <w:t xml:space="preserve"> </w:t>
            </w:r>
            <w:r w:rsidRPr="00CD7C68">
              <w:rPr>
                <w:lang w:val="fr-FR" w:eastAsia="ko-KR"/>
              </w:rPr>
              <w:t xml:space="preserve">Type 2 </w:t>
            </w:r>
            <w:proofErr w:type="spellStart"/>
            <w:r>
              <w:rPr>
                <w:lang w:val="fr-FR" w:eastAsia="ko-KR"/>
              </w:rPr>
              <w:t>d</w:t>
            </w:r>
            <w:r w:rsidRPr="00CD7C68">
              <w:rPr>
                <w:lang w:val="fr-FR" w:eastAsia="ko-KR"/>
              </w:rPr>
              <w:t>iabetes</w:t>
            </w:r>
            <w:proofErr w:type="spellEnd"/>
            <w:r w:rsidRPr="00CD7C68">
              <w:rPr>
                <w:lang w:val="fr-FR" w:eastAsia="ko-KR"/>
              </w:rPr>
              <w:t xml:space="preserve"> (</w:t>
            </w:r>
            <w:r w:rsidRPr="59D28559">
              <w:rPr>
                <w:lang w:val="fr-FR" w:eastAsia="ko-KR"/>
              </w:rPr>
              <w:t>basic model</w:t>
            </w:r>
            <w:r w:rsidRPr="00CD7C68">
              <w:rPr>
                <w:lang w:val="fr-FR" w:eastAsia="ko-KR"/>
              </w:rPr>
              <w:t>)</w:t>
            </w:r>
            <w:r w:rsidRPr="59D28559">
              <w:rPr>
                <w:color w:val="2B579A"/>
              </w:rPr>
              <w:fldChar w:fldCharType="begin"/>
            </w:r>
            <w:r>
              <w:rPr>
                <w:lang w:val="fr-FR" w:eastAsia="ko-KR"/>
              </w:rPr>
              <w:instrText xml:space="preserve"> ADDIN ZOTERO_ITEM CSL_CITATION {"citationID":"zfnKtWcc","properties":{"formattedCitation":"\\super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w:instrText>
            </w:r>
            <w:r w:rsidRPr="00A10A06">
              <w:rPr>
                <w:lang w:eastAsia="ko-KR"/>
              </w:rPr>
              <w:instrText xml:space="preserve">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sidRPr="0014756A">
              <w:rPr>
                <w:lang w:eastAsia="ko-KR"/>
              </w:rPr>
              <w:t xml:space="preserve"> </w:t>
            </w:r>
          </w:p>
        </w:tc>
      </w:tr>
      <w:tr w:rsidR="009A0ABF" w:rsidRPr="00CD7C68" w14:paraId="137C2872" w14:textId="77777777" w:rsidTr="00CC22CE">
        <w:trPr>
          <w:trHeight w:val="320"/>
        </w:trPr>
        <w:tc>
          <w:tcPr>
            <w:tcW w:w="1560" w:type="dxa"/>
            <w:noWrap/>
          </w:tcPr>
          <w:p w14:paraId="3C0C21F0" w14:textId="77777777" w:rsidR="009A0ABF" w:rsidRPr="00435006" w:rsidRDefault="009A0ABF" w:rsidP="00CC22CE">
            <w:pPr>
              <w:spacing w:line="480" w:lineRule="auto"/>
              <w:rPr>
                <w:lang w:eastAsia="ko-KR"/>
              </w:rPr>
            </w:pPr>
            <w:r>
              <w:rPr>
                <w:lang w:eastAsia="ko-KR"/>
              </w:rPr>
              <w:t>cg01964004</w:t>
            </w:r>
          </w:p>
        </w:tc>
        <w:tc>
          <w:tcPr>
            <w:tcW w:w="709" w:type="dxa"/>
            <w:noWrap/>
          </w:tcPr>
          <w:p w14:paraId="387EC4BC" w14:textId="77777777" w:rsidR="009A0ABF" w:rsidRPr="00435006" w:rsidRDefault="009A0ABF" w:rsidP="00CC22CE">
            <w:pPr>
              <w:spacing w:line="480" w:lineRule="auto"/>
              <w:rPr>
                <w:lang w:eastAsia="ko-KR"/>
              </w:rPr>
            </w:pPr>
            <w:r>
              <w:rPr>
                <w:lang w:eastAsia="ko-KR"/>
              </w:rPr>
              <w:t>2</w:t>
            </w:r>
          </w:p>
        </w:tc>
        <w:tc>
          <w:tcPr>
            <w:tcW w:w="1276" w:type="dxa"/>
            <w:noWrap/>
          </w:tcPr>
          <w:p w14:paraId="724E4440" w14:textId="77777777" w:rsidR="009A0ABF" w:rsidRPr="00435006" w:rsidRDefault="009A0ABF" w:rsidP="00CC22CE">
            <w:pPr>
              <w:spacing w:line="480" w:lineRule="auto"/>
              <w:rPr>
                <w:lang w:eastAsia="ko-KR"/>
              </w:rPr>
            </w:pPr>
            <w:r>
              <w:rPr>
                <w:lang w:eastAsia="ko-KR"/>
              </w:rPr>
              <w:t>74196572</w:t>
            </w:r>
          </w:p>
        </w:tc>
        <w:tc>
          <w:tcPr>
            <w:tcW w:w="1276" w:type="dxa"/>
            <w:noWrap/>
          </w:tcPr>
          <w:p w14:paraId="3F9D30EE" w14:textId="77777777" w:rsidR="009A0ABF" w:rsidRPr="00435006" w:rsidRDefault="009A0ABF" w:rsidP="00CC22CE">
            <w:pPr>
              <w:spacing w:line="480" w:lineRule="auto"/>
              <w:rPr>
                <w:lang w:eastAsia="ko-KR"/>
              </w:rPr>
            </w:pPr>
            <w:r>
              <w:rPr>
                <w:lang w:eastAsia="ko-KR"/>
              </w:rPr>
              <w:t>DGUOK-AS1</w:t>
            </w:r>
          </w:p>
        </w:tc>
        <w:tc>
          <w:tcPr>
            <w:tcW w:w="850" w:type="dxa"/>
            <w:noWrap/>
          </w:tcPr>
          <w:p w14:paraId="0C6AE0AC" w14:textId="77777777" w:rsidR="009A0ABF" w:rsidRPr="00265DC6" w:rsidRDefault="009A0ABF" w:rsidP="00CC22CE">
            <w:pPr>
              <w:spacing w:line="480" w:lineRule="auto"/>
              <w:rPr>
                <w:lang w:eastAsia="ko-KR"/>
              </w:rPr>
            </w:pPr>
            <w:r>
              <w:rPr>
                <w:lang w:eastAsia="ko-KR"/>
              </w:rPr>
              <w:t>0.017</w:t>
            </w:r>
          </w:p>
        </w:tc>
        <w:tc>
          <w:tcPr>
            <w:tcW w:w="992" w:type="dxa"/>
            <w:noWrap/>
          </w:tcPr>
          <w:p w14:paraId="7B39E186" w14:textId="77777777" w:rsidR="009A0ABF" w:rsidRPr="00265DC6" w:rsidRDefault="009A0ABF" w:rsidP="00CC22CE">
            <w:pPr>
              <w:spacing w:line="480" w:lineRule="auto"/>
              <w:rPr>
                <w:lang w:eastAsia="ko-KR"/>
              </w:rPr>
            </w:pPr>
            <w:r>
              <w:rPr>
                <w:lang w:eastAsia="ko-KR"/>
              </w:rPr>
              <w:t>0.0036</w:t>
            </w:r>
          </w:p>
        </w:tc>
        <w:tc>
          <w:tcPr>
            <w:tcW w:w="1276" w:type="dxa"/>
            <w:noWrap/>
          </w:tcPr>
          <w:p w14:paraId="768DD6F9" w14:textId="77777777" w:rsidR="009A0ABF" w:rsidRPr="00435006" w:rsidRDefault="009A0ABF" w:rsidP="00CC22CE">
            <w:pPr>
              <w:spacing w:line="480" w:lineRule="auto"/>
              <w:rPr>
                <w:lang w:eastAsia="ko-KR"/>
              </w:rPr>
            </w:pPr>
            <w:r>
              <w:rPr>
                <w:lang w:eastAsia="ko-KR"/>
              </w:rPr>
              <w:t>1.3X10</w:t>
            </w:r>
            <w:r w:rsidRPr="001279F7">
              <w:rPr>
                <w:vertAlign w:val="superscript"/>
                <w:lang w:eastAsia="ko-KR"/>
              </w:rPr>
              <w:t>-6</w:t>
            </w:r>
          </w:p>
        </w:tc>
        <w:tc>
          <w:tcPr>
            <w:tcW w:w="851" w:type="dxa"/>
          </w:tcPr>
          <w:p w14:paraId="3A7D140E" w14:textId="77777777" w:rsidR="009A0ABF" w:rsidRDefault="009A0ABF" w:rsidP="00CC22CE">
            <w:pPr>
              <w:spacing w:line="480" w:lineRule="auto"/>
              <w:rPr>
                <w:lang w:eastAsia="ko-KR"/>
              </w:rPr>
            </w:pPr>
            <w:r>
              <w:rPr>
                <w:lang w:eastAsia="ko-KR"/>
              </w:rPr>
              <w:t>0.026</w:t>
            </w:r>
          </w:p>
        </w:tc>
        <w:tc>
          <w:tcPr>
            <w:tcW w:w="992" w:type="dxa"/>
          </w:tcPr>
          <w:p w14:paraId="6B7731D4" w14:textId="77777777" w:rsidR="009A0ABF" w:rsidRDefault="009A0ABF" w:rsidP="00CC22CE">
            <w:pPr>
              <w:spacing w:line="480" w:lineRule="auto"/>
              <w:rPr>
                <w:lang w:eastAsia="ko-KR"/>
              </w:rPr>
            </w:pPr>
            <w:r>
              <w:rPr>
                <w:lang w:eastAsia="ko-KR"/>
              </w:rPr>
              <w:t>0.0047</w:t>
            </w:r>
          </w:p>
        </w:tc>
        <w:tc>
          <w:tcPr>
            <w:tcW w:w="1134" w:type="dxa"/>
          </w:tcPr>
          <w:p w14:paraId="56BF7C90" w14:textId="77777777" w:rsidR="009A0ABF" w:rsidRDefault="009A0ABF" w:rsidP="00CC22CE">
            <w:pPr>
              <w:spacing w:line="480" w:lineRule="auto"/>
              <w:rPr>
                <w:lang w:eastAsia="ko-KR"/>
              </w:rPr>
            </w:pPr>
            <w:r>
              <w:rPr>
                <w:lang w:eastAsia="ko-KR"/>
              </w:rPr>
              <w:t>3.0x10</w:t>
            </w:r>
            <w:r w:rsidRPr="001279F7">
              <w:rPr>
                <w:vertAlign w:val="superscript"/>
                <w:lang w:eastAsia="ko-KR"/>
              </w:rPr>
              <w:t>-8</w:t>
            </w:r>
          </w:p>
        </w:tc>
        <w:tc>
          <w:tcPr>
            <w:tcW w:w="4678" w:type="dxa"/>
            <w:noWrap/>
          </w:tcPr>
          <w:p w14:paraId="0B1A8565" w14:textId="77777777" w:rsidR="009A0ABF" w:rsidRDefault="009A0ABF" w:rsidP="00CC22CE">
            <w:pPr>
              <w:spacing w:line="480" w:lineRule="auto"/>
              <w:rPr>
                <w:lang w:eastAsia="ko-KR"/>
              </w:rPr>
            </w:pPr>
            <w:r>
              <w:rPr>
                <w:lang w:eastAsia="ko-KR"/>
              </w:rPr>
              <w:t>C-reactive protein levels</w:t>
            </w:r>
            <w:r w:rsidRPr="59D28559">
              <w:rPr>
                <w:lang w:eastAsia="ko-KR"/>
              </w:rPr>
              <w:t xml:space="preserve"> (basic model)</w:t>
            </w:r>
            <w:r>
              <w:rPr>
                <w:lang w:eastAsia="ko-KR"/>
              </w:rPr>
              <w:fldChar w:fldCharType="begin"/>
            </w:r>
            <w:r>
              <w:rPr>
                <w:lang w:eastAsia="ko-KR"/>
              </w:rPr>
              <w:instrText xml:space="preserve"> ADDIN ZOTERO_ITEM CSL_CITATION {"citationID":"acoegtc3th","properties":{"formattedCitation":"\\super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rPr>
                <w:lang w:eastAsia="ko-KR"/>
              </w:rPr>
              <w:fldChar w:fldCharType="separate"/>
            </w:r>
            <w:r w:rsidRPr="00A10A06">
              <w:rPr>
                <w:vertAlign w:val="superscript"/>
              </w:rPr>
              <w:t>62</w:t>
            </w:r>
            <w:r>
              <w:rPr>
                <w:lang w:eastAsia="ko-KR"/>
              </w:rPr>
              <w:fldChar w:fldCharType="end"/>
            </w:r>
            <w:r>
              <w:rPr>
                <w:lang w:eastAsia="ko-KR"/>
              </w:rPr>
              <w:t>, Incident type 2 diabetes</w:t>
            </w:r>
            <w:r w:rsidRPr="59D28559">
              <w:rPr>
                <w:lang w:eastAsia="ko-KR"/>
              </w:rPr>
              <w:t xml:space="preserve"> (basic &amp; fully adjusted model)</w:t>
            </w:r>
            <w:r>
              <w:rPr>
                <w:lang w:eastAsia="ko-KR"/>
              </w:rPr>
              <w:fldChar w:fldCharType="begin"/>
            </w:r>
            <w:r>
              <w:rPr>
                <w:lang w:eastAsia="ko-KR"/>
              </w:rPr>
              <w:instrText xml:space="preserve"> ADDIN ZOTERO_ITEM CSL_CITATION {"citationID":"a1nlo2ap7ds","properties":{"formattedCitation":"\\super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lang w:eastAsia="ko-KR"/>
              </w:rPr>
              <w:fldChar w:fldCharType="separate"/>
            </w:r>
            <w:r w:rsidRPr="00A10A06">
              <w:rPr>
                <w:vertAlign w:val="superscript"/>
              </w:rPr>
              <w:t>59</w:t>
            </w:r>
            <w:r>
              <w:rPr>
                <w:lang w:eastAsia="ko-KR"/>
              </w:rPr>
              <w:fldChar w:fldCharType="end"/>
            </w:r>
            <w:r>
              <w:rPr>
                <w:lang w:eastAsia="ko-KR"/>
              </w:rPr>
              <w:t>, Chronic pain (</w:t>
            </w:r>
            <w:r w:rsidRPr="59D28559">
              <w:rPr>
                <w:lang w:eastAsia="ko-KR"/>
              </w:rPr>
              <w:t>basic model</w:t>
            </w:r>
            <w:r>
              <w:rPr>
                <w:lang w:eastAsia="ko-KR"/>
              </w:rPr>
              <w:t>)</w:t>
            </w:r>
            <w:r>
              <w:rPr>
                <w:lang w:eastAsia="ko-KR"/>
              </w:rPr>
              <w:fldChar w:fldCharType="begin"/>
            </w:r>
            <w:r>
              <w:rPr>
                <w:lang w:eastAsia="ko-KR"/>
              </w:rPr>
              <w:instrText xml:space="preserve"> ADDIN ZOTERO_ITEM CSL_CITATION {"citationID":"a1s49udt4om","properties":{"formattedCitation":"\\super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lang w:eastAsia="ko-KR"/>
              </w:rPr>
              <w:fldChar w:fldCharType="separate"/>
            </w:r>
            <w:r w:rsidRPr="00A10A06">
              <w:rPr>
                <w:vertAlign w:val="superscript"/>
              </w:rPr>
              <w:t>59</w:t>
            </w:r>
            <w:r>
              <w:rPr>
                <w:lang w:eastAsia="ko-KR"/>
              </w:rPr>
              <w:fldChar w:fldCharType="end"/>
            </w:r>
            <w:r>
              <w:rPr>
                <w:lang w:eastAsia="ko-KR"/>
              </w:rPr>
              <w:t>, Ischemic heart disease</w:t>
            </w:r>
            <w:r w:rsidRPr="59D28559">
              <w:rPr>
                <w:lang w:eastAsia="ko-KR"/>
              </w:rPr>
              <w:t xml:space="preserve"> (basic model)</w:t>
            </w:r>
            <w:r>
              <w:rPr>
                <w:lang w:eastAsia="ko-KR"/>
              </w:rPr>
              <w:fldChar w:fldCharType="begin"/>
            </w:r>
            <w:r>
              <w:rPr>
                <w:lang w:eastAsia="ko-KR"/>
              </w:rPr>
              <w:instrText xml:space="preserve"> ADDIN ZOTERO_ITEM CSL_CITATION {"citationID":"aliovdjbtr","properties":{"formattedCitation":"\\super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lang w:eastAsia="ko-KR"/>
              </w:rPr>
              <w:fldChar w:fldCharType="separate"/>
            </w:r>
            <w:r w:rsidRPr="00A10A06">
              <w:rPr>
                <w:vertAlign w:val="superscript"/>
              </w:rPr>
              <w:t>59</w:t>
            </w:r>
            <w:r>
              <w:rPr>
                <w:lang w:eastAsia="ko-KR"/>
              </w:rPr>
              <w:fldChar w:fldCharType="end"/>
            </w:r>
            <w:r>
              <w:rPr>
                <w:lang w:eastAsia="ko-KR"/>
              </w:rPr>
              <w:t>, Type 2 diabetes</w:t>
            </w:r>
            <w:r w:rsidRPr="59D28559">
              <w:rPr>
                <w:lang w:eastAsia="ko-KR"/>
              </w:rPr>
              <w:t xml:space="preserve"> (basic model)</w:t>
            </w:r>
            <w:r>
              <w:rPr>
                <w:lang w:eastAsia="ko-KR"/>
              </w:rPr>
              <w:fldChar w:fldCharType="begin"/>
            </w:r>
            <w:r>
              <w:rPr>
                <w:lang w:eastAsia="ko-KR"/>
              </w:rPr>
              <w:instrText xml:space="preserve"> ADDIN ZOTERO_ITEM CSL_CITATION {"citationID":"KJ55eDPz","properties":{"formattedCitation":"\\super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lang w:eastAsia="ko-KR"/>
              </w:rPr>
              <w:fldChar w:fldCharType="separate"/>
            </w:r>
            <w:r w:rsidRPr="00A10A06">
              <w:rPr>
                <w:vertAlign w:val="superscript"/>
                <w:lang w:eastAsia="ko-KR"/>
              </w:rPr>
              <w:t>59</w:t>
            </w:r>
            <w:r>
              <w:rPr>
                <w:lang w:eastAsia="ko-KR"/>
              </w:rPr>
              <w:fldChar w:fldCharType="end"/>
            </w:r>
            <w:r>
              <w:rPr>
                <w:lang w:eastAsia="ko-KR"/>
              </w:rPr>
              <w:fldChar w:fldCharType="begin"/>
            </w:r>
            <w:r>
              <w:rPr>
                <w:lang w:eastAsia="ko-KR"/>
              </w:rPr>
              <w:instrText xml:space="preserve"> PRINTDATE  \* MERGEFORMAT </w:instrText>
            </w:r>
            <w:r>
              <w:rPr>
                <w:lang w:eastAsia="ko-KR"/>
              </w:rPr>
              <w:fldChar w:fldCharType="separate"/>
            </w:r>
            <w:r>
              <w:rPr>
                <w:lang w:eastAsia="ko-KR"/>
              </w:rPr>
              <w:fldChar w:fldCharType="end"/>
            </w:r>
          </w:p>
        </w:tc>
      </w:tr>
      <w:tr w:rsidR="009A0ABF" w:rsidRPr="006E33C5" w14:paraId="51DFDF0F" w14:textId="77777777" w:rsidTr="00CC22CE">
        <w:trPr>
          <w:trHeight w:val="320"/>
        </w:trPr>
        <w:tc>
          <w:tcPr>
            <w:tcW w:w="1560" w:type="dxa"/>
            <w:noWrap/>
            <w:hideMark/>
          </w:tcPr>
          <w:p w14:paraId="1D284C19" w14:textId="77777777" w:rsidR="009A0ABF" w:rsidRPr="00435006" w:rsidRDefault="009A0ABF" w:rsidP="00CC22CE">
            <w:pPr>
              <w:spacing w:line="480" w:lineRule="auto"/>
              <w:rPr>
                <w:lang w:eastAsia="ko-KR"/>
              </w:rPr>
            </w:pPr>
            <w:r w:rsidRPr="00435006">
              <w:rPr>
                <w:lang w:eastAsia="ko-KR"/>
              </w:rPr>
              <w:lastRenderedPageBreak/>
              <w:t>cg03222540</w:t>
            </w:r>
          </w:p>
        </w:tc>
        <w:tc>
          <w:tcPr>
            <w:tcW w:w="709" w:type="dxa"/>
            <w:noWrap/>
            <w:hideMark/>
          </w:tcPr>
          <w:p w14:paraId="2DFC14C7" w14:textId="77777777" w:rsidR="009A0ABF" w:rsidRPr="00435006" w:rsidRDefault="009A0ABF" w:rsidP="00CC22CE">
            <w:pPr>
              <w:spacing w:line="480" w:lineRule="auto"/>
              <w:rPr>
                <w:lang w:eastAsia="ko-KR"/>
              </w:rPr>
            </w:pPr>
            <w:r w:rsidRPr="00435006">
              <w:rPr>
                <w:lang w:eastAsia="ko-KR"/>
              </w:rPr>
              <w:t>15</w:t>
            </w:r>
          </w:p>
        </w:tc>
        <w:tc>
          <w:tcPr>
            <w:tcW w:w="1276" w:type="dxa"/>
            <w:noWrap/>
            <w:hideMark/>
          </w:tcPr>
          <w:p w14:paraId="3AB5EAE3" w14:textId="77777777" w:rsidR="009A0ABF" w:rsidRPr="00435006" w:rsidRDefault="009A0ABF" w:rsidP="00CC22CE">
            <w:pPr>
              <w:spacing w:line="480" w:lineRule="auto"/>
              <w:rPr>
                <w:lang w:eastAsia="ko-KR"/>
              </w:rPr>
            </w:pPr>
            <w:r w:rsidRPr="00435006">
              <w:rPr>
                <w:lang w:eastAsia="ko-KR"/>
              </w:rPr>
              <w:t>90575080</w:t>
            </w:r>
          </w:p>
        </w:tc>
        <w:tc>
          <w:tcPr>
            <w:tcW w:w="1276" w:type="dxa"/>
            <w:noWrap/>
            <w:hideMark/>
          </w:tcPr>
          <w:p w14:paraId="7000E313" w14:textId="77777777" w:rsidR="009A0ABF" w:rsidRPr="00435006" w:rsidRDefault="009A0ABF" w:rsidP="00CC22CE">
            <w:pPr>
              <w:spacing w:line="480" w:lineRule="auto"/>
              <w:rPr>
                <w:lang w:eastAsia="ko-KR"/>
              </w:rPr>
            </w:pPr>
            <w:r w:rsidRPr="00435006">
              <w:rPr>
                <w:lang w:eastAsia="ko-KR"/>
              </w:rPr>
              <w:t>ZNF710</w:t>
            </w:r>
          </w:p>
        </w:tc>
        <w:tc>
          <w:tcPr>
            <w:tcW w:w="850" w:type="dxa"/>
            <w:noWrap/>
            <w:hideMark/>
          </w:tcPr>
          <w:p w14:paraId="6D143D38" w14:textId="77777777" w:rsidR="009A0ABF" w:rsidRPr="00435006" w:rsidRDefault="009A0ABF" w:rsidP="00CC22CE">
            <w:pPr>
              <w:spacing w:line="480" w:lineRule="auto"/>
              <w:rPr>
                <w:lang w:eastAsia="ko-KR"/>
              </w:rPr>
            </w:pPr>
            <w:r w:rsidRPr="00265DC6">
              <w:rPr>
                <w:lang w:eastAsia="ko-KR"/>
              </w:rPr>
              <w:t>0.014</w:t>
            </w:r>
          </w:p>
        </w:tc>
        <w:tc>
          <w:tcPr>
            <w:tcW w:w="992" w:type="dxa"/>
            <w:noWrap/>
            <w:hideMark/>
          </w:tcPr>
          <w:p w14:paraId="3C7D8E25" w14:textId="77777777" w:rsidR="009A0ABF" w:rsidRPr="00435006" w:rsidRDefault="009A0ABF" w:rsidP="00CC22CE">
            <w:pPr>
              <w:spacing w:line="480" w:lineRule="auto"/>
              <w:rPr>
                <w:lang w:eastAsia="ko-KR"/>
              </w:rPr>
            </w:pPr>
            <w:r w:rsidRPr="00265DC6">
              <w:rPr>
                <w:lang w:eastAsia="ko-KR"/>
              </w:rPr>
              <w:t>0.002</w:t>
            </w:r>
          </w:p>
        </w:tc>
        <w:tc>
          <w:tcPr>
            <w:tcW w:w="1276" w:type="dxa"/>
            <w:noWrap/>
            <w:hideMark/>
          </w:tcPr>
          <w:p w14:paraId="37C30493" w14:textId="77777777" w:rsidR="009A0ABF" w:rsidRPr="00435006" w:rsidRDefault="009A0ABF" w:rsidP="00CC22CE">
            <w:pPr>
              <w:spacing w:line="480" w:lineRule="auto"/>
              <w:rPr>
                <w:lang w:eastAsia="ko-KR"/>
              </w:rPr>
            </w:pPr>
            <w:r w:rsidRPr="00435006">
              <w:rPr>
                <w:lang w:eastAsia="ko-KR"/>
              </w:rPr>
              <w:t>2.05</w:t>
            </w:r>
            <w:r>
              <w:rPr>
                <w:lang w:eastAsia="ko-KR"/>
              </w:rPr>
              <w:t>x10</w:t>
            </w:r>
            <w:r w:rsidRPr="00435006">
              <w:rPr>
                <w:vertAlign w:val="superscript"/>
                <w:lang w:eastAsia="ko-KR"/>
              </w:rPr>
              <w:t>-8</w:t>
            </w:r>
          </w:p>
        </w:tc>
        <w:tc>
          <w:tcPr>
            <w:tcW w:w="851" w:type="dxa"/>
          </w:tcPr>
          <w:p w14:paraId="4F933ACB" w14:textId="77777777" w:rsidR="009A0ABF" w:rsidRDefault="009A0ABF" w:rsidP="00CC22CE">
            <w:pPr>
              <w:spacing w:line="480" w:lineRule="auto"/>
              <w:rPr>
                <w:lang w:eastAsia="ko-KR"/>
              </w:rPr>
            </w:pPr>
            <w:r>
              <w:rPr>
                <w:lang w:eastAsia="ko-KR"/>
              </w:rPr>
              <w:t>0.014</w:t>
            </w:r>
          </w:p>
        </w:tc>
        <w:tc>
          <w:tcPr>
            <w:tcW w:w="992" w:type="dxa"/>
          </w:tcPr>
          <w:p w14:paraId="5E434AD9" w14:textId="77777777" w:rsidR="009A0ABF" w:rsidRDefault="009A0ABF" w:rsidP="00CC22CE">
            <w:pPr>
              <w:spacing w:line="480" w:lineRule="auto"/>
              <w:rPr>
                <w:lang w:eastAsia="ko-KR"/>
              </w:rPr>
            </w:pPr>
            <w:r>
              <w:rPr>
                <w:lang w:eastAsia="ko-KR"/>
              </w:rPr>
              <w:t>0.0034</w:t>
            </w:r>
          </w:p>
        </w:tc>
        <w:tc>
          <w:tcPr>
            <w:tcW w:w="1134" w:type="dxa"/>
          </w:tcPr>
          <w:p w14:paraId="569B3D26" w14:textId="77777777" w:rsidR="009A0ABF" w:rsidRDefault="009A0ABF" w:rsidP="00CC22CE">
            <w:pPr>
              <w:spacing w:line="480" w:lineRule="auto"/>
              <w:rPr>
                <w:lang w:eastAsia="ko-KR"/>
              </w:rPr>
            </w:pPr>
            <w:r>
              <w:rPr>
                <w:lang w:eastAsia="ko-KR"/>
              </w:rPr>
              <w:t>3.7x10</w:t>
            </w:r>
            <w:r w:rsidRPr="001279F7">
              <w:rPr>
                <w:vertAlign w:val="superscript"/>
                <w:lang w:eastAsia="ko-KR"/>
              </w:rPr>
              <w:t>-7</w:t>
            </w:r>
          </w:p>
        </w:tc>
        <w:tc>
          <w:tcPr>
            <w:tcW w:w="4678" w:type="dxa"/>
            <w:noWrap/>
            <w:hideMark/>
          </w:tcPr>
          <w:p w14:paraId="1C85BE3D" w14:textId="77777777" w:rsidR="009A0ABF" w:rsidRPr="006E33C5" w:rsidRDefault="009A0ABF" w:rsidP="00CC22CE">
            <w:pPr>
              <w:spacing w:line="480" w:lineRule="auto"/>
              <w:rPr>
                <w:lang w:eastAsia="ko-KR"/>
              </w:rPr>
            </w:pPr>
            <w:r>
              <w:rPr>
                <w:lang w:eastAsia="ko-KR"/>
              </w:rPr>
              <w:t>C-reactive protein levels</w:t>
            </w:r>
            <w:r w:rsidRPr="59D28559">
              <w:rPr>
                <w:lang w:eastAsia="ko-KR"/>
              </w:rPr>
              <w:t xml:space="preserve"> (basic model)</w:t>
            </w:r>
            <w:r>
              <w:rPr>
                <w:lang w:eastAsia="ko-KR"/>
              </w:rPr>
              <w:fldChar w:fldCharType="begin"/>
            </w:r>
            <w:r>
              <w:rPr>
                <w:lang w:eastAsia="ko-KR"/>
              </w:rPr>
              <w:instrText xml:space="preserve"> ADDIN ZOTERO_ITEM CSL_CITATION {"citationID":"a5slso1ph3","properties":{"formattedCitation":"\\super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rPr>
                <w:lang w:eastAsia="ko-KR"/>
              </w:rPr>
              <w:fldChar w:fldCharType="separate"/>
            </w:r>
            <w:r w:rsidRPr="00A10A06">
              <w:rPr>
                <w:vertAlign w:val="superscript"/>
              </w:rPr>
              <w:t>62</w:t>
            </w:r>
            <w:r>
              <w:rPr>
                <w:lang w:eastAsia="ko-KR"/>
              </w:rPr>
              <w:fldChar w:fldCharType="end"/>
            </w:r>
            <w:r>
              <w:rPr>
                <w:lang w:eastAsia="ko-KR"/>
              </w:rPr>
              <w:t xml:space="preserve">,  </w:t>
            </w:r>
            <w:r w:rsidRPr="00435006">
              <w:rPr>
                <w:lang w:eastAsia="ko-KR"/>
              </w:rPr>
              <w:t xml:space="preserve">Chronic </w:t>
            </w:r>
            <w:r>
              <w:rPr>
                <w:lang w:eastAsia="ko-KR"/>
              </w:rPr>
              <w:t>k</w:t>
            </w:r>
            <w:r w:rsidRPr="00435006">
              <w:rPr>
                <w:lang w:eastAsia="ko-KR"/>
              </w:rPr>
              <w:t xml:space="preserve">idney </w:t>
            </w:r>
            <w:r>
              <w:rPr>
                <w:lang w:eastAsia="ko-KR"/>
              </w:rPr>
              <w:t>d</w:t>
            </w:r>
            <w:r w:rsidRPr="00435006">
              <w:rPr>
                <w:lang w:eastAsia="ko-KR"/>
              </w:rPr>
              <w:t>isease (</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ZOTERO_ITEM CSL_CITATION {"citationID":"aM6H4aDO","properties":{"formattedCitation":"\\super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 xml:space="preserve">, </w:t>
            </w:r>
            <w:r w:rsidRPr="004615C2">
              <w:rPr>
                <w:lang w:eastAsia="ko-KR"/>
              </w:rPr>
              <w:t xml:space="preserve">Type 2 </w:t>
            </w:r>
            <w:r>
              <w:rPr>
                <w:lang w:eastAsia="ko-KR"/>
              </w:rPr>
              <w:t>d</w:t>
            </w:r>
            <w:r w:rsidRPr="004615C2">
              <w:rPr>
                <w:lang w:eastAsia="ko-KR"/>
              </w:rPr>
              <w:t>iabetes (</w:t>
            </w:r>
            <w:r w:rsidRPr="59D28559">
              <w:rPr>
                <w:lang w:eastAsia="ko-KR"/>
              </w:rPr>
              <w:t>basic &amp; fully adjusted model</w:t>
            </w:r>
            <w:r w:rsidRPr="004615C2">
              <w:rPr>
                <w:lang w:eastAsia="ko-KR"/>
              </w:rPr>
              <w:t>)</w:t>
            </w:r>
            <w:r w:rsidRPr="59D28559">
              <w:rPr>
                <w:color w:val="2B579A"/>
              </w:rPr>
              <w:fldChar w:fldCharType="begin"/>
            </w:r>
            <w:r>
              <w:rPr>
                <w:lang w:eastAsia="ko-KR"/>
              </w:rPr>
              <w:instrText xml:space="preserve"> ADDIN ZOTERO_ITEM CSL_CITATION {"citationID":"NiLZ2C9I","properties":{"formattedCitation":"\\super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sidRPr="006E33C5">
              <w:rPr>
                <w:lang w:eastAsia="ko-KR"/>
              </w:rPr>
              <w:t xml:space="preserve"> </w:t>
            </w:r>
          </w:p>
        </w:tc>
      </w:tr>
      <w:tr w:rsidR="009A0ABF" w:rsidRPr="00CD7C68" w14:paraId="55F008D4" w14:textId="77777777" w:rsidTr="00CC22CE">
        <w:trPr>
          <w:trHeight w:val="320"/>
        </w:trPr>
        <w:tc>
          <w:tcPr>
            <w:tcW w:w="1560" w:type="dxa"/>
            <w:noWrap/>
            <w:hideMark/>
          </w:tcPr>
          <w:p w14:paraId="147D256F" w14:textId="77777777" w:rsidR="009A0ABF" w:rsidRPr="00435006" w:rsidRDefault="009A0ABF" w:rsidP="00CC22CE">
            <w:pPr>
              <w:spacing w:line="480" w:lineRule="auto"/>
              <w:rPr>
                <w:lang w:eastAsia="ko-KR"/>
              </w:rPr>
            </w:pPr>
            <w:r w:rsidRPr="00435006">
              <w:rPr>
                <w:lang w:eastAsia="ko-KR"/>
              </w:rPr>
              <w:t>cg04315689</w:t>
            </w:r>
          </w:p>
        </w:tc>
        <w:tc>
          <w:tcPr>
            <w:tcW w:w="709" w:type="dxa"/>
            <w:noWrap/>
            <w:hideMark/>
          </w:tcPr>
          <w:p w14:paraId="2011C4C7" w14:textId="77777777" w:rsidR="009A0ABF" w:rsidRPr="00435006" w:rsidRDefault="009A0ABF" w:rsidP="00CC22CE">
            <w:pPr>
              <w:spacing w:line="480" w:lineRule="auto"/>
              <w:rPr>
                <w:lang w:eastAsia="ko-KR"/>
              </w:rPr>
            </w:pPr>
            <w:r w:rsidRPr="00435006">
              <w:rPr>
                <w:lang w:eastAsia="ko-KR"/>
              </w:rPr>
              <w:t>2</w:t>
            </w:r>
          </w:p>
        </w:tc>
        <w:tc>
          <w:tcPr>
            <w:tcW w:w="1276" w:type="dxa"/>
            <w:noWrap/>
            <w:hideMark/>
          </w:tcPr>
          <w:p w14:paraId="64B6DBA2" w14:textId="77777777" w:rsidR="009A0ABF" w:rsidRPr="00435006" w:rsidRDefault="009A0ABF" w:rsidP="00CC22CE">
            <w:pPr>
              <w:spacing w:line="480" w:lineRule="auto"/>
              <w:rPr>
                <w:lang w:eastAsia="ko-KR"/>
              </w:rPr>
            </w:pPr>
            <w:r w:rsidRPr="00435006">
              <w:rPr>
                <w:lang w:eastAsia="ko-KR"/>
              </w:rPr>
              <w:t>74198896</w:t>
            </w:r>
          </w:p>
        </w:tc>
        <w:tc>
          <w:tcPr>
            <w:tcW w:w="1276" w:type="dxa"/>
            <w:noWrap/>
            <w:hideMark/>
          </w:tcPr>
          <w:p w14:paraId="5614D1C8" w14:textId="77777777" w:rsidR="009A0ABF" w:rsidRPr="00435006" w:rsidRDefault="009A0ABF" w:rsidP="00CC22CE">
            <w:pPr>
              <w:spacing w:line="480" w:lineRule="auto"/>
              <w:rPr>
                <w:lang w:eastAsia="ko-KR"/>
              </w:rPr>
            </w:pPr>
            <w:r w:rsidRPr="00435006">
              <w:rPr>
                <w:lang w:eastAsia="ko-KR"/>
              </w:rPr>
              <w:t>DGUOK-AS1</w:t>
            </w:r>
          </w:p>
        </w:tc>
        <w:tc>
          <w:tcPr>
            <w:tcW w:w="850" w:type="dxa"/>
            <w:noWrap/>
            <w:hideMark/>
          </w:tcPr>
          <w:p w14:paraId="77C0D020" w14:textId="77777777" w:rsidR="009A0ABF" w:rsidRPr="00435006" w:rsidRDefault="009A0ABF" w:rsidP="00CC22CE">
            <w:pPr>
              <w:spacing w:line="480" w:lineRule="auto"/>
              <w:rPr>
                <w:lang w:eastAsia="ko-KR"/>
              </w:rPr>
            </w:pPr>
            <w:r w:rsidRPr="00265DC6">
              <w:rPr>
                <w:lang w:eastAsia="ko-KR"/>
              </w:rPr>
              <w:t>0.014</w:t>
            </w:r>
          </w:p>
        </w:tc>
        <w:tc>
          <w:tcPr>
            <w:tcW w:w="992" w:type="dxa"/>
            <w:noWrap/>
            <w:hideMark/>
          </w:tcPr>
          <w:p w14:paraId="3AFD6019" w14:textId="77777777" w:rsidR="009A0ABF" w:rsidRPr="00435006" w:rsidRDefault="009A0ABF" w:rsidP="00CC22CE">
            <w:pPr>
              <w:spacing w:line="480" w:lineRule="auto"/>
              <w:rPr>
                <w:lang w:eastAsia="ko-KR"/>
              </w:rPr>
            </w:pPr>
            <w:r w:rsidRPr="00265DC6">
              <w:rPr>
                <w:lang w:eastAsia="ko-KR"/>
              </w:rPr>
              <w:t>0.0026</w:t>
            </w:r>
          </w:p>
        </w:tc>
        <w:tc>
          <w:tcPr>
            <w:tcW w:w="1276" w:type="dxa"/>
            <w:noWrap/>
            <w:hideMark/>
          </w:tcPr>
          <w:p w14:paraId="255C7E51" w14:textId="77777777" w:rsidR="009A0ABF" w:rsidRPr="00435006" w:rsidRDefault="009A0ABF" w:rsidP="00CC22CE">
            <w:pPr>
              <w:spacing w:line="480" w:lineRule="auto"/>
              <w:rPr>
                <w:lang w:eastAsia="ko-KR"/>
              </w:rPr>
            </w:pPr>
            <w:r w:rsidRPr="00435006">
              <w:rPr>
                <w:lang w:eastAsia="ko-KR"/>
              </w:rPr>
              <w:t>5.56</w:t>
            </w:r>
            <w:r>
              <w:rPr>
                <w:lang w:eastAsia="ko-KR"/>
              </w:rPr>
              <w:t>x10</w:t>
            </w:r>
            <w:r w:rsidRPr="00435006">
              <w:rPr>
                <w:vertAlign w:val="superscript"/>
                <w:lang w:eastAsia="ko-KR"/>
              </w:rPr>
              <w:t>-8</w:t>
            </w:r>
          </w:p>
        </w:tc>
        <w:tc>
          <w:tcPr>
            <w:tcW w:w="851" w:type="dxa"/>
          </w:tcPr>
          <w:p w14:paraId="6866BE18" w14:textId="77777777" w:rsidR="009A0ABF" w:rsidRDefault="009A0ABF" w:rsidP="00CC22CE">
            <w:pPr>
              <w:spacing w:line="480" w:lineRule="auto"/>
              <w:rPr>
                <w:lang w:eastAsia="ko-KR"/>
              </w:rPr>
            </w:pPr>
            <w:r>
              <w:rPr>
                <w:lang w:eastAsia="ko-KR"/>
              </w:rPr>
              <w:t>0.019</w:t>
            </w:r>
          </w:p>
        </w:tc>
        <w:tc>
          <w:tcPr>
            <w:tcW w:w="992" w:type="dxa"/>
          </w:tcPr>
          <w:p w14:paraId="4897824C" w14:textId="77777777" w:rsidR="009A0ABF" w:rsidRDefault="009A0ABF" w:rsidP="00CC22CE">
            <w:pPr>
              <w:spacing w:line="480" w:lineRule="auto"/>
              <w:rPr>
                <w:lang w:eastAsia="ko-KR"/>
              </w:rPr>
            </w:pPr>
            <w:r>
              <w:rPr>
                <w:lang w:eastAsia="ko-KR"/>
              </w:rPr>
              <w:t>0.0035</w:t>
            </w:r>
          </w:p>
        </w:tc>
        <w:tc>
          <w:tcPr>
            <w:tcW w:w="1134" w:type="dxa"/>
          </w:tcPr>
          <w:p w14:paraId="776E86CE" w14:textId="77777777" w:rsidR="009A0ABF" w:rsidRDefault="009A0ABF" w:rsidP="00CC22CE">
            <w:pPr>
              <w:spacing w:line="480" w:lineRule="auto"/>
              <w:rPr>
                <w:lang w:eastAsia="ko-KR"/>
              </w:rPr>
            </w:pPr>
            <w:r>
              <w:rPr>
                <w:lang w:eastAsia="ko-KR"/>
              </w:rPr>
              <w:t>3.85x10</w:t>
            </w:r>
            <w:r w:rsidRPr="001279F7">
              <w:rPr>
                <w:vertAlign w:val="superscript"/>
                <w:lang w:eastAsia="ko-KR"/>
              </w:rPr>
              <w:t>-8</w:t>
            </w:r>
          </w:p>
        </w:tc>
        <w:tc>
          <w:tcPr>
            <w:tcW w:w="4678" w:type="dxa"/>
            <w:noWrap/>
            <w:hideMark/>
          </w:tcPr>
          <w:p w14:paraId="66368DEF" w14:textId="77777777" w:rsidR="009A0ABF" w:rsidRPr="008F70AF" w:rsidRDefault="009A0ABF" w:rsidP="00CC22CE">
            <w:pPr>
              <w:spacing w:line="480" w:lineRule="auto"/>
              <w:rPr>
                <w:lang w:eastAsia="ko-KR"/>
              </w:rPr>
            </w:pPr>
            <w:r>
              <w:rPr>
                <w:lang w:eastAsia="ko-KR"/>
              </w:rPr>
              <w:t>C-reactive protein levels</w:t>
            </w:r>
            <w:r w:rsidRPr="59D28559">
              <w:rPr>
                <w:lang w:eastAsia="ko-KR"/>
              </w:rPr>
              <w:t xml:space="preserve"> (basic model)</w:t>
            </w:r>
            <w:r>
              <w:rPr>
                <w:lang w:eastAsia="ko-KR"/>
              </w:rPr>
              <w:fldChar w:fldCharType="begin"/>
            </w:r>
            <w:r>
              <w:rPr>
                <w:lang w:eastAsia="ko-KR"/>
              </w:rPr>
              <w:instrText xml:space="preserve"> ADDIN ZOTERO_ITEM CSL_CITATION {"citationID":"ag664b16h2","properties":{"formattedCitation":"\\super 62\\nosupersub{}","plainCitation":"62","noteIndex":0},"citationItems":[{"id":2361,"uris":["http://zotero.org/users/8479915/items/JSVBZB7S"],"itemData":{"id":2361,"type":"article","abstract":"Chronic inflammation is a hallmark of ageing and age-related disease states. The effectiveness of inflammatory proteins such as C-reactive protein (CRP) in assessing long-term inflammation is hindered by their phasic nature. DNA methylation (DNAm) signatures of CRP may act as more reliable markers of chronic inflammation. We show that inter-individual differences in DNAm capture 50% of the variance in circulating CRP (N=17,936, Generation Scotland). We develop a series of DNAm predictors of CRP using state-of-the-art algorithms. An elastic net regression-based predictor outperformed competing methods and explained 18% of phenotypic variance in the LBC1936 cohort, doubling that of existing DNAm predictors. DNAm predictors performed comparably in four additional test cohorts (ALSPAC, HELIOS, SABRE, LBC1921), including individuals of diverse genetic ancestry and from different age groups. The newly-described predictor surpassed assay-measured CRP and a genetic score in its associations with 26 health outcomes. Our findings forge new avenues for assessing chronic low-grade inflammation in diverse populations.","DOI":"10.1101/2023.11.02.23298000","language":"en","license":"© 2023, Posted by Cold Spring Harbor Laboratory. This pre-print is available under a Creative Commons License (Attribution 4.0 International), CC BY 4.0, as described at http://creativecommons.org/licenses/by/4.0/","note":"page: 2023.11.02.23298000","publisher":"medRxiv","source":"medRxiv","title":"Blood-based epigenome–wide analyses of chronic low–grade inflammation across diverse population cohorts","URL":"https://www.medrxiv.org/content/10.1101/2023.11.02.23298000v1","author":[{"family":"Hillary","given":"Robert F."},{"family":"Ng","given":"Hong Kiat"},{"family":"McCartney","given":"Daniel L."},{"family":"Elliott","given":"Hannah R."},{"family":"Walker","given":"Rosie M."},{"family":"Campbell","given":"Archie"},{"family":"Huang","given":"Felicia"},{"family":"Direk","given":"Kenan"},{"family":"Welsh","given":"Paul"},{"family":"Sattar","given":"Naveed"},{"family":"Corley","given":"Janie"},{"family":"Hayward","given":"Caroline"},{"family":"McIntosh","given":"Andrew M."},{"family":"Sudlow","given":"Cathie"},{"family":"Evans","given":"Kathryn L."},{"family":"Cox","given":"Simon R."},{"family":"Chambers","given":"John C."},{"family":"Loh","given":"Marie"},{"family":"Relton","given":"Caroline L."},{"family":"Marioni","given":"Riccardo E."},{"family":"Yousefi","given":"Paul D."},{"family":"Suderman","given":"Matthew"}],"accessed":{"date-parts":[["2024",3,17]]},"issued":{"date-parts":[["2023",11,3]]}}}],"schema":"https://github.com/citation-style-language/schema/raw/master/csl-citation.json"} </w:instrText>
            </w:r>
            <w:r>
              <w:rPr>
                <w:lang w:eastAsia="ko-KR"/>
              </w:rPr>
              <w:fldChar w:fldCharType="separate"/>
            </w:r>
            <w:r w:rsidRPr="00A10A06">
              <w:rPr>
                <w:vertAlign w:val="superscript"/>
              </w:rPr>
              <w:t>62</w:t>
            </w:r>
            <w:r>
              <w:rPr>
                <w:lang w:eastAsia="ko-KR"/>
              </w:rPr>
              <w:fldChar w:fldCharType="end"/>
            </w:r>
            <w:r>
              <w:rPr>
                <w:lang w:eastAsia="ko-KR"/>
              </w:rPr>
              <w:t xml:space="preserve">, </w:t>
            </w:r>
            <w:r w:rsidRPr="00435006">
              <w:rPr>
                <w:lang w:eastAsia="ko-KR"/>
              </w:rPr>
              <w:t xml:space="preserve">Incident </w:t>
            </w:r>
            <w:r>
              <w:rPr>
                <w:lang w:eastAsia="ko-KR"/>
              </w:rPr>
              <w:t>t</w:t>
            </w:r>
            <w:r w:rsidRPr="00435006">
              <w:rPr>
                <w:lang w:eastAsia="ko-KR"/>
              </w:rPr>
              <w:t xml:space="preserve">ype 2 </w:t>
            </w:r>
            <w:r>
              <w:rPr>
                <w:lang w:eastAsia="ko-KR"/>
              </w:rPr>
              <w:t>d</w:t>
            </w:r>
            <w:r w:rsidRPr="00435006">
              <w:rPr>
                <w:lang w:eastAsia="ko-KR"/>
              </w:rPr>
              <w:t>iabetes</w:t>
            </w:r>
            <w:r w:rsidRPr="59D28559">
              <w:rPr>
                <w:lang w:eastAsia="ko-KR"/>
              </w:rPr>
              <w:t xml:space="preserve"> (basic model)</w:t>
            </w:r>
            <w:r>
              <w:rPr>
                <w:lang w:eastAsia="ko-KR"/>
              </w:rPr>
              <w:fldChar w:fldCharType="begin"/>
            </w:r>
            <w:r>
              <w:rPr>
                <w:lang w:eastAsia="ko-KR"/>
              </w:rPr>
              <w:instrText xml:space="preserve"> ADDIN ZOTERO_ITEM CSL_CITATION {"citationID":"a1r2qk1pfjd","properties":{"formattedCitation":"\\super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Pr>
                <w:lang w:eastAsia="ko-KR"/>
              </w:rPr>
              <w:fldChar w:fldCharType="separate"/>
            </w:r>
            <w:r w:rsidRPr="00A10A06">
              <w:rPr>
                <w:vertAlign w:val="superscript"/>
              </w:rPr>
              <w:t>59</w:t>
            </w:r>
            <w:r>
              <w:rPr>
                <w:lang w:eastAsia="ko-KR"/>
              </w:rPr>
              <w:fldChar w:fldCharType="end"/>
            </w:r>
            <w:r>
              <w:rPr>
                <w:lang w:eastAsia="ko-KR"/>
              </w:rPr>
              <w:t xml:space="preserve">, </w:t>
            </w:r>
            <w:r w:rsidRPr="00435006">
              <w:rPr>
                <w:lang w:eastAsia="ko-KR"/>
              </w:rPr>
              <w:t xml:space="preserve">Chronic </w:t>
            </w:r>
            <w:r>
              <w:rPr>
                <w:lang w:eastAsia="ko-KR"/>
              </w:rPr>
              <w:t>k</w:t>
            </w:r>
            <w:r w:rsidRPr="00435006">
              <w:rPr>
                <w:lang w:eastAsia="ko-KR"/>
              </w:rPr>
              <w:t xml:space="preserve">idney </w:t>
            </w:r>
            <w:r>
              <w:rPr>
                <w:lang w:eastAsia="ko-KR"/>
              </w:rPr>
              <w:t>d</w:t>
            </w:r>
            <w:r w:rsidRPr="00435006">
              <w:rPr>
                <w:lang w:eastAsia="ko-KR"/>
              </w:rPr>
              <w:t>isease (</w:t>
            </w:r>
            <w:r w:rsidRPr="59D28559">
              <w:rPr>
                <w:lang w:eastAsia="ko-KR"/>
              </w:rPr>
              <w:t>basic &amp; fully adjusted model</w:t>
            </w:r>
            <w:r w:rsidRPr="00435006">
              <w:rPr>
                <w:lang w:eastAsia="ko-KR"/>
              </w:rPr>
              <w:t>)</w:t>
            </w:r>
            <w:r w:rsidRPr="59D28559">
              <w:rPr>
                <w:color w:val="2B579A"/>
              </w:rPr>
              <w:fldChar w:fldCharType="begin"/>
            </w:r>
            <w:r>
              <w:rPr>
                <w:lang w:eastAsia="ko-KR"/>
              </w:rPr>
              <w:instrText xml:space="preserve"> ADDIN ZOTERO_ITEM CSL_CITATION {"citationID":"sc11vXC3","properties":{"formattedCitation":"\\super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Chronic </w:t>
            </w:r>
            <w:r>
              <w:rPr>
                <w:lang w:eastAsia="ko-KR"/>
              </w:rPr>
              <w:t>p</w:t>
            </w:r>
            <w:r w:rsidRPr="00435006">
              <w:rPr>
                <w:lang w:eastAsia="ko-KR"/>
              </w:rPr>
              <w:t>ain (</w:t>
            </w:r>
            <w:r w:rsidRPr="59D28559">
              <w:rPr>
                <w:lang w:eastAsia="ko-KR"/>
              </w:rPr>
              <w:t>basic model</w:t>
            </w:r>
            <w:r w:rsidRPr="00435006">
              <w:rPr>
                <w:lang w:eastAsia="ko-KR"/>
              </w:rPr>
              <w:t>)</w:t>
            </w:r>
            <w:r w:rsidRPr="59D28559">
              <w:rPr>
                <w:color w:val="2B579A"/>
              </w:rPr>
              <w:fldChar w:fldCharType="begin"/>
            </w:r>
            <w:r>
              <w:rPr>
                <w:lang w:eastAsia="ko-KR"/>
              </w:rPr>
              <w:instrText xml:space="preserve"> ADDIN ZOTERO_TEMP </w:instrText>
            </w:r>
            <w:r w:rsidRPr="59D28559">
              <w:rPr>
                <w:color w:val="2B579A"/>
              </w:rPr>
              <w:fldChar w:fldCharType="separate"/>
            </w:r>
            <w:r>
              <w:rPr>
                <w:noProof/>
                <w:lang w:eastAsia="ko-KR"/>
              </w:rPr>
              <w:t xml:space="preserve"> </w:t>
            </w:r>
            <w:r w:rsidRPr="59D28559">
              <w:rPr>
                <w:color w:val="2B579A"/>
              </w:rPr>
              <w:fldChar w:fldCharType="end"/>
            </w:r>
            <w:r w:rsidRPr="59D28559">
              <w:rPr>
                <w:color w:val="2B579A"/>
              </w:rPr>
              <w:fldChar w:fldCharType="begin"/>
            </w:r>
            <w:r>
              <w:rPr>
                <w:lang w:eastAsia="ko-KR"/>
              </w:rPr>
              <w:instrText xml:space="preserve"> ADDIN ZOTERO_ITEM CSL_CITATION {"citationID":"MlQ3ML4R","properties":{"formattedCitation":"\\super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r>
              <w:rPr>
                <w:lang w:eastAsia="ko-KR"/>
              </w:rPr>
              <w:t>,</w:t>
            </w:r>
            <w:r w:rsidRPr="00435006">
              <w:rPr>
                <w:lang w:eastAsia="ko-KR"/>
              </w:rPr>
              <w:t xml:space="preserve"> </w:t>
            </w:r>
            <w:r w:rsidRPr="004615C2">
              <w:rPr>
                <w:lang w:eastAsia="ko-KR"/>
              </w:rPr>
              <w:t xml:space="preserve">Type 2 </w:t>
            </w:r>
            <w:r>
              <w:rPr>
                <w:lang w:eastAsia="ko-KR"/>
              </w:rPr>
              <w:t>d</w:t>
            </w:r>
            <w:r w:rsidRPr="004615C2">
              <w:rPr>
                <w:lang w:eastAsia="ko-KR"/>
              </w:rPr>
              <w:t>iabetes (</w:t>
            </w:r>
            <w:r w:rsidRPr="59D28559">
              <w:rPr>
                <w:lang w:eastAsia="ko-KR"/>
              </w:rPr>
              <w:t>basic &amp; fully adjusted model</w:t>
            </w:r>
            <w:r w:rsidRPr="004615C2">
              <w:rPr>
                <w:lang w:eastAsia="ko-KR"/>
              </w:rPr>
              <w:t>)</w:t>
            </w:r>
            <w:r w:rsidRPr="59D28559">
              <w:rPr>
                <w:color w:val="2B579A"/>
              </w:rPr>
              <w:fldChar w:fldCharType="begin"/>
            </w:r>
            <w:r>
              <w:rPr>
                <w:lang w:eastAsia="ko-KR"/>
              </w:rPr>
              <w:instrText xml:space="preserve"> ADDIN ZOTERO_ITEM CSL_CITATION {"citationID":"1UFXY4Jx","properties":{"formattedCitation":"\\super 59\\nosupersub{}","plainCitation":"59","noteIndex":0},"citationItems":[{"id":1382,"uris":["http://zotero.org/users/8479915/items/BLK898GA"],"itemData":{"id":1382,"type":"article","abstract":"Background Blood DNA methylation can inform us about the biological mechanisms that underlie common disease states. Previous epigenome-wide analyses of common diseases often focus solely on the prevalence or incidence of individual conditions and rely on small sample sizes, which may limit power to discover disease-associated loci.\nResults We conduct blood-based epigenome-wide association studies on the prevalence of 14 common disease states in Generation Scotland (nindividuals≤18,413, nCpGs=752,722). We also utilise health record linkage to perform epigenome-wide analyses on the incidence of 19 disease states. We present a structured literature review on existing epigenome-wide analyses for all 19 disease states to assess the degree of replication within the existing literature and the novelty of the present findings.We identify 69 associations between CpGs and the prevalence of four disease states at baseline, of which 58 are novel. We also uncover 64 CpGs that associate with the incidence of two disease states (COPD and type 2 diabetes), of which 56 are novel. These associations were independent from common lifestyle risk factors. We highlight poor replication across the existing literature. Here, replication was defined by the reporting of at least one common gene in &gt;2 studies examining the same disease state. Existing blood-based epigenome-wide analyses showed evidence of replication for only 4/19 disease states (with up-to-15% of unique genes replicated for lung cancer).\nConclusions Our summary data and structured review of the literature provide an important platform to guide future studies that examine the role of blood DNA methylation in complex disease states.","DOI":"10.1101/2023.01.10.23284387","language":"en","license":"© 2023, Posted by Cold Spring Harbor Laboratory. This pre-print is available under a Creative Commons License (Attribution 4.0 International), CC BY 4.0, as described at http://creativecommons.org/licenses/by/4.0/","note":"page: 2023.01.10.23284387","publisher":"medRxiv","source":"medRxiv","title":"Blood-based epigenome-wide analyses on the prevalence and incidence of nineteen common disease states","URL":"https://www.medrxiv.org/content/10.1101/2023.01.10.23284387v1","author":[{"family":"Hillary","given":"Robert F."},{"family":"McCartney","given":"Daniel L."},{"family":"Bernabeu","given":"Elena"},{"family":"Gadd","given":"Danni A."},{"family":"Cheng","given":"Yipeng"},{"family":"Chybowska","given":"Aleksandra D."},{"family":"Smith","given":"Hannah M."},{"family":"Murphy","given":"Lee"},{"family":"Wrobel","given":"Nicola"},{"family":"Campbell","given":"Archie"},{"family":"Walker","given":"Rosie M."},{"family":"Hayward","given":"Caroline"},{"family":"Evans","given":"Kathryn L."},{"family":"McIntosh","given":"Andrew M."},{"family":"Marioni","given":"Riccardo E."}],"accessed":{"date-parts":[["2023",7,13]]},"issued":{"date-parts":[["2023",1,11]]}}}],"schema":"https://github.com/citation-style-language/schema/raw/master/csl-citation.json"} </w:instrText>
            </w:r>
            <w:r w:rsidRPr="59D28559">
              <w:rPr>
                <w:color w:val="2B579A"/>
              </w:rPr>
              <w:fldChar w:fldCharType="separate"/>
            </w:r>
            <w:r w:rsidRPr="00A10A06">
              <w:rPr>
                <w:rFonts w:ascii="Calibri" w:hAnsiTheme="minorHAnsi" w:cs="Calibri"/>
                <w:vertAlign w:val="superscript"/>
              </w:rPr>
              <w:t>59</w:t>
            </w:r>
            <w:r w:rsidRPr="59D28559">
              <w:rPr>
                <w:color w:val="2B579A"/>
              </w:rPr>
              <w:fldChar w:fldCharType="end"/>
            </w:r>
          </w:p>
        </w:tc>
      </w:tr>
    </w:tbl>
    <w:p w14:paraId="748F8248" w14:textId="77777777" w:rsidR="009A0ABF" w:rsidRDefault="009A0ABF" w:rsidP="009A0ABF">
      <w:pPr>
        <w:spacing w:line="480" w:lineRule="auto"/>
        <w:rPr>
          <w:b/>
          <w:bCs/>
          <w:lang w:eastAsia="ko-KR"/>
        </w:rPr>
      </w:pPr>
    </w:p>
    <w:p w14:paraId="7D14524C" w14:textId="77777777" w:rsidR="007A27B6" w:rsidRDefault="007A27B6"/>
    <w:sectPr w:rsidR="007A27B6" w:rsidSect="009A0ABF">
      <w:pgSz w:w="16817"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73025"/>
      <w:docPartObj>
        <w:docPartGallery w:val="Page Numbers (Bottom of Page)"/>
        <w:docPartUnique/>
      </w:docPartObj>
    </w:sdtPr>
    <w:sdtEndPr>
      <w:rPr>
        <w:noProof/>
      </w:rPr>
    </w:sdtEndPr>
    <w:sdtContent>
      <w:p w14:paraId="5FAAB961" w14:textId="77777777" w:rsidR="00000000" w:rsidRDefault="00000000">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33969CE0"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F91F" w14:textId="77777777" w:rsidR="00000000" w:rsidRPr="0027417C" w:rsidRDefault="00000000" w:rsidP="0027417C">
    <w:pPr>
      <w:pStyle w:val="Header"/>
      <w:jc w:val="center"/>
      <w:rPr>
        <w:i/>
        <w:iCs/>
      </w:rPr>
    </w:pPr>
    <w:r w:rsidRPr="0027417C">
      <w:rPr>
        <w:i/>
        <w:iCs/>
      </w:rPr>
      <w:t>Antidepressant Exposure and DNA Methylation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BF"/>
    <w:rsid w:val="003D1E3D"/>
    <w:rsid w:val="007A27B6"/>
    <w:rsid w:val="009A0ABF"/>
    <w:rsid w:val="00A14E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238D8C3"/>
  <w15:chartTrackingRefBased/>
  <w15:docId w15:val="{8CCFF106-E2A3-7140-8C02-E6DBD811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B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AB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ABF"/>
    <w:pPr>
      <w:tabs>
        <w:tab w:val="center" w:pos="4513"/>
        <w:tab w:val="right" w:pos="9026"/>
      </w:tabs>
    </w:pPr>
  </w:style>
  <w:style w:type="character" w:customStyle="1" w:styleId="HeaderChar">
    <w:name w:val="Header Char"/>
    <w:basedOn w:val="DefaultParagraphFont"/>
    <w:link w:val="Header"/>
    <w:uiPriority w:val="99"/>
    <w:rsid w:val="009A0ABF"/>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A0ABF"/>
    <w:pPr>
      <w:tabs>
        <w:tab w:val="center" w:pos="4513"/>
        <w:tab w:val="right" w:pos="9026"/>
      </w:tabs>
    </w:pPr>
  </w:style>
  <w:style w:type="character" w:customStyle="1" w:styleId="FooterChar">
    <w:name w:val="Footer Char"/>
    <w:basedOn w:val="DefaultParagraphFont"/>
    <w:link w:val="Footer"/>
    <w:uiPriority w:val="99"/>
    <w:rsid w:val="009A0AB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20255</Words>
  <Characters>115456</Characters>
  <Application>Microsoft Office Word</Application>
  <DocSecurity>0</DocSecurity>
  <Lines>962</Lines>
  <Paragraphs>270</Paragraphs>
  <ScaleCrop>false</ScaleCrop>
  <Company/>
  <LinksUpToDate>false</LinksUpToDate>
  <CharactersWithSpaces>135441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Davyson</dc:creator>
  <cp:keywords/>
  <dc:description/>
  <cp:lastModifiedBy>Ella Davyson</cp:lastModifiedBy>
  <cp:revision>1</cp:revision>
  <dcterms:created xsi:type="dcterms:W3CDTF">2024-05-01T10:12:00Z</dcterms:created>
  <dcterms:modified xsi:type="dcterms:W3CDTF">2024-05-01T10:13:00Z</dcterms:modified>
</cp:coreProperties>
</file>