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A9A8E" w14:textId="7DD78551" w:rsidR="00CE389D" w:rsidRPr="00CE389D" w:rsidRDefault="00CE389D" w:rsidP="00CE389D">
      <w:pPr>
        <w:pStyle w:val="Title"/>
        <w:jc w:val="left"/>
      </w:pPr>
      <w:r w:rsidRPr="00CE389D">
        <w:t>Long -term waning of vaccine-induced immunity to measles in England</w:t>
      </w:r>
    </w:p>
    <w:p w14:paraId="1D9EABB8" w14:textId="77777777" w:rsidR="00D947A6" w:rsidRDefault="00D947A6" w:rsidP="00D947A6">
      <w:pPr>
        <w:rPr>
          <w:rFonts w:eastAsiaTheme="minorHAnsi"/>
          <w:vertAlign w:val="superscript"/>
        </w:rPr>
      </w:pPr>
      <w:r>
        <w:rPr>
          <w:b/>
          <w:bCs/>
        </w:rPr>
        <w:t>Authors</w:t>
      </w:r>
      <w:r>
        <w:t>: Alexis Robert</w:t>
      </w:r>
      <w:r>
        <w:rPr>
          <w:vertAlign w:val="superscript"/>
        </w:rPr>
        <w:t>1,2</w:t>
      </w:r>
      <w:r>
        <w:t>, Anne M Suffel</w:t>
      </w:r>
      <w:r>
        <w:rPr>
          <w:vertAlign w:val="superscript"/>
        </w:rPr>
        <w:t>2</w:t>
      </w:r>
      <w:r>
        <w:t>, Adam J Kucharski</w:t>
      </w:r>
      <w:r>
        <w:rPr>
          <w:vertAlign w:val="superscript"/>
        </w:rPr>
        <w:t>1,2</w:t>
      </w:r>
    </w:p>
    <w:p w14:paraId="6B2E68EA" w14:textId="77777777" w:rsidR="00D947A6" w:rsidRDefault="00D947A6" w:rsidP="00D947A6">
      <w:r>
        <w:t xml:space="preserve">Affiliations: </w:t>
      </w:r>
    </w:p>
    <w:p w14:paraId="6E7BC640" w14:textId="63FFC3E9" w:rsidR="00D947A6" w:rsidRDefault="00CE389D" w:rsidP="00D947A6">
      <w:r w:rsidRPr="00CE389D">
        <w:rPr>
          <w:vertAlign w:val="superscript"/>
        </w:rPr>
        <w:t>1</w:t>
      </w:r>
      <w:r>
        <w:t xml:space="preserve"> </w:t>
      </w:r>
      <w:r w:rsidR="00D947A6" w:rsidRPr="00CE389D">
        <w:t>Centre</w:t>
      </w:r>
      <w:r w:rsidR="00D947A6">
        <w:t xml:space="preserve"> for the Mathematical Modelling of Infectious Diseases, London School of Hygiene &amp; Tropical Medicine, Keppel Street, London, UK</w:t>
      </w:r>
    </w:p>
    <w:p w14:paraId="1D717F29" w14:textId="42ADD514" w:rsidR="00D947A6" w:rsidRDefault="00CE389D" w:rsidP="00D947A6">
      <w:r w:rsidRPr="00CE389D">
        <w:rPr>
          <w:vertAlign w:val="superscript"/>
        </w:rPr>
        <w:t>2</w:t>
      </w:r>
      <w:r>
        <w:t xml:space="preserve"> </w:t>
      </w:r>
      <w:r w:rsidR="00D947A6">
        <w:t>Department of Infectious Disease Epidemiology, London School of Hygiene &amp; Tropical Medicine, Keppel Street, London, UK</w:t>
      </w:r>
    </w:p>
    <w:sdt>
      <w:sdtPr>
        <w:rPr>
          <w:rFonts w:asciiTheme="minorHAnsi" w:eastAsiaTheme="minorEastAsia" w:hAnsiTheme="minorHAnsi" w:cstheme="minorBidi"/>
          <w:color w:val="auto"/>
          <w:kern w:val="2"/>
          <w:sz w:val="22"/>
          <w:szCs w:val="22"/>
          <w:lang w:val="en-GB"/>
          <w14:ligatures w14:val="standardContextual"/>
        </w:rPr>
        <w:id w:val="-1371445524"/>
        <w:docPartObj>
          <w:docPartGallery w:val="Table of Contents"/>
          <w:docPartUnique/>
        </w:docPartObj>
      </w:sdtPr>
      <w:sdtEndPr>
        <w:rPr>
          <w:b/>
          <w:bCs/>
          <w:noProof/>
        </w:rPr>
      </w:sdtEndPr>
      <w:sdtContent>
        <w:p w14:paraId="2E5B2AA7" w14:textId="7D3436A5" w:rsidR="001D75E9" w:rsidRPr="00827DE5" w:rsidRDefault="001D75E9">
          <w:pPr>
            <w:pStyle w:val="TOCHeading"/>
            <w:rPr>
              <w:lang w:val="en-GB"/>
            </w:rPr>
          </w:pPr>
          <w:r w:rsidRPr="00827DE5">
            <w:rPr>
              <w:lang w:val="en-GB"/>
            </w:rPr>
            <w:t>Table of Contents</w:t>
          </w:r>
        </w:p>
        <w:p w14:paraId="3D75B400" w14:textId="12701689" w:rsidR="00B442F0" w:rsidRDefault="001D75E9">
          <w:pPr>
            <w:pStyle w:val="TOC1"/>
            <w:tabs>
              <w:tab w:val="right" w:leader="dot" w:pos="9016"/>
            </w:tabs>
            <w:rPr>
              <w:noProof/>
              <w:sz w:val="24"/>
              <w:szCs w:val="24"/>
              <w:lang w:eastAsia="en-GB"/>
            </w:rPr>
          </w:pPr>
          <w:r w:rsidRPr="00827DE5">
            <w:fldChar w:fldCharType="begin"/>
          </w:r>
          <w:r w:rsidRPr="00827DE5">
            <w:instrText xml:space="preserve"> TOC \o "1-3" \h \z \u </w:instrText>
          </w:r>
          <w:r w:rsidRPr="00827DE5">
            <w:fldChar w:fldCharType="separate"/>
          </w:r>
          <w:hyperlink w:anchor="_Toc162889787" w:history="1">
            <w:r w:rsidR="00B442F0" w:rsidRPr="001437C8">
              <w:rPr>
                <w:rStyle w:val="Hyperlink"/>
                <w:noProof/>
              </w:rPr>
              <w:t>Section S1: Model description and equations</w:t>
            </w:r>
            <w:r w:rsidR="00B442F0">
              <w:rPr>
                <w:noProof/>
                <w:webHidden/>
              </w:rPr>
              <w:tab/>
            </w:r>
            <w:r w:rsidR="00B442F0">
              <w:rPr>
                <w:noProof/>
                <w:webHidden/>
              </w:rPr>
              <w:fldChar w:fldCharType="begin"/>
            </w:r>
            <w:r w:rsidR="00B442F0">
              <w:rPr>
                <w:noProof/>
                <w:webHidden/>
              </w:rPr>
              <w:instrText xml:space="preserve"> PAGEREF _Toc162889787 \h </w:instrText>
            </w:r>
            <w:r w:rsidR="00B442F0">
              <w:rPr>
                <w:noProof/>
                <w:webHidden/>
              </w:rPr>
            </w:r>
            <w:r w:rsidR="00B442F0">
              <w:rPr>
                <w:noProof/>
                <w:webHidden/>
              </w:rPr>
              <w:fldChar w:fldCharType="separate"/>
            </w:r>
            <w:r w:rsidR="00B442F0">
              <w:rPr>
                <w:noProof/>
                <w:webHidden/>
              </w:rPr>
              <w:t>2</w:t>
            </w:r>
            <w:r w:rsidR="00B442F0">
              <w:rPr>
                <w:noProof/>
                <w:webHidden/>
              </w:rPr>
              <w:fldChar w:fldCharType="end"/>
            </w:r>
          </w:hyperlink>
        </w:p>
        <w:p w14:paraId="678727CF" w14:textId="0E144959" w:rsidR="00B442F0" w:rsidRDefault="00000000">
          <w:pPr>
            <w:pStyle w:val="TOC2"/>
            <w:tabs>
              <w:tab w:val="right" w:leader="dot" w:pos="9016"/>
            </w:tabs>
            <w:rPr>
              <w:noProof/>
              <w:sz w:val="24"/>
              <w:szCs w:val="24"/>
              <w:lang w:eastAsia="en-GB"/>
            </w:rPr>
          </w:pPr>
          <w:hyperlink w:anchor="_Toc162889788" w:history="1">
            <w:r w:rsidR="00B442F0" w:rsidRPr="001437C8">
              <w:rPr>
                <w:rStyle w:val="Hyperlink"/>
                <w:noProof/>
              </w:rPr>
              <w:t>Infection rate</w:t>
            </w:r>
            <w:r w:rsidR="00B442F0">
              <w:rPr>
                <w:noProof/>
                <w:webHidden/>
              </w:rPr>
              <w:tab/>
            </w:r>
            <w:r w:rsidR="00B442F0">
              <w:rPr>
                <w:noProof/>
                <w:webHidden/>
              </w:rPr>
              <w:fldChar w:fldCharType="begin"/>
            </w:r>
            <w:r w:rsidR="00B442F0">
              <w:rPr>
                <w:noProof/>
                <w:webHidden/>
              </w:rPr>
              <w:instrText xml:space="preserve"> PAGEREF _Toc162889788 \h </w:instrText>
            </w:r>
            <w:r w:rsidR="00B442F0">
              <w:rPr>
                <w:noProof/>
                <w:webHidden/>
              </w:rPr>
            </w:r>
            <w:r w:rsidR="00B442F0">
              <w:rPr>
                <w:noProof/>
                <w:webHidden/>
              </w:rPr>
              <w:fldChar w:fldCharType="separate"/>
            </w:r>
            <w:r w:rsidR="00B442F0">
              <w:rPr>
                <w:noProof/>
                <w:webHidden/>
              </w:rPr>
              <w:t>2</w:t>
            </w:r>
            <w:r w:rsidR="00B442F0">
              <w:rPr>
                <w:noProof/>
                <w:webHidden/>
              </w:rPr>
              <w:fldChar w:fldCharType="end"/>
            </w:r>
          </w:hyperlink>
        </w:p>
        <w:p w14:paraId="470F18CD" w14:textId="22DBADCB" w:rsidR="00B442F0" w:rsidRDefault="00000000">
          <w:pPr>
            <w:pStyle w:val="TOC2"/>
            <w:tabs>
              <w:tab w:val="right" w:leader="dot" w:pos="9016"/>
            </w:tabs>
            <w:rPr>
              <w:noProof/>
              <w:sz w:val="24"/>
              <w:szCs w:val="24"/>
              <w:lang w:eastAsia="en-GB"/>
            </w:rPr>
          </w:pPr>
          <w:hyperlink w:anchor="_Toc162889789" w:history="1">
            <w:r w:rsidR="00B442F0" w:rsidRPr="001437C8">
              <w:rPr>
                <w:rStyle w:val="Hyperlink"/>
                <w:noProof/>
              </w:rPr>
              <w:t>Vaccine stratification</w:t>
            </w:r>
            <w:r w:rsidR="00B442F0">
              <w:rPr>
                <w:noProof/>
                <w:webHidden/>
              </w:rPr>
              <w:tab/>
            </w:r>
            <w:r w:rsidR="00B442F0">
              <w:rPr>
                <w:noProof/>
                <w:webHidden/>
              </w:rPr>
              <w:fldChar w:fldCharType="begin"/>
            </w:r>
            <w:r w:rsidR="00B442F0">
              <w:rPr>
                <w:noProof/>
                <w:webHidden/>
              </w:rPr>
              <w:instrText xml:space="preserve"> PAGEREF _Toc162889789 \h </w:instrText>
            </w:r>
            <w:r w:rsidR="00B442F0">
              <w:rPr>
                <w:noProof/>
                <w:webHidden/>
              </w:rPr>
            </w:r>
            <w:r w:rsidR="00B442F0">
              <w:rPr>
                <w:noProof/>
                <w:webHidden/>
              </w:rPr>
              <w:fldChar w:fldCharType="separate"/>
            </w:r>
            <w:r w:rsidR="00B442F0">
              <w:rPr>
                <w:noProof/>
                <w:webHidden/>
              </w:rPr>
              <w:t>2</w:t>
            </w:r>
            <w:r w:rsidR="00B442F0">
              <w:rPr>
                <w:noProof/>
                <w:webHidden/>
              </w:rPr>
              <w:fldChar w:fldCharType="end"/>
            </w:r>
          </w:hyperlink>
        </w:p>
        <w:p w14:paraId="293739D4" w14:textId="5146148A" w:rsidR="00B442F0" w:rsidRDefault="00000000">
          <w:pPr>
            <w:pStyle w:val="TOC2"/>
            <w:tabs>
              <w:tab w:val="right" w:leader="dot" w:pos="9016"/>
            </w:tabs>
            <w:rPr>
              <w:noProof/>
              <w:sz w:val="24"/>
              <w:szCs w:val="24"/>
              <w:lang w:eastAsia="en-GB"/>
            </w:rPr>
          </w:pPr>
          <w:hyperlink w:anchor="_Toc162889790" w:history="1">
            <w:r w:rsidR="00B442F0" w:rsidRPr="001437C8">
              <w:rPr>
                <w:rStyle w:val="Hyperlink"/>
                <w:noProof/>
              </w:rPr>
              <w:t>Age stratification</w:t>
            </w:r>
            <w:r w:rsidR="00B442F0">
              <w:rPr>
                <w:noProof/>
                <w:webHidden/>
              </w:rPr>
              <w:tab/>
            </w:r>
            <w:r w:rsidR="00B442F0">
              <w:rPr>
                <w:noProof/>
                <w:webHidden/>
              </w:rPr>
              <w:fldChar w:fldCharType="begin"/>
            </w:r>
            <w:r w:rsidR="00B442F0">
              <w:rPr>
                <w:noProof/>
                <w:webHidden/>
              </w:rPr>
              <w:instrText xml:space="preserve"> PAGEREF _Toc162889790 \h </w:instrText>
            </w:r>
            <w:r w:rsidR="00B442F0">
              <w:rPr>
                <w:noProof/>
                <w:webHidden/>
              </w:rPr>
            </w:r>
            <w:r w:rsidR="00B442F0">
              <w:rPr>
                <w:noProof/>
                <w:webHidden/>
              </w:rPr>
              <w:fldChar w:fldCharType="separate"/>
            </w:r>
            <w:r w:rsidR="00B442F0">
              <w:rPr>
                <w:noProof/>
                <w:webHidden/>
              </w:rPr>
              <w:t>2</w:t>
            </w:r>
            <w:r w:rsidR="00B442F0">
              <w:rPr>
                <w:noProof/>
                <w:webHidden/>
              </w:rPr>
              <w:fldChar w:fldCharType="end"/>
            </w:r>
          </w:hyperlink>
        </w:p>
        <w:p w14:paraId="46B24D30" w14:textId="4A1AE12C" w:rsidR="00B442F0" w:rsidRDefault="00000000">
          <w:pPr>
            <w:pStyle w:val="TOC3"/>
            <w:tabs>
              <w:tab w:val="right" w:leader="dot" w:pos="9016"/>
            </w:tabs>
            <w:rPr>
              <w:noProof/>
              <w:sz w:val="24"/>
              <w:szCs w:val="24"/>
              <w:lang w:eastAsia="en-GB"/>
            </w:rPr>
          </w:pPr>
          <w:hyperlink w:anchor="_Toc162889791" w:history="1">
            <w:r w:rsidR="00B442F0" w:rsidRPr="001437C8">
              <w:rPr>
                <w:rStyle w:val="Hyperlink"/>
                <w:noProof/>
              </w:rPr>
              <w:t>Ageing and vaccination</w:t>
            </w:r>
            <w:r w:rsidR="00B442F0">
              <w:rPr>
                <w:noProof/>
                <w:webHidden/>
              </w:rPr>
              <w:tab/>
            </w:r>
            <w:r w:rsidR="00B442F0">
              <w:rPr>
                <w:noProof/>
                <w:webHidden/>
              </w:rPr>
              <w:fldChar w:fldCharType="begin"/>
            </w:r>
            <w:r w:rsidR="00B442F0">
              <w:rPr>
                <w:noProof/>
                <w:webHidden/>
              </w:rPr>
              <w:instrText xml:space="preserve"> PAGEREF _Toc162889791 \h </w:instrText>
            </w:r>
            <w:r w:rsidR="00B442F0">
              <w:rPr>
                <w:noProof/>
                <w:webHidden/>
              </w:rPr>
            </w:r>
            <w:r w:rsidR="00B442F0">
              <w:rPr>
                <w:noProof/>
                <w:webHidden/>
              </w:rPr>
              <w:fldChar w:fldCharType="separate"/>
            </w:r>
            <w:r w:rsidR="00B442F0">
              <w:rPr>
                <w:noProof/>
                <w:webHidden/>
              </w:rPr>
              <w:t>2</w:t>
            </w:r>
            <w:r w:rsidR="00B442F0">
              <w:rPr>
                <w:noProof/>
                <w:webHidden/>
              </w:rPr>
              <w:fldChar w:fldCharType="end"/>
            </w:r>
          </w:hyperlink>
        </w:p>
        <w:p w14:paraId="4147F5BE" w14:textId="65C3FB9B" w:rsidR="00B442F0" w:rsidRDefault="00000000">
          <w:pPr>
            <w:pStyle w:val="TOC3"/>
            <w:tabs>
              <w:tab w:val="right" w:leader="dot" w:pos="9016"/>
            </w:tabs>
            <w:rPr>
              <w:noProof/>
              <w:sz w:val="24"/>
              <w:szCs w:val="24"/>
              <w:lang w:eastAsia="en-GB"/>
            </w:rPr>
          </w:pPr>
          <w:hyperlink w:anchor="_Toc162889792" w:history="1">
            <w:r w:rsidR="00B442F0" w:rsidRPr="001437C8">
              <w:rPr>
                <w:rStyle w:val="Hyperlink"/>
                <w:noProof/>
              </w:rPr>
              <w:t>Contact between age groups</w:t>
            </w:r>
            <w:r w:rsidR="00B442F0">
              <w:rPr>
                <w:noProof/>
                <w:webHidden/>
              </w:rPr>
              <w:tab/>
            </w:r>
            <w:r w:rsidR="00B442F0">
              <w:rPr>
                <w:noProof/>
                <w:webHidden/>
              </w:rPr>
              <w:fldChar w:fldCharType="begin"/>
            </w:r>
            <w:r w:rsidR="00B442F0">
              <w:rPr>
                <w:noProof/>
                <w:webHidden/>
              </w:rPr>
              <w:instrText xml:space="preserve"> PAGEREF _Toc162889792 \h </w:instrText>
            </w:r>
            <w:r w:rsidR="00B442F0">
              <w:rPr>
                <w:noProof/>
                <w:webHidden/>
              </w:rPr>
            </w:r>
            <w:r w:rsidR="00B442F0">
              <w:rPr>
                <w:noProof/>
                <w:webHidden/>
              </w:rPr>
              <w:fldChar w:fldCharType="separate"/>
            </w:r>
            <w:r w:rsidR="00B442F0">
              <w:rPr>
                <w:noProof/>
                <w:webHidden/>
              </w:rPr>
              <w:t>3</w:t>
            </w:r>
            <w:r w:rsidR="00B442F0">
              <w:rPr>
                <w:noProof/>
                <w:webHidden/>
              </w:rPr>
              <w:fldChar w:fldCharType="end"/>
            </w:r>
          </w:hyperlink>
        </w:p>
        <w:p w14:paraId="00AB428F" w14:textId="4D2EAAFA" w:rsidR="00B442F0" w:rsidRDefault="00000000">
          <w:pPr>
            <w:pStyle w:val="TOC3"/>
            <w:tabs>
              <w:tab w:val="right" w:leader="dot" w:pos="9016"/>
            </w:tabs>
            <w:rPr>
              <w:noProof/>
              <w:sz w:val="24"/>
              <w:szCs w:val="24"/>
              <w:lang w:eastAsia="en-GB"/>
            </w:rPr>
          </w:pPr>
          <w:hyperlink w:anchor="_Toc162889793" w:history="1">
            <w:r w:rsidR="00B442F0" w:rsidRPr="001437C8">
              <w:rPr>
                <w:rStyle w:val="Hyperlink"/>
                <w:noProof/>
              </w:rPr>
              <w:t>Immunity</w:t>
            </w:r>
            <w:r w:rsidR="00B442F0">
              <w:rPr>
                <w:noProof/>
                <w:webHidden/>
              </w:rPr>
              <w:tab/>
            </w:r>
            <w:r w:rsidR="00B442F0">
              <w:rPr>
                <w:noProof/>
                <w:webHidden/>
              </w:rPr>
              <w:fldChar w:fldCharType="begin"/>
            </w:r>
            <w:r w:rsidR="00B442F0">
              <w:rPr>
                <w:noProof/>
                <w:webHidden/>
              </w:rPr>
              <w:instrText xml:space="preserve"> PAGEREF _Toc162889793 \h </w:instrText>
            </w:r>
            <w:r w:rsidR="00B442F0">
              <w:rPr>
                <w:noProof/>
                <w:webHidden/>
              </w:rPr>
            </w:r>
            <w:r w:rsidR="00B442F0">
              <w:rPr>
                <w:noProof/>
                <w:webHidden/>
              </w:rPr>
              <w:fldChar w:fldCharType="separate"/>
            </w:r>
            <w:r w:rsidR="00B442F0">
              <w:rPr>
                <w:noProof/>
                <w:webHidden/>
              </w:rPr>
              <w:t>3</w:t>
            </w:r>
            <w:r w:rsidR="00B442F0">
              <w:rPr>
                <w:noProof/>
                <w:webHidden/>
              </w:rPr>
              <w:fldChar w:fldCharType="end"/>
            </w:r>
          </w:hyperlink>
        </w:p>
        <w:p w14:paraId="452514D5" w14:textId="79728FD8" w:rsidR="00B442F0" w:rsidRDefault="00000000">
          <w:pPr>
            <w:pStyle w:val="TOC3"/>
            <w:tabs>
              <w:tab w:val="right" w:leader="dot" w:pos="9016"/>
            </w:tabs>
            <w:rPr>
              <w:noProof/>
              <w:sz w:val="24"/>
              <w:szCs w:val="24"/>
              <w:lang w:eastAsia="en-GB"/>
            </w:rPr>
          </w:pPr>
          <w:hyperlink w:anchor="_Toc162889794" w:history="1">
            <w:r w:rsidR="00B442F0" w:rsidRPr="001437C8">
              <w:rPr>
                <w:rStyle w:val="Hyperlink"/>
                <w:noProof/>
              </w:rPr>
              <w:t>Demography</w:t>
            </w:r>
            <w:r w:rsidR="00B442F0">
              <w:rPr>
                <w:noProof/>
                <w:webHidden/>
              </w:rPr>
              <w:tab/>
            </w:r>
            <w:r w:rsidR="00B442F0">
              <w:rPr>
                <w:noProof/>
                <w:webHidden/>
              </w:rPr>
              <w:fldChar w:fldCharType="begin"/>
            </w:r>
            <w:r w:rsidR="00B442F0">
              <w:rPr>
                <w:noProof/>
                <w:webHidden/>
              </w:rPr>
              <w:instrText xml:space="preserve"> PAGEREF _Toc162889794 \h </w:instrText>
            </w:r>
            <w:r w:rsidR="00B442F0">
              <w:rPr>
                <w:noProof/>
                <w:webHidden/>
              </w:rPr>
            </w:r>
            <w:r w:rsidR="00B442F0">
              <w:rPr>
                <w:noProof/>
                <w:webHidden/>
              </w:rPr>
              <w:fldChar w:fldCharType="separate"/>
            </w:r>
            <w:r w:rsidR="00B442F0">
              <w:rPr>
                <w:noProof/>
                <w:webHidden/>
              </w:rPr>
              <w:t>4</w:t>
            </w:r>
            <w:r w:rsidR="00B442F0">
              <w:rPr>
                <w:noProof/>
                <w:webHidden/>
              </w:rPr>
              <w:fldChar w:fldCharType="end"/>
            </w:r>
          </w:hyperlink>
        </w:p>
        <w:p w14:paraId="3A9D01A7" w14:textId="03C34004" w:rsidR="00B442F0" w:rsidRDefault="00000000">
          <w:pPr>
            <w:pStyle w:val="TOC2"/>
            <w:tabs>
              <w:tab w:val="right" w:leader="dot" w:pos="9016"/>
            </w:tabs>
            <w:rPr>
              <w:noProof/>
              <w:sz w:val="24"/>
              <w:szCs w:val="24"/>
              <w:lang w:eastAsia="en-GB"/>
            </w:rPr>
          </w:pPr>
          <w:hyperlink w:anchor="_Toc162889795" w:history="1">
            <w:r w:rsidR="00B442F0" w:rsidRPr="001437C8">
              <w:rPr>
                <w:rStyle w:val="Hyperlink"/>
                <w:noProof/>
              </w:rPr>
              <w:t>Region stratification</w:t>
            </w:r>
            <w:r w:rsidR="00B442F0">
              <w:rPr>
                <w:noProof/>
                <w:webHidden/>
              </w:rPr>
              <w:tab/>
            </w:r>
            <w:r w:rsidR="00B442F0">
              <w:rPr>
                <w:noProof/>
                <w:webHidden/>
              </w:rPr>
              <w:fldChar w:fldCharType="begin"/>
            </w:r>
            <w:r w:rsidR="00B442F0">
              <w:rPr>
                <w:noProof/>
                <w:webHidden/>
              </w:rPr>
              <w:instrText xml:space="preserve"> PAGEREF _Toc162889795 \h </w:instrText>
            </w:r>
            <w:r w:rsidR="00B442F0">
              <w:rPr>
                <w:noProof/>
                <w:webHidden/>
              </w:rPr>
            </w:r>
            <w:r w:rsidR="00B442F0">
              <w:rPr>
                <w:noProof/>
                <w:webHidden/>
              </w:rPr>
              <w:fldChar w:fldCharType="separate"/>
            </w:r>
            <w:r w:rsidR="00B442F0">
              <w:rPr>
                <w:noProof/>
                <w:webHidden/>
              </w:rPr>
              <w:t>4</w:t>
            </w:r>
            <w:r w:rsidR="00B442F0">
              <w:rPr>
                <w:noProof/>
                <w:webHidden/>
              </w:rPr>
              <w:fldChar w:fldCharType="end"/>
            </w:r>
          </w:hyperlink>
        </w:p>
        <w:p w14:paraId="3455338B" w14:textId="6396D983" w:rsidR="00B442F0" w:rsidRDefault="00000000">
          <w:pPr>
            <w:pStyle w:val="TOC3"/>
            <w:tabs>
              <w:tab w:val="right" w:leader="dot" w:pos="9016"/>
            </w:tabs>
            <w:rPr>
              <w:noProof/>
              <w:sz w:val="24"/>
              <w:szCs w:val="24"/>
              <w:lang w:eastAsia="en-GB"/>
            </w:rPr>
          </w:pPr>
          <w:hyperlink w:anchor="_Toc162889796" w:history="1">
            <w:r w:rsidR="00B442F0" w:rsidRPr="001437C8">
              <w:rPr>
                <w:rStyle w:val="Hyperlink"/>
                <w:noProof/>
              </w:rPr>
              <w:t>Transmission between region</w:t>
            </w:r>
            <w:r w:rsidR="00B442F0">
              <w:rPr>
                <w:noProof/>
                <w:webHidden/>
              </w:rPr>
              <w:tab/>
            </w:r>
            <w:r w:rsidR="00B442F0">
              <w:rPr>
                <w:noProof/>
                <w:webHidden/>
              </w:rPr>
              <w:fldChar w:fldCharType="begin"/>
            </w:r>
            <w:r w:rsidR="00B442F0">
              <w:rPr>
                <w:noProof/>
                <w:webHidden/>
              </w:rPr>
              <w:instrText xml:space="preserve"> PAGEREF _Toc162889796 \h </w:instrText>
            </w:r>
            <w:r w:rsidR="00B442F0">
              <w:rPr>
                <w:noProof/>
                <w:webHidden/>
              </w:rPr>
            </w:r>
            <w:r w:rsidR="00B442F0">
              <w:rPr>
                <w:noProof/>
                <w:webHidden/>
              </w:rPr>
              <w:fldChar w:fldCharType="separate"/>
            </w:r>
            <w:r w:rsidR="00B442F0">
              <w:rPr>
                <w:noProof/>
                <w:webHidden/>
              </w:rPr>
              <w:t>4</w:t>
            </w:r>
            <w:r w:rsidR="00B442F0">
              <w:rPr>
                <w:noProof/>
                <w:webHidden/>
              </w:rPr>
              <w:fldChar w:fldCharType="end"/>
            </w:r>
          </w:hyperlink>
        </w:p>
        <w:p w14:paraId="43A72719" w14:textId="5189D31B" w:rsidR="00B442F0" w:rsidRDefault="00000000">
          <w:pPr>
            <w:pStyle w:val="TOC2"/>
            <w:tabs>
              <w:tab w:val="right" w:leader="dot" w:pos="9016"/>
            </w:tabs>
            <w:rPr>
              <w:noProof/>
              <w:sz w:val="24"/>
              <w:szCs w:val="24"/>
              <w:lang w:eastAsia="en-GB"/>
            </w:rPr>
          </w:pPr>
          <w:hyperlink w:anchor="_Toc162889797" w:history="1">
            <w:r w:rsidR="00B442F0" w:rsidRPr="001437C8">
              <w:rPr>
                <w:rStyle w:val="Hyperlink"/>
                <w:noProof/>
              </w:rPr>
              <w:t>Importation</w:t>
            </w:r>
            <w:r w:rsidR="00B442F0">
              <w:rPr>
                <w:noProof/>
                <w:webHidden/>
              </w:rPr>
              <w:tab/>
            </w:r>
            <w:r w:rsidR="00B442F0">
              <w:rPr>
                <w:noProof/>
                <w:webHidden/>
              </w:rPr>
              <w:fldChar w:fldCharType="begin"/>
            </w:r>
            <w:r w:rsidR="00B442F0">
              <w:rPr>
                <w:noProof/>
                <w:webHidden/>
              </w:rPr>
              <w:instrText xml:space="preserve"> PAGEREF _Toc162889797 \h </w:instrText>
            </w:r>
            <w:r w:rsidR="00B442F0">
              <w:rPr>
                <w:noProof/>
                <w:webHidden/>
              </w:rPr>
            </w:r>
            <w:r w:rsidR="00B442F0">
              <w:rPr>
                <w:noProof/>
                <w:webHidden/>
              </w:rPr>
              <w:fldChar w:fldCharType="separate"/>
            </w:r>
            <w:r w:rsidR="00B442F0">
              <w:rPr>
                <w:noProof/>
                <w:webHidden/>
              </w:rPr>
              <w:t>5</w:t>
            </w:r>
            <w:r w:rsidR="00B442F0">
              <w:rPr>
                <w:noProof/>
                <w:webHidden/>
              </w:rPr>
              <w:fldChar w:fldCharType="end"/>
            </w:r>
          </w:hyperlink>
        </w:p>
        <w:p w14:paraId="7E93CE7C" w14:textId="13393575" w:rsidR="00B442F0" w:rsidRDefault="00000000">
          <w:pPr>
            <w:pStyle w:val="TOC2"/>
            <w:tabs>
              <w:tab w:val="right" w:leader="dot" w:pos="9016"/>
            </w:tabs>
            <w:rPr>
              <w:noProof/>
              <w:sz w:val="24"/>
              <w:szCs w:val="24"/>
              <w:lang w:eastAsia="en-GB"/>
            </w:rPr>
          </w:pPr>
          <w:hyperlink w:anchor="_Toc162889798" w:history="1">
            <w:r w:rsidR="00B442F0" w:rsidRPr="001437C8">
              <w:rPr>
                <w:rStyle w:val="Hyperlink"/>
                <w:noProof/>
              </w:rPr>
              <w:t>Likelihood and posterior</w:t>
            </w:r>
            <w:r w:rsidR="00B442F0">
              <w:rPr>
                <w:noProof/>
                <w:webHidden/>
              </w:rPr>
              <w:tab/>
            </w:r>
            <w:r w:rsidR="00B442F0">
              <w:rPr>
                <w:noProof/>
                <w:webHidden/>
              </w:rPr>
              <w:fldChar w:fldCharType="begin"/>
            </w:r>
            <w:r w:rsidR="00B442F0">
              <w:rPr>
                <w:noProof/>
                <w:webHidden/>
              </w:rPr>
              <w:instrText xml:space="preserve"> PAGEREF _Toc162889798 \h </w:instrText>
            </w:r>
            <w:r w:rsidR="00B442F0">
              <w:rPr>
                <w:noProof/>
                <w:webHidden/>
              </w:rPr>
            </w:r>
            <w:r w:rsidR="00B442F0">
              <w:rPr>
                <w:noProof/>
                <w:webHidden/>
              </w:rPr>
              <w:fldChar w:fldCharType="separate"/>
            </w:r>
            <w:r w:rsidR="00B442F0">
              <w:rPr>
                <w:noProof/>
                <w:webHidden/>
              </w:rPr>
              <w:t>6</w:t>
            </w:r>
            <w:r w:rsidR="00B442F0">
              <w:rPr>
                <w:noProof/>
                <w:webHidden/>
              </w:rPr>
              <w:fldChar w:fldCharType="end"/>
            </w:r>
          </w:hyperlink>
        </w:p>
        <w:p w14:paraId="0765542D" w14:textId="75A2CD29" w:rsidR="00B442F0" w:rsidRDefault="00000000">
          <w:pPr>
            <w:pStyle w:val="TOC2"/>
            <w:tabs>
              <w:tab w:val="right" w:leader="dot" w:pos="9016"/>
            </w:tabs>
            <w:rPr>
              <w:noProof/>
              <w:sz w:val="24"/>
              <w:szCs w:val="24"/>
              <w:lang w:eastAsia="en-GB"/>
            </w:rPr>
          </w:pPr>
          <w:hyperlink w:anchor="_Toc162889799" w:history="1">
            <w:r w:rsidR="00B442F0" w:rsidRPr="001437C8">
              <w:rPr>
                <w:rStyle w:val="Hyperlink"/>
                <w:noProof/>
              </w:rPr>
              <w:t>Stochastic simulations</w:t>
            </w:r>
            <w:r w:rsidR="00B442F0">
              <w:rPr>
                <w:noProof/>
                <w:webHidden/>
              </w:rPr>
              <w:tab/>
            </w:r>
            <w:r w:rsidR="00B442F0">
              <w:rPr>
                <w:noProof/>
                <w:webHidden/>
              </w:rPr>
              <w:fldChar w:fldCharType="begin"/>
            </w:r>
            <w:r w:rsidR="00B442F0">
              <w:rPr>
                <w:noProof/>
                <w:webHidden/>
              </w:rPr>
              <w:instrText xml:space="preserve"> PAGEREF _Toc162889799 \h </w:instrText>
            </w:r>
            <w:r w:rsidR="00B442F0">
              <w:rPr>
                <w:noProof/>
                <w:webHidden/>
              </w:rPr>
            </w:r>
            <w:r w:rsidR="00B442F0">
              <w:rPr>
                <w:noProof/>
                <w:webHidden/>
              </w:rPr>
              <w:fldChar w:fldCharType="separate"/>
            </w:r>
            <w:r w:rsidR="00B442F0">
              <w:rPr>
                <w:noProof/>
                <w:webHidden/>
              </w:rPr>
              <w:t>6</w:t>
            </w:r>
            <w:r w:rsidR="00B442F0">
              <w:rPr>
                <w:noProof/>
                <w:webHidden/>
              </w:rPr>
              <w:fldChar w:fldCharType="end"/>
            </w:r>
          </w:hyperlink>
        </w:p>
        <w:p w14:paraId="555AEFD4" w14:textId="74179F56" w:rsidR="00B442F0" w:rsidRDefault="00000000">
          <w:pPr>
            <w:pStyle w:val="TOC1"/>
            <w:tabs>
              <w:tab w:val="right" w:leader="dot" w:pos="9016"/>
            </w:tabs>
            <w:rPr>
              <w:noProof/>
              <w:sz w:val="24"/>
              <w:szCs w:val="24"/>
              <w:lang w:eastAsia="en-GB"/>
            </w:rPr>
          </w:pPr>
          <w:hyperlink w:anchor="_Toc162889800" w:history="1">
            <w:r w:rsidR="00B442F0" w:rsidRPr="001437C8">
              <w:rPr>
                <w:rStyle w:val="Hyperlink"/>
                <w:noProof/>
              </w:rPr>
              <w:t>Section S2: Vaccine data</w:t>
            </w:r>
            <w:r w:rsidR="00B442F0">
              <w:rPr>
                <w:noProof/>
                <w:webHidden/>
              </w:rPr>
              <w:tab/>
            </w:r>
            <w:r w:rsidR="00B442F0">
              <w:rPr>
                <w:noProof/>
                <w:webHidden/>
              </w:rPr>
              <w:fldChar w:fldCharType="begin"/>
            </w:r>
            <w:r w:rsidR="00B442F0">
              <w:rPr>
                <w:noProof/>
                <w:webHidden/>
              </w:rPr>
              <w:instrText xml:space="preserve"> PAGEREF _Toc162889800 \h </w:instrText>
            </w:r>
            <w:r w:rsidR="00B442F0">
              <w:rPr>
                <w:noProof/>
                <w:webHidden/>
              </w:rPr>
            </w:r>
            <w:r w:rsidR="00B442F0">
              <w:rPr>
                <w:noProof/>
                <w:webHidden/>
              </w:rPr>
              <w:fldChar w:fldCharType="separate"/>
            </w:r>
            <w:r w:rsidR="00B442F0">
              <w:rPr>
                <w:noProof/>
                <w:webHidden/>
              </w:rPr>
              <w:t>6</w:t>
            </w:r>
            <w:r w:rsidR="00B442F0">
              <w:rPr>
                <w:noProof/>
                <w:webHidden/>
              </w:rPr>
              <w:fldChar w:fldCharType="end"/>
            </w:r>
          </w:hyperlink>
        </w:p>
        <w:p w14:paraId="1CAF7BAC" w14:textId="762BA672" w:rsidR="00B442F0" w:rsidRDefault="00000000">
          <w:pPr>
            <w:pStyle w:val="TOC2"/>
            <w:tabs>
              <w:tab w:val="right" w:leader="dot" w:pos="9016"/>
            </w:tabs>
            <w:rPr>
              <w:noProof/>
              <w:sz w:val="24"/>
              <w:szCs w:val="24"/>
              <w:lang w:eastAsia="en-GB"/>
            </w:rPr>
          </w:pPr>
          <w:hyperlink w:anchor="_Toc162889801" w:history="1">
            <w:r w:rsidR="00B442F0" w:rsidRPr="001437C8">
              <w:rPr>
                <w:rStyle w:val="Hyperlink"/>
                <w:noProof/>
              </w:rPr>
              <w:t>Description and comparison of COVER and CPRD datasets</w:t>
            </w:r>
            <w:r w:rsidR="00B442F0">
              <w:rPr>
                <w:noProof/>
                <w:webHidden/>
              </w:rPr>
              <w:tab/>
            </w:r>
            <w:r w:rsidR="00B442F0">
              <w:rPr>
                <w:noProof/>
                <w:webHidden/>
              </w:rPr>
              <w:fldChar w:fldCharType="begin"/>
            </w:r>
            <w:r w:rsidR="00B442F0">
              <w:rPr>
                <w:noProof/>
                <w:webHidden/>
              </w:rPr>
              <w:instrText xml:space="preserve"> PAGEREF _Toc162889801 \h </w:instrText>
            </w:r>
            <w:r w:rsidR="00B442F0">
              <w:rPr>
                <w:noProof/>
                <w:webHidden/>
              </w:rPr>
            </w:r>
            <w:r w:rsidR="00B442F0">
              <w:rPr>
                <w:noProof/>
                <w:webHidden/>
              </w:rPr>
              <w:fldChar w:fldCharType="separate"/>
            </w:r>
            <w:r w:rsidR="00B442F0">
              <w:rPr>
                <w:noProof/>
                <w:webHidden/>
              </w:rPr>
              <w:t>6</w:t>
            </w:r>
            <w:r w:rsidR="00B442F0">
              <w:rPr>
                <w:noProof/>
                <w:webHidden/>
              </w:rPr>
              <w:fldChar w:fldCharType="end"/>
            </w:r>
          </w:hyperlink>
        </w:p>
        <w:p w14:paraId="13283F4B" w14:textId="5F89ED9B" w:rsidR="00B442F0" w:rsidRDefault="00000000">
          <w:pPr>
            <w:pStyle w:val="TOC2"/>
            <w:tabs>
              <w:tab w:val="right" w:leader="dot" w:pos="9016"/>
            </w:tabs>
            <w:rPr>
              <w:noProof/>
              <w:sz w:val="24"/>
              <w:szCs w:val="24"/>
              <w:lang w:eastAsia="en-GB"/>
            </w:rPr>
          </w:pPr>
          <w:hyperlink w:anchor="_Toc162889802" w:history="1">
            <w:r w:rsidR="00B442F0" w:rsidRPr="001437C8">
              <w:rPr>
                <w:rStyle w:val="Hyperlink"/>
                <w:noProof/>
              </w:rPr>
              <w:t>Data extrapolation in reference scenario using CPRD data</w:t>
            </w:r>
            <w:r w:rsidR="00B442F0">
              <w:rPr>
                <w:noProof/>
                <w:webHidden/>
              </w:rPr>
              <w:tab/>
            </w:r>
            <w:r w:rsidR="00B442F0">
              <w:rPr>
                <w:noProof/>
                <w:webHidden/>
              </w:rPr>
              <w:fldChar w:fldCharType="begin"/>
            </w:r>
            <w:r w:rsidR="00B442F0">
              <w:rPr>
                <w:noProof/>
                <w:webHidden/>
              </w:rPr>
              <w:instrText xml:space="preserve"> PAGEREF _Toc162889802 \h </w:instrText>
            </w:r>
            <w:r w:rsidR="00B442F0">
              <w:rPr>
                <w:noProof/>
                <w:webHidden/>
              </w:rPr>
            </w:r>
            <w:r w:rsidR="00B442F0">
              <w:rPr>
                <w:noProof/>
                <w:webHidden/>
              </w:rPr>
              <w:fldChar w:fldCharType="separate"/>
            </w:r>
            <w:r w:rsidR="00B442F0">
              <w:rPr>
                <w:noProof/>
                <w:webHidden/>
              </w:rPr>
              <w:t>9</w:t>
            </w:r>
            <w:r w:rsidR="00B442F0">
              <w:rPr>
                <w:noProof/>
                <w:webHidden/>
              </w:rPr>
              <w:fldChar w:fldCharType="end"/>
            </w:r>
          </w:hyperlink>
        </w:p>
        <w:p w14:paraId="0A10D081" w14:textId="0DFCBC3F" w:rsidR="00B442F0" w:rsidRDefault="00000000">
          <w:pPr>
            <w:pStyle w:val="TOC2"/>
            <w:tabs>
              <w:tab w:val="right" w:leader="dot" w:pos="9016"/>
            </w:tabs>
            <w:rPr>
              <w:noProof/>
              <w:sz w:val="24"/>
              <w:szCs w:val="24"/>
              <w:lang w:eastAsia="en-GB"/>
            </w:rPr>
          </w:pPr>
          <w:hyperlink w:anchor="_Toc162889803" w:history="1">
            <w:r w:rsidR="00B442F0" w:rsidRPr="001437C8">
              <w:rPr>
                <w:rStyle w:val="Hyperlink"/>
                <w:noProof/>
                <w:lang w:eastAsia="en-GB"/>
              </w:rPr>
              <w:t>Data extrapolation in sensitivity analysis using COVER data</w:t>
            </w:r>
            <w:r w:rsidR="00B442F0">
              <w:rPr>
                <w:noProof/>
                <w:webHidden/>
              </w:rPr>
              <w:tab/>
            </w:r>
            <w:r w:rsidR="00B442F0">
              <w:rPr>
                <w:noProof/>
                <w:webHidden/>
              </w:rPr>
              <w:fldChar w:fldCharType="begin"/>
            </w:r>
            <w:r w:rsidR="00B442F0">
              <w:rPr>
                <w:noProof/>
                <w:webHidden/>
              </w:rPr>
              <w:instrText xml:space="preserve"> PAGEREF _Toc162889803 \h </w:instrText>
            </w:r>
            <w:r w:rsidR="00B442F0">
              <w:rPr>
                <w:noProof/>
                <w:webHidden/>
              </w:rPr>
            </w:r>
            <w:r w:rsidR="00B442F0">
              <w:rPr>
                <w:noProof/>
                <w:webHidden/>
              </w:rPr>
              <w:fldChar w:fldCharType="separate"/>
            </w:r>
            <w:r w:rsidR="00B442F0">
              <w:rPr>
                <w:noProof/>
                <w:webHidden/>
              </w:rPr>
              <w:t>10</w:t>
            </w:r>
            <w:r w:rsidR="00B442F0">
              <w:rPr>
                <w:noProof/>
                <w:webHidden/>
              </w:rPr>
              <w:fldChar w:fldCharType="end"/>
            </w:r>
          </w:hyperlink>
        </w:p>
        <w:p w14:paraId="421B9771" w14:textId="6CAA2465" w:rsidR="00B442F0" w:rsidRDefault="00000000">
          <w:pPr>
            <w:pStyle w:val="TOC1"/>
            <w:tabs>
              <w:tab w:val="right" w:leader="dot" w:pos="9016"/>
            </w:tabs>
            <w:rPr>
              <w:noProof/>
              <w:sz w:val="24"/>
              <w:szCs w:val="24"/>
              <w:lang w:eastAsia="en-GB"/>
            </w:rPr>
          </w:pPr>
          <w:hyperlink w:anchor="_Toc162889804" w:history="1">
            <w:r w:rsidR="00B442F0" w:rsidRPr="001437C8">
              <w:rPr>
                <w:rStyle w:val="Hyperlink"/>
                <w:noProof/>
              </w:rPr>
              <w:t>Section S3: Model fit and stochastic simulations: reference scenario (using CPRD data)</w:t>
            </w:r>
            <w:r w:rsidR="00B442F0">
              <w:rPr>
                <w:noProof/>
                <w:webHidden/>
              </w:rPr>
              <w:tab/>
            </w:r>
            <w:r w:rsidR="00B442F0">
              <w:rPr>
                <w:noProof/>
                <w:webHidden/>
              </w:rPr>
              <w:fldChar w:fldCharType="begin"/>
            </w:r>
            <w:r w:rsidR="00B442F0">
              <w:rPr>
                <w:noProof/>
                <w:webHidden/>
              </w:rPr>
              <w:instrText xml:space="preserve"> PAGEREF _Toc162889804 \h </w:instrText>
            </w:r>
            <w:r w:rsidR="00B442F0">
              <w:rPr>
                <w:noProof/>
                <w:webHidden/>
              </w:rPr>
            </w:r>
            <w:r w:rsidR="00B442F0">
              <w:rPr>
                <w:noProof/>
                <w:webHidden/>
              </w:rPr>
              <w:fldChar w:fldCharType="separate"/>
            </w:r>
            <w:r w:rsidR="00B442F0">
              <w:rPr>
                <w:noProof/>
                <w:webHidden/>
              </w:rPr>
              <w:t>10</w:t>
            </w:r>
            <w:r w:rsidR="00B442F0">
              <w:rPr>
                <w:noProof/>
                <w:webHidden/>
              </w:rPr>
              <w:fldChar w:fldCharType="end"/>
            </w:r>
          </w:hyperlink>
        </w:p>
        <w:p w14:paraId="378D94D4" w14:textId="108D5E20" w:rsidR="00B442F0" w:rsidRDefault="00000000">
          <w:pPr>
            <w:pStyle w:val="TOC2"/>
            <w:tabs>
              <w:tab w:val="right" w:leader="dot" w:pos="9016"/>
            </w:tabs>
            <w:rPr>
              <w:noProof/>
              <w:sz w:val="24"/>
              <w:szCs w:val="24"/>
              <w:lang w:eastAsia="en-GB"/>
            </w:rPr>
          </w:pPr>
          <w:hyperlink w:anchor="_Toc162889805" w:history="1">
            <w:r w:rsidR="00B442F0" w:rsidRPr="001437C8">
              <w:rPr>
                <w:rStyle w:val="Hyperlink"/>
                <w:noProof/>
              </w:rPr>
              <w:t>Description of the model fit</w:t>
            </w:r>
            <w:r w:rsidR="00B442F0">
              <w:rPr>
                <w:noProof/>
                <w:webHidden/>
              </w:rPr>
              <w:tab/>
            </w:r>
            <w:r w:rsidR="00B442F0">
              <w:rPr>
                <w:noProof/>
                <w:webHidden/>
              </w:rPr>
              <w:fldChar w:fldCharType="begin"/>
            </w:r>
            <w:r w:rsidR="00B442F0">
              <w:rPr>
                <w:noProof/>
                <w:webHidden/>
              </w:rPr>
              <w:instrText xml:space="preserve"> PAGEREF _Toc162889805 \h </w:instrText>
            </w:r>
            <w:r w:rsidR="00B442F0">
              <w:rPr>
                <w:noProof/>
                <w:webHidden/>
              </w:rPr>
            </w:r>
            <w:r w:rsidR="00B442F0">
              <w:rPr>
                <w:noProof/>
                <w:webHidden/>
              </w:rPr>
              <w:fldChar w:fldCharType="separate"/>
            </w:r>
            <w:r w:rsidR="00B442F0">
              <w:rPr>
                <w:noProof/>
                <w:webHidden/>
              </w:rPr>
              <w:t>10</w:t>
            </w:r>
            <w:r w:rsidR="00B442F0">
              <w:rPr>
                <w:noProof/>
                <w:webHidden/>
              </w:rPr>
              <w:fldChar w:fldCharType="end"/>
            </w:r>
          </w:hyperlink>
        </w:p>
        <w:p w14:paraId="4D936D7E" w14:textId="27D91382" w:rsidR="00B442F0" w:rsidRDefault="00000000">
          <w:pPr>
            <w:pStyle w:val="TOC2"/>
            <w:tabs>
              <w:tab w:val="right" w:leader="dot" w:pos="9016"/>
            </w:tabs>
            <w:rPr>
              <w:noProof/>
              <w:sz w:val="24"/>
              <w:szCs w:val="24"/>
              <w:lang w:eastAsia="en-GB"/>
            </w:rPr>
          </w:pPr>
          <w:hyperlink w:anchor="_Toc162889806" w:history="1">
            <w:r w:rsidR="00B442F0" w:rsidRPr="001437C8">
              <w:rPr>
                <w:rStyle w:val="Hyperlink"/>
                <w:noProof/>
              </w:rPr>
              <w:t>Number of cases caused by waning (reference scenario, using CPRD data)</w:t>
            </w:r>
            <w:r w:rsidR="00B442F0">
              <w:rPr>
                <w:noProof/>
                <w:webHidden/>
              </w:rPr>
              <w:tab/>
            </w:r>
            <w:r w:rsidR="00B442F0">
              <w:rPr>
                <w:noProof/>
                <w:webHidden/>
              </w:rPr>
              <w:fldChar w:fldCharType="begin"/>
            </w:r>
            <w:r w:rsidR="00B442F0">
              <w:rPr>
                <w:noProof/>
                <w:webHidden/>
              </w:rPr>
              <w:instrText xml:space="preserve"> PAGEREF _Toc162889806 \h </w:instrText>
            </w:r>
            <w:r w:rsidR="00B442F0">
              <w:rPr>
                <w:noProof/>
                <w:webHidden/>
              </w:rPr>
            </w:r>
            <w:r w:rsidR="00B442F0">
              <w:rPr>
                <w:noProof/>
                <w:webHidden/>
              </w:rPr>
              <w:fldChar w:fldCharType="separate"/>
            </w:r>
            <w:r w:rsidR="00B442F0">
              <w:rPr>
                <w:noProof/>
                <w:webHidden/>
              </w:rPr>
              <w:t>14</w:t>
            </w:r>
            <w:r w:rsidR="00B442F0">
              <w:rPr>
                <w:noProof/>
                <w:webHidden/>
              </w:rPr>
              <w:fldChar w:fldCharType="end"/>
            </w:r>
          </w:hyperlink>
        </w:p>
        <w:p w14:paraId="2BDC6ADE" w14:textId="6962A63F" w:rsidR="00B442F0" w:rsidRDefault="00000000">
          <w:pPr>
            <w:pStyle w:val="TOC1"/>
            <w:tabs>
              <w:tab w:val="right" w:leader="dot" w:pos="9016"/>
            </w:tabs>
            <w:rPr>
              <w:noProof/>
              <w:sz w:val="24"/>
              <w:szCs w:val="24"/>
              <w:lang w:eastAsia="en-GB"/>
            </w:rPr>
          </w:pPr>
          <w:hyperlink w:anchor="_Toc162889807" w:history="1">
            <w:r w:rsidR="00B442F0" w:rsidRPr="001437C8">
              <w:rPr>
                <w:rStyle w:val="Hyperlink"/>
                <w:noProof/>
              </w:rPr>
              <w:t>Section S4: Model fit and stochastic simulations with baseline risk of secondary vaccine failure</w:t>
            </w:r>
            <w:r w:rsidR="00B442F0">
              <w:rPr>
                <w:noProof/>
                <w:webHidden/>
              </w:rPr>
              <w:tab/>
            </w:r>
            <w:r w:rsidR="00B442F0">
              <w:rPr>
                <w:noProof/>
                <w:webHidden/>
              </w:rPr>
              <w:fldChar w:fldCharType="begin"/>
            </w:r>
            <w:r w:rsidR="00B442F0">
              <w:rPr>
                <w:noProof/>
                <w:webHidden/>
              </w:rPr>
              <w:instrText xml:space="preserve"> PAGEREF _Toc162889807 \h </w:instrText>
            </w:r>
            <w:r w:rsidR="00B442F0">
              <w:rPr>
                <w:noProof/>
                <w:webHidden/>
              </w:rPr>
            </w:r>
            <w:r w:rsidR="00B442F0">
              <w:rPr>
                <w:noProof/>
                <w:webHidden/>
              </w:rPr>
              <w:fldChar w:fldCharType="separate"/>
            </w:r>
            <w:r w:rsidR="00B442F0">
              <w:rPr>
                <w:noProof/>
                <w:webHidden/>
              </w:rPr>
              <w:t>15</w:t>
            </w:r>
            <w:r w:rsidR="00B442F0">
              <w:rPr>
                <w:noProof/>
                <w:webHidden/>
              </w:rPr>
              <w:fldChar w:fldCharType="end"/>
            </w:r>
          </w:hyperlink>
        </w:p>
        <w:p w14:paraId="41FC964C" w14:textId="54374B1E" w:rsidR="00B442F0" w:rsidRDefault="00000000">
          <w:pPr>
            <w:pStyle w:val="TOC1"/>
            <w:tabs>
              <w:tab w:val="right" w:leader="dot" w:pos="9016"/>
            </w:tabs>
            <w:rPr>
              <w:noProof/>
              <w:sz w:val="24"/>
              <w:szCs w:val="24"/>
              <w:lang w:eastAsia="en-GB"/>
            </w:rPr>
          </w:pPr>
          <w:hyperlink w:anchor="_Toc162889808" w:history="1">
            <w:r w:rsidR="00B442F0" w:rsidRPr="001437C8">
              <w:rPr>
                <w:rStyle w:val="Hyperlink"/>
                <w:noProof/>
              </w:rPr>
              <w:t>Section S5: Model fit and stochastic simulations using COVER data</w:t>
            </w:r>
            <w:r w:rsidR="00B442F0">
              <w:rPr>
                <w:noProof/>
                <w:webHidden/>
              </w:rPr>
              <w:tab/>
            </w:r>
            <w:r w:rsidR="00B442F0">
              <w:rPr>
                <w:noProof/>
                <w:webHidden/>
              </w:rPr>
              <w:fldChar w:fldCharType="begin"/>
            </w:r>
            <w:r w:rsidR="00B442F0">
              <w:rPr>
                <w:noProof/>
                <w:webHidden/>
              </w:rPr>
              <w:instrText xml:space="preserve"> PAGEREF _Toc162889808 \h </w:instrText>
            </w:r>
            <w:r w:rsidR="00B442F0">
              <w:rPr>
                <w:noProof/>
                <w:webHidden/>
              </w:rPr>
            </w:r>
            <w:r w:rsidR="00B442F0">
              <w:rPr>
                <w:noProof/>
                <w:webHidden/>
              </w:rPr>
              <w:fldChar w:fldCharType="separate"/>
            </w:r>
            <w:r w:rsidR="00B442F0">
              <w:rPr>
                <w:noProof/>
                <w:webHidden/>
              </w:rPr>
              <w:t>19</w:t>
            </w:r>
            <w:r w:rsidR="00B442F0">
              <w:rPr>
                <w:noProof/>
                <w:webHidden/>
              </w:rPr>
              <w:fldChar w:fldCharType="end"/>
            </w:r>
          </w:hyperlink>
        </w:p>
        <w:p w14:paraId="121EBEAC" w14:textId="2856872C" w:rsidR="00B442F0" w:rsidRDefault="00000000">
          <w:pPr>
            <w:pStyle w:val="TOC1"/>
            <w:tabs>
              <w:tab w:val="right" w:leader="dot" w:pos="9016"/>
            </w:tabs>
            <w:rPr>
              <w:noProof/>
              <w:sz w:val="24"/>
              <w:szCs w:val="24"/>
              <w:lang w:eastAsia="en-GB"/>
            </w:rPr>
          </w:pPr>
          <w:hyperlink w:anchor="_Toc162889809" w:history="1">
            <w:r w:rsidR="00B442F0" w:rsidRPr="001437C8">
              <w:rPr>
                <w:rStyle w:val="Hyperlink"/>
                <w:noProof/>
              </w:rPr>
              <w:t>Section S6: Model fit and stochastic simulations with fixed distance kernel</w:t>
            </w:r>
            <w:r w:rsidR="00B442F0">
              <w:rPr>
                <w:noProof/>
                <w:webHidden/>
              </w:rPr>
              <w:tab/>
            </w:r>
            <w:r w:rsidR="00B442F0">
              <w:rPr>
                <w:noProof/>
                <w:webHidden/>
              </w:rPr>
              <w:fldChar w:fldCharType="begin"/>
            </w:r>
            <w:r w:rsidR="00B442F0">
              <w:rPr>
                <w:noProof/>
                <w:webHidden/>
              </w:rPr>
              <w:instrText xml:space="preserve"> PAGEREF _Toc162889809 \h </w:instrText>
            </w:r>
            <w:r w:rsidR="00B442F0">
              <w:rPr>
                <w:noProof/>
                <w:webHidden/>
              </w:rPr>
            </w:r>
            <w:r w:rsidR="00B442F0">
              <w:rPr>
                <w:noProof/>
                <w:webHidden/>
              </w:rPr>
              <w:fldChar w:fldCharType="separate"/>
            </w:r>
            <w:r w:rsidR="00B442F0">
              <w:rPr>
                <w:noProof/>
                <w:webHidden/>
              </w:rPr>
              <w:t>24</w:t>
            </w:r>
            <w:r w:rsidR="00B442F0">
              <w:rPr>
                <w:noProof/>
                <w:webHidden/>
              </w:rPr>
              <w:fldChar w:fldCharType="end"/>
            </w:r>
          </w:hyperlink>
        </w:p>
        <w:p w14:paraId="408596E3" w14:textId="1F9839B7" w:rsidR="00B442F0" w:rsidRDefault="00000000">
          <w:pPr>
            <w:pStyle w:val="TOC1"/>
            <w:tabs>
              <w:tab w:val="right" w:leader="dot" w:pos="9016"/>
            </w:tabs>
            <w:rPr>
              <w:noProof/>
              <w:sz w:val="24"/>
              <w:szCs w:val="24"/>
              <w:lang w:eastAsia="en-GB"/>
            </w:rPr>
          </w:pPr>
          <w:hyperlink w:anchor="_Toc162889810" w:history="1">
            <w:r w:rsidR="00B442F0" w:rsidRPr="001437C8">
              <w:rPr>
                <w:rStyle w:val="Hyperlink"/>
                <w:noProof/>
              </w:rPr>
              <w:t>References</w:t>
            </w:r>
            <w:r w:rsidR="00B442F0">
              <w:rPr>
                <w:noProof/>
                <w:webHidden/>
              </w:rPr>
              <w:tab/>
            </w:r>
            <w:r w:rsidR="00B442F0">
              <w:rPr>
                <w:noProof/>
                <w:webHidden/>
              </w:rPr>
              <w:fldChar w:fldCharType="begin"/>
            </w:r>
            <w:r w:rsidR="00B442F0">
              <w:rPr>
                <w:noProof/>
                <w:webHidden/>
              </w:rPr>
              <w:instrText xml:space="preserve"> PAGEREF _Toc162889810 \h </w:instrText>
            </w:r>
            <w:r w:rsidR="00B442F0">
              <w:rPr>
                <w:noProof/>
                <w:webHidden/>
              </w:rPr>
            </w:r>
            <w:r w:rsidR="00B442F0">
              <w:rPr>
                <w:noProof/>
                <w:webHidden/>
              </w:rPr>
              <w:fldChar w:fldCharType="separate"/>
            </w:r>
            <w:r w:rsidR="00B442F0">
              <w:rPr>
                <w:noProof/>
                <w:webHidden/>
              </w:rPr>
              <w:t>28</w:t>
            </w:r>
            <w:r w:rsidR="00B442F0">
              <w:rPr>
                <w:noProof/>
                <w:webHidden/>
              </w:rPr>
              <w:fldChar w:fldCharType="end"/>
            </w:r>
          </w:hyperlink>
        </w:p>
        <w:p w14:paraId="1E3E643D" w14:textId="01369B77" w:rsidR="001D75E9" w:rsidRPr="00827DE5" w:rsidRDefault="001D75E9" w:rsidP="007E0CAE">
          <w:pPr>
            <w:rPr>
              <w:b/>
              <w:bCs/>
              <w:noProof/>
            </w:rPr>
          </w:pPr>
          <w:r w:rsidRPr="00827DE5">
            <w:rPr>
              <w:b/>
              <w:bCs/>
              <w:noProof/>
            </w:rPr>
            <w:fldChar w:fldCharType="end"/>
          </w:r>
        </w:p>
      </w:sdtContent>
    </w:sdt>
    <w:p w14:paraId="285F98AF" w14:textId="24E0E544" w:rsidR="00CF2E7D" w:rsidRPr="00827DE5" w:rsidRDefault="00455DC0" w:rsidP="006C601C">
      <w:pPr>
        <w:pStyle w:val="Heading1"/>
      </w:pPr>
      <w:bookmarkStart w:id="0" w:name="_Toc162889787"/>
      <w:r>
        <w:lastRenderedPageBreak/>
        <w:t xml:space="preserve">Section S1: </w:t>
      </w:r>
      <w:r w:rsidR="00CF2E7D" w:rsidRPr="00827DE5">
        <w:t>Model description and equations</w:t>
      </w:r>
      <w:bookmarkEnd w:id="0"/>
    </w:p>
    <w:p w14:paraId="06B24582" w14:textId="5B09754A" w:rsidR="006D4595" w:rsidRPr="00FA2321" w:rsidRDefault="006D4595" w:rsidP="006D4595">
      <w:r w:rsidRPr="00827DE5">
        <w:t xml:space="preserve">This section describes the stratifications and parameters used in the model, all parameters are described in Supplementary Table </w:t>
      </w:r>
      <w:r w:rsidR="00CD09E8">
        <w:t>S1</w:t>
      </w:r>
      <w:r w:rsidRPr="00827DE5">
        <w:t>.</w:t>
      </w:r>
      <w:r w:rsidR="00FA2321">
        <w:t xml:space="preserve"> The model was implemented using the R package</w:t>
      </w:r>
      <w:r w:rsidR="00FA2321">
        <w:rPr>
          <w:i/>
          <w:iCs/>
        </w:rPr>
        <w:t xml:space="preserve"> </w:t>
      </w:r>
      <w:proofErr w:type="spellStart"/>
      <w:r w:rsidR="00FA2321">
        <w:rPr>
          <w:i/>
          <w:iCs/>
        </w:rPr>
        <w:t>odin.dust</w:t>
      </w:r>
      <w:proofErr w:type="spellEnd"/>
      <w:r w:rsidR="00FA2321">
        <w:t xml:space="preserve"> </w:t>
      </w:r>
      <w:r w:rsidR="00FA2321">
        <w:fldChar w:fldCharType="begin"/>
      </w:r>
      <w:r w:rsidR="00FA2321">
        <w:instrText xml:space="preserve"> ADDIN ZOTERO_ITEM CSL_CITATION {"citationID":"AtIKnL6w","properties":{"formattedCitation":"(1)","plainCitation":"(1)","noteIndex":0},"citationItems":[{"id":789,"uris":["http://zotero.org/users/11743005/items/BL2MR36E"],"itemData":{"id":789,"type":"article-journal","container-title":"Wellcome Open Research","note":"publisher: The Wellcome Trust","title":"Reproducible parallel inference and simulation of stochastic state space models using odin, dust, and mcstate","volume":"5","author":[{"family":"FitzJohn","given":"Richard G."},{"family":"Knock","given":"Edward S."},{"family":"Whittles","given":"Lilith K."},{"family":"Perez-Guzman","given":"Pablo N."},{"family":"Bhatia","given":"Sangeeta"},{"family":"Guntoro","given":"Fernando"},{"family":"Watson","given":"Oliver J."},{"family":"Whittaker","given":"Charles"},{"family":"Ferguson","given":"Neil M."},{"family":"Cori","given":"Anne"}],"issued":{"date-parts":[["2020"]]}}}],"schema":"https://github.com/citation-style-language/schema/raw/master/csl-citation.json"} </w:instrText>
      </w:r>
      <w:r w:rsidR="00FA2321">
        <w:fldChar w:fldCharType="separate"/>
      </w:r>
      <w:r w:rsidR="00FA2321" w:rsidRPr="00FA2321">
        <w:rPr>
          <w:rFonts w:ascii="Calibri" w:hAnsi="Calibri" w:cs="Calibri"/>
        </w:rPr>
        <w:t>(1)</w:t>
      </w:r>
      <w:r w:rsidR="00FA2321">
        <w:fldChar w:fldCharType="end"/>
      </w:r>
      <w:r w:rsidR="00FA2321">
        <w:t>.</w:t>
      </w:r>
    </w:p>
    <w:p w14:paraId="76C164C5" w14:textId="0744BBDD" w:rsidR="001D75E9" w:rsidRPr="00827DE5" w:rsidRDefault="001D75E9" w:rsidP="001D75E9">
      <w:pPr>
        <w:pStyle w:val="Heading2"/>
      </w:pPr>
      <w:bookmarkStart w:id="1" w:name="_Toc162889788"/>
      <w:r w:rsidRPr="00827DE5">
        <w:t>Infection rate</w:t>
      </w:r>
      <w:bookmarkEnd w:id="1"/>
    </w:p>
    <w:p w14:paraId="2CFB1F5A" w14:textId="77692689" w:rsidR="00CF2E7D" w:rsidRPr="00827DE5" w:rsidRDefault="00CF2E7D" w:rsidP="006C601C">
      <w:r w:rsidRPr="00827DE5">
        <w:t xml:space="preserve">The infection rate is the same in each region (i.e. </w:t>
      </w:r>
      <m:oMath>
        <m:sSub>
          <m:sSubPr>
            <m:ctrlPr>
              <w:rPr>
                <w:rFonts w:ascii="Cambria Math" w:hAnsi="Cambria Math"/>
                <w:i/>
              </w:rPr>
            </m:ctrlPr>
          </m:sSubPr>
          <m:e>
            <m:r>
              <w:rPr>
                <w:rFonts w:ascii="Cambria Math" w:hAnsi="Cambria Math"/>
              </w:rPr>
              <m:t>β</m:t>
            </m:r>
          </m:e>
          <m:sub>
            <m:r>
              <w:rPr>
                <w:rFonts w:ascii="Cambria Math" w:hAnsi="Cambria Math"/>
              </w:rPr>
              <m:t>london</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east of england</m:t>
            </m:r>
          </m:sub>
        </m:sSub>
        <m:r>
          <w:rPr>
            <w:rFonts w:ascii="Cambria Math" w:hAnsi="Cambria Math"/>
          </w:rPr>
          <m:t>=.. =β)</m:t>
        </m:r>
      </m:oMath>
      <w:r w:rsidRPr="00827DE5">
        <w:t>, age (</w:t>
      </w:r>
      <m:oMath>
        <m:sSub>
          <m:sSubPr>
            <m:ctrlPr>
              <w:rPr>
                <w:rFonts w:ascii="Cambria Math" w:hAnsi="Cambria Math"/>
                <w:i/>
              </w:rPr>
            </m:ctrlPr>
          </m:sSubPr>
          <m:e>
            <m:r>
              <w:rPr>
                <w:rFonts w:ascii="Cambria Math" w:hAnsi="Cambria Math"/>
              </w:rPr>
              <m:t>β</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r>
          <w:rPr>
            <w:rFonts w:ascii="Cambria Math" w:hAnsi="Cambria Math"/>
          </w:rPr>
          <m:t>=.. =β)</m:t>
        </m:r>
      </m:oMath>
      <w:r w:rsidRPr="00827DE5">
        <w:t>,  and year (</w:t>
      </w:r>
      <m:oMath>
        <m:sSub>
          <m:sSubPr>
            <m:ctrlPr>
              <w:rPr>
                <w:rFonts w:ascii="Cambria Math" w:hAnsi="Cambria Math"/>
                <w:i/>
              </w:rPr>
            </m:ctrlPr>
          </m:sSubPr>
          <m:e>
            <m:r>
              <w:rPr>
                <w:rFonts w:ascii="Cambria Math" w:hAnsi="Cambria Math"/>
              </w:rPr>
              <m:t>β</m:t>
            </m:r>
          </m:e>
          <m:sub>
            <m:r>
              <w:rPr>
                <w:rFonts w:ascii="Cambria Math" w:hAnsi="Cambria Math"/>
              </w:rPr>
              <m:t>2010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2011</m:t>
            </m:r>
          </m:sub>
        </m:sSub>
        <m:r>
          <w:rPr>
            <w:rFonts w:ascii="Cambria Math" w:hAnsi="Cambria Math"/>
          </w:rPr>
          <m:t>=…=β</m:t>
        </m:r>
      </m:oMath>
      <w:r w:rsidRPr="00827DE5">
        <w:t xml:space="preserve">). The rate of onward transmission in a given region is affected by the contact pattern between age groups, the connectivity to other regions, and the proportion of vaccinated and immune individuals in the region. Two parameters </w:t>
      </w:r>
      <m:oMath>
        <m:r>
          <w:rPr>
            <w:rFonts w:ascii="Cambria Math" w:hAnsi="Cambria Math"/>
          </w:rPr>
          <m:t>X</m:t>
        </m:r>
      </m:oMath>
      <w:r w:rsidRPr="00827DE5">
        <w:t xml:space="preserve"> and </w:t>
      </w:r>
      <m:oMath>
        <m:r>
          <w:rPr>
            <w:rFonts w:ascii="Cambria Math" w:hAnsi="Cambria Math"/>
          </w:rPr>
          <m:t>Y</m:t>
        </m:r>
      </m:oMath>
      <w:r w:rsidRPr="00827DE5">
        <w:t xml:space="preserve"> are estimated by the model to quantify the seasonality in infection rate (i.e. how the infection rate changes </w:t>
      </w:r>
      <w:r w:rsidR="008F5AAD" w:rsidRPr="00827DE5">
        <w:t>each day of the</w:t>
      </w:r>
      <w:r w:rsidRPr="00827DE5">
        <w:t xml:space="preserve"> year), such that for each time </w:t>
      </w:r>
      <m:oMath>
        <m:r>
          <w:rPr>
            <w:rFonts w:ascii="Cambria Math" w:hAnsi="Cambria Math"/>
          </w:rPr>
          <m:t>t</m:t>
        </m:r>
      </m:oMath>
      <w:r w:rsidRPr="00827DE5">
        <w:t>:</w:t>
      </w:r>
    </w:p>
    <w:p w14:paraId="38EE8ED2" w14:textId="77777777" w:rsidR="00CF2E7D" w:rsidRPr="00827DE5" w:rsidRDefault="00000000" w:rsidP="006C601C">
      <m:oMathPara>
        <m:oMath>
          <m:sSub>
            <m:sSubPr>
              <m:ctrlPr>
                <w:rPr>
                  <w:rFonts w:ascii="Cambria Math" w:hAnsi="Cambria Math"/>
                </w:rPr>
              </m:ctrlPr>
            </m:sSubPr>
            <m:e>
              <m:r>
                <w:rPr>
                  <w:rFonts w:ascii="Cambria Math" w:hAnsi="Cambria Math"/>
                </w:rPr>
                <m:t>β</m:t>
              </m:r>
            </m:e>
            <m:sub>
              <m:r>
                <w:rPr>
                  <w:rFonts w:ascii="Cambria Math" w:hAnsi="Cambria Math"/>
                </w:rPr>
                <m:t>t</m:t>
              </m:r>
            </m:sub>
          </m:sSub>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cs="Times New Roman"/>
                  <w:sz w:val="24"/>
                  <w:szCs w:val="24"/>
                </w:rPr>
              </m:ctrlPr>
            </m:funcPr>
            <m:fName>
              <m:r>
                <m:rPr>
                  <m:sty m:val="p"/>
                </m:rPr>
                <w:rPr>
                  <w:rFonts w:ascii="Cambria Math" w:hAnsi="Cambria Math"/>
                  <w:kern w:val="0"/>
                  <w14:ligatures w14:val="none"/>
                </w:rPr>
                <m:t>X* cos</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kern w:val="0"/>
                          <w14:ligatures w14:val="none"/>
                        </w:rPr>
                        <m:t>2*π*</m:t>
                      </m:r>
                      <m:r>
                        <w:rPr>
                          <w:rFonts w:ascii="Cambria Math" w:hAnsi="Cambria Math"/>
                          <w:kern w:val="0"/>
                          <w14:ligatures w14:val="none"/>
                        </w:rPr>
                        <m:t>t</m:t>
                      </m:r>
                    </m:num>
                    <m:den>
                      <m:r>
                        <m:rPr>
                          <m:sty m:val="p"/>
                        </m:rPr>
                        <w:rPr>
                          <w:rFonts w:ascii="Cambria Math" w:hAnsi="Cambria Math"/>
                          <w:kern w:val="0"/>
                          <w14:ligatures w14:val="none"/>
                        </w:rPr>
                        <m:t>365.25</m:t>
                      </m:r>
                    </m:den>
                  </m:f>
                  <m:r>
                    <m:rPr>
                      <m:sty m:val="p"/>
                    </m:rPr>
                    <w:rPr>
                      <w:rFonts w:ascii="Cambria Math" w:hAnsi="Cambria Math"/>
                      <w:kern w:val="0"/>
                      <w14:ligatures w14:val="none"/>
                    </w:rPr>
                    <m:t>+</m:t>
                  </m:r>
                  <m:r>
                    <w:rPr>
                      <w:rFonts w:ascii="Cambria Math" w:hAnsi="Cambria Math"/>
                      <w:kern w:val="0"/>
                      <w14:ligatures w14:val="none"/>
                    </w:rPr>
                    <m:t>Y</m:t>
                  </m:r>
                </m:e>
              </m:d>
            </m:e>
          </m:func>
          <m:r>
            <m:rPr>
              <m:sty m:val="p"/>
            </m:rPr>
            <w:rPr>
              <w:rFonts w:ascii="Cambria Math" w:hAnsi="Cambria Math"/>
            </w:rPr>
            <m:t>)</m:t>
          </m:r>
        </m:oMath>
      </m:oMathPara>
    </w:p>
    <w:p w14:paraId="0C95EF41" w14:textId="24197A68" w:rsidR="00585857" w:rsidRPr="00827DE5" w:rsidRDefault="00585857" w:rsidP="006C601C">
      <w:r w:rsidRPr="00827DE5">
        <w:t>Therefore, the model estimates three parameters to quantify the infection rate</w:t>
      </w:r>
      <w:r w:rsidR="00CA03DE" w:rsidRPr="00827DE5">
        <w:t xml:space="preserve"> through time</w:t>
      </w:r>
      <w:r w:rsidRPr="00827DE5">
        <w:t xml:space="preserve">: </w:t>
      </w:r>
      <m:oMath>
        <m:r>
          <w:rPr>
            <w:rFonts w:ascii="Cambria Math" w:hAnsi="Cambria Math"/>
          </w:rPr>
          <m:t>β</m:t>
        </m:r>
      </m:oMath>
      <w:r w:rsidRPr="00827DE5">
        <w:t xml:space="preserve">, </w:t>
      </w:r>
      <m:oMath>
        <m:r>
          <w:rPr>
            <w:rFonts w:ascii="Cambria Math" w:hAnsi="Cambria Math"/>
          </w:rPr>
          <m:t>X</m:t>
        </m:r>
      </m:oMath>
      <w:r w:rsidRPr="00827DE5">
        <w:t xml:space="preserve">, and </w:t>
      </w:r>
      <m:oMath>
        <m:r>
          <w:rPr>
            <w:rFonts w:ascii="Cambria Math" w:hAnsi="Cambria Math"/>
          </w:rPr>
          <m:t>Y</m:t>
        </m:r>
      </m:oMath>
      <w:r w:rsidRPr="00827DE5">
        <w:t>.</w:t>
      </w:r>
    </w:p>
    <w:p w14:paraId="32E9E0F0" w14:textId="77777777" w:rsidR="00CF2E7D" w:rsidRPr="00827DE5" w:rsidRDefault="00CF2E7D" w:rsidP="001D75E9">
      <w:pPr>
        <w:pStyle w:val="Heading2"/>
      </w:pPr>
      <w:bookmarkStart w:id="2" w:name="_Toc162889789"/>
      <w:r w:rsidRPr="00827DE5">
        <w:t>Vaccine stratification</w:t>
      </w:r>
      <w:bookmarkEnd w:id="2"/>
    </w:p>
    <w:p w14:paraId="51671813" w14:textId="5A209137" w:rsidR="00CF2E7D" w:rsidRPr="00827DE5" w:rsidRDefault="00CF2E7D" w:rsidP="006C601C">
      <w:r w:rsidRPr="00827DE5">
        <w:t xml:space="preserve">The model uses an all-or-nothing vaccination structure to represent primary vaccine failure: given </w:t>
      </w:r>
      <m:oMath>
        <m:sSub>
          <m:sSubPr>
            <m:ctrlPr>
              <w:rPr>
                <w:rFonts w:ascii="Cambria Math" w:hAnsi="Cambria Math"/>
                <w:i/>
              </w:rPr>
            </m:ctrlPr>
          </m:sSubPr>
          <m:e>
            <m:r>
              <w:rPr>
                <w:rFonts w:ascii="Cambria Math" w:hAnsi="Cambria Math"/>
              </w:rPr>
              <m:t>v</m:t>
            </m:r>
          </m:e>
          <m:sub>
            <m:r>
              <w:rPr>
                <w:rFonts w:ascii="Cambria Math" w:hAnsi="Cambria Math"/>
              </w:rPr>
              <m:t>fail</m:t>
            </m:r>
          </m:sub>
        </m:sSub>
      </m:oMath>
      <w:r w:rsidRPr="00827DE5">
        <w:t xml:space="preserve"> the proportion of vaccine failures, individuals move to one of the V</w:t>
      </w:r>
      <w:proofErr w:type="spellStart"/>
      <w:r w:rsidR="005362A4" w:rsidRPr="00827DE5">
        <w:t>accinated</w:t>
      </w:r>
      <w:proofErr w:type="spellEnd"/>
      <w:r w:rsidRPr="00827DE5">
        <w:t xml:space="preserve"> compartments upon first vaccination: they have a </w:t>
      </w:r>
      <m:oMath>
        <m:sSub>
          <m:sSubPr>
            <m:ctrlPr>
              <w:rPr>
                <w:rFonts w:ascii="Cambria Math" w:hAnsi="Cambria Math"/>
                <w:i/>
              </w:rPr>
            </m:ctrlPr>
          </m:sSubPr>
          <m:e>
            <m:r>
              <w:rPr>
                <w:rFonts w:ascii="Cambria Math" w:hAnsi="Cambria Math"/>
              </w:rPr>
              <m:t>v</m:t>
            </m:r>
          </m:e>
          <m:sub>
            <m:r>
              <w:rPr>
                <w:rFonts w:ascii="Cambria Math" w:hAnsi="Cambria Math"/>
              </w:rPr>
              <m:t>fail</m:t>
            </m:r>
          </m:sub>
        </m:sSub>
      </m:oMath>
      <w:r w:rsidRPr="00827DE5">
        <w:t xml:space="preserve"> risk of not </w:t>
      </w:r>
      <w:r w:rsidR="004230DD" w:rsidRPr="00827DE5">
        <w:t xml:space="preserve">being </w:t>
      </w:r>
      <w:r w:rsidRPr="00827DE5">
        <w:t xml:space="preserve">protected against infection (i.e. primary vaccine failure), </w:t>
      </w:r>
      <w:r w:rsidR="00D92E4B" w:rsidRPr="00827DE5">
        <w:t xml:space="preserve">and </w:t>
      </w:r>
      <m:oMath>
        <m:r>
          <w:rPr>
            <w:rFonts w:ascii="Cambria Math" w:hAnsi="Cambria Math"/>
          </w:rPr>
          <m:t>1-</m:t>
        </m:r>
        <m:sSub>
          <m:sSubPr>
            <m:ctrlPr>
              <w:rPr>
                <w:rFonts w:ascii="Cambria Math" w:hAnsi="Cambria Math"/>
                <w:i/>
              </w:rPr>
            </m:ctrlPr>
          </m:sSubPr>
          <m:e>
            <m:r>
              <w:rPr>
                <w:rFonts w:ascii="Cambria Math" w:hAnsi="Cambria Math"/>
              </w:rPr>
              <m:t>v</m:t>
            </m:r>
          </m:e>
          <m:sub>
            <m:r>
              <w:rPr>
                <w:rFonts w:ascii="Cambria Math" w:hAnsi="Cambria Math"/>
              </w:rPr>
              <m:t>fail</m:t>
            </m:r>
          </m:sub>
        </m:sSub>
      </m:oMath>
      <w:r w:rsidRPr="00827DE5">
        <w:t xml:space="preserve"> chances of</w:t>
      </w:r>
      <w:r w:rsidR="008C22DF" w:rsidRPr="00827DE5">
        <w:t xml:space="preserve"> gaining full</w:t>
      </w:r>
      <w:r w:rsidRPr="00827DE5">
        <w:t xml:space="preserve"> protect</w:t>
      </w:r>
      <w:r w:rsidR="008C22DF" w:rsidRPr="00827DE5">
        <w:t xml:space="preserve">ion </w:t>
      </w:r>
      <w:r w:rsidRPr="00827DE5">
        <w:t xml:space="preserve">against infection. When and if individuals </w:t>
      </w:r>
      <w:r w:rsidR="00F37106" w:rsidRPr="00827DE5">
        <w:t xml:space="preserve">who did not get protected </w:t>
      </w:r>
      <w:r w:rsidRPr="00827DE5">
        <w:t xml:space="preserve">get their second dose of vaccine, they </w:t>
      </w:r>
      <w:r w:rsidR="00F37106" w:rsidRPr="00827DE5">
        <w:t xml:space="preserve">have another </w:t>
      </w:r>
      <m:oMath>
        <m:sSub>
          <m:sSubPr>
            <m:ctrlPr>
              <w:rPr>
                <w:rFonts w:ascii="Cambria Math" w:hAnsi="Cambria Math"/>
                <w:i/>
              </w:rPr>
            </m:ctrlPr>
          </m:sSubPr>
          <m:e>
            <m:r>
              <w:rPr>
                <w:rFonts w:ascii="Cambria Math" w:hAnsi="Cambria Math"/>
              </w:rPr>
              <m:t>v</m:t>
            </m:r>
          </m:e>
          <m:sub>
            <m:r>
              <w:rPr>
                <w:rFonts w:ascii="Cambria Math" w:hAnsi="Cambria Math"/>
              </w:rPr>
              <m:t>fail</m:t>
            </m:r>
          </m:sub>
        </m:sSub>
      </m:oMath>
      <w:r w:rsidR="00F37106" w:rsidRPr="00827DE5">
        <w:t xml:space="preserve"> risk of not gaining protection</w:t>
      </w:r>
      <w:r w:rsidRPr="00827DE5">
        <w:t xml:space="preserve">, and </w:t>
      </w:r>
      <w:r w:rsidR="00DE487B" w:rsidRPr="00827DE5">
        <w:t xml:space="preserve">a </w:t>
      </w:r>
      <m:oMath>
        <m:r>
          <w:rPr>
            <w:rFonts w:ascii="Cambria Math" w:hAnsi="Cambria Math"/>
          </w:rPr>
          <m:t>1-</m:t>
        </m:r>
        <m:sSub>
          <m:sSubPr>
            <m:ctrlPr>
              <w:rPr>
                <w:rFonts w:ascii="Cambria Math" w:hAnsi="Cambria Math"/>
                <w:i/>
              </w:rPr>
            </m:ctrlPr>
          </m:sSubPr>
          <m:e>
            <m:r>
              <w:rPr>
                <w:rFonts w:ascii="Cambria Math" w:hAnsi="Cambria Math"/>
              </w:rPr>
              <m:t>v</m:t>
            </m:r>
          </m:e>
          <m:sub>
            <m:r>
              <w:rPr>
                <w:rFonts w:ascii="Cambria Math" w:hAnsi="Cambria Math"/>
              </w:rPr>
              <m:t>fail</m:t>
            </m:r>
          </m:sub>
        </m:sSub>
      </m:oMath>
      <w:r w:rsidR="00DE487B" w:rsidRPr="00827DE5">
        <w:t xml:space="preserve"> chances of gaining full protection. Individuals are protected if at least one dose did not fail. T</w:t>
      </w:r>
      <w:r w:rsidR="00E04431" w:rsidRPr="00827DE5">
        <w:t xml:space="preserve">he </w:t>
      </w:r>
      <w:r w:rsidR="00DE487B" w:rsidRPr="00827DE5">
        <w:t xml:space="preserve">risk </w:t>
      </w:r>
      <w:r w:rsidR="00E04431" w:rsidRPr="00827DE5">
        <w:t xml:space="preserve">of primary vaccine failure is </w:t>
      </w:r>
      <w:r w:rsidR="00DE487B" w:rsidRPr="00827DE5">
        <w:t>the</w:t>
      </w:r>
      <w:r w:rsidR="00E04431" w:rsidRPr="00827DE5">
        <w:t xml:space="preserve"> same for each dose</w:t>
      </w:r>
      <w:r w:rsidRPr="00827DE5">
        <w:t xml:space="preserve">. </w:t>
      </w:r>
    </w:p>
    <w:p w14:paraId="7B137647" w14:textId="397418F6" w:rsidR="00CF2E7D" w:rsidRPr="00827DE5" w:rsidRDefault="00CF2E7D" w:rsidP="006C601C">
      <w:r w:rsidRPr="00827DE5">
        <w:t>When waning is added to the model</w:t>
      </w:r>
      <w:r w:rsidR="006F1317" w:rsidRPr="00827DE5">
        <w:t>, the “vaccinated and protected” compartments</w:t>
      </w:r>
      <w:r w:rsidRPr="00827DE5">
        <w:t xml:space="preserve"> become leaky and are not fully protective anymore. The parameter </w:t>
      </w:r>
      <m:oMath>
        <m:sSub>
          <m:sSubPr>
            <m:ctrlPr>
              <w:rPr>
                <w:rFonts w:ascii="Cambria Math" w:hAnsi="Cambria Math"/>
                <w:i/>
              </w:rPr>
            </m:ctrlPr>
          </m:sSubPr>
          <m:e>
            <m:r>
              <w:rPr>
                <w:rFonts w:ascii="Cambria Math" w:hAnsi="Cambria Math"/>
              </w:rPr>
              <m:t>v</m:t>
            </m:r>
          </m:e>
          <m:sub>
            <m:r>
              <w:rPr>
                <w:rFonts w:ascii="Cambria Math" w:hAnsi="Cambria Math"/>
              </w:rPr>
              <m:t>leak</m:t>
            </m:r>
          </m:sub>
        </m:sSub>
      </m:oMath>
      <w:r w:rsidRPr="00827DE5">
        <w:t xml:space="preserve"> quantifies the amount of protection lost by the vaccines in absence of primary vaccine failure and is estimated by the model (</w:t>
      </w:r>
      <m:oMath>
        <m:sSub>
          <m:sSubPr>
            <m:ctrlPr>
              <w:rPr>
                <w:rFonts w:ascii="Cambria Math" w:hAnsi="Cambria Math"/>
                <w:i/>
              </w:rPr>
            </m:ctrlPr>
          </m:sSubPr>
          <m:e>
            <m:r>
              <w:rPr>
                <w:rFonts w:ascii="Cambria Math" w:hAnsi="Cambria Math"/>
              </w:rPr>
              <m:t>p</m:t>
            </m:r>
          </m:e>
          <m:sub>
            <m:r>
              <w:rPr>
                <w:rFonts w:ascii="Cambria Math" w:hAnsi="Cambria Math"/>
              </w:rPr>
              <m:t>protect</m:t>
            </m:r>
          </m:sub>
        </m:sSub>
        <m:r>
          <w:rPr>
            <w:rFonts w:ascii="Cambria Math" w:hAnsi="Cambria Math"/>
          </w:rPr>
          <m:t>=1</m:t>
        </m:r>
      </m:oMath>
      <w:r w:rsidR="00436731" w:rsidRPr="00827DE5">
        <w:t xml:space="preserve"> at 5 years of age</w:t>
      </w:r>
      <w:r w:rsidRPr="00827DE5">
        <w:t xml:space="preserve">, and </w:t>
      </w:r>
      <w:r w:rsidR="00436731" w:rsidRPr="00827DE5">
        <w:t>de</w:t>
      </w:r>
      <w:r w:rsidRPr="00827DE5">
        <w:t>creases every year after vaccination</w:t>
      </w:r>
      <w:r w:rsidR="00436731" w:rsidRPr="00827DE5">
        <w:t xml:space="preserve">: </w:t>
      </w:r>
      <m:oMath>
        <m:sSub>
          <m:sSubPr>
            <m:ctrlPr>
              <w:rPr>
                <w:rFonts w:ascii="Cambria Math" w:hAnsi="Cambria Math"/>
                <w:i/>
              </w:rPr>
            </m:ctrlPr>
          </m:sSubPr>
          <m:e>
            <m:r>
              <w:rPr>
                <w:rFonts w:ascii="Cambria Math" w:hAnsi="Cambria Math"/>
              </w:rPr>
              <m:t>p</m:t>
            </m:r>
          </m:e>
          <m:sub>
            <m:r>
              <w:rPr>
                <w:rFonts w:ascii="Cambria Math" w:hAnsi="Cambria Math"/>
              </w:rPr>
              <m:t>protect</m:t>
            </m:r>
          </m:sub>
        </m:sSub>
        <m:d>
          <m:dPr>
            <m:ctrlPr>
              <w:rPr>
                <w:rFonts w:ascii="Cambria Math" w:hAnsi="Cambria Math"/>
                <w:i/>
              </w:rPr>
            </m:ctrlPr>
          </m:dPr>
          <m:e>
            <m:r>
              <w:rPr>
                <w:rFonts w:ascii="Cambria Math" w:hAnsi="Cambria Math"/>
              </w:rPr>
              <m:t>a</m:t>
            </m:r>
          </m:e>
        </m:d>
        <m:r>
          <w:rPr>
            <w:rFonts w:ascii="Cambria Math" w:hAnsi="Cambria Math"/>
          </w:rPr>
          <m:t>=1-</m:t>
        </m:r>
        <m:d>
          <m:dPr>
            <m:ctrlPr>
              <w:rPr>
                <w:rFonts w:ascii="Cambria Math" w:hAnsi="Cambria Math"/>
                <w:i/>
              </w:rPr>
            </m:ctrlPr>
          </m:dPr>
          <m:e>
            <m:r>
              <w:rPr>
                <w:rFonts w:ascii="Cambria Math" w:hAnsi="Cambria Math"/>
              </w:rPr>
              <m:t>a-5</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leak</m:t>
            </m:r>
          </m:sub>
        </m:sSub>
      </m:oMath>
      <w:r w:rsidRPr="00827DE5">
        <w:t>). We consider that protection wane</w:t>
      </w:r>
      <w:r w:rsidR="00B9673B" w:rsidRPr="00827DE5">
        <w:t>s</w:t>
      </w:r>
      <w:r w:rsidRPr="00827DE5">
        <w:t xml:space="preserve"> at the same rate</w:t>
      </w:r>
      <w:r w:rsidR="00B9673B" w:rsidRPr="00827DE5">
        <w:t xml:space="preserve"> for single and double vaccinated individuals</w:t>
      </w:r>
      <w:r w:rsidRPr="00827DE5">
        <w:t>.</w:t>
      </w:r>
    </w:p>
    <w:p w14:paraId="34AD78C8" w14:textId="3FA7A455" w:rsidR="00CF2E7D" w:rsidRPr="00827DE5" w:rsidRDefault="00CF2E7D" w:rsidP="006C601C">
      <w:r w:rsidRPr="00827DE5">
        <w:t xml:space="preserve">The model also includes </w:t>
      </w:r>
      <m:oMath>
        <m:sSub>
          <m:sSubPr>
            <m:ctrlPr>
              <w:rPr>
                <w:rFonts w:ascii="Cambria Math" w:hAnsi="Cambria Math"/>
                <w:i/>
              </w:rPr>
            </m:ctrlPr>
          </m:sSubPr>
          <m:e>
            <m:r>
              <w:rPr>
                <w:rFonts w:ascii="Cambria Math" w:hAnsi="Cambria Math"/>
              </w:rPr>
              <m:t>v</m:t>
            </m:r>
          </m:e>
          <m:sub>
            <m:r>
              <w:rPr>
                <w:rFonts w:ascii="Cambria Math" w:hAnsi="Cambria Math"/>
              </w:rPr>
              <m:t>onwards</m:t>
            </m:r>
          </m:sub>
        </m:sSub>
      </m:oMath>
      <w:r w:rsidRPr="00827DE5">
        <w:t>, the reduction in onward transmission for vaccinated cases</w:t>
      </w:r>
      <w:r w:rsidR="00537DD5" w:rsidRPr="00827DE5">
        <w:t xml:space="preserve"> compared to unvaccinated cases</w:t>
      </w:r>
      <w:r w:rsidRPr="00827DE5">
        <w:t>. This reduction corresponds to both potential protection from the vaccine, and clustering of vaccinated cases with other vaccinated individuals (i.e. vaccinated cases may be less likely to be in contact with unvaccinated individuals than unvaccinated cases).</w:t>
      </w:r>
    </w:p>
    <w:p w14:paraId="7DFF5536" w14:textId="77777777" w:rsidR="00CF2E7D" w:rsidRPr="00827DE5" w:rsidRDefault="00CF2E7D" w:rsidP="001D75E9">
      <w:pPr>
        <w:pStyle w:val="Heading2"/>
      </w:pPr>
      <w:bookmarkStart w:id="3" w:name="_Toc162889790"/>
      <w:r w:rsidRPr="00827DE5">
        <w:t>Age stratification</w:t>
      </w:r>
      <w:bookmarkEnd w:id="3"/>
    </w:p>
    <w:p w14:paraId="47750089" w14:textId="42A2FC99" w:rsidR="00CF2E7D" w:rsidRPr="00827DE5" w:rsidRDefault="00CF2E7D" w:rsidP="006C601C">
      <w:r w:rsidRPr="00827DE5">
        <w:t xml:space="preserve">The model includes 12 age groups: &lt;1, 1-2, 2-3, 3-4, 4-5, 5-6, 6-10, 10-15, 15-20, 20-30, 30-40 and 40+ years old. </w:t>
      </w:r>
    </w:p>
    <w:p w14:paraId="6EA274CA" w14:textId="77777777" w:rsidR="00CF2E7D" w:rsidRPr="00827DE5" w:rsidRDefault="00CF2E7D" w:rsidP="001D75E9">
      <w:pPr>
        <w:pStyle w:val="Heading3"/>
      </w:pPr>
      <w:bookmarkStart w:id="4" w:name="_Toc162889791"/>
      <w:r w:rsidRPr="00827DE5">
        <w:t>Ageing and vaccination</w:t>
      </w:r>
      <w:bookmarkEnd w:id="4"/>
    </w:p>
    <w:p w14:paraId="69674E3C" w14:textId="77777777" w:rsidR="00CF2E7D" w:rsidRPr="00827DE5" w:rsidRDefault="00CF2E7D" w:rsidP="006C601C">
      <w:r w:rsidRPr="00827DE5">
        <w:t xml:space="preserve">We use the vaccine data to compute the number of children moving from S to V1, and from V1 to V2 in each age group at each year: </w:t>
      </w:r>
    </w:p>
    <w:p w14:paraId="3B314085" w14:textId="28848602" w:rsidR="00CF2E7D" w:rsidRPr="00827DE5" w:rsidRDefault="00CF2E7D" w:rsidP="006C601C">
      <w:r w:rsidRPr="00827DE5">
        <w:t xml:space="preserve">For a given age group </w:t>
      </w:r>
      <m:oMath>
        <m:r>
          <w:rPr>
            <w:rFonts w:ascii="Cambria Math" w:hAnsi="Cambria Math"/>
          </w:rPr>
          <m:t>i</m:t>
        </m:r>
      </m:oMath>
      <w:r w:rsidRPr="00827DE5">
        <w:t xml:space="preserve">, the number of individuals gaining vaccination as they age into this age group is computed from a binomial distribution </w:t>
      </w:r>
      <m:oMath>
        <m:r>
          <w:rPr>
            <w:rFonts w:ascii="Cambria Math" w:hAnsi="Cambria Math"/>
          </w:rPr>
          <m:t>B(</m:t>
        </m:r>
        <m:sSub>
          <m:sSubPr>
            <m:ctrlPr>
              <w:rPr>
                <w:rFonts w:ascii="Cambria Math" w:hAnsi="Cambria Math"/>
                <w:i/>
              </w:rPr>
            </m:ctrlPr>
          </m:sSubPr>
          <m:e>
            <m:r>
              <w:rPr>
                <w:rFonts w:ascii="Cambria Math" w:hAnsi="Cambria Math"/>
              </w:rPr>
              <m:t>nS</m:t>
            </m:r>
          </m:e>
          <m:sub>
            <m:r>
              <w:rPr>
                <w:rFonts w:ascii="Cambria Math" w:hAnsi="Cambria Math"/>
              </w:rPr>
              <m:t>ageing</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vacc</m:t>
            </m:r>
          </m:sub>
        </m:sSub>
        <m:r>
          <w:rPr>
            <w:rFonts w:ascii="Cambria Math" w:hAnsi="Cambria Math"/>
          </w:rPr>
          <m:t>1)</m:t>
        </m:r>
      </m:oMath>
      <w:r w:rsidRPr="00827DE5">
        <w:t xml:space="preserve">, with </w:t>
      </w:r>
      <m:oMath>
        <m:sSub>
          <m:sSubPr>
            <m:ctrlPr>
              <w:rPr>
                <w:rFonts w:ascii="Cambria Math" w:hAnsi="Cambria Math"/>
                <w:i/>
              </w:rPr>
            </m:ctrlPr>
          </m:sSubPr>
          <m:e>
            <m:r>
              <w:rPr>
                <w:rFonts w:ascii="Cambria Math" w:hAnsi="Cambria Math"/>
              </w:rPr>
              <m:t>p</m:t>
            </m:r>
          </m:e>
          <m:sub>
            <m:r>
              <w:rPr>
                <w:rFonts w:ascii="Cambria Math" w:hAnsi="Cambria Math"/>
              </w:rPr>
              <m:t>vacc1</m:t>
            </m:r>
          </m:sub>
        </m:sSub>
      </m:oMath>
      <w:r w:rsidRPr="00827DE5">
        <w:t xml:space="preserve"> the proportion of new single-vaccinated, and </w:t>
      </w:r>
      <m:oMath>
        <m:sSub>
          <m:sSubPr>
            <m:ctrlPr>
              <w:rPr>
                <w:rFonts w:ascii="Cambria Math" w:hAnsi="Cambria Math"/>
                <w:i/>
              </w:rPr>
            </m:ctrlPr>
          </m:sSubPr>
          <m:e>
            <m:r>
              <w:rPr>
                <w:rFonts w:ascii="Cambria Math" w:hAnsi="Cambria Math"/>
              </w:rPr>
              <m:t>nS</m:t>
            </m:r>
          </m:e>
          <m:sub>
            <m:r>
              <w:rPr>
                <w:rFonts w:ascii="Cambria Math" w:hAnsi="Cambria Math"/>
              </w:rPr>
              <m:t>ageing</m:t>
            </m:r>
          </m:sub>
        </m:sSub>
      </m:oMath>
      <w:r w:rsidRPr="00827DE5">
        <w:t xml:space="preserve"> the number of unvaccinated ageing at this time step. With </w:t>
      </w:r>
      <m:oMath>
        <m:r>
          <w:rPr>
            <w:rFonts w:ascii="Cambria Math" w:hAnsi="Cambria Math"/>
          </w:rPr>
          <w:lastRenderedPageBreak/>
          <m:t>cov1(a,t)</m:t>
        </m:r>
      </m:oMath>
      <w:r w:rsidRPr="00827DE5">
        <w:t xml:space="preserve"> the proportion of single-vaccinated at age </w:t>
      </w:r>
      <m:oMath>
        <m:r>
          <w:rPr>
            <w:rFonts w:ascii="Cambria Math" w:hAnsi="Cambria Math"/>
          </w:rPr>
          <m:t>a</m:t>
        </m:r>
      </m:oMath>
      <w:r w:rsidRPr="00827DE5">
        <w:t xml:space="preserve"> and time </w:t>
      </w:r>
      <m:oMath>
        <m:r>
          <w:rPr>
            <w:rFonts w:ascii="Cambria Math" w:hAnsi="Cambria Math"/>
          </w:rPr>
          <m:t>t</m:t>
        </m:r>
      </m:oMath>
      <w:r w:rsidRPr="00827DE5">
        <w:t xml:space="preserve">, and </w:t>
      </w:r>
      <m:oMath>
        <m:r>
          <w:rPr>
            <w:rFonts w:ascii="Cambria Math" w:hAnsi="Cambria Math"/>
          </w:rPr>
          <m:t>cov2(a,t)</m:t>
        </m:r>
      </m:oMath>
      <w:r w:rsidRPr="00827DE5">
        <w:t xml:space="preserve"> the proportion of double-vaccinated at age </w:t>
      </w:r>
      <m:oMath>
        <m:r>
          <w:rPr>
            <w:rFonts w:ascii="Cambria Math" w:hAnsi="Cambria Math"/>
          </w:rPr>
          <m:t>a</m:t>
        </m:r>
      </m:oMath>
      <w:r w:rsidRPr="00827DE5">
        <w:t xml:space="preserve"> and time </w:t>
      </w:r>
      <m:oMath>
        <m:r>
          <w:rPr>
            <w:rFonts w:ascii="Cambria Math" w:hAnsi="Cambria Math"/>
          </w:rPr>
          <m:t>t</m:t>
        </m:r>
      </m:oMath>
      <w:r w:rsidRPr="00827DE5">
        <w:t xml:space="preserve"> The proportion of new single-vaccinated is calculated as:</w:t>
      </w:r>
    </w:p>
    <w:p w14:paraId="6B84F74B" w14:textId="540B8AAD" w:rsidR="00CF2E7D" w:rsidRPr="00827DE5" w:rsidRDefault="00000000" w:rsidP="00C47E83">
      <w:pPr>
        <w:pStyle w:val="ListParagraph"/>
        <w:numPr>
          <w:ilvl w:val="0"/>
          <w:numId w:val="0"/>
        </w:numPr>
        <w:ind w:left="360"/>
        <w:rPr>
          <w:sz w:val="20"/>
          <w:szCs w:val="20"/>
        </w:rPr>
      </w:pPr>
      <m:oMathPara>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vacc</m:t>
              </m:r>
              <m:r>
                <m:rPr>
                  <m:sty m:val="p"/>
                </m:rPr>
                <w:rPr>
                  <w:rFonts w:ascii="Cambria Math" w:hAnsi="Cambria Math"/>
                  <w:sz w:val="20"/>
                  <w:szCs w:val="20"/>
                </w:rPr>
                <m:t>1</m:t>
              </m:r>
            </m:sub>
          </m:sSub>
          <m:d>
            <m:dPr>
              <m:begChr m:val="["/>
              <m:endChr m:val="]"/>
              <m:ctrlPr>
                <w:rPr>
                  <w:rFonts w:ascii="Cambria Math" w:hAnsi="Cambria Math"/>
                  <w:sz w:val="20"/>
                  <w:szCs w:val="20"/>
                </w:rPr>
              </m:ctrlPr>
            </m:dPr>
            <m:e>
              <m:r>
                <w:rPr>
                  <w:rFonts w:ascii="Cambria Math" w:hAnsi="Cambria Math"/>
                  <w:sz w:val="20"/>
                  <w:szCs w:val="20"/>
                </w:rPr>
                <m:t>i</m:t>
              </m:r>
            </m:e>
          </m:d>
          <m:r>
            <m:rPr>
              <m:sty m:val="p"/>
            </m:rPr>
            <w:rPr>
              <w:rFonts w:ascii="Cambria Math" w:hAnsi="Cambria Math"/>
              <w:sz w:val="20"/>
              <w:szCs w:val="20"/>
            </w:rPr>
            <m:t xml:space="preserve">=1- </m:t>
          </m:r>
          <m:d>
            <m:dPr>
              <m:ctrlPr>
                <w:rPr>
                  <w:rFonts w:ascii="Cambria Math" w:hAnsi="Cambria Math"/>
                  <w:sz w:val="20"/>
                  <w:szCs w:val="20"/>
                </w:rPr>
              </m:ctrlPr>
            </m:dPr>
            <m:e>
              <m:r>
                <w:rPr>
                  <w:rFonts w:ascii="Cambria Math" w:hAnsi="Cambria Math"/>
                  <w:sz w:val="20"/>
                  <w:szCs w:val="20"/>
                </w:rPr>
                <m:t>proportion</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unvaccinated</m:t>
              </m:r>
              <m:r>
                <m:rPr>
                  <m:sty m:val="p"/>
                </m:rPr>
                <w:rPr>
                  <w:rFonts w:ascii="Cambria Math" w:hAnsi="Cambria Math"/>
                  <w:sz w:val="20"/>
                  <w:szCs w:val="20"/>
                </w:rPr>
                <m:t xml:space="preserve"> </m:t>
              </m:r>
              <m:r>
                <w:rPr>
                  <w:rFonts w:ascii="Cambria Math" w:hAnsi="Cambria Math"/>
                  <w:sz w:val="20"/>
                  <w:szCs w:val="20"/>
                </w:rPr>
                <m:t>who</m:t>
              </m:r>
              <m:r>
                <m:rPr>
                  <m:sty m:val="p"/>
                </m:rPr>
                <w:rPr>
                  <w:rFonts w:ascii="Cambria Math" w:hAnsi="Cambria Math"/>
                  <w:sz w:val="20"/>
                  <w:szCs w:val="20"/>
                </w:rPr>
                <m:t xml:space="preserve"> </m:t>
              </m:r>
              <m:r>
                <w:rPr>
                  <w:rFonts w:ascii="Cambria Math" w:hAnsi="Cambria Math"/>
                  <w:sz w:val="20"/>
                  <w:szCs w:val="20"/>
                </w:rPr>
                <m:t>do</m:t>
              </m:r>
              <m:r>
                <m:rPr>
                  <m:sty m:val="p"/>
                </m:rPr>
                <w:rPr>
                  <w:rFonts w:ascii="Cambria Math" w:hAnsi="Cambria Math"/>
                  <w:sz w:val="20"/>
                  <w:szCs w:val="20"/>
                </w:rPr>
                <m:t xml:space="preserve"> </m:t>
              </m:r>
              <m:r>
                <w:rPr>
                  <w:rFonts w:ascii="Cambria Math" w:hAnsi="Cambria Math"/>
                  <w:sz w:val="20"/>
                  <w:szCs w:val="20"/>
                </w:rPr>
                <m:t>not</m:t>
              </m:r>
              <m:r>
                <m:rPr>
                  <m:sty m:val="p"/>
                </m:rPr>
                <w:rPr>
                  <w:rFonts w:ascii="Cambria Math" w:hAnsi="Cambria Math"/>
                  <w:sz w:val="20"/>
                  <w:szCs w:val="20"/>
                </w:rPr>
                <m:t xml:space="preserve"> </m:t>
              </m:r>
              <m:r>
                <w:rPr>
                  <w:rFonts w:ascii="Cambria Math" w:hAnsi="Cambria Math"/>
                  <w:sz w:val="20"/>
                  <w:szCs w:val="20"/>
                </w:rPr>
                <m:t>get</m:t>
              </m:r>
              <m:r>
                <m:rPr>
                  <m:sty m:val="p"/>
                </m:rPr>
                <w:rPr>
                  <w:rFonts w:ascii="Cambria Math" w:hAnsi="Cambria Math"/>
                  <w:sz w:val="20"/>
                  <w:szCs w:val="20"/>
                </w:rPr>
                <m:t xml:space="preserve"> </m:t>
              </m:r>
              <m:r>
                <w:rPr>
                  <w:rFonts w:ascii="Cambria Math" w:hAnsi="Cambria Math"/>
                  <w:sz w:val="20"/>
                  <w:szCs w:val="20"/>
                </w:rPr>
                <m:t>vaccinated</m:t>
              </m:r>
              <m:r>
                <m:rPr>
                  <m:sty m:val="p"/>
                </m:rPr>
                <w:rPr>
                  <w:rFonts w:ascii="Cambria Math" w:hAnsi="Cambria Math"/>
                  <w:sz w:val="20"/>
                  <w:szCs w:val="20"/>
                </w:rPr>
                <m:t xml:space="preserve"> </m:t>
              </m:r>
              <m:r>
                <w:rPr>
                  <w:rFonts w:ascii="Cambria Math" w:hAnsi="Cambria Math"/>
                  <w:sz w:val="20"/>
                  <w:szCs w:val="20"/>
                </w:rPr>
                <m:t>as</m:t>
              </m:r>
              <m:r>
                <m:rPr>
                  <m:sty m:val="p"/>
                </m:rPr>
                <w:rPr>
                  <w:rFonts w:ascii="Cambria Math" w:hAnsi="Cambria Math"/>
                  <w:sz w:val="20"/>
                  <w:szCs w:val="20"/>
                </w:rPr>
                <m:t xml:space="preserve"> </m:t>
              </m:r>
              <m:r>
                <w:rPr>
                  <w:rFonts w:ascii="Cambria Math" w:hAnsi="Cambria Math"/>
                  <w:sz w:val="20"/>
                  <w:szCs w:val="20"/>
                </w:rPr>
                <m:t>they</m:t>
              </m:r>
              <m:r>
                <m:rPr>
                  <m:sty m:val="p"/>
                </m:rPr>
                <w:rPr>
                  <w:rFonts w:ascii="Cambria Math" w:hAnsi="Cambria Math"/>
                  <w:sz w:val="20"/>
                  <w:szCs w:val="20"/>
                </w:rPr>
                <m:t xml:space="preserve"> </m:t>
              </m:r>
              <m:r>
                <w:rPr>
                  <w:rFonts w:ascii="Cambria Math" w:hAnsi="Cambria Math"/>
                  <w:sz w:val="20"/>
                  <w:szCs w:val="20"/>
                </w:rPr>
                <m:t>age</m:t>
              </m:r>
              <m:r>
                <m:rPr>
                  <m:sty m:val="p"/>
                </m:rPr>
                <w:rPr>
                  <w:rFonts w:ascii="Cambria Math" w:hAnsi="Cambria Math"/>
                  <w:sz w:val="20"/>
                  <w:szCs w:val="20"/>
                </w:rPr>
                <m:t xml:space="preserve"> </m:t>
              </m:r>
              <m:r>
                <w:rPr>
                  <w:rFonts w:ascii="Cambria Math" w:hAnsi="Cambria Math"/>
                  <w:sz w:val="20"/>
                  <w:szCs w:val="20"/>
                </w:rPr>
                <m:t>into</m:t>
              </m:r>
              <m:r>
                <m:rPr>
                  <m:sty m:val="p"/>
                </m:rPr>
                <w:rPr>
                  <w:rFonts w:ascii="Cambria Math" w:hAnsi="Cambria Math"/>
                  <w:sz w:val="20"/>
                  <w:szCs w:val="20"/>
                </w:rPr>
                <m:t xml:space="preserve"> </m:t>
              </m:r>
              <m:r>
                <w:rPr>
                  <w:rFonts w:ascii="Cambria Math" w:hAnsi="Cambria Math"/>
                  <w:sz w:val="20"/>
                  <w:szCs w:val="20"/>
                </w:rPr>
                <m:t>age</m:t>
              </m:r>
              <m:r>
                <m:rPr>
                  <m:sty m:val="p"/>
                </m:rPr>
                <w:rPr>
                  <w:rFonts w:ascii="Cambria Math" w:hAnsi="Cambria Math"/>
                  <w:sz w:val="20"/>
                  <w:szCs w:val="20"/>
                </w:rPr>
                <m:t xml:space="preserve"> </m:t>
              </m:r>
              <m:r>
                <w:rPr>
                  <w:rFonts w:ascii="Cambria Math" w:hAnsi="Cambria Math"/>
                  <w:sz w:val="20"/>
                  <w:szCs w:val="20"/>
                </w:rPr>
                <m:t>i</m:t>
              </m:r>
            </m:e>
          </m:d>
          <m:r>
            <m:rPr>
              <m:sty m:val="p"/>
            </m:rP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proportion</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unvaccinated</m:t>
              </m:r>
              <m:r>
                <m:rPr>
                  <m:sty m:val="p"/>
                </m:rPr>
                <w:rPr>
                  <w:rFonts w:ascii="Cambria Math" w:hAnsi="Cambria Math"/>
                  <w:sz w:val="20"/>
                  <w:szCs w:val="20"/>
                </w:rPr>
                <m:t xml:space="preserve"> </m:t>
              </m:r>
              <m:r>
                <w:rPr>
                  <w:rFonts w:ascii="Cambria Math" w:hAnsi="Cambria Math"/>
                  <w:sz w:val="20"/>
                  <w:szCs w:val="20"/>
                </w:rPr>
                <m:t>at</m:t>
              </m:r>
              <m:r>
                <m:rPr>
                  <m:sty m:val="p"/>
                </m:rPr>
                <w:rPr>
                  <w:rFonts w:ascii="Cambria Math" w:hAnsi="Cambria Math"/>
                  <w:sz w:val="20"/>
                  <w:szCs w:val="20"/>
                </w:rPr>
                <m:t xml:space="preserve"> </m:t>
              </m:r>
              <m:r>
                <w:rPr>
                  <w:rFonts w:ascii="Cambria Math" w:hAnsi="Cambria Math"/>
                  <w:sz w:val="20"/>
                  <w:szCs w:val="20"/>
                </w:rPr>
                <m:t>age</m:t>
              </m:r>
              <m:r>
                <m:rPr>
                  <m:sty m:val="p"/>
                </m:rPr>
                <w:rPr>
                  <w:rFonts w:ascii="Cambria Math" w:hAnsi="Cambria Math"/>
                  <w:sz w:val="20"/>
                  <w:szCs w:val="20"/>
                </w:rPr>
                <m:t xml:space="preserve"> </m:t>
              </m:r>
              <m:r>
                <w:rPr>
                  <w:rFonts w:ascii="Cambria Math" w:hAnsi="Cambria Math"/>
                  <w:sz w:val="20"/>
                  <w:szCs w:val="20"/>
                </w:rPr>
                <m:t>i</m:t>
              </m:r>
              <m:r>
                <m:rPr>
                  <m:sty m:val="p"/>
                </m:rPr>
                <w:rPr>
                  <w:rFonts w:ascii="Cambria Math" w:hAnsi="Cambria Math"/>
                  <w:sz w:val="20"/>
                  <w:szCs w:val="20"/>
                </w:rPr>
                <m:t xml:space="preserve"> in </m:t>
              </m:r>
              <m:r>
                <w:rPr>
                  <w:rFonts w:ascii="Cambria Math" w:hAnsi="Cambria Math"/>
                  <w:sz w:val="20"/>
                  <w:szCs w:val="20"/>
                </w:rPr>
                <m:t>the</m:t>
              </m:r>
              <m:r>
                <m:rPr>
                  <m:sty m:val="p"/>
                </m:rPr>
                <w:rPr>
                  <w:rFonts w:ascii="Cambria Math" w:hAnsi="Cambria Math"/>
                  <w:sz w:val="20"/>
                  <w:szCs w:val="20"/>
                </w:rPr>
                <m:t xml:space="preserve"> </m:t>
              </m:r>
              <m:r>
                <w:rPr>
                  <w:rFonts w:ascii="Cambria Math" w:hAnsi="Cambria Math"/>
                  <w:sz w:val="20"/>
                  <w:szCs w:val="20"/>
                </w:rPr>
                <m:t>current</m:t>
              </m:r>
              <m:r>
                <m:rPr>
                  <m:sty m:val="p"/>
                </m:rPr>
                <w:rPr>
                  <w:rFonts w:ascii="Cambria Math" w:hAnsi="Cambria Math"/>
                  <w:sz w:val="20"/>
                  <w:szCs w:val="20"/>
                </w:rPr>
                <m:t xml:space="preserve"> </m:t>
              </m:r>
              <m:r>
                <w:rPr>
                  <w:rFonts w:ascii="Cambria Math" w:hAnsi="Cambria Math"/>
                  <w:sz w:val="20"/>
                  <w:szCs w:val="20"/>
                </w:rPr>
                <m:t>year</m:t>
              </m:r>
            </m:num>
            <m:den>
              <m:r>
                <w:rPr>
                  <w:rFonts w:ascii="Cambria Math" w:hAnsi="Cambria Math"/>
                  <w:sz w:val="20"/>
                  <w:szCs w:val="20"/>
                </w:rPr>
                <m:t>proportion</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unvaccinated</m:t>
              </m:r>
              <m:r>
                <m:rPr>
                  <m:sty m:val="p"/>
                </m:rPr>
                <w:rPr>
                  <w:rFonts w:ascii="Cambria Math" w:hAnsi="Cambria Math"/>
                  <w:sz w:val="20"/>
                  <w:szCs w:val="20"/>
                </w:rPr>
                <m:t xml:space="preserve"> </m:t>
              </m:r>
              <m:r>
                <w:rPr>
                  <w:rFonts w:ascii="Cambria Math" w:hAnsi="Cambria Math"/>
                  <w:sz w:val="20"/>
                  <w:szCs w:val="20"/>
                </w:rPr>
                <m:t>at</m:t>
              </m:r>
              <m:r>
                <m:rPr>
                  <m:sty m:val="p"/>
                </m:rPr>
                <w:rPr>
                  <w:rFonts w:ascii="Cambria Math" w:hAnsi="Cambria Math"/>
                  <w:sz w:val="20"/>
                  <w:szCs w:val="20"/>
                </w:rPr>
                <m:t xml:space="preserve"> </m:t>
              </m:r>
              <m:r>
                <w:rPr>
                  <w:rFonts w:ascii="Cambria Math" w:hAnsi="Cambria Math"/>
                  <w:sz w:val="20"/>
                  <w:szCs w:val="20"/>
                </w:rPr>
                <m:t>age</m:t>
              </m:r>
              <m:r>
                <m:rPr>
                  <m:sty m:val="p"/>
                </m:rPr>
                <w:rPr>
                  <w:rFonts w:ascii="Cambria Math" w:hAnsi="Cambria Math"/>
                  <w:sz w:val="20"/>
                  <w:szCs w:val="20"/>
                </w:rPr>
                <m:t xml:space="preserve"> (</m:t>
              </m:r>
              <m:r>
                <w:rPr>
                  <w:rFonts w:ascii="Cambria Math" w:hAnsi="Cambria Math"/>
                  <w:sz w:val="20"/>
                  <w:szCs w:val="20"/>
                </w:rPr>
                <m:t>i</m:t>
              </m:r>
              <m:r>
                <m:rPr>
                  <m:sty m:val="p"/>
                </m:rPr>
                <w:rPr>
                  <w:rFonts w:ascii="Cambria Math" w:hAnsi="Cambria Math"/>
                  <w:sz w:val="20"/>
                  <w:szCs w:val="20"/>
                </w:rPr>
                <m:t xml:space="preserve">-1) </m:t>
              </m:r>
              <m:r>
                <w:rPr>
                  <w:rFonts w:ascii="Cambria Math" w:hAnsi="Cambria Math"/>
                  <w:sz w:val="20"/>
                  <w:szCs w:val="20"/>
                </w:rPr>
                <m:t>in</m:t>
              </m:r>
              <m:r>
                <m:rPr>
                  <m:sty m:val="p"/>
                </m:rPr>
                <w:rPr>
                  <w:rFonts w:ascii="Cambria Math" w:hAnsi="Cambria Math"/>
                  <w:sz w:val="20"/>
                  <w:szCs w:val="20"/>
                </w:rPr>
                <m:t xml:space="preserve"> </m:t>
              </m:r>
              <m:r>
                <w:rPr>
                  <w:rFonts w:ascii="Cambria Math" w:hAnsi="Cambria Math"/>
                  <w:sz w:val="20"/>
                  <w:szCs w:val="20"/>
                </w:rPr>
                <m:t>the</m:t>
              </m:r>
              <m:r>
                <m:rPr>
                  <m:sty m:val="p"/>
                </m:rPr>
                <w:rPr>
                  <w:rFonts w:ascii="Cambria Math" w:hAnsi="Cambria Math"/>
                  <w:sz w:val="20"/>
                  <w:szCs w:val="20"/>
                </w:rPr>
                <m:t xml:space="preserve"> </m:t>
              </m:r>
              <m:r>
                <w:rPr>
                  <w:rFonts w:ascii="Cambria Math" w:hAnsi="Cambria Math"/>
                  <w:sz w:val="20"/>
                  <w:szCs w:val="20"/>
                </w:rPr>
                <m:t>previous</m:t>
              </m:r>
              <m:r>
                <m:rPr>
                  <m:sty m:val="p"/>
                </m:rPr>
                <w:rPr>
                  <w:rFonts w:ascii="Cambria Math" w:hAnsi="Cambria Math"/>
                  <w:sz w:val="20"/>
                  <w:szCs w:val="20"/>
                </w:rPr>
                <m:t xml:space="preserve"> </m:t>
              </m:r>
              <m:r>
                <w:rPr>
                  <w:rFonts w:ascii="Cambria Math" w:hAnsi="Cambria Math"/>
                  <w:sz w:val="20"/>
                  <w:szCs w:val="20"/>
                </w:rPr>
                <m:t>year</m:t>
              </m:r>
            </m:den>
          </m:f>
          <m:r>
            <m:rPr>
              <m:sty m:val="p"/>
            </m:rPr>
            <w:rPr>
              <w:rFonts w:ascii="Cambria Math" w:hAnsi="Cambria Math"/>
              <w:sz w:val="20"/>
              <w:szCs w:val="20"/>
            </w:rPr>
            <m:t>=1-</m:t>
          </m:r>
          <m:f>
            <m:fPr>
              <m:ctrlPr>
                <w:rPr>
                  <w:rFonts w:ascii="Cambria Math" w:hAnsi="Cambria Math"/>
                  <w:sz w:val="20"/>
                  <w:szCs w:val="20"/>
                </w:rPr>
              </m:ctrlPr>
            </m:fPr>
            <m:num>
              <m:r>
                <m:rPr>
                  <m:sty m:val="p"/>
                </m:rPr>
                <w:rPr>
                  <w:rFonts w:ascii="Cambria Math" w:hAnsi="Cambria Math"/>
                  <w:sz w:val="20"/>
                  <w:szCs w:val="20"/>
                </w:rPr>
                <m:t>1-</m:t>
              </m:r>
              <m:r>
                <w:rPr>
                  <w:rFonts w:ascii="Cambria Math" w:hAnsi="Cambria Math"/>
                  <w:sz w:val="20"/>
                  <w:szCs w:val="20"/>
                </w:rPr>
                <m:t>co</m:t>
              </m:r>
              <m:sSub>
                <m:sSubPr>
                  <m:ctrlPr>
                    <w:rPr>
                      <w:rFonts w:ascii="Cambria Math" w:hAnsi="Cambria Math"/>
                      <w:sz w:val="20"/>
                      <w:szCs w:val="20"/>
                    </w:rPr>
                  </m:ctrlPr>
                </m:sSubPr>
                <m:e>
                  <m:r>
                    <w:rPr>
                      <w:rFonts w:ascii="Cambria Math" w:hAnsi="Cambria Math"/>
                      <w:sz w:val="20"/>
                      <w:szCs w:val="20"/>
                    </w:rPr>
                    <m:t>v</m:t>
                  </m:r>
                </m:e>
                <m:sub>
                  <m:r>
                    <m:rPr>
                      <m:sty m:val="p"/>
                    </m:rPr>
                    <w:rPr>
                      <w:rFonts w:ascii="Cambria Math" w:hAnsi="Cambria Math"/>
                      <w:sz w:val="20"/>
                      <w:szCs w:val="20"/>
                    </w:rPr>
                    <m:t>1</m:t>
                  </m:r>
                </m:sub>
              </m:sSub>
              <m:r>
                <m:rPr>
                  <m:sty m:val="p"/>
                </m:rPr>
                <w:rPr>
                  <w:rFonts w:ascii="Cambria Math" w:hAnsi="Cambria Math"/>
                  <w:sz w:val="20"/>
                  <w:szCs w:val="20"/>
                </w:rPr>
                <m:t>(</m:t>
              </m:r>
              <m:r>
                <w:rPr>
                  <w:rFonts w:ascii="Cambria Math" w:hAnsi="Cambria Math"/>
                  <w:sz w:val="20"/>
                  <w:szCs w:val="20"/>
                </w:rPr>
                <m:t>i</m:t>
              </m:r>
              <m:r>
                <m:rPr>
                  <m:sty m:val="p"/>
                </m:rPr>
                <w:rPr>
                  <w:rFonts w:ascii="Cambria Math" w:hAnsi="Cambria Math"/>
                  <w:sz w:val="20"/>
                  <w:szCs w:val="20"/>
                </w:rPr>
                <m:t xml:space="preserve">, </m:t>
              </m:r>
              <m:r>
                <w:rPr>
                  <w:rFonts w:ascii="Cambria Math" w:hAnsi="Cambria Math"/>
                  <w:sz w:val="20"/>
                  <w:szCs w:val="20"/>
                </w:rPr>
                <m:t>t</m:t>
              </m:r>
              <m:r>
                <m:rPr>
                  <m:sty m:val="p"/>
                </m:rPr>
                <w:rPr>
                  <w:rFonts w:ascii="Cambria Math" w:hAnsi="Cambria Math"/>
                  <w:sz w:val="20"/>
                  <w:szCs w:val="20"/>
                </w:rPr>
                <m:t>)-</m:t>
              </m:r>
              <m:r>
                <w:rPr>
                  <w:rFonts w:ascii="Cambria Math" w:hAnsi="Cambria Math"/>
                  <w:sz w:val="20"/>
                  <w:szCs w:val="20"/>
                </w:rPr>
                <m:t>co</m:t>
              </m:r>
              <m:sSub>
                <m:sSubPr>
                  <m:ctrlPr>
                    <w:rPr>
                      <w:rFonts w:ascii="Cambria Math" w:hAnsi="Cambria Math"/>
                      <w:sz w:val="20"/>
                      <w:szCs w:val="20"/>
                    </w:rPr>
                  </m:ctrlPr>
                </m:sSubPr>
                <m:e>
                  <m:r>
                    <w:rPr>
                      <w:rFonts w:ascii="Cambria Math" w:hAnsi="Cambria Math"/>
                      <w:sz w:val="20"/>
                      <w:szCs w:val="20"/>
                    </w:rPr>
                    <m:t>v</m:t>
                  </m:r>
                </m:e>
                <m:sub>
                  <m:r>
                    <m:rPr>
                      <m:sty m:val="p"/>
                    </m:rPr>
                    <w:rPr>
                      <w:rFonts w:ascii="Cambria Math" w:hAnsi="Cambria Math"/>
                      <w:sz w:val="20"/>
                      <w:szCs w:val="20"/>
                    </w:rPr>
                    <m:t>2</m:t>
                  </m:r>
                </m:sub>
              </m:sSub>
              <m:r>
                <m:rPr>
                  <m:sty m:val="p"/>
                </m:rPr>
                <w:rPr>
                  <w:rFonts w:ascii="Cambria Math" w:hAnsi="Cambria Math"/>
                  <w:sz w:val="20"/>
                  <w:szCs w:val="20"/>
                </w:rPr>
                <m:t>(</m:t>
              </m:r>
              <m:r>
                <w:rPr>
                  <w:rFonts w:ascii="Cambria Math" w:hAnsi="Cambria Math"/>
                  <w:sz w:val="20"/>
                  <w:szCs w:val="20"/>
                </w:rPr>
                <m:t>i</m:t>
              </m:r>
              <m:r>
                <m:rPr>
                  <m:sty m:val="p"/>
                </m:rPr>
                <w:rPr>
                  <w:rFonts w:ascii="Cambria Math" w:hAnsi="Cambria Math"/>
                  <w:sz w:val="20"/>
                  <w:szCs w:val="20"/>
                </w:rPr>
                <m:t xml:space="preserve">, </m:t>
              </m:r>
              <m:r>
                <w:rPr>
                  <w:rFonts w:ascii="Cambria Math" w:hAnsi="Cambria Math"/>
                  <w:sz w:val="20"/>
                  <w:szCs w:val="20"/>
                </w:rPr>
                <m:t>t</m:t>
              </m:r>
              <m:r>
                <m:rPr>
                  <m:sty m:val="p"/>
                </m:rPr>
                <w:rPr>
                  <w:rFonts w:ascii="Cambria Math" w:hAnsi="Cambria Math"/>
                  <w:sz w:val="20"/>
                  <w:szCs w:val="20"/>
                </w:rPr>
                <m:t>)</m:t>
              </m:r>
            </m:num>
            <m:den>
              <m:r>
                <m:rPr>
                  <m:sty m:val="p"/>
                </m:rPr>
                <w:rPr>
                  <w:rFonts w:ascii="Cambria Math" w:hAnsi="Cambria Math"/>
                  <w:sz w:val="20"/>
                  <w:szCs w:val="20"/>
                </w:rPr>
                <m:t>1-</m:t>
              </m:r>
              <m:r>
                <w:rPr>
                  <w:rFonts w:ascii="Cambria Math" w:hAnsi="Cambria Math"/>
                  <w:sz w:val="20"/>
                  <w:szCs w:val="20"/>
                </w:rPr>
                <m:t>co</m:t>
              </m:r>
              <m:sSub>
                <m:sSubPr>
                  <m:ctrlPr>
                    <w:rPr>
                      <w:rFonts w:ascii="Cambria Math" w:hAnsi="Cambria Math"/>
                      <w:sz w:val="20"/>
                      <w:szCs w:val="20"/>
                    </w:rPr>
                  </m:ctrlPr>
                </m:sSubPr>
                <m:e>
                  <m:r>
                    <w:rPr>
                      <w:rFonts w:ascii="Cambria Math" w:hAnsi="Cambria Math"/>
                      <w:sz w:val="20"/>
                      <w:szCs w:val="20"/>
                    </w:rPr>
                    <m:t>v</m:t>
                  </m:r>
                </m:e>
                <m:sub>
                  <m:r>
                    <m:rPr>
                      <m:sty m:val="p"/>
                    </m:rPr>
                    <w:rPr>
                      <w:rFonts w:ascii="Cambria Math" w:hAnsi="Cambria Math"/>
                      <w:sz w:val="20"/>
                      <w:szCs w:val="20"/>
                    </w:rPr>
                    <m:t>1</m:t>
                  </m:r>
                </m:sub>
              </m:sSub>
              <m:r>
                <m:rPr>
                  <m:sty m:val="p"/>
                </m:rPr>
                <w:rPr>
                  <w:rFonts w:ascii="Cambria Math" w:hAnsi="Cambria Math"/>
                  <w:sz w:val="20"/>
                  <w:szCs w:val="20"/>
                </w:rPr>
                <m:t>(</m:t>
              </m:r>
              <m:r>
                <w:rPr>
                  <w:rFonts w:ascii="Cambria Math" w:hAnsi="Cambria Math"/>
                  <w:sz w:val="20"/>
                  <w:szCs w:val="20"/>
                </w:rPr>
                <m:t>i</m:t>
              </m:r>
              <m:r>
                <m:rPr>
                  <m:sty m:val="p"/>
                </m:rPr>
                <w:rPr>
                  <w:rFonts w:ascii="Cambria Math" w:hAnsi="Cambria Math"/>
                  <w:sz w:val="20"/>
                  <w:szCs w:val="20"/>
                </w:rPr>
                <m:t xml:space="preserve">-1, </m:t>
              </m:r>
              <m:r>
                <w:rPr>
                  <w:rFonts w:ascii="Cambria Math" w:hAnsi="Cambria Math"/>
                  <w:sz w:val="20"/>
                  <w:szCs w:val="20"/>
                </w:rPr>
                <m:t>t</m:t>
              </m:r>
              <m:r>
                <m:rPr>
                  <m:sty m:val="p"/>
                </m:rPr>
                <w:rPr>
                  <w:rFonts w:ascii="Cambria Math" w:hAnsi="Cambria Math"/>
                  <w:sz w:val="20"/>
                  <w:szCs w:val="20"/>
                </w:rPr>
                <m:t>-365)-</m:t>
              </m:r>
              <m:r>
                <w:rPr>
                  <w:rFonts w:ascii="Cambria Math" w:hAnsi="Cambria Math"/>
                  <w:sz w:val="20"/>
                  <w:szCs w:val="20"/>
                </w:rPr>
                <m:t>co</m:t>
              </m:r>
              <m:sSub>
                <m:sSubPr>
                  <m:ctrlPr>
                    <w:rPr>
                      <w:rFonts w:ascii="Cambria Math" w:hAnsi="Cambria Math"/>
                      <w:sz w:val="20"/>
                      <w:szCs w:val="20"/>
                    </w:rPr>
                  </m:ctrlPr>
                </m:sSubPr>
                <m:e>
                  <m:r>
                    <w:rPr>
                      <w:rFonts w:ascii="Cambria Math" w:hAnsi="Cambria Math"/>
                      <w:sz w:val="20"/>
                      <w:szCs w:val="20"/>
                    </w:rPr>
                    <m:t>v</m:t>
                  </m:r>
                </m:e>
                <m:sub>
                  <m:r>
                    <m:rPr>
                      <m:sty m:val="p"/>
                    </m:rPr>
                    <w:rPr>
                      <w:rFonts w:ascii="Cambria Math" w:hAnsi="Cambria Math"/>
                      <w:sz w:val="20"/>
                      <w:szCs w:val="20"/>
                    </w:rPr>
                    <m:t>2</m:t>
                  </m:r>
                </m:sub>
              </m:sSub>
              <m:r>
                <m:rPr>
                  <m:sty m:val="p"/>
                </m:rPr>
                <w:rPr>
                  <w:rFonts w:ascii="Cambria Math" w:hAnsi="Cambria Math"/>
                  <w:sz w:val="20"/>
                  <w:szCs w:val="20"/>
                </w:rPr>
                <m:t>(</m:t>
              </m:r>
              <m:r>
                <w:rPr>
                  <w:rFonts w:ascii="Cambria Math" w:hAnsi="Cambria Math"/>
                  <w:sz w:val="20"/>
                  <w:szCs w:val="20"/>
                </w:rPr>
                <m:t>i</m:t>
              </m:r>
              <m:r>
                <m:rPr>
                  <m:sty m:val="p"/>
                </m:rPr>
                <w:rPr>
                  <w:rFonts w:ascii="Cambria Math" w:hAnsi="Cambria Math"/>
                  <w:sz w:val="20"/>
                  <w:szCs w:val="20"/>
                </w:rPr>
                <m:t xml:space="preserve">-1, </m:t>
              </m:r>
              <m:r>
                <w:rPr>
                  <w:rFonts w:ascii="Cambria Math" w:hAnsi="Cambria Math"/>
                  <w:sz w:val="20"/>
                  <w:szCs w:val="20"/>
                </w:rPr>
                <m:t>t</m:t>
              </m:r>
              <m:r>
                <m:rPr>
                  <m:sty m:val="p"/>
                </m:rPr>
                <w:rPr>
                  <w:rFonts w:ascii="Cambria Math" w:hAnsi="Cambria Math"/>
                  <w:sz w:val="20"/>
                  <w:szCs w:val="20"/>
                </w:rPr>
                <m:t>-365)</m:t>
              </m:r>
            </m:den>
          </m:f>
        </m:oMath>
      </m:oMathPara>
    </w:p>
    <w:p w14:paraId="670FF54D" w14:textId="77777777" w:rsidR="00CF2E7D" w:rsidRPr="00827DE5" w:rsidRDefault="00CF2E7D" w:rsidP="006C601C">
      <w:r w:rsidRPr="00827DE5">
        <w:t xml:space="preserve">Similarly, the number of new double-vaccinated individuals is drawn from a binomial distribution </w:t>
      </w:r>
      <m:oMath>
        <m:r>
          <w:rPr>
            <w:rFonts w:ascii="Cambria Math" w:hAnsi="Cambria Math"/>
          </w:rPr>
          <m:t>B(nV</m:t>
        </m:r>
        <m:sSub>
          <m:sSubPr>
            <m:ctrlPr>
              <w:rPr>
                <w:rFonts w:ascii="Cambria Math" w:hAnsi="Cambria Math"/>
                <w:i/>
              </w:rPr>
            </m:ctrlPr>
          </m:sSubPr>
          <m:e>
            <m:r>
              <w:rPr>
                <w:rFonts w:ascii="Cambria Math" w:hAnsi="Cambria Math"/>
              </w:rPr>
              <m:t>1</m:t>
            </m:r>
          </m:e>
          <m:sub>
            <m:r>
              <w:rPr>
                <w:rFonts w:ascii="Cambria Math" w:hAnsi="Cambria Math"/>
              </w:rPr>
              <m:t>ageing</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vacc2</m:t>
            </m:r>
          </m:sub>
        </m:sSub>
        <m:r>
          <w:rPr>
            <w:rFonts w:ascii="Cambria Math" w:hAnsi="Cambria Math"/>
          </w:rPr>
          <m:t>)</m:t>
        </m:r>
      </m:oMath>
      <w:r w:rsidRPr="00827DE5">
        <w:t xml:space="preserve"> , with </w:t>
      </w:r>
      <m:oMath>
        <m:sSub>
          <m:sSubPr>
            <m:ctrlPr>
              <w:rPr>
                <w:rFonts w:ascii="Cambria Math" w:hAnsi="Cambria Math"/>
                <w:i/>
              </w:rPr>
            </m:ctrlPr>
          </m:sSubPr>
          <m:e>
            <m:r>
              <w:rPr>
                <w:rFonts w:ascii="Cambria Math" w:hAnsi="Cambria Math"/>
              </w:rPr>
              <m:t>p</m:t>
            </m:r>
          </m:e>
          <m:sub>
            <m:r>
              <w:rPr>
                <w:rFonts w:ascii="Cambria Math" w:hAnsi="Cambria Math"/>
              </w:rPr>
              <m:t>vacc2</m:t>
            </m:r>
          </m:sub>
        </m:sSub>
      </m:oMath>
      <w:r w:rsidRPr="00827DE5">
        <w:t xml:space="preserve"> the proportion of new double-vaccinated, and </w:t>
      </w:r>
      <m:oMath>
        <m:sSub>
          <m:sSubPr>
            <m:ctrlPr>
              <w:rPr>
                <w:rFonts w:ascii="Cambria Math" w:hAnsi="Cambria Math"/>
                <w:i/>
              </w:rPr>
            </m:ctrlPr>
          </m:sSubPr>
          <m:e>
            <m:r>
              <w:rPr>
                <w:rFonts w:ascii="Cambria Math" w:hAnsi="Cambria Math"/>
              </w:rPr>
              <m:t>nV1</m:t>
            </m:r>
          </m:e>
          <m:sub>
            <m:r>
              <w:rPr>
                <w:rFonts w:ascii="Cambria Math" w:hAnsi="Cambria Math"/>
              </w:rPr>
              <m:t>ageing</m:t>
            </m:r>
          </m:sub>
        </m:sSub>
      </m:oMath>
      <w:r w:rsidRPr="00827DE5">
        <w:t xml:space="preserve"> the number of single-vaccinated ageing at this time step. The proportion of single vaccinated who become double-vaccinated is calculated as:</w:t>
      </w:r>
    </w:p>
    <w:p w14:paraId="6A426AF4" w14:textId="64D03D75" w:rsidR="00CF2E7D" w:rsidRPr="00827DE5" w:rsidRDefault="00000000" w:rsidP="006C601C">
      <w:pPr>
        <w:rPr>
          <w:sz w:val="20"/>
          <w:szCs w:val="20"/>
        </w:rPr>
      </w:pPr>
      <m:oMathPara>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vacc</m:t>
              </m:r>
              <m:r>
                <m:rPr>
                  <m:sty m:val="p"/>
                </m:rPr>
                <w:rPr>
                  <w:rFonts w:ascii="Cambria Math" w:hAnsi="Cambria Math"/>
                  <w:sz w:val="20"/>
                  <w:szCs w:val="20"/>
                </w:rPr>
                <m:t>2</m:t>
              </m:r>
            </m:sub>
          </m:sSub>
          <m:d>
            <m:dPr>
              <m:begChr m:val="["/>
              <m:endChr m:val="]"/>
              <m:ctrlPr>
                <w:rPr>
                  <w:rFonts w:ascii="Cambria Math" w:hAnsi="Cambria Math"/>
                  <w:sz w:val="20"/>
                  <w:szCs w:val="20"/>
                </w:rPr>
              </m:ctrlPr>
            </m:dPr>
            <m:e>
              <m:r>
                <w:rPr>
                  <w:rFonts w:ascii="Cambria Math" w:hAnsi="Cambria Math"/>
                  <w:sz w:val="20"/>
                  <w:szCs w:val="20"/>
                </w:rPr>
                <m:t>i</m:t>
              </m:r>
            </m:e>
          </m:d>
          <m:r>
            <m:rPr>
              <m:sty m:val="p"/>
            </m:rPr>
            <w:rPr>
              <w:rFonts w:ascii="Cambria Math" w:hAnsi="Cambria Math"/>
              <w:sz w:val="20"/>
              <w:szCs w:val="20"/>
            </w:rPr>
            <m:t>=</m:t>
          </m:r>
          <m:d>
            <m:dPr>
              <m:ctrlPr>
                <w:rPr>
                  <w:rFonts w:ascii="Cambria Math" w:hAnsi="Cambria Math"/>
                  <w:sz w:val="20"/>
                  <w:szCs w:val="20"/>
                </w:rPr>
              </m:ctrlPr>
            </m:dPr>
            <m:e>
              <m:r>
                <w:rPr>
                  <w:rFonts w:ascii="Cambria Math" w:hAnsi="Cambria Math"/>
                  <w:sz w:val="20"/>
                  <w:szCs w:val="20"/>
                </w:rPr>
                <m:t>proportion</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single vaccinated</m:t>
              </m:r>
              <m:r>
                <m:rPr>
                  <m:sty m:val="p"/>
                </m:rPr>
                <w:rPr>
                  <w:rFonts w:ascii="Cambria Math" w:hAnsi="Cambria Math"/>
                  <w:sz w:val="20"/>
                  <w:szCs w:val="20"/>
                </w:rPr>
                <m:t xml:space="preserve"> </m:t>
              </m:r>
              <m:r>
                <w:rPr>
                  <w:rFonts w:ascii="Cambria Math" w:hAnsi="Cambria Math"/>
                  <w:sz w:val="20"/>
                  <w:szCs w:val="20"/>
                </w:rPr>
                <m:t>who</m:t>
              </m:r>
              <m:r>
                <m:rPr>
                  <m:sty m:val="p"/>
                </m:rPr>
                <w:rPr>
                  <w:rFonts w:ascii="Cambria Math" w:hAnsi="Cambria Math"/>
                  <w:sz w:val="20"/>
                  <w:szCs w:val="20"/>
                </w:rPr>
                <m:t xml:space="preserve"> </m:t>
              </m:r>
              <m:r>
                <w:rPr>
                  <w:rFonts w:ascii="Cambria Math" w:hAnsi="Cambria Math"/>
                  <w:sz w:val="20"/>
                  <w:szCs w:val="20"/>
                </w:rPr>
                <m:t>get</m:t>
              </m:r>
              <m:r>
                <m:rPr>
                  <m:sty m:val="p"/>
                </m:rPr>
                <w:rPr>
                  <w:rFonts w:ascii="Cambria Math" w:hAnsi="Cambria Math"/>
                  <w:sz w:val="20"/>
                  <w:szCs w:val="20"/>
                </w:rPr>
                <m:t xml:space="preserve"> </m:t>
              </m:r>
              <m:r>
                <w:rPr>
                  <w:rFonts w:ascii="Cambria Math" w:hAnsi="Cambria Math"/>
                  <w:sz w:val="20"/>
                  <w:szCs w:val="20"/>
                </w:rPr>
                <m:t>vaccinated</m:t>
              </m:r>
              <m:r>
                <m:rPr>
                  <m:sty m:val="p"/>
                </m:rPr>
                <w:rPr>
                  <w:rFonts w:ascii="Cambria Math" w:hAnsi="Cambria Math"/>
                  <w:sz w:val="20"/>
                  <w:szCs w:val="20"/>
                </w:rPr>
                <m:t xml:space="preserve"> </m:t>
              </m:r>
            </m:e>
          </m:d>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proportion</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new</m:t>
              </m:r>
              <m:r>
                <m:rPr>
                  <m:sty m:val="p"/>
                </m:rPr>
                <w:rPr>
                  <w:rFonts w:ascii="Cambria Math" w:hAnsi="Cambria Math"/>
                  <w:sz w:val="20"/>
                  <w:szCs w:val="20"/>
                </w:rPr>
                <m:t xml:space="preserve"> </m:t>
              </m:r>
              <m:r>
                <w:rPr>
                  <w:rFonts w:ascii="Cambria Math" w:hAnsi="Cambria Math"/>
                  <w:sz w:val="20"/>
                  <w:szCs w:val="20"/>
                </w:rPr>
                <m:t>double</m:t>
              </m:r>
              <m:r>
                <m:rPr>
                  <m:sty m:val="p"/>
                </m:rPr>
                <w:rPr>
                  <w:rFonts w:ascii="Cambria Math" w:hAnsi="Cambria Math"/>
                  <w:sz w:val="20"/>
                  <w:szCs w:val="20"/>
                </w:rPr>
                <m:t xml:space="preserve"> </m:t>
              </m:r>
              <m:r>
                <w:rPr>
                  <w:rFonts w:ascii="Cambria Math" w:hAnsi="Cambria Math"/>
                  <w:sz w:val="20"/>
                  <w:szCs w:val="20"/>
                </w:rPr>
                <m:t>vaccinated</m:t>
              </m:r>
              <m:r>
                <m:rPr>
                  <m:sty m:val="p"/>
                </m:rPr>
                <w:rPr>
                  <w:rFonts w:ascii="Cambria Math" w:hAnsi="Cambria Math"/>
                  <w:sz w:val="20"/>
                  <w:szCs w:val="20"/>
                </w:rPr>
                <m:t xml:space="preserve"> </m:t>
              </m:r>
            </m:num>
            <m:den>
              <m:r>
                <w:rPr>
                  <w:rFonts w:ascii="Cambria Math" w:hAnsi="Cambria Math"/>
                  <w:sz w:val="20"/>
                  <w:szCs w:val="20"/>
                </w:rPr>
                <m:t>proportion</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single</m:t>
              </m:r>
              <m:r>
                <m:rPr>
                  <m:sty m:val="p"/>
                </m:rPr>
                <w:rPr>
                  <w:rFonts w:ascii="Cambria Math" w:hAnsi="Cambria Math"/>
                  <w:sz w:val="20"/>
                  <w:szCs w:val="20"/>
                </w:rPr>
                <m:t xml:space="preserve"> </m:t>
              </m:r>
              <m:r>
                <w:rPr>
                  <w:rFonts w:ascii="Cambria Math" w:hAnsi="Cambria Math"/>
                  <w:sz w:val="20"/>
                  <w:szCs w:val="20"/>
                </w:rPr>
                <m:t>vaccinated</m:t>
              </m:r>
              <m:r>
                <m:rPr>
                  <m:sty m:val="p"/>
                </m:rPr>
                <w:rPr>
                  <w:rFonts w:ascii="Cambria Math" w:hAnsi="Cambria Math"/>
                  <w:sz w:val="20"/>
                  <w:szCs w:val="20"/>
                </w:rPr>
                <m:t xml:space="preserve"> </m:t>
              </m:r>
              <m:r>
                <w:rPr>
                  <w:rFonts w:ascii="Cambria Math" w:hAnsi="Cambria Math"/>
                  <w:sz w:val="20"/>
                  <w:szCs w:val="20"/>
                </w:rPr>
                <m:t>at</m:t>
              </m:r>
              <m:r>
                <m:rPr>
                  <m:sty m:val="p"/>
                </m:rPr>
                <w:rPr>
                  <w:rFonts w:ascii="Cambria Math" w:hAnsi="Cambria Math"/>
                  <w:sz w:val="20"/>
                  <w:szCs w:val="20"/>
                </w:rPr>
                <m:t xml:space="preserve"> </m:t>
              </m:r>
              <m:r>
                <w:rPr>
                  <w:rFonts w:ascii="Cambria Math" w:hAnsi="Cambria Math"/>
                  <w:sz w:val="20"/>
                  <w:szCs w:val="20"/>
                </w:rPr>
                <m:t>previous</m:t>
              </m:r>
              <m:r>
                <m:rPr>
                  <m:sty m:val="p"/>
                </m:rPr>
                <w:rPr>
                  <w:rFonts w:ascii="Cambria Math" w:hAnsi="Cambria Math"/>
                  <w:sz w:val="20"/>
                  <w:szCs w:val="20"/>
                </w:rPr>
                <m:t xml:space="preserve"> </m:t>
              </m:r>
              <m:r>
                <w:rPr>
                  <w:rFonts w:ascii="Cambria Math" w:hAnsi="Cambria Math"/>
                  <w:sz w:val="20"/>
                  <w:szCs w:val="20"/>
                </w:rPr>
                <m:t>age</m:t>
              </m:r>
              <m:r>
                <m:rPr>
                  <m:sty m:val="p"/>
                </m:rPr>
                <w:rPr>
                  <w:rFonts w:ascii="Cambria Math" w:hAnsi="Cambria Math"/>
                  <w:sz w:val="20"/>
                  <w:szCs w:val="20"/>
                </w:rPr>
                <m:t xml:space="preserve"> </m:t>
              </m:r>
              <m:r>
                <w:rPr>
                  <w:rFonts w:ascii="Cambria Math" w:hAnsi="Cambria Math"/>
                  <w:sz w:val="20"/>
                  <w:szCs w:val="20"/>
                </w:rPr>
                <m:t>and</m:t>
              </m:r>
              <m:r>
                <m:rPr>
                  <m:sty m:val="p"/>
                </m:rPr>
                <w:rPr>
                  <w:rFonts w:ascii="Cambria Math" w:hAnsi="Cambria Math"/>
                  <w:sz w:val="20"/>
                  <w:szCs w:val="20"/>
                </w:rPr>
                <m:t xml:space="preserve"> </m:t>
              </m:r>
              <m:r>
                <w:rPr>
                  <w:rFonts w:ascii="Cambria Math" w:hAnsi="Cambria Math"/>
                  <w:sz w:val="20"/>
                  <w:szCs w:val="20"/>
                </w:rPr>
                <m:t>year</m:t>
              </m:r>
            </m:den>
          </m:f>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co</m:t>
              </m:r>
              <m:sSub>
                <m:sSubPr>
                  <m:ctrlPr>
                    <w:rPr>
                      <w:rFonts w:ascii="Cambria Math" w:hAnsi="Cambria Math"/>
                      <w:sz w:val="20"/>
                      <w:szCs w:val="20"/>
                    </w:rPr>
                  </m:ctrlPr>
                </m:sSubPr>
                <m:e>
                  <m:r>
                    <w:rPr>
                      <w:rFonts w:ascii="Cambria Math" w:hAnsi="Cambria Math"/>
                      <w:sz w:val="20"/>
                      <w:szCs w:val="20"/>
                    </w:rPr>
                    <m:t>v</m:t>
                  </m:r>
                </m:e>
                <m:sub>
                  <m:r>
                    <m:rPr>
                      <m:sty m:val="p"/>
                    </m:rPr>
                    <w:rPr>
                      <w:rFonts w:ascii="Cambria Math" w:hAnsi="Cambria Math"/>
                      <w:sz w:val="20"/>
                      <w:szCs w:val="20"/>
                    </w:rPr>
                    <m:t>2</m:t>
                  </m:r>
                </m:sub>
              </m:sSub>
              <m:r>
                <m:rPr>
                  <m:sty m:val="p"/>
                </m:rPr>
                <w:rPr>
                  <w:rFonts w:ascii="Cambria Math" w:hAnsi="Cambria Math"/>
                  <w:sz w:val="20"/>
                  <w:szCs w:val="20"/>
                </w:rPr>
                <m:t>(</m:t>
              </m:r>
              <m:r>
                <w:rPr>
                  <w:rFonts w:ascii="Cambria Math" w:hAnsi="Cambria Math"/>
                  <w:sz w:val="20"/>
                  <w:szCs w:val="20"/>
                </w:rPr>
                <m:t>i</m:t>
              </m:r>
              <m:r>
                <m:rPr>
                  <m:sty m:val="p"/>
                </m:rPr>
                <w:rPr>
                  <w:rFonts w:ascii="Cambria Math" w:hAnsi="Cambria Math"/>
                  <w:sz w:val="20"/>
                  <w:szCs w:val="20"/>
                </w:rPr>
                <m:t xml:space="preserve">, </m:t>
              </m:r>
              <m:r>
                <w:rPr>
                  <w:rFonts w:ascii="Cambria Math" w:hAnsi="Cambria Math"/>
                  <w:sz w:val="20"/>
                  <w:szCs w:val="20"/>
                </w:rPr>
                <m:t>t</m:t>
              </m:r>
              <m:r>
                <m:rPr>
                  <m:sty m:val="p"/>
                </m:rPr>
                <w:rPr>
                  <w:rFonts w:ascii="Cambria Math" w:hAnsi="Cambria Math"/>
                  <w:sz w:val="20"/>
                  <w:szCs w:val="20"/>
                </w:rPr>
                <m:t>)-</m:t>
              </m:r>
              <m:r>
                <w:rPr>
                  <w:rFonts w:ascii="Cambria Math" w:hAnsi="Cambria Math"/>
                  <w:sz w:val="20"/>
                  <w:szCs w:val="20"/>
                </w:rPr>
                <m:t>co</m:t>
              </m:r>
              <m:sSub>
                <m:sSubPr>
                  <m:ctrlPr>
                    <w:rPr>
                      <w:rFonts w:ascii="Cambria Math" w:hAnsi="Cambria Math"/>
                      <w:sz w:val="20"/>
                      <w:szCs w:val="20"/>
                    </w:rPr>
                  </m:ctrlPr>
                </m:sSubPr>
                <m:e>
                  <m:r>
                    <w:rPr>
                      <w:rFonts w:ascii="Cambria Math" w:hAnsi="Cambria Math"/>
                      <w:sz w:val="20"/>
                      <w:szCs w:val="20"/>
                    </w:rPr>
                    <m:t>v</m:t>
                  </m:r>
                </m:e>
                <m:sub>
                  <m:r>
                    <m:rPr>
                      <m:sty m:val="p"/>
                    </m:rPr>
                    <w:rPr>
                      <w:rFonts w:ascii="Cambria Math" w:hAnsi="Cambria Math"/>
                      <w:sz w:val="20"/>
                      <w:szCs w:val="20"/>
                    </w:rPr>
                    <m:t>2</m:t>
                  </m:r>
                </m:sub>
              </m:sSub>
              <m:r>
                <m:rPr>
                  <m:sty m:val="p"/>
                </m:rPr>
                <w:rPr>
                  <w:rFonts w:ascii="Cambria Math" w:hAnsi="Cambria Math"/>
                  <w:sz w:val="20"/>
                  <w:szCs w:val="20"/>
                </w:rPr>
                <m:t>(</m:t>
              </m:r>
              <m:r>
                <w:rPr>
                  <w:rFonts w:ascii="Cambria Math" w:hAnsi="Cambria Math"/>
                  <w:sz w:val="20"/>
                  <w:szCs w:val="20"/>
                </w:rPr>
                <m:t>i</m:t>
              </m:r>
              <m:r>
                <m:rPr>
                  <m:sty m:val="p"/>
                </m:rPr>
                <w:rPr>
                  <w:rFonts w:ascii="Cambria Math" w:hAnsi="Cambria Math"/>
                  <w:sz w:val="20"/>
                  <w:szCs w:val="20"/>
                </w:rPr>
                <m:t xml:space="preserve">-1, </m:t>
              </m:r>
              <m:r>
                <w:rPr>
                  <w:rFonts w:ascii="Cambria Math" w:hAnsi="Cambria Math"/>
                  <w:sz w:val="20"/>
                  <w:szCs w:val="20"/>
                </w:rPr>
                <m:t>t</m:t>
              </m:r>
              <m:r>
                <m:rPr>
                  <m:sty m:val="p"/>
                </m:rPr>
                <w:rPr>
                  <w:rFonts w:ascii="Cambria Math" w:hAnsi="Cambria Math"/>
                  <w:sz w:val="20"/>
                  <w:szCs w:val="20"/>
                </w:rPr>
                <m:t>-365)</m:t>
              </m:r>
            </m:num>
            <m:den>
              <m:r>
                <w:rPr>
                  <w:rFonts w:ascii="Cambria Math" w:hAnsi="Cambria Math"/>
                  <w:sz w:val="20"/>
                  <w:szCs w:val="20"/>
                </w:rPr>
                <m:t>co</m:t>
              </m:r>
              <m:sSub>
                <m:sSubPr>
                  <m:ctrlPr>
                    <w:rPr>
                      <w:rFonts w:ascii="Cambria Math" w:hAnsi="Cambria Math"/>
                      <w:sz w:val="20"/>
                      <w:szCs w:val="20"/>
                    </w:rPr>
                  </m:ctrlPr>
                </m:sSubPr>
                <m:e>
                  <m:r>
                    <w:rPr>
                      <w:rFonts w:ascii="Cambria Math" w:hAnsi="Cambria Math"/>
                      <w:sz w:val="20"/>
                      <w:szCs w:val="20"/>
                    </w:rPr>
                    <m:t>v</m:t>
                  </m:r>
                </m:e>
                <m:sub>
                  <m:r>
                    <m:rPr>
                      <m:sty m:val="p"/>
                    </m:rPr>
                    <w:rPr>
                      <w:rFonts w:ascii="Cambria Math" w:hAnsi="Cambria Math"/>
                      <w:sz w:val="20"/>
                      <w:szCs w:val="20"/>
                    </w:rPr>
                    <m:t>1</m:t>
                  </m:r>
                </m:sub>
              </m:sSub>
              <m:r>
                <m:rPr>
                  <m:sty m:val="p"/>
                </m:rPr>
                <w:rPr>
                  <w:rFonts w:ascii="Cambria Math" w:hAnsi="Cambria Math"/>
                  <w:sz w:val="20"/>
                  <w:szCs w:val="20"/>
                </w:rPr>
                <m:t>(</m:t>
              </m:r>
              <m:r>
                <w:rPr>
                  <w:rFonts w:ascii="Cambria Math" w:hAnsi="Cambria Math"/>
                  <w:sz w:val="20"/>
                  <w:szCs w:val="20"/>
                </w:rPr>
                <m:t>i</m:t>
              </m:r>
              <m:r>
                <m:rPr>
                  <m:sty m:val="p"/>
                </m:rPr>
                <w:rPr>
                  <w:rFonts w:ascii="Cambria Math" w:hAnsi="Cambria Math"/>
                  <w:sz w:val="20"/>
                  <w:szCs w:val="20"/>
                </w:rPr>
                <m:t xml:space="preserve">-1, </m:t>
              </m:r>
              <m:r>
                <w:rPr>
                  <w:rFonts w:ascii="Cambria Math" w:hAnsi="Cambria Math"/>
                  <w:sz w:val="20"/>
                  <w:szCs w:val="20"/>
                </w:rPr>
                <m:t>t</m:t>
              </m:r>
              <m:r>
                <m:rPr>
                  <m:sty m:val="p"/>
                </m:rPr>
                <w:rPr>
                  <w:rFonts w:ascii="Cambria Math" w:hAnsi="Cambria Math"/>
                  <w:sz w:val="20"/>
                  <w:szCs w:val="20"/>
                </w:rPr>
                <m:t>-365)</m:t>
              </m:r>
            </m:den>
          </m:f>
        </m:oMath>
      </m:oMathPara>
    </w:p>
    <w:p w14:paraId="110E06A2" w14:textId="77777777" w:rsidR="00CF2E7D" w:rsidRPr="00827DE5" w:rsidRDefault="00CF2E7D" w:rsidP="001D75E9">
      <w:pPr>
        <w:pStyle w:val="Heading3"/>
      </w:pPr>
      <w:bookmarkStart w:id="5" w:name="_Toc162889792"/>
      <w:r w:rsidRPr="00827DE5">
        <w:t>Contact between age groups</w:t>
      </w:r>
      <w:bookmarkEnd w:id="5"/>
    </w:p>
    <w:p w14:paraId="62212F38" w14:textId="02D79A6B" w:rsidR="00CF2E7D" w:rsidRPr="00827DE5" w:rsidRDefault="00CF2E7D" w:rsidP="006C601C">
      <w:r w:rsidRPr="00827DE5">
        <w:t>The contact pattern between age groups is quantified by a contact matrix, computed from the POLYMOD study. We use the POLYMOD matrix from England to compute the contact rate between age groups per capita</w:t>
      </w:r>
      <w:r w:rsidR="00747470" w:rsidRPr="00827DE5">
        <w:fldChar w:fldCharType="begin"/>
      </w:r>
      <w:r w:rsidR="00FA2321">
        <w:instrText xml:space="preserve"> ADDIN ZOTERO_ITEM CSL_CITATION {"citationID":"xF1pZsGx","properties":{"formattedCitation":"(2)","plainCitation":"(2)","noteIndex":0},"citationItems":[{"id":785,"uris":["http://zotero.org/users/11743005/items/CB88MGL3"],"itemData":{"id":785,"type":"software","title":"socialmixr: Social Mixing Matrices for Infectious Disease Modelling","URL":"https://github.com/epiforecasts/socialmixr","version":"R package version 0.3.1.9000,  https://epiforecasts.io/socialmixr/","author":[{"family":"Funk","given":"Sebastian"},{"family":"Lander","given":"Willem"},{"family":"Gruson","given":"Hugo"}],"issued":{"date-parts":[["2024"]]}}}],"schema":"https://github.com/citation-style-language/schema/raw/master/csl-citation.json"} </w:instrText>
      </w:r>
      <w:r w:rsidR="00747470" w:rsidRPr="00827DE5">
        <w:fldChar w:fldCharType="separate"/>
      </w:r>
      <w:r w:rsidR="00FA2321" w:rsidRPr="00FA2321">
        <w:rPr>
          <w:rFonts w:ascii="Calibri" w:hAnsi="Calibri" w:cs="Calibri"/>
        </w:rPr>
        <w:t>(2)</w:t>
      </w:r>
      <w:r w:rsidR="00747470" w:rsidRPr="00827DE5">
        <w:fldChar w:fldCharType="end"/>
      </w:r>
      <w:r w:rsidRPr="00827DE5">
        <w:t>.</w:t>
      </w:r>
    </w:p>
    <w:p w14:paraId="2E1D644A" w14:textId="77777777" w:rsidR="00CF2E7D" w:rsidRPr="00827DE5" w:rsidRDefault="00CF2E7D" w:rsidP="001D75E9">
      <w:pPr>
        <w:pStyle w:val="Heading3"/>
      </w:pPr>
      <w:bookmarkStart w:id="6" w:name="_Toc162889793"/>
      <w:r w:rsidRPr="00827DE5">
        <w:t>Immunity</w:t>
      </w:r>
      <w:bookmarkEnd w:id="6"/>
    </w:p>
    <w:p w14:paraId="389D48C5" w14:textId="77777777" w:rsidR="00CF2E7D" w:rsidRPr="00827DE5" w:rsidRDefault="00CF2E7D" w:rsidP="006C601C">
      <w:r w:rsidRPr="00827DE5">
        <w:t>The model requires the distribution of vaccine and recovery status for each age group and region at the start date of the fit (1</w:t>
      </w:r>
      <w:r w:rsidRPr="00827DE5">
        <w:rPr>
          <w:vertAlign w:val="superscript"/>
        </w:rPr>
        <w:t>st</w:t>
      </w:r>
      <w:r w:rsidRPr="00827DE5">
        <w:t xml:space="preserve"> January 2010). We use parameters and vaccine data to estimate the vaccine distribution and the amount of infection-induced immunity for each age group, depending on the data available:</w:t>
      </w:r>
    </w:p>
    <w:p w14:paraId="04FD77E6" w14:textId="77777777" w:rsidR="00CF2E7D" w:rsidRPr="00827DE5" w:rsidRDefault="00CF2E7D" w:rsidP="005509D0">
      <w:pPr>
        <w:pStyle w:val="ListParagraph"/>
      </w:pPr>
      <w:r w:rsidRPr="00827DE5">
        <w:t>Individuals born in 2004 and after: We used vaccine data for each region to get the proportion of single and double vaccinated individuals for each age group.</w:t>
      </w:r>
    </w:p>
    <w:p w14:paraId="54D0AC06" w14:textId="3DEA952A" w:rsidR="00A85C6D" w:rsidRPr="00827DE5" w:rsidRDefault="00A85C6D" w:rsidP="001F3207">
      <w:pPr>
        <w:pStyle w:val="ListParagraph"/>
      </w:pPr>
      <w:r w:rsidRPr="00827DE5">
        <w:t>Individuals born prior to 2004 in London: We used vaccine data in London to get the proportion of single and double vaccinated individuals for each age group.</w:t>
      </w:r>
    </w:p>
    <w:p w14:paraId="0AED6D3A" w14:textId="17A79CAF" w:rsidR="00CF2E7D" w:rsidRPr="00827DE5" w:rsidRDefault="00CF2E7D" w:rsidP="005509D0">
      <w:pPr>
        <w:pStyle w:val="ListParagraph"/>
      </w:pPr>
      <w:r w:rsidRPr="00827DE5">
        <w:t>Individuals born prior to 2004</w:t>
      </w:r>
      <w:r w:rsidR="00050A29" w:rsidRPr="00827DE5">
        <w:t xml:space="preserve"> outside of London</w:t>
      </w:r>
      <w:r w:rsidRPr="00827DE5">
        <w:t xml:space="preserve">: We used vaccine data at a national level to get the mean coverage of the first and second dose in each age group. Region-stratified data was not available for these years, except for London. Therefore, all regions except London have the same value of coverage. </w:t>
      </w:r>
    </w:p>
    <w:p w14:paraId="51840629" w14:textId="74A19235" w:rsidR="00CF2E7D" w:rsidRPr="00827DE5" w:rsidRDefault="00CF2E7D" w:rsidP="005509D0">
      <w:pPr>
        <w:pStyle w:val="ListParagraph"/>
      </w:pPr>
      <w:r w:rsidRPr="00827DE5">
        <w:t>Individuals born before 1980 are set as unvaccinated.</w:t>
      </w:r>
      <w:r w:rsidR="009B005D" w:rsidRPr="00827DE5">
        <w:t xml:space="preserve"> The proportion of these unvaccinated individuals who had previously been infected is estimated by the model.</w:t>
      </w:r>
    </w:p>
    <w:p w14:paraId="50ED46A8" w14:textId="77777777" w:rsidR="00CF2E7D" w:rsidRPr="00827DE5" w:rsidRDefault="00CF2E7D" w:rsidP="005509D0">
      <w:pPr>
        <w:pStyle w:val="ListParagraph"/>
      </w:pPr>
      <w:r w:rsidRPr="00827DE5">
        <w:t xml:space="preserve">Existing natural immunity: Five parameters are estimated by the model to quantify the proportion of individuals in the R compartments at </w:t>
      </w:r>
      <m:oMath>
        <m:r>
          <w:rPr>
            <w:rFonts w:ascii="Cambria Math" w:hAnsi="Cambria Math"/>
          </w:rPr>
          <m:t>t=0</m:t>
        </m:r>
      </m:oMath>
      <w:r w:rsidRPr="00827DE5">
        <w:t xml:space="preserve"> per age group: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10-15</m:t>
            </m:r>
          </m:sub>
        </m:sSub>
      </m:oMath>
      <w:r w:rsidRPr="00827DE5">
        <w:t xml:space="preserve">,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15-20</m:t>
            </m:r>
          </m:sub>
        </m:sSub>
      </m:oMath>
      <w:r w:rsidRPr="00827DE5">
        <w:t xml:space="preserve">,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20-30</m:t>
            </m:r>
          </m:sub>
        </m:sSub>
      </m:oMath>
      <w:r w:rsidRPr="00827DE5">
        <w:t xml:space="preserve">,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30-40</m:t>
            </m:r>
          </m:sub>
        </m:sSub>
      </m:oMath>
      <w:r w:rsidRPr="00827DE5">
        <w:t xml:space="preserve">, and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40+</m:t>
            </m:r>
          </m:sub>
        </m:sSub>
      </m:oMath>
      <w:r w:rsidRPr="00827DE5">
        <w:t>. These proportions do not vary by regions. Immunity in children below 10 years old is set to 0.</w:t>
      </w:r>
    </w:p>
    <w:p w14:paraId="39BC8D39" w14:textId="77777777" w:rsidR="00CF2E7D" w:rsidRPr="00827DE5" w:rsidRDefault="00CF2E7D" w:rsidP="005509D0">
      <w:pPr>
        <w:pStyle w:val="ListParagraph"/>
      </w:pPr>
      <w:r w:rsidRPr="00827DE5">
        <w:t>Catch-up campaigns: Several vaccine catch up campaigns have been carried out in England between 1995 and 2010:</w:t>
      </w:r>
    </w:p>
    <w:p w14:paraId="118296A8" w14:textId="4D18B40D" w:rsidR="00CF2E7D" w:rsidRPr="00827DE5" w:rsidRDefault="00CF2E7D" w:rsidP="005509D0">
      <w:pPr>
        <w:pStyle w:val="ListParagraph"/>
        <w:numPr>
          <w:ilvl w:val="1"/>
          <w:numId w:val="1"/>
        </w:numPr>
      </w:pPr>
      <w:r w:rsidRPr="00827DE5">
        <w:t xml:space="preserve">targeting children vaccinated once born in the late 1980s and early 1990s (MMR2 catchup in 1996). This is controlled by the parameter </w:t>
      </w:r>
      <m:oMath>
        <m:r>
          <w:rPr>
            <w:rFonts w:ascii="Cambria Math" w:hAnsi="Cambria Math"/>
          </w:rPr>
          <m:t>catchup</m:t>
        </m:r>
      </m:oMath>
      <w:r w:rsidRPr="00827DE5">
        <w:t>, quantifying the proportion of single-vaccinated individuals aged 20 to 30</w:t>
      </w:r>
      <w:r w:rsidR="00B918A4" w:rsidRPr="00827DE5">
        <w:t xml:space="preserve"> in 2010</w:t>
      </w:r>
      <w:r w:rsidRPr="00827DE5">
        <w:t xml:space="preserve"> who got their second dose during the catchup campaign. This parameter is the same across all regions.</w:t>
      </w:r>
    </w:p>
    <w:p w14:paraId="59DA616E" w14:textId="13471D11" w:rsidR="00CF2E7D" w:rsidRPr="00827DE5" w:rsidRDefault="00CF2E7D" w:rsidP="005509D0">
      <w:pPr>
        <w:pStyle w:val="ListParagraph"/>
        <w:numPr>
          <w:ilvl w:val="1"/>
          <w:numId w:val="1"/>
        </w:numPr>
      </w:pPr>
      <w:r w:rsidRPr="00827DE5">
        <w:lastRenderedPageBreak/>
        <w:t xml:space="preserve">targeting all children under 18s (MMR national catch-up programme in 2008). This is controlled by the parameter </w:t>
      </w:r>
      <m:oMath>
        <m:r>
          <w:rPr>
            <w:rFonts w:ascii="Cambria Math" w:hAnsi="Cambria Math"/>
          </w:rPr>
          <m:t>catchup2</m:t>
        </m:r>
      </m:oMath>
      <w:r w:rsidRPr="00827DE5">
        <w:t xml:space="preserve">, quantifying the proportion of previously single-vaccinated and unvaccinated individuals aged </w:t>
      </w:r>
      <w:r w:rsidR="005B6309">
        <w:t>6</w:t>
      </w:r>
      <w:r w:rsidRPr="00827DE5">
        <w:t xml:space="preserve"> to 10 in 2010 who got vaccinated twice during the catchup campaigns. We consider the impact of this campaign on individuals born between 2000 and 2005 since they were prioritised (“younger children with no MMR doses[..] were prioritised”</w:t>
      </w:r>
      <w:r w:rsidRPr="00827DE5">
        <w:fldChar w:fldCharType="begin"/>
      </w:r>
      <w:r w:rsidR="00FA2321">
        <w:instrText xml:space="preserve"> ADDIN ZOTERO_ITEM CSL_CITATION {"citationID":"Nw26cxFi","properties":{"formattedCitation":"(3)","plainCitation":"(3)","noteIndex":0},"citationItems":[{"id":737,"uris":["http://zotero.org/users/11743005/items/HDM2HP6P"],"itemData":{"id":737,"type":"article-journal","abstract":"Background and Objective: Continued suboptimal measles-mumps-rubella (MMR) vaccine uptake has re-established measles epidemic risk, prompting a UK catch-up campaign in 2008–09 for children who missed MMR doses at scheduled age. Predictors of vaccine uptake during catch-ups are poorly understood, however evidence from routine schedule uptake suggests demographics and attitudes may be central. This work explored this hypothesis using a robust evidence-based measure. Design: Cross-sectional self-administered questionnaire with objective behavioural outcome. Setting and Participants: 365 UK parents, whose children were aged 5–18 years and had received ,2 MMR doses before the 2008–09 UK catch-up started. Main Outcome Measures: Parents’ attitudes and demographics, parent-reported receipt of invitation to receive catch-up MMR dose(s), and catch-up MMR uptake according to child’s medical record (receipt of MMR doses during year 1 of the catch-up).\nResults: Perceived social desirability/benefit of MMR uptake (OR = 1.76, 95% CI = 1.09–2.87) and younger child age (OR = 0.78, 95% CI = 0.68–0.89) were the only independent predictors of catch-up MMR uptake in the sample overall. Uptake predictors differed by whether the child had received 0 MMR doses or 1 MMR dose before the catch-up. Receipt of catch-up invitation predicted uptake only in the 0 dose group (OR = 3.45, 95% CI = 1.18–10.05), whilst perceived social desirability/ benefit of MMR uptake predicted uptake only in the 1 dose group (OR = 9.61, 95% CI = 2.57–35.97). Attitudes and demographics explained only 28% of MMR uptake in the 0 dose group compared with 61% in the 1 dose group.\nConclusions: Catch-up MMR invitations may effectively move children from 0 to 1 MMR doses (unimmunised to partially immunised), whilst attitudinal interventions highlighting social benefits of MMR may effectively move children from 1 to 2 MMR doses (partially to fully immunised). Older children may be best targeted through school-based programmes. A formal evaluation element should be incorporated into future catch-up campaigns to inform their continuing improvement.","container-title":"PLoS ONE","DOI":"10.1371/journal.pone.0019381","ISSN":"1932-6203","issue":"5","journalAbbreviation":"PLoS ONE","language":"en","page":"e19381","source":"DOI.org (Crossref)","title":"Attitudinal and Demographic Predictors of Measles-Mumps-Rubella Vaccine (MMR) Uptake during the UK Catch-Up Campaign 2008–09: Cross-Sectional Survey","title-short":"Attitudinal and Demographic Predictors of Measles-Mumps-Rubella Vaccine (MMR) Uptake during the UK Catch-Up Campaign 2008–09","volume":"6","author":[{"family":"Brown","given":"Katrina"},{"family":"Fraser","given":"Graham"},{"family":"Ramsay","given":"Mary"},{"family":"Shanley","given":"Ruth"},{"family":"Cowley","given":"Noel"},{"family":"Van Wijgerden","given":"Johan"},{"family":"Toff","given":"Penelope"},{"family":"Falconer","given":"Michelle"},{"family":"Hudson","given":"Michael"},{"family":"Green","given":"John"},{"family":"Kroll","given":"J. Simon"},{"family":"Vincent","given":"Charles"},{"family":"Sevdalis","given":"Nick"}],"editor":[{"family":"Semple","given":"Malcolm Gracie"}],"issued":{"date-parts":[["2011",5,13]]}}}],"schema":"https://github.com/citation-style-language/schema/raw/master/csl-citation.json"} </w:instrText>
      </w:r>
      <w:r w:rsidRPr="00827DE5">
        <w:fldChar w:fldCharType="separate"/>
      </w:r>
      <w:r w:rsidR="00FA2321" w:rsidRPr="00FA2321">
        <w:rPr>
          <w:rFonts w:ascii="Calibri" w:hAnsi="Calibri" w:cs="Calibri"/>
        </w:rPr>
        <w:t>(3)</w:t>
      </w:r>
      <w:r w:rsidRPr="00827DE5">
        <w:fldChar w:fldCharType="end"/>
      </w:r>
      <w:r w:rsidRPr="00827DE5">
        <w:t>). This parameter is the same across all regions.</w:t>
      </w:r>
    </w:p>
    <w:p w14:paraId="29D88DDB" w14:textId="699A2331" w:rsidR="00CF2E7D" w:rsidRPr="00827DE5" w:rsidRDefault="00CF2E7D" w:rsidP="006C601C">
      <w:r w:rsidRPr="00827DE5">
        <w:t xml:space="preserve">Finally, we compute the duration of maternal immunity (parameter </w:t>
      </w:r>
      <m:oMath>
        <m:r>
          <w:rPr>
            <w:rFonts w:ascii="Cambria Math" w:hAnsi="Cambria Math"/>
          </w:rPr>
          <m:t>δ</m:t>
        </m:r>
      </m:oMath>
      <w:r w:rsidRPr="00827DE5">
        <w:t xml:space="preserve">) to estimate the proportion of children below one-year-old </w:t>
      </w:r>
      <w:r w:rsidR="009F733D" w:rsidRPr="00827DE5">
        <w:t>who</w:t>
      </w:r>
      <w:r w:rsidRPr="00827DE5">
        <w:t xml:space="preserve"> are susceptible to infection. New births are placed in the M compartment, where they are fully protected from infection, and can only move to the S compartment (the rate of movement is computed from the duration of the maternal protection).</w:t>
      </w:r>
    </w:p>
    <w:p w14:paraId="73C6DCAD" w14:textId="77777777" w:rsidR="00CF2E7D" w:rsidRPr="00827DE5" w:rsidRDefault="00CF2E7D" w:rsidP="001D75E9">
      <w:pPr>
        <w:pStyle w:val="Heading3"/>
      </w:pPr>
      <w:bookmarkStart w:id="7" w:name="_Toc162889794"/>
      <w:r w:rsidRPr="00827DE5">
        <w:t>Demography</w:t>
      </w:r>
      <w:bookmarkEnd w:id="7"/>
    </w:p>
    <w:p w14:paraId="2F0CDC0C" w14:textId="77777777" w:rsidR="00CF2E7D" w:rsidRPr="00827DE5" w:rsidRDefault="00CF2E7D" w:rsidP="006C601C">
      <w:r w:rsidRPr="00827DE5">
        <w:t xml:space="preserve">The number of inhabitants per year and age group in 2010 was computed using the 2006 census. The number of births per year is computed using the population censuses in 2006, 2013, and 2019. The number of inhabitants in each region is considered constant through time: the number of deaths is equal to the number of births, and all deaths come out from the oldest age group (&gt; 40 year old individuals). This simplification ignores various important demographic factors that could affect measles transmission in a country (e.g. migration between regions, migration outside the country, deaths in younger age groups). </w:t>
      </w:r>
    </w:p>
    <w:p w14:paraId="1B62944D" w14:textId="77777777" w:rsidR="00CF2E7D" w:rsidRPr="00827DE5" w:rsidRDefault="00CF2E7D" w:rsidP="001D75E9">
      <w:pPr>
        <w:pStyle w:val="Heading2"/>
      </w:pPr>
      <w:bookmarkStart w:id="8" w:name="_Toc162889795"/>
      <w:r w:rsidRPr="00827DE5">
        <w:t>Region stratification</w:t>
      </w:r>
      <w:bookmarkEnd w:id="8"/>
    </w:p>
    <w:p w14:paraId="2FDFFC94" w14:textId="77777777" w:rsidR="00CF2E7D" w:rsidRPr="00827DE5" w:rsidRDefault="00CF2E7D" w:rsidP="001D75E9">
      <w:pPr>
        <w:pStyle w:val="Heading3"/>
      </w:pPr>
      <w:bookmarkStart w:id="9" w:name="_Toc162889796"/>
      <w:r w:rsidRPr="00827DE5">
        <w:t>Transmission between region</w:t>
      </w:r>
      <w:bookmarkEnd w:id="9"/>
    </w:p>
    <w:p w14:paraId="3EE992DB" w14:textId="77777777" w:rsidR="00CF2E7D" w:rsidRPr="00827DE5" w:rsidRDefault="00CF2E7D" w:rsidP="006C601C">
      <w:r w:rsidRPr="00827DE5">
        <w:t xml:space="preserve">There are nine government office regions in England: South West, South East, London, East of England, East Midlands, West Midlands, Yorkshire and the Humber, North East, and North West. Although migration of inhabitants is not represented in the model, the model includes a spatial kernel, which quantifies the rate of transmission from one region to another. This kernel is a gravity model, depending on population in both regions, and distance. Distance is accounted for by the degree of connectivity between regions (neighbours have a degree of one, neighbours of neighbours have a degree of two etc.). The spatial kernel is modelled using a gravity model. The rate of transmission between two given regions </w:t>
      </w:r>
      <m:oMath>
        <m:r>
          <w:rPr>
            <w:rFonts w:ascii="Cambria Math" w:hAnsi="Cambria Math"/>
          </w:rPr>
          <m:t>k</m:t>
        </m:r>
      </m:oMath>
      <w:r w:rsidRPr="00827DE5">
        <w:t xml:space="preserve"> and </w:t>
      </w:r>
      <m:oMath>
        <m:r>
          <w:rPr>
            <w:rFonts w:ascii="Cambria Math" w:hAnsi="Cambria Math"/>
          </w:rPr>
          <m:t xml:space="preserve">l </m:t>
        </m:r>
      </m:oMath>
      <w:r w:rsidRPr="00827DE5">
        <w:t>is computed as:</w:t>
      </w:r>
    </w:p>
    <w:p w14:paraId="21B3B447" w14:textId="77777777" w:rsidR="00CF2E7D" w:rsidRPr="00827DE5" w:rsidRDefault="00CF2E7D" w:rsidP="006C601C">
      <m:oMathPara>
        <m:oMath>
          <m:r>
            <w:rPr>
              <w:rFonts w:ascii="Cambria Math" w:hAnsi="Cambria Math"/>
            </w:rPr>
            <m:t>d</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l</m:t>
              </m:r>
            </m:sub>
            <m:sup>
              <m:r>
                <w:rPr>
                  <w:rFonts w:ascii="Cambria Math" w:hAnsi="Cambria Math"/>
                </w:rPr>
                <m:t>b</m:t>
              </m:r>
            </m:sup>
          </m:sSubSup>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D</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k</m:t>
                  </m:r>
                </m:sub>
                <m:sup>
                  <m:r>
                    <w:rPr>
                      <w:rFonts w:ascii="Cambria Math" w:hAnsi="Cambria Math"/>
                    </w:rPr>
                    <m:t>c</m:t>
                  </m:r>
                </m:sup>
              </m:sSubSup>
            </m:num>
            <m:den>
              <m:sSub>
                <m:sSubPr>
                  <m:ctrlPr>
                    <w:rPr>
                      <w:rFonts w:ascii="Cambria Math" w:hAnsi="Cambria Math"/>
                    </w:rPr>
                  </m:ctrlPr>
                </m:sSubPr>
                <m:e>
                  <m:r>
                    <w:rPr>
                      <w:rFonts w:ascii="Cambria Math" w:hAnsi="Cambria Math"/>
                    </w:rPr>
                    <m:t>N</m:t>
                  </m:r>
                </m:e>
                <m:sub>
                  <m:r>
                    <w:rPr>
                      <w:rFonts w:ascii="Cambria Math" w:hAnsi="Cambria Math"/>
                    </w:rPr>
                    <m:t>k</m:t>
                  </m:r>
                </m:sub>
              </m:sSub>
            </m:den>
          </m:f>
        </m:oMath>
      </m:oMathPara>
    </w:p>
    <w:p w14:paraId="0617BDAC" w14:textId="77777777" w:rsidR="00CF2E7D" w:rsidRPr="00827DE5" w:rsidRDefault="00CF2E7D" w:rsidP="006C601C">
      <w:r w:rsidRPr="00827DE5">
        <w:t xml:space="preserve">With </w:t>
      </w:r>
      <m:oMath>
        <m:sSub>
          <m:sSubPr>
            <m:ctrlPr>
              <w:rPr>
                <w:rFonts w:ascii="Cambria Math" w:hAnsi="Cambria Math"/>
                <w:i/>
              </w:rPr>
            </m:ctrlPr>
          </m:sSubPr>
          <m:e>
            <m:r>
              <w:rPr>
                <w:rFonts w:ascii="Cambria Math" w:hAnsi="Cambria Math"/>
              </w:rPr>
              <m:t>N</m:t>
            </m:r>
          </m:e>
          <m:sub>
            <m:r>
              <w:rPr>
                <w:rFonts w:ascii="Cambria Math" w:hAnsi="Cambria Math"/>
              </w:rPr>
              <m:t>k</m:t>
            </m:r>
          </m:sub>
        </m:sSub>
      </m:oMath>
      <w:r w:rsidRPr="00827DE5">
        <w:t xml:space="preserve"> and </w:t>
      </w:r>
      <m:oMath>
        <m:sSub>
          <m:sSubPr>
            <m:ctrlPr>
              <w:rPr>
                <w:rFonts w:ascii="Cambria Math" w:hAnsi="Cambria Math"/>
                <w:i/>
              </w:rPr>
            </m:ctrlPr>
          </m:sSubPr>
          <m:e>
            <m:r>
              <w:rPr>
                <w:rFonts w:ascii="Cambria Math" w:hAnsi="Cambria Math"/>
              </w:rPr>
              <m:t>N</m:t>
            </m:r>
          </m:e>
          <m:sub>
            <m:r>
              <w:rPr>
                <w:rFonts w:ascii="Cambria Math" w:hAnsi="Cambria Math"/>
              </w:rPr>
              <m:t>l</m:t>
            </m:r>
          </m:sub>
        </m:sSub>
      </m:oMath>
      <w:r w:rsidRPr="00827DE5">
        <w:t xml:space="preserve"> the number of inhabitants in regions </w:t>
      </w:r>
      <m:oMath>
        <m:r>
          <w:rPr>
            <w:rFonts w:ascii="Cambria Math" w:hAnsi="Cambria Math"/>
          </w:rPr>
          <m:t>k</m:t>
        </m:r>
      </m:oMath>
      <w:r w:rsidRPr="00827DE5">
        <w:t xml:space="preserve"> and </w:t>
      </w:r>
      <m:oMath>
        <m:r>
          <w:rPr>
            <w:rFonts w:ascii="Cambria Math" w:hAnsi="Cambria Math"/>
          </w:rPr>
          <m:t>l</m:t>
        </m:r>
      </m:oMath>
      <w:r w:rsidRPr="00827DE5">
        <w:t xml:space="preserve">, </w:t>
      </w:r>
      <m:oMath>
        <m:r>
          <w:rPr>
            <w:rFonts w:ascii="Cambria Math" w:hAnsi="Cambria Math"/>
          </w:rPr>
          <m:t>D(k,l)</m:t>
        </m:r>
      </m:oMath>
      <w:r w:rsidRPr="00827DE5">
        <w:t xml:space="preserve"> the distance between </w:t>
      </w:r>
      <m:oMath>
        <m:r>
          <w:rPr>
            <w:rFonts w:ascii="Cambria Math" w:hAnsi="Cambria Math"/>
          </w:rPr>
          <m:t>k</m:t>
        </m:r>
      </m:oMath>
      <w:r w:rsidRPr="00827DE5">
        <w:t xml:space="preserve"> and </w:t>
      </w:r>
      <m:oMath>
        <m:r>
          <w:rPr>
            <w:rFonts w:ascii="Cambria Math" w:hAnsi="Cambria Math"/>
          </w:rPr>
          <m:t>l</m:t>
        </m:r>
      </m:oMath>
      <w:r w:rsidRPr="00827DE5">
        <w:t xml:space="preserve">, and </w:t>
      </w:r>
      <m:oMath>
        <m:r>
          <w:rPr>
            <w:rFonts w:ascii="Cambria Math" w:hAnsi="Cambria Math"/>
          </w:rPr>
          <m:t>b</m:t>
        </m:r>
      </m:oMath>
      <w:r w:rsidRPr="00827DE5">
        <w:t xml:space="preserve">, </w:t>
      </w:r>
      <m:oMath>
        <m:r>
          <w:rPr>
            <w:rFonts w:ascii="Cambria Math" w:hAnsi="Cambria Math"/>
          </w:rPr>
          <m:t>c</m:t>
        </m:r>
      </m:oMath>
      <w:r w:rsidRPr="00827DE5">
        <w:t xml:space="preserve"> and </w:t>
      </w:r>
      <m:oMath>
        <m:r>
          <w:rPr>
            <w:rFonts w:ascii="Cambria Math" w:hAnsi="Cambria Math"/>
          </w:rPr>
          <m:t>θ</m:t>
        </m:r>
      </m:oMath>
      <w:r w:rsidRPr="00827DE5">
        <w:t xml:space="preserve"> parameters estimated by the model.</w:t>
      </w:r>
    </w:p>
    <w:p w14:paraId="57D41399" w14:textId="51D67DCC" w:rsidR="00CF2E7D" w:rsidRPr="00827DE5" w:rsidRDefault="00CF2E7D" w:rsidP="006C601C">
      <w:r w:rsidRPr="00827DE5">
        <w:t xml:space="preserve">Putting the different elements of the model together, the </w:t>
      </w:r>
      <w:r w:rsidR="0057125D" w:rsidRPr="00827DE5">
        <w:t>probability</w:t>
      </w:r>
      <w:r w:rsidRPr="00827DE5">
        <w:t xml:space="preserve"> of </w:t>
      </w:r>
      <w:r w:rsidR="0057125D" w:rsidRPr="00827DE5">
        <w:t xml:space="preserve">an unvaccinated susceptible individual </w:t>
      </w:r>
      <w:r w:rsidRPr="00827DE5">
        <w:t xml:space="preserve">in a given age group and region </w:t>
      </w:r>
      <w:r w:rsidR="0057125D" w:rsidRPr="00827DE5">
        <w:t xml:space="preserve">being </w:t>
      </w:r>
      <w:r w:rsidR="00647145" w:rsidRPr="00827DE5">
        <w:t>exposed</w:t>
      </w:r>
      <w:r w:rsidR="0057125D" w:rsidRPr="00827DE5">
        <w:t xml:space="preserve"> </w:t>
      </w:r>
      <w:r w:rsidRPr="00827DE5">
        <w:t xml:space="preserve">at time </w:t>
      </w:r>
      <m:oMath>
        <m:r>
          <w:rPr>
            <w:rFonts w:ascii="Cambria Math" w:hAnsi="Cambria Math"/>
          </w:rPr>
          <m:t>t n(a,i,t)</m:t>
        </m:r>
      </m:oMath>
      <w:r w:rsidRPr="00827DE5">
        <w:t xml:space="preserve"> is computed as:</w:t>
      </w:r>
    </w:p>
    <w:p w14:paraId="630F7BC4" w14:textId="5D98D375" w:rsidR="00647145" w:rsidRPr="00827DE5" w:rsidRDefault="00647145" w:rsidP="006C601C">
      <m:oMathPara>
        <m:oMath>
          <m:r>
            <w:rPr>
              <w:rFonts w:ascii="Cambria Math" w:hAnsi="Cambria Math"/>
            </w:rPr>
            <m:t>p</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e>
          </m:d>
          <m:r>
            <m:rPr>
              <m:sty m:val="p"/>
            </m:rPr>
            <w:rPr>
              <w:rFonts w:ascii="Cambria Math" w:hAnsi="Cambria Math"/>
            </w:rPr>
            <m:t>=1-exp⁡(-</m:t>
          </m:r>
          <m:f>
            <m:fPr>
              <m:ctrlPr>
                <w:rPr>
                  <w:rFonts w:ascii="Cambria Math" w:hAnsi="Cambria Math"/>
                </w:rPr>
              </m:ctrlPr>
            </m:fPr>
            <m:num>
              <m:r>
                <w:rPr>
                  <w:rFonts w:ascii="Cambria Math" w:hAnsi="Cambria Math"/>
                </w:rPr>
                <m:t>β</m:t>
              </m:r>
              <m:d>
                <m:dPr>
                  <m:ctrlPr>
                    <w:rPr>
                      <w:rFonts w:ascii="Cambria Math" w:hAnsi="Cambria Math"/>
                    </w:rPr>
                  </m:ctrlPr>
                </m:dPr>
                <m:e>
                  <m:r>
                    <w:rPr>
                      <w:rFonts w:ascii="Cambria Math" w:hAnsi="Cambria Math"/>
                    </w:rPr>
                    <m:t>t</m:t>
                  </m:r>
                </m:e>
              </m:d>
            </m:num>
            <m:den>
              <m:r>
                <w:rPr>
                  <w:rFonts w:ascii="Cambria Math" w:hAnsi="Cambria Math"/>
                </w:rPr>
                <m:t>N</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=12</m:t>
              </m:r>
            </m:sup>
            <m:e>
              <m:nary>
                <m:naryPr>
                  <m:chr m:val="∑"/>
                  <m:limLoc m:val="undOvr"/>
                  <m:ctrlPr>
                    <w:rPr>
                      <w:rFonts w:ascii="Cambria Math" w:hAnsi="Cambria Math"/>
                    </w:rPr>
                  </m:ctrlPr>
                </m:naryPr>
                <m:sub>
                  <m:r>
                    <w:rPr>
                      <w:rFonts w:ascii="Cambria Math" w:hAnsi="Cambria Math"/>
                    </w:rPr>
                    <m:t>l</m:t>
                  </m:r>
                  <m:r>
                    <m:rPr>
                      <m:sty m:val="p"/>
                    </m:rPr>
                    <w:rPr>
                      <w:rFonts w:ascii="Cambria Math" w:hAnsi="Cambria Math"/>
                    </w:rPr>
                    <m:t>=1</m:t>
                  </m:r>
                </m:sub>
                <m:sup>
                  <m:r>
                    <w:rPr>
                      <w:rFonts w:ascii="Cambria Math" w:hAnsi="Cambria Math"/>
                    </w:rPr>
                    <m:t>l</m:t>
                  </m:r>
                  <m:r>
                    <m:rPr>
                      <m:sty m:val="p"/>
                    </m:rPr>
                    <w:rPr>
                      <w:rFonts w:ascii="Cambria Math" w:hAnsi="Cambria Math"/>
                    </w:rPr>
                    <m:t>=9</m:t>
                  </m:r>
                </m:sup>
                <m:e>
                  <m:r>
                    <w:rPr>
                      <w:rFonts w:ascii="Cambria Math" w:hAnsi="Cambria Math"/>
                    </w:rPr>
                    <m:t>m</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a</m:t>
                      </m:r>
                    </m:e>
                  </m:d>
                  <m:r>
                    <m:rPr>
                      <m:sty m:val="p"/>
                    </m:rPr>
                    <w:rPr>
                      <w:rFonts w:ascii="Cambria Math" w:hAnsi="Cambria Math"/>
                    </w:rPr>
                    <m:t>*</m:t>
                  </m:r>
                  <m:r>
                    <w:rPr>
                      <w:rFonts w:ascii="Cambria Math" w:hAnsi="Cambria Math"/>
                    </w:rPr>
                    <m:t>d</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i</m:t>
                      </m:r>
                    </m:e>
                  </m:d>
                  <m:r>
                    <m:rPr>
                      <m:sty m:val="p"/>
                    </m:rPr>
                    <w:rPr>
                      <w:rFonts w:ascii="Cambria Math" w:hAnsi="Cambria Math"/>
                    </w:rPr>
                    <m:t>*</m:t>
                  </m:r>
                  <m:d>
                    <m:dPr>
                      <m:ctrlPr>
                        <w:rPr>
                          <w:rFonts w:ascii="Cambria Math" w:hAnsi="Cambria Math"/>
                        </w:rPr>
                      </m:ctrlPr>
                    </m:dPr>
                    <m:e>
                      <m:r>
                        <w:rPr>
                          <w:rFonts w:ascii="Cambria Math" w:hAnsi="Cambria Math"/>
                        </w:rPr>
                        <m:t>Is</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onwards</m:t>
                          </m:r>
                        </m:sub>
                      </m:sSub>
                      <m:r>
                        <m:rPr>
                          <m:sty m:val="p"/>
                        </m:rPr>
                        <w:rPr>
                          <w:rFonts w:ascii="Cambria Math" w:hAnsi="Cambria Math"/>
                        </w:rPr>
                        <m:t>*</m:t>
                      </m:r>
                      <m:d>
                        <m:dPr>
                          <m:ctrlPr>
                            <w:rPr>
                              <w:rFonts w:ascii="Cambria Math" w:hAnsi="Cambria Math"/>
                            </w:rPr>
                          </m:ctrlPr>
                        </m:dPr>
                        <m:e>
                          <m:r>
                            <w:rPr>
                              <w:rFonts w:ascii="Cambria Math" w:hAnsi="Cambria Math"/>
                            </w:rPr>
                            <m:t>Iv</m:t>
                          </m:r>
                          <m:r>
                            <m:rPr>
                              <m:sty m:val="p"/>
                            </m:rPr>
                            <w:rPr>
                              <w:rFonts w:ascii="Cambria Math" w:hAnsi="Cambria Math"/>
                            </w:rPr>
                            <m:t>1</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Iv</m:t>
                          </m:r>
                          <m:r>
                            <m:rPr>
                              <m:sty m:val="p"/>
                            </m:rPr>
                            <w:rPr>
                              <w:rFonts w:ascii="Cambria Math" w:hAnsi="Cambria Math"/>
                            </w:rPr>
                            <m:t>2</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t</m:t>
                              </m:r>
                            </m:e>
                          </m:d>
                        </m:e>
                      </m:d>
                    </m:e>
                  </m:d>
                </m:e>
              </m:nary>
            </m:e>
          </m:nary>
          <m:r>
            <w:rPr>
              <w:rFonts w:ascii="Cambria Math" w:hAnsi="Cambria Math"/>
            </w:rPr>
            <m:t>)</m:t>
          </m:r>
        </m:oMath>
      </m:oMathPara>
    </w:p>
    <w:p w14:paraId="7E5AD26F" w14:textId="5F1C7DB5" w:rsidR="00CF2E7D" w:rsidRPr="00827DE5" w:rsidRDefault="00CF2E7D" w:rsidP="006C601C">
      <w:r w:rsidRPr="00827DE5">
        <w:t xml:space="preserve">With N the total number of inhabitants, </w:t>
      </w:r>
      <m:oMath>
        <m:r>
          <w:rPr>
            <w:rFonts w:ascii="Cambria Math" w:hAnsi="Cambria Math"/>
          </w:rPr>
          <m:t>m</m:t>
        </m:r>
      </m:oMath>
      <w:r w:rsidRPr="00827DE5">
        <w:t xml:space="preserve"> the contact rate between age groups per capita, and </w:t>
      </w:r>
      <m:oMath>
        <m:sSub>
          <m:sSubPr>
            <m:ctrlPr>
              <w:rPr>
                <w:rFonts w:ascii="Cambria Math" w:hAnsi="Cambria Math"/>
                <w:i/>
              </w:rPr>
            </m:ctrlPr>
          </m:sSubPr>
          <m:e>
            <m:r>
              <w:rPr>
                <w:rFonts w:ascii="Cambria Math" w:hAnsi="Cambria Math"/>
              </w:rPr>
              <m:t>v</m:t>
            </m:r>
          </m:e>
          <m:sub>
            <m:r>
              <w:rPr>
                <w:rFonts w:ascii="Cambria Math" w:hAnsi="Cambria Math"/>
              </w:rPr>
              <m:t>onwards</m:t>
            </m:r>
          </m:sub>
        </m:sSub>
      </m:oMath>
      <w:r w:rsidRPr="00827DE5">
        <w:t xml:space="preserve"> the protection against onward transmission given by the vaccine.</w:t>
      </w:r>
    </w:p>
    <w:p w14:paraId="058A2896" w14:textId="3A9EA4F3" w:rsidR="00647145" w:rsidRPr="00827DE5" w:rsidRDefault="00647145" w:rsidP="006C601C">
      <w:r w:rsidRPr="00827DE5">
        <w:t>The probability of individuals who were vaccinated but did not gain protection becoming exposed is the same as unvaccinated individuals (</w:t>
      </w:r>
      <m:oMath>
        <m:r>
          <w:rPr>
            <w:rFonts w:ascii="Cambria Math" w:hAnsi="Cambria Math"/>
          </w:rPr>
          <m:t>p</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e>
        </m:d>
        <m:r>
          <w:rPr>
            <w:rFonts w:ascii="Cambria Math" w:hAnsi="Cambria Math"/>
          </w:rPr>
          <m:t>)</m:t>
        </m:r>
      </m:oMath>
      <w:r w:rsidR="00C47E83" w:rsidRPr="00827DE5">
        <w:t>.</w:t>
      </w:r>
    </w:p>
    <w:p w14:paraId="16917C38" w14:textId="0234DCD9" w:rsidR="006D1D05" w:rsidRPr="00827DE5" w:rsidRDefault="00647145" w:rsidP="006C601C">
      <w:r w:rsidRPr="00827DE5">
        <w:lastRenderedPageBreak/>
        <w:t>The probability of individuals “vaccinated and protected“ becoming exposed is 0 in</w:t>
      </w:r>
      <w:r w:rsidR="00C47E83" w:rsidRPr="00827DE5">
        <w:t xml:space="preserve"> models that do not include waning. In models with waning, the probability of becoming exposed depends on the level of waning at the age of the individual (</w:t>
      </w:r>
      <m:oMath>
        <m:sSub>
          <m:sSubPr>
            <m:ctrlPr>
              <w:rPr>
                <w:rFonts w:ascii="Cambria Math" w:hAnsi="Cambria Math"/>
                <w:i/>
              </w:rPr>
            </m:ctrlPr>
          </m:sSubPr>
          <m:e>
            <m:r>
              <w:rPr>
                <w:rFonts w:ascii="Cambria Math" w:hAnsi="Cambria Math"/>
              </w:rPr>
              <m:t>p</m:t>
            </m:r>
          </m:e>
          <m:sub>
            <m:r>
              <w:rPr>
                <w:rFonts w:ascii="Cambria Math" w:hAnsi="Cambria Math"/>
              </w:rPr>
              <m:t>protect</m:t>
            </m:r>
          </m:sub>
        </m:sSub>
        <m:d>
          <m:dPr>
            <m:ctrlPr>
              <w:rPr>
                <w:rFonts w:ascii="Cambria Math" w:hAnsi="Cambria Math"/>
                <w:i/>
              </w:rPr>
            </m:ctrlPr>
          </m:dPr>
          <m:e>
            <m:r>
              <w:rPr>
                <w:rFonts w:ascii="Cambria Math" w:hAnsi="Cambria Math"/>
              </w:rPr>
              <m:t>a</m:t>
            </m:r>
          </m:e>
        </m:d>
        <m:r>
          <w:rPr>
            <w:rFonts w:ascii="Cambria Math" w:hAnsi="Cambria Math"/>
          </w:rPr>
          <m:t>=1-</m:t>
        </m:r>
        <m:d>
          <m:dPr>
            <m:ctrlPr>
              <w:rPr>
                <w:rFonts w:ascii="Cambria Math" w:hAnsi="Cambria Math"/>
                <w:i/>
              </w:rPr>
            </m:ctrlPr>
          </m:dPr>
          <m:e>
            <m:r>
              <w:rPr>
                <w:rFonts w:ascii="Cambria Math" w:hAnsi="Cambria Math"/>
              </w:rPr>
              <m:t>a-5</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leak</m:t>
            </m:r>
          </m:sub>
        </m:sSub>
      </m:oMath>
      <w:r w:rsidR="00C47E83" w:rsidRPr="00827DE5">
        <w:t>)</w:t>
      </w:r>
      <w:r w:rsidR="006D1D05" w:rsidRPr="00827DE5">
        <w:t xml:space="preserve">, such that </w:t>
      </w:r>
      <m:oMath>
        <m:sSub>
          <m:sSubPr>
            <m:ctrlPr>
              <w:rPr>
                <w:rFonts w:ascii="Cambria Math" w:hAnsi="Cambria Math"/>
                <w:i/>
              </w:rPr>
            </m:ctrlPr>
          </m:sSubPr>
          <m:e>
            <m:r>
              <w:rPr>
                <w:rFonts w:ascii="Cambria Math" w:hAnsi="Cambria Math"/>
              </w:rPr>
              <m:t>p</m:t>
            </m:r>
          </m:e>
          <m:sub>
            <m:r>
              <w:rPr>
                <w:rFonts w:ascii="Cambria Math" w:hAnsi="Cambria Math"/>
              </w:rPr>
              <m:t>vaccinated</m:t>
            </m:r>
          </m:sub>
        </m:sSub>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e>
        </m:d>
        <m:r>
          <w:rPr>
            <w:rFonts w:ascii="Cambria Math" w:hAnsi="Cambria Math"/>
          </w:rPr>
          <m:t>=p</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protect</m:t>
            </m:r>
          </m:sub>
        </m:sSub>
        <m:r>
          <w:rPr>
            <w:rFonts w:ascii="Cambria Math" w:hAnsi="Cambria Math"/>
          </w:rPr>
          <m:t>(a)</m:t>
        </m:r>
      </m:oMath>
      <w:r w:rsidR="006D1D05" w:rsidRPr="00827DE5">
        <w:t xml:space="preserve">. </w:t>
      </w:r>
    </w:p>
    <w:p w14:paraId="7D47E0D6" w14:textId="77777777" w:rsidR="00CF2E7D" w:rsidRPr="00827DE5" w:rsidRDefault="00CF2E7D" w:rsidP="001D75E9">
      <w:pPr>
        <w:pStyle w:val="Heading2"/>
      </w:pPr>
      <w:bookmarkStart w:id="10" w:name="_Toc162889797"/>
      <w:r w:rsidRPr="00827DE5">
        <w:t>Importation</w:t>
      </w:r>
      <w:bookmarkEnd w:id="10"/>
    </w:p>
    <w:p w14:paraId="49895CF7" w14:textId="59E0E5F6" w:rsidR="00CF2E7D" w:rsidRPr="00827DE5" w:rsidRDefault="00CF2E7D" w:rsidP="006C601C">
      <w:r w:rsidRPr="00827DE5">
        <w:t xml:space="preserve">The average number of importations per year and region was computed from the number of cases classified as “imported” or “import related” in the individual case data for each region and year. This local </w:t>
      </w:r>
      <w:r w:rsidR="00CC281C" w:rsidRPr="00827DE5">
        <w:t xml:space="preserve">number of </w:t>
      </w:r>
      <w:r w:rsidRPr="00827DE5">
        <w:t>importation</w:t>
      </w:r>
      <w:r w:rsidR="00CC281C" w:rsidRPr="00827DE5">
        <w:t>s</w:t>
      </w:r>
      <w:r w:rsidRPr="00827DE5">
        <w:t xml:space="preserve"> </w:t>
      </w:r>
      <w:r w:rsidR="00715348" w:rsidRPr="00827DE5">
        <w:t xml:space="preserve">for each year </w:t>
      </w:r>
      <w:r w:rsidRPr="00827DE5">
        <w:t>is then divided by 365 and weighted by the number of inhabitants per age group, to get the daily importation rate by age group and region. We consider that importations are less likely to be reported than other cases, so the importation</w:t>
      </w:r>
      <w:r w:rsidR="00D7391F" w:rsidRPr="00827DE5">
        <w:t xml:space="preserve"> rate</w:t>
      </w:r>
      <w:r w:rsidRPr="00827DE5">
        <w:t xml:space="preserve"> by region is </w:t>
      </w:r>
      <w:r w:rsidR="007158E3" w:rsidRPr="00827DE5">
        <w:t xml:space="preserve">divided by </w:t>
      </w:r>
      <m:oMath>
        <m:sSub>
          <m:sSubPr>
            <m:ctrlPr>
              <w:rPr>
                <w:rFonts w:ascii="Cambria Math" w:hAnsi="Cambria Math"/>
                <w:i/>
              </w:rPr>
            </m:ctrlPr>
          </m:sSubPr>
          <m:e>
            <m:r>
              <w:rPr>
                <w:rFonts w:ascii="Cambria Math" w:hAnsi="Cambria Math"/>
              </w:rPr>
              <m:t>p</m:t>
            </m:r>
          </m:e>
          <m:sub>
            <m:r>
              <w:rPr>
                <w:rFonts w:ascii="Cambria Math" w:hAnsi="Cambria Math"/>
              </w:rPr>
              <m:t>import</m:t>
            </m:r>
          </m:sub>
        </m:sSub>
      </m:oMath>
      <w:r w:rsidR="003B1AB7" w:rsidRPr="00827DE5">
        <w:t>, the probability of reporting of imported cases</w:t>
      </w:r>
      <w:r w:rsidRPr="00827DE5">
        <w:t xml:space="preserve">. The model also estimates two parameters </w:t>
      </w:r>
      <m:oMath>
        <m:sSub>
          <m:sSubPr>
            <m:ctrlPr>
              <w:rPr>
                <w:rFonts w:ascii="Cambria Math" w:hAnsi="Cambria Math"/>
                <w:i/>
              </w:rPr>
            </m:ctrlPr>
          </m:sSubPr>
          <m:e>
            <m:r>
              <w:rPr>
                <w:rFonts w:ascii="Cambria Math" w:hAnsi="Cambria Math"/>
              </w:rPr>
              <m:t>X</m:t>
            </m:r>
          </m:e>
          <m:sub>
            <m:r>
              <w:rPr>
                <w:rFonts w:ascii="Cambria Math" w:hAnsi="Cambria Math"/>
              </w:rPr>
              <m:t>import</m:t>
            </m:r>
          </m:sub>
        </m:sSub>
      </m:oMath>
      <w:r w:rsidRPr="00827DE5">
        <w:t xml:space="preserve"> and </w:t>
      </w:r>
      <m:oMath>
        <m:sSub>
          <m:sSubPr>
            <m:ctrlPr>
              <w:rPr>
                <w:rFonts w:ascii="Cambria Math" w:hAnsi="Cambria Math"/>
                <w:i/>
              </w:rPr>
            </m:ctrlPr>
          </m:sSubPr>
          <m:e>
            <m:r>
              <w:rPr>
                <w:rFonts w:ascii="Cambria Math" w:hAnsi="Cambria Math"/>
              </w:rPr>
              <m:t>Y</m:t>
            </m:r>
          </m:e>
          <m:sub>
            <m:r>
              <w:rPr>
                <w:rFonts w:ascii="Cambria Math" w:hAnsi="Cambria Math"/>
              </w:rPr>
              <m:t>import</m:t>
            </m:r>
          </m:sub>
        </m:sSub>
      </m:oMath>
      <w:r w:rsidRPr="00827DE5">
        <w:t>, to estimate the seasonality of importations in a given year.</w:t>
      </w:r>
    </w:p>
    <w:p w14:paraId="35C046DF" w14:textId="77777777" w:rsidR="00CF2E7D" w:rsidRPr="00827DE5" w:rsidRDefault="00000000" w:rsidP="006C601C">
      <m:oMathPara>
        <m:oMath>
          <m:sSub>
            <m:sSubPr>
              <m:ctrlPr>
                <w:rPr>
                  <w:rFonts w:ascii="Cambria Math" w:hAnsi="Cambria Math"/>
                </w:rPr>
              </m:ctrlPr>
            </m:sSubPr>
            <m:e>
              <m:r>
                <w:rPr>
                  <w:rFonts w:ascii="Cambria Math" w:hAnsi="Cambria Math"/>
                </w:rPr>
                <m:t>n</m:t>
              </m:r>
            </m:e>
            <m:sub>
              <m:r>
                <w:rPr>
                  <w:rFonts w:ascii="Cambria Math" w:hAnsi="Cambria Math"/>
                </w:rPr>
                <m:t>import</m:t>
              </m:r>
            </m:sub>
          </m:sSub>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i</m:t>
              </m:r>
              <m:r>
                <m:rPr>
                  <m:sty m:val="p"/>
                </m:rPr>
                <w:rPr>
                  <w:rFonts w:ascii="Cambria Math" w:hAnsi="Cambria Math"/>
                </w:rPr>
                <m:t xml:space="preserve">, </m:t>
              </m:r>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import</m:t>
                  </m:r>
                </m:sub>
              </m:sSub>
              <m:r>
                <m:rPr>
                  <m:sty m:val="p"/>
                </m:rPr>
                <w:rPr>
                  <w:rFonts w:ascii="Cambria Math" w:hAnsi="Cambria Math"/>
                </w:rPr>
                <m:t>(</m:t>
              </m:r>
              <m:r>
                <w:rPr>
                  <w:rFonts w:ascii="Cambria Math" w:hAnsi="Cambria Math"/>
                </w:rPr>
                <m:t>i</m:t>
              </m:r>
              <m:r>
                <m:rPr>
                  <m:sty m:val="p"/>
                </m:rPr>
                <w:rPr>
                  <w:rFonts w:ascii="Cambria Math" w:hAnsi="Cambria Math"/>
                </w:rPr>
                <m:t>)</m:t>
              </m:r>
            </m:num>
            <m:den>
              <m:r>
                <m:rPr>
                  <m:sty m:val="p"/>
                </m:rPr>
                <w:rPr>
                  <w:rFonts w:ascii="Cambria Math" w:hAnsi="Cambria Math"/>
                </w:rPr>
                <m:t>365*</m:t>
              </m:r>
              <m:sSub>
                <m:sSubPr>
                  <m:ctrlPr>
                    <w:rPr>
                      <w:rFonts w:ascii="Cambria Math" w:hAnsi="Cambria Math"/>
                    </w:rPr>
                  </m:ctrlPr>
                </m:sSubPr>
                <m:e>
                  <m:r>
                    <w:rPr>
                      <w:rFonts w:ascii="Cambria Math" w:hAnsi="Cambria Math"/>
                    </w:rPr>
                    <m:t>p</m:t>
                  </m:r>
                </m:e>
                <m:sub>
                  <m:r>
                    <w:rPr>
                      <w:rFonts w:ascii="Cambria Math" w:hAnsi="Cambria Math"/>
                    </w:rPr>
                    <m:t>import</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ai</m:t>
                  </m:r>
                </m:sub>
              </m:sSub>
            </m:num>
            <m:den>
              <m:sSub>
                <m:sSubPr>
                  <m:ctrlPr>
                    <w:rPr>
                      <w:rFonts w:ascii="Cambria Math" w:hAnsi="Cambria Math"/>
                    </w:rPr>
                  </m:ctrlPr>
                </m:sSubPr>
                <m:e>
                  <m:r>
                    <w:rPr>
                      <w:rFonts w:ascii="Cambria Math" w:hAnsi="Cambria Math"/>
                    </w:rPr>
                    <m:t>N</m:t>
                  </m:r>
                </m:e>
                <m:sub>
                  <m:r>
                    <w:rPr>
                      <w:rFonts w:ascii="Cambria Math" w:hAnsi="Cambria Math"/>
                    </w:rPr>
                    <m:t>i</m:t>
                  </m:r>
                </m:sub>
              </m:sSub>
            </m:den>
          </m:f>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import</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2*π*</m:t>
                  </m:r>
                  <m:f>
                    <m:fPr>
                      <m:ctrlPr>
                        <w:rPr>
                          <w:rFonts w:ascii="Cambria Math" w:hAnsi="Cambria Math"/>
                        </w:rPr>
                      </m:ctrlPr>
                    </m:fPr>
                    <m:num>
                      <m:r>
                        <w:rPr>
                          <w:rFonts w:ascii="Cambria Math" w:hAnsi="Cambria Math"/>
                        </w:rPr>
                        <m:t>t</m:t>
                      </m:r>
                    </m:num>
                    <m:den>
                      <m:r>
                        <m:rPr>
                          <m:sty m:val="p"/>
                        </m:rPr>
                        <w:rPr>
                          <w:rFonts w:ascii="Cambria Math" w:hAnsi="Cambria Math"/>
                        </w:rPr>
                        <m:t>365.25</m:t>
                      </m:r>
                    </m:den>
                  </m:f>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import</m:t>
                      </m:r>
                    </m:sub>
                  </m:sSub>
                </m:e>
              </m:d>
              <m:r>
                <m:rPr>
                  <m:sty m:val="p"/>
                </m:rPr>
                <w:rPr>
                  <w:rFonts w:ascii="Cambria Math" w:hAnsi="Cambria Math"/>
                </w:rPr>
                <m:t>)</m:t>
              </m:r>
            </m:e>
          </m:func>
        </m:oMath>
      </m:oMathPara>
    </w:p>
    <w:p w14:paraId="2C6BBC5E" w14:textId="77777777" w:rsidR="00CF2E7D" w:rsidRPr="00827DE5" w:rsidRDefault="00CF2E7D" w:rsidP="006C601C">
      <w:r w:rsidRPr="00827DE5">
        <w:t xml:space="preserve">With </w:t>
      </w:r>
      <m:oMath>
        <m:sSub>
          <m:sSubPr>
            <m:ctrlPr>
              <w:rPr>
                <w:rFonts w:ascii="Cambria Math" w:hAnsi="Cambria Math"/>
                <w:i/>
              </w:rPr>
            </m:ctrlPr>
          </m:sSubPr>
          <m:e>
            <m:r>
              <w:rPr>
                <w:rFonts w:ascii="Cambria Math" w:hAnsi="Cambria Math"/>
              </w:rPr>
              <m:t>N</m:t>
            </m:r>
          </m:e>
          <m:sub>
            <m:r>
              <w:rPr>
                <w:rFonts w:ascii="Cambria Math" w:hAnsi="Cambria Math"/>
              </w:rPr>
              <m:t>ai</m:t>
            </m:r>
          </m:sub>
        </m:sSub>
      </m:oMath>
      <w:r w:rsidRPr="00827DE5">
        <w:t xml:space="preserve"> the number of inhabitants of age </w:t>
      </w:r>
      <m:oMath>
        <m:r>
          <w:rPr>
            <w:rFonts w:ascii="Cambria Math" w:hAnsi="Cambria Math"/>
          </w:rPr>
          <m:t>a</m:t>
        </m:r>
      </m:oMath>
      <w:r w:rsidRPr="00827DE5">
        <w:t xml:space="preserve"> in </w:t>
      </w:r>
      <m:oMath>
        <m:r>
          <w:rPr>
            <w:rFonts w:ascii="Cambria Math" w:hAnsi="Cambria Math"/>
          </w:rPr>
          <m:t>i</m:t>
        </m:r>
      </m:oMath>
      <w:r w:rsidRPr="00827DE5">
        <w:t xml:space="preserve">, and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827DE5">
        <w:t xml:space="preserve"> the number of inhabitants in region </w:t>
      </w:r>
      <m:oMath>
        <m:r>
          <w:rPr>
            <w:rFonts w:ascii="Cambria Math" w:hAnsi="Cambria Math"/>
          </w:rPr>
          <m:t>i</m:t>
        </m:r>
      </m:oMath>
      <w:r w:rsidRPr="00827DE5">
        <w:t>.</w:t>
      </w:r>
    </w:p>
    <w:tbl>
      <w:tblPr>
        <w:tblStyle w:val="TableGrid"/>
        <w:tblW w:w="9356" w:type="dxa"/>
        <w:tblInd w:w="-289" w:type="dxa"/>
        <w:tblLook w:val="04A0" w:firstRow="1" w:lastRow="0" w:firstColumn="1" w:lastColumn="0" w:noHBand="0" w:noVBand="1"/>
      </w:tblPr>
      <w:tblGrid>
        <w:gridCol w:w="5387"/>
        <w:gridCol w:w="1276"/>
        <w:gridCol w:w="1418"/>
        <w:gridCol w:w="1275"/>
      </w:tblGrid>
      <w:tr w:rsidR="001D75E9" w:rsidRPr="00827DE5" w14:paraId="7C48ACAD" w14:textId="77777777">
        <w:tc>
          <w:tcPr>
            <w:tcW w:w="5387" w:type="dxa"/>
            <w:tcBorders>
              <w:top w:val="single" w:sz="4" w:space="0" w:color="auto"/>
              <w:left w:val="single" w:sz="4" w:space="0" w:color="auto"/>
              <w:bottom w:val="single" w:sz="4" w:space="0" w:color="auto"/>
              <w:right w:val="single" w:sz="4" w:space="0" w:color="auto"/>
            </w:tcBorders>
            <w:hideMark/>
          </w:tcPr>
          <w:p w14:paraId="400C0057" w14:textId="77777777" w:rsidR="001D75E9" w:rsidRPr="00827DE5" w:rsidRDefault="001D75E9">
            <w:bookmarkStart w:id="11" w:name="_Hlk158888091"/>
            <w:r w:rsidRPr="00827DE5">
              <w:t>Parameter</w:t>
            </w:r>
          </w:p>
        </w:tc>
        <w:tc>
          <w:tcPr>
            <w:tcW w:w="1276" w:type="dxa"/>
            <w:tcBorders>
              <w:top w:val="single" w:sz="4" w:space="0" w:color="auto"/>
              <w:left w:val="single" w:sz="4" w:space="0" w:color="auto"/>
              <w:bottom w:val="single" w:sz="4" w:space="0" w:color="auto"/>
              <w:right w:val="single" w:sz="4" w:space="0" w:color="auto"/>
            </w:tcBorders>
            <w:hideMark/>
          </w:tcPr>
          <w:p w14:paraId="2775DD74" w14:textId="77777777" w:rsidR="001D75E9" w:rsidRPr="00827DE5" w:rsidRDefault="001D75E9">
            <w:r w:rsidRPr="00827DE5">
              <w:t>Fixed / estimated</w:t>
            </w:r>
          </w:p>
        </w:tc>
        <w:tc>
          <w:tcPr>
            <w:tcW w:w="1418" w:type="dxa"/>
            <w:tcBorders>
              <w:top w:val="single" w:sz="4" w:space="0" w:color="auto"/>
              <w:left w:val="single" w:sz="4" w:space="0" w:color="auto"/>
              <w:bottom w:val="single" w:sz="4" w:space="0" w:color="auto"/>
              <w:right w:val="single" w:sz="4" w:space="0" w:color="auto"/>
            </w:tcBorders>
            <w:hideMark/>
          </w:tcPr>
          <w:p w14:paraId="6FBD686E" w14:textId="77777777" w:rsidR="001D75E9" w:rsidRPr="00827DE5" w:rsidRDefault="001D75E9">
            <w:r w:rsidRPr="00827DE5">
              <w:t xml:space="preserve">Value / Prior </w:t>
            </w:r>
          </w:p>
        </w:tc>
        <w:tc>
          <w:tcPr>
            <w:tcW w:w="1275" w:type="dxa"/>
            <w:tcBorders>
              <w:top w:val="single" w:sz="4" w:space="0" w:color="auto"/>
              <w:left w:val="single" w:sz="4" w:space="0" w:color="auto"/>
              <w:bottom w:val="single" w:sz="4" w:space="0" w:color="auto"/>
              <w:right w:val="single" w:sz="4" w:space="0" w:color="auto"/>
            </w:tcBorders>
            <w:hideMark/>
          </w:tcPr>
          <w:p w14:paraId="505C3421" w14:textId="77777777" w:rsidR="001D75E9" w:rsidRPr="00827DE5" w:rsidRDefault="001D75E9">
            <w:r w:rsidRPr="00827DE5">
              <w:t>Reference</w:t>
            </w:r>
          </w:p>
        </w:tc>
      </w:tr>
      <w:tr w:rsidR="001D75E9" w:rsidRPr="00827DE5" w14:paraId="43177233" w14:textId="77777777">
        <w:tc>
          <w:tcPr>
            <w:tcW w:w="5387" w:type="dxa"/>
            <w:tcBorders>
              <w:top w:val="single" w:sz="4" w:space="0" w:color="auto"/>
              <w:left w:val="single" w:sz="4" w:space="0" w:color="auto"/>
              <w:bottom w:val="single" w:sz="4" w:space="0" w:color="auto"/>
              <w:right w:val="single" w:sz="4" w:space="0" w:color="auto"/>
            </w:tcBorders>
            <w:hideMark/>
          </w:tcPr>
          <w:p w14:paraId="0B156F1F" w14:textId="77777777" w:rsidR="001D75E9" w:rsidRPr="00827DE5" w:rsidRDefault="001D75E9">
            <w:r w:rsidRPr="00827DE5">
              <w:t xml:space="preserve">Infection rate </w:t>
            </w:r>
            <m:oMath>
              <m:r>
                <w:rPr>
                  <w:rFonts w:ascii="Cambria Math" w:hAnsi="Cambria Math"/>
                </w:rPr>
                <m:t>β</m:t>
              </m:r>
            </m:oMath>
          </w:p>
        </w:tc>
        <w:tc>
          <w:tcPr>
            <w:tcW w:w="1276" w:type="dxa"/>
            <w:tcBorders>
              <w:top w:val="single" w:sz="4" w:space="0" w:color="auto"/>
              <w:left w:val="single" w:sz="4" w:space="0" w:color="auto"/>
              <w:bottom w:val="single" w:sz="4" w:space="0" w:color="auto"/>
              <w:right w:val="single" w:sz="4" w:space="0" w:color="auto"/>
            </w:tcBorders>
            <w:hideMark/>
          </w:tcPr>
          <w:p w14:paraId="5054BEEB"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5E2D2239" w14:textId="77777777" w:rsidR="001D75E9" w:rsidRPr="00827DE5" w:rsidRDefault="001D75E9">
            <w:r w:rsidRPr="00827DE5">
              <w:t>U(0, 50)</w:t>
            </w:r>
          </w:p>
        </w:tc>
        <w:tc>
          <w:tcPr>
            <w:tcW w:w="1275" w:type="dxa"/>
            <w:tcBorders>
              <w:top w:val="single" w:sz="4" w:space="0" w:color="auto"/>
              <w:left w:val="single" w:sz="4" w:space="0" w:color="auto"/>
              <w:bottom w:val="single" w:sz="4" w:space="0" w:color="auto"/>
              <w:right w:val="single" w:sz="4" w:space="0" w:color="auto"/>
            </w:tcBorders>
          </w:tcPr>
          <w:p w14:paraId="0486D148" w14:textId="77777777" w:rsidR="001D75E9" w:rsidRPr="00827DE5" w:rsidRDefault="001D75E9"/>
        </w:tc>
      </w:tr>
      <w:tr w:rsidR="001D75E9" w:rsidRPr="00827DE5" w14:paraId="3559DE50" w14:textId="77777777">
        <w:tc>
          <w:tcPr>
            <w:tcW w:w="5387" w:type="dxa"/>
            <w:tcBorders>
              <w:top w:val="single" w:sz="4" w:space="0" w:color="auto"/>
              <w:left w:val="single" w:sz="4" w:space="0" w:color="auto"/>
              <w:bottom w:val="single" w:sz="4" w:space="0" w:color="auto"/>
              <w:right w:val="single" w:sz="4" w:space="0" w:color="auto"/>
            </w:tcBorders>
            <w:hideMark/>
          </w:tcPr>
          <w:p w14:paraId="7584ED75" w14:textId="03CE0CCA" w:rsidR="001D75E9" w:rsidRPr="00827DE5" w:rsidRDefault="001D75E9">
            <w:pPr>
              <w:rPr>
                <w:rFonts w:ascii="Calibri" w:eastAsia="Calibri" w:hAnsi="Calibri" w:cs="Times New Roman"/>
              </w:rPr>
            </w:pPr>
            <w:r w:rsidRPr="00827DE5">
              <w:t xml:space="preserve">Duration of maternal immunity (days)  </w:t>
            </w:r>
            <m:oMath>
              <m:r>
                <w:rPr>
                  <w:rFonts w:ascii="Cambria Math" w:eastAsia="Calibri" w:hAnsi="Cambria Math" w:cs="Times New Roman"/>
                </w:rPr>
                <m:t>δ</m:t>
              </m:r>
            </m:oMath>
          </w:p>
        </w:tc>
        <w:tc>
          <w:tcPr>
            <w:tcW w:w="1276" w:type="dxa"/>
            <w:tcBorders>
              <w:top w:val="single" w:sz="4" w:space="0" w:color="auto"/>
              <w:left w:val="single" w:sz="4" w:space="0" w:color="auto"/>
              <w:bottom w:val="single" w:sz="4" w:space="0" w:color="auto"/>
              <w:right w:val="single" w:sz="4" w:space="0" w:color="auto"/>
            </w:tcBorders>
            <w:hideMark/>
          </w:tcPr>
          <w:p w14:paraId="0796A708"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39928565" w14:textId="77777777" w:rsidR="001D75E9" w:rsidRPr="00827DE5" w:rsidRDefault="001D75E9">
            <w:r w:rsidRPr="00827DE5">
              <w:t>N(90, 5)</w:t>
            </w:r>
          </w:p>
        </w:tc>
        <w:tc>
          <w:tcPr>
            <w:tcW w:w="1275" w:type="dxa"/>
            <w:tcBorders>
              <w:top w:val="single" w:sz="4" w:space="0" w:color="auto"/>
              <w:left w:val="single" w:sz="4" w:space="0" w:color="auto"/>
              <w:bottom w:val="single" w:sz="4" w:space="0" w:color="auto"/>
              <w:right w:val="single" w:sz="4" w:space="0" w:color="auto"/>
            </w:tcBorders>
            <w:hideMark/>
          </w:tcPr>
          <w:p w14:paraId="451442F7" w14:textId="2A22A7E7" w:rsidR="001D75E9" w:rsidRPr="00827DE5" w:rsidRDefault="001D75E9">
            <w:r w:rsidRPr="00827DE5">
              <w:fldChar w:fldCharType="begin"/>
            </w:r>
            <w:r w:rsidR="00FA2321">
              <w:instrText xml:space="preserve"> ADDIN ZOTERO_ITEM CSL_CITATION {"citationID":"xJ9VF44a","properties":{"formattedCitation":"(4)","plainCitation":"(4)","noteIndex":0},"citationItems":[{"id":582,"uris":["http://zotero.org/users/11743005/items/UCALZU6N"],"itemData":{"id":582,"type":"article-journal","abstract":"Introduction: Most infants are born with immunity to measles through maternal antibodies transferred in pregnancy, which decay over time. However, in measles elimination settings, where measles does not circulate endemically and most immunity is from immunization rather than infection, maternal antibody levels are lower. This results in infant immunity that wanes earlier, and a wider susceptibility gap between maternal antibody decay and infant immunization than in non-eliminated settings. We aimed to systematically quantify the extent and duration of protection from measles in infants in settings that have sustained measles elimination.\nMethods: We conducted a systematic review of studies of measles maternal antibody waning in infants in measles elimination settings. We searched MEDLINE, Embase, CINAHL, Scopus, BIOSIS Previews, and Global Health databases for relevant studies. Studies were included if they were set in countries that had eliminated measles for  3 years, and if the study cohort included healthy, full-term, unvaccinated infants  12 months, born to healthy mothers, and reported a relevant measure of measles maternal antibody in infants. We assessed study quality using the MetaQAT tool.\nResults: We identiﬁed 4692 unique citations, eight of which met inclusion criteria. One study reported anti-measles antibody in cord blood, six reported antibody in infant sera, and one reported both. Two studies reported that 80 and 100% of infants were protected from measles at birth. One study reported no protection amongst 3–7 month old infants, and another reported limited protection in infants &gt;4 months. The remaining studies reported the proportion of infants with detected antibody, but not the proportion immune.\nConclusion: Although limited, these data suggest that in settings that have sustained measles elimination, some infants are susceptible to measles well before the age of routine measles immunization. Settingspeciﬁc seroprevalence and vaccine effectiveness studies are required to evaluate this in different jurisdictions.","container-title":"Vaccine","DOI":"10.1016/j.vaccine.2018.01.002","ISSN":"0264410X","issue":"10","journalAbbreviation":"Vaccine","language":"en","page":"1248-1255","source":"DOI.org (Crossref)","title":"Waning of measles maternal antibody in infants in measles elimination settings – A systematic literature review","volume":"36","author":[{"family":"Guerra","given":"Fiona M."},{"family":"Crowcroft","given":"Natasha S."},{"family":"Friedman","given":"Lindsay"},{"family":"Deeks","given":"Shelley L."},{"family":"Halperin","given":"Scott A."},{"family":"Severini","given":"Alberto"},{"family":"Hatchette","given":"Todd F."},{"family":"Bolotin","given":"Shelly"}],"issued":{"date-parts":[["2018",2]]}}}],"schema":"https://github.com/citation-style-language/schema/raw/master/csl-citation.json"} </w:instrText>
            </w:r>
            <w:r w:rsidRPr="00827DE5">
              <w:fldChar w:fldCharType="separate"/>
            </w:r>
            <w:r w:rsidR="00FA2321" w:rsidRPr="00FA2321">
              <w:rPr>
                <w:rFonts w:ascii="Calibri" w:hAnsi="Calibri" w:cs="Calibri"/>
              </w:rPr>
              <w:t>(4)</w:t>
            </w:r>
            <w:r w:rsidRPr="00827DE5">
              <w:fldChar w:fldCharType="end"/>
            </w:r>
          </w:p>
        </w:tc>
      </w:tr>
      <w:tr w:rsidR="001D75E9" w:rsidRPr="00827DE5" w14:paraId="47075BC0" w14:textId="77777777">
        <w:tc>
          <w:tcPr>
            <w:tcW w:w="5387" w:type="dxa"/>
            <w:tcBorders>
              <w:top w:val="single" w:sz="4" w:space="0" w:color="auto"/>
              <w:left w:val="single" w:sz="4" w:space="0" w:color="auto"/>
              <w:bottom w:val="single" w:sz="4" w:space="0" w:color="auto"/>
              <w:right w:val="single" w:sz="4" w:space="0" w:color="auto"/>
            </w:tcBorders>
            <w:hideMark/>
          </w:tcPr>
          <w:p w14:paraId="53B28212" w14:textId="35D5CC57" w:rsidR="001D75E9" w:rsidRPr="00827DE5" w:rsidRDefault="0019621F">
            <w:r w:rsidRPr="00827DE5">
              <w:t>Risk</w:t>
            </w:r>
            <w:r w:rsidR="001D75E9" w:rsidRPr="00827DE5">
              <w:t xml:space="preserve"> of onwards transmission </w:t>
            </w:r>
            <w:r w:rsidR="00F927A7" w:rsidRPr="00827DE5">
              <w:t xml:space="preserve">from </w:t>
            </w:r>
            <w:r w:rsidR="001D75E9" w:rsidRPr="00827DE5">
              <w:t xml:space="preserve">vaccinated cases, compared to unvaccinated cases </w:t>
            </w:r>
            <m:oMath>
              <m:sSub>
                <m:sSubPr>
                  <m:ctrlPr>
                    <w:rPr>
                      <w:rFonts w:ascii="Cambria Math" w:hAnsi="Cambria Math"/>
                      <w:i/>
                    </w:rPr>
                  </m:ctrlPr>
                </m:sSubPr>
                <m:e>
                  <m:r>
                    <w:rPr>
                      <w:rFonts w:ascii="Cambria Math" w:hAnsi="Cambria Math"/>
                    </w:rPr>
                    <m:t>v</m:t>
                  </m:r>
                </m:e>
                <m:sub>
                  <m:r>
                    <w:rPr>
                      <w:rFonts w:ascii="Cambria Math" w:hAnsi="Cambria Math"/>
                    </w:rPr>
                    <m:t>onwards</m:t>
                  </m:r>
                </m:sub>
              </m:sSub>
            </m:oMath>
          </w:p>
        </w:tc>
        <w:tc>
          <w:tcPr>
            <w:tcW w:w="1276" w:type="dxa"/>
            <w:tcBorders>
              <w:top w:val="single" w:sz="4" w:space="0" w:color="auto"/>
              <w:left w:val="single" w:sz="4" w:space="0" w:color="auto"/>
              <w:bottom w:val="single" w:sz="4" w:space="0" w:color="auto"/>
              <w:right w:val="single" w:sz="4" w:space="0" w:color="auto"/>
            </w:tcBorders>
            <w:hideMark/>
          </w:tcPr>
          <w:p w14:paraId="0234D2AC"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3F82B3B3" w14:textId="77777777" w:rsidR="001D75E9" w:rsidRPr="00827DE5" w:rsidRDefault="001D75E9">
            <w:r w:rsidRPr="00827DE5">
              <w:t>B(10,10)</w:t>
            </w:r>
          </w:p>
        </w:tc>
        <w:tc>
          <w:tcPr>
            <w:tcW w:w="1275" w:type="dxa"/>
            <w:tcBorders>
              <w:top w:val="single" w:sz="4" w:space="0" w:color="auto"/>
              <w:left w:val="single" w:sz="4" w:space="0" w:color="auto"/>
              <w:bottom w:val="single" w:sz="4" w:space="0" w:color="auto"/>
              <w:right w:val="single" w:sz="4" w:space="0" w:color="auto"/>
            </w:tcBorders>
          </w:tcPr>
          <w:p w14:paraId="1434C21C" w14:textId="77A4226E" w:rsidR="001D75E9" w:rsidRPr="00827DE5" w:rsidRDefault="001D75E9">
            <w:r w:rsidRPr="00827DE5">
              <w:fldChar w:fldCharType="begin"/>
            </w:r>
            <w:r w:rsidR="00FA2321">
              <w:instrText xml:space="preserve"> ADDIN ZOTERO_ITEM CSL_CITATION {"citationID":"lMwA8msu","properties":{"formattedCitation":"(5)","plainCitation":"(5)","noteIndex":0},"citationItems":[{"id":781,"uris":["http://zotero.org/users/11743005/items/QR9ZPHI8"],"itemData":{"id":781,"type":"article-journal","container-title":"The Journal of Infectious Diseases","DOI":"10.1093/infdis/jir098","ISSN":"0022-1899, 1537-6613","issue":"suppl_1","language":"en","page":"S559-S563","source":"DOI.org (Crossref)","title":"Two Case Studies of Modified Measles in Vaccinated Physicians Exposed to Primary Measles Cases: High Risk of Infection But Low Risk of Transmission","title-short":"Two Case Studies of Modified Measles in Vaccinated Physicians Exposed to Primary Measles Cases","volume":"204","author":[{"family":"Rota","given":"Jennifer S."},{"family":"Hickman","given":"Carole J."},{"family":"Sowers","given":"Sun Bae"},{"family":"Rota","given":"Paul A."},{"family":"Mercader","given":"Sara"},{"family":"Bellini","given":"William J."}],"issued":{"date-parts":[["2011",7]]}}}],"schema":"https://github.com/citation-style-language/schema/raw/master/csl-citation.json"} </w:instrText>
            </w:r>
            <w:r w:rsidRPr="00827DE5">
              <w:fldChar w:fldCharType="separate"/>
            </w:r>
            <w:r w:rsidR="00FA2321" w:rsidRPr="00FA2321">
              <w:rPr>
                <w:rFonts w:ascii="Calibri" w:hAnsi="Calibri" w:cs="Calibri"/>
              </w:rPr>
              <w:t>(5)</w:t>
            </w:r>
            <w:r w:rsidRPr="00827DE5">
              <w:fldChar w:fldCharType="end"/>
            </w:r>
          </w:p>
        </w:tc>
      </w:tr>
      <w:tr w:rsidR="001D75E9" w:rsidRPr="00827DE5" w14:paraId="7FA3B9CA" w14:textId="77777777">
        <w:tc>
          <w:tcPr>
            <w:tcW w:w="5387" w:type="dxa"/>
            <w:tcBorders>
              <w:top w:val="single" w:sz="4" w:space="0" w:color="auto"/>
              <w:left w:val="single" w:sz="4" w:space="0" w:color="auto"/>
              <w:bottom w:val="single" w:sz="4" w:space="0" w:color="auto"/>
              <w:right w:val="single" w:sz="4" w:space="0" w:color="auto"/>
            </w:tcBorders>
            <w:hideMark/>
          </w:tcPr>
          <w:p w14:paraId="0057BBB5" w14:textId="77777777" w:rsidR="001D75E9" w:rsidRPr="00827DE5" w:rsidRDefault="001D75E9">
            <w:pPr>
              <w:rPr>
                <w:rFonts w:ascii="Calibri" w:eastAsia="Calibri" w:hAnsi="Calibri" w:cs="Times New Roman"/>
              </w:rPr>
            </w:pPr>
            <w:r w:rsidRPr="00827DE5">
              <w:t xml:space="preserve">Seasonality of infection rate: </w:t>
            </w:r>
            <m:oMath>
              <m:r>
                <w:rPr>
                  <w:rFonts w:ascii="Cambria Math" w:hAnsi="Cambria Math"/>
                </w:rPr>
                <m:t>X</m:t>
              </m:r>
            </m:oMath>
          </w:p>
        </w:tc>
        <w:tc>
          <w:tcPr>
            <w:tcW w:w="1276" w:type="dxa"/>
            <w:tcBorders>
              <w:top w:val="single" w:sz="4" w:space="0" w:color="auto"/>
              <w:left w:val="single" w:sz="4" w:space="0" w:color="auto"/>
              <w:bottom w:val="single" w:sz="4" w:space="0" w:color="auto"/>
              <w:right w:val="single" w:sz="4" w:space="0" w:color="auto"/>
            </w:tcBorders>
            <w:hideMark/>
          </w:tcPr>
          <w:p w14:paraId="40C8B1E5"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6E5D7F4C" w14:textId="77777777" w:rsidR="001D75E9" w:rsidRPr="00827DE5" w:rsidRDefault="001D75E9">
            <w:r w:rsidRPr="00827DE5">
              <w:t>U(0, 7)</w:t>
            </w:r>
          </w:p>
        </w:tc>
        <w:tc>
          <w:tcPr>
            <w:tcW w:w="1275" w:type="dxa"/>
            <w:tcBorders>
              <w:top w:val="single" w:sz="4" w:space="0" w:color="auto"/>
              <w:left w:val="single" w:sz="4" w:space="0" w:color="auto"/>
              <w:bottom w:val="single" w:sz="4" w:space="0" w:color="auto"/>
              <w:right w:val="single" w:sz="4" w:space="0" w:color="auto"/>
            </w:tcBorders>
          </w:tcPr>
          <w:p w14:paraId="13E97E6C" w14:textId="77777777" w:rsidR="001D75E9" w:rsidRPr="00827DE5" w:rsidRDefault="001D75E9"/>
        </w:tc>
      </w:tr>
      <w:tr w:rsidR="001D75E9" w:rsidRPr="00827DE5" w14:paraId="1B250493" w14:textId="77777777">
        <w:tc>
          <w:tcPr>
            <w:tcW w:w="5387" w:type="dxa"/>
            <w:tcBorders>
              <w:top w:val="single" w:sz="4" w:space="0" w:color="auto"/>
              <w:left w:val="single" w:sz="4" w:space="0" w:color="auto"/>
              <w:bottom w:val="single" w:sz="4" w:space="0" w:color="auto"/>
              <w:right w:val="single" w:sz="4" w:space="0" w:color="auto"/>
            </w:tcBorders>
            <w:hideMark/>
          </w:tcPr>
          <w:p w14:paraId="471B824D" w14:textId="77777777" w:rsidR="001D75E9" w:rsidRPr="00827DE5" w:rsidRDefault="001D75E9">
            <w:pPr>
              <w:rPr>
                <w:rFonts w:ascii="Calibri" w:eastAsia="Calibri" w:hAnsi="Calibri" w:cs="Times New Roman"/>
              </w:rPr>
            </w:pPr>
            <w:r w:rsidRPr="00827DE5">
              <w:t xml:space="preserve">Seasonality of infection rate: </w:t>
            </w:r>
            <m:oMath>
              <m:r>
                <w:rPr>
                  <w:rFonts w:ascii="Cambria Math" w:hAnsi="Cambria Math"/>
                </w:rPr>
                <m:t>Y</m:t>
              </m:r>
            </m:oMath>
          </w:p>
        </w:tc>
        <w:tc>
          <w:tcPr>
            <w:tcW w:w="1276" w:type="dxa"/>
            <w:tcBorders>
              <w:top w:val="single" w:sz="4" w:space="0" w:color="auto"/>
              <w:left w:val="single" w:sz="4" w:space="0" w:color="auto"/>
              <w:bottom w:val="single" w:sz="4" w:space="0" w:color="auto"/>
              <w:right w:val="single" w:sz="4" w:space="0" w:color="auto"/>
            </w:tcBorders>
            <w:hideMark/>
          </w:tcPr>
          <w:p w14:paraId="0562B0FF"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362CE521" w14:textId="77777777" w:rsidR="001D75E9" w:rsidRPr="00827DE5" w:rsidRDefault="001D75E9">
            <w:r w:rsidRPr="00827DE5">
              <w:t>U(0, 7)</w:t>
            </w:r>
          </w:p>
        </w:tc>
        <w:tc>
          <w:tcPr>
            <w:tcW w:w="1275" w:type="dxa"/>
            <w:tcBorders>
              <w:top w:val="single" w:sz="4" w:space="0" w:color="auto"/>
              <w:left w:val="single" w:sz="4" w:space="0" w:color="auto"/>
              <w:bottom w:val="single" w:sz="4" w:space="0" w:color="auto"/>
              <w:right w:val="single" w:sz="4" w:space="0" w:color="auto"/>
            </w:tcBorders>
          </w:tcPr>
          <w:p w14:paraId="735EE931" w14:textId="77777777" w:rsidR="001D75E9" w:rsidRPr="00827DE5" w:rsidRDefault="001D75E9"/>
        </w:tc>
      </w:tr>
      <w:tr w:rsidR="001D75E9" w:rsidRPr="00827DE5" w14:paraId="4CFA2443" w14:textId="77777777">
        <w:tc>
          <w:tcPr>
            <w:tcW w:w="5387" w:type="dxa"/>
            <w:tcBorders>
              <w:top w:val="single" w:sz="4" w:space="0" w:color="auto"/>
              <w:left w:val="single" w:sz="4" w:space="0" w:color="auto"/>
              <w:bottom w:val="single" w:sz="4" w:space="0" w:color="auto"/>
              <w:right w:val="single" w:sz="4" w:space="0" w:color="auto"/>
            </w:tcBorders>
            <w:hideMark/>
          </w:tcPr>
          <w:p w14:paraId="762D33F8" w14:textId="77777777" w:rsidR="001D75E9" w:rsidRPr="00827DE5" w:rsidRDefault="001D75E9">
            <w:r w:rsidRPr="00827DE5">
              <w:t xml:space="preserve">Mean duration of latent period (days) </w:t>
            </w:r>
            <m:oMath>
              <m:r>
                <w:rPr>
                  <w:rFonts w:ascii="Cambria Math" w:hAnsi="Cambria Math"/>
                </w:rPr>
                <m:t>γ</m:t>
              </m:r>
            </m:oMath>
          </w:p>
        </w:tc>
        <w:tc>
          <w:tcPr>
            <w:tcW w:w="1276" w:type="dxa"/>
            <w:tcBorders>
              <w:top w:val="single" w:sz="4" w:space="0" w:color="auto"/>
              <w:left w:val="single" w:sz="4" w:space="0" w:color="auto"/>
              <w:bottom w:val="single" w:sz="4" w:space="0" w:color="auto"/>
              <w:right w:val="single" w:sz="4" w:space="0" w:color="auto"/>
            </w:tcBorders>
            <w:hideMark/>
          </w:tcPr>
          <w:p w14:paraId="3F2FB69E" w14:textId="77777777" w:rsidR="001D75E9" w:rsidRPr="00827DE5" w:rsidRDefault="001D75E9">
            <w:r w:rsidRPr="00827DE5">
              <w:t>Fixed</w:t>
            </w:r>
          </w:p>
        </w:tc>
        <w:tc>
          <w:tcPr>
            <w:tcW w:w="1418" w:type="dxa"/>
            <w:tcBorders>
              <w:top w:val="single" w:sz="4" w:space="0" w:color="auto"/>
              <w:left w:val="single" w:sz="4" w:space="0" w:color="auto"/>
              <w:bottom w:val="single" w:sz="4" w:space="0" w:color="auto"/>
              <w:right w:val="single" w:sz="4" w:space="0" w:color="auto"/>
            </w:tcBorders>
            <w:hideMark/>
          </w:tcPr>
          <w:p w14:paraId="247D9940" w14:textId="77777777" w:rsidR="001D75E9" w:rsidRPr="00827DE5" w:rsidRDefault="001D75E9">
            <w:r w:rsidRPr="00827DE5">
              <w:t>11</w:t>
            </w:r>
          </w:p>
        </w:tc>
        <w:tc>
          <w:tcPr>
            <w:tcW w:w="1275" w:type="dxa"/>
            <w:tcBorders>
              <w:top w:val="single" w:sz="4" w:space="0" w:color="auto"/>
              <w:left w:val="single" w:sz="4" w:space="0" w:color="auto"/>
              <w:bottom w:val="single" w:sz="4" w:space="0" w:color="auto"/>
              <w:right w:val="single" w:sz="4" w:space="0" w:color="auto"/>
            </w:tcBorders>
            <w:hideMark/>
          </w:tcPr>
          <w:p w14:paraId="016CFB87" w14:textId="5A9C17F5" w:rsidR="001D75E9" w:rsidRPr="00827DE5" w:rsidRDefault="001D75E9">
            <w:r w:rsidRPr="00827DE5">
              <w:fldChar w:fldCharType="begin"/>
            </w:r>
            <w:r w:rsidR="00FA2321">
              <w:instrText xml:space="preserve"> ADDIN ZOTERO_ITEM CSL_CITATION {"citationID":"rZp8NSYt","properties":{"formattedCitation":"(6,7)","plainCitation":"(6,7)","noteIndex":0},"citationItems":[{"id":618,"uris":["http://zotero.org/users/11743005/items/MYHHA5V7"],"itemData":{"id":618,"type":"article-journal","abstract":"The generation time of an infectious disease is the time between infection of a primary case and infection of a secondary case by the primary case. Its distribution plays a key role in understanding the dynamics of infectious diseases in populations, e.g. in estimating the basic reproduction number. Moreover, the generation time and incubation period distributions together characterize the effectiveness of control by isolation and quarantine. In modelling studies, a relation between the two is often not made speciﬁc, but a correlation is biologically plausible. However, it is difﬁcult to establish such correlation, because of the unobservable nature of infection events. We have quantiﬁed a joint distribution of generation time and incubation period by a novel estimation method for household data with two susceptible individuals, consisting of time intervals between disease onsets of two measles cases. We used two such datasets, and a separate incubation period dataset. Results indicate that the mean incubation period and the generation time of measles are positively correlated, and that both lie in the range of 11–12 days, suggesting that infectiousness of measles cases increases signiﬁcantly around the time of symptom onset. The correlation between times from infection to secondary transmission and to symptom onset could critically affect the predicted effectiveness of isolation and quarantine.","container-title":"Journal of Theoretical Biology","DOI":"10.1016/j.jtbi.2011.06.015","ISSN":"00225193","issue":"1","journalAbbreviation":"Journal of Theoretical Biology","language":"en","page":"52-60","source":"DOI.org (Crossref)","title":"The correlation between infectivity and incubation period of measles, estimated from households with two cases","volume":"284","author":[{"family":"Klinkenberg","given":"Don"},{"family":"Nishiura","given":"Hiroshi"}],"issued":{"date-parts":[["2011",9]]}}},{"id":748,"uris":["http://zotero.org/users/11743005/items/LUL6DGGT"],"itemData":{"id":748,"type":"report","title":"Measles. The Green Book","URL":"https://www.gov.uk/government/publications/measles-the-green-book-chapter-21","author":[{"family":"UK Health Security Agency","given":""}],"accessed":{"date-parts":[["2024",2,20]]},"issued":{"date-parts":[["2019"]]}}}],"schema":"https://github.com/citation-style-language/schema/raw/master/csl-citation.json"} </w:instrText>
            </w:r>
            <w:r w:rsidRPr="00827DE5">
              <w:fldChar w:fldCharType="separate"/>
            </w:r>
            <w:r w:rsidR="00FA2321" w:rsidRPr="00FA2321">
              <w:rPr>
                <w:rFonts w:ascii="Calibri" w:hAnsi="Calibri" w:cs="Calibri"/>
              </w:rPr>
              <w:t>(6,7)</w:t>
            </w:r>
            <w:r w:rsidRPr="00827DE5">
              <w:fldChar w:fldCharType="end"/>
            </w:r>
          </w:p>
        </w:tc>
      </w:tr>
      <w:tr w:rsidR="001D75E9" w:rsidRPr="00827DE5" w14:paraId="108C69E4" w14:textId="77777777">
        <w:tc>
          <w:tcPr>
            <w:tcW w:w="5387" w:type="dxa"/>
            <w:tcBorders>
              <w:top w:val="single" w:sz="4" w:space="0" w:color="auto"/>
              <w:left w:val="single" w:sz="4" w:space="0" w:color="auto"/>
              <w:bottom w:val="single" w:sz="4" w:space="0" w:color="auto"/>
              <w:right w:val="single" w:sz="4" w:space="0" w:color="auto"/>
            </w:tcBorders>
            <w:hideMark/>
          </w:tcPr>
          <w:p w14:paraId="334DFD5A" w14:textId="2450C50C" w:rsidR="001D75E9" w:rsidRPr="00827DE5" w:rsidRDefault="001D75E9">
            <w:r w:rsidRPr="00827DE5">
              <w:t xml:space="preserve">Mean duration of infectious period (days) </w:t>
            </w:r>
            <m:oMath>
              <m:r>
                <w:rPr>
                  <w:rFonts w:ascii="Cambria Math" w:hAnsi="Cambria Math"/>
                </w:rPr>
                <m:t>α</m:t>
              </m:r>
            </m:oMath>
          </w:p>
        </w:tc>
        <w:tc>
          <w:tcPr>
            <w:tcW w:w="1276" w:type="dxa"/>
            <w:tcBorders>
              <w:top w:val="single" w:sz="4" w:space="0" w:color="auto"/>
              <w:left w:val="single" w:sz="4" w:space="0" w:color="auto"/>
              <w:bottom w:val="single" w:sz="4" w:space="0" w:color="auto"/>
              <w:right w:val="single" w:sz="4" w:space="0" w:color="auto"/>
            </w:tcBorders>
            <w:hideMark/>
          </w:tcPr>
          <w:p w14:paraId="51FD30EC" w14:textId="77777777" w:rsidR="001D75E9" w:rsidRPr="00827DE5" w:rsidRDefault="001D75E9">
            <w:r w:rsidRPr="00827DE5">
              <w:t>Fixed</w:t>
            </w:r>
          </w:p>
        </w:tc>
        <w:tc>
          <w:tcPr>
            <w:tcW w:w="1418" w:type="dxa"/>
            <w:tcBorders>
              <w:top w:val="single" w:sz="4" w:space="0" w:color="auto"/>
              <w:left w:val="single" w:sz="4" w:space="0" w:color="auto"/>
              <w:bottom w:val="single" w:sz="4" w:space="0" w:color="auto"/>
              <w:right w:val="single" w:sz="4" w:space="0" w:color="auto"/>
            </w:tcBorders>
            <w:hideMark/>
          </w:tcPr>
          <w:p w14:paraId="794AB5A8" w14:textId="77777777" w:rsidR="001D75E9" w:rsidRPr="00827DE5" w:rsidRDefault="001D75E9">
            <w:r w:rsidRPr="00827DE5">
              <w:t>8</w:t>
            </w:r>
          </w:p>
        </w:tc>
        <w:tc>
          <w:tcPr>
            <w:tcW w:w="1275" w:type="dxa"/>
            <w:tcBorders>
              <w:top w:val="single" w:sz="4" w:space="0" w:color="auto"/>
              <w:left w:val="single" w:sz="4" w:space="0" w:color="auto"/>
              <w:bottom w:val="single" w:sz="4" w:space="0" w:color="auto"/>
              <w:right w:val="single" w:sz="4" w:space="0" w:color="auto"/>
            </w:tcBorders>
            <w:hideMark/>
          </w:tcPr>
          <w:p w14:paraId="4227EBC3" w14:textId="1928BDA3" w:rsidR="001D75E9" w:rsidRPr="00827DE5" w:rsidRDefault="001D75E9">
            <w:r w:rsidRPr="00827DE5">
              <w:fldChar w:fldCharType="begin"/>
            </w:r>
            <w:r w:rsidR="00FA2321">
              <w:instrText xml:space="preserve"> ADDIN ZOTERO_ITEM CSL_CITATION {"citationID":"1K1VlitZ","properties":{"formattedCitation":"(7)","plainCitation":"(7)","noteIndex":0},"citationItems":[{"id":748,"uris":["http://zotero.org/users/11743005/items/LUL6DGGT"],"itemData":{"id":748,"type":"report","title":"Measles. The Green Book","URL":"https://www.gov.uk/government/publications/measles-the-green-book-chapter-21","author":[{"family":"UK Health Security Agency","given":""}],"accessed":{"date-parts":[["2024",2,20]]},"issued":{"date-parts":[["2019"]]}}}],"schema":"https://github.com/citation-style-language/schema/raw/master/csl-citation.json"} </w:instrText>
            </w:r>
            <w:r w:rsidRPr="00827DE5">
              <w:fldChar w:fldCharType="separate"/>
            </w:r>
            <w:r w:rsidR="00FA2321" w:rsidRPr="00FA2321">
              <w:rPr>
                <w:rFonts w:ascii="Calibri" w:hAnsi="Calibri" w:cs="Calibri"/>
              </w:rPr>
              <w:t>(7)</w:t>
            </w:r>
            <w:r w:rsidRPr="00827DE5">
              <w:fldChar w:fldCharType="end"/>
            </w:r>
          </w:p>
        </w:tc>
      </w:tr>
      <w:tr w:rsidR="001D75E9" w:rsidRPr="00827DE5" w14:paraId="49DF1695" w14:textId="77777777">
        <w:tc>
          <w:tcPr>
            <w:tcW w:w="5387" w:type="dxa"/>
            <w:tcBorders>
              <w:top w:val="single" w:sz="4" w:space="0" w:color="auto"/>
              <w:left w:val="single" w:sz="4" w:space="0" w:color="auto"/>
              <w:bottom w:val="single" w:sz="4" w:space="0" w:color="auto"/>
              <w:right w:val="single" w:sz="4" w:space="0" w:color="auto"/>
            </w:tcBorders>
          </w:tcPr>
          <w:p w14:paraId="75C6FF54" w14:textId="77777777" w:rsidR="001D75E9" w:rsidRPr="00827DE5" w:rsidRDefault="001D75E9">
            <w:r w:rsidRPr="00827DE5">
              <w:t xml:space="preserve">Waning of immunity per year </w:t>
            </w:r>
            <m:oMath>
              <m:sSub>
                <m:sSubPr>
                  <m:ctrlPr>
                    <w:rPr>
                      <w:rFonts w:ascii="Cambria Math" w:hAnsi="Cambria Math"/>
                      <w:i/>
                    </w:rPr>
                  </m:ctrlPr>
                </m:sSubPr>
                <m:e>
                  <m:r>
                    <w:rPr>
                      <w:rFonts w:ascii="Cambria Math" w:hAnsi="Cambria Math"/>
                    </w:rPr>
                    <m:t>v</m:t>
                  </m:r>
                </m:e>
                <m:sub>
                  <m:r>
                    <w:rPr>
                      <w:rFonts w:ascii="Cambria Math" w:hAnsi="Cambria Math"/>
                    </w:rPr>
                    <m:t>leak</m:t>
                  </m:r>
                </m:sub>
              </m:sSub>
            </m:oMath>
          </w:p>
        </w:tc>
        <w:tc>
          <w:tcPr>
            <w:tcW w:w="1276" w:type="dxa"/>
            <w:tcBorders>
              <w:top w:val="single" w:sz="4" w:space="0" w:color="auto"/>
              <w:left w:val="single" w:sz="4" w:space="0" w:color="auto"/>
              <w:bottom w:val="single" w:sz="4" w:space="0" w:color="auto"/>
              <w:right w:val="single" w:sz="4" w:space="0" w:color="auto"/>
            </w:tcBorders>
          </w:tcPr>
          <w:p w14:paraId="6E3E3FDC" w14:textId="77777777" w:rsidR="001D75E9" w:rsidRPr="00827DE5" w:rsidRDefault="001D75E9">
            <w:r w:rsidRPr="00827DE5">
              <w:t>Estimated or Fixed</w:t>
            </w:r>
          </w:p>
        </w:tc>
        <w:tc>
          <w:tcPr>
            <w:tcW w:w="1418" w:type="dxa"/>
            <w:tcBorders>
              <w:top w:val="single" w:sz="4" w:space="0" w:color="auto"/>
              <w:left w:val="single" w:sz="4" w:space="0" w:color="auto"/>
              <w:bottom w:val="single" w:sz="4" w:space="0" w:color="auto"/>
              <w:right w:val="single" w:sz="4" w:space="0" w:color="auto"/>
            </w:tcBorders>
          </w:tcPr>
          <w:p w14:paraId="6524CEFC" w14:textId="77777777" w:rsidR="001D75E9" w:rsidRPr="00827DE5" w:rsidRDefault="001D75E9">
            <w:r w:rsidRPr="00827DE5">
              <w:t>U(0,1) or 0</w:t>
            </w:r>
          </w:p>
        </w:tc>
        <w:tc>
          <w:tcPr>
            <w:tcW w:w="1275" w:type="dxa"/>
            <w:tcBorders>
              <w:top w:val="single" w:sz="4" w:space="0" w:color="auto"/>
              <w:left w:val="single" w:sz="4" w:space="0" w:color="auto"/>
              <w:bottom w:val="single" w:sz="4" w:space="0" w:color="auto"/>
              <w:right w:val="single" w:sz="4" w:space="0" w:color="auto"/>
            </w:tcBorders>
          </w:tcPr>
          <w:p w14:paraId="50258152" w14:textId="77777777" w:rsidR="001D75E9" w:rsidRPr="00827DE5" w:rsidRDefault="001D75E9"/>
        </w:tc>
      </w:tr>
      <w:tr w:rsidR="001D75E9" w:rsidRPr="00827DE5" w14:paraId="30BE59A5" w14:textId="77777777">
        <w:tc>
          <w:tcPr>
            <w:tcW w:w="5387" w:type="dxa"/>
            <w:tcBorders>
              <w:top w:val="single" w:sz="4" w:space="0" w:color="auto"/>
              <w:left w:val="single" w:sz="4" w:space="0" w:color="auto"/>
              <w:bottom w:val="single" w:sz="4" w:space="0" w:color="auto"/>
              <w:right w:val="single" w:sz="4" w:space="0" w:color="auto"/>
            </w:tcBorders>
            <w:hideMark/>
          </w:tcPr>
          <w:p w14:paraId="0E722C45" w14:textId="77777777" w:rsidR="001D75E9" w:rsidRPr="00827DE5" w:rsidRDefault="001D75E9">
            <w:r w:rsidRPr="00827DE5">
              <w:t xml:space="preserve">Proportion of primary vaccine failure </w:t>
            </w:r>
            <m:oMath>
              <m:sSub>
                <m:sSubPr>
                  <m:ctrlPr>
                    <w:rPr>
                      <w:rFonts w:ascii="Cambria Math" w:hAnsi="Cambria Math"/>
                      <w:i/>
                    </w:rPr>
                  </m:ctrlPr>
                </m:sSubPr>
                <m:e>
                  <m:r>
                    <w:rPr>
                      <w:rFonts w:ascii="Cambria Math" w:hAnsi="Cambria Math"/>
                    </w:rPr>
                    <m:t>v</m:t>
                  </m:r>
                </m:e>
                <m:sub>
                  <m:r>
                    <w:rPr>
                      <w:rFonts w:ascii="Cambria Math" w:hAnsi="Cambria Math"/>
                    </w:rPr>
                    <m:t>fail</m:t>
                  </m:r>
                </m:sub>
              </m:sSub>
            </m:oMath>
          </w:p>
        </w:tc>
        <w:tc>
          <w:tcPr>
            <w:tcW w:w="1276" w:type="dxa"/>
            <w:tcBorders>
              <w:top w:val="single" w:sz="4" w:space="0" w:color="auto"/>
              <w:left w:val="single" w:sz="4" w:space="0" w:color="auto"/>
              <w:bottom w:val="single" w:sz="4" w:space="0" w:color="auto"/>
              <w:right w:val="single" w:sz="4" w:space="0" w:color="auto"/>
            </w:tcBorders>
            <w:hideMark/>
          </w:tcPr>
          <w:p w14:paraId="4D191A3F"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5710D227"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3B5B1841" w14:textId="77777777" w:rsidR="001D75E9" w:rsidRPr="00827DE5" w:rsidRDefault="001D75E9"/>
        </w:tc>
      </w:tr>
      <w:tr w:rsidR="001D75E9" w:rsidRPr="00827DE5" w14:paraId="2B103EAC" w14:textId="77777777">
        <w:tc>
          <w:tcPr>
            <w:tcW w:w="5387" w:type="dxa"/>
            <w:tcBorders>
              <w:top w:val="single" w:sz="4" w:space="0" w:color="auto"/>
              <w:left w:val="single" w:sz="4" w:space="0" w:color="auto"/>
              <w:bottom w:val="single" w:sz="4" w:space="0" w:color="auto"/>
              <w:right w:val="single" w:sz="4" w:space="0" w:color="auto"/>
            </w:tcBorders>
          </w:tcPr>
          <w:p w14:paraId="1181D53A" w14:textId="77777777" w:rsidR="001D75E9" w:rsidRPr="00827DE5" w:rsidRDefault="001D75E9">
            <w:r w:rsidRPr="00827DE5">
              <w:t xml:space="preserve">Risk of secondary vaccine failure </w:t>
            </w:r>
            <m:oMath>
              <m:sSub>
                <m:sSubPr>
                  <m:ctrlPr>
                    <w:rPr>
                      <w:rFonts w:ascii="Cambria Math" w:hAnsi="Cambria Math"/>
                      <w:i/>
                    </w:rPr>
                  </m:ctrlPr>
                </m:sSubPr>
                <m:e>
                  <m:r>
                    <w:rPr>
                      <w:rFonts w:ascii="Cambria Math" w:hAnsi="Cambria Math"/>
                    </w:rPr>
                    <m:t>v</m:t>
                  </m:r>
                </m:e>
                <m:sub>
                  <m:r>
                    <w:rPr>
                      <w:rFonts w:ascii="Cambria Math" w:hAnsi="Cambria Math"/>
                    </w:rPr>
                    <m:t>sec</m:t>
                  </m:r>
                </m:sub>
              </m:sSub>
            </m:oMath>
          </w:p>
        </w:tc>
        <w:tc>
          <w:tcPr>
            <w:tcW w:w="1276" w:type="dxa"/>
            <w:tcBorders>
              <w:top w:val="single" w:sz="4" w:space="0" w:color="auto"/>
              <w:left w:val="single" w:sz="4" w:space="0" w:color="auto"/>
              <w:bottom w:val="single" w:sz="4" w:space="0" w:color="auto"/>
              <w:right w:val="single" w:sz="4" w:space="0" w:color="auto"/>
            </w:tcBorders>
          </w:tcPr>
          <w:p w14:paraId="3CDDD415" w14:textId="77777777" w:rsidR="001D75E9" w:rsidRPr="00827DE5" w:rsidRDefault="001D75E9">
            <w:r w:rsidRPr="00827DE5">
              <w:t>Fixed*</w:t>
            </w:r>
          </w:p>
        </w:tc>
        <w:tc>
          <w:tcPr>
            <w:tcW w:w="1418" w:type="dxa"/>
            <w:tcBorders>
              <w:top w:val="single" w:sz="4" w:space="0" w:color="auto"/>
              <w:left w:val="single" w:sz="4" w:space="0" w:color="auto"/>
              <w:bottom w:val="single" w:sz="4" w:space="0" w:color="auto"/>
              <w:right w:val="single" w:sz="4" w:space="0" w:color="auto"/>
            </w:tcBorders>
          </w:tcPr>
          <w:p w14:paraId="251E0472" w14:textId="77777777" w:rsidR="001D75E9" w:rsidRPr="00827DE5" w:rsidRDefault="001D75E9">
            <w:r w:rsidRPr="00827DE5">
              <w:t>0</w:t>
            </w:r>
          </w:p>
        </w:tc>
        <w:tc>
          <w:tcPr>
            <w:tcW w:w="1275" w:type="dxa"/>
            <w:tcBorders>
              <w:top w:val="single" w:sz="4" w:space="0" w:color="auto"/>
              <w:left w:val="single" w:sz="4" w:space="0" w:color="auto"/>
              <w:bottom w:val="single" w:sz="4" w:space="0" w:color="auto"/>
              <w:right w:val="single" w:sz="4" w:space="0" w:color="auto"/>
            </w:tcBorders>
          </w:tcPr>
          <w:p w14:paraId="0B9D4296" w14:textId="77777777" w:rsidR="001D75E9" w:rsidRPr="00827DE5" w:rsidRDefault="001D75E9"/>
        </w:tc>
      </w:tr>
      <w:tr w:rsidR="001D75E9" w:rsidRPr="00827DE5" w14:paraId="6C44463F" w14:textId="77777777">
        <w:tc>
          <w:tcPr>
            <w:tcW w:w="5387" w:type="dxa"/>
            <w:tcBorders>
              <w:top w:val="single" w:sz="4" w:space="0" w:color="auto"/>
              <w:left w:val="single" w:sz="4" w:space="0" w:color="auto"/>
              <w:bottom w:val="single" w:sz="4" w:space="0" w:color="auto"/>
              <w:right w:val="single" w:sz="4" w:space="0" w:color="auto"/>
            </w:tcBorders>
            <w:hideMark/>
          </w:tcPr>
          <w:p w14:paraId="29411F95" w14:textId="657643A6" w:rsidR="001D75E9" w:rsidRPr="00827DE5" w:rsidRDefault="001D75E9">
            <w:r w:rsidRPr="00827DE5">
              <w:t xml:space="preserve">Proportion </w:t>
            </w:r>
            <w:r w:rsidR="00512CF7" w:rsidRPr="00827DE5">
              <w:t xml:space="preserve">of 20-30 </w:t>
            </w:r>
            <w:proofErr w:type="spellStart"/>
            <w:r w:rsidR="00512CF7" w:rsidRPr="00827DE5">
              <w:t>yo</w:t>
            </w:r>
            <w:proofErr w:type="spellEnd"/>
            <w:r w:rsidR="00512CF7" w:rsidRPr="00827DE5">
              <w:t xml:space="preserve"> </w:t>
            </w:r>
            <w:r w:rsidRPr="00827DE5">
              <w:t xml:space="preserve">individuals vaccinated during the 1996 catch-up campaigns  </w:t>
            </w:r>
            <m:oMath>
              <m:r>
                <w:rPr>
                  <w:rFonts w:ascii="Cambria Math" w:hAnsi="Cambria Math"/>
                </w:rPr>
                <m:t>catchup</m:t>
              </m:r>
            </m:oMath>
          </w:p>
        </w:tc>
        <w:tc>
          <w:tcPr>
            <w:tcW w:w="1276" w:type="dxa"/>
            <w:tcBorders>
              <w:top w:val="single" w:sz="4" w:space="0" w:color="auto"/>
              <w:left w:val="single" w:sz="4" w:space="0" w:color="auto"/>
              <w:bottom w:val="single" w:sz="4" w:space="0" w:color="auto"/>
              <w:right w:val="single" w:sz="4" w:space="0" w:color="auto"/>
            </w:tcBorders>
            <w:hideMark/>
          </w:tcPr>
          <w:p w14:paraId="42655B77"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4572B0E2"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5BF8A0F9" w14:textId="77777777" w:rsidR="001D75E9" w:rsidRPr="00827DE5" w:rsidRDefault="001D75E9"/>
        </w:tc>
      </w:tr>
      <w:tr w:rsidR="001D75E9" w:rsidRPr="00827DE5" w14:paraId="453A706B" w14:textId="77777777">
        <w:tc>
          <w:tcPr>
            <w:tcW w:w="5387" w:type="dxa"/>
            <w:tcBorders>
              <w:top w:val="single" w:sz="4" w:space="0" w:color="auto"/>
              <w:left w:val="single" w:sz="4" w:space="0" w:color="auto"/>
              <w:bottom w:val="single" w:sz="4" w:space="0" w:color="auto"/>
              <w:right w:val="single" w:sz="4" w:space="0" w:color="auto"/>
            </w:tcBorders>
            <w:hideMark/>
          </w:tcPr>
          <w:p w14:paraId="1247DE45" w14:textId="48D90271" w:rsidR="001D75E9" w:rsidRPr="00827DE5" w:rsidRDefault="001D75E9">
            <w:r w:rsidRPr="00827DE5">
              <w:t xml:space="preserve">Proportion </w:t>
            </w:r>
            <w:r w:rsidR="00F22564" w:rsidRPr="00827DE5">
              <w:t xml:space="preserve">of </w:t>
            </w:r>
            <w:r w:rsidR="00422BB8">
              <w:t>6</w:t>
            </w:r>
            <w:r w:rsidR="00F22564" w:rsidRPr="00827DE5">
              <w:t xml:space="preserve">-10 </w:t>
            </w:r>
            <w:proofErr w:type="spellStart"/>
            <w:r w:rsidR="00F22564" w:rsidRPr="00827DE5">
              <w:t>yo</w:t>
            </w:r>
            <w:proofErr w:type="spellEnd"/>
            <w:r w:rsidR="00F22564" w:rsidRPr="00827DE5">
              <w:t xml:space="preserve"> </w:t>
            </w:r>
            <w:r w:rsidRPr="00827DE5">
              <w:t xml:space="preserve">individuals vaccinated during the 2008 catch-up campaign </w:t>
            </w:r>
            <m:oMath>
              <m:r>
                <w:rPr>
                  <w:rFonts w:ascii="Cambria Math" w:hAnsi="Cambria Math"/>
                </w:rPr>
                <m:t>catchup2</m:t>
              </m:r>
            </m:oMath>
          </w:p>
        </w:tc>
        <w:tc>
          <w:tcPr>
            <w:tcW w:w="1276" w:type="dxa"/>
            <w:tcBorders>
              <w:top w:val="single" w:sz="4" w:space="0" w:color="auto"/>
              <w:left w:val="single" w:sz="4" w:space="0" w:color="auto"/>
              <w:bottom w:val="single" w:sz="4" w:space="0" w:color="auto"/>
              <w:right w:val="single" w:sz="4" w:space="0" w:color="auto"/>
            </w:tcBorders>
            <w:hideMark/>
          </w:tcPr>
          <w:p w14:paraId="6A26A873"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68192422"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278C1CD2" w14:textId="77777777" w:rsidR="001D75E9" w:rsidRPr="00827DE5" w:rsidRDefault="001D75E9"/>
        </w:tc>
      </w:tr>
      <w:tr w:rsidR="001D75E9" w:rsidRPr="00827DE5" w14:paraId="2003F576" w14:textId="77777777">
        <w:tc>
          <w:tcPr>
            <w:tcW w:w="5387" w:type="dxa"/>
            <w:tcBorders>
              <w:top w:val="single" w:sz="4" w:space="0" w:color="auto"/>
              <w:left w:val="single" w:sz="4" w:space="0" w:color="auto"/>
              <w:bottom w:val="single" w:sz="4" w:space="0" w:color="auto"/>
              <w:right w:val="single" w:sz="4" w:space="0" w:color="auto"/>
            </w:tcBorders>
            <w:hideMark/>
          </w:tcPr>
          <w:p w14:paraId="6DF78153" w14:textId="77777777" w:rsidR="001D75E9" w:rsidRPr="00827DE5" w:rsidRDefault="001D75E9">
            <w:r w:rsidRPr="00827DE5">
              <w:t xml:space="preserve">Proportion of previously infected 10-15 </w:t>
            </w:r>
            <w:proofErr w:type="spellStart"/>
            <w:r w:rsidRPr="00827DE5">
              <w:t>yo</w:t>
            </w:r>
            <w:proofErr w:type="spellEnd"/>
            <w:r w:rsidRPr="00827DE5">
              <w:t xml:space="preserve">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10-15</m:t>
                  </m:r>
                </m:sub>
              </m:sSub>
            </m:oMath>
          </w:p>
        </w:tc>
        <w:tc>
          <w:tcPr>
            <w:tcW w:w="1276" w:type="dxa"/>
            <w:tcBorders>
              <w:top w:val="single" w:sz="4" w:space="0" w:color="auto"/>
              <w:left w:val="single" w:sz="4" w:space="0" w:color="auto"/>
              <w:bottom w:val="single" w:sz="4" w:space="0" w:color="auto"/>
              <w:right w:val="single" w:sz="4" w:space="0" w:color="auto"/>
            </w:tcBorders>
            <w:hideMark/>
          </w:tcPr>
          <w:p w14:paraId="4B293FCB"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0881254B"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5D8059DA" w14:textId="77777777" w:rsidR="001D75E9" w:rsidRPr="00827DE5" w:rsidRDefault="001D75E9"/>
        </w:tc>
      </w:tr>
      <w:tr w:rsidR="001D75E9" w:rsidRPr="00827DE5" w14:paraId="525D1318" w14:textId="77777777">
        <w:tc>
          <w:tcPr>
            <w:tcW w:w="5387" w:type="dxa"/>
            <w:tcBorders>
              <w:top w:val="single" w:sz="4" w:space="0" w:color="auto"/>
              <w:left w:val="single" w:sz="4" w:space="0" w:color="auto"/>
              <w:bottom w:val="single" w:sz="4" w:space="0" w:color="auto"/>
              <w:right w:val="single" w:sz="4" w:space="0" w:color="auto"/>
            </w:tcBorders>
            <w:hideMark/>
          </w:tcPr>
          <w:p w14:paraId="52EC6D9B" w14:textId="77777777" w:rsidR="001D75E9" w:rsidRPr="00827DE5" w:rsidRDefault="001D75E9">
            <w:r w:rsidRPr="00827DE5">
              <w:t xml:space="preserve">Proportion of previously infected 15-20 </w:t>
            </w:r>
            <w:proofErr w:type="spellStart"/>
            <w:r w:rsidRPr="00827DE5">
              <w:t>yo</w:t>
            </w:r>
            <w:proofErr w:type="spellEnd"/>
            <w:r w:rsidRPr="00827DE5">
              <w:t xml:space="preserve">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15-20</m:t>
                  </m:r>
                </m:sub>
              </m:sSub>
            </m:oMath>
          </w:p>
        </w:tc>
        <w:tc>
          <w:tcPr>
            <w:tcW w:w="1276" w:type="dxa"/>
            <w:tcBorders>
              <w:top w:val="single" w:sz="4" w:space="0" w:color="auto"/>
              <w:left w:val="single" w:sz="4" w:space="0" w:color="auto"/>
              <w:bottom w:val="single" w:sz="4" w:space="0" w:color="auto"/>
              <w:right w:val="single" w:sz="4" w:space="0" w:color="auto"/>
            </w:tcBorders>
            <w:hideMark/>
          </w:tcPr>
          <w:p w14:paraId="5335C6EC"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511D2FFD"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67C6D819" w14:textId="77777777" w:rsidR="001D75E9" w:rsidRPr="00827DE5" w:rsidRDefault="001D75E9"/>
        </w:tc>
      </w:tr>
      <w:tr w:rsidR="001D75E9" w:rsidRPr="00827DE5" w14:paraId="15F263A6" w14:textId="77777777">
        <w:tc>
          <w:tcPr>
            <w:tcW w:w="5387" w:type="dxa"/>
            <w:tcBorders>
              <w:top w:val="single" w:sz="4" w:space="0" w:color="auto"/>
              <w:left w:val="single" w:sz="4" w:space="0" w:color="auto"/>
              <w:bottom w:val="single" w:sz="4" w:space="0" w:color="auto"/>
              <w:right w:val="single" w:sz="4" w:space="0" w:color="auto"/>
            </w:tcBorders>
            <w:hideMark/>
          </w:tcPr>
          <w:p w14:paraId="57B25BA8" w14:textId="77777777" w:rsidR="001D75E9" w:rsidRPr="00827DE5" w:rsidRDefault="001D75E9">
            <w:r w:rsidRPr="00827DE5">
              <w:t xml:space="preserve">Proportion of previously infected 20-30 </w:t>
            </w:r>
            <w:proofErr w:type="spellStart"/>
            <w:r w:rsidRPr="00827DE5">
              <w:t>yo</w:t>
            </w:r>
            <w:proofErr w:type="spellEnd"/>
            <w:r w:rsidRPr="00827DE5">
              <w:t xml:space="preserve">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20-30</m:t>
                  </m:r>
                </m:sub>
              </m:sSub>
            </m:oMath>
          </w:p>
        </w:tc>
        <w:tc>
          <w:tcPr>
            <w:tcW w:w="1276" w:type="dxa"/>
            <w:tcBorders>
              <w:top w:val="single" w:sz="4" w:space="0" w:color="auto"/>
              <w:left w:val="single" w:sz="4" w:space="0" w:color="auto"/>
              <w:bottom w:val="single" w:sz="4" w:space="0" w:color="auto"/>
              <w:right w:val="single" w:sz="4" w:space="0" w:color="auto"/>
            </w:tcBorders>
            <w:hideMark/>
          </w:tcPr>
          <w:p w14:paraId="707310FF"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09600618"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43D67925" w14:textId="77777777" w:rsidR="001D75E9" w:rsidRPr="00827DE5" w:rsidRDefault="001D75E9"/>
        </w:tc>
      </w:tr>
      <w:tr w:rsidR="001D75E9" w:rsidRPr="00827DE5" w14:paraId="27E514F8" w14:textId="77777777">
        <w:tc>
          <w:tcPr>
            <w:tcW w:w="5387" w:type="dxa"/>
            <w:tcBorders>
              <w:top w:val="single" w:sz="4" w:space="0" w:color="auto"/>
              <w:left w:val="single" w:sz="4" w:space="0" w:color="auto"/>
              <w:bottom w:val="single" w:sz="4" w:space="0" w:color="auto"/>
              <w:right w:val="single" w:sz="4" w:space="0" w:color="auto"/>
            </w:tcBorders>
            <w:hideMark/>
          </w:tcPr>
          <w:p w14:paraId="0EE59DAA" w14:textId="77777777" w:rsidR="001D75E9" w:rsidRPr="00827DE5" w:rsidRDefault="001D75E9">
            <w:r w:rsidRPr="00827DE5">
              <w:t xml:space="preserve">Proportion of previously infected 30-40 </w:t>
            </w:r>
            <w:proofErr w:type="spellStart"/>
            <w:r w:rsidRPr="00827DE5">
              <w:t>yo</w:t>
            </w:r>
            <w:proofErr w:type="spellEnd"/>
            <w:r w:rsidRPr="00827DE5">
              <w:t xml:space="preserve">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30-40</m:t>
                  </m:r>
                </m:sub>
              </m:sSub>
            </m:oMath>
          </w:p>
        </w:tc>
        <w:tc>
          <w:tcPr>
            <w:tcW w:w="1276" w:type="dxa"/>
            <w:tcBorders>
              <w:top w:val="single" w:sz="4" w:space="0" w:color="auto"/>
              <w:left w:val="single" w:sz="4" w:space="0" w:color="auto"/>
              <w:bottom w:val="single" w:sz="4" w:space="0" w:color="auto"/>
              <w:right w:val="single" w:sz="4" w:space="0" w:color="auto"/>
            </w:tcBorders>
            <w:hideMark/>
          </w:tcPr>
          <w:p w14:paraId="19DE4BBE"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000C685B"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770C249A" w14:textId="77777777" w:rsidR="001D75E9" w:rsidRPr="00827DE5" w:rsidRDefault="001D75E9"/>
        </w:tc>
      </w:tr>
      <w:tr w:rsidR="001D75E9" w:rsidRPr="00827DE5" w14:paraId="5C8914A9" w14:textId="77777777">
        <w:tc>
          <w:tcPr>
            <w:tcW w:w="5387" w:type="dxa"/>
            <w:tcBorders>
              <w:top w:val="single" w:sz="4" w:space="0" w:color="auto"/>
              <w:left w:val="single" w:sz="4" w:space="0" w:color="auto"/>
              <w:bottom w:val="single" w:sz="4" w:space="0" w:color="auto"/>
              <w:right w:val="single" w:sz="4" w:space="0" w:color="auto"/>
            </w:tcBorders>
            <w:hideMark/>
          </w:tcPr>
          <w:p w14:paraId="1A623A4C" w14:textId="77777777" w:rsidR="001D75E9" w:rsidRPr="00827DE5" w:rsidRDefault="001D75E9">
            <w:r w:rsidRPr="00827DE5">
              <w:t xml:space="preserve">Proportion of previously infected 40+ </w:t>
            </w:r>
            <w:proofErr w:type="spellStart"/>
            <w:r w:rsidRPr="00827DE5">
              <w:t>yo</w:t>
            </w:r>
            <w:proofErr w:type="spellEnd"/>
            <w:r w:rsidRPr="00827DE5">
              <w:t xml:space="preserve"> </w:t>
            </w:r>
            <m:oMath>
              <m:r>
                <w:rPr>
                  <w:rFonts w:ascii="Cambria Math" w:hAnsi="Cambria Math"/>
                </w:rPr>
                <m:t>reco</m:t>
              </m:r>
              <m:sSub>
                <m:sSubPr>
                  <m:ctrlPr>
                    <w:rPr>
                      <w:rFonts w:ascii="Cambria Math" w:hAnsi="Cambria Math"/>
                      <w:i/>
                    </w:rPr>
                  </m:ctrlPr>
                </m:sSubPr>
                <m:e>
                  <m:r>
                    <w:rPr>
                      <w:rFonts w:ascii="Cambria Math" w:hAnsi="Cambria Math"/>
                    </w:rPr>
                    <m:t>v</m:t>
                  </m:r>
                </m:e>
                <m:sub>
                  <m:r>
                    <w:rPr>
                      <w:rFonts w:ascii="Cambria Math" w:hAnsi="Cambria Math"/>
                    </w:rPr>
                    <m:t>40+</m:t>
                  </m:r>
                </m:sub>
              </m:sSub>
            </m:oMath>
          </w:p>
        </w:tc>
        <w:tc>
          <w:tcPr>
            <w:tcW w:w="1276" w:type="dxa"/>
            <w:tcBorders>
              <w:top w:val="single" w:sz="4" w:space="0" w:color="auto"/>
              <w:left w:val="single" w:sz="4" w:space="0" w:color="auto"/>
              <w:bottom w:val="single" w:sz="4" w:space="0" w:color="auto"/>
              <w:right w:val="single" w:sz="4" w:space="0" w:color="auto"/>
            </w:tcBorders>
            <w:hideMark/>
          </w:tcPr>
          <w:p w14:paraId="45634509"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0C5C326E"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4807565D" w14:textId="77777777" w:rsidR="001D75E9" w:rsidRPr="00827DE5" w:rsidRDefault="001D75E9"/>
        </w:tc>
      </w:tr>
      <w:tr w:rsidR="001D75E9" w:rsidRPr="00827DE5" w14:paraId="2E18BD98" w14:textId="77777777">
        <w:tc>
          <w:tcPr>
            <w:tcW w:w="5387" w:type="dxa"/>
            <w:tcBorders>
              <w:top w:val="single" w:sz="4" w:space="0" w:color="auto"/>
              <w:left w:val="single" w:sz="4" w:space="0" w:color="auto"/>
              <w:bottom w:val="single" w:sz="4" w:space="0" w:color="auto"/>
              <w:right w:val="single" w:sz="4" w:space="0" w:color="auto"/>
            </w:tcBorders>
            <w:hideMark/>
          </w:tcPr>
          <w:p w14:paraId="11EA804C" w14:textId="77777777" w:rsidR="001D75E9" w:rsidRPr="00827DE5" w:rsidRDefault="001D75E9">
            <w:r w:rsidRPr="00827DE5">
              <w:t xml:space="preserve">Spatial parameter </w:t>
            </w:r>
            <m:oMath>
              <m:r>
                <w:rPr>
                  <w:rFonts w:ascii="Cambria Math" w:hAnsi="Cambria Math"/>
                </w:rPr>
                <m:t>b</m:t>
              </m:r>
            </m:oMath>
          </w:p>
        </w:tc>
        <w:tc>
          <w:tcPr>
            <w:tcW w:w="1276" w:type="dxa"/>
            <w:tcBorders>
              <w:top w:val="single" w:sz="4" w:space="0" w:color="auto"/>
              <w:left w:val="single" w:sz="4" w:space="0" w:color="auto"/>
              <w:bottom w:val="single" w:sz="4" w:space="0" w:color="auto"/>
              <w:right w:val="single" w:sz="4" w:space="0" w:color="auto"/>
            </w:tcBorders>
            <w:hideMark/>
          </w:tcPr>
          <w:p w14:paraId="6C48A279"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398DE502" w14:textId="77777777" w:rsidR="001D75E9" w:rsidRPr="00827DE5" w:rsidRDefault="001D75E9">
            <w:r w:rsidRPr="00827DE5">
              <w:t>U(0, 5)</w:t>
            </w:r>
          </w:p>
        </w:tc>
        <w:tc>
          <w:tcPr>
            <w:tcW w:w="1275" w:type="dxa"/>
            <w:tcBorders>
              <w:top w:val="single" w:sz="4" w:space="0" w:color="auto"/>
              <w:left w:val="single" w:sz="4" w:space="0" w:color="auto"/>
              <w:bottom w:val="single" w:sz="4" w:space="0" w:color="auto"/>
              <w:right w:val="single" w:sz="4" w:space="0" w:color="auto"/>
            </w:tcBorders>
          </w:tcPr>
          <w:p w14:paraId="13974AAE" w14:textId="77777777" w:rsidR="001D75E9" w:rsidRPr="00827DE5" w:rsidRDefault="001D75E9"/>
        </w:tc>
      </w:tr>
      <w:tr w:rsidR="001D75E9" w:rsidRPr="00827DE5" w14:paraId="65244AD6" w14:textId="77777777">
        <w:tc>
          <w:tcPr>
            <w:tcW w:w="5387" w:type="dxa"/>
            <w:tcBorders>
              <w:top w:val="single" w:sz="4" w:space="0" w:color="auto"/>
              <w:left w:val="single" w:sz="4" w:space="0" w:color="auto"/>
              <w:bottom w:val="single" w:sz="4" w:space="0" w:color="auto"/>
              <w:right w:val="single" w:sz="4" w:space="0" w:color="auto"/>
            </w:tcBorders>
            <w:hideMark/>
          </w:tcPr>
          <w:p w14:paraId="062E3588" w14:textId="77777777" w:rsidR="001D75E9" w:rsidRPr="00827DE5" w:rsidRDefault="001D75E9">
            <w:r w:rsidRPr="00827DE5">
              <w:t xml:space="preserve">Spatial parameter </w:t>
            </w:r>
            <m:oMath>
              <m:r>
                <w:rPr>
                  <w:rFonts w:ascii="Cambria Math" w:hAnsi="Cambria Math"/>
                </w:rPr>
                <m:t>c</m:t>
              </m:r>
            </m:oMath>
          </w:p>
        </w:tc>
        <w:tc>
          <w:tcPr>
            <w:tcW w:w="1276" w:type="dxa"/>
            <w:tcBorders>
              <w:top w:val="single" w:sz="4" w:space="0" w:color="auto"/>
              <w:left w:val="single" w:sz="4" w:space="0" w:color="auto"/>
              <w:bottom w:val="single" w:sz="4" w:space="0" w:color="auto"/>
              <w:right w:val="single" w:sz="4" w:space="0" w:color="auto"/>
            </w:tcBorders>
            <w:hideMark/>
          </w:tcPr>
          <w:p w14:paraId="35C8568F"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61AD6F9C" w14:textId="77777777" w:rsidR="001D75E9" w:rsidRPr="00827DE5" w:rsidRDefault="001D75E9">
            <w:r w:rsidRPr="00827DE5">
              <w:t>U(0, 5)</w:t>
            </w:r>
          </w:p>
        </w:tc>
        <w:tc>
          <w:tcPr>
            <w:tcW w:w="1275" w:type="dxa"/>
            <w:tcBorders>
              <w:top w:val="single" w:sz="4" w:space="0" w:color="auto"/>
              <w:left w:val="single" w:sz="4" w:space="0" w:color="auto"/>
              <w:bottom w:val="single" w:sz="4" w:space="0" w:color="auto"/>
              <w:right w:val="single" w:sz="4" w:space="0" w:color="auto"/>
            </w:tcBorders>
          </w:tcPr>
          <w:p w14:paraId="559F8E56" w14:textId="77777777" w:rsidR="001D75E9" w:rsidRPr="00827DE5" w:rsidRDefault="001D75E9"/>
        </w:tc>
      </w:tr>
      <w:tr w:rsidR="001D75E9" w:rsidRPr="00827DE5" w14:paraId="5E558BBC" w14:textId="77777777">
        <w:tc>
          <w:tcPr>
            <w:tcW w:w="5387" w:type="dxa"/>
            <w:tcBorders>
              <w:top w:val="single" w:sz="4" w:space="0" w:color="auto"/>
              <w:left w:val="single" w:sz="4" w:space="0" w:color="auto"/>
              <w:bottom w:val="single" w:sz="4" w:space="0" w:color="auto"/>
              <w:right w:val="single" w:sz="4" w:space="0" w:color="auto"/>
            </w:tcBorders>
            <w:hideMark/>
          </w:tcPr>
          <w:p w14:paraId="3C57EC87" w14:textId="77777777" w:rsidR="001D75E9" w:rsidRPr="00827DE5" w:rsidRDefault="001D75E9">
            <w:r w:rsidRPr="00827DE5">
              <w:t xml:space="preserve">Spatial parameter </w:t>
            </w:r>
            <m:oMath>
              <m:r>
                <w:rPr>
                  <w:rFonts w:ascii="Cambria Math" w:hAnsi="Cambria Math"/>
                </w:rPr>
                <m:t>θ</m:t>
              </m:r>
            </m:oMath>
          </w:p>
        </w:tc>
        <w:tc>
          <w:tcPr>
            <w:tcW w:w="1276" w:type="dxa"/>
            <w:tcBorders>
              <w:top w:val="single" w:sz="4" w:space="0" w:color="auto"/>
              <w:left w:val="single" w:sz="4" w:space="0" w:color="auto"/>
              <w:bottom w:val="single" w:sz="4" w:space="0" w:color="auto"/>
              <w:right w:val="single" w:sz="4" w:space="0" w:color="auto"/>
            </w:tcBorders>
            <w:hideMark/>
          </w:tcPr>
          <w:p w14:paraId="1419C964"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3C4FCCB5"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5C6D0B40" w14:textId="77777777" w:rsidR="001D75E9" w:rsidRPr="00827DE5" w:rsidRDefault="001D75E9"/>
        </w:tc>
      </w:tr>
      <w:tr w:rsidR="001D75E9" w:rsidRPr="00827DE5" w14:paraId="52CE25C7" w14:textId="77777777">
        <w:tc>
          <w:tcPr>
            <w:tcW w:w="5387" w:type="dxa"/>
            <w:tcBorders>
              <w:top w:val="single" w:sz="4" w:space="0" w:color="auto"/>
              <w:left w:val="single" w:sz="4" w:space="0" w:color="auto"/>
              <w:bottom w:val="single" w:sz="4" w:space="0" w:color="auto"/>
              <w:right w:val="single" w:sz="4" w:space="0" w:color="auto"/>
            </w:tcBorders>
            <w:hideMark/>
          </w:tcPr>
          <w:p w14:paraId="12DEA44F" w14:textId="77777777" w:rsidR="001D75E9" w:rsidRPr="00827DE5" w:rsidRDefault="001D75E9">
            <w:r w:rsidRPr="00827DE5">
              <w:t xml:space="preserve">Proportion of importations reported </w:t>
            </w:r>
            <m:oMath>
              <m:sSub>
                <m:sSubPr>
                  <m:ctrlPr>
                    <w:rPr>
                      <w:rFonts w:ascii="Cambria Math" w:hAnsi="Cambria Math"/>
                      <w:i/>
                    </w:rPr>
                  </m:ctrlPr>
                </m:sSubPr>
                <m:e>
                  <m:r>
                    <w:rPr>
                      <w:rFonts w:ascii="Cambria Math" w:hAnsi="Cambria Math"/>
                    </w:rPr>
                    <m:t>p</m:t>
                  </m:r>
                </m:e>
                <m:sub>
                  <m:r>
                    <w:rPr>
                      <w:rFonts w:ascii="Cambria Math" w:hAnsi="Cambria Math"/>
                    </w:rPr>
                    <m:t>import</m:t>
                  </m:r>
                </m:sub>
              </m:sSub>
            </m:oMath>
          </w:p>
        </w:tc>
        <w:tc>
          <w:tcPr>
            <w:tcW w:w="1276" w:type="dxa"/>
            <w:tcBorders>
              <w:top w:val="single" w:sz="4" w:space="0" w:color="auto"/>
              <w:left w:val="single" w:sz="4" w:space="0" w:color="auto"/>
              <w:bottom w:val="single" w:sz="4" w:space="0" w:color="auto"/>
              <w:right w:val="single" w:sz="4" w:space="0" w:color="auto"/>
            </w:tcBorders>
            <w:hideMark/>
          </w:tcPr>
          <w:p w14:paraId="02522B97"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255EFEDF" w14:textId="77777777" w:rsidR="001D75E9" w:rsidRPr="00827DE5" w:rsidRDefault="001D75E9">
            <w:r w:rsidRPr="00827DE5">
              <w:t>U(0, 1)</w:t>
            </w:r>
          </w:p>
        </w:tc>
        <w:tc>
          <w:tcPr>
            <w:tcW w:w="1275" w:type="dxa"/>
            <w:tcBorders>
              <w:top w:val="single" w:sz="4" w:space="0" w:color="auto"/>
              <w:left w:val="single" w:sz="4" w:space="0" w:color="auto"/>
              <w:bottom w:val="single" w:sz="4" w:space="0" w:color="auto"/>
              <w:right w:val="single" w:sz="4" w:space="0" w:color="auto"/>
            </w:tcBorders>
          </w:tcPr>
          <w:p w14:paraId="486481A3" w14:textId="77777777" w:rsidR="001D75E9" w:rsidRPr="00827DE5" w:rsidRDefault="001D75E9"/>
        </w:tc>
      </w:tr>
      <w:tr w:rsidR="001D75E9" w:rsidRPr="00827DE5" w14:paraId="7961A0CF" w14:textId="77777777">
        <w:tc>
          <w:tcPr>
            <w:tcW w:w="5387" w:type="dxa"/>
            <w:tcBorders>
              <w:top w:val="single" w:sz="4" w:space="0" w:color="auto"/>
              <w:left w:val="single" w:sz="4" w:space="0" w:color="auto"/>
              <w:bottom w:val="single" w:sz="4" w:space="0" w:color="auto"/>
              <w:right w:val="single" w:sz="4" w:space="0" w:color="auto"/>
            </w:tcBorders>
            <w:hideMark/>
          </w:tcPr>
          <w:p w14:paraId="498C1BC8" w14:textId="77777777" w:rsidR="001D75E9" w:rsidRPr="00827DE5" w:rsidRDefault="001D75E9">
            <w:r w:rsidRPr="00827DE5">
              <w:t xml:space="preserve">Seasonality of importations </w:t>
            </w:r>
            <m:oMath>
              <m:sSub>
                <m:sSubPr>
                  <m:ctrlPr>
                    <w:rPr>
                      <w:rFonts w:ascii="Cambria Math" w:hAnsi="Cambria Math"/>
                      <w:i/>
                    </w:rPr>
                  </m:ctrlPr>
                </m:sSubPr>
                <m:e>
                  <m:r>
                    <w:rPr>
                      <w:rFonts w:ascii="Cambria Math" w:hAnsi="Cambria Math"/>
                    </w:rPr>
                    <m:t>X</m:t>
                  </m:r>
                </m:e>
                <m:sub>
                  <m:r>
                    <w:rPr>
                      <w:rFonts w:ascii="Cambria Math" w:hAnsi="Cambria Math"/>
                    </w:rPr>
                    <m:t>import</m:t>
                  </m:r>
                </m:sub>
              </m:sSub>
            </m:oMath>
          </w:p>
        </w:tc>
        <w:tc>
          <w:tcPr>
            <w:tcW w:w="1276" w:type="dxa"/>
            <w:tcBorders>
              <w:top w:val="single" w:sz="4" w:space="0" w:color="auto"/>
              <w:left w:val="single" w:sz="4" w:space="0" w:color="auto"/>
              <w:bottom w:val="single" w:sz="4" w:space="0" w:color="auto"/>
              <w:right w:val="single" w:sz="4" w:space="0" w:color="auto"/>
            </w:tcBorders>
            <w:hideMark/>
          </w:tcPr>
          <w:p w14:paraId="1F12B55B"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2BC4148A" w14:textId="77777777" w:rsidR="001D75E9" w:rsidRPr="00827DE5" w:rsidRDefault="001D75E9">
            <w:r w:rsidRPr="00827DE5">
              <w:t>U(0, 7)</w:t>
            </w:r>
          </w:p>
        </w:tc>
        <w:tc>
          <w:tcPr>
            <w:tcW w:w="1275" w:type="dxa"/>
            <w:tcBorders>
              <w:top w:val="single" w:sz="4" w:space="0" w:color="auto"/>
              <w:left w:val="single" w:sz="4" w:space="0" w:color="auto"/>
              <w:bottom w:val="single" w:sz="4" w:space="0" w:color="auto"/>
              <w:right w:val="single" w:sz="4" w:space="0" w:color="auto"/>
            </w:tcBorders>
          </w:tcPr>
          <w:p w14:paraId="1C54B99E" w14:textId="77777777" w:rsidR="001D75E9" w:rsidRPr="00827DE5" w:rsidRDefault="001D75E9"/>
        </w:tc>
      </w:tr>
      <w:tr w:rsidR="001D75E9" w:rsidRPr="00827DE5" w14:paraId="6F565DB8" w14:textId="77777777">
        <w:tc>
          <w:tcPr>
            <w:tcW w:w="5387" w:type="dxa"/>
            <w:tcBorders>
              <w:top w:val="single" w:sz="4" w:space="0" w:color="auto"/>
              <w:left w:val="single" w:sz="4" w:space="0" w:color="auto"/>
              <w:bottom w:val="single" w:sz="4" w:space="0" w:color="auto"/>
              <w:right w:val="single" w:sz="4" w:space="0" w:color="auto"/>
            </w:tcBorders>
            <w:hideMark/>
          </w:tcPr>
          <w:p w14:paraId="3163312B" w14:textId="77777777" w:rsidR="001D75E9" w:rsidRPr="00827DE5" w:rsidRDefault="001D75E9">
            <w:r w:rsidRPr="00827DE5">
              <w:t xml:space="preserve">Seasonality of importations </w:t>
            </w:r>
            <m:oMath>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import</m:t>
                  </m:r>
                </m:sub>
              </m:sSub>
            </m:oMath>
          </w:p>
        </w:tc>
        <w:tc>
          <w:tcPr>
            <w:tcW w:w="1276" w:type="dxa"/>
            <w:tcBorders>
              <w:top w:val="single" w:sz="4" w:space="0" w:color="auto"/>
              <w:left w:val="single" w:sz="4" w:space="0" w:color="auto"/>
              <w:bottom w:val="single" w:sz="4" w:space="0" w:color="auto"/>
              <w:right w:val="single" w:sz="4" w:space="0" w:color="auto"/>
            </w:tcBorders>
            <w:hideMark/>
          </w:tcPr>
          <w:p w14:paraId="4561FDC9" w14:textId="77777777" w:rsidR="001D75E9" w:rsidRPr="00827DE5" w:rsidRDefault="001D75E9">
            <w:r w:rsidRPr="00827DE5">
              <w:t>Estimated</w:t>
            </w:r>
          </w:p>
        </w:tc>
        <w:tc>
          <w:tcPr>
            <w:tcW w:w="1418" w:type="dxa"/>
            <w:tcBorders>
              <w:top w:val="single" w:sz="4" w:space="0" w:color="auto"/>
              <w:left w:val="single" w:sz="4" w:space="0" w:color="auto"/>
              <w:bottom w:val="single" w:sz="4" w:space="0" w:color="auto"/>
              <w:right w:val="single" w:sz="4" w:space="0" w:color="auto"/>
            </w:tcBorders>
            <w:hideMark/>
          </w:tcPr>
          <w:p w14:paraId="5B51E694" w14:textId="77777777" w:rsidR="001D75E9" w:rsidRPr="00827DE5" w:rsidRDefault="001D75E9">
            <w:r w:rsidRPr="00827DE5">
              <w:t>U(0, 7)</w:t>
            </w:r>
          </w:p>
        </w:tc>
        <w:tc>
          <w:tcPr>
            <w:tcW w:w="1275" w:type="dxa"/>
            <w:tcBorders>
              <w:top w:val="single" w:sz="4" w:space="0" w:color="auto"/>
              <w:left w:val="single" w:sz="4" w:space="0" w:color="auto"/>
              <w:bottom w:val="single" w:sz="4" w:space="0" w:color="auto"/>
              <w:right w:val="single" w:sz="4" w:space="0" w:color="auto"/>
            </w:tcBorders>
          </w:tcPr>
          <w:p w14:paraId="70079E72" w14:textId="77777777" w:rsidR="001D75E9" w:rsidRPr="00827DE5" w:rsidRDefault="001D75E9"/>
        </w:tc>
      </w:tr>
    </w:tbl>
    <w:bookmarkEnd w:id="11"/>
    <w:p w14:paraId="7EACA391" w14:textId="11107795" w:rsidR="001D75E9" w:rsidRPr="00827DE5" w:rsidRDefault="00F670B0" w:rsidP="006C601C">
      <w:pPr>
        <w:rPr>
          <w:b/>
          <w:bCs/>
        </w:rPr>
      </w:pPr>
      <w:r>
        <w:rPr>
          <w:b/>
          <w:bCs/>
        </w:rPr>
        <w:t xml:space="preserve">Supplementary </w:t>
      </w:r>
      <w:r w:rsidR="001D75E9" w:rsidRPr="00827DE5">
        <w:rPr>
          <w:b/>
          <w:bCs/>
        </w:rPr>
        <w:t>Table S</w:t>
      </w:r>
      <w:r>
        <w:rPr>
          <w:b/>
          <w:bCs/>
        </w:rPr>
        <w:t>1</w:t>
      </w:r>
      <w:r w:rsidR="001D75E9" w:rsidRPr="00827DE5">
        <w:rPr>
          <w:b/>
          <w:bCs/>
        </w:rPr>
        <w:t>: Summary of the parameters. *Parameters fixed or estimated in sensitivity analyses.</w:t>
      </w:r>
    </w:p>
    <w:p w14:paraId="030E89E0" w14:textId="022888E3" w:rsidR="00FA20D2" w:rsidRPr="00827DE5" w:rsidRDefault="00FA20D2" w:rsidP="0086658C">
      <w:pPr>
        <w:pStyle w:val="Heading2"/>
      </w:pPr>
      <w:bookmarkStart w:id="12" w:name="_Toc162889798"/>
      <w:r w:rsidRPr="00827DE5">
        <w:lastRenderedPageBreak/>
        <w:t>Likelihood and posterior</w:t>
      </w:r>
      <w:bookmarkEnd w:id="12"/>
    </w:p>
    <w:p w14:paraId="7FA55CB2" w14:textId="1C2A8B71" w:rsidR="00FA20D2" w:rsidRPr="00827DE5" w:rsidRDefault="00C95192" w:rsidP="00FA20D2">
      <w:r w:rsidRPr="00827DE5">
        <w:t>To fit the models, we used Monte Carlo Markov Chains, with 20,000 iterations</w:t>
      </w:r>
      <w:r w:rsidR="00862391" w:rsidRPr="00827DE5">
        <w:t xml:space="preserve"> and</w:t>
      </w:r>
      <w:r w:rsidRPr="00827DE5">
        <w:t xml:space="preserve"> a </w:t>
      </w:r>
      <w:proofErr w:type="spellStart"/>
      <w:r w:rsidRPr="00827DE5">
        <w:t>burnin</w:t>
      </w:r>
      <w:proofErr w:type="spellEnd"/>
      <w:r w:rsidRPr="00827DE5">
        <w:t xml:space="preserve"> period of </w:t>
      </w:r>
      <w:r w:rsidR="009334A1" w:rsidRPr="00827DE5">
        <w:t>1</w:t>
      </w:r>
      <w:r w:rsidRPr="00827DE5">
        <w:t>,000 iterations.</w:t>
      </w:r>
    </w:p>
    <w:p w14:paraId="60AE1B42" w14:textId="5A9630BB" w:rsidR="00E74BEC" w:rsidRPr="00827DE5" w:rsidRDefault="00E74BEC" w:rsidP="00FA20D2">
      <w:r w:rsidRPr="00827DE5">
        <w:t>The likelihood was computed by comparing the number of new cases at each date, age group, region, and vaccine status in the data with the number of individuals entering the corresponding Infected compartment in the model at this date.</w:t>
      </w:r>
    </w:p>
    <w:p w14:paraId="3A9532AD" w14:textId="761A3F12" w:rsidR="006B092A" w:rsidRPr="00827DE5" w:rsidRDefault="006B092A" w:rsidP="00FA20D2">
      <w:r w:rsidRPr="00827DE5">
        <w:t xml:space="preserve">We use a Poisson distribution to fit the number of cases generated by the model </w:t>
      </w:r>
      <m:oMath>
        <m:sSub>
          <m:sSubPr>
            <m:ctrlPr>
              <w:rPr>
                <w:rFonts w:ascii="Cambria Math" w:hAnsi="Cambria Math"/>
                <w:i/>
              </w:rPr>
            </m:ctrlPr>
          </m:sSubPr>
          <m:e>
            <m:r>
              <w:rPr>
                <w:rFonts w:ascii="Cambria Math" w:hAnsi="Cambria Math"/>
              </w:rPr>
              <m:t>X</m:t>
            </m:r>
          </m:e>
          <m:sub>
            <m:r>
              <w:rPr>
                <w:rFonts w:ascii="Cambria Math" w:hAnsi="Cambria Math"/>
              </w:rPr>
              <m:t>aitv</m:t>
            </m:r>
          </m:sub>
        </m:sSub>
        <m:r>
          <w:rPr>
            <w:rFonts w:ascii="Cambria Math" w:hAnsi="Cambria Math"/>
          </w:rPr>
          <m:t xml:space="preserve"> </m:t>
        </m:r>
      </m:oMath>
      <w:r w:rsidR="002C3349" w:rsidRPr="00827DE5">
        <w:t>to</w:t>
      </w:r>
      <w:r w:rsidRPr="00827DE5">
        <w:t xml:space="preserve"> the data </w:t>
      </w:r>
      <m:oMath>
        <m:sSub>
          <m:sSubPr>
            <m:ctrlPr>
              <w:rPr>
                <w:rFonts w:ascii="Cambria Math" w:hAnsi="Cambria Math"/>
                <w:i/>
              </w:rPr>
            </m:ctrlPr>
          </m:sSubPr>
          <m:e>
            <m:r>
              <w:rPr>
                <w:rFonts w:ascii="Cambria Math" w:hAnsi="Cambria Math"/>
              </w:rPr>
              <m:t>Y</m:t>
            </m:r>
          </m:e>
          <m:sub>
            <m:r>
              <w:rPr>
                <w:rFonts w:ascii="Cambria Math" w:hAnsi="Cambria Math"/>
              </w:rPr>
              <m:t>aitv</m:t>
            </m:r>
          </m:sub>
        </m:sSub>
      </m:oMath>
      <w:r w:rsidRPr="00827DE5">
        <w:t xml:space="preserve"> (at age </w:t>
      </w:r>
      <m:oMath>
        <m:r>
          <w:rPr>
            <w:rFonts w:ascii="Cambria Math" w:hAnsi="Cambria Math"/>
          </w:rPr>
          <m:t>a</m:t>
        </m:r>
      </m:oMath>
      <w:r w:rsidRPr="00827DE5">
        <w:t xml:space="preserve">, in region </w:t>
      </w:r>
      <m:oMath>
        <m:r>
          <w:rPr>
            <w:rFonts w:ascii="Cambria Math" w:hAnsi="Cambria Math"/>
          </w:rPr>
          <m:t>i</m:t>
        </m:r>
      </m:oMath>
      <w:r w:rsidRPr="00827DE5">
        <w:t xml:space="preserve">, at time </w:t>
      </w:r>
      <m:oMath>
        <m:r>
          <w:rPr>
            <w:rFonts w:ascii="Cambria Math" w:hAnsi="Cambria Math"/>
          </w:rPr>
          <m:t>t</m:t>
        </m:r>
      </m:oMath>
      <w:r w:rsidRPr="00827DE5">
        <w:t xml:space="preserve">, and vaccine status </w:t>
      </w:r>
      <m:oMath>
        <m:r>
          <w:rPr>
            <w:rFonts w:ascii="Cambria Math" w:hAnsi="Cambria Math"/>
          </w:rPr>
          <m:t>v</m:t>
        </m:r>
      </m:oMath>
      <w:r w:rsidRPr="00827DE5">
        <w:t>)</w:t>
      </w:r>
    </w:p>
    <w:p w14:paraId="00018898" w14:textId="5CF7D1E5" w:rsidR="00535681" w:rsidRPr="00827DE5" w:rsidRDefault="00000000" w:rsidP="00FA20D2">
      <m:oMathPara>
        <m:oMath>
          <m:sSub>
            <m:sSubPr>
              <m:ctrlPr>
                <w:rPr>
                  <w:rFonts w:ascii="Cambria Math" w:hAnsi="Cambria Math"/>
                  <w:i/>
                </w:rPr>
              </m:ctrlPr>
            </m:sSubPr>
            <m:e>
              <m:r>
                <w:rPr>
                  <w:rFonts w:ascii="Cambria Math" w:hAnsi="Cambria Math"/>
                </w:rPr>
                <m:t>Y</m:t>
              </m:r>
            </m:e>
            <m:sub>
              <m:r>
                <w:rPr>
                  <w:rFonts w:ascii="Cambria Math" w:hAnsi="Cambria Math"/>
                </w:rPr>
                <m:t>aitv</m:t>
              </m:r>
            </m:sub>
          </m:sSub>
          <m:r>
            <w:rPr>
              <w:rFonts w:ascii="Cambria Math" w:hAnsi="Cambria Math"/>
            </w:rPr>
            <m:t>~Poisson(</m:t>
          </m:r>
          <m:sSub>
            <m:sSubPr>
              <m:ctrlPr>
                <w:rPr>
                  <w:rFonts w:ascii="Cambria Math" w:hAnsi="Cambria Math"/>
                  <w:i/>
                </w:rPr>
              </m:ctrlPr>
            </m:sSubPr>
            <m:e>
              <m:r>
                <w:rPr>
                  <w:rFonts w:ascii="Cambria Math" w:hAnsi="Cambria Math"/>
                </w:rPr>
                <m:t>X</m:t>
              </m:r>
            </m:e>
            <m:sub>
              <m:r>
                <w:rPr>
                  <w:rFonts w:ascii="Cambria Math" w:hAnsi="Cambria Math"/>
                </w:rPr>
                <m:t>aitv</m:t>
              </m:r>
            </m:sub>
          </m:sSub>
          <m:r>
            <w:rPr>
              <w:rFonts w:ascii="Cambria Math" w:hAnsi="Cambria Math"/>
            </w:rPr>
            <m:t>)</m:t>
          </m:r>
        </m:oMath>
      </m:oMathPara>
    </w:p>
    <w:p w14:paraId="61578D8E" w14:textId="70A35211" w:rsidR="0088737E" w:rsidRPr="00827DE5" w:rsidRDefault="0088737E" w:rsidP="00FA20D2">
      <w:r w:rsidRPr="00827DE5">
        <w:t>We then compute the log likelihood by summing the log likelihood of each data point (across time, age group</w:t>
      </w:r>
      <w:r w:rsidR="00B62260" w:rsidRPr="00827DE5">
        <w:t>s</w:t>
      </w:r>
      <w:r w:rsidRPr="00827DE5">
        <w:t>, region</w:t>
      </w:r>
      <w:r w:rsidR="00B62260" w:rsidRPr="00827DE5">
        <w:t>s</w:t>
      </w:r>
      <w:r w:rsidRPr="00827DE5">
        <w:t xml:space="preserve"> and vaccine status</w:t>
      </w:r>
      <w:r w:rsidR="00B62260" w:rsidRPr="00827DE5">
        <w:t>es</w:t>
      </w:r>
      <w:r w:rsidRPr="00827DE5">
        <w:t>)</w:t>
      </w:r>
      <w:r w:rsidR="001155EE" w:rsidRPr="00827DE5">
        <w:t>.</w:t>
      </w:r>
    </w:p>
    <w:p w14:paraId="5E72EE54" w14:textId="28BA7866" w:rsidR="00E74BEC" w:rsidRPr="00827DE5" w:rsidRDefault="00000000" w:rsidP="00FA20D2">
      <m:oMathPara>
        <m:oMath>
          <m:sSub>
            <m:sSubPr>
              <m:ctrlPr>
                <w:rPr>
                  <w:rFonts w:ascii="Cambria Math" w:hAnsi="Cambria Math"/>
                  <w:i/>
                </w:rPr>
              </m:ctrlPr>
            </m:sSubPr>
            <m:e>
              <m:r>
                <w:rPr>
                  <w:rFonts w:ascii="Cambria Math" w:hAnsi="Cambria Math"/>
                </w:rPr>
                <m:t>L</m:t>
              </m:r>
            </m:e>
            <m:sub>
              <m:r>
                <w:rPr>
                  <w:rFonts w:ascii="Cambria Math" w:hAnsi="Cambria Math"/>
                </w:rPr>
                <m:t>tot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a</m:t>
              </m:r>
            </m:sub>
            <m:sup/>
            <m:e>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t</m:t>
                      </m:r>
                    </m:sub>
                    <m:sup/>
                    <m:e>
                      <m:nary>
                        <m:naryPr>
                          <m:chr m:val="∑"/>
                          <m:limLoc m:val="undOvr"/>
                          <m:supHide m:val="1"/>
                          <m:ctrlPr>
                            <w:rPr>
                              <w:rFonts w:ascii="Cambria Math" w:hAnsi="Cambria Math"/>
                              <w:i/>
                            </w:rPr>
                          </m:ctrlPr>
                        </m:naryPr>
                        <m:sub>
                          <m:r>
                            <w:rPr>
                              <w:rFonts w:ascii="Cambria Math" w:hAnsi="Cambria Math"/>
                            </w:rPr>
                            <m:t>v</m:t>
                          </m:r>
                        </m:sub>
                        <m:sup/>
                        <m:e>
                          <m:r>
                            <m:rPr>
                              <m:sty m:val="p"/>
                            </m:rPr>
                            <w:rPr>
                              <w:rFonts w:ascii="Cambria Math" w:hAnsi="Cambria Math"/>
                            </w:rPr>
                            <m:t>log⁡</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poisson</m:t>
                              </m:r>
                            </m:sub>
                          </m:sSub>
                          <m:r>
                            <w:rPr>
                              <w:rFonts w:ascii="Cambria Math" w:hAnsi="Cambria Math"/>
                            </w:rPr>
                            <m:t>(</m:t>
                          </m:r>
                        </m:e>
                      </m:nary>
                    </m:e>
                  </m:nary>
                </m:e>
              </m:nary>
              <m:sSub>
                <m:sSubPr>
                  <m:ctrlPr>
                    <w:rPr>
                      <w:rFonts w:ascii="Cambria Math" w:hAnsi="Cambria Math"/>
                      <w:i/>
                    </w:rPr>
                  </m:ctrlPr>
                </m:sSubPr>
                <m:e>
                  <m:r>
                    <w:rPr>
                      <w:rFonts w:ascii="Cambria Math" w:hAnsi="Cambria Math"/>
                    </w:rPr>
                    <m:t>Y</m:t>
                  </m:r>
                </m:e>
                <m:sub>
                  <m:r>
                    <w:rPr>
                      <w:rFonts w:ascii="Cambria Math" w:hAnsi="Cambria Math"/>
                    </w:rPr>
                    <m:t>aitv</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aitv</m:t>
                  </m:r>
                </m:sub>
              </m:sSub>
              <m:r>
                <w:rPr>
                  <w:rFonts w:ascii="Cambria Math" w:hAnsi="Cambria Math"/>
                </w:rPr>
                <m:t>))</m:t>
              </m:r>
            </m:e>
          </m:nary>
        </m:oMath>
      </m:oMathPara>
    </w:p>
    <w:p w14:paraId="3944A270" w14:textId="7625152E" w:rsidR="00796D10" w:rsidRPr="00827DE5" w:rsidRDefault="004F506A" w:rsidP="00FA20D2">
      <w:r w:rsidRPr="00827DE5">
        <w:t>The log posterior is then computed by summing the log-likelihood and the log-prior.</w:t>
      </w:r>
    </w:p>
    <w:p w14:paraId="631C0D9E" w14:textId="3D9CB9BA" w:rsidR="00CF2E7D" w:rsidRPr="00827DE5" w:rsidRDefault="00783C3A" w:rsidP="0086658C">
      <w:pPr>
        <w:pStyle w:val="Heading2"/>
      </w:pPr>
      <w:bookmarkStart w:id="13" w:name="_Toc162889799"/>
      <w:r w:rsidRPr="00827DE5">
        <w:t>Stochastic simulations</w:t>
      </w:r>
      <w:bookmarkEnd w:id="13"/>
    </w:p>
    <w:p w14:paraId="3944D8D3" w14:textId="7FCFC14D" w:rsidR="001538E4" w:rsidRPr="00827DE5" w:rsidRDefault="00783C3A" w:rsidP="006C601C">
      <w:r w:rsidRPr="00827DE5">
        <w:t>In the stochastic version of the model, the number of transitions between compartments is drawn using a binomial distribution and the rate of transition, whereas only the rate of transition is used in the deterministic fits. Stochastic simulations were implemented to explore the range of scenarios generated by the parameter sets and the specification of the model.</w:t>
      </w:r>
      <w:r w:rsidR="009065AB">
        <w:t xml:space="preserve"> We generated 5,000 stochastic simulations per scenario.</w:t>
      </w:r>
    </w:p>
    <w:p w14:paraId="4A96867F" w14:textId="01560C14" w:rsidR="00E95DA6" w:rsidRPr="00827DE5" w:rsidRDefault="00AC456D" w:rsidP="006C601C">
      <w:pPr>
        <w:pStyle w:val="Heading1"/>
      </w:pPr>
      <w:bookmarkStart w:id="14" w:name="_Toc162889800"/>
      <w:r>
        <w:t xml:space="preserve">Section S2: </w:t>
      </w:r>
      <w:r w:rsidR="003E1CBB">
        <w:t>V</w:t>
      </w:r>
      <w:r w:rsidR="00827DE5" w:rsidRPr="00827DE5">
        <w:t xml:space="preserve">accine </w:t>
      </w:r>
      <w:r w:rsidR="003E1CBB">
        <w:t>d</w:t>
      </w:r>
      <w:r w:rsidR="00E95DA6" w:rsidRPr="00827DE5">
        <w:t>ata</w:t>
      </w:r>
      <w:bookmarkEnd w:id="14"/>
    </w:p>
    <w:p w14:paraId="11B8631A" w14:textId="26315C8E" w:rsidR="00827DE5" w:rsidRPr="00827DE5" w:rsidRDefault="00827DE5" w:rsidP="00827DE5">
      <w:pPr>
        <w:pStyle w:val="Heading2"/>
      </w:pPr>
      <w:bookmarkStart w:id="15" w:name="_Toc162889801"/>
      <w:r w:rsidRPr="00827DE5">
        <w:t>Description and comparison</w:t>
      </w:r>
      <w:r w:rsidR="00C5563B">
        <w:t xml:space="preserve"> of </w:t>
      </w:r>
      <w:r w:rsidR="003E1CBB" w:rsidRPr="00827DE5">
        <w:t xml:space="preserve">COVER and CPRD </w:t>
      </w:r>
      <w:r w:rsidRPr="00827DE5">
        <w:t>datasets</w:t>
      </w:r>
      <w:bookmarkEnd w:id="15"/>
    </w:p>
    <w:p w14:paraId="7DA60354" w14:textId="5D7C5D8E" w:rsidR="00491D01" w:rsidRPr="00CC3D3B" w:rsidRDefault="00491D01" w:rsidP="00491D01">
      <w:pPr>
        <w:pStyle w:val="paragraph"/>
        <w:rPr>
          <w:rStyle w:val="normaltextrun"/>
          <w:rFonts w:asciiTheme="minorHAnsi" w:eastAsiaTheme="majorEastAsia" w:hAnsiTheme="minorHAnsi" w:cstheme="minorHAnsi"/>
          <w:sz w:val="22"/>
          <w:szCs w:val="22"/>
        </w:rPr>
      </w:pPr>
      <w:r w:rsidRPr="00CC3D3B">
        <w:rPr>
          <w:rStyle w:val="normaltextrun"/>
          <w:rFonts w:asciiTheme="minorHAnsi" w:eastAsiaTheme="majorEastAsia" w:hAnsiTheme="minorHAnsi" w:cstheme="minorHAnsi"/>
          <w:sz w:val="22"/>
          <w:szCs w:val="22"/>
        </w:rPr>
        <w:t xml:space="preserve">Cover of Vaccination Evaluated Rapidly (COVER), a dataset published by NHS Digital summarising UK vaccination coverage at the age 2 and 5 for the MMR vaccine, at a regional level </w:t>
      </w:r>
      <w:r w:rsidRPr="00CC3D3B">
        <w:rPr>
          <w:rStyle w:val="normaltextrun"/>
          <w:rFonts w:asciiTheme="minorHAnsi" w:eastAsiaTheme="majorEastAsia" w:hAnsiTheme="minorHAnsi" w:cstheme="minorHAnsi"/>
          <w:sz w:val="22"/>
          <w:szCs w:val="22"/>
        </w:rPr>
        <w:fldChar w:fldCharType="begin"/>
      </w:r>
      <w:r w:rsidR="00FA2321" w:rsidRPr="00CC3D3B">
        <w:rPr>
          <w:rStyle w:val="normaltextrun"/>
          <w:rFonts w:asciiTheme="minorHAnsi" w:eastAsiaTheme="majorEastAsia" w:hAnsiTheme="minorHAnsi" w:cstheme="minorHAnsi"/>
          <w:sz w:val="22"/>
          <w:szCs w:val="22"/>
        </w:rPr>
        <w:instrText xml:space="preserve"> ADDIN ZOTERO_ITEM CSL_CITATION {"citationID":"naIeILXB","properties":{"formattedCitation":"(8)","plainCitation":"(8)","noteIndex":0},"citationItems":[{"id":749,"uris":["http://zotero.org/users/11743005/items/TMNAF8JG"],"itemData":{"id":749,"type":"dataset","title":"Cover of Vaccination Evaluated Rapidly (COVER)","URL":"https://digital.nhs.uk/data-and-information/data-collections-and-data-sets/data-collections/cover-of-vaccination-evaluated-rapidly","author":[{"family":"NHS digital.","given":""}],"accessed":{"date-parts":[["2024",2,20]]},"issued":{"date-parts":[["2023"]]}}}],"schema":"https://github.com/citation-style-language/schema/raw/master/csl-citation.json"} </w:instrText>
      </w:r>
      <w:r w:rsidRPr="00CC3D3B">
        <w:rPr>
          <w:rStyle w:val="normaltextrun"/>
          <w:rFonts w:asciiTheme="minorHAnsi" w:eastAsiaTheme="majorEastAsia" w:hAnsiTheme="minorHAnsi" w:cstheme="minorHAnsi"/>
          <w:sz w:val="22"/>
          <w:szCs w:val="22"/>
        </w:rPr>
        <w:fldChar w:fldCharType="separate"/>
      </w:r>
      <w:r w:rsidR="00FA2321" w:rsidRPr="00CC3D3B">
        <w:rPr>
          <w:rFonts w:asciiTheme="minorHAnsi" w:eastAsiaTheme="majorEastAsia" w:hAnsiTheme="minorHAnsi" w:cstheme="minorHAnsi"/>
          <w:sz w:val="22"/>
          <w:szCs w:val="22"/>
        </w:rPr>
        <w:t>(8)</w:t>
      </w:r>
      <w:r w:rsidRPr="00CC3D3B">
        <w:rPr>
          <w:rStyle w:val="normaltextrun"/>
          <w:rFonts w:asciiTheme="minorHAnsi" w:eastAsiaTheme="majorEastAsia" w:hAnsiTheme="minorHAnsi" w:cstheme="minorHAnsi"/>
          <w:sz w:val="22"/>
          <w:szCs w:val="22"/>
        </w:rPr>
        <w:fldChar w:fldCharType="end"/>
      </w:r>
      <w:r w:rsidRPr="00CC3D3B">
        <w:rPr>
          <w:rStyle w:val="normaltextrun"/>
          <w:rFonts w:asciiTheme="minorHAnsi" w:eastAsiaTheme="majorEastAsia" w:hAnsiTheme="minorHAnsi" w:cstheme="minorHAnsi"/>
          <w:sz w:val="22"/>
          <w:szCs w:val="22"/>
        </w:rPr>
        <w:t xml:space="preserve">. Coverage data was available for children born between 2000 and 2019. Local 2-year coverage was available for children born from 2004. Region-stratified coverage data was not available for children born before 2004, so we used the first and second dose coverage from UKHSA’s Risk assessment for measles resurgence in the UK, which gives the national coverage in the country and in London. However, COVER data does not contain information on coverage at ages 1, 3, </w:t>
      </w:r>
      <w:r w:rsidR="0058419D">
        <w:rPr>
          <w:rStyle w:val="normaltextrun"/>
          <w:rFonts w:asciiTheme="minorHAnsi" w:eastAsiaTheme="majorEastAsia" w:hAnsiTheme="minorHAnsi" w:cstheme="minorHAnsi"/>
          <w:sz w:val="22"/>
          <w:szCs w:val="22"/>
        </w:rPr>
        <w:t xml:space="preserve">and </w:t>
      </w:r>
      <w:r w:rsidRPr="00CC3D3B">
        <w:rPr>
          <w:rStyle w:val="normaltextrun"/>
          <w:rFonts w:asciiTheme="minorHAnsi" w:eastAsiaTheme="majorEastAsia" w:hAnsiTheme="minorHAnsi" w:cstheme="minorHAnsi"/>
          <w:sz w:val="22"/>
          <w:szCs w:val="22"/>
        </w:rPr>
        <w:t>4, and previous reports have indicated that they may be subject to under-ascertainment</w:t>
      </w:r>
      <w:r w:rsidRPr="00CC3D3B">
        <w:rPr>
          <w:rStyle w:val="eop"/>
          <w:rFonts w:asciiTheme="minorHAnsi" w:hAnsiTheme="minorHAnsi" w:cstheme="minorHAnsi"/>
          <w:sz w:val="22"/>
          <w:szCs w:val="22"/>
        </w:rPr>
        <w:t xml:space="preserve"> </w:t>
      </w:r>
      <w:r w:rsidRPr="00CC3D3B">
        <w:rPr>
          <w:rStyle w:val="normaltextrun"/>
          <w:rFonts w:asciiTheme="minorHAnsi" w:eastAsiaTheme="majorEastAsia" w:hAnsiTheme="minorHAnsi" w:cstheme="minorHAnsi"/>
          <w:sz w:val="22"/>
          <w:szCs w:val="22"/>
        </w:rPr>
        <w:fldChar w:fldCharType="begin"/>
      </w:r>
      <w:r w:rsidR="00FA2321" w:rsidRPr="00CC3D3B">
        <w:rPr>
          <w:rStyle w:val="normaltextrun"/>
          <w:rFonts w:asciiTheme="minorHAnsi" w:eastAsiaTheme="majorEastAsia" w:hAnsiTheme="minorHAnsi" w:cstheme="minorHAnsi"/>
          <w:sz w:val="22"/>
          <w:szCs w:val="22"/>
        </w:rPr>
        <w:instrText xml:space="preserve"> ADDIN ZOTERO_ITEM CSL_CITATION {"citationID":"mUzjwX5z","properties":{"formattedCitation":"(9,10)","plainCitation":"(9,10)","noteIndex":0},"citationItems":[{"id":739,"uris":["http://zotero.org/users/11743005/items/89L4T48B"],"itemData":{"id":739,"type":"article-journal","language":"en","source":"Zotero","title":"Risk assessment for measles resurgence in the UK","URL":"https://www.gov.uk/government/publications/measles-risk-assessment-for-resurgence-in-the-uk","author":[{"family":"UKHSA, Immunisation and Vaccine Preventable Diseases Division","given":""}],"accessed":{"date-parts":[["2024",2,20]]},"issued":{"date-parts":[["2023",5]]}}},{"id":784,"uris":["http://zotero.org/users/11743005/items/EQEL4G74"],"itemData":{"id":784,"type":"article-journal","language":"en","source":"Zotero","title":"Uk Measles and Rubella elimination strategy  2019","URL":"https://www.gov.uk/government/publications/measles-and-rubella-elimination-uk-strategy","author":[{"family":"Public Health England","given":""}],"accessed":{"date-parts":[["2024",2,23]]},"issued":{"date-parts":[["2019",1,9]]}}}],"schema":"https://github.com/citation-style-language/schema/raw/master/csl-citation.json"} </w:instrText>
      </w:r>
      <w:r w:rsidRPr="00CC3D3B">
        <w:rPr>
          <w:rStyle w:val="normaltextrun"/>
          <w:rFonts w:asciiTheme="minorHAnsi" w:eastAsiaTheme="majorEastAsia" w:hAnsiTheme="minorHAnsi" w:cstheme="minorHAnsi"/>
          <w:sz w:val="22"/>
          <w:szCs w:val="22"/>
        </w:rPr>
        <w:fldChar w:fldCharType="separate"/>
      </w:r>
      <w:r w:rsidR="00FA2321" w:rsidRPr="00CC3D3B">
        <w:rPr>
          <w:rFonts w:asciiTheme="minorHAnsi" w:eastAsiaTheme="majorEastAsia" w:hAnsiTheme="minorHAnsi" w:cstheme="minorHAnsi"/>
          <w:sz w:val="22"/>
          <w:szCs w:val="22"/>
        </w:rPr>
        <w:t>(9,10)</w:t>
      </w:r>
      <w:r w:rsidRPr="00CC3D3B">
        <w:rPr>
          <w:rStyle w:val="normaltextrun"/>
          <w:rFonts w:asciiTheme="minorHAnsi" w:eastAsiaTheme="majorEastAsia" w:hAnsiTheme="minorHAnsi" w:cstheme="minorHAnsi"/>
          <w:sz w:val="22"/>
          <w:szCs w:val="22"/>
        </w:rPr>
        <w:fldChar w:fldCharType="end"/>
      </w:r>
      <w:r w:rsidRPr="00CC3D3B">
        <w:rPr>
          <w:rStyle w:val="normaltextrun"/>
          <w:rFonts w:asciiTheme="minorHAnsi" w:eastAsiaTheme="majorEastAsia" w:hAnsiTheme="minorHAnsi" w:cstheme="minorHAnsi"/>
          <w:sz w:val="22"/>
          <w:szCs w:val="22"/>
        </w:rPr>
        <w:t>.</w:t>
      </w:r>
    </w:p>
    <w:p w14:paraId="64DAA7DF" w14:textId="4D604E2A" w:rsidR="00491D01" w:rsidRPr="00827DE5" w:rsidRDefault="00491D01" w:rsidP="00491D01">
      <w:pPr>
        <w:rPr>
          <w:rStyle w:val="eop"/>
          <w:rFonts w:eastAsia="Times New Roman"/>
          <w:kern w:val="0"/>
          <w:lang w:eastAsia="en-GB"/>
        </w:rPr>
      </w:pPr>
      <w:r w:rsidRPr="00827DE5">
        <w:rPr>
          <w:rStyle w:val="normaltextrun"/>
          <w:rFonts w:ascii="Calibri" w:eastAsiaTheme="majorEastAsia" w:hAnsi="Calibri" w:cs="Calibri"/>
        </w:rPr>
        <w:t xml:space="preserve">We also use the Clinical Practice Research Datalink (CRPD) </w:t>
      </w:r>
      <w:proofErr w:type="spellStart"/>
      <w:r w:rsidRPr="00827DE5">
        <w:rPr>
          <w:rStyle w:val="normaltextrun"/>
          <w:rFonts w:ascii="Calibri" w:eastAsiaTheme="majorEastAsia" w:hAnsi="Calibri" w:cs="Calibri"/>
        </w:rPr>
        <w:t>Aurum</w:t>
      </w:r>
      <w:proofErr w:type="spellEnd"/>
      <w:r w:rsidRPr="00827DE5">
        <w:rPr>
          <w:rStyle w:val="normaltextrun"/>
          <w:rFonts w:ascii="Calibri" w:eastAsiaTheme="majorEastAsia" w:hAnsi="Calibri" w:cs="Calibri"/>
        </w:rPr>
        <w:t xml:space="preserve">, a primary care dataset from GP practices containing patient-level information on symptoms and diagnoses, clinical tests and results, immunisations, prescriptions and referrals to other services </w:t>
      </w:r>
      <w:r w:rsidRPr="00827DE5">
        <w:rPr>
          <w:rStyle w:val="normaltextrun"/>
          <w:rFonts w:ascii="Calibri" w:eastAsiaTheme="majorEastAsia" w:hAnsi="Calibri" w:cs="Calibri"/>
        </w:rPr>
        <w:fldChar w:fldCharType="begin"/>
      </w:r>
      <w:r w:rsidR="00FA2321">
        <w:rPr>
          <w:rStyle w:val="normaltextrun"/>
          <w:rFonts w:ascii="Calibri" w:eastAsiaTheme="majorEastAsia" w:hAnsi="Calibri" w:cs="Calibri"/>
        </w:rPr>
        <w:instrText xml:space="preserve"> ADDIN ZOTERO_ITEM CSL_CITATION {"citationID":"aXcEeveI","properties":{"formattedCitation":"(11)","plainCitation":"(11)","noteIndex":0},"citationItems":[{"id":740,"uris":["http://zotero.org/users/11743005/items/7XMRLYY2"],"itemData":{"id":740,"type":"dataset","DOI":"https://doi.org/10.48329/9M6M-FR20","title":"CPRD Aurum March 2021","version":"2021.03.001","author":[{"family":"Clinical Practice Research Datalink","given":""}],"issued":{"date-parts":[["2021"]]}}}],"schema":"https://github.com/citation-style-language/schema/raw/master/csl-citation.json"} </w:instrText>
      </w:r>
      <w:r w:rsidRPr="00827DE5">
        <w:rPr>
          <w:rStyle w:val="normaltextrun"/>
          <w:rFonts w:ascii="Calibri" w:eastAsiaTheme="majorEastAsia" w:hAnsi="Calibri" w:cs="Calibri"/>
        </w:rPr>
        <w:fldChar w:fldCharType="separate"/>
      </w:r>
      <w:r w:rsidR="00FA2321" w:rsidRPr="00FA2321">
        <w:rPr>
          <w:rFonts w:ascii="Calibri" w:hAnsi="Calibri" w:cs="Calibri"/>
        </w:rPr>
        <w:t>(11)</w:t>
      </w:r>
      <w:r w:rsidRPr="00827DE5">
        <w:rPr>
          <w:rStyle w:val="normaltextrun"/>
          <w:rFonts w:ascii="Calibri" w:eastAsiaTheme="majorEastAsia" w:hAnsi="Calibri" w:cs="Calibri"/>
        </w:rPr>
        <w:fldChar w:fldCharType="end"/>
      </w:r>
      <w:r w:rsidRPr="00827DE5">
        <w:rPr>
          <w:rStyle w:val="normaltextrun"/>
          <w:rFonts w:ascii="Calibri" w:eastAsiaTheme="majorEastAsia" w:hAnsi="Calibri" w:cs="Calibri"/>
        </w:rPr>
        <w:t>.</w:t>
      </w:r>
      <w:r w:rsidR="007C4ECE">
        <w:rPr>
          <w:rStyle w:val="normaltextrun"/>
          <w:rFonts w:ascii="Calibri" w:eastAsiaTheme="majorEastAsia" w:hAnsi="Calibri" w:cs="Calibri"/>
        </w:rPr>
        <w:t xml:space="preserve"> </w:t>
      </w:r>
      <w:r w:rsidRPr="00827DE5">
        <w:rPr>
          <w:rStyle w:val="normaltextrun"/>
          <w:rFonts w:ascii="Calibri" w:eastAsiaTheme="majorEastAsia" w:hAnsi="Calibri" w:cs="Calibri"/>
        </w:rPr>
        <w:t xml:space="preserve">In 2022, CPRD </w:t>
      </w:r>
      <w:proofErr w:type="spellStart"/>
      <w:r w:rsidRPr="00827DE5">
        <w:rPr>
          <w:rStyle w:val="normaltextrun"/>
          <w:rFonts w:ascii="Calibri" w:eastAsiaTheme="majorEastAsia" w:hAnsi="Calibri" w:cs="Calibri"/>
        </w:rPr>
        <w:t>Aurum</w:t>
      </w:r>
      <w:proofErr w:type="spellEnd"/>
      <w:r w:rsidRPr="00827DE5">
        <w:rPr>
          <w:rStyle w:val="normaltextrun"/>
          <w:rFonts w:ascii="Calibri" w:eastAsiaTheme="majorEastAsia" w:hAnsi="Calibri" w:cs="Calibri"/>
        </w:rPr>
        <w:t xml:space="preserve"> contained data from around 25 million patients and was broadly representative of England by geographical spread, age, sex and ethnicity </w:t>
      </w:r>
      <w:r w:rsidRPr="00827DE5">
        <w:rPr>
          <w:rStyle w:val="normaltextrun"/>
          <w:rFonts w:ascii="Calibri" w:eastAsiaTheme="majorEastAsia" w:hAnsi="Calibri" w:cs="Calibri"/>
        </w:rPr>
        <w:fldChar w:fldCharType="begin"/>
      </w:r>
      <w:r w:rsidR="00FA2321">
        <w:rPr>
          <w:rStyle w:val="normaltextrun"/>
          <w:rFonts w:ascii="Calibri" w:eastAsiaTheme="majorEastAsia" w:hAnsi="Calibri" w:cs="Calibri"/>
        </w:rPr>
        <w:instrText xml:space="preserve"> ADDIN ZOTERO_ITEM CSL_CITATION {"citationID":"xSlXgfS2","properties":{"formattedCitation":"(12)","plainCitation":"(12)","noteIndex":0},"citationItems":[{"id":742,"uris":["http://zotero.org/users/11743005/items/RWKP8K57"],"itemData":{"id":742,"type":"article-journal","container-title":"International Journal of Epidemiology","DOI":"10.1093/ije/dyz034","ISSN":"0300-5771, 1464-3685","issue":"6","language":"en","page":"1740-1740g","source":"DOI.org (Crossref)","title":"Data resource profile: Clinical Practice Research Datalink (CPRD) Aurum","title-short":"Data resource profile","volume":"48","author":[{"family":"Wolf","given":"Achim"},{"family":"Dedman","given":"Daniel"},{"family":"Campbell","given":"Jennifer"},{"family":"Booth","given":"Helen"},{"family":"Lunn","given":"Darren"},{"family":"Chapman","given":"Jennifer"},{"family":"Myles","given":"Puja"}],"issued":{"date-parts":[["2019",12,1]]}}}],"schema":"https://github.com/citation-style-language/schema/raw/master/csl-citation.json"} </w:instrText>
      </w:r>
      <w:r w:rsidRPr="00827DE5">
        <w:rPr>
          <w:rStyle w:val="normaltextrun"/>
          <w:rFonts w:ascii="Calibri" w:eastAsiaTheme="majorEastAsia" w:hAnsi="Calibri" w:cs="Calibri"/>
        </w:rPr>
        <w:fldChar w:fldCharType="separate"/>
      </w:r>
      <w:r w:rsidR="00FA2321" w:rsidRPr="00FA2321">
        <w:rPr>
          <w:rFonts w:ascii="Calibri" w:hAnsi="Calibri" w:cs="Calibri"/>
        </w:rPr>
        <w:t>(12)</w:t>
      </w:r>
      <w:r w:rsidRPr="00827DE5">
        <w:rPr>
          <w:rStyle w:val="normaltextrun"/>
          <w:rFonts w:ascii="Calibri" w:eastAsiaTheme="majorEastAsia" w:hAnsi="Calibri" w:cs="Calibri"/>
        </w:rPr>
        <w:fldChar w:fldCharType="end"/>
      </w:r>
      <w:r w:rsidRPr="00827DE5">
        <w:rPr>
          <w:rStyle w:val="normaltextrun"/>
          <w:rFonts w:ascii="Calibri" w:eastAsiaTheme="majorEastAsia" w:hAnsi="Calibri" w:cs="Calibri"/>
        </w:rPr>
        <w:t>.  </w:t>
      </w:r>
      <w:r w:rsidRPr="00827DE5">
        <w:rPr>
          <w:rStyle w:val="normaltextrun"/>
          <w:rFonts w:ascii="Calibri" w:hAnsi="Calibri" w:cs="Calibri"/>
        </w:rPr>
        <w:t xml:space="preserve">Using a validated algorithm to identify vaccination records </w:t>
      </w:r>
      <w:r w:rsidRPr="00827DE5">
        <w:rPr>
          <w:rStyle w:val="normaltextrun"/>
          <w:rFonts w:ascii="Calibri" w:hAnsi="Calibri" w:cs="Calibri"/>
        </w:rPr>
        <w:fldChar w:fldCharType="begin"/>
      </w:r>
      <w:r w:rsidR="00FA2321">
        <w:rPr>
          <w:rStyle w:val="normaltextrun"/>
          <w:rFonts w:ascii="Calibri" w:hAnsi="Calibri" w:cs="Calibri"/>
        </w:rPr>
        <w:instrText xml:space="preserve"> ADDIN ZOTERO_ITEM CSL_CITATION {"citationID":"kRwuq1R2","properties":{"formattedCitation":"(13)","plainCitation":"(13)","noteIndex":0},"citationItems":[{"id":744,"uris":["http://zotero.org/users/11743005/items/FNZI6W77"],"itemData":{"id":744,"type":"report","abstract":"Routinely collected electronic health records (EHR) offer a valuable opportunity to carry out research on immunisation uptake, effectiveness and safety, using large and representative samples of the population. However, using EHR presents challenges for identifying vaccinated and unvaccinated cohorts. Some vaccinations are delivered in different care settings, so may not be fully recorded in primary care EHR. In contrast to other drugs, they do not require electronic prescription in many settings, which may lead to ambiguous coding of vaccination status and timing. Additionally, for childhood vaccination, there may be other challenges of identifying the study population eligible for vaccination due to changes in immunisation schedules over time, different vaccine indications depending on the context (e.g., tetanus vaccination after exposure) and the lack of full dates of birth in many databases of data confidentiality restrictions.","genre":"preprint","language":"en","note":"DOI: 10.1101/2023.02.28.23286573","publisher":"Epidemiology","source":"DOI.org (Crossref)","title":"Methodological challenges and recommendations for identifying childhood immunisations using routine electronic health records in the United Kingdom","URL":"http://medrxiv.org/lookup/doi/10.1101/2023.02.28.23286573","author":[{"family":"Suffel","given":"Anne M"},{"family":"Walker","given":"Jemma L"},{"family":"Campbell","given":"Colin"},{"family":"Carreira","given":"Helena"},{"family":"Warren-Gash","given":"Charlotte"},{"family":"McDonald","given":"Helen I"}],"accessed":{"date-parts":[["2024",2,20]]},"issued":{"date-parts":[["2023",3,1]]}}}],"schema":"https://github.com/citation-style-language/schema/raw/master/csl-citation.json"} </w:instrText>
      </w:r>
      <w:r w:rsidRPr="00827DE5">
        <w:rPr>
          <w:rStyle w:val="normaltextrun"/>
          <w:rFonts w:ascii="Calibri" w:hAnsi="Calibri" w:cs="Calibri"/>
        </w:rPr>
        <w:fldChar w:fldCharType="separate"/>
      </w:r>
      <w:r w:rsidR="00FA2321" w:rsidRPr="00FA2321">
        <w:rPr>
          <w:rFonts w:ascii="Calibri" w:hAnsi="Calibri" w:cs="Calibri"/>
        </w:rPr>
        <w:t>(13)</w:t>
      </w:r>
      <w:r w:rsidRPr="00827DE5">
        <w:rPr>
          <w:rStyle w:val="normaltextrun"/>
          <w:rFonts w:ascii="Calibri" w:hAnsi="Calibri" w:cs="Calibri"/>
        </w:rPr>
        <w:fldChar w:fldCharType="end"/>
      </w:r>
      <w:r w:rsidRPr="00827DE5">
        <w:rPr>
          <w:rStyle w:val="normaltextrun"/>
          <w:rFonts w:ascii="Calibri" w:hAnsi="Calibri" w:cs="Calibri"/>
        </w:rPr>
        <w:t>, vaccination coverage at the ages of 1, 2, 3, 4, and 5 years was estimated from the electronic health records</w:t>
      </w:r>
      <w:r w:rsidR="00317DA8" w:rsidRPr="00827DE5">
        <w:rPr>
          <w:rStyle w:val="normaltextrun"/>
          <w:rFonts w:ascii="Calibri" w:hAnsi="Calibri" w:cs="Calibri"/>
        </w:rPr>
        <w:t xml:space="preserve"> of 573,015 children</w:t>
      </w:r>
      <w:r w:rsidR="00B91827" w:rsidRPr="00B91827">
        <w:t xml:space="preserve"> </w:t>
      </w:r>
      <w:r w:rsidR="00B91827" w:rsidRPr="00B91827">
        <w:rPr>
          <w:rStyle w:val="normaltextrun"/>
          <w:rFonts w:ascii="Calibri" w:hAnsi="Calibri" w:cs="Calibri"/>
        </w:rPr>
        <w:t>who have been followed up until the age of five</w:t>
      </w:r>
      <w:r w:rsidRPr="00827DE5">
        <w:rPr>
          <w:rStyle w:val="normaltextrun"/>
          <w:rFonts w:ascii="Calibri" w:hAnsi="Calibri" w:cs="Calibri"/>
        </w:rPr>
        <w:t xml:space="preserve">. The results were previously published </w:t>
      </w:r>
      <w:r w:rsidRPr="00827DE5">
        <w:rPr>
          <w:rStyle w:val="normaltextrun"/>
          <w:rFonts w:ascii="Calibri" w:hAnsi="Calibri" w:cs="Calibri"/>
        </w:rPr>
        <w:fldChar w:fldCharType="begin"/>
      </w:r>
      <w:r w:rsidR="00FA2321">
        <w:rPr>
          <w:rStyle w:val="normaltextrun"/>
          <w:rFonts w:ascii="Calibri" w:hAnsi="Calibri" w:cs="Calibri"/>
        </w:rPr>
        <w:instrText xml:space="preserve"> ADDIN ZOTERO_ITEM CSL_CITATION {"citationID":"Qn6JZ1RL","properties":{"formattedCitation":"(14)","plainCitation":"(14)","noteIndex":0},"citationItems":[{"id":746,"uris":["http://zotero.org/users/11743005/items/BJDS8YR3"],"itemData":{"id":746,"type":"article-journal","abstract":"Introduction: Vaccine surveillance for children in England focuses on coverage at ages 1, 2, and 5 years. Previous studies exploring vaccine timeliness have used different arbitrary categories to define whether vaccines were received ‘late’ or ‘on time’. This paper aims to provide more detailed and holistic information on timing and patterns of vaccine uptake across the childhood immunisation schedule in England.","container-title":"Vaccine","DOI":"10.1016/j.vaccine.2023.08.002","ISSN":"0264410X","issue":"39","journalAbbreviation":"Vaccine","language":"en","page":"5775-5781","source":"DOI.org (Crossref)","title":"Timeliness of childhood vaccination in England: A population-based cohort study","title-short":"Timeliness of childhood vaccination in England","volume":"41","author":[{"family":"Suffel","given":"Anne M."},{"family":"Walker","given":"Jemma L."},{"family":"Williamson","given":"Elizabeth"},{"family":"McDonald","given":"Helen I."},{"family":"Warren-Gash","given":"Charlotte"}],"issued":{"date-parts":[["2023",9]]}}}],"schema":"https://github.com/citation-style-language/schema/raw/master/csl-citation.json"} </w:instrText>
      </w:r>
      <w:r w:rsidRPr="00827DE5">
        <w:rPr>
          <w:rStyle w:val="normaltextrun"/>
          <w:rFonts w:ascii="Calibri" w:hAnsi="Calibri" w:cs="Calibri"/>
        </w:rPr>
        <w:fldChar w:fldCharType="separate"/>
      </w:r>
      <w:r w:rsidR="00FA2321" w:rsidRPr="00FA2321">
        <w:rPr>
          <w:rFonts w:ascii="Calibri" w:hAnsi="Calibri" w:cs="Calibri"/>
        </w:rPr>
        <w:t>(14)</w:t>
      </w:r>
      <w:r w:rsidRPr="00827DE5">
        <w:rPr>
          <w:rStyle w:val="normaltextrun"/>
          <w:rFonts w:ascii="Calibri" w:hAnsi="Calibri" w:cs="Calibri"/>
        </w:rPr>
        <w:fldChar w:fldCharType="end"/>
      </w:r>
      <w:r w:rsidRPr="00827DE5">
        <w:rPr>
          <w:rStyle w:val="normaltextrun"/>
          <w:rFonts w:ascii="Calibri" w:hAnsi="Calibri" w:cs="Calibri"/>
        </w:rPr>
        <w:t xml:space="preserve">. </w:t>
      </w:r>
      <w:r w:rsidRPr="00827DE5">
        <w:rPr>
          <w:rStyle w:val="eop"/>
          <w:rFonts w:eastAsia="Times New Roman"/>
          <w:kern w:val="0"/>
          <w:lang w:eastAsia="en-GB"/>
        </w:rPr>
        <w:t xml:space="preserve">As the CPRD data was only available for children born between 2006 and 2015, this covered all age bands between 0 and 5 in the years 2010 to 2016. </w:t>
      </w:r>
      <w:r w:rsidR="000763AC" w:rsidRPr="00827DE5">
        <w:rPr>
          <w:rStyle w:val="eop"/>
          <w:rFonts w:eastAsia="Times New Roman"/>
          <w:kern w:val="0"/>
          <w:lang w:eastAsia="en-GB"/>
        </w:rPr>
        <w:t xml:space="preserve">Therefore, compared to COVER data, </w:t>
      </w:r>
      <w:r w:rsidRPr="00827DE5">
        <w:rPr>
          <w:rStyle w:val="eop"/>
          <w:rFonts w:eastAsia="Times New Roman"/>
          <w:kern w:val="0"/>
          <w:lang w:eastAsia="en-GB"/>
        </w:rPr>
        <w:t xml:space="preserve">CPRD data contains information on how coverage changes at each age group, but covers a more narrow time period. </w:t>
      </w:r>
    </w:p>
    <w:p w14:paraId="512BC160" w14:textId="4DFCDFF7" w:rsidR="0021001A" w:rsidRPr="00827DE5" w:rsidRDefault="0021001A" w:rsidP="0021001A">
      <w:r w:rsidRPr="00827DE5">
        <w:lastRenderedPageBreak/>
        <w:t xml:space="preserve">Vaccination coverage estimates for England in CPRD are consistently between 2 and 4%  </w:t>
      </w:r>
      <w:r w:rsidR="005C3332" w:rsidRPr="00827DE5">
        <w:t>higher</w:t>
      </w:r>
      <w:r w:rsidRPr="00827DE5">
        <w:t xml:space="preserve"> than the COVER estimates (</w:t>
      </w:r>
      <w:r w:rsidR="00FC1281">
        <w:t>T</w:t>
      </w:r>
      <w:r w:rsidRPr="00827DE5">
        <w:t xml:space="preserve">able </w:t>
      </w:r>
      <w:r w:rsidR="00FC1281">
        <w:t>S2</w:t>
      </w:r>
      <w:r w:rsidRPr="00827DE5">
        <w:t xml:space="preserve">). The same is true for coverage at regional level, for both first and second MMR dose, the coverage in CPRD usually remains </w:t>
      </w:r>
      <w:r w:rsidR="001E04CC" w:rsidRPr="00827DE5">
        <w:t>above</w:t>
      </w:r>
      <w:r w:rsidRPr="00827DE5">
        <w:t xml:space="preserve"> the coverage in COVER (figures </w:t>
      </w:r>
      <w:r w:rsidR="00CD09E8">
        <w:t>S1 and S2</w:t>
      </w:r>
      <w:r w:rsidRPr="00827DE5">
        <w:t xml:space="preserve">). The only exception is London which has a </w:t>
      </w:r>
      <w:r w:rsidR="005F08BA" w:rsidRPr="00827DE5">
        <w:t>lower</w:t>
      </w:r>
      <w:r w:rsidRPr="00827DE5">
        <w:t xml:space="preserve"> coverage for the second MMR dose in CPRD than in COVER from 2015 onwards (see figure </w:t>
      </w:r>
      <w:r w:rsidR="009F6985">
        <w:t>S2</w:t>
      </w:r>
      <w:r w:rsidRPr="00827DE5">
        <w:t>). Other temporal trends remain similar across regions in both data sets (</w:t>
      </w:r>
      <w:r w:rsidR="00CD09E8" w:rsidRPr="00827DE5">
        <w:t xml:space="preserve">figures </w:t>
      </w:r>
      <w:r w:rsidR="00CD09E8">
        <w:t>S1 and S2</w:t>
      </w:r>
      <w:r w:rsidRPr="00827DE5">
        <w:t xml:space="preserve">). </w:t>
      </w:r>
    </w:p>
    <w:p w14:paraId="07A42975" w14:textId="3646ACFB" w:rsidR="0021001A" w:rsidRPr="00827DE5" w:rsidRDefault="0021001A" w:rsidP="0021001A">
      <w:r w:rsidRPr="00827DE5">
        <w:t>Differences in the coverage estimates can result from different population denominators in both data sets</w:t>
      </w:r>
      <w:r w:rsidR="000D3917">
        <w:t>,</w:t>
      </w:r>
      <w:r w:rsidRPr="00827DE5">
        <w:t xml:space="preserve"> and GP practices using different IT systems feeding into the datasets. As quality of prescribing data for vaccines also varies by IT system used in the practice and as EMIS (the IT system CPRD is built on) does not provide an extra in-built feature for recording vaccination, the prescription data might be more inaccurate than in data based on other IT systems. Hence, the clinical codes used to extract vaccination data from CPRD were less conservative than the code lists used for COVER. However, both data sources include codes which are acceptable with regards to payment for vaccination using the national business rules for general practice vaccination programmes, but also allow for wider codes related to the MMR vaccine. </w:t>
      </w:r>
    </w:p>
    <w:p w14:paraId="3FD71E5C" w14:textId="05A7F453" w:rsidR="0021001A" w:rsidRPr="00827DE5" w:rsidRDefault="006D5E16" w:rsidP="0021001A">
      <w:r>
        <w:rPr>
          <w:b/>
          <w:bCs/>
        </w:rPr>
        <w:t xml:space="preserve">Supplementary </w:t>
      </w:r>
      <w:r w:rsidR="0021001A" w:rsidRPr="00827DE5">
        <w:rPr>
          <w:b/>
          <w:bCs/>
        </w:rPr>
        <w:t xml:space="preserve">Table </w:t>
      </w:r>
      <w:r>
        <w:rPr>
          <w:b/>
          <w:bCs/>
        </w:rPr>
        <w:t>S2</w:t>
      </w:r>
      <w:r w:rsidR="0021001A" w:rsidRPr="00827DE5">
        <w:rPr>
          <w:b/>
          <w:bCs/>
        </w:rPr>
        <w:t xml:space="preserve">. Comparison of yearly coverage estimates for </w:t>
      </w:r>
      <w:r w:rsidR="002178D2" w:rsidRPr="00827DE5">
        <w:rPr>
          <w:b/>
          <w:bCs/>
        </w:rPr>
        <w:t>second</w:t>
      </w:r>
      <w:r w:rsidR="0021001A" w:rsidRPr="00827DE5">
        <w:rPr>
          <w:b/>
          <w:bCs/>
        </w:rPr>
        <w:t xml:space="preserve"> dose</w:t>
      </w:r>
      <w:r w:rsidR="002178D2" w:rsidRPr="00827DE5">
        <w:rPr>
          <w:b/>
          <w:bCs/>
        </w:rPr>
        <w:t xml:space="preserve"> </w:t>
      </w:r>
      <w:r w:rsidR="0021001A" w:rsidRPr="00827DE5">
        <w:rPr>
          <w:b/>
          <w:bCs/>
        </w:rPr>
        <w:t xml:space="preserve">the MMR vaccine at age </w:t>
      </w:r>
      <w:r w:rsidR="00EE6D6F" w:rsidRPr="00827DE5">
        <w:rPr>
          <w:b/>
          <w:bCs/>
        </w:rPr>
        <w:t>5</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16"/>
        <w:gridCol w:w="2321"/>
        <w:gridCol w:w="2438"/>
      </w:tblGrid>
      <w:tr w:rsidR="0021001A" w:rsidRPr="00827DE5" w14:paraId="0A1DC6B4" w14:textId="77777777" w:rsidTr="0021001A">
        <w:trPr>
          <w:trHeight w:val="1000"/>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AB47362" w14:textId="77777777" w:rsidR="0021001A" w:rsidRPr="00827DE5" w:rsidRDefault="0021001A">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827DE5">
              <w:rPr>
                <w:rFonts w:ascii="Times New Roman" w:eastAsia="Times New Roman" w:hAnsi="Times New Roman" w:cs="Times New Roman"/>
                <w:b/>
                <w:bCs/>
                <w:kern w:val="0"/>
                <w:sz w:val="24"/>
                <w:szCs w:val="24"/>
                <w:lang w:eastAsia="en-GB"/>
                <w14:ligatures w14:val="none"/>
              </w:rPr>
              <w:t>Year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BB46C7" w14:textId="77777777" w:rsidR="0021001A" w:rsidRPr="00827DE5" w:rsidRDefault="0021001A">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827DE5">
              <w:rPr>
                <w:rFonts w:ascii="Times New Roman" w:eastAsia="Times New Roman" w:hAnsi="Times New Roman" w:cs="Times New Roman"/>
                <w:b/>
                <w:bCs/>
                <w:kern w:val="0"/>
                <w:sz w:val="24"/>
                <w:szCs w:val="24"/>
                <w:lang w:eastAsia="en-GB"/>
                <w14:ligatures w14:val="none"/>
              </w:rPr>
              <w:t>MMR vaccine coverage in CPRD </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6970168" w14:textId="77777777" w:rsidR="0021001A" w:rsidRPr="00827DE5" w:rsidRDefault="0021001A">
            <w:pPr>
              <w:spacing w:after="0" w:line="240" w:lineRule="auto"/>
              <w:textAlignment w:val="baseline"/>
              <w:rPr>
                <w:rFonts w:ascii="Times New Roman" w:eastAsia="Times New Roman" w:hAnsi="Times New Roman" w:cs="Times New Roman"/>
                <w:b/>
                <w:bCs/>
                <w:kern w:val="0"/>
                <w:sz w:val="24"/>
                <w:szCs w:val="24"/>
                <w:lang w:eastAsia="en-GB"/>
                <w14:ligatures w14:val="none"/>
              </w:rPr>
            </w:pPr>
            <w:r w:rsidRPr="00827DE5">
              <w:rPr>
                <w:rFonts w:ascii="Times New Roman" w:eastAsia="Times New Roman" w:hAnsi="Times New Roman" w:cs="Times New Roman"/>
                <w:b/>
                <w:bCs/>
                <w:kern w:val="0"/>
                <w:sz w:val="24"/>
                <w:szCs w:val="24"/>
                <w:lang w:eastAsia="en-GB"/>
                <w14:ligatures w14:val="none"/>
              </w:rPr>
              <w:t>National estimates for MMR in COVER</w:t>
            </w:r>
          </w:p>
        </w:tc>
      </w:tr>
      <w:tr w:rsidR="0021001A" w:rsidRPr="00827DE5" w14:paraId="1FB9DF5C"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35CABA7"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2009-10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531EB5B"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 </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71EB2AF"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82.7 </w:t>
            </w:r>
          </w:p>
        </w:tc>
      </w:tr>
      <w:tr w:rsidR="0021001A" w:rsidRPr="00827DE5" w14:paraId="4F0AB264"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8BA8299"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2010-11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630E792"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 </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30AA85"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84.2 </w:t>
            </w:r>
          </w:p>
        </w:tc>
      </w:tr>
      <w:tr w:rsidR="0021001A" w:rsidRPr="00827DE5" w14:paraId="65E8F681"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86A8CC1"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2011-12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A6AD91"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90.0</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75D6B44"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86.0 </w:t>
            </w:r>
          </w:p>
        </w:tc>
      </w:tr>
      <w:tr w:rsidR="0021001A" w:rsidRPr="00827DE5" w14:paraId="03037105"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54594CC"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2012-13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96A1918"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90.8</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519666"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87.7 </w:t>
            </w:r>
          </w:p>
        </w:tc>
      </w:tr>
      <w:tr w:rsidR="0021001A" w:rsidRPr="00827DE5" w14:paraId="0B1FB02B"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137581"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2013-14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8FA18C"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91.6</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8352D82"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88.3 </w:t>
            </w:r>
          </w:p>
        </w:tc>
      </w:tr>
      <w:tr w:rsidR="0021001A" w:rsidRPr="00827DE5" w14:paraId="1071CFE9"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9B6103A"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2014-15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8995A29"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91.2</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24AF9B"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88.6 </w:t>
            </w:r>
          </w:p>
        </w:tc>
      </w:tr>
      <w:tr w:rsidR="0021001A" w:rsidRPr="00827DE5" w14:paraId="6839C779"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941E832"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2015-16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075BC19"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90.5 </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FBE07AF"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88.2 </w:t>
            </w:r>
          </w:p>
        </w:tc>
      </w:tr>
      <w:tr w:rsidR="0021001A" w:rsidRPr="00827DE5" w14:paraId="0BF49FA7"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A65363"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2016-17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D9BC0F"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89.9 </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103CAD"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87.6 </w:t>
            </w:r>
          </w:p>
        </w:tc>
      </w:tr>
      <w:tr w:rsidR="0021001A" w:rsidRPr="00827DE5" w14:paraId="72B66B38"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29D853C"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2017-18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00D3826"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89.3 </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2FCC1F"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87.2 </w:t>
            </w:r>
          </w:p>
        </w:tc>
      </w:tr>
      <w:tr w:rsidR="0021001A" w:rsidRPr="00827DE5" w14:paraId="02DD3A08" w14:textId="77777777" w:rsidTr="0021001A">
        <w:trPr>
          <w:trHeight w:val="492"/>
        </w:trPr>
        <w:tc>
          <w:tcPr>
            <w:tcW w:w="161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B3C38C1"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2018-19 </w:t>
            </w:r>
          </w:p>
        </w:tc>
        <w:tc>
          <w:tcPr>
            <w:tcW w:w="23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05A363B"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89.2 </w:t>
            </w:r>
          </w:p>
        </w:tc>
        <w:tc>
          <w:tcPr>
            <w:tcW w:w="243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FDF416A" w14:textId="77777777" w:rsidR="0021001A" w:rsidRPr="00827DE5" w:rsidRDefault="0021001A">
            <w:pPr>
              <w:spacing w:after="0" w:line="240" w:lineRule="auto"/>
              <w:textAlignment w:val="baseline"/>
              <w:rPr>
                <w:rFonts w:ascii="Times New Roman" w:eastAsia="Times New Roman" w:hAnsi="Times New Roman" w:cs="Times New Roman"/>
                <w:kern w:val="0"/>
                <w:sz w:val="24"/>
                <w:szCs w:val="24"/>
                <w:lang w:eastAsia="en-GB"/>
                <w14:ligatures w14:val="none"/>
              </w:rPr>
            </w:pPr>
            <w:r w:rsidRPr="00827DE5">
              <w:rPr>
                <w:rFonts w:ascii="Times New Roman" w:eastAsia="Times New Roman" w:hAnsi="Times New Roman" w:cs="Times New Roman"/>
                <w:kern w:val="0"/>
                <w:sz w:val="24"/>
                <w:szCs w:val="24"/>
                <w:lang w:eastAsia="en-GB"/>
                <w14:ligatures w14:val="none"/>
              </w:rPr>
              <w:t>86.4 </w:t>
            </w:r>
          </w:p>
        </w:tc>
      </w:tr>
    </w:tbl>
    <w:p w14:paraId="7C07F30F" w14:textId="77777777" w:rsidR="0021001A" w:rsidRPr="00827DE5" w:rsidRDefault="0021001A" w:rsidP="0021001A">
      <w:pPr>
        <w:rPr>
          <w:rFonts w:eastAsiaTheme="minorHAnsi"/>
          <w:b/>
          <w:bCs/>
        </w:rPr>
      </w:pPr>
    </w:p>
    <w:p w14:paraId="58048275" w14:textId="77777777" w:rsidR="0021001A" w:rsidRPr="00827DE5" w:rsidRDefault="0021001A" w:rsidP="0021001A">
      <w:pPr>
        <w:rPr>
          <w:b/>
          <w:bCs/>
        </w:rPr>
      </w:pPr>
      <w:r w:rsidRPr="00827DE5">
        <w:rPr>
          <w:b/>
          <w:bCs/>
          <w:kern w:val="0"/>
          <w14:ligatures w14:val="none"/>
        </w:rPr>
        <w:br w:type="page"/>
      </w:r>
    </w:p>
    <w:p w14:paraId="400DA496" w14:textId="77777777" w:rsidR="0021001A" w:rsidRPr="00827DE5" w:rsidRDefault="0021001A" w:rsidP="0021001A">
      <w:pPr>
        <w:rPr>
          <w:b/>
          <w:bCs/>
        </w:rPr>
      </w:pPr>
    </w:p>
    <w:p w14:paraId="666FDF6A" w14:textId="38F301FF" w:rsidR="0021001A" w:rsidRPr="00827DE5" w:rsidRDefault="003748E6" w:rsidP="0021001A">
      <w:pPr>
        <w:rPr>
          <w:rFonts w:ascii="Times New Roman" w:hAnsi="Times New Roman" w:cs="Times New Roman"/>
          <w:iCs/>
        </w:rPr>
      </w:pPr>
      <w:r w:rsidRPr="00AE720E">
        <w:rPr>
          <w:rFonts w:ascii="Times New Roman" w:hAnsi="Times New Roman" w:cs="Times New Roman"/>
        </w:rPr>
        <w:t xml:space="preserve">Supplementary </w:t>
      </w:r>
      <w:r w:rsidR="0021001A" w:rsidRPr="00AE720E">
        <w:rPr>
          <w:rFonts w:ascii="Times New Roman" w:hAnsi="Times New Roman" w:cs="Times New Roman"/>
        </w:rPr>
        <w:t xml:space="preserve">Figure </w:t>
      </w:r>
      <w:r w:rsidRPr="00AE720E">
        <w:rPr>
          <w:rFonts w:ascii="Times New Roman" w:hAnsi="Times New Roman" w:cs="Times New Roman"/>
        </w:rPr>
        <w:t>S1</w:t>
      </w:r>
      <w:r w:rsidR="0021001A" w:rsidRPr="00AE720E">
        <w:rPr>
          <w:rFonts w:ascii="Times New Roman" w:hAnsi="Times New Roman" w:cs="Times New Roman"/>
        </w:rPr>
        <w:t xml:space="preserve">. </w:t>
      </w:r>
      <w:r w:rsidR="005D303D">
        <w:rPr>
          <w:rFonts w:ascii="Times New Roman" w:hAnsi="Times New Roman" w:cs="Times New Roman"/>
        </w:rPr>
        <w:t>V</w:t>
      </w:r>
      <w:r w:rsidR="0021001A" w:rsidRPr="00AE720E">
        <w:rPr>
          <w:rFonts w:ascii="Times New Roman" w:hAnsi="Times New Roman" w:cs="Times New Roman"/>
        </w:rPr>
        <w:t xml:space="preserve">accine coverage by data source and region – </w:t>
      </w:r>
      <w:r w:rsidR="00096991" w:rsidRPr="00AE720E">
        <w:rPr>
          <w:rFonts w:ascii="Times New Roman" w:hAnsi="Times New Roman" w:cs="Times New Roman"/>
        </w:rPr>
        <w:t>North East, North West and South East</w:t>
      </w:r>
      <w:r w:rsidR="009945A8" w:rsidRPr="00AE720E">
        <w:rPr>
          <w:rFonts w:ascii="Times New Roman" w:hAnsi="Times New Roman" w:cs="Times New Roman"/>
        </w:rPr>
        <w:t xml:space="preserve">. </w:t>
      </w:r>
      <w:r w:rsidR="00805570" w:rsidRPr="00AE720E">
        <w:rPr>
          <w:rFonts w:ascii="Times New Roman" w:hAnsi="Times New Roman" w:cs="Times New Roman"/>
        </w:rPr>
        <w:t xml:space="preserve">Red lines represent data from COVER, </w:t>
      </w:r>
      <w:r w:rsidR="00C50192" w:rsidRPr="00AE720E">
        <w:rPr>
          <w:rFonts w:ascii="Times New Roman" w:hAnsi="Times New Roman" w:cs="Times New Roman"/>
        </w:rPr>
        <w:t xml:space="preserve">green lines are </w:t>
      </w:r>
      <w:r w:rsidR="00592DF7" w:rsidRPr="00AE720E">
        <w:rPr>
          <w:rFonts w:ascii="Times New Roman" w:hAnsi="Times New Roman" w:cs="Times New Roman"/>
        </w:rPr>
        <w:t xml:space="preserve">data from </w:t>
      </w:r>
      <w:r w:rsidR="00592DF7" w:rsidRPr="00827DE5">
        <w:rPr>
          <w:rFonts w:ascii="Times New Roman" w:hAnsi="Times New Roman" w:cs="Times New Roman"/>
          <w:iCs/>
        </w:rPr>
        <w:t xml:space="preserve">COVER adjusted for </w:t>
      </w:r>
      <w:r w:rsidR="00973495">
        <w:rPr>
          <w:rFonts w:ascii="Times New Roman" w:hAnsi="Times New Roman" w:cs="Times New Roman"/>
          <w:iCs/>
        </w:rPr>
        <w:t xml:space="preserve">50% </w:t>
      </w:r>
      <w:r w:rsidR="00592DF7" w:rsidRPr="00827DE5">
        <w:rPr>
          <w:rFonts w:ascii="Times New Roman" w:hAnsi="Times New Roman" w:cs="Times New Roman"/>
          <w:iCs/>
        </w:rPr>
        <w:t>under</w:t>
      </w:r>
      <w:r w:rsidR="00454475">
        <w:rPr>
          <w:rFonts w:ascii="Times New Roman" w:hAnsi="Times New Roman" w:cs="Times New Roman"/>
          <w:iCs/>
        </w:rPr>
        <w:t>-</w:t>
      </w:r>
      <w:r w:rsidR="00592DF7" w:rsidRPr="00827DE5">
        <w:rPr>
          <w:rFonts w:ascii="Times New Roman" w:hAnsi="Times New Roman" w:cs="Times New Roman"/>
          <w:iCs/>
        </w:rPr>
        <w:t xml:space="preserve">ascertainment and blue lines represent data from CPRD. </w:t>
      </w:r>
    </w:p>
    <w:p w14:paraId="245CD11C" w14:textId="453F4BDD" w:rsidR="00380767" w:rsidRPr="00827DE5" w:rsidRDefault="00CF09B3" w:rsidP="0021001A">
      <w:pPr>
        <w:rPr>
          <w:rFonts w:ascii="Times New Roman" w:hAnsi="Times New Roman" w:cs="Times New Roman"/>
          <w:iCs/>
        </w:rPr>
      </w:pPr>
      <w:r w:rsidRPr="00827DE5">
        <w:rPr>
          <w:rFonts w:ascii="Times New Roman" w:hAnsi="Times New Roman" w:cs="Times New Roman"/>
          <w:iCs/>
          <w:noProof/>
        </w:rPr>
        <w:drawing>
          <wp:inline distT="0" distB="0" distL="0" distR="0" wp14:anchorId="284E3F4B" wp14:editId="25024B27">
            <wp:extent cx="5731510" cy="5731510"/>
            <wp:effectExtent l="0" t="0" r="2540" b="2540"/>
            <wp:docPr id="1971475026"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75026" name="Picture 7" descr="A graph of different colored lin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A141B2E" w14:textId="77777777" w:rsidR="00380767" w:rsidRPr="00827DE5" w:rsidRDefault="00380767" w:rsidP="0021001A">
      <w:pPr>
        <w:rPr>
          <w:rFonts w:ascii="Times New Roman" w:hAnsi="Times New Roman" w:cs="Times New Roman"/>
          <w:b/>
          <w:bCs/>
          <w:i/>
          <w:iCs/>
        </w:rPr>
      </w:pPr>
    </w:p>
    <w:p w14:paraId="6CDAC5F0" w14:textId="16319505" w:rsidR="0021001A" w:rsidRPr="00827DE5" w:rsidRDefault="0021001A" w:rsidP="0021001A">
      <w:pPr>
        <w:spacing w:line="480" w:lineRule="auto"/>
        <w:rPr>
          <w:rFonts w:ascii="Times New Roman" w:hAnsi="Times New Roman" w:cs="Times New Roman"/>
          <w:sz w:val="24"/>
          <w:szCs w:val="24"/>
        </w:rPr>
      </w:pPr>
    </w:p>
    <w:p w14:paraId="1FE87FA0" w14:textId="34E6FE9A" w:rsidR="0021001A" w:rsidRPr="00827DE5" w:rsidRDefault="0021001A" w:rsidP="0021001A">
      <w:pPr>
        <w:rPr>
          <w:rFonts w:ascii="Times New Roman" w:hAnsi="Times New Roman" w:cs="Times New Roman"/>
          <w:iCs/>
        </w:rPr>
      </w:pPr>
    </w:p>
    <w:p w14:paraId="3574E548" w14:textId="77777777" w:rsidR="0021001A" w:rsidRPr="00827DE5" w:rsidRDefault="0021001A" w:rsidP="0021001A">
      <w:pPr>
        <w:rPr>
          <w:rFonts w:ascii="Times New Roman" w:hAnsi="Times New Roman" w:cs="Times New Roman"/>
          <w:iCs/>
        </w:rPr>
      </w:pPr>
      <w:r w:rsidRPr="00827DE5">
        <w:rPr>
          <w:rFonts w:ascii="Times New Roman" w:hAnsi="Times New Roman" w:cs="Times New Roman"/>
          <w:iCs/>
          <w:kern w:val="0"/>
          <w14:ligatures w14:val="none"/>
        </w:rPr>
        <w:br w:type="page"/>
      </w:r>
    </w:p>
    <w:p w14:paraId="608CD1EC" w14:textId="77777777" w:rsidR="0021001A" w:rsidRPr="00827DE5" w:rsidRDefault="0021001A" w:rsidP="0021001A">
      <w:pPr>
        <w:rPr>
          <w:rFonts w:ascii="Times New Roman" w:hAnsi="Times New Roman" w:cs="Times New Roman"/>
          <w:iCs/>
        </w:rPr>
      </w:pPr>
    </w:p>
    <w:p w14:paraId="63E7B3E7" w14:textId="7A82F7C4" w:rsidR="00096991" w:rsidRPr="00C07E93" w:rsidRDefault="00C07E93" w:rsidP="00096991">
      <w:pPr>
        <w:rPr>
          <w:rFonts w:ascii="Times New Roman" w:hAnsi="Times New Roman" w:cs="Times New Roman"/>
        </w:rPr>
      </w:pPr>
      <w:r w:rsidRPr="00C07E93">
        <w:rPr>
          <w:rFonts w:ascii="Times New Roman" w:hAnsi="Times New Roman" w:cs="Times New Roman"/>
        </w:rPr>
        <w:t>Supplementary Figure S2</w:t>
      </w:r>
      <w:r w:rsidR="009653C6">
        <w:rPr>
          <w:rFonts w:ascii="Times New Roman" w:hAnsi="Times New Roman" w:cs="Times New Roman"/>
        </w:rPr>
        <w:t>:</w:t>
      </w:r>
      <w:r w:rsidR="00096991" w:rsidRPr="00C07E93">
        <w:rPr>
          <w:rFonts w:ascii="Times New Roman" w:hAnsi="Times New Roman" w:cs="Times New Roman"/>
        </w:rPr>
        <w:t xml:space="preserve"> </w:t>
      </w:r>
      <w:r w:rsidR="007A03D3">
        <w:rPr>
          <w:rFonts w:ascii="Times New Roman" w:hAnsi="Times New Roman" w:cs="Times New Roman"/>
        </w:rPr>
        <w:t>V</w:t>
      </w:r>
      <w:r w:rsidR="00096991" w:rsidRPr="00C07E93">
        <w:rPr>
          <w:rFonts w:ascii="Times New Roman" w:hAnsi="Times New Roman" w:cs="Times New Roman"/>
        </w:rPr>
        <w:t xml:space="preserve">accine coverage by data source and region – </w:t>
      </w:r>
      <w:r w:rsidR="007939A1" w:rsidRPr="00C07E93">
        <w:rPr>
          <w:rFonts w:ascii="Times New Roman" w:hAnsi="Times New Roman" w:cs="Times New Roman"/>
        </w:rPr>
        <w:t>South West, West Midlands and Yorkshire and the Humber.</w:t>
      </w:r>
      <w:r w:rsidR="00096991" w:rsidRPr="00C07E93">
        <w:rPr>
          <w:rFonts w:ascii="Times New Roman" w:hAnsi="Times New Roman" w:cs="Times New Roman"/>
        </w:rPr>
        <w:t xml:space="preserve"> Red lines represent data from COVER, green lines are data from COVER adjusted for</w:t>
      </w:r>
      <w:r w:rsidR="00973495" w:rsidRPr="00C07E93">
        <w:rPr>
          <w:rFonts w:ascii="Times New Roman" w:hAnsi="Times New Roman" w:cs="Times New Roman"/>
        </w:rPr>
        <w:t xml:space="preserve"> 50%</w:t>
      </w:r>
      <w:r w:rsidR="00096991" w:rsidRPr="00C07E93">
        <w:rPr>
          <w:rFonts w:ascii="Times New Roman" w:hAnsi="Times New Roman" w:cs="Times New Roman"/>
        </w:rPr>
        <w:t xml:space="preserve"> under</w:t>
      </w:r>
      <w:r w:rsidR="00454475" w:rsidRPr="00C07E93">
        <w:rPr>
          <w:rFonts w:ascii="Times New Roman" w:hAnsi="Times New Roman" w:cs="Times New Roman"/>
        </w:rPr>
        <w:t>-</w:t>
      </w:r>
      <w:r w:rsidR="00096991" w:rsidRPr="00C07E93">
        <w:rPr>
          <w:rFonts w:ascii="Times New Roman" w:hAnsi="Times New Roman" w:cs="Times New Roman"/>
        </w:rPr>
        <w:t xml:space="preserve">ascertainment and blue lines represent data from CPRD. </w:t>
      </w:r>
    </w:p>
    <w:p w14:paraId="40DD5C55" w14:textId="09ECE2A2" w:rsidR="00845E79" w:rsidRPr="00827DE5" w:rsidRDefault="00096991" w:rsidP="00936AA3">
      <w:pPr>
        <w:spacing w:line="480" w:lineRule="auto"/>
        <w:rPr>
          <w:rFonts w:ascii="Times New Roman" w:hAnsi="Times New Roman" w:cs="Times New Roman"/>
          <w:sz w:val="24"/>
          <w:szCs w:val="24"/>
        </w:rPr>
      </w:pPr>
      <w:r w:rsidRPr="00827DE5">
        <w:rPr>
          <w:rFonts w:ascii="Times New Roman" w:hAnsi="Times New Roman" w:cs="Times New Roman"/>
          <w:noProof/>
          <w:sz w:val="24"/>
          <w:szCs w:val="24"/>
        </w:rPr>
        <w:drawing>
          <wp:inline distT="0" distB="0" distL="0" distR="0" wp14:anchorId="5FBF0A83" wp14:editId="4BEFBEDF">
            <wp:extent cx="5731510" cy="5731510"/>
            <wp:effectExtent l="0" t="0" r="2540" b="2540"/>
            <wp:docPr id="1085608089" name="Picture 8"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08089" name="Picture 8" descr="A graph of different colored lin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8CE8A95" w14:textId="56B65089" w:rsidR="00827DE5" w:rsidRPr="00827DE5" w:rsidRDefault="00827DE5" w:rsidP="00827DE5">
      <w:pPr>
        <w:pStyle w:val="Heading2"/>
        <w:rPr>
          <w:rStyle w:val="eop"/>
          <w:rFonts w:eastAsia="Times New Roman"/>
          <w:kern w:val="0"/>
          <w:lang w:eastAsia="en-GB"/>
        </w:rPr>
      </w:pPr>
      <w:bookmarkStart w:id="16" w:name="_Toc162889802"/>
      <w:r w:rsidRPr="00827DE5">
        <w:t>Data extrapolation in reference scenario using CPRD data</w:t>
      </w:r>
      <w:bookmarkEnd w:id="16"/>
    </w:p>
    <w:p w14:paraId="3C69EFA1" w14:textId="6928FC05" w:rsidR="009209F9" w:rsidRPr="00827DE5" w:rsidRDefault="002A1565" w:rsidP="002A1565">
      <w:pPr>
        <w:rPr>
          <w:rStyle w:val="eop"/>
          <w:rFonts w:eastAsia="Times New Roman"/>
          <w:kern w:val="0"/>
          <w:lang w:eastAsia="en-GB"/>
        </w:rPr>
      </w:pPr>
      <w:r w:rsidRPr="00827DE5">
        <w:rPr>
          <w:rStyle w:val="eop"/>
          <w:rFonts w:eastAsia="Times New Roman"/>
          <w:kern w:val="0"/>
          <w:lang w:eastAsia="en-GB"/>
        </w:rPr>
        <w:t xml:space="preserve">Data for age bands not included in CPRD (e.g., children born before 2006 for older age bands or after 2015 for children in the younger age bands), </w:t>
      </w:r>
      <w:r w:rsidR="00BB56CC">
        <w:rPr>
          <w:rStyle w:val="eop"/>
          <w:rFonts w:eastAsia="Times New Roman"/>
          <w:kern w:val="0"/>
          <w:lang w:eastAsia="en-GB"/>
        </w:rPr>
        <w:t>were</w:t>
      </w:r>
      <w:r w:rsidRPr="00827DE5">
        <w:rPr>
          <w:rStyle w:val="eop"/>
          <w:rFonts w:eastAsia="Times New Roman"/>
          <w:kern w:val="0"/>
          <w:lang w:eastAsia="en-GB"/>
        </w:rPr>
        <w:t xml:space="preserve"> supplemented with estimated values based on COVER data but adjusted for</w:t>
      </w:r>
      <w:r w:rsidR="002875C2">
        <w:rPr>
          <w:rStyle w:val="eop"/>
          <w:rFonts w:eastAsia="Times New Roman"/>
          <w:kern w:val="0"/>
          <w:lang w:eastAsia="en-GB"/>
        </w:rPr>
        <w:t xml:space="preserve"> 50%</w:t>
      </w:r>
      <w:r w:rsidRPr="00827DE5">
        <w:rPr>
          <w:rStyle w:val="eop"/>
          <w:rFonts w:eastAsia="Times New Roman"/>
          <w:kern w:val="0"/>
          <w:lang w:eastAsia="en-GB"/>
        </w:rPr>
        <w:t xml:space="preserve"> under</w:t>
      </w:r>
      <w:r w:rsidR="00F64375">
        <w:rPr>
          <w:rStyle w:val="eop"/>
          <w:rFonts w:eastAsia="Times New Roman"/>
          <w:kern w:val="0"/>
          <w:lang w:eastAsia="en-GB"/>
        </w:rPr>
        <w:t>-</w:t>
      </w:r>
      <w:r w:rsidRPr="00827DE5">
        <w:rPr>
          <w:rStyle w:val="eop"/>
          <w:rFonts w:eastAsia="Times New Roman"/>
          <w:kern w:val="0"/>
          <w:lang w:eastAsia="en-GB"/>
        </w:rPr>
        <w:t>ascertainment</w:t>
      </w:r>
      <w:r w:rsidRPr="00827DE5">
        <w:rPr>
          <w:rStyle w:val="eop"/>
          <w:rFonts w:eastAsia="Times New Roman"/>
          <w:kern w:val="0"/>
          <w:lang w:eastAsia="en-GB"/>
        </w:rPr>
        <w:fldChar w:fldCharType="begin"/>
      </w:r>
      <w:r w:rsidR="00FA2321">
        <w:rPr>
          <w:rStyle w:val="eop"/>
          <w:rFonts w:eastAsia="Times New Roman"/>
          <w:kern w:val="0"/>
          <w:lang w:eastAsia="en-GB"/>
        </w:rPr>
        <w:instrText xml:space="preserve"> ADDIN ZOTERO_ITEM CSL_CITATION {"citationID":"WJJrBMYL","properties":{"formattedCitation":"(9)","plainCitation":"(9)","noteIndex":0},"citationItems":[{"id":739,"uris":["http://zotero.org/users/11743005/items/89L4T48B"],"itemData":{"id":739,"type":"article-journal","language":"en","source":"Zotero","title":"Risk assessment for measles resurgence in the UK","URL":"https://www.gov.uk/government/publications/measles-risk-assessment-for-resurgence-in-the-uk","author":[{"family":"UKHSA, Immunisation and Vaccine Preventable Diseases Division","given":""}],"accessed":{"date-parts":[["2024",2,20]]},"issued":{"date-parts":[["2023",5]]}}}],"schema":"https://github.com/citation-style-language/schema/raw/master/csl-citation.json"} </w:instrText>
      </w:r>
      <w:r w:rsidRPr="00827DE5">
        <w:rPr>
          <w:rStyle w:val="eop"/>
          <w:rFonts w:eastAsia="Times New Roman"/>
          <w:kern w:val="0"/>
          <w:lang w:eastAsia="en-GB"/>
        </w:rPr>
        <w:fldChar w:fldCharType="separate"/>
      </w:r>
      <w:r w:rsidR="00FA2321" w:rsidRPr="00FA2321">
        <w:rPr>
          <w:rFonts w:ascii="Calibri" w:hAnsi="Calibri" w:cs="Calibri"/>
        </w:rPr>
        <w:t>(9)</w:t>
      </w:r>
      <w:r w:rsidRPr="00827DE5">
        <w:rPr>
          <w:rStyle w:val="eop"/>
          <w:rFonts w:eastAsia="Times New Roman"/>
          <w:kern w:val="0"/>
          <w:lang w:eastAsia="en-GB"/>
        </w:rPr>
        <w:fldChar w:fldCharType="end"/>
      </w:r>
      <w:r w:rsidRPr="00827DE5">
        <w:rPr>
          <w:rStyle w:val="eop"/>
          <w:rFonts w:eastAsia="Times New Roman"/>
          <w:kern w:val="0"/>
          <w:lang w:eastAsia="en-GB"/>
        </w:rPr>
        <w:t>. This was done using the COVER estimates of the respective years and regions with an addition of 50% of the unvaccinated population (</w:t>
      </w:r>
      <m:oMath>
        <m:r>
          <w:rPr>
            <w:rStyle w:val="eop"/>
            <w:rFonts w:ascii="Cambria Math" w:eastAsia="Times New Roman" w:hAnsi="Cambria Math"/>
            <w:kern w:val="0"/>
            <w:lang w:eastAsia="en-GB"/>
          </w:rPr>
          <m:t xml:space="preserve">original value + 0.5 * (100-original value)). </m:t>
        </m:r>
      </m:oMath>
      <w:r w:rsidRPr="00827DE5">
        <w:rPr>
          <w:rStyle w:val="eop"/>
          <w:rFonts w:eastAsia="Times New Roman"/>
          <w:kern w:val="0"/>
          <w:lang w:eastAsia="en-GB"/>
        </w:rPr>
        <w:t xml:space="preserve">If information on specific age bands was missing due to the lower granularity of COVER, the supplemented value (i.e., five year coverage) was multiplied by the rate ratio of the five and four year coverage of the closest birth cohort with available data.  The three year coverage was estimated accordingly. </w:t>
      </w:r>
    </w:p>
    <w:p w14:paraId="1ACC2EF2" w14:textId="4A31023D" w:rsidR="00827DE5" w:rsidRDefault="00827DE5" w:rsidP="00827DE5">
      <w:pPr>
        <w:pStyle w:val="Heading2"/>
        <w:rPr>
          <w:lang w:eastAsia="en-GB"/>
        </w:rPr>
      </w:pPr>
      <w:bookmarkStart w:id="17" w:name="_Toc162889803"/>
      <w:r w:rsidRPr="00827DE5">
        <w:rPr>
          <w:lang w:eastAsia="en-GB"/>
        </w:rPr>
        <w:lastRenderedPageBreak/>
        <w:t>Data extrapolation in sensitivity analysis using COVER data</w:t>
      </w:r>
      <w:bookmarkEnd w:id="17"/>
    </w:p>
    <w:p w14:paraId="3A6347A8" w14:textId="1FE140CF" w:rsidR="00A865BD" w:rsidRPr="00A865BD" w:rsidRDefault="001674F5" w:rsidP="00A865BD">
      <w:pPr>
        <w:rPr>
          <w:kern w:val="0"/>
          <w:lang w:eastAsia="en-GB"/>
        </w:rPr>
      </w:pPr>
      <w:r>
        <w:rPr>
          <w:rStyle w:val="normaltextrun"/>
          <w:rFonts w:ascii="Calibri" w:hAnsi="Calibri" w:cs="Calibri"/>
        </w:rPr>
        <w:t>The COVER data is not stratified by individual age band (only available at 2 and 5 years old)</w:t>
      </w:r>
      <w:r w:rsidR="008D57C6">
        <w:rPr>
          <w:rStyle w:val="normaltextrun"/>
          <w:rFonts w:ascii="Calibri" w:hAnsi="Calibri" w:cs="Calibri"/>
        </w:rPr>
        <w:t>.</w:t>
      </w:r>
      <w:r w:rsidR="00A865BD">
        <w:rPr>
          <w:rStyle w:val="normaltextrun"/>
          <w:rFonts w:ascii="Calibri" w:hAnsi="Calibri" w:cs="Calibri"/>
        </w:rPr>
        <w:t xml:space="preserve"> </w:t>
      </w:r>
      <w:r w:rsidR="008D57C6">
        <w:rPr>
          <w:rStyle w:val="normaltextrun"/>
          <w:rFonts w:ascii="Calibri" w:hAnsi="Calibri" w:cs="Calibri"/>
        </w:rPr>
        <w:t>T</w:t>
      </w:r>
      <w:r w:rsidR="00A865BD">
        <w:rPr>
          <w:rStyle w:val="normaltextrun"/>
          <w:rFonts w:ascii="Calibri" w:hAnsi="Calibri" w:cs="Calibri"/>
        </w:rPr>
        <w:t xml:space="preserve">he missing values </w:t>
      </w:r>
      <w:r w:rsidR="008D57C6">
        <w:rPr>
          <w:rStyle w:val="normaltextrun"/>
          <w:rFonts w:ascii="Calibri" w:hAnsi="Calibri" w:cs="Calibri"/>
        </w:rPr>
        <w:t xml:space="preserve">were </w:t>
      </w:r>
      <w:r w:rsidR="00A865BD">
        <w:rPr>
          <w:rStyle w:val="normaltextrun"/>
          <w:rFonts w:ascii="Calibri" w:hAnsi="Calibri" w:cs="Calibri"/>
        </w:rPr>
        <w:t xml:space="preserve">extrapolated using the CPRD data. </w:t>
      </w:r>
      <w:r w:rsidR="00A865BD">
        <w:rPr>
          <w:rStyle w:val="eop"/>
          <w:rFonts w:eastAsia="Times New Roman"/>
          <w:kern w:val="0"/>
          <w:lang w:eastAsia="en-GB"/>
        </w:rPr>
        <w:t xml:space="preserve">The missing age bands were derived by multiplying the 5 year coverage by the rate ratio of the five and four year coverage from the same birth cohort available in CPRD. Similarly, the supplemented four year coverage was also multiplied with the rate ratio of the four and three year coverage in order to estimate the three year coverage. </w:t>
      </w:r>
    </w:p>
    <w:p w14:paraId="0BF694A7" w14:textId="68B03E02" w:rsidR="00790B6A" w:rsidRPr="00827DE5" w:rsidRDefault="00503F0A" w:rsidP="006C601C">
      <w:pPr>
        <w:pStyle w:val="Heading1"/>
      </w:pPr>
      <w:bookmarkStart w:id="18" w:name="_Toc162889804"/>
      <w:r>
        <w:t xml:space="preserve">Section S3: </w:t>
      </w:r>
      <w:r w:rsidR="00790B6A" w:rsidRPr="00827DE5">
        <w:t>Model fit and stochastic simulations: reference scenario (using CPRD data)</w:t>
      </w:r>
      <w:bookmarkEnd w:id="18"/>
    </w:p>
    <w:p w14:paraId="11AC5FED" w14:textId="7894168F" w:rsidR="00216BC1" w:rsidRPr="00827DE5" w:rsidRDefault="003B1AB7" w:rsidP="00A76F93">
      <w:pPr>
        <w:pStyle w:val="Heading2"/>
      </w:pPr>
      <w:bookmarkStart w:id="19" w:name="_Toc162889805"/>
      <w:r w:rsidRPr="00827DE5">
        <w:t>Description of the model fit</w:t>
      </w:r>
      <w:bookmarkEnd w:id="19"/>
      <w:r w:rsidRPr="00827DE5">
        <w:t xml:space="preserve"> </w:t>
      </w:r>
    </w:p>
    <w:p w14:paraId="2EA0034B" w14:textId="55ED9727" w:rsidR="00B738CC" w:rsidRPr="00827DE5" w:rsidRDefault="00B738CC" w:rsidP="00B738CC">
      <w:r w:rsidRPr="00827DE5">
        <w:t xml:space="preserve">All models have three stratifications: by region, age, and vaccine status. </w:t>
      </w:r>
      <w:r w:rsidR="0094649C" w:rsidRPr="00827DE5">
        <w:t xml:space="preserve">All model converged and parameters were clearly identified (Figure </w:t>
      </w:r>
      <w:r w:rsidR="00CD09E8">
        <w:t>S3</w:t>
      </w:r>
      <w:r w:rsidR="002A13AB">
        <w:t xml:space="preserve">, </w:t>
      </w:r>
      <w:r w:rsidR="00CD09E8">
        <w:t>S4</w:t>
      </w:r>
      <w:r w:rsidR="002A13AB">
        <w:t>, S5,</w:t>
      </w:r>
      <w:r w:rsidR="00CD09E8">
        <w:t xml:space="preserve"> </w:t>
      </w:r>
      <w:r w:rsidR="002C063D" w:rsidRPr="00827DE5">
        <w:t xml:space="preserve">and Table </w:t>
      </w:r>
      <w:r w:rsidR="00CD09E8">
        <w:t>S3</w:t>
      </w:r>
      <w:r w:rsidR="0094649C" w:rsidRPr="00827DE5">
        <w:t xml:space="preserve">). The log-posterior distributions of all models showed that models with waning performed between than the model that did not include waning of vaccine-induced immunity. </w:t>
      </w:r>
    </w:p>
    <w:p w14:paraId="633660D8" w14:textId="4D4164AE" w:rsidR="00C71661" w:rsidRPr="00827DE5" w:rsidRDefault="00307640" w:rsidP="00C71661">
      <w:r>
        <w:rPr>
          <w:noProof/>
        </w:rPr>
        <w:drawing>
          <wp:inline distT="0" distB="0" distL="0" distR="0" wp14:anchorId="60C055A7" wp14:editId="42F0AE37">
            <wp:extent cx="5731510" cy="3531870"/>
            <wp:effectExtent l="0" t="0" r="0" b="0"/>
            <wp:docPr id="1204064306" name="Picture 1" descr="A graph of a number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64306" name="Picture 1" descr="A graph of a number of different sizes and colors&#10;&#10;Description automatically generated with medium confidence"/>
                    <pic:cNvPicPr/>
                  </pic:nvPicPr>
                  <pic:blipFill>
                    <a:blip r:embed="rId8"/>
                    <a:stretch>
                      <a:fillRect/>
                    </a:stretch>
                  </pic:blipFill>
                  <pic:spPr>
                    <a:xfrm>
                      <a:off x="0" y="0"/>
                      <a:ext cx="5731510" cy="3531870"/>
                    </a:xfrm>
                    <a:prstGeom prst="rect">
                      <a:avLst/>
                    </a:prstGeom>
                  </pic:spPr>
                </pic:pic>
              </a:graphicData>
            </a:graphic>
          </wp:inline>
        </w:drawing>
      </w:r>
    </w:p>
    <w:p w14:paraId="04B3F7EF" w14:textId="3E2FCB34" w:rsidR="00C71661" w:rsidRPr="00827DE5" w:rsidRDefault="00366DAE" w:rsidP="00325D12">
      <w:r>
        <w:t xml:space="preserve">Supplementary </w:t>
      </w:r>
      <w:r w:rsidR="000E6345" w:rsidRPr="00827DE5">
        <w:t>Figure S</w:t>
      </w:r>
      <w:r>
        <w:t>3</w:t>
      </w:r>
      <w:r w:rsidR="000E6345" w:rsidRPr="00827DE5">
        <w:t>:</w:t>
      </w:r>
      <w:r w:rsidR="00C70250" w:rsidRPr="00827DE5">
        <w:t xml:space="preserve"> Log-posterior density of each model in the reference scenario. Models that include waning </w:t>
      </w:r>
      <w:r w:rsidR="009E7827" w:rsidRPr="00827DE5">
        <w:t>performed better than the model that did not (higher posterior)</w:t>
      </w:r>
      <w:r w:rsidR="0008068A" w:rsidRPr="00827DE5">
        <w:t>.</w:t>
      </w:r>
    </w:p>
    <w:p w14:paraId="2CAB30E1" w14:textId="77777777" w:rsidR="00C71661" w:rsidRPr="00827DE5" w:rsidRDefault="00C71661" w:rsidP="00325D12"/>
    <w:p w14:paraId="72BA2601" w14:textId="0EFEBA50" w:rsidR="00325D12" w:rsidRDefault="00325D12" w:rsidP="006C601C"/>
    <w:p w14:paraId="3C7CA9D2" w14:textId="41B5B97E" w:rsidR="00F91D95" w:rsidRPr="00827DE5" w:rsidRDefault="00F91D95" w:rsidP="006C601C">
      <w:r>
        <w:rPr>
          <w:noProof/>
        </w:rPr>
        <w:lastRenderedPageBreak/>
        <w:drawing>
          <wp:inline distT="0" distB="0" distL="0" distR="0" wp14:anchorId="7399DD47" wp14:editId="5EC6E2FC">
            <wp:extent cx="5731510" cy="2101215"/>
            <wp:effectExtent l="0" t="0" r="0" b="0"/>
            <wp:docPr id="2028261675" name="Picture 1" descr="A group of graph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61675" name="Picture 1" descr="A group of graphs on a white background&#10;&#10;Description automatically generated"/>
                    <pic:cNvPicPr/>
                  </pic:nvPicPr>
                  <pic:blipFill>
                    <a:blip r:embed="rId9"/>
                    <a:stretch>
                      <a:fillRect/>
                    </a:stretch>
                  </pic:blipFill>
                  <pic:spPr>
                    <a:xfrm>
                      <a:off x="0" y="0"/>
                      <a:ext cx="5731510" cy="2101215"/>
                    </a:xfrm>
                    <a:prstGeom prst="rect">
                      <a:avLst/>
                    </a:prstGeom>
                  </pic:spPr>
                </pic:pic>
              </a:graphicData>
            </a:graphic>
          </wp:inline>
        </w:drawing>
      </w:r>
    </w:p>
    <w:p w14:paraId="588965CE" w14:textId="3162A47B" w:rsidR="000E6345" w:rsidRPr="00827DE5" w:rsidRDefault="00324E04" w:rsidP="006C601C">
      <w:r>
        <w:t xml:space="preserve">Supplementary </w:t>
      </w:r>
      <w:r w:rsidRPr="00827DE5">
        <w:t>Figure S</w:t>
      </w:r>
      <w:r>
        <w:t>4</w:t>
      </w:r>
      <w:r w:rsidR="000E6345" w:rsidRPr="00827DE5">
        <w:t>:</w:t>
      </w:r>
      <w:r w:rsidR="00EA7AB2" w:rsidRPr="00827DE5">
        <w:t xml:space="preserve"> Comparison of the posterior distribution of the estimated parameters for each model.</w:t>
      </w:r>
      <w:r w:rsidR="0094649C" w:rsidRPr="00827DE5">
        <w:tab/>
      </w:r>
    </w:p>
    <w:p w14:paraId="3A6CA922" w14:textId="487C12C7" w:rsidR="002C063D" w:rsidRPr="00827DE5" w:rsidRDefault="00324E04" w:rsidP="002C063D">
      <w:r>
        <w:t xml:space="preserve">Supplementary </w:t>
      </w:r>
      <w:r w:rsidR="002C063D" w:rsidRPr="00827DE5">
        <w:t xml:space="preserve">Table </w:t>
      </w:r>
      <w:r>
        <w:t>S3</w:t>
      </w:r>
      <w:r w:rsidR="002C063D" w:rsidRPr="00827DE5">
        <w:t xml:space="preserve">: Parameter estimates in each model (Median and 95% credible intervals in brackets). </w:t>
      </w:r>
    </w:p>
    <w:tbl>
      <w:tblPr>
        <w:tblStyle w:val="TableGrid"/>
        <w:tblW w:w="9073" w:type="dxa"/>
        <w:tblInd w:w="-147" w:type="dxa"/>
        <w:tblLook w:val="04A0" w:firstRow="1" w:lastRow="0" w:firstColumn="1" w:lastColumn="0" w:noHBand="0" w:noVBand="1"/>
      </w:tblPr>
      <w:tblGrid>
        <w:gridCol w:w="2836"/>
        <w:gridCol w:w="1134"/>
        <w:gridCol w:w="1984"/>
        <w:gridCol w:w="1559"/>
        <w:gridCol w:w="1560"/>
      </w:tblGrid>
      <w:tr w:rsidR="002C063D" w:rsidRPr="00827DE5" w14:paraId="7EAA1E5B" w14:textId="77777777">
        <w:tc>
          <w:tcPr>
            <w:tcW w:w="2836" w:type="dxa"/>
            <w:tcBorders>
              <w:top w:val="single" w:sz="4" w:space="0" w:color="auto"/>
              <w:left w:val="single" w:sz="4" w:space="0" w:color="auto"/>
              <w:bottom w:val="single" w:sz="4" w:space="0" w:color="auto"/>
              <w:right w:val="single" w:sz="4" w:space="0" w:color="auto"/>
            </w:tcBorders>
            <w:hideMark/>
          </w:tcPr>
          <w:p w14:paraId="75A13E29" w14:textId="77777777" w:rsidR="002C063D" w:rsidRPr="00827DE5" w:rsidRDefault="002C063D">
            <w:pPr>
              <w:rPr>
                <w:sz w:val="18"/>
                <w:szCs w:val="18"/>
              </w:rPr>
            </w:pPr>
            <w:r w:rsidRPr="00827DE5">
              <w:rPr>
                <w:sz w:val="18"/>
                <w:szCs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45DAAFAB" w14:textId="77777777" w:rsidR="002C063D" w:rsidRPr="00827DE5" w:rsidRDefault="002C063D">
            <w:pPr>
              <w:rPr>
                <w:sz w:val="18"/>
                <w:szCs w:val="18"/>
              </w:rPr>
            </w:pPr>
            <w:r w:rsidRPr="00827DE5">
              <w:rPr>
                <w:sz w:val="18"/>
                <w:szCs w:val="18"/>
              </w:rPr>
              <w:t xml:space="preserve">Prior </w:t>
            </w:r>
          </w:p>
        </w:tc>
        <w:tc>
          <w:tcPr>
            <w:tcW w:w="1984" w:type="dxa"/>
            <w:tcBorders>
              <w:top w:val="single" w:sz="4" w:space="0" w:color="auto"/>
              <w:left w:val="single" w:sz="4" w:space="0" w:color="auto"/>
              <w:bottom w:val="single" w:sz="4" w:space="0" w:color="auto"/>
              <w:right w:val="single" w:sz="4" w:space="0" w:color="auto"/>
            </w:tcBorders>
            <w:hideMark/>
          </w:tcPr>
          <w:p w14:paraId="719207DD" w14:textId="70B169A0" w:rsidR="002C063D" w:rsidRPr="00827DE5" w:rsidRDefault="004B17F0">
            <w:pPr>
              <w:rPr>
                <w:sz w:val="18"/>
                <w:szCs w:val="18"/>
              </w:rPr>
            </w:pPr>
            <w:r>
              <w:rPr>
                <w:sz w:val="18"/>
                <w:szCs w:val="18"/>
              </w:rPr>
              <w:t>W</w:t>
            </w:r>
            <w:r w:rsidR="002C063D" w:rsidRPr="00827DE5">
              <w:rPr>
                <w:sz w:val="18"/>
                <w:szCs w:val="18"/>
              </w:rPr>
              <w:t>ithout waning</w:t>
            </w:r>
          </w:p>
        </w:tc>
        <w:tc>
          <w:tcPr>
            <w:tcW w:w="1559" w:type="dxa"/>
            <w:tcBorders>
              <w:top w:val="single" w:sz="4" w:space="0" w:color="auto"/>
              <w:left w:val="single" w:sz="4" w:space="0" w:color="auto"/>
              <w:bottom w:val="single" w:sz="4" w:space="0" w:color="auto"/>
              <w:right w:val="single" w:sz="4" w:space="0" w:color="auto"/>
            </w:tcBorders>
          </w:tcPr>
          <w:p w14:paraId="0A4493D6" w14:textId="70DC43A9" w:rsidR="002C063D" w:rsidRPr="00827DE5" w:rsidRDefault="004B17F0">
            <w:pPr>
              <w:rPr>
                <w:sz w:val="18"/>
                <w:szCs w:val="18"/>
              </w:rPr>
            </w:pPr>
            <w:r>
              <w:rPr>
                <w:sz w:val="18"/>
                <w:szCs w:val="18"/>
              </w:rPr>
              <w:t>With waning</w:t>
            </w:r>
          </w:p>
        </w:tc>
        <w:tc>
          <w:tcPr>
            <w:tcW w:w="1560" w:type="dxa"/>
            <w:tcBorders>
              <w:top w:val="single" w:sz="4" w:space="0" w:color="auto"/>
              <w:left w:val="single" w:sz="4" w:space="0" w:color="auto"/>
              <w:bottom w:val="single" w:sz="4" w:space="0" w:color="auto"/>
              <w:right w:val="single" w:sz="4" w:space="0" w:color="auto"/>
            </w:tcBorders>
          </w:tcPr>
          <w:p w14:paraId="03E8379C" w14:textId="2C603065" w:rsidR="002C063D" w:rsidRPr="00827DE5" w:rsidRDefault="004B17F0" w:rsidP="004B17F0">
            <w:pPr>
              <w:jc w:val="left"/>
              <w:rPr>
                <w:sz w:val="18"/>
                <w:szCs w:val="18"/>
              </w:rPr>
            </w:pPr>
            <w:r>
              <w:rPr>
                <w:sz w:val="18"/>
                <w:szCs w:val="18"/>
              </w:rPr>
              <w:t>With w</w:t>
            </w:r>
            <w:r w:rsidR="002C063D" w:rsidRPr="00827DE5">
              <w:rPr>
                <w:sz w:val="18"/>
                <w:szCs w:val="18"/>
              </w:rPr>
              <w:t>aning</w:t>
            </w:r>
            <w:r>
              <w:rPr>
                <w:sz w:val="18"/>
                <w:szCs w:val="18"/>
              </w:rPr>
              <w:t xml:space="preserve"> starting in 1990</w:t>
            </w:r>
          </w:p>
        </w:tc>
      </w:tr>
      <w:tr w:rsidR="002C063D" w:rsidRPr="00827DE5" w14:paraId="7D9099AD" w14:textId="77777777">
        <w:tc>
          <w:tcPr>
            <w:tcW w:w="2836" w:type="dxa"/>
            <w:tcBorders>
              <w:top w:val="single" w:sz="4" w:space="0" w:color="auto"/>
              <w:left w:val="single" w:sz="4" w:space="0" w:color="auto"/>
              <w:bottom w:val="single" w:sz="4" w:space="0" w:color="auto"/>
              <w:right w:val="single" w:sz="4" w:space="0" w:color="auto"/>
            </w:tcBorders>
            <w:hideMark/>
          </w:tcPr>
          <w:p w14:paraId="5F5B7C39" w14:textId="77777777" w:rsidR="002C063D" w:rsidRPr="00827DE5" w:rsidRDefault="002C063D">
            <w:pPr>
              <w:rPr>
                <w:sz w:val="18"/>
                <w:szCs w:val="18"/>
              </w:rPr>
            </w:pPr>
            <w:r w:rsidRPr="00827DE5">
              <w:rPr>
                <w:sz w:val="18"/>
                <w:szCs w:val="18"/>
              </w:rPr>
              <w:t xml:space="preserve">Infection rate </w:t>
            </w:r>
            <m:oMath>
              <m:r>
                <w:rPr>
                  <w:rFonts w:ascii="Cambria Math" w:hAnsi="Cambria Math"/>
                  <w:sz w:val="18"/>
                  <w:szCs w:val="18"/>
                </w:rPr>
                <m:t>β</m:t>
              </m:r>
            </m:oMath>
          </w:p>
        </w:tc>
        <w:tc>
          <w:tcPr>
            <w:tcW w:w="1134" w:type="dxa"/>
            <w:tcBorders>
              <w:top w:val="single" w:sz="4" w:space="0" w:color="auto"/>
              <w:left w:val="single" w:sz="4" w:space="0" w:color="auto"/>
              <w:bottom w:val="single" w:sz="4" w:space="0" w:color="auto"/>
              <w:right w:val="single" w:sz="4" w:space="0" w:color="auto"/>
            </w:tcBorders>
            <w:hideMark/>
          </w:tcPr>
          <w:p w14:paraId="53B97797" w14:textId="77777777" w:rsidR="002C063D" w:rsidRPr="00827DE5" w:rsidRDefault="002C063D">
            <w:pPr>
              <w:rPr>
                <w:sz w:val="18"/>
                <w:szCs w:val="18"/>
              </w:rPr>
            </w:pPr>
            <w:r w:rsidRPr="00827DE5">
              <w:rPr>
                <w:sz w:val="18"/>
                <w:szCs w:val="18"/>
              </w:rPr>
              <w:t>U(0, 50)</w:t>
            </w:r>
          </w:p>
        </w:tc>
        <w:tc>
          <w:tcPr>
            <w:tcW w:w="1984" w:type="dxa"/>
            <w:tcBorders>
              <w:top w:val="single" w:sz="4" w:space="0" w:color="auto"/>
              <w:left w:val="single" w:sz="4" w:space="0" w:color="auto"/>
              <w:bottom w:val="single" w:sz="4" w:space="0" w:color="auto"/>
              <w:right w:val="single" w:sz="4" w:space="0" w:color="auto"/>
            </w:tcBorders>
          </w:tcPr>
          <w:p w14:paraId="0D2DB061" w14:textId="77777777" w:rsidR="002C063D" w:rsidRPr="00827DE5" w:rsidRDefault="002C063D">
            <w:pPr>
              <w:rPr>
                <w:sz w:val="18"/>
                <w:szCs w:val="18"/>
              </w:rPr>
            </w:pPr>
            <w:r w:rsidRPr="00827DE5">
              <w:rPr>
                <w:sz w:val="18"/>
                <w:szCs w:val="18"/>
              </w:rPr>
              <w:t>31 (30 - 33)</w:t>
            </w:r>
          </w:p>
        </w:tc>
        <w:tc>
          <w:tcPr>
            <w:tcW w:w="1559" w:type="dxa"/>
            <w:tcBorders>
              <w:top w:val="single" w:sz="4" w:space="0" w:color="auto"/>
              <w:left w:val="single" w:sz="4" w:space="0" w:color="auto"/>
              <w:bottom w:val="single" w:sz="4" w:space="0" w:color="auto"/>
              <w:right w:val="single" w:sz="4" w:space="0" w:color="auto"/>
            </w:tcBorders>
          </w:tcPr>
          <w:p w14:paraId="2CD42885" w14:textId="77777777" w:rsidR="002C063D" w:rsidRPr="00827DE5" w:rsidRDefault="002C063D">
            <w:pPr>
              <w:rPr>
                <w:sz w:val="18"/>
                <w:szCs w:val="18"/>
              </w:rPr>
            </w:pPr>
            <w:r w:rsidRPr="00827DE5">
              <w:rPr>
                <w:sz w:val="18"/>
                <w:szCs w:val="18"/>
              </w:rPr>
              <w:t>33 (31 - 34)</w:t>
            </w:r>
          </w:p>
        </w:tc>
        <w:tc>
          <w:tcPr>
            <w:tcW w:w="1560" w:type="dxa"/>
            <w:tcBorders>
              <w:top w:val="single" w:sz="4" w:space="0" w:color="auto"/>
              <w:left w:val="single" w:sz="4" w:space="0" w:color="auto"/>
              <w:bottom w:val="single" w:sz="4" w:space="0" w:color="auto"/>
              <w:right w:val="single" w:sz="4" w:space="0" w:color="auto"/>
            </w:tcBorders>
          </w:tcPr>
          <w:p w14:paraId="62234165" w14:textId="77777777" w:rsidR="002C063D" w:rsidRPr="00827DE5" w:rsidRDefault="002C063D">
            <w:pPr>
              <w:rPr>
                <w:sz w:val="18"/>
                <w:szCs w:val="18"/>
              </w:rPr>
            </w:pPr>
            <w:r w:rsidRPr="00827DE5">
              <w:rPr>
                <w:sz w:val="18"/>
                <w:szCs w:val="18"/>
              </w:rPr>
              <w:t>32 (31 - 34)</w:t>
            </w:r>
          </w:p>
        </w:tc>
      </w:tr>
      <w:tr w:rsidR="002C063D" w:rsidRPr="00827DE5" w14:paraId="058206D7" w14:textId="77777777">
        <w:tc>
          <w:tcPr>
            <w:tcW w:w="2836" w:type="dxa"/>
            <w:tcBorders>
              <w:top w:val="single" w:sz="4" w:space="0" w:color="auto"/>
              <w:left w:val="single" w:sz="4" w:space="0" w:color="auto"/>
              <w:bottom w:val="single" w:sz="4" w:space="0" w:color="auto"/>
              <w:right w:val="single" w:sz="4" w:space="0" w:color="auto"/>
            </w:tcBorders>
            <w:hideMark/>
          </w:tcPr>
          <w:p w14:paraId="2F6487D2" w14:textId="1B9C185E" w:rsidR="002C063D" w:rsidRPr="00827DE5" w:rsidRDefault="002C063D">
            <w:pPr>
              <w:rPr>
                <w:rFonts w:ascii="Calibri" w:eastAsia="Calibri" w:hAnsi="Calibri" w:cs="Times New Roman"/>
                <w:sz w:val="18"/>
                <w:szCs w:val="18"/>
              </w:rPr>
            </w:pPr>
            <w:r w:rsidRPr="00827DE5">
              <w:rPr>
                <w:sz w:val="18"/>
                <w:szCs w:val="18"/>
              </w:rPr>
              <w:t xml:space="preserve">Duration of maternal immunity (days)  </w:t>
            </w:r>
            <m:oMath>
              <m:r>
                <w:rPr>
                  <w:rFonts w:ascii="Cambria Math" w:hAnsi="Cambria Math"/>
                  <w:sz w:val="18"/>
                  <w:szCs w:val="18"/>
                </w:rPr>
                <m:t>δ</m:t>
              </m:r>
            </m:oMath>
          </w:p>
        </w:tc>
        <w:tc>
          <w:tcPr>
            <w:tcW w:w="1134" w:type="dxa"/>
            <w:tcBorders>
              <w:top w:val="single" w:sz="4" w:space="0" w:color="auto"/>
              <w:left w:val="single" w:sz="4" w:space="0" w:color="auto"/>
              <w:bottom w:val="single" w:sz="4" w:space="0" w:color="auto"/>
              <w:right w:val="single" w:sz="4" w:space="0" w:color="auto"/>
            </w:tcBorders>
            <w:hideMark/>
          </w:tcPr>
          <w:p w14:paraId="3EBB5470" w14:textId="77777777" w:rsidR="002C063D" w:rsidRPr="00827DE5" w:rsidRDefault="002C063D">
            <w:pPr>
              <w:rPr>
                <w:sz w:val="18"/>
                <w:szCs w:val="18"/>
              </w:rPr>
            </w:pPr>
            <w:r w:rsidRPr="00827DE5">
              <w:rPr>
                <w:sz w:val="18"/>
                <w:szCs w:val="18"/>
              </w:rPr>
              <w:t>N(90, 5)</w:t>
            </w:r>
          </w:p>
        </w:tc>
        <w:tc>
          <w:tcPr>
            <w:tcW w:w="1984" w:type="dxa"/>
            <w:tcBorders>
              <w:top w:val="single" w:sz="4" w:space="0" w:color="auto"/>
              <w:left w:val="single" w:sz="4" w:space="0" w:color="auto"/>
              <w:bottom w:val="single" w:sz="4" w:space="0" w:color="auto"/>
              <w:right w:val="single" w:sz="4" w:space="0" w:color="auto"/>
            </w:tcBorders>
            <w:hideMark/>
          </w:tcPr>
          <w:p w14:paraId="33A31BAA" w14:textId="77777777" w:rsidR="002C063D" w:rsidRPr="00827DE5" w:rsidRDefault="002C063D">
            <w:pPr>
              <w:rPr>
                <w:sz w:val="18"/>
                <w:szCs w:val="18"/>
              </w:rPr>
            </w:pPr>
            <w:r w:rsidRPr="00827DE5">
              <w:rPr>
                <w:sz w:val="18"/>
                <w:szCs w:val="18"/>
              </w:rPr>
              <w:t>178 (172 - 180)</w:t>
            </w:r>
          </w:p>
        </w:tc>
        <w:tc>
          <w:tcPr>
            <w:tcW w:w="1559" w:type="dxa"/>
            <w:tcBorders>
              <w:top w:val="single" w:sz="4" w:space="0" w:color="auto"/>
              <w:left w:val="single" w:sz="4" w:space="0" w:color="auto"/>
              <w:bottom w:val="single" w:sz="4" w:space="0" w:color="auto"/>
              <w:right w:val="single" w:sz="4" w:space="0" w:color="auto"/>
            </w:tcBorders>
          </w:tcPr>
          <w:p w14:paraId="13690D78" w14:textId="77777777" w:rsidR="002C063D" w:rsidRPr="00827DE5" w:rsidRDefault="002C063D">
            <w:pPr>
              <w:rPr>
                <w:sz w:val="18"/>
                <w:szCs w:val="18"/>
              </w:rPr>
            </w:pPr>
            <w:r w:rsidRPr="00827DE5">
              <w:rPr>
                <w:sz w:val="18"/>
                <w:szCs w:val="18"/>
              </w:rPr>
              <w:t>179 (174 - 180)</w:t>
            </w:r>
          </w:p>
        </w:tc>
        <w:tc>
          <w:tcPr>
            <w:tcW w:w="1560" w:type="dxa"/>
            <w:tcBorders>
              <w:top w:val="single" w:sz="4" w:space="0" w:color="auto"/>
              <w:left w:val="single" w:sz="4" w:space="0" w:color="auto"/>
              <w:bottom w:val="single" w:sz="4" w:space="0" w:color="auto"/>
              <w:right w:val="single" w:sz="4" w:space="0" w:color="auto"/>
            </w:tcBorders>
          </w:tcPr>
          <w:p w14:paraId="40367DB9" w14:textId="77777777" w:rsidR="002C063D" w:rsidRPr="00827DE5" w:rsidRDefault="002C063D">
            <w:pPr>
              <w:rPr>
                <w:sz w:val="18"/>
                <w:szCs w:val="18"/>
              </w:rPr>
            </w:pPr>
            <w:r w:rsidRPr="00827DE5">
              <w:rPr>
                <w:sz w:val="18"/>
                <w:szCs w:val="18"/>
              </w:rPr>
              <w:t>178 (173-180)</w:t>
            </w:r>
          </w:p>
        </w:tc>
      </w:tr>
      <w:tr w:rsidR="002C063D" w:rsidRPr="00827DE5" w14:paraId="10367BAA" w14:textId="77777777">
        <w:tc>
          <w:tcPr>
            <w:tcW w:w="2836" w:type="dxa"/>
            <w:tcBorders>
              <w:top w:val="single" w:sz="4" w:space="0" w:color="auto"/>
              <w:left w:val="single" w:sz="4" w:space="0" w:color="auto"/>
              <w:bottom w:val="single" w:sz="4" w:space="0" w:color="auto"/>
              <w:right w:val="single" w:sz="4" w:space="0" w:color="auto"/>
            </w:tcBorders>
            <w:hideMark/>
          </w:tcPr>
          <w:p w14:paraId="684D1768" w14:textId="1A6422D7" w:rsidR="002C063D" w:rsidRPr="00827DE5" w:rsidRDefault="007650C1">
            <w:pPr>
              <w:rPr>
                <w:sz w:val="18"/>
                <w:szCs w:val="18"/>
              </w:rPr>
            </w:pPr>
            <w:r w:rsidRPr="00827DE5">
              <w:rPr>
                <w:sz w:val="18"/>
                <w:szCs w:val="18"/>
              </w:rPr>
              <w:t>Risk</w:t>
            </w:r>
            <w:r w:rsidR="002C063D" w:rsidRPr="00827DE5">
              <w:rPr>
                <w:sz w:val="18"/>
                <w:szCs w:val="18"/>
              </w:rPr>
              <w:t xml:space="preserve"> of onwards transmission </w:t>
            </w:r>
            <w:r w:rsidRPr="00827DE5">
              <w:rPr>
                <w:sz w:val="18"/>
                <w:szCs w:val="18"/>
              </w:rPr>
              <w:t>from</w:t>
            </w:r>
            <w:r w:rsidR="002C063D" w:rsidRPr="00827DE5">
              <w:rPr>
                <w:sz w:val="18"/>
                <w:szCs w:val="18"/>
              </w:rPr>
              <w:t xml:space="preserve"> vaccinated cases compared to unvaccinated cases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onwards</m:t>
                  </m:r>
                </m:sub>
              </m:sSub>
            </m:oMath>
          </w:p>
        </w:tc>
        <w:tc>
          <w:tcPr>
            <w:tcW w:w="1134" w:type="dxa"/>
            <w:tcBorders>
              <w:top w:val="single" w:sz="4" w:space="0" w:color="auto"/>
              <w:left w:val="single" w:sz="4" w:space="0" w:color="auto"/>
              <w:bottom w:val="single" w:sz="4" w:space="0" w:color="auto"/>
              <w:right w:val="single" w:sz="4" w:space="0" w:color="auto"/>
            </w:tcBorders>
            <w:hideMark/>
          </w:tcPr>
          <w:p w14:paraId="7087DE8C" w14:textId="77777777" w:rsidR="002C063D" w:rsidRPr="00827DE5" w:rsidRDefault="002C063D">
            <w:pPr>
              <w:rPr>
                <w:sz w:val="18"/>
                <w:szCs w:val="18"/>
              </w:rPr>
            </w:pPr>
            <w:r w:rsidRPr="00827DE5">
              <w:rPr>
                <w:sz w:val="18"/>
                <w:szCs w:val="18"/>
              </w:rPr>
              <w:t>Beta(10,10)</w:t>
            </w:r>
          </w:p>
        </w:tc>
        <w:tc>
          <w:tcPr>
            <w:tcW w:w="1984" w:type="dxa"/>
            <w:tcBorders>
              <w:top w:val="single" w:sz="4" w:space="0" w:color="auto"/>
              <w:left w:val="single" w:sz="4" w:space="0" w:color="auto"/>
              <w:bottom w:val="single" w:sz="4" w:space="0" w:color="auto"/>
              <w:right w:val="single" w:sz="4" w:space="0" w:color="auto"/>
            </w:tcBorders>
          </w:tcPr>
          <w:p w14:paraId="2771A509" w14:textId="77777777" w:rsidR="002C063D" w:rsidRPr="00827DE5" w:rsidRDefault="002C063D">
            <w:pPr>
              <w:rPr>
                <w:sz w:val="18"/>
                <w:szCs w:val="18"/>
              </w:rPr>
            </w:pPr>
            <w:r w:rsidRPr="00827DE5">
              <w:rPr>
                <w:sz w:val="18"/>
                <w:szCs w:val="18"/>
              </w:rPr>
              <w:t>0.84 (0.74 - 0.92)</w:t>
            </w:r>
          </w:p>
        </w:tc>
        <w:tc>
          <w:tcPr>
            <w:tcW w:w="1559" w:type="dxa"/>
            <w:tcBorders>
              <w:top w:val="single" w:sz="4" w:space="0" w:color="auto"/>
              <w:left w:val="single" w:sz="4" w:space="0" w:color="auto"/>
              <w:bottom w:val="single" w:sz="4" w:space="0" w:color="auto"/>
              <w:right w:val="single" w:sz="4" w:space="0" w:color="auto"/>
            </w:tcBorders>
          </w:tcPr>
          <w:p w14:paraId="4DD50DA1" w14:textId="77777777" w:rsidR="002C063D" w:rsidRPr="00827DE5" w:rsidRDefault="002C063D">
            <w:pPr>
              <w:rPr>
                <w:sz w:val="18"/>
                <w:szCs w:val="18"/>
              </w:rPr>
            </w:pPr>
            <w:r w:rsidRPr="00827DE5">
              <w:rPr>
                <w:sz w:val="18"/>
                <w:szCs w:val="18"/>
              </w:rPr>
              <w:t>0.82 (0.71 - 0.9)</w:t>
            </w:r>
          </w:p>
        </w:tc>
        <w:tc>
          <w:tcPr>
            <w:tcW w:w="1560" w:type="dxa"/>
            <w:tcBorders>
              <w:top w:val="single" w:sz="4" w:space="0" w:color="auto"/>
              <w:left w:val="single" w:sz="4" w:space="0" w:color="auto"/>
              <w:bottom w:val="single" w:sz="4" w:space="0" w:color="auto"/>
              <w:right w:val="single" w:sz="4" w:space="0" w:color="auto"/>
            </w:tcBorders>
          </w:tcPr>
          <w:p w14:paraId="0178BEA5" w14:textId="77777777" w:rsidR="002C063D" w:rsidRPr="00827DE5" w:rsidRDefault="002C063D">
            <w:pPr>
              <w:rPr>
                <w:sz w:val="18"/>
                <w:szCs w:val="18"/>
              </w:rPr>
            </w:pPr>
            <w:r w:rsidRPr="00827DE5">
              <w:rPr>
                <w:sz w:val="18"/>
                <w:szCs w:val="18"/>
              </w:rPr>
              <w:t>0.83 (0.72 - 0.91)</w:t>
            </w:r>
          </w:p>
        </w:tc>
      </w:tr>
      <w:tr w:rsidR="002C063D" w:rsidRPr="00827DE5" w14:paraId="5EBABCE1" w14:textId="77777777">
        <w:tc>
          <w:tcPr>
            <w:tcW w:w="2836" w:type="dxa"/>
            <w:tcBorders>
              <w:top w:val="single" w:sz="4" w:space="0" w:color="auto"/>
              <w:left w:val="single" w:sz="4" w:space="0" w:color="auto"/>
              <w:bottom w:val="single" w:sz="4" w:space="0" w:color="auto"/>
              <w:right w:val="single" w:sz="4" w:space="0" w:color="auto"/>
            </w:tcBorders>
            <w:hideMark/>
          </w:tcPr>
          <w:p w14:paraId="1532D352" w14:textId="77777777" w:rsidR="002C063D" w:rsidRPr="00827DE5" w:rsidRDefault="002C063D">
            <w:pPr>
              <w:rPr>
                <w:rFonts w:ascii="Calibri" w:eastAsia="Calibri" w:hAnsi="Calibri" w:cs="Times New Roman"/>
                <w:sz w:val="18"/>
                <w:szCs w:val="18"/>
              </w:rPr>
            </w:pPr>
            <w:r w:rsidRPr="00827DE5">
              <w:rPr>
                <w:sz w:val="18"/>
                <w:szCs w:val="18"/>
              </w:rPr>
              <w:t xml:space="preserve">Seasonality of infection rate: </w:t>
            </w:r>
            <m:oMath>
              <m:r>
                <w:rPr>
                  <w:rFonts w:ascii="Cambria Math" w:hAnsi="Cambria Math"/>
                  <w:sz w:val="18"/>
                  <w:szCs w:val="18"/>
                </w:rPr>
                <m:t>X</m:t>
              </m:r>
            </m:oMath>
          </w:p>
        </w:tc>
        <w:tc>
          <w:tcPr>
            <w:tcW w:w="1134" w:type="dxa"/>
            <w:tcBorders>
              <w:top w:val="single" w:sz="4" w:space="0" w:color="auto"/>
              <w:left w:val="single" w:sz="4" w:space="0" w:color="auto"/>
              <w:bottom w:val="single" w:sz="4" w:space="0" w:color="auto"/>
              <w:right w:val="single" w:sz="4" w:space="0" w:color="auto"/>
            </w:tcBorders>
            <w:hideMark/>
          </w:tcPr>
          <w:p w14:paraId="59E1B65C" w14:textId="77777777" w:rsidR="002C063D" w:rsidRPr="00827DE5" w:rsidRDefault="002C063D">
            <w:pPr>
              <w:rPr>
                <w:sz w:val="18"/>
                <w:szCs w:val="18"/>
              </w:rPr>
            </w:pPr>
            <w:r w:rsidRPr="00827DE5">
              <w:rPr>
                <w:sz w:val="18"/>
                <w:szCs w:val="18"/>
              </w:rPr>
              <w:t>U(0, 7)</w:t>
            </w:r>
          </w:p>
        </w:tc>
        <w:tc>
          <w:tcPr>
            <w:tcW w:w="1984" w:type="dxa"/>
            <w:tcBorders>
              <w:top w:val="single" w:sz="4" w:space="0" w:color="auto"/>
              <w:left w:val="single" w:sz="4" w:space="0" w:color="auto"/>
              <w:bottom w:val="single" w:sz="4" w:space="0" w:color="auto"/>
              <w:right w:val="single" w:sz="4" w:space="0" w:color="auto"/>
            </w:tcBorders>
          </w:tcPr>
          <w:p w14:paraId="431DC725" w14:textId="77777777" w:rsidR="002C063D" w:rsidRPr="00827DE5" w:rsidRDefault="002C063D">
            <w:pPr>
              <w:rPr>
                <w:sz w:val="18"/>
                <w:szCs w:val="18"/>
              </w:rPr>
            </w:pPr>
            <w:r w:rsidRPr="00827DE5">
              <w:rPr>
                <w:sz w:val="18"/>
                <w:szCs w:val="18"/>
              </w:rPr>
              <w:t>0.16 (0.14 - 0.18)</w:t>
            </w:r>
          </w:p>
        </w:tc>
        <w:tc>
          <w:tcPr>
            <w:tcW w:w="1559" w:type="dxa"/>
            <w:tcBorders>
              <w:top w:val="single" w:sz="4" w:space="0" w:color="auto"/>
              <w:left w:val="single" w:sz="4" w:space="0" w:color="auto"/>
              <w:bottom w:val="single" w:sz="4" w:space="0" w:color="auto"/>
              <w:right w:val="single" w:sz="4" w:space="0" w:color="auto"/>
            </w:tcBorders>
          </w:tcPr>
          <w:p w14:paraId="686D9ED2" w14:textId="77777777" w:rsidR="002C063D" w:rsidRPr="00827DE5" w:rsidRDefault="002C063D">
            <w:pPr>
              <w:rPr>
                <w:sz w:val="18"/>
                <w:szCs w:val="18"/>
              </w:rPr>
            </w:pPr>
            <w:r w:rsidRPr="00827DE5">
              <w:rPr>
                <w:sz w:val="18"/>
                <w:szCs w:val="18"/>
              </w:rPr>
              <w:t>0.16 (0.14 - 0.18)</w:t>
            </w:r>
          </w:p>
        </w:tc>
        <w:tc>
          <w:tcPr>
            <w:tcW w:w="1560" w:type="dxa"/>
            <w:tcBorders>
              <w:top w:val="single" w:sz="4" w:space="0" w:color="auto"/>
              <w:left w:val="single" w:sz="4" w:space="0" w:color="auto"/>
              <w:bottom w:val="single" w:sz="4" w:space="0" w:color="auto"/>
              <w:right w:val="single" w:sz="4" w:space="0" w:color="auto"/>
            </w:tcBorders>
          </w:tcPr>
          <w:p w14:paraId="5072C9F6" w14:textId="77777777" w:rsidR="002C063D" w:rsidRPr="00827DE5" w:rsidRDefault="002C063D">
            <w:pPr>
              <w:rPr>
                <w:sz w:val="18"/>
                <w:szCs w:val="18"/>
              </w:rPr>
            </w:pPr>
            <w:r w:rsidRPr="00827DE5">
              <w:rPr>
                <w:sz w:val="18"/>
                <w:szCs w:val="18"/>
              </w:rPr>
              <w:t>0.16 (0.14 - 0.18)</w:t>
            </w:r>
          </w:p>
        </w:tc>
      </w:tr>
      <w:tr w:rsidR="002C063D" w:rsidRPr="00827DE5" w14:paraId="7C3E3AE2" w14:textId="77777777">
        <w:tc>
          <w:tcPr>
            <w:tcW w:w="2836" w:type="dxa"/>
            <w:tcBorders>
              <w:top w:val="single" w:sz="4" w:space="0" w:color="auto"/>
              <w:left w:val="single" w:sz="4" w:space="0" w:color="auto"/>
              <w:bottom w:val="single" w:sz="4" w:space="0" w:color="auto"/>
              <w:right w:val="single" w:sz="4" w:space="0" w:color="auto"/>
            </w:tcBorders>
            <w:hideMark/>
          </w:tcPr>
          <w:p w14:paraId="3CECEDC3" w14:textId="77777777" w:rsidR="002C063D" w:rsidRPr="00827DE5" w:rsidRDefault="002C063D">
            <w:pPr>
              <w:rPr>
                <w:rFonts w:ascii="Calibri" w:eastAsia="Calibri" w:hAnsi="Calibri" w:cs="Times New Roman"/>
                <w:sz w:val="18"/>
                <w:szCs w:val="18"/>
              </w:rPr>
            </w:pPr>
            <w:r w:rsidRPr="00827DE5">
              <w:rPr>
                <w:sz w:val="18"/>
                <w:szCs w:val="18"/>
              </w:rPr>
              <w:t xml:space="preserve">Seasonality of infection rate: </w:t>
            </w:r>
            <m:oMath>
              <m:r>
                <w:rPr>
                  <w:rFonts w:ascii="Cambria Math" w:hAnsi="Cambria Math"/>
                  <w:sz w:val="18"/>
                  <w:szCs w:val="18"/>
                </w:rPr>
                <m:t>Y</m:t>
              </m:r>
            </m:oMath>
          </w:p>
        </w:tc>
        <w:tc>
          <w:tcPr>
            <w:tcW w:w="1134" w:type="dxa"/>
            <w:tcBorders>
              <w:top w:val="single" w:sz="4" w:space="0" w:color="auto"/>
              <w:left w:val="single" w:sz="4" w:space="0" w:color="auto"/>
              <w:bottom w:val="single" w:sz="4" w:space="0" w:color="auto"/>
              <w:right w:val="single" w:sz="4" w:space="0" w:color="auto"/>
            </w:tcBorders>
            <w:hideMark/>
          </w:tcPr>
          <w:p w14:paraId="686A2C80" w14:textId="77777777" w:rsidR="002C063D" w:rsidRPr="00827DE5" w:rsidRDefault="002C063D">
            <w:pPr>
              <w:rPr>
                <w:sz w:val="18"/>
                <w:szCs w:val="18"/>
              </w:rPr>
            </w:pPr>
            <w:r w:rsidRPr="00827DE5">
              <w:rPr>
                <w:sz w:val="18"/>
                <w:szCs w:val="18"/>
              </w:rPr>
              <w:t>U(0, 7)</w:t>
            </w:r>
          </w:p>
        </w:tc>
        <w:tc>
          <w:tcPr>
            <w:tcW w:w="1984" w:type="dxa"/>
            <w:tcBorders>
              <w:top w:val="single" w:sz="4" w:space="0" w:color="auto"/>
              <w:left w:val="single" w:sz="4" w:space="0" w:color="auto"/>
              <w:bottom w:val="single" w:sz="4" w:space="0" w:color="auto"/>
              <w:right w:val="single" w:sz="4" w:space="0" w:color="auto"/>
            </w:tcBorders>
          </w:tcPr>
          <w:p w14:paraId="4C3A2276" w14:textId="77777777" w:rsidR="002C063D" w:rsidRPr="00827DE5" w:rsidRDefault="002C063D">
            <w:pPr>
              <w:rPr>
                <w:sz w:val="18"/>
                <w:szCs w:val="18"/>
              </w:rPr>
            </w:pPr>
            <w:r w:rsidRPr="00827DE5">
              <w:rPr>
                <w:sz w:val="18"/>
                <w:szCs w:val="18"/>
              </w:rPr>
              <w:t>5.96 (5.85 - 6.07)</w:t>
            </w:r>
          </w:p>
        </w:tc>
        <w:tc>
          <w:tcPr>
            <w:tcW w:w="1559" w:type="dxa"/>
            <w:tcBorders>
              <w:top w:val="single" w:sz="4" w:space="0" w:color="auto"/>
              <w:left w:val="single" w:sz="4" w:space="0" w:color="auto"/>
              <w:bottom w:val="single" w:sz="4" w:space="0" w:color="auto"/>
              <w:right w:val="single" w:sz="4" w:space="0" w:color="auto"/>
            </w:tcBorders>
          </w:tcPr>
          <w:p w14:paraId="6D48DB49" w14:textId="77777777" w:rsidR="002C063D" w:rsidRPr="00827DE5" w:rsidRDefault="002C063D">
            <w:pPr>
              <w:rPr>
                <w:sz w:val="18"/>
                <w:szCs w:val="18"/>
              </w:rPr>
            </w:pPr>
            <w:r w:rsidRPr="00827DE5">
              <w:rPr>
                <w:sz w:val="18"/>
                <w:szCs w:val="18"/>
              </w:rPr>
              <w:t>5.96 (5.86 - 6.08)</w:t>
            </w:r>
          </w:p>
        </w:tc>
        <w:tc>
          <w:tcPr>
            <w:tcW w:w="1560" w:type="dxa"/>
            <w:tcBorders>
              <w:top w:val="single" w:sz="4" w:space="0" w:color="auto"/>
              <w:left w:val="single" w:sz="4" w:space="0" w:color="auto"/>
              <w:bottom w:val="single" w:sz="4" w:space="0" w:color="auto"/>
              <w:right w:val="single" w:sz="4" w:space="0" w:color="auto"/>
            </w:tcBorders>
          </w:tcPr>
          <w:p w14:paraId="1F11783B" w14:textId="77777777" w:rsidR="002C063D" w:rsidRPr="00827DE5" w:rsidRDefault="002C063D">
            <w:pPr>
              <w:rPr>
                <w:sz w:val="18"/>
                <w:szCs w:val="18"/>
              </w:rPr>
            </w:pPr>
            <w:r w:rsidRPr="00827DE5">
              <w:rPr>
                <w:sz w:val="18"/>
                <w:szCs w:val="18"/>
              </w:rPr>
              <w:t>5.97 (5.86 - 6.08)</w:t>
            </w:r>
          </w:p>
        </w:tc>
      </w:tr>
      <w:tr w:rsidR="002C063D" w:rsidRPr="00827DE5" w14:paraId="03CCF15F" w14:textId="77777777">
        <w:tc>
          <w:tcPr>
            <w:tcW w:w="2836" w:type="dxa"/>
            <w:tcBorders>
              <w:top w:val="single" w:sz="4" w:space="0" w:color="auto"/>
              <w:left w:val="single" w:sz="4" w:space="0" w:color="auto"/>
              <w:bottom w:val="single" w:sz="4" w:space="0" w:color="auto"/>
              <w:right w:val="single" w:sz="4" w:space="0" w:color="auto"/>
            </w:tcBorders>
          </w:tcPr>
          <w:p w14:paraId="7A65ECEE" w14:textId="77777777" w:rsidR="002C063D" w:rsidRPr="00827DE5" w:rsidRDefault="002C063D">
            <w:pPr>
              <w:rPr>
                <w:sz w:val="18"/>
                <w:szCs w:val="18"/>
              </w:rPr>
            </w:pPr>
            <w:r w:rsidRPr="00827DE5">
              <w:rPr>
                <w:sz w:val="18"/>
                <w:szCs w:val="18"/>
              </w:rPr>
              <w:t xml:space="preserve">Waning of immunity per year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leak</m:t>
                  </m:r>
                </m:sub>
              </m:sSub>
            </m:oMath>
          </w:p>
        </w:tc>
        <w:tc>
          <w:tcPr>
            <w:tcW w:w="1134" w:type="dxa"/>
            <w:tcBorders>
              <w:top w:val="single" w:sz="4" w:space="0" w:color="auto"/>
              <w:left w:val="single" w:sz="4" w:space="0" w:color="auto"/>
              <w:bottom w:val="single" w:sz="4" w:space="0" w:color="auto"/>
              <w:right w:val="single" w:sz="4" w:space="0" w:color="auto"/>
            </w:tcBorders>
          </w:tcPr>
          <w:p w14:paraId="333F57FA" w14:textId="77777777" w:rsidR="002C063D" w:rsidRPr="00827DE5" w:rsidRDefault="002C063D">
            <w:pPr>
              <w:rPr>
                <w:sz w:val="18"/>
                <w:szCs w:val="18"/>
              </w:rPr>
            </w:pPr>
            <w:r w:rsidRPr="00827DE5">
              <w:rPr>
                <w:sz w:val="18"/>
                <w:szCs w:val="18"/>
              </w:rPr>
              <w:t>U(0,1)</w:t>
            </w:r>
          </w:p>
        </w:tc>
        <w:tc>
          <w:tcPr>
            <w:tcW w:w="1984" w:type="dxa"/>
            <w:tcBorders>
              <w:top w:val="single" w:sz="4" w:space="0" w:color="auto"/>
              <w:left w:val="single" w:sz="4" w:space="0" w:color="auto"/>
              <w:bottom w:val="single" w:sz="4" w:space="0" w:color="auto"/>
              <w:right w:val="single" w:sz="4" w:space="0" w:color="auto"/>
            </w:tcBorders>
          </w:tcPr>
          <w:p w14:paraId="201EF2DB" w14:textId="77777777" w:rsidR="002C063D" w:rsidRPr="00827DE5" w:rsidRDefault="002C063D">
            <w:pPr>
              <w:rPr>
                <w:sz w:val="18"/>
                <w:szCs w:val="18"/>
              </w:rPr>
            </w:pPr>
            <w:r w:rsidRPr="00827DE5">
              <w:rPr>
                <w:sz w:val="18"/>
                <w:szCs w:val="18"/>
              </w:rPr>
              <w:t>0</w:t>
            </w:r>
          </w:p>
        </w:tc>
        <w:tc>
          <w:tcPr>
            <w:tcW w:w="1559" w:type="dxa"/>
            <w:tcBorders>
              <w:top w:val="single" w:sz="4" w:space="0" w:color="auto"/>
              <w:left w:val="single" w:sz="4" w:space="0" w:color="auto"/>
              <w:bottom w:val="single" w:sz="4" w:space="0" w:color="auto"/>
              <w:right w:val="single" w:sz="4" w:space="0" w:color="auto"/>
            </w:tcBorders>
          </w:tcPr>
          <w:p w14:paraId="5E5777A6" w14:textId="77777777" w:rsidR="002C063D" w:rsidRPr="00827DE5" w:rsidRDefault="002C063D">
            <w:pPr>
              <w:rPr>
                <w:sz w:val="18"/>
                <w:szCs w:val="18"/>
              </w:rPr>
            </w:pPr>
            <w:r w:rsidRPr="00827DE5">
              <w:rPr>
                <w:sz w:val="18"/>
                <w:szCs w:val="18"/>
              </w:rPr>
              <w:t>2.9 (2.5 - 3.3) e-4</w:t>
            </w:r>
          </w:p>
        </w:tc>
        <w:tc>
          <w:tcPr>
            <w:tcW w:w="1560" w:type="dxa"/>
            <w:tcBorders>
              <w:top w:val="single" w:sz="4" w:space="0" w:color="auto"/>
              <w:left w:val="single" w:sz="4" w:space="0" w:color="auto"/>
              <w:bottom w:val="single" w:sz="4" w:space="0" w:color="auto"/>
              <w:right w:val="single" w:sz="4" w:space="0" w:color="auto"/>
            </w:tcBorders>
          </w:tcPr>
          <w:p w14:paraId="5C960F11" w14:textId="77777777" w:rsidR="002C063D" w:rsidRPr="00827DE5" w:rsidRDefault="002C063D">
            <w:pPr>
              <w:rPr>
                <w:sz w:val="18"/>
                <w:szCs w:val="18"/>
              </w:rPr>
            </w:pPr>
            <w:r w:rsidRPr="00827DE5">
              <w:rPr>
                <w:sz w:val="18"/>
                <w:szCs w:val="18"/>
              </w:rPr>
              <w:t>3.9 (3.4 – 4.4) e-4</w:t>
            </w:r>
          </w:p>
        </w:tc>
      </w:tr>
      <w:tr w:rsidR="002C063D" w:rsidRPr="00827DE5" w14:paraId="2B936BD6" w14:textId="77777777">
        <w:tc>
          <w:tcPr>
            <w:tcW w:w="2836" w:type="dxa"/>
            <w:tcBorders>
              <w:top w:val="single" w:sz="4" w:space="0" w:color="auto"/>
              <w:left w:val="single" w:sz="4" w:space="0" w:color="auto"/>
              <w:bottom w:val="single" w:sz="4" w:space="0" w:color="auto"/>
              <w:right w:val="single" w:sz="4" w:space="0" w:color="auto"/>
            </w:tcBorders>
            <w:hideMark/>
          </w:tcPr>
          <w:p w14:paraId="68547618" w14:textId="77777777" w:rsidR="002C063D" w:rsidRPr="00827DE5" w:rsidRDefault="002C063D">
            <w:pPr>
              <w:rPr>
                <w:sz w:val="18"/>
                <w:szCs w:val="18"/>
              </w:rPr>
            </w:pPr>
            <w:r w:rsidRPr="00827DE5">
              <w:rPr>
                <w:sz w:val="18"/>
                <w:szCs w:val="18"/>
              </w:rPr>
              <w:t xml:space="preserve">Proportion of primary vaccine failure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fail</m:t>
                  </m:r>
                </m:sub>
              </m:sSub>
            </m:oMath>
          </w:p>
        </w:tc>
        <w:tc>
          <w:tcPr>
            <w:tcW w:w="1134" w:type="dxa"/>
            <w:tcBorders>
              <w:top w:val="single" w:sz="4" w:space="0" w:color="auto"/>
              <w:left w:val="single" w:sz="4" w:space="0" w:color="auto"/>
              <w:bottom w:val="single" w:sz="4" w:space="0" w:color="auto"/>
              <w:right w:val="single" w:sz="4" w:space="0" w:color="auto"/>
            </w:tcBorders>
            <w:hideMark/>
          </w:tcPr>
          <w:p w14:paraId="0B43537C"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30E66A94" w14:textId="77777777" w:rsidR="002C063D" w:rsidRPr="00827DE5" w:rsidRDefault="002C063D">
            <w:pPr>
              <w:rPr>
                <w:sz w:val="18"/>
                <w:szCs w:val="18"/>
              </w:rPr>
            </w:pPr>
            <w:r w:rsidRPr="00827DE5">
              <w:rPr>
                <w:sz w:val="18"/>
                <w:szCs w:val="18"/>
              </w:rPr>
              <w:t>0.05 (0.05 - 0.05)</w:t>
            </w:r>
          </w:p>
        </w:tc>
        <w:tc>
          <w:tcPr>
            <w:tcW w:w="1559" w:type="dxa"/>
            <w:tcBorders>
              <w:top w:val="single" w:sz="4" w:space="0" w:color="auto"/>
              <w:left w:val="single" w:sz="4" w:space="0" w:color="auto"/>
              <w:bottom w:val="single" w:sz="4" w:space="0" w:color="auto"/>
              <w:right w:val="single" w:sz="4" w:space="0" w:color="auto"/>
            </w:tcBorders>
          </w:tcPr>
          <w:p w14:paraId="129381E4" w14:textId="77777777" w:rsidR="002C063D" w:rsidRPr="00827DE5" w:rsidRDefault="002C063D">
            <w:pPr>
              <w:rPr>
                <w:sz w:val="18"/>
                <w:szCs w:val="18"/>
              </w:rPr>
            </w:pPr>
            <w:r w:rsidRPr="00827DE5">
              <w:rPr>
                <w:sz w:val="18"/>
                <w:szCs w:val="18"/>
              </w:rPr>
              <w:t>0.02 (0.02 - 0.03)</w:t>
            </w:r>
          </w:p>
        </w:tc>
        <w:tc>
          <w:tcPr>
            <w:tcW w:w="1560" w:type="dxa"/>
            <w:tcBorders>
              <w:top w:val="single" w:sz="4" w:space="0" w:color="auto"/>
              <w:left w:val="single" w:sz="4" w:space="0" w:color="auto"/>
              <w:bottom w:val="single" w:sz="4" w:space="0" w:color="auto"/>
              <w:right w:val="single" w:sz="4" w:space="0" w:color="auto"/>
            </w:tcBorders>
          </w:tcPr>
          <w:p w14:paraId="3FEABE4D" w14:textId="77777777" w:rsidR="002C063D" w:rsidRPr="00827DE5" w:rsidRDefault="002C063D">
            <w:pPr>
              <w:rPr>
                <w:sz w:val="18"/>
                <w:szCs w:val="18"/>
              </w:rPr>
            </w:pPr>
            <w:r w:rsidRPr="00827DE5">
              <w:rPr>
                <w:sz w:val="18"/>
                <w:szCs w:val="18"/>
              </w:rPr>
              <w:t>0.02 (0.02 - 0.03)</w:t>
            </w:r>
          </w:p>
        </w:tc>
      </w:tr>
      <w:tr w:rsidR="002C063D" w:rsidRPr="00827DE5" w14:paraId="6771A1BA" w14:textId="77777777">
        <w:tc>
          <w:tcPr>
            <w:tcW w:w="2836" w:type="dxa"/>
            <w:tcBorders>
              <w:top w:val="single" w:sz="4" w:space="0" w:color="auto"/>
              <w:left w:val="single" w:sz="4" w:space="0" w:color="auto"/>
              <w:bottom w:val="single" w:sz="4" w:space="0" w:color="auto"/>
              <w:right w:val="single" w:sz="4" w:space="0" w:color="auto"/>
            </w:tcBorders>
            <w:hideMark/>
          </w:tcPr>
          <w:p w14:paraId="519CBEBE" w14:textId="77777777" w:rsidR="002C063D" w:rsidRPr="00827DE5" w:rsidRDefault="002C063D">
            <w:pPr>
              <w:rPr>
                <w:sz w:val="18"/>
                <w:szCs w:val="18"/>
              </w:rPr>
            </w:pPr>
            <w:r w:rsidRPr="00827DE5">
              <w:rPr>
                <w:sz w:val="18"/>
                <w:szCs w:val="18"/>
              </w:rPr>
              <w:t xml:space="preserve">Proportion individuals vaccinated during the 1996 catch-up campaign </w:t>
            </w:r>
            <m:oMath>
              <m:r>
                <w:rPr>
                  <w:rFonts w:ascii="Cambria Math" w:hAnsi="Cambria Math"/>
                  <w:sz w:val="18"/>
                  <w:szCs w:val="18"/>
                </w:rPr>
                <m:t>catchup</m:t>
              </m:r>
            </m:oMath>
          </w:p>
        </w:tc>
        <w:tc>
          <w:tcPr>
            <w:tcW w:w="1134" w:type="dxa"/>
            <w:tcBorders>
              <w:top w:val="single" w:sz="4" w:space="0" w:color="auto"/>
              <w:left w:val="single" w:sz="4" w:space="0" w:color="auto"/>
              <w:bottom w:val="single" w:sz="4" w:space="0" w:color="auto"/>
              <w:right w:val="single" w:sz="4" w:space="0" w:color="auto"/>
            </w:tcBorders>
            <w:hideMark/>
          </w:tcPr>
          <w:p w14:paraId="054E5C3D"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2A354224" w14:textId="77777777" w:rsidR="002C063D" w:rsidRPr="00827DE5" w:rsidRDefault="002C063D">
            <w:pPr>
              <w:rPr>
                <w:sz w:val="18"/>
                <w:szCs w:val="18"/>
              </w:rPr>
            </w:pPr>
            <w:r w:rsidRPr="00827DE5">
              <w:rPr>
                <w:sz w:val="18"/>
                <w:szCs w:val="18"/>
              </w:rPr>
              <w:t>0.85 (0.8 - 0.88)</w:t>
            </w:r>
          </w:p>
        </w:tc>
        <w:tc>
          <w:tcPr>
            <w:tcW w:w="1559" w:type="dxa"/>
            <w:tcBorders>
              <w:top w:val="single" w:sz="4" w:space="0" w:color="auto"/>
              <w:left w:val="single" w:sz="4" w:space="0" w:color="auto"/>
              <w:bottom w:val="single" w:sz="4" w:space="0" w:color="auto"/>
              <w:right w:val="single" w:sz="4" w:space="0" w:color="auto"/>
            </w:tcBorders>
          </w:tcPr>
          <w:p w14:paraId="58371879" w14:textId="77777777" w:rsidR="002C063D" w:rsidRPr="00827DE5" w:rsidRDefault="002C063D">
            <w:pPr>
              <w:rPr>
                <w:sz w:val="18"/>
                <w:szCs w:val="18"/>
              </w:rPr>
            </w:pPr>
            <w:r w:rsidRPr="00827DE5">
              <w:rPr>
                <w:sz w:val="18"/>
                <w:szCs w:val="18"/>
              </w:rPr>
              <w:t>0.64 (0.56 - 0.71)</w:t>
            </w:r>
          </w:p>
        </w:tc>
        <w:tc>
          <w:tcPr>
            <w:tcW w:w="1560" w:type="dxa"/>
            <w:tcBorders>
              <w:top w:val="single" w:sz="4" w:space="0" w:color="auto"/>
              <w:left w:val="single" w:sz="4" w:space="0" w:color="auto"/>
              <w:bottom w:val="single" w:sz="4" w:space="0" w:color="auto"/>
              <w:right w:val="single" w:sz="4" w:space="0" w:color="auto"/>
            </w:tcBorders>
          </w:tcPr>
          <w:p w14:paraId="54B2B90A" w14:textId="77777777" w:rsidR="002C063D" w:rsidRPr="00827DE5" w:rsidRDefault="002C063D">
            <w:pPr>
              <w:rPr>
                <w:sz w:val="18"/>
                <w:szCs w:val="18"/>
              </w:rPr>
            </w:pPr>
            <w:r w:rsidRPr="00827DE5">
              <w:rPr>
                <w:sz w:val="18"/>
                <w:szCs w:val="18"/>
              </w:rPr>
              <w:t>0.63 (0.55 - 0.71)</w:t>
            </w:r>
          </w:p>
        </w:tc>
      </w:tr>
      <w:tr w:rsidR="002C063D" w:rsidRPr="00827DE5" w14:paraId="0A5E29C3" w14:textId="77777777">
        <w:tc>
          <w:tcPr>
            <w:tcW w:w="2836" w:type="dxa"/>
            <w:tcBorders>
              <w:top w:val="single" w:sz="4" w:space="0" w:color="auto"/>
              <w:left w:val="single" w:sz="4" w:space="0" w:color="auto"/>
              <w:bottom w:val="single" w:sz="4" w:space="0" w:color="auto"/>
              <w:right w:val="single" w:sz="4" w:space="0" w:color="auto"/>
            </w:tcBorders>
            <w:hideMark/>
          </w:tcPr>
          <w:p w14:paraId="0D564865" w14:textId="77777777" w:rsidR="002C063D" w:rsidRPr="00827DE5" w:rsidRDefault="002C063D">
            <w:pPr>
              <w:rPr>
                <w:sz w:val="18"/>
                <w:szCs w:val="18"/>
              </w:rPr>
            </w:pPr>
            <w:r w:rsidRPr="00827DE5">
              <w:rPr>
                <w:sz w:val="18"/>
                <w:szCs w:val="18"/>
              </w:rPr>
              <w:t xml:space="preserve">Proportion individuals vaccinated during the 2008 catch-up campaign </w:t>
            </w:r>
            <m:oMath>
              <m:r>
                <w:rPr>
                  <w:rFonts w:ascii="Cambria Math" w:hAnsi="Cambria Math"/>
                  <w:sz w:val="18"/>
                  <w:szCs w:val="18"/>
                </w:rPr>
                <m:t>catchup2</m:t>
              </m:r>
            </m:oMath>
          </w:p>
        </w:tc>
        <w:tc>
          <w:tcPr>
            <w:tcW w:w="1134" w:type="dxa"/>
            <w:tcBorders>
              <w:top w:val="single" w:sz="4" w:space="0" w:color="auto"/>
              <w:left w:val="single" w:sz="4" w:space="0" w:color="auto"/>
              <w:bottom w:val="single" w:sz="4" w:space="0" w:color="auto"/>
              <w:right w:val="single" w:sz="4" w:space="0" w:color="auto"/>
            </w:tcBorders>
            <w:hideMark/>
          </w:tcPr>
          <w:p w14:paraId="42240CC7"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7C0B1012" w14:textId="77777777" w:rsidR="002C063D" w:rsidRPr="00827DE5" w:rsidRDefault="002C063D">
            <w:pPr>
              <w:rPr>
                <w:sz w:val="18"/>
                <w:szCs w:val="18"/>
              </w:rPr>
            </w:pPr>
            <w:r w:rsidRPr="00827DE5">
              <w:rPr>
                <w:sz w:val="18"/>
                <w:szCs w:val="18"/>
              </w:rPr>
              <w:t>0.2 (0.17 - 0.23)</w:t>
            </w:r>
          </w:p>
        </w:tc>
        <w:tc>
          <w:tcPr>
            <w:tcW w:w="1559" w:type="dxa"/>
            <w:tcBorders>
              <w:top w:val="single" w:sz="4" w:space="0" w:color="auto"/>
              <w:left w:val="single" w:sz="4" w:space="0" w:color="auto"/>
              <w:bottom w:val="single" w:sz="4" w:space="0" w:color="auto"/>
              <w:right w:val="single" w:sz="4" w:space="0" w:color="auto"/>
            </w:tcBorders>
          </w:tcPr>
          <w:p w14:paraId="4F748450" w14:textId="77777777" w:rsidR="002C063D" w:rsidRPr="00827DE5" w:rsidRDefault="002C063D">
            <w:pPr>
              <w:rPr>
                <w:sz w:val="18"/>
                <w:szCs w:val="18"/>
              </w:rPr>
            </w:pPr>
            <w:r w:rsidRPr="00827DE5">
              <w:rPr>
                <w:sz w:val="18"/>
                <w:szCs w:val="18"/>
              </w:rPr>
              <w:t>0.2 (0.17 - 0.23)</w:t>
            </w:r>
          </w:p>
        </w:tc>
        <w:tc>
          <w:tcPr>
            <w:tcW w:w="1560" w:type="dxa"/>
            <w:tcBorders>
              <w:top w:val="single" w:sz="4" w:space="0" w:color="auto"/>
              <w:left w:val="single" w:sz="4" w:space="0" w:color="auto"/>
              <w:bottom w:val="single" w:sz="4" w:space="0" w:color="auto"/>
              <w:right w:val="single" w:sz="4" w:space="0" w:color="auto"/>
            </w:tcBorders>
          </w:tcPr>
          <w:p w14:paraId="4404E1FB" w14:textId="77777777" w:rsidR="002C063D" w:rsidRPr="00827DE5" w:rsidRDefault="002C063D">
            <w:pPr>
              <w:rPr>
                <w:sz w:val="18"/>
                <w:szCs w:val="18"/>
              </w:rPr>
            </w:pPr>
            <w:r w:rsidRPr="00827DE5">
              <w:rPr>
                <w:sz w:val="18"/>
                <w:szCs w:val="18"/>
              </w:rPr>
              <w:t>0.19 (0.16 - 0.23)</w:t>
            </w:r>
          </w:p>
        </w:tc>
      </w:tr>
      <w:tr w:rsidR="002C063D" w:rsidRPr="00827DE5" w14:paraId="18949190" w14:textId="77777777">
        <w:tc>
          <w:tcPr>
            <w:tcW w:w="2836" w:type="dxa"/>
            <w:tcBorders>
              <w:top w:val="single" w:sz="4" w:space="0" w:color="auto"/>
              <w:left w:val="single" w:sz="4" w:space="0" w:color="auto"/>
              <w:bottom w:val="single" w:sz="4" w:space="0" w:color="auto"/>
              <w:right w:val="single" w:sz="4" w:space="0" w:color="auto"/>
            </w:tcBorders>
            <w:hideMark/>
          </w:tcPr>
          <w:p w14:paraId="5974CD91" w14:textId="77777777" w:rsidR="002C063D" w:rsidRPr="00827DE5" w:rsidRDefault="002C063D">
            <w:pPr>
              <w:rPr>
                <w:sz w:val="18"/>
                <w:szCs w:val="18"/>
              </w:rPr>
            </w:pPr>
            <w:r w:rsidRPr="00827DE5">
              <w:rPr>
                <w:sz w:val="18"/>
                <w:szCs w:val="18"/>
              </w:rPr>
              <w:t xml:space="preserve">Proportion of previously infected 10-15 </w:t>
            </w:r>
            <w:proofErr w:type="spellStart"/>
            <w:r w:rsidRPr="00827DE5">
              <w:rPr>
                <w:sz w:val="18"/>
                <w:szCs w:val="18"/>
              </w:rPr>
              <w:t>yo</w:t>
            </w:r>
            <w:proofErr w:type="spellEnd"/>
            <w:r w:rsidRPr="00827DE5">
              <w:rPr>
                <w:sz w:val="18"/>
                <w:szCs w:val="18"/>
              </w:rPr>
              <w:t xml:space="preserve"> </w:t>
            </w:r>
            <m:oMath>
              <m:r>
                <w:rPr>
                  <w:rFonts w:ascii="Cambria Math" w:hAnsi="Cambria Math"/>
                  <w:sz w:val="18"/>
                  <w:szCs w:val="18"/>
                </w:rPr>
                <m:t>reco</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10-15</m:t>
                  </m:r>
                </m:sub>
              </m:sSub>
            </m:oMath>
          </w:p>
        </w:tc>
        <w:tc>
          <w:tcPr>
            <w:tcW w:w="1134" w:type="dxa"/>
            <w:tcBorders>
              <w:top w:val="single" w:sz="4" w:space="0" w:color="auto"/>
              <w:left w:val="single" w:sz="4" w:space="0" w:color="auto"/>
              <w:bottom w:val="single" w:sz="4" w:space="0" w:color="auto"/>
              <w:right w:val="single" w:sz="4" w:space="0" w:color="auto"/>
            </w:tcBorders>
            <w:hideMark/>
          </w:tcPr>
          <w:p w14:paraId="70FF2890"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07C403F1" w14:textId="77777777" w:rsidR="002C063D" w:rsidRPr="00827DE5" w:rsidRDefault="002C063D">
            <w:pPr>
              <w:rPr>
                <w:sz w:val="18"/>
                <w:szCs w:val="18"/>
              </w:rPr>
            </w:pPr>
            <w:r w:rsidRPr="00827DE5">
              <w:rPr>
                <w:sz w:val="18"/>
                <w:szCs w:val="18"/>
              </w:rPr>
              <w:t>0 (0 - 0.01)</w:t>
            </w:r>
          </w:p>
        </w:tc>
        <w:tc>
          <w:tcPr>
            <w:tcW w:w="1559" w:type="dxa"/>
            <w:tcBorders>
              <w:top w:val="single" w:sz="4" w:space="0" w:color="auto"/>
              <w:left w:val="single" w:sz="4" w:space="0" w:color="auto"/>
              <w:bottom w:val="single" w:sz="4" w:space="0" w:color="auto"/>
              <w:right w:val="single" w:sz="4" w:space="0" w:color="auto"/>
            </w:tcBorders>
          </w:tcPr>
          <w:p w14:paraId="05D7F01F" w14:textId="77777777" w:rsidR="002C063D" w:rsidRPr="00827DE5" w:rsidRDefault="002C063D">
            <w:pPr>
              <w:rPr>
                <w:sz w:val="18"/>
                <w:szCs w:val="18"/>
              </w:rPr>
            </w:pPr>
            <w:r w:rsidRPr="00827DE5">
              <w:rPr>
                <w:sz w:val="18"/>
                <w:szCs w:val="18"/>
              </w:rPr>
              <w:t>0 (0 - 0.02)</w:t>
            </w:r>
          </w:p>
        </w:tc>
        <w:tc>
          <w:tcPr>
            <w:tcW w:w="1560" w:type="dxa"/>
            <w:tcBorders>
              <w:top w:val="single" w:sz="4" w:space="0" w:color="auto"/>
              <w:left w:val="single" w:sz="4" w:space="0" w:color="auto"/>
              <w:bottom w:val="single" w:sz="4" w:space="0" w:color="auto"/>
              <w:right w:val="single" w:sz="4" w:space="0" w:color="auto"/>
            </w:tcBorders>
          </w:tcPr>
          <w:p w14:paraId="4823983F" w14:textId="77777777" w:rsidR="002C063D" w:rsidRPr="00827DE5" w:rsidRDefault="002C063D">
            <w:pPr>
              <w:rPr>
                <w:sz w:val="18"/>
                <w:szCs w:val="18"/>
              </w:rPr>
            </w:pPr>
            <w:r w:rsidRPr="00827DE5">
              <w:rPr>
                <w:sz w:val="18"/>
                <w:szCs w:val="18"/>
              </w:rPr>
              <w:t>0 (0 - 0.02)</w:t>
            </w:r>
          </w:p>
        </w:tc>
      </w:tr>
      <w:tr w:rsidR="002C063D" w:rsidRPr="00827DE5" w14:paraId="11398AFF" w14:textId="77777777">
        <w:tc>
          <w:tcPr>
            <w:tcW w:w="2836" w:type="dxa"/>
            <w:tcBorders>
              <w:top w:val="single" w:sz="4" w:space="0" w:color="auto"/>
              <w:left w:val="single" w:sz="4" w:space="0" w:color="auto"/>
              <w:bottom w:val="single" w:sz="4" w:space="0" w:color="auto"/>
              <w:right w:val="single" w:sz="4" w:space="0" w:color="auto"/>
            </w:tcBorders>
            <w:hideMark/>
          </w:tcPr>
          <w:p w14:paraId="16A111A3" w14:textId="77777777" w:rsidR="002C063D" w:rsidRPr="00827DE5" w:rsidRDefault="002C063D">
            <w:pPr>
              <w:rPr>
                <w:sz w:val="18"/>
                <w:szCs w:val="18"/>
              </w:rPr>
            </w:pPr>
            <w:r w:rsidRPr="00827DE5">
              <w:rPr>
                <w:sz w:val="18"/>
                <w:szCs w:val="18"/>
              </w:rPr>
              <w:t xml:space="preserve">Proportion of previously infected 15-20 </w:t>
            </w:r>
            <w:proofErr w:type="spellStart"/>
            <w:r w:rsidRPr="00827DE5">
              <w:rPr>
                <w:sz w:val="18"/>
                <w:szCs w:val="18"/>
              </w:rPr>
              <w:t>yo</w:t>
            </w:r>
            <w:proofErr w:type="spellEnd"/>
            <w:r w:rsidRPr="00827DE5">
              <w:rPr>
                <w:sz w:val="18"/>
                <w:szCs w:val="18"/>
              </w:rPr>
              <w:t xml:space="preserve"> </w:t>
            </w:r>
            <m:oMath>
              <m:r>
                <w:rPr>
                  <w:rFonts w:ascii="Cambria Math" w:hAnsi="Cambria Math"/>
                  <w:sz w:val="18"/>
                  <w:szCs w:val="18"/>
                </w:rPr>
                <m:t>reco</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15-20</m:t>
                  </m:r>
                </m:sub>
              </m:sSub>
            </m:oMath>
          </w:p>
        </w:tc>
        <w:tc>
          <w:tcPr>
            <w:tcW w:w="1134" w:type="dxa"/>
            <w:tcBorders>
              <w:top w:val="single" w:sz="4" w:space="0" w:color="auto"/>
              <w:left w:val="single" w:sz="4" w:space="0" w:color="auto"/>
              <w:bottom w:val="single" w:sz="4" w:space="0" w:color="auto"/>
              <w:right w:val="single" w:sz="4" w:space="0" w:color="auto"/>
            </w:tcBorders>
            <w:hideMark/>
          </w:tcPr>
          <w:p w14:paraId="3C2E6944"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5B892161" w14:textId="77777777" w:rsidR="002C063D" w:rsidRPr="00827DE5" w:rsidRDefault="002C063D">
            <w:pPr>
              <w:rPr>
                <w:sz w:val="18"/>
                <w:szCs w:val="18"/>
              </w:rPr>
            </w:pPr>
            <w:r w:rsidRPr="00827DE5">
              <w:rPr>
                <w:sz w:val="18"/>
                <w:szCs w:val="18"/>
              </w:rPr>
              <w:t>0.01 (0 - 0.02)</w:t>
            </w:r>
          </w:p>
        </w:tc>
        <w:tc>
          <w:tcPr>
            <w:tcW w:w="1559" w:type="dxa"/>
            <w:tcBorders>
              <w:top w:val="single" w:sz="4" w:space="0" w:color="auto"/>
              <w:left w:val="single" w:sz="4" w:space="0" w:color="auto"/>
              <w:bottom w:val="single" w:sz="4" w:space="0" w:color="auto"/>
              <w:right w:val="single" w:sz="4" w:space="0" w:color="auto"/>
            </w:tcBorders>
          </w:tcPr>
          <w:p w14:paraId="36D2719D" w14:textId="77777777" w:rsidR="002C063D" w:rsidRPr="00827DE5" w:rsidRDefault="002C063D">
            <w:pPr>
              <w:rPr>
                <w:sz w:val="18"/>
                <w:szCs w:val="18"/>
              </w:rPr>
            </w:pPr>
            <w:r w:rsidRPr="00827DE5">
              <w:rPr>
                <w:sz w:val="18"/>
                <w:szCs w:val="18"/>
              </w:rPr>
              <w:t>0.01 (0 - 0.06)</w:t>
            </w:r>
          </w:p>
        </w:tc>
        <w:tc>
          <w:tcPr>
            <w:tcW w:w="1560" w:type="dxa"/>
            <w:tcBorders>
              <w:top w:val="single" w:sz="4" w:space="0" w:color="auto"/>
              <w:left w:val="single" w:sz="4" w:space="0" w:color="auto"/>
              <w:bottom w:val="single" w:sz="4" w:space="0" w:color="auto"/>
              <w:right w:val="single" w:sz="4" w:space="0" w:color="auto"/>
            </w:tcBorders>
          </w:tcPr>
          <w:p w14:paraId="425D52AD" w14:textId="77777777" w:rsidR="002C063D" w:rsidRPr="00827DE5" w:rsidRDefault="002C063D">
            <w:pPr>
              <w:rPr>
                <w:sz w:val="18"/>
                <w:szCs w:val="18"/>
              </w:rPr>
            </w:pPr>
            <w:r w:rsidRPr="00827DE5">
              <w:rPr>
                <w:sz w:val="18"/>
                <w:szCs w:val="18"/>
              </w:rPr>
              <w:t>0.02 (0 - 0.06)</w:t>
            </w:r>
          </w:p>
        </w:tc>
      </w:tr>
      <w:tr w:rsidR="002C063D" w:rsidRPr="00827DE5" w14:paraId="04BA95FF" w14:textId="77777777">
        <w:tc>
          <w:tcPr>
            <w:tcW w:w="2836" w:type="dxa"/>
            <w:tcBorders>
              <w:top w:val="single" w:sz="4" w:space="0" w:color="auto"/>
              <w:left w:val="single" w:sz="4" w:space="0" w:color="auto"/>
              <w:bottom w:val="single" w:sz="4" w:space="0" w:color="auto"/>
              <w:right w:val="single" w:sz="4" w:space="0" w:color="auto"/>
            </w:tcBorders>
            <w:hideMark/>
          </w:tcPr>
          <w:p w14:paraId="67960B70" w14:textId="77777777" w:rsidR="002C063D" w:rsidRPr="00827DE5" w:rsidRDefault="002C063D">
            <w:pPr>
              <w:rPr>
                <w:sz w:val="18"/>
                <w:szCs w:val="18"/>
              </w:rPr>
            </w:pPr>
            <w:r w:rsidRPr="00827DE5">
              <w:rPr>
                <w:sz w:val="18"/>
                <w:szCs w:val="18"/>
              </w:rPr>
              <w:t xml:space="preserve">Proportion of previously infected 20-30 </w:t>
            </w:r>
            <w:proofErr w:type="spellStart"/>
            <w:r w:rsidRPr="00827DE5">
              <w:rPr>
                <w:sz w:val="18"/>
                <w:szCs w:val="18"/>
              </w:rPr>
              <w:t>yo</w:t>
            </w:r>
            <w:proofErr w:type="spellEnd"/>
            <w:r w:rsidRPr="00827DE5">
              <w:rPr>
                <w:sz w:val="18"/>
                <w:szCs w:val="18"/>
              </w:rPr>
              <w:t xml:space="preserve"> </w:t>
            </w:r>
            <m:oMath>
              <m:r>
                <w:rPr>
                  <w:rFonts w:ascii="Cambria Math" w:hAnsi="Cambria Math"/>
                  <w:sz w:val="18"/>
                  <w:szCs w:val="18"/>
                </w:rPr>
                <m:t>reco</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20-30</m:t>
                  </m:r>
                </m:sub>
              </m:sSub>
            </m:oMath>
          </w:p>
        </w:tc>
        <w:tc>
          <w:tcPr>
            <w:tcW w:w="1134" w:type="dxa"/>
            <w:tcBorders>
              <w:top w:val="single" w:sz="4" w:space="0" w:color="auto"/>
              <w:left w:val="single" w:sz="4" w:space="0" w:color="auto"/>
              <w:bottom w:val="single" w:sz="4" w:space="0" w:color="auto"/>
              <w:right w:val="single" w:sz="4" w:space="0" w:color="auto"/>
            </w:tcBorders>
            <w:hideMark/>
          </w:tcPr>
          <w:p w14:paraId="0241A760"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2BBEBFA1" w14:textId="77777777" w:rsidR="002C063D" w:rsidRPr="00827DE5" w:rsidRDefault="002C063D">
            <w:pPr>
              <w:rPr>
                <w:sz w:val="18"/>
                <w:szCs w:val="18"/>
              </w:rPr>
            </w:pPr>
            <w:r w:rsidRPr="00827DE5">
              <w:rPr>
                <w:sz w:val="18"/>
                <w:szCs w:val="18"/>
              </w:rPr>
              <w:t>0.47 (0.43 - 0.52)</w:t>
            </w:r>
          </w:p>
        </w:tc>
        <w:tc>
          <w:tcPr>
            <w:tcW w:w="1559" w:type="dxa"/>
            <w:tcBorders>
              <w:top w:val="single" w:sz="4" w:space="0" w:color="auto"/>
              <w:left w:val="single" w:sz="4" w:space="0" w:color="auto"/>
              <w:bottom w:val="single" w:sz="4" w:space="0" w:color="auto"/>
              <w:right w:val="single" w:sz="4" w:space="0" w:color="auto"/>
            </w:tcBorders>
          </w:tcPr>
          <w:p w14:paraId="4FCA4E58" w14:textId="77777777" w:rsidR="002C063D" w:rsidRPr="00827DE5" w:rsidRDefault="002C063D">
            <w:pPr>
              <w:rPr>
                <w:sz w:val="18"/>
                <w:szCs w:val="18"/>
              </w:rPr>
            </w:pPr>
            <w:r w:rsidRPr="00827DE5">
              <w:rPr>
                <w:sz w:val="18"/>
                <w:szCs w:val="18"/>
              </w:rPr>
              <w:t>0.56 (0.52 - 0.6)</w:t>
            </w:r>
          </w:p>
        </w:tc>
        <w:tc>
          <w:tcPr>
            <w:tcW w:w="1560" w:type="dxa"/>
            <w:tcBorders>
              <w:top w:val="single" w:sz="4" w:space="0" w:color="auto"/>
              <w:left w:val="single" w:sz="4" w:space="0" w:color="auto"/>
              <w:bottom w:val="single" w:sz="4" w:space="0" w:color="auto"/>
              <w:right w:val="single" w:sz="4" w:space="0" w:color="auto"/>
            </w:tcBorders>
          </w:tcPr>
          <w:p w14:paraId="1F2C620F" w14:textId="77777777" w:rsidR="002C063D" w:rsidRPr="00827DE5" w:rsidRDefault="002C063D">
            <w:pPr>
              <w:rPr>
                <w:sz w:val="18"/>
                <w:szCs w:val="18"/>
              </w:rPr>
            </w:pPr>
            <w:r w:rsidRPr="00827DE5">
              <w:rPr>
                <w:sz w:val="18"/>
                <w:szCs w:val="18"/>
              </w:rPr>
              <w:t>0.54 (0.5 - 0.59)</w:t>
            </w:r>
          </w:p>
        </w:tc>
      </w:tr>
      <w:tr w:rsidR="002C063D" w:rsidRPr="00827DE5" w14:paraId="747B2E27" w14:textId="77777777">
        <w:tc>
          <w:tcPr>
            <w:tcW w:w="2836" w:type="dxa"/>
            <w:tcBorders>
              <w:top w:val="single" w:sz="4" w:space="0" w:color="auto"/>
              <w:left w:val="single" w:sz="4" w:space="0" w:color="auto"/>
              <w:bottom w:val="single" w:sz="4" w:space="0" w:color="auto"/>
              <w:right w:val="single" w:sz="4" w:space="0" w:color="auto"/>
            </w:tcBorders>
            <w:hideMark/>
          </w:tcPr>
          <w:p w14:paraId="05190220" w14:textId="77777777" w:rsidR="002C063D" w:rsidRPr="00827DE5" w:rsidRDefault="002C063D">
            <w:pPr>
              <w:rPr>
                <w:sz w:val="18"/>
                <w:szCs w:val="18"/>
              </w:rPr>
            </w:pPr>
            <w:r w:rsidRPr="00827DE5">
              <w:rPr>
                <w:sz w:val="18"/>
                <w:szCs w:val="18"/>
              </w:rPr>
              <w:t xml:space="preserve">Proportion of previously infected 30-40 </w:t>
            </w:r>
            <w:proofErr w:type="spellStart"/>
            <w:r w:rsidRPr="00827DE5">
              <w:rPr>
                <w:sz w:val="18"/>
                <w:szCs w:val="18"/>
              </w:rPr>
              <w:t>yo</w:t>
            </w:r>
            <w:proofErr w:type="spellEnd"/>
            <w:r w:rsidRPr="00827DE5">
              <w:rPr>
                <w:sz w:val="18"/>
                <w:szCs w:val="18"/>
              </w:rPr>
              <w:t xml:space="preserve"> </w:t>
            </w:r>
            <m:oMath>
              <m:r>
                <w:rPr>
                  <w:rFonts w:ascii="Cambria Math" w:hAnsi="Cambria Math"/>
                  <w:sz w:val="18"/>
                  <w:szCs w:val="18"/>
                </w:rPr>
                <m:t>reco</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30-40</m:t>
                  </m:r>
                </m:sub>
              </m:sSub>
            </m:oMath>
          </w:p>
        </w:tc>
        <w:tc>
          <w:tcPr>
            <w:tcW w:w="1134" w:type="dxa"/>
            <w:tcBorders>
              <w:top w:val="single" w:sz="4" w:space="0" w:color="auto"/>
              <w:left w:val="single" w:sz="4" w:space="0" w:color="auto"/>
              <w:bottom w:val="single" w:sz="4" w:space="0" w:color="auto"/>
              <w:right w:val="single" w:sz="4" w:space="0" w:color="auto"/>
            </w:tcBorders>
            <w:hideMark/>
          </w:tcPr>
          <w:p w14:paraId="2B7338BA"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7E540CC3" w14:textId="77777777" w:rsidR="002C063D" w:rsidRPr="00827DE5" w:rsidRDefault="002C063D">
            <w:pPr>
              <w:rPr>
                <w:sz w:val="18"/>
                <w:szCs w:val="18"/>
              </w:rPr>
            </w:pPr>
            <w:r w:rsidRPr="00827DE5">
              <w:rPr>
                <w:sz w:val="18"/>
                <w:szCs w:val="18"/>
              </w:rPr>
              <w:t>0.98 (0.98 - 0.99)</w:t>
            </w:r>
          </w:p>
        </w:tc>
        <w:tc>
          <w:tcPr>
            <w:tcW w:w="1559" w:type="dxa"/>
            <w:tcBorders>
              <w:top w:val="single" w:sz="4" w:space="0" w:color="auto"/>
              <w:left w:val="single" w:sz="4" w:space="0" w:color="auto"/>
              <w:bottom w:val="single" w:sz="4" w:space="0" w:color="auto"/>
              <w:right w:val="single" w:sz="4" w:space="0" w:color="auto"/>
            </w:tcBorders>
          </w:tcPr>
          <w:p w14:paraId="797A82D5" w14:textId="77777777" w:rsidR="002C063D" w:rsidRPr="00827DE5" w:rsidRDefault="002C063D">
            <w:pPr>
              <w:rPr>
                <w:sz w:val="18"/>
                <w:szCs w:val="18"/>
              </w:rPr>
            </w:pPr>
            <w:r w:rsidRPr="00827DE5">
              <w:rPr>
                <w:sz w:val="18"/>
                <w:szCs w:val="18"/>
              </w:rPr>
              <w:t>0.98 (0.98 - 0.98)</w:t>
            </w:r>
          </w:p>
        </w:tc>
        <w:tc>
          <w:tcPr>
            <w:tcW w:w="1560" w:type="dxa"/>
            <w:tcBorders>
              <w:top w:val="single" w:sz="4" w:space="0" w:color="auto"/>
              <w:left w:val="single" w:sz="4" w:space="0" w:color="auto"/>
              <w:bottom w:val="single" w:sz="4" w:space="0" w:color="auto"/>
              <w:right w:val="single" w:sz="4" w:space="0" w:color="auto"/>
            </w:tcBorders>
          </w:tcPr>
          <w:p w14:paraId="6BFA1817" w14:textId="77777777" w:rsidR="002C063D" w:rsidRPr="00827DE5" w:rsidRDefault="002C063D">
            <w:pPr>
              <w:rPr>
                <w:sz w:val="18"/>
                <w:szCs w:val="18"/>
              </w:rPr>
            </w:pPr>
            <w:r w:rsidRPr="00827DE5">
              <w:rPr>
                <w:sz w:val="18"/>
                <w:szCs w:val="18"/>
              </w:rPr>
              <w:t>0.98 (0.98 - 0.98)</w:t>
            </w:r>
          </w:p>
        </w:tc>
      </w:tr>
      <w:tr w:rsidR="002C063D" w:rsidRPr="00827DE5" w14:paraId="6E3155D4" w14:textId="77777777">
        <w:tc>
          <w:tcPr>
            <w:tcW w:w="2836" w:type="dxa"/>
            <w:tcBorders>
              <w:top w:val="single" w:sz="4" w:space="0" w:color="auto"/>
              <w:left w:val="single" w:sz="4" w:space="0" w:color="auto"/>
              <w:bottom w:val="single" w:sz="4" w:space="0" w:color="auto"/>
              <w:right w:val="single" w:sz="4" w:space="0" w:color="auto"/>
            </w:tcBorders>
            <w:hideMark/>
          </w:tcPr>
          <w:p w14:paraId="34A67B7D" w14:textId="77777777" w:rsidR="002C063D" w:rsidRPr="00827DE5" w:rsidRDefault="002C063D">
            <w:pPr>
              <w:rPr>
                <w:sz w:val="18"/>
                <w:szCs w:val="18"/>
              </w:rPr>
            </w:pPr>
            <w:r w:rsidRPr="00827DE5">
              <w:rPr>
                <w:sz w:val="18"/>
                <w:szCs w:val="18"/>
              </w:rPr>
              <w:t xml:space="preserve">Proportion of previously infected 40+ </w:t>
            </w:r>
            <w:proofErr w:type="spellStart"/>
            <w:r w:rsidRPr="00827DE5">
              <w:rPr>
                <w:sz w:val="18"/>
                <w:szCs w:val="18"/>
              </w:rPr>
              <w:t>yo</w:t>
            </w:r>
            <w:proofErr w:type="spellEnd"/>
            <w:r w:rsidRPr="00827DE5">
              <w:rPr>
                <w:sz w:val="18"/>
                <w:szCs w:val="18"/>
              </w:rPr>
              <w:t xml:space="preserve"> </w:t>
            </w:r>
            <m:oMath>
              <m:r>
                <w:rPr>
                  <w:rFonts w:ascii="Cambria Math" w:hAnsi="Cambria Math"/>
                  <w:sz w:val="18"/>
                  <w:szCs w:val="18"/>
                </w:rPr>
                <m:t>reco</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40+</m:t>
                  </m:r>
                </m:sub>
              </m:sSub>
            </m:oMath>
          </w:p>
        </w:tc>
        <w:tc>
          <w:tcPr>
            <w:tcW w:w="1134" w:type="dxa"/>
            <w:tcBorders>
              <w:top w:val="single" w:sz="4" w:space="0" w:color="auto"/>
              <w:left w:val="single" w:sz="4" w:space="0" w:color="auto"/>
              <w:bottom w:val="single" w:sz="4" w:space="0" w:color="auto"/>
              <w:right w:val="single" w:sz="4" w:space="0" w:color="auto"/>
            </w:tcBorders>
            <w:hideMark/>
          </w:tcPr>
          <w:p w14:paraId="71DC44D9"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2A4A1BE4" w14:textId="77777777" w:rsidR="002C063D" w:rsidRPr="00827DE5" w:rsidRDefault="002C063D">
            <w:pPr>
              <w:rPr>
                <w:sz w:val="18"/>
                <w:szCs w:val="18"/>
              </w:rPr>
            </w:pPr>
            <w:r w:rsidRPr="00827DE5">
              <w:rPr>
                <w:sz w:val="18"/>
                <w:szCs w:val="18"/>
              </w:rPr>
              <w:t>0.99 (0.99 - 0.99)</w:t>
            </w:r>
          </w:p>
        </w:tc>
        <w:tc>
          <w:tcPr>
            <w:tcW w:w="1559" w:type="dxa"/>
            <w:tcBorders>
              <w:top w:val="single" w:sz="4" w:space="0" w:color="auto"/>
              <w:left w:val="single" w:sz="4" w:space="0" w:color="auto"/>
              <w:bottom w:val="single" w:sz="4" w:space="0" w:color="auto"/>
              <w:right w:val="single" w:sz="4" w:space="0" w:color="auto"/>
            </w:tcBorders>
          </w:tcPr>
          <w:p w14:paraId="781CB265" w14:textId="77777777" w:rsidR="002C063D" w:rsidRPr="00827DE5" w:rsidRDefault="002C063D">
            <w:pPr>
              <w:rPr>
                <w:sz w:val="18"/>
                <w:szCs w:val="18"/>
              </w:rPr>
            </w:pPr>
            <w:r w:rsidRPr="00827DE5">
              <w:rPr>
                <w:sz w:val="18"/>
                <w:szCs w:val="18"/>
              </w:rPr>
              <w:t>0.99 (0.99 - 0.99)</w:t>
            </w:r>
          </w:p>
        </w:tc>
        <w:tc>
          <w:tcPr>
            <w:tcW w:w="1560" w:type="dxa"/>
            <w:tcBorders>
              <w:top w:val="single" w:sz="4" w:space="0" w:color="auto"/>
              <w:left w:val="single" w:sz="4" w:space="0" w:color="auto"/>
              <w:bottom w:val="single" w:sz="4" w:space="0" w:color="auto"/>
              <w:right w:val="single" w:sz="4" w:space="0" w:color="auto"/>
            </w:tcBorders>
          </w:tcPr>
          <w:p w14:paraId="7FF4D236" w14:textId="77777777" w:rsidR="002C063D" w:rsidRPr="00827DE5" w:rsidRDefault="002C063D">
            <w:pPr>
              <w:rPr>
                <w:sz w:val="18"/>
                <w:szCs w:val="18"/>
              </w:rPr>
            </w:pPr>
            <w:r w:rsidRPr="00827DE5">
              <w:rPr>
                <w:sz w:val="18"/>
                <w:szCs w:val="18"/>
              </w:rPr>
              <w:t>0.99 (0.99 - 0.99)</w:t>
            </w:r>
          </w:p>
        </w:tc>
      </w:tr>
      <w:tr w:rsidR="002C063D" w:rsidRPr="00827DE5" w14:paraId="0BDBF16A" w14:textId="77777777">
        <w:tc>
          <w:tcPr>
            <w:tcW w:w="2836" w:type="dxa"/>
            <w:tcBorders>
              <w:top w:val="single" w:sz="4" w:space="0" w:color="auto"/>
              <w:left w:val="single" w:sz="4" w:space="0" w:color="auto"/>
              <w:bottom w:val="single" w:sz="4" w:space="0" w:color="auto"/>
              <w:right w:val="single" w:sz="4" w:space="0" w:color="auto"/>
            </w:tcBorders>
            <w:hideMark/>
          </w:tcPr>
          <w:p w14:paraId="75B69BBA" w14:textId="77777777" w:rsidR="002C063D" w:rsidRPr="00827DE5" w:rsidRDefault="002C063D">
            <w:pPr>
              <w:rPr>
                <w:sz w:val="18"/>
                <w:szCs w:val="18"/>
              </w:rPr>
            </w:pPr>
            <w:r w:rsidRPr="00827DE5">
              <w:rPr>
                <w:sz w:val="18"/>
                <w:szCs w:val="18"/>
              </w:rPr>
              <w:t xml:space="preserve">Spatial parameter </w:t>
            </w:r>
            <m:oMath>
              <m:r>
                <w:rPr>
                  <w:rFonts w:ascii="Cambria Math" w:hAnsi="Cambria Math"/>
                  <w:sz w:val="18"/>
                  <w:szCs w:val="18"/>
                </w:rPr>
                <m:t>b</m:t>
              </m:r>
            </m:oMath>
          </w:p>
        </w:tc>
        <w:tc>
          <w:tcPr>
            <w:tcW w:w="1134" w:type="dxa"/>
            <w:tcBorders>
              <w:top w:val="single" w:sz="4" w:space="0" w:color="auto"/>
              <w:left w:val="single" w:sz="4" w:space="0" w:color="auto"/>
              <w:bottom w:val="single" w:sz="4" w:space="0" w:color="auto"/>
              <w:right w:val="single" w:sz="4" w:space="0" w:color="auto"/>
            </w:tcBorders>
            <w:hideMark/>
          </w:tcPr>
          <w:p w14:paraId="79811631" w14:textId="77777777" w:rsidR="002C063D" w:rsidRPr="00827DE5" w:rsidRDefault="002C063D">
            <w:pPr>
              <w:rPr>
                <w:sz w:val="18"/>
                <w:szCs w:val="18"/>
              </w:rPr>
            </w:pPr>
            <w:r w:rsidRPr="00827DE5">
              <w:rPr>
                <w:sz w:val="18"/>
                <w:szCs w:val="18"/>
              </w:rPr>
              <w:t>U(0, 5)</w:t>
            </w:r>
          </w:p>
        </w:tc>
        <w:tc>
          <w:tcPr>
            <w:tcW w:w="1984" w:type="dxa"/>
            <w:tcBorders>
              <w:top w:val="single" w:sz="4" w:space="0" w:color="auto"/>
              <w:left w:val="single" w:sz="4" w:space="0" w:color="auto"/>
              <w:bottom w:val="single" w:sz="4" w:space="0" w:color="auto"/>
              <w:right w:val="single" w:sz="4" w:space="0" w:color="auto"/>
            </w:tcBorders>
          </w:tcPr>
          <w:p w14:paraId="683D5E18" w14:textId="77777777" w:rsidR="002C063D" w:rsidRPr="00827DE5" w:rsidRDefault="002C063D">
            <w:pPr>
              <w:rPr>
                <w:sz w:val="18"/>
                <w:szCs w:val="18"/>
              </w:rPr>
            </w:pPr>
            <w:r w:rsidRPr="00827DE5">
              <w:rPr>
                <w:sz w:val="18"/>
                <w:szCs w:val="18"/>
              </w:rPr>
              <w:t>0.01 (0 - 0.03)</w:t>
            </w:r>
          </w:p>
        </w:tc>
        <w:tc>
          <w:tcPr>
            <w:tcW w:w="1559" w:type="dxa"/>
            <w:tcBorders>
              <w:top w:val="single" w:sz="4" w:space="0" w:color="auto"/>
              <w:left w:val="single" w:sz="4" w:space="0" w:color="auto"/>
              <w:bottom w:val="single" w:sz="4" w:space="0" w:color="auto"/>
              <w:right w:val="single" w:sz="4" w:space="0" w:color="auto"/>
            </w:tcBorders>
          </w:tcPr>
          <w:p w14:paraId="154FA825" w14:textId="77777777" w:rsidR="002C063D" w:rsidRPr="00827DE5" w:rsidRDefault="002C063D">
            <w:pPr>
              <w:rPr>
                <w:sz w:val="18"/>
                <w:szCs w:val="18"/>
              </w:rPr>
            </w:pPr>
            <w:r w:rsidRPr="00827DE5">
              <w:rPr>
                <w:sz w:val="18"/>
                <w:szCs w:val="18"/>
              </w:rPr>
              <w:t>0.01 (0 - 0.04)</w:t>
            </w:r>
          </w:p>
        </w:tc>
        <w:tc>
          <w:tcPr>
            <w:tcW w:w="1560" w:type="dxa"/>
            <w:tcBorders>
              <w:top w:val="single" w:sz="4" w:space="0" w:color="auto"/>
              <w:left w:val="single" w:sz="4" w:space="0" w:color="auto"/>
              <w:bottom w:val="single" w:sz="4" w:space="0" w:color="auto"/>
              <w:right w:val="single" w:sz="4" w:space="0" w:color="auto"/>
            </w:tcBorders>
          </w:tcPr>
          <w:p w14:paraId="2BF25CB9" w14:textId="77777777" w:rsidR="002C063D" w:rsidRPr="00827DE5" w:rsidRDefault="002C063D">
            <w:pPr>
              <w:rPr>
                <w:sz w:val="18"/>
                <w:szCs w:val="18"/>
              </w:rPr>
            </w:pPr>
            <w:r w:rsidRPr="00827DE5">
              <w:rPr>
                <w:sz w:val="18"/>
                <w:szCs w:val="18"/>
              </w:rPr>
              <w:t>0.01 (0 - 0.03)</w:t>
            </w:r>
          </w:p>
        </w:tc>
      </w:tr>
      <w:tr w:rsidR="002C063D" w:rsidRPr="00827DE5" w14:paraId="2404144F" w14:textId="77777777">
        <w:tc>
          <w:tcPr>
            <w:tcW w:w="2836" w:type="dxa"/>
            <w:tcBorders>
              <w:top w:val="single" w:sz="4" w:space="0" w:color="auto"/>
              <w:left w:val="single" w:sz="4" w:space="0" w:color="auto"/>
              <w:bottom w:val="single" w:sz="4" w:space="0" w:color="auto"/>
              <w:right w:val="single" w:sz="4" w:space="0" w:color="auto"/>
            </w:tcBorders>
            <w:hideMark/>
          </w:tcPr>
          <w:p w14:paraId="0FC91892" w14:textId="77777777" w:rsidR="002C063D" w:rsidRPr="00827DE5" w:rsidRDefault="002C063D">
            <w:pPr>
              <w:rPr>
                <w:sz w:val="18"/>
                <w:szCs w:val="18"/>
              </w:rPr>
            </w:pPr>
            <w:r w:rsidRPr="00827DE5">
              <w:rPr>
                <w:sz w:val="18"/>
                <w:szCs w:val="18"/>
              </w:rPr>
              <w:t xml:space="preserve">Spatial parameter </w:t>
            </w:r>
            <m:oMath>
              <m:r>
                <w:rPr>
                  <w:rFonts w:ascii="Cambria Math" w:hAnsi="Cambria Math"/>
                  <w:sz w:val="18"/>
                  <w:szCs w:val="18"/>
                </w:rPr>
                <m:t>c</m:t>
              </m:r>
            </m:oMath>
          </w:p>
        </w:tc>
        <w:tc>
          <w:tcPr>
            <w:tcW w:w="1134" w:type="dxa"/>
            <w:tcBorders>
              <w:top w:val="single" w:sz="4" w:space="0" w:color="auto"/>
              <w:left w:val="single" w:sz="4" w:space="0" w:color="auto"/>
              <w:bottom w:val="single" w:sz="4" w:space="0" w:color="auto"/>
              <w:right w:val="single" w:sz="4" w:space="0" w:color="auto"/>
            </w:tcBorders>
            <w:hideMark/>
          </w:tcPr>
          <w:p w14:paraId="30C06132" w14:textId="77777777" w:rsidR="002C063D" w:rsidRPr="00827DE5" w:rsidRDefault="002C063D">
            <w:pPr>
              <w:rPr>
                <w:sz w:val="18"/>
                <w:szCs w:val="18"/>
              </w:rPr>
            </w:pPr>
            <w:r w:rsidRPr="00827DE5">
              <w:rPr>
                <w:sz w:val="18"/>
                <w:szCs w:val="18"/>
              </w:rPr>
              <w:t>U(0, 5)</w:t>
            </w:r>
          </w:p>
        </w:tc>
        <w:tc>
          <w:tcPr>
            <w:tcW w:w="1984" w:type="dxa"/>
            <w:tcBorders>
              <w:top w:val="single" w:sz="4" w:space="0" w:color="auto"/>
              <w:left w:val="single" w:sz="4" w:space="0" w:color="auto"/>
              <w:bottom w:val="single" w:sz="4" w:space="0" w:color="auto"/>
              <w:right w:val="single" w:sz="4" w:space="0" w:color="auto"/>
            </w:tcBorders>
          </w:tcPr>
          <w:p w14:paraId="5F5D91EE" w14:textId="77777777" w:rsidR="002C063D" w:rsidRPr="00827DE5" w:rsidRDefault="002C063D">
            <w:pPr>
              <w:rPr>
                <w:sz w:val="18"/>
                <w:szCs w:val="18"/>
              </w:rPr>
            </w:pPr>
            <w:r w:rsidRPr="00827DE5">
              <w:rPr>
                <w:sz w:val="18"/>
                <w:szCs w:val="18"/>
              </w:rPr>
              <w:t>0.94 (0.92 - 0.94)</w:t>
            </w:r>
          </w:p>
        </w:tc>
        <w:tc>
          <w:tcPr>
            <w:tcW w:w="1559" w:type="dxa"/>
            <w:tcBorders>
              <w:top w:val="single" w:sz="4" w:space="0" w:color="auto"/>
              <w:left w:val="single" w:sz="4" w:space="0" w:color="auto"/>
              <w:bottom w:val="single" w:sz="4" w:space="0" w:color="auto"/>
              <w:right w:val="single" w:sz="4" w:space="0" w:color="auto"/>
            </w:tcBorders>
          </w:tcPr>
          <w:p w14:paraId="23B43E57" w14:textId="77777777" w:rsidR="002C063D" w:rsidRPr="00827DE5" w:rsidRDefault="002C063D">
            <w:pPr>
              <w:rPr>
                <w:sz w:val="18"/>
                <w:szCs w:val="18"/>
              </w:rPr>
            </w:pPr>
            <w:r w:rsidRPr="00827DE5">
              <w:rPr>
                <w:sz w:val="18"/>
                <w:szCs w:val="18"/>
              </w:rPr>
              <w:t>0.93 (0.91 - 0.95)</w:t>
            </w:r>
          </w:p>
        </w:tc>
        <w:tc>
          <w:tcPr>
            <w:tcW w:w="1560" w:type="dxa"/>
            <w:tcBorders>
              <w:top w:val="single" w:sz="4" w:space="0" w:color="auto"/>
              <w:left w:val="single" w:sz="4" w:space="0" w:color="auto"/>
              <w:bottom w:val="single" w:sz="4" w:space="0" w:color="auto"/>
              <w:right w:val="single" w:sz="4" w:space="0" w:color="auto"/>
            </w:tcBorders>
          </w:tcPr>
          <w:p w14:paraId="54C85224" w14:textId="77777777" w:rsidR="002C063D" w:rsidRPr="00827DE5" w:rsidRDefault="002C063D">
            <w:pPr>
              <w:rPr>
                <w:sz w:val="18"/>
                <w:szCs w:val="18"/>
              </w:rPr>
            </w:pPr>
            <w:r w:rsidRPr="00827DE5">
              <w:rPr>
                <w:sz w:val="18"/>
                <w:szCs w:val="18"/>
              </w:rPr>
              <w:t>0.93 (0.91 - 0.95)</w:t>
            </w:r>
          </w:p>
        </w:tc>
      </w:tr>
      <w:tr w:rsidR="002C063D" w:rsidRPr="00827DE5" w14:paraId="71DFEEAB" w14:textId="77777777">
        <w:tc>
          <w:tcPr>
            <w:tcW w:w="2836" w:type="dxa"/>
            <w:tcBorders>
              <w:top w:val="single" w:sz="4" w:space="0" w:color="auto"/>
              <w:left w:val="single" w:sz="4" w:space="0" w:color="auto"/>
              <w:bottom w:val="single" w:sz="4" w:space="0" w:color="auto"/>
              <w:right w:val="single" w:sz="4" w:space="0" w:color="auto"/>
            </w:tcBorders>
            <w:hideMark/>
          </w:tcPr>
          <w:p w14:paraId="4B8BDD63" w14:textId="77777777" w:rsidR="002C063D" w:rsidRPr="00827DE5" w:rsidRDefault="002C063D">
            <w:pPr>
              <w:rPr>
                <w:sz w:val="18"/>
                <w:szCs w:val="18"/>
              </w:rPr>
            </w:pPr>
            <w:r w:rsidRPr="00827DE5">
              <w:rPr>
                <w:sz w:val="18"/>
                <w:szCs w:val="18"/>
              </w:rPr>
              <w:t xml:space="preserve">Spatial parameter </w:t>
            </w:r>
            <m:oMath>
              <m:r>
                <w:rPr>
                  <w:rFonts w:ascii="Cambria Math" w:hAnsi="Cambria Math"/>
                  <w:sz w:val="18"/>
                  <w:szCs w:val="18"/>
                </w:rPr>
                <m:t>θ</m:t>
              </m:r>
            </m:oMath>
          </w:p>
        </w:tc>
        <w:tc>
          <w:tcPr>
            <w:tcW w:w="1134" w:type="dxa"/>
            <w:tcBorders>
              <w:top w:val="single" w:sz="4" w:space="0" w:color="auto"/>
              <w:left w:val="single" w:sz="4" w:space="0" w:color="auto"/>
              <w:bottom w:val="single" w:sz="4" w:space="0" w:color="auto"/>
              <w:right w:val="single" w:sz="4" w:space="0" w:color="auto"/>
            </w:tcBorders>
            <w:hideMark/>
          </w:tcPr>
          <w:p w14:paraId="4FB8EBC4"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04399F04" w14:textId="77777777" w:rsidR="002C063D" w:rsidRPr="00827DE5" w:rsidRDefault="002C063D">
            <w:pPr>
              <w:rPr>
                <w:sz w:val="18"/>
                <w:szCs w:val="18"/>
              </w:rPr>
            </w:pPr>
            <w:r w:rsidRPr="00827DE5">
              <w:rPr>
                <w:sz w:val="18"/>
                <w:szCs w:val="18"/>
              </w:rPr>
              <w:t>0.94 (0.85 - 1)</w:t>
            </w:r>
          </w:p>
        </w:tc>
        <w:tc>
          <w:tcPr>
            <w:tcW w:w="1559" w:type="dxa"/>
            <w:tcBorders>
              <w:top w:val="single" w:sz="4" w:space="0" w:color="auto"/>
              <w:left w:val="single" w:sz="4" w:space="0" w:color="auto"/>
              <w:bottom w:val="single" w:sz="4" w:space="0" w:color="auto"/>
              <w:right w:val="single" w:sz="4" w:space="0" w:color="auto"/>
            </w:tcBorders>
          </w:tcPr>
          <w:p w14:paraId="319603A4" w14:textId="77777777" w:rsidR="002C063D" w:rsidRPr="00827DE5" w:rsidRDefault="002C063D">
            <w:pPr>
              <w:rPr>
                <w:sz w:val="18"/>
                <w:szCs w:val="18"/>
              </w:rPr>
            </w:pPr>
            <w:r w:rsidRPr="00827DE5">
              <w:rPr>
                <w:sz w:val="18"/>
                <w:szCs w:val="18"/>
              </w:rPr>
              <w:t>0.93 (0.81 - 1)</w:t>
            </w:r>
          </w:p>
        </w:tc>
        <w:tc>
          <w:tcPr>
            <w:tcW w:w="1560" w:type="dxa"/>
            <w:tcBorders>
              <w:top w:val="single" w:sz="4" w:space="0" w:color="auto"/>
              <w:left w:val="single" w:sz="4" w:space="0" w:color="auto"/>
              <w:bottom w:val="single" w:sz="4" w:space="0" w:color="auto"/>
              <w:right w:val="single" w:sz="4" w:space="0" w:color="auto"/>
            </w:tcBorders>
          </w:tcPr>
          <w:p w14:paraId="63168457" w14:textId="77777777" w:rsidR="002C063D" w:rsidRPr="00827DE5" w:rsidRDefault="002C063D">
            <w:pPr>
              <w:rPr>
                <w:sz w:val="18"/>
                <w:szCs w:val="18"/>
              </w:rPr>
            </w:pPr>
            <w:r w:rsidRPr="00827DE5">
              <w:rPr>
                <w:sz w:val="18"/>
                <w:szCs w:val="18"/>
              </w:rPr>
              <w:t>0.94 (0.83 - 1)</w:t>
            </w:r>
          </w:p>
        </w:tc>
      </w:tr>
      <w:tr w:rsidR="002C063D" w:rsidRPr="00827DE5" w14:paraId="7E88DA8E" w14:textId="77777777">
        <w:tc>
          <w:tcPr>
            <w:tcW w:w="2836" w:type="dxa"/>
            <w:tcBorders>
              <w:top w:val="single" w:sz="4" w:space="0" w:color="auto"/>
              <w:left w:val="single" w:sz="4" w:space="0" w:color="auto"/>
              <w:bottom w:val="single" w:sz="4" w:space="0" w:color="auto"/>
              <w:right w:val="single" w:sz="4" w:space="0" w:color="auto"/>
            </w:tcBorders>
            <w:hideMark/>
          </w:tcPr>
          <w:p w14:paraId="36D419FF" w14:textId="77777777" w:rsidR="002C063D" w:rsidRPr="00827DE5" w:rsidRDefault="002C063D">
            <w:pPr>
              <w:rPr>
                <w:sz w:val="18"/>
                <w:szCs w:val="18"/>
              </w:rPr>
            </w:pPr>
            <w:r w:rsidRPr="00827DE5">
              <w:rPr>
                <w:sz w:val="18"/>
                <w:szCs w:val="18"/>
              </w:rPr>
              <w:t xml:space="preserve">Proportion of importations reported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import</m:t>
                  </m:r>
                </m:sub>
              </m:sSub>
            </m:oMath>
          </w:p>
        </w:tc>
        <w:tc>
          <w:tcPr>
            <w:tcW w:w="1134" w:type="dxa"/>
            <w:tcBorders>
              <w:top w:val="single" w:sz="4" w:space="0" w:color="auto"/>
              <w:left w:val="single" w:sz="4" w:space="0" w:color="auto"/>
              <w:bottom w:val="single" w:sz="4" w:space="0" w:color="auto"/>
              <w:right w:val="single" w:sz="4" w:space="0" w:color="auto"/>
            </w:tcBorders>
            <w:hideMark/>
          </w:tcPr>
          <w:p w14:paraId="01F6197E" w14:textId="77777777" w:rsidR="002C063D" w:rsidRPr="00827DE5" w:rsidRDefault="002C063D">
            <w:pPr>
              <w:rPr>
                <w:sz w:val="18"/>
                <w:szCs w:val="18"/>
              </w:rPr>
            </w:pPr>
            <w:r w:rsidRPr="00827DE5">
              <w:rPr>
                <w:sz w:val="18"/>
                <w:szCs w:val="18"/>
              </w:rPr>
              <w:t>U(0, 1)</w:t>
            </w:r>
          </w:p>
        </w:tc>
        <w:tc>
          <w:tcPr>
            <w:tcW w:w="1984" w:type="dxa"/>
            <w:tcBorders>
              <w:top w:val="single" w:sz="4" w:space="0" w:color="auto"/>
              <w:left w:val="single" w:sz="4" w:space="0" w:color="auto"/>
              <w:bottom w:val="single" w:sz="4" w:space="0" w:color="auto"/>
              <w:right w:val="single" w:sz="4" w:space="0" w:color="auto"/>
            </w:tcBorders>
          </w:tcPr>
          <w:p w14:paraId="593C9FAF" w14:textId="77777777" w:rsidR="002C063D" w:rsidRPr="00827DE5" w:rsidRDefault="002C063D">
            <w:pPr>
              <w:rPr>
                <w:sz w:val="18"/>
                <w:szCs w:val="18"/>
              </w:rPr>
            </w:pPr>
            <w:r w:rsidRPr="00827DE5">
              <w:rPr>
                <w:sz w:val="18"/>
                <w:szCs w:val="18"/>
              </w:rPr>
              <w:t>0.56 (0.53 - 0.61)</w:t>
            </w:r>
          </w:p>
        </w:tc>
        <w:tc>
          <w:tcPr>
            <w:tcW w:w="1559" w:type="dxa"/>
            <w:tcBorders>
              <w:top w:val="single" w:sz="4" w:space="0" w:color="auto"/>
              <w:left w:val="single" w:sz="4" w:space="0" w:color="auto"/>
              <w:bottom w:val="single" w:sz="4" w:space="0" w:color="auto"/>
              <w:right w:val="single" w:sz="4" w:space="0" w:color="auto"/>
            </w:tcBorders>
          </w:tcPr>
          <w:p w14:paraId="05C6DD2A" w14:textId="77777777" w:rsidR="002C063D" w:rsidRPr="00827DE5" w:rsidRDefault="002C063D">
            <w:pPr>
              <w:rPr>
                <w:sz w:val="18"/>
                <w:szCs w:val="18"/>
              </w:rPr>
            </w:pPr>
            <w:r w:rsidRPr="00827DE5">
              <w:rPr>
                <w:sz w:val="18"/>
                <w:szCs w:val="18"/>
              </w:rPr>
              <w:t>0.56 (0.53 - 0.6)</w:t>
            </w:r>
          </w:p>
        </w:tc>
        <w:tc>
          <w:tcPr>
            <w:tcW w:w="1560" w:type="dxa"/>
            <w:tcBorders>
              <w:top w:val="single" w:sz="4" w:space="0" w:color="auto"/>
              <w:left w:val="single" w:sz="4" w:space="0" w:color="auto"/>
              <w:bottom w:val="single" w:sz="4" w:space="0" w:color="auto"/>
              <w:right w:val="single" w:sz="4" w:space="0" w:color="auto"/>
            </w:tcBorders>
          </w:tcPr>
          <w:p w14:paraId="391F3D8B" w14:textId="77777777" w:rsidR="002C063D" w:rsidRPr="00827DE5" w:rsidRDefault="002C063D">
            <w:pPr>
              <w:rPr>
                <w:sz w:val="18"/>
                <w:szCs w:val="18"/>
              </w:rPr>
            </w:pPr>
            <w:r w:rsidRPr="00827DE5">
              <w:rPr>
                <w:sz w:val="18"/>
                <w:szCs w:val="18"/>
              </w:rPr>
              <w:t>0.56 (0.52 - 0.6)</w:t>
            </w:r>
          </w:p>
        </w:tc>
      </w:tr>
      <w:tr w:rsidR="002C063D" w:rsidRPr="00827DE5" w14:paraId="50F10DA7" w14:textId="77777777">
        <w:tc>
          <w:tcPr>
            <w:tcW w:w="2836" w:type="dxa"/>
            <w:tcBorders>
              <w:top w:val="single" w:sz="4" w:space="0" w:color="auto"/>
              <w:left w:val="single" w:sz="4" w:space="0" w:color="auto"/>
              <w:bottom w:val="single" w:sz="4" w:space="0" w:color="auto"/>
              <w:right w:val="single" w:sz="4" w:space="0" w:color="auto"/>
            </w:tcBorders>
            <w:hideMark/>
          </w:tcPr>
          <w:p w14:paraId="63356A5A" w14:textId="77777777" w:rsidR="002C063D" w:rsidRPr="00827DE5" w:rsidRDefault="002C063D">
            <w:pPr>
              <w:rPr>
                <w:sz w:val="18"/>
                <w:szCs w:val="18"/>
              </w:rPr>
            </w:pPr>
            <w:r w:rsidRPr="00827DE5">
              <w:rPr>
                <w:sz w:val="18"/>
                <w:szCs w:val="18"/>
              </w:rPr>
              <w:t xml:space="preserve">Seasonality of importations </w:t>
            </w:r>
            <m:oMath>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import</m:t>
                  </m:r>
                </m:sub>
              </m:sSub>
            </m:oMath>
          </w:p>
        </w:tc>
        <w:tc>
          <w:tcPr>
            <w:tcW w:w="1134" w:type="dxa"/>
            <w:tcBorders>
              <w:top w:val="single" w:sz="4" w:space="0" w:color="auto"/>
              <w:left w:val="single" w:sz="4" w:space="0" w:color="auto"/>
              <w:bottom w:val="single" w:sz="4" w:space="0" w:color="auto"/>
              <w:right w:val="single" w:sz="4" w:space="0" w:color="auto"/>
            </w:tcBorders>
            <w:hideMark/>
          </w:tcPr>
          <w:p w14:paraId="133DE6C6" w14:textId="77777777" w:rsidR="002C063D" w:rsidRPr="00827DE5" w:rsidRDefault="002C063D">
            <w:pPr>
              <w:rPr>
                <w:sz w:val="18"/>
                <w:szCs w:val="18"/>
              </w:rPr>
            </w:pPr>
            <w:r w:rsidRPr="00827DE5">
              <w:rPr>
                <w:sz w:val="18"/>
                <w:szCs w:val="18"/>
              </w:rPr>
              <w:t>U(0, 7)</w:t>
            </w:r>
          </w:p>
        </w:tc>
        <w:tc>
          <w:tcPr>
            <w:tcW w:w="1984" w:type="dxa"/>
            <w:tcBorders>
              <w:top w:val="single" w:sz="4" w:space="0" w:color="auto"/>
              <w:left w:val="single" w:sz="4" w:space="0" w:color="auto"/>
              <w:bottom w:val="single" w:sz="4" w:space="0" w:color="auto"/>
              <w:right w:val="single" w:sz="4" w:space="0" w:color="auto"/>
            </w:tcBorders>
          </w:tcPr>
          <w:p w14:paraId="48CAF8DF" w14:textId="77777777" w:rsidR="002C063D" w:rsidRPr="00827DE5" w:rsidRDefault="002C063D">
            <w:pPr>
              <w:rPr>
                <w:sz w:val="18"/>
                <w:szCs w:val="18"/>
              </w:rPr>
            </w:pPr>
            <w:r w:rsidRPr="00827DE5">
              <w:rPr>
                <w:sz w:val="18"/>
                <w:szCs w:val="18"/>
              </w:rPr>
              <w:t>0.86 (0.74 - 0.97)</w:t>
            </w:r>
          </w:p>
        </w:tc>
        <w:tc>
          <w:tcPr>
            <w:tcW w:w="1559" w:type="dxa"/>
            <w:tcBorders>
              <w:top w:val="single" w:sz="4" w:space="0" w:color="auto"/>
              <w:left w:val="single" w:sz="4" w:space="0" w:color="auto"/>
              <w:bottom w:val="single" w:sz="4" w:space="0" w:color="auto"/>
              <w:right w:val="single" w:sz="4" w:space="0" w:color="auto"/>
            </w:tcBorders>
          </w:tcPr>
          <w:p w14:paraId="2DBA4CAB" w14:textId="77777777" w:rsidR="002C063D" w:rsidRPr="00827DE5" w:rsidRDefault="002C063D">
            <w:pPr>
              <w:rPr>
                <w:sz w:val="18"/>
                <w:szCs w:val="18"/>
              </w:rPr>
            </w:pPr>
            <w:r w:rsidRPr="00827DE5">
              <w:rPr>
                <w:sz w:val="18"/>
                <w:szCs w:val="18"/>
              </w:rPr>
              <w:t>0.87 (0.75 - 0.98)</w:t>
            </w:r>
          </w:p>
        </w:tc>
        <w:tc>
          <w:tcPr>
            <w:tcW w:w="1560" w:type="dxa"/>
            <w:tcBorders>
              <w:top w:val="single" w:sz="4" w:space="0" w:color="auto"/>
              <w:left w:val="single" w:sz="4" w:space="0" w:color="auto"/>
              <w:bottom w:val="single" w:sz="4" w:space="0" w:color="auto"/>
              <w:right w:val="single" w:sz="4" w:space="0" w:color="auto"/>
            </w:tcBorders>
          </w:tcPr>
          <w:p w14:paraId="5F1C04CD" w14:textId="77777777" w:rsidR="002C063D" w:rsidRPr="00827DE5" w:rsidRDefault="002C063D">
            <w:pPr>
              <w:rPr>
                <w:sz w:val="18"/>
                <w:szCs w:val="18"/>
              </w:rPr>
            </w:pPr>
            <w:r w:rsidRPr="00827DE5">
              <w:rPr>
                <w:sz w:val="18"/>
                <w:szCs w:val="18"/>
              </w:rPr>
              <w:t>0.88 (0.74 - 0.98)</w:t>
            </w:r>
          </w:p>
        </w:tc>
      </w:tr>
      <w:tr w:rsidR="002C063D" w:rsidRPr="00827DE5" w14:paraId="0E021512" w14:textId="77777777">
        <w:tc>
          <w:tcPr>
            <w:tcW w:w="2836" w:type="dxa"/>
            <w:tcBorders>
              <w:top w:val="single" w:sz="4" w:space="0" w:color="auto"/>
              <w:left w:val="single" w:sz="4" w:space="0" w:color="auto"/>
              <w:bottom w:val="single" w:sz="4" w:space="0" w:color="auto"/>
              <w:right w:val="single" w:sz="4" w:space="0" w:color="auto"/>
            </w:tcBorders>
            <w:hideMark/>
          </w:tcPr>
          <w:p w14:paraId="4AA5B00F" w14:textId="77777777" w:rsidR="002C063D" w:rsidRPr="00827DE5" w:rsidRDefault="002C063D">
            <w:pPr>
              <w:rPr>
                <w:sz w:val="18"/>
                <w:szCs w:val="18"/>
              </w:rPr>
            </w:pPr>
            <w:r w:rsidRPr="00827DE5">
              <w:rPr>
                <w:sz w:val="18"/>
                <w:szCs w:val="18"/>
              </w:rPr>
              <w:t xml:space="preserve">Seasonality of importations </w:t>
            </w:r>
            <m:oMath>
              <m:sSub>
                <m:sSubPr>
                  <m:ctrlPr>
                    <w:rPr>
                      <w:rFonts w:ascii="Cambria Math" w:eastAsia="Calibri" w:hAnsi="Cambria Math" w:cs="Times New Roman"/>
                      <w:i/>
                      <w:sz w:val="18"/>
                      <w:szCs w:val="18"/>
                    </w:rPr>
                  </m:ctrlPr>
                </m:sSubPr>
                <m:e>
                  <m:r>
                    <w:rPr>
                      <w:rFonts w:ascii="Cambria Math" w:eastAsia="Calibri" w:hAnsi="Cambria Math" w:cs="Times New Roman"/>
                      <w:sz w:val="18"/>
                      <w:szCs w:val="18"/>
                    </w:rPr>
                    <m:t>Y</m:t>
                  </m:r>
                </m:e>
                <m:sub>
                  <m:r>
                    <w:rPr>
                      <w:rFonts w:ascii="Cambria Math" w:eastAsia="Calibri" w:hAnsi="Cambria Math" w:cs="Times New Roman"/>
                      <w:sz w:val="18"/>
                      <w:szCs w:val="18"/>
                    </w:rPr>
                    <m:t>import</m:t>
                  </m:r>
                </m:sub>
              </m:sSub>
            </m:oMath>
          </w:p>
        </w:tc>
        <w:tc>
          <w:tcPr>
            <w:tcW w:w="1134" w:type="dxa"/>
            <w:tcBorders>
              <w:top w:val="single" w:sz="4" w:space="0" w:color="auto"/>
              <w:left w:val="single" w:sz="4" w:space="0" w:color="auto"/>
              <w:bottom w:val="single" w:sz="4" w:space="0" w:color="auto"/>
              <w:right w:val="single" w:sz="4" w:space="0" w:color="auto"/>
            </w:tcBorders>
            <w:hideMark/>
          </w:tcPr>
          <w:p w14:paraId="51601AF8" w14:textId="77777777" w:rsidR="002C063D" w:rsidRPr="00827DE5" w:rsidRDefault="002C063D">
            <w:pPr>
              <w:rPr>
                <w:sz w:val="18"/>
                <w:szCs w:val="18"/>
              </w:rPr>
            </w:pPr>
            <w:r w:rsidRPr="00827DE5">
              <w:rPr>
                <w:sz w:val="18"/>
                <w:szCs w:val="18"/>
              </w:rPr>
              <w:t>U(0, 7)</w:t>
            </w:r>
          </w:p>
        </w:tc>
        <w:tc>
          <w:tcPr>
            <w:tcW w:w="1984" w:type="dxa"/>
            <w:tcBorders>
              <w:top w:val="single" w:sz="4" w:space="0" w:color="auto"/>
              <w:left w:val="single" w:sz="4" w:space="0" w:color="auto"/>
              <w:bottom w:val="single" w:sz="4" w:space="0" w:color="auto"/>
              <w:right w:val="single" w:sz="4" w:space="0" w:color="auto"/>
            </w:tcBorders>
          </w:tcPr>
          <w:p w14:paraId="6EF78F08" w14:textId="77777777" w:rsidR="002C063D" w:rsidRPr="00827DE5" w:rsidRDefault="002C063D">
            <w:pPr>
              <w:rPr>
                <w:sz w:val="18"/>
                <w:szCs w:val="18"/>
              </w:rPr>
            </w:pPr>
            <w:r w:rsidRPr="00827DE5">
              <w:rPr>
                <w:sz w:val="18"/>
                <w:szCs w:val="18"/>
              </w:rPr>
              <w:t>4.69 (4.47 - 4.9)</w:t>
            </w:r>
          </w:p>
        </w:tc>
        <w:tc>
          <w:tcPr>
            <w:tcW w:w="1559" w:type="dxa"/>
            <w:tcBorders>
              <w:top w:val="single" w:sz="4" w:space="0" w:color="auto"/>
              <w:left w:val="single" w:sz="4" w:space="0" w:color="auto"/>
              <w:bottom w:val="single" w:sz="4" w:space="0" w:color="auto"/>
              <w:right w:val="single" w:sz="4" w:space="0" w:color="auto"/>
            </w:tcBorders>
          </w:tcPr>
          <w:p w14:paraId="2A37182C" w14:textId="77777777" w:rsidR="002C063D" w:rsidRPr="00827DE5" w:rsidRDefault="002C063D">
            <w:pPr>
              <w:rPr>
                <w:sz w:val="18"/>
                <w:szCs w:val="18"/>
              </w:rPr>
            </w:pPr>
            <w:r w:rsidRPr="00827DE5">
              <w:rPr>
                <w:sz w:val="18"/>
                <w:szCs w:val="18"/>
              </w:rPr>
              <w:t>4.69 (4.48 - 4.9)</w:t>
            </w:r>
          </w:p>
        </w:tc>
        <w:tc>
          <w:tcPr>
            <w:tcW w:w="1560" w:type="dxa"/>
            <w:tcBorders>
              <w:top w:val="single" w:sz="4" w:space="0" w:color="auto"/>
              <w:left w:val="single" w:sz="4" w:space="0" w:color="auto"/>
              <w:bottom w:val="single" w:sz="4" w:space="0" w:color="auto"/>
              <w:right w:val="single" w:sz="4" w:space="0" w:color="auto"/>
            </w:tcBorders>
          </w:tcPr>
          <w:p w14:paraId="1EA729FA" w14:textId="77777777" w:rsidR="002C063D" w:rsidRPr="00827DE5" w:rsidRDefault="002C063D">
            <w:pPr>
              <w:rPr>
                <w:sz w:val="18"/>
                <w:szCs w:val="18"/>
              </w:rPr>
            </w:pPr>
            <w:r w:rsidRPr="00827DE5">
              <w:rPr>
                <w:sz w:val="18"/>
                <w:szCs w:val="18"/>
              </w:rPr>
              <w:t>4.68 (4.46 - 4.89)</w:t>
            </w:r>
          </w:p>
        </w:tc>
      </w:tr>
    </w:tbl>
    <w:p w14:paraId="4A97D77E" w14:textId="77777777" w:rsidR="0005621A" w:rsidRPr="00827DE5" w:rsidRDefault="0005621A" w:rsidP="00B738CC"/>
    <w:p w14:paraId="389AB2D1" w14:textId="4B7B035C" w:rsidR="00B738CC" w:rsidRDefault="008B2D92" w:rsidP="00B738CC">
      <w:r w:rsidRPr="00827DE5">
        <w:lastRenderedPageBreak/>
        <w:t xml:space="preserve">The comparison between parameter estimates in models with and without waning shows that most parameter estimates are similar in all models (Figure </w:t>
      </w:r>
      <w:r w:rsidR="004C7425">
        <w:t>S5</w:t>
      </w:r>
      <w:r w:rsidRPr="00827DE5">
        <w:t xml:space="preserve"> and Supplementary Table</w:t>
      </w:r>
      <w:r w:rsidR="004C7425">
        <w:t xml:space="preserve"> S3</w:t>
      </w:r>
      <w:r w:rsidRPr="00827DE5">
        <w:t xml:space="preserve">). </w:t>
      </w:r>
      <w:r w:rsidR="00333FBC" w:rsidRPr="008F542A">
        <w:t xml:space="preserve">In all models, the proportion of individuals who had previously been infected with measles as of 2010 increased by age (Figure </w:t>
      </w:r>
      <w:r w:rsidR="008B5D75">
        <w:t>S5A</w:t>
      </w:r>
      <w:r w:rsidR="00333FBC" w:rsidRPr="008F542A">
        <w:t xml:space="preserve">). When using the COVER data (Supplementary </w:t>
      </w:r>
      <w:r w:rsidR="00333FBC">
        <w:t>S</w:t>
      </w:r>
      <w:r w:rsidR="00333FBC" w:rsidRPr="008F542A">
        <w:t xml:space="preserve">ection </w:t>
      </w:r>
      <w:r w:rsidR="00333FBC">
        <w:t>S5</w:t>
      </w:r>
      <w:r w:rsidR="00333FBC" w:rsidRPr="008F542A">
        <w:t xml:space="preserve">), R0 was smaller (between 9.5 and 11) as more individuals start off as susceptible since the average vaccine coverage was lower in the COVER data. The duration of maternal immunity in all models was above the prior assumed distribution (Figure 5 Panel D: the estimated duration was 175 days, the mean of the prior is 90). Immunity in individuals below 1 only comes from maternal immunity. The POLYMOD study does not distinguish between 3-5 year-olds and infants, likely leading to an overestimation of contacts in children below 1. </w:t>
      </w:r>
    </w:p>
    <w:p w14:paraId="37CDC257" w14:textId="37384415" w:rsidR="00F91D95" w:rsidRPr="00827DE5" w:rsidRDefault="00F91D95" w:rsidP="00B738CC">
      <w:r>
        <w:rPr>
          <w:noProof/>
        </w:rPr>
        <w:drawing>
          <wp:inline distT="0" distB="0" distL="0" distR="0" wp14:anchorId="0498B44C" wp14:editId="0A9C6A30">
            <wp:extent cx="5731510" cy="4030980"/>
            <wp:effectExtent l="0" t="0" r="0" b="0"/>
            <wp:docPr id="1088516573" name="Picture 1" descr="A collage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16573" name="Picture 1" descr="A collage of graphs and charts&#10;&#10;Description automatically generated"/>
                    <pic:cNvPicPr/>
                  </pic:nvPicPr>
                  <pic:blipFill>
                    <a:blip r:embed="rId10"/>
                    <a:stretch>
                      <a:fillRect/>
                    </a:stretch>
                  </pic:blipFill>
                  <pic:spPr>
                    <a:xfrm>
                      <a:off x="0" y="0"/>
                      <a:ext cx="5731510" cy="4030980"/>
                    </a:xfrm>
                    <a:prstGeom prst="rect">
                      <a:avLst/>
                    </a:prstGeom>
                  </pic:spPr>
                </pic:pic>
              </a:graphicData>
            </a:graphic>
          </wp:inline>
        </w:drawing>
      </w:r>
    </w:p>
    <w:p w14:paraId="795E7AD2" w14:textId="62F834A3" w:rsidR="00B738CC" w:rsidRPr="00827DE5" w:rsidRDefault="00C552DB" w:rsidP="006C601C">
      <w:r>
        <w:t xml:space="preserve">Supplementary </w:t>
      </w:r>
      <w:r w:rsidRPr="00827DE5">
        <w:t>Figure S</w:t>
      </w:r>
      <w:r>
        <w:t>5</w:t>
      </w:r>
      <w:r w:rsidR="00B738CC" w:rsidRPr="00827DE5">
        <w:t>: Parameter estimates in models with and without waning of vaccine-induced immunity (using CPRD vaccine data). A</w:t>
      </w:r>
      <w:r w:rsidR="009909ED">
        <w:t>.</w:t>
      </w:r>
      <w:r w:rsidR="00B738CC" w:rsidRPr="00827DE5">
        <w:t xml:space="preserve"> Proportion of unvaccinated individuals who start off as recovered per age group. B</w:t>
      </w:r>
      <w:r w:rsidR="009909ED">
        <w:t>.</w:t>
      </w:r>
      <w:r w:rsidR="00B738CC" w:rsidRPr="00827DE5">
        <w:t xml:space="preserve"> Proportion of susceptible individuals who were not vaccinated during routine vaccination campaigns, but got vaccinated during catchup up campaigns before 2010 (the 1996 campaign targeted individuals aged 20 to 30 in 2010, the 2008 campaign targeted individuals aged 6 to 10 in 2010). C</w:t>
      </w:r>
      <w:r w:rsidR="009909ED">
        <w:t>.</w:t>
      </w:r>
      <w:r w:rsidR="00B738CC" w:rsidRPr="00827DE5">
        <w:t xml:space="preserve"> R0 in each model. D</w:t>
      </w:r>
      <w:r w:rsidR="009909ED">
        <w:t>.</w:t>
      </w:r>
      <w:r w:rsidR="00B738CC" w:rsidRPr="00827DE5">
        <w:t xml:space="preserve"> Duration of maternal immunity in days. E</w:t>
      </w:r>
      <w:r w:rsidR="009909ED">
        <w:t>.</w:t>
      </w:r>
      <w:r w:rsidR="00B738CC" w:rsidRPr="00827DE5">
        <w:t xml:space="preserve"> Proportion of importations reported. F</w:t>
      </w:r>
      <w:r w:rsidR="009909ED">
        <w:t>.</w:t>
      </w:r>
      <w:r w:rsidR="00B738CC" w:rsidRPr="00827DE5">
        <w:t xml:space="preserve"> </w:t>
      </w:r>
      <w:r w:rsidR="00003589" w:rsidRPr="00827DE5">
        <w:t>Risk of onward infection in vaccinated cases compared to unvaccinated cases.</w:t>
      </w:r>
      <w:r w:rsidR="00817C13">
        <w:t xml:space="preserve"> </w:t>
      </w:r>
      <w:r w:rsidR="00B738CC" w:rsidRPr="00827DE5">
        <w:t>G</w:t>
      </w:r>
      <w:r w:rsidR="009909ED">
        <w:t>.</w:t>
      </w:r>
      <w:r w:rsidR="00B738CC" w:rsidRPr="00827DE5">
        <w:t xml:space="preserve"> </w:t>
      </w:r>
      <w:r w:rsidR="00003589">
        <w:t xml:space="preserve">Percentage </w:t>
      </w:r>
      <w:r w:rsidR="00003589" w:rsidRPr="00827DE5">
        <w:t xml:space="preserve">of primary vaccine failure. </w:t>
      </w:r>
      <w:r w:rsidR="00B738CC" w:rsidRPr="00827DE5">
        <w:t>H</w:t>
      </w:r>
      <w:r w:rsidR="009909ED">
        <w:t>.</w:t>
      </w:r>
      <w:r w:rsidR="00B738CC" w:rsidRPr="00827DE5">
        <w:t xml:space="preserve"> Rate of waning of vaccine-induced immunity (in</w:t>
      </w:r>
      <w:r w:rsidR="00FF500F" w:rsidRPr="00827DE5">
        <w:t xml:space="preserve"> percent</w:t>
      </w:r>
      <w:r w:rsidR="00FF500F">
        <w:t>age point</w:t>
      </w:r>
      <w:r w:rsidR="00FF500F" w:rsidRPr="00827DE5">
        <w:t xml:space="preserve"> per year</w:t>
      </w:r>
      <w:r w:rsidR="00FF500F">
        <w:t xml:space="preserve"> of age</w:t>
      </w:r>
      <w:r w:rsidR="00B738CC" w:rsidRPr="00827DE5">
        <w:t xml:space="preserve">). </w:t>
      </w:r>
    </w:p>
    <w:p w14:paraId="1CE8C43E" w14:textId="7E2C3112" w:rsidR="00216BC1" w:rsidRPr="00827DE5" w:rsidRDefault="00216BC1" w:rsidP="006C601C">
      <w:r w:rsidRPr="00827DE5">
        <w:t xml:space="preserve">The number of cases stratified by region and age follow a similar distribution, independent of the presence of waning immunity (Figure </w:t>
      </w:r>
      <w:r w:rsidR="00752BAF">
        <w:t>S6</w:t>
      </w:r>
      <w:r w:rsidRPr="00827DE5">
        <w:t>).</w:t>
      </w:r>
      <w:r w:rsidR="00752BAF" w:rsidRPr="00752BAF">
        <w:t xml:space="preserve"> </w:t>
      </w:r>
      <w:r w:rsidR="00752BAF">
        <w:t>T</w:t>
      </w:r>
      <w:r w:rsidR="00752BAF" w:rsidRPr="00827DE5">
        <w:t xml:space="preserve">he improvements in posterior distribution </w:t>
      </w:r>
      <w:r w:rsidR="00752BAF">
        <w:t xml:space="preserve">therefore </w:t>
      </w:r>
      <w:r w:rsidR="00752BAF" w:rsidRPr="00827DE5">
        <w:t xml:space="preserve">mostly stem from changes in age-distribution and timing of vaccinated cases (Figure 3 and 4). </w:t>
      </w:r>
    </w:p>
    <w:p w14:paraId="28BD3A65" w14:textId="0A94E341" w:rsidR="00216BC1" w:rsidRPr="00827DE5" w:rsidRDefault="00216BC1" w:rsidP="006C601C">
      <w:r w:rsidRPr="00827DE5">
        <w:t xml:space="preserve">The distribution of the number of cases by age groups is in agreement with the data. When using CPRD data, the model over-estimates the number of infants reported (below one year old), this is </w:t>
      </w:r>
      <w:r w:rsidRPr="00827DE5">
        <w:lastRenderedPageBreak/>
        <w:t xml:space="preserve">due to the number of contacts among infants, and the fact that they have no prior immunity. This is especially visible in the proportion of cases per age group (Figure </w:t>
      </w:r>
      <w:r w:rsidR="0048343A">
        <w:t>S</w:t>
      </w:r>
      <w:r w:rsidR="008457B1">
        <w:t>6</w:t>
      </w:r>
      <w:r w:rsidRPr="00827DE5">
        <w:t xml:space="preserve"> Panel </w:t>
      </w:r>
      <w:r w:rsidR="004A1055">
        <w:t>D</w:t>
      </w:r>
      <w:r w:rsidRPr="00827DE5">
        <w:t xml:space="preserve">). </w:t>
      </w:r>
    </w:p>
    <w:p w14:paraId="0D1922A2" w14:textId="2701E8DA" w:rsidR="00216BC1" w:rsidRPr="00827DE5" w:rsidRDefault="00F91D95" w:rsidP="006C601C">
      <w:r>
        <w:rPr>
          <w:noProof/>
        </w:rPr>
        <w:drawing>
          <wp:inline distT="0" distB="0" distL="0" distR="0" wp14:anchorId="0F4EBA15" wp14:editId="524DBA54">
            <wp:extent cx="5731510" cy="4194810"/>
            <wp:effectExtent l="0" t="0" r="0" b="0"/>
            <wp:docPr id="911358396" name="Picture 1" descr="A group of graph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58396" name="Picture 1" descr="A group of graphs with numbers and symbols&#10;&#10;Description automatically generated with medium confidence"/>
                    <pic:cNvPicPr/>
                  </pic:nvPicPr>
                  <pic:blipFill>
                    <a:blip r:embed="rId11"/>
                    <a:stretch>
                      <a:fillRect/>
                    </a:stretch>
                  </pic:blipFill>
                  <pic:spPr>
                    <a:xfrm>
                      <a:off x="0" y="0"/>
                      <a:ext cx="5731510" cy="4194810"/>
                    </a:xfrm>
                    <a:prstGeom prst="rect">
                      <a:avLst/>
                    </a:prstGeom>
                  </pic:spPr>
                </pic:pic>
              </a:graphicData>
            </a:graphic>
          </wp:inline>
        </w:drawing>
      </w:r>
    </w:p>
    <w:p w14:paraId="18524C63" w14:textId="34132C54" w:rsidR="00216BC1" w:rsidRPr="00827DE5" w:rsidRDefault="000763EC" w:rsidP="006C601C">
      <w:r>
        <w:t xml:space="preserve">Supplementary </w:t>
      </w:r>
      <w:r w:rsidRPr="00827DE5">
        <w:t>Figure S</w:t>
      </w:r>
      <w:r>
        <w:t>6</w:t>
      </w:r>
      <w:r w:rsidR="00216BC1" w:rsidRPr="00827DE5">
        <w:t xml:space="preserve">: </w:t>
      </w:r>
      <w:r w:rsidR="00D0397F" w:rsidRPr="00827DE5">
        <w:t>A</w:t>
      </w:r>
      <w:r w:rsidR="005A0A05">
        <w:t>.</w:t>
      </w:r>
      <w:r w:rsidR="00D0397F" w:rsidRPr="00827DE5">
        <w:t xml:space="preserve"> Number of cases per year in each model and in the data across all regions and age groups (black crosses). B</w:t>
      </w:r>
      <w:r w:rsidR="005A0A05">
        <w:t>.</w:t>
      </w:r>
      <w:r w:rsidR="00216BC1" w:rsidRPr="00827DE5">
        <w:t xml:space="preserve"> Number of cases by age groups in the models and the data</w:t>
      </w:r>
      <w:r w:rsidR="00AE478F" w:rsidRPr="00827DE5">
        <w:t xml:space="preserve"> across all regions and years</w:t>
      </w:r>
      <w:r w:rsidR="00216BC1" w:rsidRPr="00827DE5">
        <w:t xml:space="preserve">. </w:t>
      </w:r>
      <w:r w:rsidR="00D0397F" w:rsidRPr="00827DE5">
        <w:t>C</w:t>
      </w:r>
      <w:r w:rsidR="005A0A05">
        <w:t>.</w:t>
      </w:r>
      <w:r w:rsidR="00216BC1" w:rsidRPr="00827DE5">
        <w:t xml:space="preserve"> Number of cases by regions in the models and the data</w:t>
      </w:r>
      <w:r w:rsidR="00AE478F" w:rsidRPr="00827DE5">
        <w:t xml:space="preserve"> across all regions and years</w:t>
      </w:r>
      <w:r w:rsidR="00216BC1" w:rsidRPr="00827DE5">
        <w:t xml:space="preserve">. </w:t>
      </w:r>
      <w:r w:rsidR="00D0397F" w:rsidRPr="00827DE5">
        <w:t>D</w:t>
      </w:r>
      <w:r w:rsidR="005A0A05">
        <w:t>.</w:t>
      </w:r>
      <w:r w:rsidR="00216BC1" w:rsidRPr="00827DE5">
        <w:t xml:space="preserve"> Proportion of cases by age groups in the models and the data. </w:t>
      </w:r>
      <w:r w:rsidR="00D0397F" w:rsidRPr="00827DE5">
        <w:t>E</w:t>
      </w:r>
      <w:r w:rsidR="005A0A05">
        <w:t xml:space="preserve">. </w:t>
      </w:r>
      <w:r w:rsidR="00216BC1" w:rsidRPr="00827DE5">
        <w:t>Proportion of cases by regions in the models and the data</w:t>
      </w:r>
      <w:r w:rsidR="00D0397F" w:rsidRPr="00827DE5">
        <w:t>.</w:t>
      </w:r>
    </w:p>
    <w:p w14:paraId="477E1E89" w14:textId="1A7D5F93" w:rsidR="00F14A48" w:rsidRPr="00827DE5" w:rsidRDefault="00F14A48" w:rsidP="006C601C">
      <w:r w:rsidRPr="00827DE5">
        <w:t xml:space="preserve">The seasonality of the transmission parameters and number of importations is presented in Figure </w:t>
      </w:r>
      <w:r w:rsidR="005B0145">
        <w:t>S7</w:t>
      </w:r>
      <w:r w:rsidRPr="00827DE5">
        <w:t>. Transmission risk is highest between December and February, and lowest in June to August.</w:t>
      </w:r>
      <w:r w:rsidR="00EC6E8C" w:rsidRPr="00827DE5">
        <w:t xml:space="preserve"> Importation rates are highest between March and May, </w:t>
      </w:r>
      <w:r w:rsidR="004014DC" w:rsidRPr="00827DE5">
        <w:t xml:space="preserve">which are the months </w:t>
      </w:r>
      <w:r w:rsidR="00EC6E8C" w:rsidRPr="00827DE5">
        <w:t xml:space="preserve">where most cases were reported. </w:t>
      </w:r>
    </w:p>
    <w:p w14:paraId="67E30DF6" w14:textId="28022538" w:rsidR="00F14A48" w:rsidRPr="00827DE5" w:rsidRDefault="003920C0" w:rsidP="00F14A48">
      <w:r>
        <w:rPr>
          <w:noProof/>
        </w:rPr>
        <w:lastRenderedPageBreak/>
        <w:drawing>
          <wp:inline distT="0" distB="0" distL="0" distR="0" wp14:anchorId="755A9242" wp14:editId="0EDD6D0D">
            <wp:extent cx="5731510" cy="3022600"/>
            <wp:effectExtent l="0" t="0" r="0" b="0"/>
            <wp:docPr id="2059907666" name="Picture 1" descr="A graph showing the time and time of the d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07666" name="Picture 1" descr="A graph showing the time and time of the day&#10;&#10;Description automatically generated with medium confidence"/>
                    <pic:cNvPicPr/>
                  </pic:nvPicPr>
                  <pic:blipFill>
                    <a:blip r:embed="rId12"/>
                    <a:stretch>
                      <a:fillRect/>
                    </a:stretch>
                  </pic:blipFill>
                  <pic:spPr>
                    <a:xfrm>
                      <a:off x="0" y="0"/>
                      <a:ext cx="5731510" cy="3022600"/>
                    </a:xfrm>
                    <a:prstGeom prst="rect">
                      <a:avLst/>
                    </a:prstGeom>
                  </pic:spPr>
                </pic:pic>
              </a:graphicData>
            </a:graphic>
          </wp:inline>
        </w:drawing>
      </w:r>
    </w:p>
    <w:p w14:paraId="72C4183F" w14:textId="066C78FC" w:rsidR="00F14A48" w:rsidRPr="00827DE5" w:rsidRDefault="006F7F6A" w:rsidP="006C601C">
      <w:r>
        <w:t xml:space="preserve">Supplementary </w:t>
      </w:r>
      <w:r w:rsidRPr="00827DE5">
        <w:t>Figure S</w:t>
      </w:r>
      <w:r>
        <w:t>7</w:t>
      </w:r>
      <w:r w:rsidR="00F14A48" w:rsidRPr="00827DE5">
        <w:t>: Within-year seasonality of transmission (A) and importation (B) parameters. All models fits lead to similar seasonality.</w:t>
      </w:r>
    </w:p>
    <w:p w14:paraId="0BD2F47B" w14:textId="0BE31414" w:rsidR="009209F9" w:rsidRPr="00827DE5" w:rsidRDefault="009E228F" w:rsidP="006C601C">
      <w:pPr>
        <w:pStyle w:val="Heading2"/>
      </w:pPr>
      <w:bookmarkStart w:id="20" w:name="_Toc162889806"/>
      <w:r w:rsidRPr="00827DE5">
        <w:t xml:space="preserve">Number of cases caused by waning </w:t>
      </w:r>
      <w:r w:rsidR="005F2FF1" w:rsidRPr="00827DE5">
        <w:t>(</w:t>
      </w:r>
      <w:r w:rsidRPr="00827DE5">
        <w:t>reference scenario</w:t>
      </w:r>
      <w:r w:rsidR="005F2FF1" w:rsidRPr="00827DE5">
        <w:t>, using CPRD data</w:t>
      </w:r>
      <w:r w:rsidRPr="00827DE5">
        <w:t>)</w:t>
      </w:r>
      <w:bookmarkEnd w:id="20"/>
    </w:p>
    <w:p w14:paraId="5ADFEE6B" w14:textId="51CD1FD5" w:rsidR="001215F7" w:rsidRPr="00827DE5" w:rsidRDefault="001C4B07" w:rsidP="006C601C">
      <w:r w:rsidRPr="00827DE5">
        <w:t xml:space="preserve">In the reference scenario, the proportion of cases averted by removing waning was high, especially in 2018 and 2019 (Figure </w:t>
      </w:r>
      <w:r w:rsidR="007E68C5">
        <w:t>S8</w:t>
      </w:r>
      <w:r w:rsidRPr="00827DE5">
        <w:t xml:space="preserve">). </w:t>
      </w:r>
      <w:r w:rsidR="00AF60B1" w:rsidRPr="00827DE5">
        <w:t>This reduction is due to both direct</w:t>
      </w:r>
      <w:r w:rsidR="00455C1E">
        <w:t xml:space="preserve"> effects</w:t>
      </w:r>
      <w:r w:rsidR="00AF60B1" w:rsidRPr="00827DE5">
        <w:t xml:space="preserve"> </w:t>
      </w:r>
      <w:r w:rsidR="00455C1E">
        <w:t>(</w:t>
      </w:r>
      <w:r w:rsidR="00AF60B1" w:rsidRPr="00827DE5">
        <w:t>vaccinated cases were only due to primary vaccine failures, which were rarer than in models without waning of immunity</w:t>
      </w:r>
      <w:r w:rsidR="00455C1E">
        <w:t>)</w:t>
      </w:r>
      <w:r w:rsidR="00F7381C" w:rsidRPr="00827DE5">
        <w:t xml:space="preserve"> and</w:t>
      </w:r>
      <w:r w:rsidR="00455C1E">
        <w:t xml:space="preserve"> indirect effects</w:t>
      </w:r>
      <w:r w:rsidR="00F7381C" w:rsidRPr="00827DE5">
        <w:t xml:space="preserve"> </w:t>
      </w:r>
      <w:r w:rsidR="00455C1E">
        <w:t>(</w:t>
      </w:r>
      <w:r w:rsidR="00F7381C" w:rsidRPr="00827DE5">
        <w:t>unvaccinated cases infected by vaccinated cases</w:t>
      </w:r>
      <w:r w:rsidR="009A11AC" w:rsidRPr="00827DE5">
        <w:t xml:space="preserve"> </w:t>
      </w:r>
      <w:r w:rsidR="00455C1E">
        <w:t xml:space="preserve">with waning </w:t>
      </w:r>
      <w:r w:rsidR="00F7381C" w:rsidRPr="00827DE5">
        <w:t>were not infected when waning was removed</w:t>
      </w:r>
      <w:r w:rsidR="00455C1E">
        <w:t>)</w:t>
      </w:r>
      <w:r w:rsidR="00AF60B1" w:rsidRPr="00827DE5">
        <w:t>.</w:t>
      </w:r>
      <w:r w:rsidR="00F7381C" w:rsidRPr="00827DE5">
        <w:t xml:space="preserve"> </w:t>
      </w:r>
    </w:p>
    <w:p w14:paraId="77D7C826" w14:textId="15F0A335" w:rsidR="009E228F" w:rsidRPr="00827DE5" w:rsidRDefault="00053DB9" w:rsidP="006C601C">
      <w:r>
        <w:rPr>
          <w:noProof/>
        </w:rPr>
        <w:drawing>
          <wp:inline distT="0" distB="0" distL="0" distR="0" wp14:anchorId="4BB1EB9D" wp14:editId="3F63C16A">
            <wp:extent cx="5731510" cy="3025775"/>
            <wp:effectExtent l="0" t="0" r="0" b="0"/>
            <wp:docPr id="967333544"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33544" name="Picture 1" descr="A graph of different colored bars&#10;&#10;Description automatically generated"/>
                    <pic:cNvPicPr/>
                  </pic:nvPicPr>
                  <pic:blipFill>
                    <a:blip r:embed="rId13"/>
                    <a:stretch>
                      <a:fillRect/>
                    </a:stretch>
                  </pic:blipFill>
                  <pic:spPr>
                    <a:xfrm>
                      <a:off x="0" y="0"/>
                      <a:ext cx="5731510" cy="3025775"/>
                    </a:xfrm>
                    <a:prstGeom prst="rect">
                      <a:avLst/>
                    </a:prstGeom>
                  </pic:spPr>
                </pic:pic>
              </a:graphicData>
            </a:graphic>
          </wp:inline>
        </w:drawing>
      </w:r>
    </w:p>
    <w:p w14:paraId="7A1E4F5E" w14:textId="2685FB80" w:rsidR="009E228F" w:rsidRPr="00827DE5" w:rsidRDefault="00E20D3A" w:rsidP="006C601C">
      <w:r>
        <w:t xml:space="preserve">Supplementary </w:t>
      </w:r>
      <w:r w:rsidRPr="00827DE5">
        <w:t>Figure S</w:t>
      </w:r>
      <w:r>
        <w:t>8</w:t>
      </w:r>
      <w:r w:rsidR="009E228F" w:rsidRPr="00827DE5">
        <w:t xml:space="preserve">: Number of yearly cases in simulations generated using </w:t>
      </w:r>
      <w:r w:rsidR="0062053E">
        <w:t xml:space="preserve">the model with </w:t>
      </w:r>
      <w:r w:rsidR="009E228F" w:rsidRPr="00827DE5">
        <w:t>waning s</w:t>
      </w:r>
      <w:r w:rsidR="00D63CCE">
        <w:t>tarting in 1990</w:t>
      </w:r>
      <w:r w:rsidR="009E228F" w:rsidRPr="00827DE5">
        <w:t>, and after setting the waning parameter to 0.</w:t>
      </w:r>
    </w:p>
    <w:p w14:paraId="69A186B0" w14:textId="065BF596" w:rsidR="00567BB2" w:rsidRPr="00827DE5" w:rsidRDefault="00375965" w:rsidP="006C601C">
      <w:pPr>
        <w:pStyle w:val="Heading1"/>
      </w:pPr>
      <w:bookmarkStart w:id="21" w:name="_Toc162889807"/>
      <w:r>
        <w:lastRenderedPageBreak/>
        <w:t xml:space="preserve">Section S4: </w:t>
      </w:r>
      <w:r w:rsidR="00567BB2" w:rsidRPr="00827DE5">
        <w:t>Model fit and stochastic simulations with baseline risk of secondary vaccine failure</w:t>
      </w:r>
      <w:bookmarkEnd w:id="21"/>
    </w:p>
    <w:p w14:paraId="74BC5E48" w14:textId="6B34ED7E" w:rsidR="00DD5F5C" w:rsidRPr="00827DE5" w:rsidRDefault="009D5406" w:rsidP="006C601C">
      <w:r w:rsidRPr="00827DE5">
        <w:t>When a constant risk of secondary vaccine failure was added to the reference scenarios, the model without waning of vaccine-induced immunity captures the number of single and double vaccinated in the whole as well as models that included waning</w:t>
      </w:r>
      <w:r w:rsidR="006814C3" w:rsidRPr="00827DE5">
        <w:t xml:space="preserve"> (Figure </w:t>
      </w:r>
      <w:r w:rsidR="00E62F1D">
        <w:t>S9</w:t>
      </w:r>
      <w:r w:rsidR="006814C3" w:rsidRPr="00827DE5">
        <w:t xml:space="preserve">, Panel A). However, simulations from the model without waning did not capture the age distribution of double-vaccinated cases, overestimating the number of double-vaccinated cases under 15 </w:t>
      </w:r>
      <w:r w:rsidR="00280FF5" w:rsidRPr="008F542A">
        <w:t xml:space="preserve">(Median </w:t>
      </w:r>
      <w:r w:rsidR="00280FF5">
        <w:t>150</w:t>
      </w:r>
      <w:r w:rsidR="00280FF5" w:rsidRPr="008F542A">
        <w:t xml:space="preserve"> [95% simulation interval (SI): </w:t>
      </w:r>
      <w:r w:rsidR="00280FF5">
        <w:t>85</w:t>
      </w:r>
      <w:r w:rsidR="00280FF5" w:rsidRPr="008F542A">
        <w:t>-</w:t>
      </w:r>
      <w:r w:rsidR="00280FF5">
        <w:t>265</w:t>
      </w:r>
      <w:r w:rsidR="00280FF5" w:rsidRPr="008F542A">
        <w:t xml:space="preserve">] cases, </w:t>
      </w:r>
      <w:r w:rsidR="00280FF5">
        <w:t xml:space="preserve">66 </w:t>
      </w:r>
      <w:r w:rsidR="00280FF5" w:rsidRPr="008F542A">
        <w:t>cases in the data)</w:t>
      </w:r>
      <w:r w:rsidR="006814C3" w:rsidRPr="00827DE5">
        <w:t xml:space="preserve">, and underestimating the number of double-vaccinated teenagers and adults </w:t>
      </w:r>
      <w:r w:rsidR="00280FF5" w:rsidRPr="008F542A">
        <w:t xml:space="preserve">(Median </w:t>
      </w:r>
      <w:r w:rsidR="00502B01">
        <w:t>135</w:t>
      </w:r>
      <w:r w:rsidR="00280FF5" w:rsidRPr="008F542A">
        <w:t xml:space="preserve"> [95%</w:t>
      </w:r>
      <w:r w:rsidR="00280FF5">
        <w:t>SI</w:t>
      </w:r>
      <w:r w:rsidR="00280FF5" w:rsidRPr="008F542A">
        <w:t xml:space="preserve">: </w:t>
      </w:r>
      <w:r w:rsidR="00502B01">
        <w:t>84</w:t>
      </w:r>
      <w:r w:rsidR="00280FF5" w:rsidRPr="008F542A">
        <w:t>-</w:t>
      </w:r>
      <w:r w:rsidR="00502B01">
        <w:t>219</w:t>
      </w:r>
      <w:r w:rsidR="00280FF5" w:rsidRPr="008F542A">
        <w:t xml:space="preserve">] cases, </w:t>
      </w:r>
      <w:r w:rsidR="00502B01">
        <w:t xml:space="preserve">202 </w:t>
      </w:r>
      <w:r w:rsidR="00280FF5" w:rsidRPr="008F542A">
        <w:t>cases in the data)</w:t>
      </w:r>
      <w:r w:rsidR="00280FF5">
        <w:t xml:space="preserve"> </w:t>
      </w:r>
      <w:r w:rsidR="006814C3" w:rsidRPr="00827DE5">
        <w:t xml:space="preserve">(Figure </w:t>
      </w:r>
      <w:r w:rsidR="00830634">
        <w:t>S9</w:t>
      </w:r>
      <w:r w:rsidR="006814C3" w:rsidRPr="00827DE5">
        <w:t>, panels C-D-F-G)</w:t>
      </w:r>
      <w:r w:rsidR="0066347F" w:rsidRPr="00827DE5">
        <w:t>.</w:t>
      </w:r>
      <w:r w:rsidR="006814C3" w:rsidRPr="00827DE5">
        <w:t xml:space="preserve">  </w:t>
      </w:r>
    </w:p>
    <w:p w14:paraId="2B5EDBEF" w14:textId="19E18732" w:rsidR="000D4900" w:rsidRPr="00827DE5" w:rsidRDefault="00DF3AA7" w:rsidP="006C601C">
      <w:r>
        <w:rPr>
          <w:noProof/>
        </w:rPr>
        <w:drawing>
          <wp:inline distT="0" distB="0" distL="0" distR="0" wp14:anchorId="7C0C56C9" wp14:editId="3B89F455">
            <wp:extent cx="5731510" cy="4499610"/>
            <wp:effectExtent l="0" t="0" r="0" b="0"/>
            <wp:docPr id="141027338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73384" name="Picture 1" descr="A graph of a number of people&#10;&#10;Description automatically generated with medium confidence"/>
                    <pic:cNvPicPr/>
                  </pic:nvPicPr>
                  <pic:blipFill>
                    <a:blip r:embed="rId14"/>
                    <a:stretch>
                      <a:fillRect/>
                    </a:stretch>
                  </pic:blipFill>
                  <pic:spPr>
                    <a:xfrm>
                      <a:off x="0" y="0"/>
                      <a:ext cx="5731510" cy="4499610"/>
                    </a:xfrm>
                    <a:prstGeom prst="rect">
                      <a:avLst/>
                    </a:prstGeom>
                  </pic:spPr>
                </pic:pic>
              </a:graphicData>
            </a:graphic>
          </wp:inline>
        </w:drawing>
      </w:r>
    </w:p>
    <w:p w14:paraId="397A47AF" w14:textId="327C0BBE" w:rsidR="00DC55DA" w:rsidRPr="00827DE5" w:rsidRDefault="00CC758A" w:rsidP="006C601C">
      <w:r>
        <w:t xml:space="preserve">Supplementary </w:t>
      </w:r>
      <w:r w:rsidRPr="00827DE5">
        <w:t>Figure S</w:t>
      </w:r>
      <w:r>
        <w:t>9</w:t>
      </w:r>
      <w:r w:rsidR="00031405" w:rsidRPr="00827DE5">
        <w:t>: A</w:t>
      </w:r>
      <w:r w:rsidR="005A0A05">
        <w:t>.</w:t>
      </w:r>
      <w:r w:rsidR="00031405" w:rsidRPr="00827DE5">
        <w:t xml:space="preserve"> Comparison of the number of single and double vaccinated cases in models with and without waning. B</w:t>
      </w:r>
      <w:r w:rsidR="005A0A05">
        <w:t>.</w:t>
      </w:r>
      <w:r w:rsidR="00031405" w:rsidRPr="00827DE5">
        <w:t xml:space="preserve"> Overall number of single and double vaccinated cases in each model (data points are represented by black crosses). C</w:t>
      </w:r>
      <w:r w:rsidR="005A0A05">
        <w:t>.</w:t>
      </w:r>
      <w:r w:rsidR="00031405" w:rsidRPr="00827DE5">
        <w:t xml:space="preserve"> Number of vaccinated cases between 5 and 15 years old. D</w:t>
      </w:r>
      <w:r w:rsidR="005A0A05">
        <w:t>.</w:t>
      </w:r>
      <w:r w:rsidR="00031405" w:rsidRPr="00827DE5">
        <w:t xml:space="preserve"> Number of vaccinated cases above 15 years old. E</w:t>
      </w:r>
      <w:r w:rsidR="005A0A05">
        <w:t>.</w:t>
      </w:r>
      <w:r w:rsidR="00031405" w:rsidRPr="00827DE5">
        <w:t xml:space="preserve"> Overall proportion of single and double vaccinated cases. F</w:t>
      </w:r>
      <w:r w:rsidR="005A0A05">
        <w:t>.</w:t>
      </w:r>
      <w:r w:rsidR="00031405" w:rsidRPr="00827DE5">
        <w:t xml:space="preserve"> Proportion of vaccinated cases between 5 and 15 years old. G</w:t>
      </w:r>
      <w:r w:rsidR="005A0A05">
        <w:t>.</w:t>
      </w:r>
      <w:r w:rsidR="00031405" w:rsidRPr="00827DE5">
        <w:t xml:space="preserve"> Number of vaccinated cases above 15 years old.</w:t>
      </w:r>
    </w:p>
    <w:p w14:paraId="7A919E51" w14:textId="1C2E84EB" w:rsidR="0066347F" w:rsidRPr="00827DE5" w:rsidRDefault="0066347F" w:rsidP="006C601C">
      <w:r w:rsidRPr="00827DE5">
        <w:t>As in the reference scenario, only models that included waning of immunity captured the increase in proportion of double-vaccinated cases</w:t>
      </w:r>
      <w:r w:rsidR="00F46F5F" w:rsidRPr="00827DE5">
        <w:t xml:space="preserve"> observed in the data</w:t>
      </w:r>
      <w:r w:rsidRPr="00827DE5">
        <w:t xml:space="preserve"> between 2010 and 2019</w:t>
      </w:r>
      <w:r w:rsidR="00F027EC">
        <w:t xml:space="preserve"> (Figure S10)</w:t>
      </w:r>
      <w:r w:rsidRPr="00827DE5">
        <w:t>. In the model with constant risk of secondary vaccine failure, the</w:t>
      </w:r>
      <w:r w:rsidR="003231E7">
        <w:t xml:space="preserve"> median</w:t>
      </w:r>
      <w:r w:rsidRPr="00827DE5">
        <w:t xml:space="preserve"> proportion of double-vaccinated cases was constant around 4%</w:t>
      </w:r>
      <w:r w:rsidR="005D244A">
        <w:t xml:space="preserve"> each year</w:t>
      </w:r>
      <w:r w:rsidRPr="00827DE5">
        <w:t>.</w:t>
      </w:r>
    </w:p>
    <w:p w14:paraId="501589AD" w14:textId="23AD845D" w:rsidR="0076705E" w:rsidRPr="00827DE5" w:rsidRDefault="00942CEE" w:rsidP="006C601C">
      <w:r>
        <w:rPr>
          <w:noProof/>
        </w:rPr>
        <w:lastRenderedPageBreak/>
        <w:drawing>
          <wp:inline distT="0" distB="0" distL="0" distR="0" wp14:anchorId="52BB9B9B" wp14:editId="65A62910">
            <wp:extent cx="5731510" cy="4375150"/>
            <wp:effectExtent l="0" t="0" r="0" b="0"/>
            <wp:docPr id="535696461"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96461" name="Picture 1" descr="A graph of different colored squares&#10;&#10;Description automatically generated with medium confidence"/>
                    <pic:cNvPicPr/>
                  </pic:nvPicPr>
                  <pic:blipFill>
                    <a:blip r:embed="rId15"/>
                    <a:stretch>
                      <a:fillRect/>
                    </a:stretch>
                  </pic:blipFill>
                  <pic:spPr>
                    <a:xfrm>
                      <a:off x="0" y="0"/>
                      <a:ext cx="5731510" cy="4375150"/>
                    </a:xfrm>
                    <a:prstGeom prst="rect">
                      <a:avLst/>
                    </a:prstGeom>
                  </pic:spPr>
                </pic:pic>
              </a:graphicData>
            </a:graphic>
          </wp:inline>
        </w:drawing>
      </w:r>
    </w:p>
    <w:p w14:paraId="7F040C93" w14:textId="50838BAC" w:rsidR="00BB2337" w:rsidRPr="00827DE5" w:rsidRDefault="004C4561" w:rsidP="006C601C">
      <w:r>
        <w:t xml:space="preserve">Supplementary </w:t>
      </w:r>
      <w:r w:rsidRPr="00827DE5">
        <w:t>Figure S</w:t>
      </w:r>
      <w:r>
        <w:t>10</w:t>
      </w:r>
      <w:r w:rsidR="00BB2337" w:rsidRPr="00827DE5">
        <w:t xml:space="preserve">: </w:t>
      </w:r>
      <w:r w:rsidR="00234493" w:rsidRPr="00922240">
        <w:t>A. Proportion of single (and B. double) vaccinated cases each year across all regions and age groups.</w:t>
      </w:r>
    </w:p>
    <w:p w14:paraId="034425E6" w14:textId="77B29792" w:rsidR="004D3148" w:rsidRPr="00827DE5" w:rsidRDefault="004D3148" w:rsidP="004D3148">
      <w:r w:rsidRPr="00827DE5">
        <w:t xml:space="preserve">When a risk of secondary vaccine failure constant with age was added to the model, the parameter estimates </w:t>
      </w:r>
      <w:r w:rsidR="00AC5052">
        <w:t>were</w:t>
      </w:r>
      <w:r w:rsidRPr="00827DE5">
        <w:t xml:space="preserve"> similar to the reference scenario (Figure </w:t>
      </w:r>
      <w:r w:rsidR="00807091">
        <w:t>S</w:t>
      </w:r>
      <w:r w:rsidR="00AC5052">
        <w:t>11</w:t>
      </w:r>
      <w:r w:rsidRPr="00827DE5">
        <w:t xml:space="preserve">). The parameters of the model without waning were now more similar to models that incorporated waning (i.e. similar primary vaccine failure and R0). However, the baseline risk of secondary vaccine failure in models that include waning was almost 0, all secondary vaccine failure was explained by the waning of immunity. </w:t>
      </w:r>
    </w:p>
    <w:p w14:paraId="686EAA31" w14:textId="47B2DC3F" w:rsidR="004D3148" w:rsidRPr="00827DE5" w:rsidRDefault="00942CEE" w:rsidP="004D3148">
      <w:r>
        <w:rPr>
          <w:noProof/>
        </w:rPr>
        <w:lastRenderedPageBreak/>
        <w:drawing>
          <wp:inline distT="0" distB="0" distL="0" distR="0" wp14:anchorId="33B84AA8" wp14:editId="7037C85C">
            <wp:extent cx="5731510" cy="4121785"/>
            <wp:effectExtent l="0" t="0" r="0" b="0"/>
            <wp:docPr id="626842358" name="Picture 1" descr="A collage of multiple colore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42358" name="Picture 1" descr="A collage of multiple colored boxes&#10;&#10;Description automatically generated"/>
                    <pic:cNvPicPr/>
                  </pic:nvPicPr>
                  <pic:blipFill>
                    <a:blip r:embed="rId16"/>
                    <a:stretch>
                      <a:fillRect/>
                    </a:stretch>
                  </pic:blipFill>
                  <pic:spPr>
                    <a:xfrm>
                      <a:off x="0" y="0"/>
                      <a:ext cx="5731510" cy="4121785"/>
                    </a:xfrm>
                    <a:prstGeom prst="rect">
                      <a:avLst/>
                    </a:prstGeom>
                  </pic:spPr>
                </pic:pic>
              </a:graphicData>
            </a:graphic>
          </wp:inline>
        </w:drawing>
      </w:r>
    </w:p>
    <w:p w14:paraId="7883F822" w14:textId="120980D1" w:rsidR="004D3148" w:rsidRPr="00827DE5" w:rsidRDefault="00AE533B" w:rsidP="004D3148">
      <w:r>
        <w:t xml:space="preserve">Supplementary </w:t>
      </w:r>
      <w:r w:rsidRPr="00827DE5">
        <w:t>Figure S</w:t>
      </w:r>
      <w:r>
        <w:t>11</w:t>
      </w:r>
      <w:r w:rsidR="004D3148" w:rsidRPr="00827DE5">
        <w:t>: Parameter estimates in models with and without waning of vaccine-induced immunity (using CPRD vaccine data, with baseline risk of secondary vaccine failure). A</w:t>
      </w:r>
      <w:r w:rsidR="008671E5">
        <w:t>.</w:t>
      </w:r>
      <w:r w:rsidR="004D3148" w:rsidRPr="00827DE5">
        <w:t xml:space="preserve"> Proportion of unvaccinated individuals who start off as recovered per age group. B</w:t>
      </w:r>
      <w:r w:rsidR="008671E5">
        <w:t xml:space="preserve">. </w:t>
      </w:r>
      <w:r w:rsidR="004D3148" w:rsidRPr="00827DE5">
        <w:t>Proportion of susceptible individuals who were not vaccinated during routine vaccination campaigns, but got vaccinated during catchup up campaigns before 2010 (the 1996 campaign targeted individuals aged 20 to 30 in 2010, the 2008 campaign targeted individuals aged 6 to 10 in 2010). C</w:t>
      </w:r>
      <w:r w:rsidR="008671E5">
        <w:t>.</w:t>
      </w:r>
      <w:r w:rsidR="004D3148" w:rsidRPr="00827DE5">
        <w:t xml:space="preserve"> R0 in each model. D</w:t>
      </w:r>
      <w:r w:rsidR="008671E5">
        <w:t>.</w:t>
      </w:r>
      <w:r w:rsidR="004D3148" w:rsidRPr="00827DE5">
        <w:t xml:space="preserve"> Duration of maternal immunity in days. E</w:t>
      </w:r>
      <w:r w:rsidR="008671E5">
        <w:t>.</w:t>
      </w:r>
      <w:r w:rsidR="004D3148" w:rsidRPr="00827DE5">
        <w:t xml:space="preserve"> Proportion of importations reported. F</w:t>
      </w:r>
      <w:r w:rsidR="008671E5">
        <w:t>.</w:t>
      </w:r>
      <w:r w:rsidR="004D3148" w:rsidRPr="00827DE5">
        <w:t xml:space="preserve"> </w:t>
      </w:r>
      <w:r w:rsidR="007005FD" w:rsidRPr="00827DE5">
        <w:t>Protection against onward infection brought by the vaccine</w:t>
      </w:r>
      <w:r w:rsidR="004D3148" w:rsidRPr="00827DE5">
        <w:t>. G</w:t>
      </w:r>
      <w:r w:rsidR="008671E5">
        <w:t>.</w:t>
      </w:r>
      <w:r w:rsidR="007005FD" w:rsidRPr="007005FD">
        <w:t xml:space="preserve"> </w:t>
      </w:r>
      <w:r w:rsidR="007005FD">
        <w:t xml:space="preserve">Percentage </w:t>
      </w:r>
      <w:r w:rsidR="007005FD" w:rsidRPr="00827DE5">
        <w:t>of primary vaccine failure</w:t>
      </w:r>
      <w:r w:rsidR="004D3148" w:rsidRPr="00827DE5">
        <w:t>. H</w:t>
      </w:r>
      <w:r w:rsidR="008671E5">
        <w:t>.</w:t>
      </w:r>
      <w:r w:rsidR="004D3148" w:rsidRPr="00827DE5">
        <w:t xml:space="preserve"> Rate of waning of vaccine-induced immunity (in percent</w:t>
      </w:r>
      <w:r w:rsidR="00054BA8">
        <w:t>age point</w:t>
      </w:r>
      <w:r w:rsidR="004D3148" w:rsidRPr="00827DE5">
        <w:t xml:space="preserve"> per year</w:t>
      </w:r>
      <w:r w:rsidR="00433AD8">
        <w:t xml:space="preserve"> of age</w:t>
      </w:r>
      <w:r w:rsidR="004D3148" w:rsidRPr="00827DE5">
        <w:t>). I) Baseline risk of secondary vaccine failure.</w:t>
      </w:r>
    </w:p>
    <w:p w14:paraId="79D33B7D" w14:textId="6288A318" w:rsidR="004D3148" w:rsidRPr="00827DE5" w:rsidRDefault="004D3148" w:rsidP="004D3148">
      <w:r w:rsidRPr="00827DE5">
        <w:t>The model fits were similar to the reference scenario: the age distribution in the simulation was similar to the data, but bigger discrepancies were observed in the spatial distribution. The distributions were similar for all three models</w:t>
      </w:r>
      <w:r w:rsidR="00FE1BE9">
        <w:t xml:space="preserve"> (Figure S12)</w:t>
      </w:r>
      <w:r w:rsidRPr="00827DE5">
        <w:t xml:space="preserve">. </w:t>
      </w:r>
    </w:p>
    <w:p w14:paraId="379E3674" w14:textId="5CA91AE7" w:rsidR="004D3148" w:rsidRPr="00827DE5" w:rsidRDefault="00942CEE" w:rsidP="004D3148">
      <w:r>
        <w:rPr>
          <w:noProof/>
        </w:rPr>
        <w:lastRenderedPageBreak/>
        <w:drawing>
          <wp:inline distT="0" distB="0" distL="0" distR="0" wp14:anchorId="5E79E569" wp14:editId="5A9F9603">
            <wp:extent cx="5731510" cy="4333875"/>
            <wp:effectExtent l="0" t="0" r="0" b="0"/>
            <wp:docPr id="1090351372" name="Picture 1" descr="A group of graphs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51372" name="Picture 1" descr="A group of graphs with different colored squares&#10;&#10;Description automatically generated with medium confidence"/>
                    <pic:cNvPicPr/>
                  </pic:nvPicPr>
                  <pic:blipFill>
                    <a:blip r:embed="rId17"/>
                    <a:stretch>
                      <a:fillRect/>
                    </a:stretch>
                  </pic:blipFill>
                  <pic:spPr>
                    <a:xfrm>
                      <a:off x="0" y="0"/>
                      <a:ext cx="5731510" cy="4333875"/>
                    </a:xfrm>
                    <a:prstGeom prst="rect">
                      <a:avLst/>
                    </a:prstGeom>
                  </pic:spPr>
                </pic:pic>
              </a:graphicData>
            </a:graphic>
          </wp:inline>
        </w:drawing>
      </w:r>
    </w:p>
    <w:p w14:paraId="7AD6CC7D" w14:textId="6D53303F" w:rsidR="00DD5F5C" w:rsidRPr="00827DE5" w:rsidRDefault="00AE533B" w:rsidP="006C601C">
      <w:r>
        <w:t xml:space="preserve">Supplementary </w:t>
      </w:r>
      <w:r w:rsidRPr="00827DE5">
        <w:t>Figure S</w:t>
      </w:r>
      <w:r>
        <w:t>12</w:t>
      </w:r>
      <w:r w:rsidR="004D3148" w:rsidRPr="00827DE5">
        <w:t xml:space="preserve">: </w:t>
      </w:r>
      <w:r w:rsidR="004D1062" w:rsidRPr="00827DE5">
        <w:t>A</w:t>
      </w:r>
      <w:r w:rsidR="00636165">
        <w:t>.</w:t>
      </w:r>
      <w:r w:rsidR="004D1062" w:rsidRPr="00827DE5">
        <w:t xml:space="preserve"> Number of cases per year in each model and in the data across all regions and age groups (black crosses). B</w:t>
      </w:r>
      <w:r w:rsidR="00636165">
        <w:t>.</w:t>
      </w:r>
      <w:r w:rsidR="004D1062" w:rsidRPr="00827DE5">
        <w:t xml:space="preserve"> Number of cases by age groups in the models and the data across all regions and years. C</w:t>
      </w:r>
      <w:r w:rsidR="00636165">
        <w:t>.</w:t>
      </w:r>
      <w:r w:rsidR="004D1062" w:rsidRPr="00827DE5">
        <w:t xml:space="preserve"> Number of cases by regions in the models and the data across all regions and years. D</w:t>
      </w:r>
      <w:r w:rsidR="00636165">
        <w:t>.</w:t>
      </w:r>
      <w:r w:rsidR="004D1062" w:rsidRPr="00827DE5">
        <w:t xml:space="preserve"> Proportion of cases by age groups in the models and the data. E</w:t>
      </w:r>
      <w:r w:rsidR="00636165">
        <w:t>.</w:t>
      </w:r>
      <w:r w:rsidR="004D1062" w:rsidRPr="00827DE5">
        <w:t xml:space="preserve"> Proportion of cases by regions in the models and the data.</w:t>
      </w:r>
    </w:p>
    <w:p w14:paraId="627A0091" w14:textId="30FC89CA" w:rsidR="001932F1" w:rsidRPr="00827DE5" w:rsidRDefault="00FC21E8" w:rsidP="006C601C">
      <w:pPr>
        <w:pStyle w:val="Heading1"/>
      </w:pPr>
      <w:bookmarkStart w:id="22" w:name="_Toc162889808"/>
      <w:r>
        <w:t xml:space="preserve">Section S5: </w:t>
      </w:r>
      <w:r w:rsidR="001932F1" w:rsidRPr="00827DE5">
        <w:t xml:space="preserve">Model fit and stochastic simulations using </w:t>
      </w:r>
      <w:r w:rsidR="00373006" w:rsidRPr="00827DE5">
        <w:t>COVER</w:t>
      </w:r>
      <w:r w:rsidR="00FC2A84" w:rsidRPr="00827DE5">
        <w:t xml:space="preserve"> </w:t>
      </w:r>
      <w:r w:rsidR="001932F1" w:rsidRPr="00827DE5">
        <w:t>data</w:t>
      </w:r>
      <w:bookmarkEnd w:id="22"/>
    </w:p>
    <w:p w14:paraId="04A701E2" w14:textId="17313D9F" w:rsidR="004D3148" w:rsidRPr="00827DE5" w:rsidRDefault="00AA14CA" w:rsidP="004D3148">
      <w:r w:rsidRPr="00827DE5">
        <w:t xml:space="preserve">Similar to the reference scenario, fitting the model using COVER data showed that the number of single and double vaccinated cases could only be captured by models that included waning of immunity (Figure </w:t>
      </w:r>
      <w:r w:rsidR="00EA2349">
        <w:t>S13</w:t>
      </w:r>
      <w:r w:rsidRPr="00827DE5">
        <w:t xml:space="preserve"> Panel A). If only primary vaccine failure was considered, the simulations did not capture the age distribution and number of vaccinated cases (Figure </w:t>
      </w:r>
      <w:r w:rsidR="00BC0248">
        <w:t>S13</w:t>
      </w:r>
      <w:r w:rsidRPr="00827DE5">
        <w:t>).</w:t>
      </w:r>
    </w:p>
    <w:p w14:paraId="5719389E" w14:textId="4A56B62D" w:rsidR="008F1DE8" w:rsidRPr="00827DE5" w:rsidRDefault="00307640" w:rsidP="006C601C">
      <w:r>
        <w:rPr>
          <w:noProof/>
        </w:rPr>
        <w:lastRenderedPageBreak/>
        <w:drawing>
          <wp:inline distT="0" distB="0" distL="0" distR="0" wp14:anchorId="7B97C5C5" wp14:editId="334103B6">
            <wp:extent cx="5731510" cy="4500880"/>
            <wp:effectExtent l="0" t="0" r="0" b="0"/>
            <wp:docPr id="1005173025" name="Picture 1" descr="A group of graphs and ch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3025" name="Picture 1" descr="A group of graphs and charts&#10;&#10;Description automatically generated with medium confidence"/>
                    <pic:cNvPicPr/>
                  </pic:nvPicPr>
                  <pic:blipFill>
                    <a:blip r:embed="rId18"/>
                    <a:stretch>
                      <a:fillRect/>
                    </a:stretch>
                  </pic:blipFill>
                  <pic:spPr>
                    <a:xfrm>
                      <a:off x="0" y="0"/>
                      <a:ext cx="5731510" cy="4500880"/>
                    </a:xfrm>
                    <a:prstGeom prst="rect">
                      <a:avLst/>
                    </a:prstGeom>
                  </pic:spPr>
                </pic:pic>
              </a:graphicData>
            </a:graphic>
          </wp:inline>
        </w:drawing>
      </w:r>
    </w:p>
    <w:p w14:paraId="17C18D4A" w14:textId="3CD4AF0A" w:rsidR="00DD5F5C" w:rsidRPr="00827DE5" w:rsidRDefault="009404D9" w:rsidP="006C601C">
      <w:r>
        <w:t xml:space="preserve">Supplementary </w:t>
      </w:r>
      <w:r w:rsidRPr="00827DE5">
        <w:t>Figure S</w:t>
      </w:r>
      <w:r>
        <w:t>13</w:t>
      </w:r>
      <w:r w:rsidR="00AC5D84" w:rsidRPr="00827DE5">
        <w:t>: A</w:t>
      </w:r>
      <w:r w:rsidR="00636165">
        <w:t>.</w:t>
      </w:r>
      <w:r w:rsidR="00AC5D84" w:rsidRPr="00827DE5">
        <w:t xml:space="preserve"> Comparison of the number of single and double vaccinated cases in models with and without waning. B</w:t>
      </w:r>
      <w:r w:rsidR="00636165">
        <w:t>.</w:t>
      </w:r>
      <w:r w:rsidR="00AC5D84" w:rsidRPr="00827DE5">
        <w:t xml:space="preserve"> Overall number of single and double vaccinated cases in each model (data points are represented by black crosses). C</w:t>
      </w:r>
      <w:r w:rsidR="00636165">
        <w:t>.</w:t>
      </w:r>
      <w:r w:rsidR="00AC5D84" w:rsidRPr="00827DE5">
        <w:t xml:space="preserve"> Number of vaccinated cases between 5 and 15 years old. D</w:t>
      </w:r>
      <w:r w:rsidR="00636165">
        <w:t>.</w:t>
      </w:r>
      <w:r w:rsidR="00AC5D84" w:rsidRPr="00827DE5">
        <w:t xml:space="preserve"> Number of vaccinated cases above 15 years old. E</w:t>
      </w:r>
      <w:r w:rsidR="00636165">
        <w:t>.</w:t>
      </w:r>
      <w:r w:rsidR="00AC5D84" w:rsidRPr="00827DE5">
        <w:t xml:space="preserve"> Overall proportion of single and double vaccinated cases. F</w:t>
      </w:r>
      <w:r w:rsidR="00636165">
        <w:t>.</w:t>
      </w:r>
      <w:r w:rsidR="00AC5D84" w:rsidRPr="00827DE5">
        <w:t xml:space="preserve"> Proportion of vaccinated cases between 5 and 15 years old. G</w:t>
      </w:r>
      <w:r w:rsidR="00636165">
        <w:t>.</w:t>
      </w:r>
      <w:r w:rsidR="00AC5D84" w:rsidRPr="00827DE5">
        <w:t xml:space="preserve"> Number of vaccinated cases above 15 years old.</w:t>
      </w:r>
    </w:p>
    <w:p w14:paraId="4A141F18" w14:textId="77C5E74C" w:rsidR="00F339B1" w:rsidRPr="00827DE5" w:rsidRDefault="00F339B1" w:rsidP="006C601C">
      <w:r w:rsidRPr="00827DE5">
        <w:t xml:space="preserve">Only the models with waning of immunity showed an increase in the proportion of double vaccinated cases through time (Figure </w:t>
      </w:r>
      <w:r w:rsidR="00C52DA2">
        <w:t>S14</w:t>
      </w:r>
      <w:r w:rsidRPr="00827DE5">
        <w:t xml:space="preserve">), although this increase was slower than in the reference scenario, and in the data. </w:t>
      </w:r>
    </w:p>
    <w:p w14:paraId="68D6F4C9" w14:textId="0E7550B9" w:rsidR="00DD5F5C" w:rsidRPr="00827DE5" w:rsidRDefault="007A6D86" w:rsidP="006C601C">
      <w:r>
        <w:rPr>
          <w:noProof/>
        </w:rPr>
        <w:lastRenderedPageBreak/>
        <w:drawing>
          <wp:inline distT="0" distB="0" distL="0" distR="0" wp14:anchorId="45A67497" wp14:editId="2F889DCD">
            <wp:extent cx="5731510" cy="4352290"/>
            <wp:effectExtent l="0" t="0" r="0" b="0"/>
            <wp:docPr id="1304171910" name="Picture 1" descr="A graph of a number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71910" name="Picture 1" descr="A graph of a number of different colored squares&#10;&#10;Description automatically generated with medium confidence"/>
                    <pic:cNvPicPr/>
                  </pic:nvPicPr>
                  <pic:blipFill>
                    <a:blip r:embed="rId19"/>
                    <a:stretch>
                      <a:fillRect/>
                    </a:stretch>
                  </pic:blipFill>
                  <pic:spPr>
                    <a:xfrm>
                      <a:off x="0" y="0"/>
                      <a:ext cx="5731510" cy="4352290"/>
                    </a:xfrm>
                    <a:prstGeom prst="rect">
                      <a:avLst/>
                    </a:prstGeom>
                  </pic:spPr>
                </pic:pic>
              </a:graphicData>
            </a:graphic>
          </wp:inline>
        </w:drawing>
      </w:r>
    </w:p>
    <w:p w14:paraId="77880F9C" w14:textId="599C4B4A" w:rsidR="00A315EA" w:rsidRPr="00827DE5" w:rsidRDefault="00815F2D" w:rsidP="006C601C">
      <w:r>
        <w:t xml:space="preserve">Supplementary </w:t>
      </w:r>
      <w:r w:rsidRPr="00827DE5">
        <w:t>Figure S</w:t>
      </w:r>
      <w:r>
        <w:t>14</w:t>
      </w:r>
      <w:r w:rsidR="00BB2337" w:rsidRPr="00827DE5">
        <w:t xml:space="preserve">: </w:t>
      </w:r>
      <w:r w:rsidR="00922240" w:rsidRPr="00922240">
        <w:t>A. Proportion of single (and B. double) vaccinated cases each year across all regions and age groups.</w:t>
      </w:r>
    </w:p>
    <w:p w14:paraId="0857B4D9" w14:textId="2686E746" w:rsidR="00843E5B" w:rsidRPr="00827DE5" w:rsidRDefault="002B4715" w:rsidP="00843E5B">
      <w:r w:rsidRPr="00827DE5">
        <w:t xml:space="preserve">The model fits show that </w:t>
      </w:r>
      <w:r w:rsidR="00112CAA" w:rsidRPr="00827DE5">
        <w:t>all models capture the number of cases younger than 1 better than the CPRD scenario, although the simulations under estimate the number of cases aged 1 to 2. As in the CPRD scenario, there are discrepancies in the spatial distribution of the cases between the simulations and the data</w:t>
      </w:r>
      <w:r w:rsidR="00C22CF3">
        <w:t xml:space="preserve"> (Figure S15)</w:t>
      </w:r>
      <w:r w:rsidR="00112CAA" w:rsidRPr="00827DE5">
        <w:t>.</w:t>
      </w:r>
    </w:p>
    <w:p w14:paraId="27C1B08A" w14:textId="0ED323A5" w:rsidR="00843E5B" w:rsidRPr="00827DE5" w:rsidRDefault="007A6D86" w:rsidP="00843E5B">
      <w:r>
        <w:rPr>
          <w:noProof/>
        </w:rPr>
        <w:lastRenderedPageBreak/>
        <w:drawing>
          <wp:inline distT="0" distB="0" distL="0" distR="0" wp14:anchorId="550B1D4C" wp14:editId="3C53A6F4">
            <wp:extent cx="5731510" cy="4281170"/>
            <wp:effectExtent l="0" t="0" r="0" b="0"/>
            <wp:docPr id="794292386" name="Picture 1" descr="A group of graphs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92386" name="Picture 1" descr="A group of graphs with different colored squares&#10;&#10;Description automatically generated with medium confidence"/>
                    <pic:cNvPicPr/>
                  </pic:nvPicPr>
                  <pic:blipFill>
                    <a:blip r:embed="rId20"/>
                    <a:stretch>
                      <a:fillRect/>
                    </a:stretch>
                  </pic:blipFill>
                  <pic:spPr>
                    <a:xfrm>
                      <a:off x="0" y="0"/>
                      <a:ext cx="5731510" cy="4281170"/>
                    </a:xfrm>
                    <a:prstGeom prst="rect">
                      <a:avLst/>
                    </a:prstGeom>
                  </pic:spPr>
                </pic:pic>
              </a:graphicData>
            </a:graphic>
          </wp:inline>
        </w:drawing>
      </w:r>
    </w:p>
    <w:p w14:paraId="728235D2" w14:textId="62401BE0" w:rsidR="00843E5B" w:rsidRPr="00827DE5" w:rsidRDefault="00FD5F25" w:rsidP="00843E5B">
      <w:r>
        <w:t xml:space="preserve">Supplementary </w:t>
      </w:r>
      <w:r w:rsidRPr="00827DE5">
        <w:t>Figure S</w:t>
      </w:r>
      <w:r>
        <w:t>15</w:t>
      </w:r>
      <w:r w:rsidR="00843E5B" w:rsidRPr="00827DE5">
        <w:t xml:space="preserve">: </w:t>
      </w:r>
      <w:r w:rsidR="0026217B" w:rsidRPr="00827DE5">
        <w:t>A</w:t>
      </w:r>
      <w:r w:rsidR="0015746F">
        <w:t>.</w:t>
      </w:r>
      <w:r w:rsidR="0026217B" w:rsidRPr="00827DE5">
        <w:t xml:space="preserve"> Number of cases per year in each model and in the data across all regions and age groups (black crosses). B</w:t>
      </w:r>
      <w:r w:rsidR="0015746F">
        <w:t>.</w:t>
      </w:r>
      <w:r w:rsidR="0026217B" w:rsidRPr="00827DE5">
        <w:t xml:space="preserve"> Number of cases by age groups in the models and the data across all regions and years. C</w:t>
      </w:r>
      <w:r w:rsidR="0015746F">
        <w:t>.</w:t>
      </w:r>
      <w:r w:rsidR="0026217B" w:rsidRPr="00827DE5">
        <w:t xml:space="preserve"> Number of cases by regions in the models and the data across all regions and years. D</w:t>
      </w:r>
      <w:r w:rsidR="0015746F">
        <w:t>.</w:t>
      </w:r>
      <w:r w:rsidR="0026217B" w:rsidRPr="00827DE5">
        <w:t xml:space="preserve"> Proportion of cases by age groups in the models and the data. E</w:t>
      </w:r>
      <w:r w:rsidR="0015746F">
        <w:t>.</w:t>
      </w:r>
      <w:r w:rsidR="0026217B" w:rsidRPr="00827DE5">
        <w:t xml:space="preserve"> Proportion of cases by regions in the models and the data.</w:t>
      </w:r>
    </w:p>
    <w:p w14:paraId="14B2E97C" w14:textId="34971FD4" w:rsidR="004D3148" w:rsidRPr="00827DE5" w:rsidRDefault="004D3148" w:rsidP="006C601C">
      <w:r w:rsidRPr="00827DE5">
        <w:t xml:space="preserve">In the models ran using the COVER data, the duration of maternal immunity followed the prior distribution, as the proportion of vaccinated individuals is lower than in the CPRD data (Figure </w:t>
      </w:r>
      <w:r w:rsidR="0088244B">
        <w:t>S16</w:t>
      </w:r>
      <w:r w:rsidRPr="00827DE5">
        <w:t>).</w:t>
      </w:r>
      <w:r w:rsidR="00F339B1" w:rsidRPr="00827DE5">
        <w:t xml:space="preserve"> The basic reproduction number was also lower than in the reference scenario. Both differences are due to the lower proportion of vaccinated individuals in the COVER data compared to the CPRD scenario. </w:t>
      </w:r>
    </w:p>
    <w:p w14:paraId="616F123C" w14:textId="7DBA0A23" w:rsidR="00C018DF" w:rsidRPr="00827DE5" w:rsidRDefault="00C018DF" w:rsidP="006C601C">
      <w:r w:rsidRPr="00827DE5">
        <w:t>The risk of onwards transmission from vaccinated cases was lower in the COVER scenario than in the reference scenario (</w:t>
      </w:r>
      <w:r w:rsidR="0047708F">
        <w:t xml:space="preserve">Median: </w:t>
      </w:r>
      <w:r w:rsidR="00212ABF">
        <w:t>21%</w:t>
      </w:r>
      <w:r w:rsidR="0047708F">
        <w:t xml:space="preserve">, </w:t>
      </w:r>
      <w:r w:rsidR="0047708F" w:rsidRPr="008F542A">
        <w:t>95% credible interval (CI):</w:t>
      </w:r>
      <w:r w:rsidR="00212ABF">
        <w:t xml:space="preserve"> 11</w:t>
      </w:r>
      <w:r w:rsidR="0047708F" w:rsidRPr="008F542A">
        <w:t>-</w:t>
      </w:r>
      <w:r w:rsidR="00212ABF">
        <w:t>35</w:t>
      </w:r>
      <w:r w:rsidR="0047708F" w:rsidRPr="008F542A">
        <w:t>%)</w:t>
      </w:r>
      <w:r w:rsidRPr="00827DE5">
        <w:t xml:space="preserve">). This means that vaccinated cases </w:t>
      </w:r>
      <w:r w:rsidR="00D36D28">
        <w:t>were</w:t>
      </w:r>
      <w:r w:rsidRPr="00827DE5">
        <w:t xml:space="preserve"> less likely to cause onwards transmission than unvaccinated cases. </w:t>
      </w:r>
      <w:r w:rsidR="00BC7994" w:rsidRPr="00827DE5">
        <w:t xml:space="preserve">This may be due to the lower level of immunisation in the community, where simulated outbreaks would get too big if vaccinated cases were transmitting as much as unvaccinated cases. </w:t>
      </w:r>
      <w:r w:rsidR="00CB77F6" w:rsidRPr="00827DE5">
        <w:t xml:space="preserve">As a consequence, removing waning from the scenario </w:t>
      </w:r>
      <w:r w:rsidR="00B57B0E">
        <w:t xml:space="preserve">where waning started in 1990 </w:t>
      </w:r>
      <w:r w:rsidR="00CB77F6" w:rsidRPr="00827DE5">
        <w:t xml:space="preserve">had less impact than in the reference scenario (Figure </w:t>
      </w:r>
      <w:r w:rsidR="00CF7A84">
        <w:t>S1</w:t>
      </w:r>
      <w:r w:rsidR="004170B6">
        <w:t>7</w:t>
      </w:r>
      <w:r w:rsidR="00CB77F6" w:rsidRPr="00827DE5">
        <w:t>), as most averted cases were due to direct effects (vaccinated cases not being infected if secondary vaccine failure is removed from the model).</w:t>
      </w:r>
    </w:p>
    <w:p w14:paraId="7E6F57BF" w14:textId="6CCA5457" w:rsidR="004D3148" w:rsidRPr="00827DE5" w:rsidRDefault="00637E57" w:rsidP="004D3148">
      <w:r>
        <w:rPr>
          <w:noProof/>
        </w:rPr>
        <w:lastRenderedPageBreak/>
        <w:drawing>
          <wp:inline distT="0" distB="0" distL="0" distR="0" wp14:anchorId="291289EA" wp14:editId="04F293C8">
            <wp:extent cx="5731510" cy="4064000"/>
            <wp:effectExtent l="0" t="0" r="0" b="0"/>
            <wp:docPr id="1380959232"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9232" name="Picture 1" descr="A collage of graphs&#10;&#10;Description automatically generated"/>
                    <pic:cNvPicPr/>
                  </pic:nvPicPr>
                  <pic:blipFill>
                    <a:blip r:embed="rId21"/>
                    <a:stretch>
                      <a:fillRect/>
                    </a:stretch>
                  </pic:blipFill>
                  <pic:spPr>
                    <a:xfrm>
                      <a:off x="0" y="0"/>
                      <a:ext cx="5731510" cy="4064000"/>
                    </a:xfrm>
                    <a:prstGeom prst="rect">
                      <a:avLst/>
                    </a:prstGeom>
                  </pic:spPr>
                </pic:pic>
              </a:graphicData>
            </a:graphic>
          </wp:inline>
        </w:drawing>
      </w:r>
    </w:p>
    <w:p w14:paraId="108638DE" w14:textId="037ABB4D" w:rsidR="00843E5B" w:rsidRPr="00827DE5" w:rsidRDefault="006C4049" w:rsidP="00843E5B">
      <w:r>
        <w:t xml:space="preserve">Supplementary </w:t>
      </w:r>
      <w:r w:rsidRPr="00827DE5">
        <w:t>Figure S</w:t>
      </w:r>
      <w:r>
        <w:t>16</w:t>
      </w:r>
      <w:r w:rsidR="004D3148" w:rsidRPr="00827DE5">
        <w:t>: Parameter estimates in models with and without waning of vaccine-induced immunity (using COVER vaccine data). A</w:t>
      </w:r>
      <w:r w:rsidR="0015746F">
        <w:t>.</w:t>
      </w:r>
      <w:r w:rsidR="004D3148" w:rsidRPr="00827DE5">
        <w:t xml:space="preserve"> Proportion of unvaccinated individuals who start off as recovered per age group. B</w:t>
      </w:r>
      <w:r w:rsidR="0015746F">
        <w:t>.</w:t>
      </w:r>
      <w:r w:rsidR="004D3148" w:rsidRPr="00827DE5">
        <w:t xml:space="preserve"> Proportion of susceptible individuals who were not vaccinated during routine vaccination campaigns, but got vaccinated during catchup up campaigns before 2010 (the 1996 campaign targeted individuals aged 20 to 30 in 2010, the 2008 campaign targeted individuals aged 6 to 10 in 2010). C</w:t>
      </w:r>
      <w:r w:rsidR="0015746F">
        <w:t>.</w:t>
      </w:r>
      <w:r w:rsidR="004D3148" w:rsidRPr="00827DE5">
        <w:t xml:space="preserve"> R0 in each model. D</w:t>
      </w:r>
      <w:r w:rsidR="0015746F">
        <w:t>.</w:t>
      </w:r>
      <w:r w:rsidR="004D3148" w:rsidRPr="00827DE5">
        <w:t xml:space="preserve"> Duration of maternal immunity in days. E</w:t>
      </w:r>
      <w:r w:rsidR="0015746F">
        <w:t>.</w:t>
      </w:r>
      <w:r w:rsidR="004D3148" w:rsidRPr="00827DE5">
        <w:t xml:space="preserve"> Proportion of importations reported. F</w:t>
      </w:r>
      <w:r w:rsidR="0015746F">
        <w:t>.</w:t>
      </w:r>
      <w:r w:rsidR="004D3148" w:rsidRPr="00827DE5">
        <w:t xml:space="preserve"> </w:t>
      </w:r>
      <w:r w:rsidR="00257402" w:rsidRPr="00827DE5">
        <w:t>Risk of onward infection in vaccinated cases compared to unvaccinated cases.</w:t>
      </w:r>
      <w:r w:rsidR="00ED2ECC">
        <w:t xml:space="preserve"> </w:t>
      </w:r>
      <w:r w:rsidR="004D3148" w:rsidRPr="00827DE5">
        <w:t>G</w:t>
      </w:r>
      <w:r w:rsidR="0015746F">
        <w:t>.</w:t>
      </w:r>
      <w:r w:rsidR="004D3148" w:rsidRPr="00827DE5">
        <w:t xml:space="preserve"> </w:t>
      </w:r>
      <w:r w:rsidR="00257402">
        <w:t xml:space="preserve">Percentage </w:t>
      </w:r>
      <w:r w:rsidR="00257402" w:rsidRPr="00827DE5">
        <w:t>of primary vaccine failure.</w:t>
      </w:r>
      <w:r w:rsidR="004D3148" w:rsidRPr="00827DE5">
        <w:t xml:space="preserve"> H</w:t>
      </w:r>
      <w:r w:rsidR="0015746F">
        <w:t>.</w:t>
      </w:r>
      <w:r w:rsidR="004D3148" w:rsidRPr="00827DE5">
        <w:t xml:space="preserve"> Rate of waning of vaccine-induced immunity (</w:t>
      </w:r>
      <w:r w:rsidR="00433AD8" w:rsidRPr="00827DE5">
        <w:t>in percent</w:t>
      </w:r>
      <w:r w:rsidR="00433AD8">
        <w:t>age point</w:t>
      </w:r>
      <w:r w:rsidR="00433AD8" w:rsidRPr="00827DE5">
        <w:t xml:space="preserve"> per year</w:t>
      </w:r>
      <w:r w:rsidR="00433AD8">
        <w:t xml:space="preserve"> of age</w:t>
      </w:r>
      <w:r w:rsidR="004D3148" w:rsidRPr="00827DE5">
        <w:t>).</w:t>
      </w:r>
    </w:p>
    <w:p w14:paraId="5A13114E" w14:textId="77777777" w:rsidR="00A219F8" w:rsidRPr="00827DE5" w:rsidRDefault="00A219F8" w:rsidP="006C601C"/>
    <w:p w14:paraId="3B94BD88" w14:textId="43740D70" w:rsidR="00DD5F5C" w:rsidRPr="00827DE5" w:rsidRDefault="007A6D86" w:rsidP="006C601C">
      <w:r>
        <w:rPr>
          <w:noProof/>
        </w:rPr>
        <w:lastRenderedPageBreak/>
        <w:drawing>
          <wp:inline distT="0" distB="0" distL="0" distR="0" wp14:anchorId="563462F2" wp14:editId="283B9890">
            <wp:extent cx="5731510" cy="2730500"/>
            <wp:effectExtent l="0" t="0" r="0" b="0"/>
            <wp:docPr id="1721097773" name="Picture 1" descr="A graph of 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97773" name="Picture 1" descr="A graph of a graph showing the number of years&#10;&#10;Description automatically generated with medium confidence"/>
                    <pic:cNvPicPr/>
                  </pic:nvPicPr>
                  <pic:blipFill>
                    <a:blip r:embed="rId22"/>
                    <a:stretch>
                      <a:fillRect/>
                    </a:stretch>
                  </pic:blipFill>
                  <pic:spPr>
                    <a:xfrm>
                      <a:off x="0" y="0"/>
                      <a:ext cx="5731510" cy="2730500"/>
                    </a:xfrm>
                    <a:prstGeom prst="rect">
                      <a:avLst/>
                    </a:prstGeom>
                  </pic:spPr>
                </pic:pic>
              </a:graphicData>
            </a:graphic>
          </wp:inline>
        </w:drawing>
      </w:r>
    </w:p>
    <w:p w14:paraId="169E9CC5" w14:textId="0936911D" w:rsidR="00DD5F5C" w:rsidRPr="00827DE5" w:rsidRDefault="00060899" w:rsidP="006C601C">
      <w:r>
        <w:t xml:space="preserve">Supplementary </w:t>
      </w:r>
      <w:r w:rsidRPr="00827DE5">
        <w:t>Figure S</w:t>
      </w:r>
      <w:r>
        <w:t>17</w:t>
      </w:r>
      <w:r w:rsidR="00633BEF" w:rsidRPr="00827DE5">
        <w:t xml:space="preserve">: </w:t>
      </w:r>
      <w:r w:rsidR="00DF07C2" w:rsidRPr="00827DE5">
        <w:t xml:space="preserve">Number of yearly cases in simulations generated </w:t>
      </w:r>
      <w:r w:rsidR="0062053E" w:rsidRPr="00827DE5">
        <w:t xml:space="preserve">using </w:t>
      </w:r>
      <w:r w:rsidR="0062053E">
        <w:t xml:space="preserve">the model with </w:t>
      </w:r>
      <w:r w:rsidR="0062053E" w:rsidRPr="00827DE5">
        <w:t>waning s</w:t>
      </w:r>
      <w:r w:rsidR="0062053E">
        <w:t>tarting in 1990</w:t>
      </w:r>
      <w:r w:rsidR="0062053E" w:rsidRPr="00827DE5">
        <w:t>,</w:t>
      </w:r>
      <w:r w:rsidR="00DF07C2" w:rsidRPr="00827DE5">
        <w:t>, and after setting the waning parameter to 0.</w:t>
      </w:r>
    </w:p>
    <w:p w14:paraId="5686F5FC" w14:textId="32E50D90" w:rsidR="008C5D31" w:rsidRPr="00827DE5" w:rsidRDefault="00FC21E8" w:rsidP="005423BC">
      <w:pPr>
        <w:pStyle w:val="Heading1"/>
      </w:pPr>
      <w:bookmarkStart w:id="23" w:name="_Toc162889809"/>
      <w:r>
        <w:t xml:space="preserve">Section S6: </w:t>
      </w:r>
      <w:r w:rsidR="008C5D31" w:rsidRPr="00827DE5">
        <w:t xml:space="preserve">Model fit and </w:t>
      </w:r>
      <w:r w:rsidR="00021B51" w:rsidRPr="00827DE5">
        <w:t xml:space="preserve">stochastic </w:t>
      </w:r>
      <w:r w:rsidR="008C5D31" w:rsidRPr="00827DE5">
        <w:t>simulation</w:t>
      </w:r>
      <w:r w:rsidR="001932F1" w:rsidRPr="00827DE5">
        <w:t>s</w:t>
      </w:r>
      <w:r w:rsidR="008C5D31" w:rsidRPr="00827DE5">
        <w:t xml:space="preserve"> with fixed distance kernel</w:t>
      </w:r>
      <w:bookmarkEnd w:id="23"/>
    </w:p>
    <w:p w14:paraId="66C7B5CD" w14:textId="34A06BC1" w:rsidR="00750DF7" w:rsidRPr="00827DE5" w:rsidRDefault="005423BC" w:rsidP="006C601C">
      <w:r w:rsidRPr="00827DE5">
        <w:t>Is this scenario, the parameters of the spatial were set (</w:t>
      </w:r>
      <m:oMath>
        <m:r>
          <w:rPr>
            <w:rFonts w:ascii="Cambria Math" w:hAnsi="Cambria Math"/>
          </w:rPr>
          <m:t>theta</m:t>
        </m:r>
        <m:r>
          <m:rPr>
            <m:sty m:val="p"/>
          </m:rPr>
          <w:rPr>
            <w:rFonts w:ascii="Cambria Math" w:hAnsi="Cambria Math"/>
          </w:rPr>
          <m:t>=1</m:t>
        </m:r>
      </m:oMath>
      <w:r w:rsidRPr="00827DE5">
        <w:t xml:space="preserve">, </w:t>
      </w:r>
      <m:oMath>
        <m:r>
          <w:rPr>
            <w:rFonts w:ascii="Cambria Math" w:hAnsi="Cambria Math"/>
          </w:rPr>
          <m:t>b</m:t>
        </m:r>
        <m:r>
          <m:rPr>
            <m:sty m:val="p"/>
          </m:rPr>
          <w:rPr>
            <w:rFonts w:ascii="Cambria Math" w:hAnsi="Cambria Math"/>
          </w:rPr>
          <m:t>=1</m:t>
        </m:r>
      </m:oMath>
      <w:r w:rsidRPr="00827DE5">
        <w:t xml:space="preserve">, </w:t>
      </w:r>
      <m:oMath>
        <m:r>
          <w:rPr>
            <w:rFonts w:ascii="Cambria Math" w:hAnsi="Cambria Math"/>
          </w:rPr>
          <m:t>c</m:t>
        </m:r>
        <m:r>
          <m:rPr>
            <m:sty m:val="p"/>
          </m:rPr>
          <w:rPr>
            <w:rFonts w:ascii="Cambria Math" w:hAnsi="Cambria Math"/>
          </w:rPr>
          <m:t>=1</m:t>
        </m:r>
      </m:oMath>
      <w:r w:rsidR="00A446BE">
        <w:t xml:space="preserve"> in </w:t>
      </w:r>
      <w:r w:rsidR="008272B9">
        <w:t>Table S2</w:t>
      </w:r>
      <w:r w:rsidRPr="00827DE5">
        <w:t>). We implemented this scenario to explore the impact of changing the movements between regions on the estimates of the model, in particular whether that changed the distribution of vaccinated cases in the simulation.</w:t>
      </w:r>
    </w:p>
    <w:p w14:paraId="13CF7D6B" w14:textId="3BCC2C05" w:rsidR="006B38C1" w:rsidRPr="00827DE5" w:rsidRDefault="006B38C1" w:rsidP="006C601C">
      <w:r w:rsidRPr="00827DE5">
        <w:t>The results were very similar to that of the reference scenario: only models that incorporated waning of immunity could capture the age and time distribution of vaccinated cases. Models that did not consider any secondary vaccine failure over estimated the number of single vaccinated cases, and underestimated the number of double-vaccinated teenagers and young adults who got infected</w:t>
      </w:r>
      <w:r w:rsidR="00EF03E9" w:rsidRPr="00827DE5">
        <w:t xml:space="preserve"> (Figure </w:t>
      </w:r>
      <w:r w:rsidR="00EA6097">
        <w:t>S18</w:t>
      </w:r>
      <w:r w:rsidR="00EF03E9" w:rsidRPr="00827DE5">
        <w:t>)</w:t>
      </w:r>
      <w:r w:rsidRPr="00827DE5">
        <w:t>.</w:t>
      </w:r>
      <w:r w:rsidR="00EF03E9" w:rsidRPr="00827DE5">
        <w:t xml:space="preserve"> Only models that incorporated waning of immunity showed an increase in the proportion of double vaccinated cases through time (Figure </w:t>
      </w:r>
      <w:r w:rsidR="00EA6097">
        <w:t>S19</w:t>
      </w:r>
      <w:r w:rsidR="00EF03E9" w:rsidRPr="00827DE5">
        <w:t>).</w:t>
      </w:r>
    </w:p>
    <w:p w14:paraId="232611C9" w14:textId="22491FB4" w:rsidR="00750DF7" w:rsidRPr="00827DE5" w:rsidRDefault="00307640" w:rsidP="006C601C">
      <w:r>
        <w:rPr>
          <w:noProof/>
        </w:rPr>
        <w:lastRenderedPageBreak/>
        <w:drawing>
          <wp:inline distT="0" distB="0" distL="0" distR="0" wp14:anchorId="6A51F569" wp14:editId="7AC95C60">
            <wp:extent cx="5731510" cy="4507865"/>
            <wp:effectExtent l="0" t="0" r="0" b="0"/>
            <wp:docPr id="460852475"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2475" name="Picture 1" descr="A graph of different colored squares&#10;&#10;Description automatically generated with medium confidence"/>
                    <pic:cNvPicPr/>
                  </pic:nvPicPr>
                  <pic:blipFill>
                    <a:blip r:embed="rId23"/>
                    <a:stretch>
                      <a:fillRect/>
                    </a:stretch>
                  </pic:blipFill>
                  <pic:spPr>
                    <a:xfrm>
                      <a:off x="0" y="0"/>
                      <a:ext cx="5731510" cy="4507865"/>
                    </a:xfrm>
                    <a:prstGeom prst="rect">
                      <a:avLst/>
                    </a:prstGeom>
                  </pic:spPr>
                </pic:pic>
              </a:graphicData>
            </a:graphic>
          </wp:inline>
        </w:drawing>
      </w:r>
    </w:p>
    <w:p w14:paraId="4452FD98" w14:textId="4229191A" w:rsidR="00750DF7" w:rsidRPr="00827DE5" w:rsidRDefault="007F7C10" w:rsidP="006C601C">
      <w:r>
        <w:t xml:space="preserve">Supplementary </w:t>
      </w:r>
      <w:r w:rsidRPr="00827DE5">
        <w:t>Figure S</w:t>
      </w:r>
      <w:r>
        <w:t>18</w:t>
      </w:r>
      <w:r w:rsidR="00031405" w:rsidRPr="00827DE5">
        <w:t>: A</w:t>
      </w:r>
      <w:r w:rsidR="007F651F">
        <w:t>.</w:t>
      </w:r>
      <w:r w:rsidR="00031405" w:rsidRPr="00827DE5">
        <w:t xml:space="preserve"> Comparison of the number of single and double vaccinated cases in models with and without waning. B</w:t>
      </w:r>
      <w:r w:rsidR="007F651F">
        <w:t>.</w:t>
      </w:r>
      <w:r w:rsidR="00031405" w:rsidRPr="00827DE5">
        <w:t xml:space="preserve"> Overall number of single and double vaccinated cases in each model (data points are represented by black crosses). C</w:t>
      </w:r>
      <w:r w:rsidR="007F651F">
        <w:t>.</w:t>
      </w:r>
      <w:r w:rsidR="00031405" w:rsidRPr="00827DE5">
        <w:t xml:space="preserve"> Number of vaccinated cases between 5 and 15 years old. D</w:t>
      </w:r>
      <w:r w:rsidR="007F651F">
        <w:t>.</w:t>
      </w:r>
      <w:r w:rsidR="00031405" w:rsidRPr="00827DE5">
        <w:t xml:space="preserve"> Number of vaccinated cases above 15 years old. E</w:t>
      </w:r>
      <w:r w:rsidR="007F651F">
        <w:t>.</w:t>
      </w:r>
      <w:r w:rsidR="00031405" w:rsidRPr="00827DE5">
        <w:t xml:space="preserve"> Overall proportion of single and double vaccinated cases. F</w:t>
      </w:r>
      <w:r w:rsidR="007F651F">
        <w:t>.</w:t>
      </w:r>
      <w:r w:rsidR="00031405" w:rsidRPr="00827DE5">
        <w:t xml:space="preserve"> Proportion of vaccinated cases between 5 and 15 years old. G</w:t>
      </w:r>
      <w:r w:rsidR="007F651F">
        <w:t>.</w:t>
      </w:r>
      <w:r w:rsidR="00031405" w:rsidRPr="00827DE5">
        <w:t xml:space="preserve"> Number of vaccinated cases above 15 years old.</w:t>
      </w:r>
    </w:p>
    <w:p w14:paraId="1FA3673C" w14:textId="066B61BC" w:rsidR="00410F14" w:rsidRPr="00827DE5" w:rsidRDefault="00C56D10" w:rsidP="006C601C">
      <w:r>
        <w:rPr>
          <w:noProof/>
        </w:rPr>
        <w:lastRenderedPageBreak/>
        <w:drawing>
          <wp:inline distT="0" distB="0" distL="0" distR="0" wp14:anchorId="60911C2C" wp14:editId="219E8396">
            <wp:extent cx="5731510" cy="4327525"/>
            <wp:effectExtent l="0" t="0" r="0" b="0"/>
            <wp:docPr id="610329626"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29626" name="Picture 1" descr="A graph of a number of people&#10;&#10;Description automatically generated with medium confidence"/>
                    <pic:cNvPicPr/>
                  </pic:nvPicPr>
                  <pic:blipFill>
                    <a:blip r:embed="rId24"/>
                    <a:stretch>
                      <a:fillRect/>
                    </a:stretch>
                  </pic:blipFill>
                  <pic:spPr>
                    <a:xfrm>
                      <a:off x="0" y="0"/>
                      <a:ext cx="5731510" cy="4327525"/>
                    </a:xfrm>
                    <a:prstGeom prst="rect">
                      <a:avLst/>
                    </a:prstGeom>
                  </pic:spPr>
                </pic:pic>
              </a:graphicData>
            </a:graphic>
          </wp:inline>
        </w:drawing>
      </w:r>
    </w:p>
    <w:p w14:paraId="77361A3D" w14:textId="34069C8F" w:rsidR="00410F14" w:rsidRPr="00827DE5" w:rsidRDefault="00DF1F46" w:rsidP="006C601C">
      <w:r>
        <w:t xml:space="preserve">Supplementary </w:t>
      </w:r>
      <w:r w:rsidRPr="00827DE5">
        <w:t>Figure S</w:t>
      </w:r>
      <w:r>
        <w:t>19</w:t>
      </w:r>
      <w:r w:rsidR="00BB2337" w:rsidRPr="00827DE5">
        <w:t xml:space="preserve">: </w:t>
      </w:r>
      <w:r w:rsidR="00922240" w:rsidRPr="00922240">
        <w:t>A. Proportion of single (and B. double) vaccinated cases each year across all regions and age groups.</w:t>
      </w:r>
    </w:p>
    <w:p w14:paraId="5BCAC059" w14:textId="6007ECDA" w:rsidR="002E1B0E" w:rsidRPr="00827DE5" w:rsidRDefault="00D51512" w:rsidP="006C601C">
      <w:r w:rsidRPr="00827DE5">
        <w:t>The parameter estimates and age-distribution of the cases was the same as the reference scenario (Figure</w:t>
      </w:r>
      <w:r w:rsidR="00BA37FA">
        <w:t>s S20 and</w:t>
      </w:r>
      <w:r w:rsidRPr="00827DE5">
        <w:t xml:space="preserve"> </w:t>
      </w:r>
      <w:r w:rsidR="00FE5D5E">
        <w:t>S2</w:t>
      </w:r>
      <w:r w:rsidR="00BA37FA">
        <w:t>1</w:t>
      </w:r>
      <w:r w:rsidRPr="00827DE5">
        <w:t>), while the spatial distribution was slightly worse than the reference scenario as the number of cases in South East was over estimated in this scenario.</w:t>
      </w:r>
    </w:p>
    <w:p w14:paraId="7B91D917" w14:textId="61DF335C" w:rsidR="002E1B0E" w:rsidRPr="00827DE5" w:rsidRDefault="00C56D10" w:rsidP="002E1B0E">
      <w:r>
        <w:rPr>
          <w:noProof/>
        </w:rPr>
        <w:lastRenderedPageBreak/>
        <w:drawing>
          <wp:inline distT="0" distB="0" distL="0" distR="0" wp14:anchorId="4AC22F48" wp14:editId="1CE3AD06">
            <wp:extent cx="5731510" cy="4108450"/>
            <wp:effectExtent l="0" t="0" r="0" b="0"/>
            <wp:docPr id="1653141737" name="Picture 1" descr="A group of graph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41737" name="Picture 1" descr="A group of graphs with numbers and symbols&#10;&#10;Description automatically generated with medium confidence"/>
                    <pic:cNvPicPr/>
                  </pic:nvPicPr>
                  <pic:blipFill>
                    <a:blip r:embed="rId25"/>
                    <a:stretch>
                      <a:fillRect/>
                    </a:stretch>
                  </pic:blipFill>
                  <pic:spPr>
                    <a:xfrm>
                      <a:off x="0" y="0"/>
                      <a:ext cx="5731510" cy="4108450"/>
                    </a:xfrm>
                    <a:prstGeom prst="rect">
                      <a:avLst/>
                    </a:prstGeom>
                  </pic:spPr>
                </pic:pic>
              </a:graphicData>
            </a:graphic>
          </wp:inline>
        </w:drawing>
      </w:r>
    </w:p>
    <w:p w14:paraId="25423D12" w14:textId="78E43D95" w:rsidR="002E1B0E" w:rsidRPr="00827DE5" w:rsidRDefault="000E001A" w:rsidP="002E1B0E">
      <w:r>
        <w:t xml:space="preserve">Supplementary </w:t>
      </w:r>
      <w:r w:rsidRPr="00827DE5">
        <w:t>Figure S</w:t>
      </w:r>
      <w:r>
        <w:t>20</w:t>
      </w:r>
      <w:r w:rsidR="002E1B0E" w:rsidRPr="00827DE5">
        <w:t>: Parameter estimates in models with and without waning of vaccine-induced immunity (using CPRD vaccine data, with a fixed spatial kernel). A</w:t>
      </w:r>
      <w:r w:rsidR="00AA5BD0">
        <w:t>.</w:t>
      </w:r>
      <w:r w:rsidR="002E1B0E" w:rsidRPr="00827DE5">
        <w:t xml:space="preserve"> Proportion of unvaccinated individuals who start off as recovered per age group. B</w:t>
      </w:r>
      <w:r w:rsidR="00AA5BD0">
        <w:t>.</w:t>
      </w:r>
      <w:r w:rsidR="002E1B0E" w:rsidRPr="00827DE5">
        <w:t xml:space="preserve"> Proportion of susceptible individuals who were not vaccinated during routine vaccination campaigns, but got vaccinated during catchup up campaigns before 2010 (the 1996 campaign targeted individuals aged 20 to 30 in 2010, the 2008 campaign targeted individuals aged 6 to 10 in 2010). C</w:t>
      </w:r>
      <w:r w:rsidR="00AA5BD0">
        <w:t>.</w:t>
      </w:r>
      <w:r w:rsidR="002E1B0E" w:rsidRPr="00827DE5">
        <w:t xml:space="preserve"> R0 in each model. D</w:t>
      </w:r>
      <w:r w:rsidR="00AA5BD0">
        <w:t>.</w:t>
      </w:r>
      <w:r w:rsidR="002E1B0E" w:rsidRPr="00827DE5">
        <w:t xml:space="preserve"> Duration of maternal immunity in days. E</w:t>
      </w:r>
      <w:r w:rsidR="00AA5BD0">
        <w:t>.</w:t>
      </w:r>
      <w:r w:rsidR="002E1B0E" w:rsidRPr="00827DE5">
        <w:t xml:space="preserve"> Proportion of importations reported. F</w:t>
      </w:r>
      <w:r w:rsidR="00AA5BD0">
        <w:t>.</w:t>
      </w:r>
      <w:r w:rsidR="003D74B3" w:rsidRPr="003D74B3">
        <w:t xml:space="preserve"> </w:t>
      </w:r>
      <w:r w:rsidR="003D74B3" w:rsidRPr="00827DE5">
        <w:t>Risk of onward infection in vaccinated cases compared to unvaccinated cases</w:t>
      </w:r>
      <w:r w:rsidR="002E1B0E" w:rsidRPr="00827DE5">
        <w:t>. G</w:t>
      </w:r>
      <w:r w:rsidR="00AA5BD0">
        <w:t>.</w:t>
      </w:r>
      <w:r w:rsidR="002E1B0E" w:rsidRPr="00827DE5">
        <w:t xml:space="preserve"> </w:t>
      </w:r>
      <w:r w:rsidR="003D74B3">
        <w:t xml:space="preserve">Percentage </w:t>
      </w:r>
      <w:r w:rsidR="003D74B3" w:rsidRPr="00827DE5">
        <w:t>of primary vaccine failure</w:t>
      </w:r>
      <w:r w:rsidR="002E1B0E" w:rsidRPr="00827DE5">
        <w:t>. H</w:t>
      </w:r>
      <w:r w:rsidR="00AA5BD0">
        <w:t>.</w:t>
      </w:r>
      <w:r w:rsidR="002E1B0E" w:rsidRPr="00827DE5">
        <w:t xml:space="preserve"> Rate of waning of vaccine-induced immunity (</w:t>
      </w:r>
      <w:r w:rsidR="00C015B7" w:rsidRPr="00827DE5">
        <w:t>in percent</w:t>
      </w:r>
      <w:r w:rsidR="00C015B7">
        <w:t>age point</w:t>
      </w:r>
      <w:r w:rsidR="00C015B7" w:rsidRPr="00827DE5">
        <w:t xml:space="preserve"> per year</w:t>
      </w:r>
      <w:r w:rsidR="00C015B7">
        <w:t xml:space="preserve"> of age</w:t>
      </w:r>
      <w:r w:rsidR="002E1B0E" w:rsidRPr="00827DE5">
        <w:t>).</w:t>
      </w:r>
    </w:p>
    <w:p w14:paraId="792D9CCC" w14:textId="77777777" w:rsidR="002E1B0E" w:rsidRPr="00827DE5" w:rsidRDefault="002E1B0E" w:rsidP="002E1B0E"/>
    <w:p w14:paraId="65E54654" w14:textId="3087067C" w:rsidR="002E1B0E" w:rsidRPr="00827DE5" w:rsidRDefault="00531526" w:rsidP="002E1B0E">
      <w:r>
        <w:rPr>
          <w:noProof/>
        </w:rPr>
        <w:lastRenderedPageBreak/>
        <w:drawing>
          <wp:inline distT="0" distB="0" distL="0" distR="0" wp14:anchorId="47107EE1" wp14:editId="72FE5D69">
            <wp:extent cx="5731510" cy="4227195"/>
            <wp:effectExtent l="0" t="0" r="0" b="0"/>
            <wp:docPr id="1300995894" name="Picture 1"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95894" name="Picture 1" descr="A group of graphs with numbers&#10;&#10;Description automatically generated with medium confidence"/>
                    <pic:cNvPicPr/>
                  </pic:nvPicPr>
                  <pic:blipFill>
                    <a:blip r:embed="rId26"/>
                    <a:stretch>
                      <a:fillRect/>
                    </a:stretch>
                  </pic:blipFill>
                  <pic:spPr>
                    <a:xfrm>
                      <a:off x="0" y="0"/>
                      <a:ext cx="5731510" cy="4227195"/>
                    </a:xfrm>
                    <a:prstGeom prst="rect">
                      <a:avLst/>
                    </a:prstGeom>
                  </pic:spPr>
                </pic:pic>
              </a:graphicData>
            </a:graphic>
          </wp:inline>
        </w:drawing>
      </w:r>
    </w:p>
    <w:p w14:paraId="58B03944" w14:textId="2BBC28B9" w:rsidR="002E1B0E" w:rsidRPr="00827DE5" w:rsidRDefault="002D2522" w:rsidP="006C601C">
      <w:r>
        <w:t xml:space="preserve">Supplementary </w:t>
      </w:r>
      <w:r w:rsidRPr="00827DE5">
        <w:t>Figure S</w:t>
      </w:r>
      <w:r>
        <w:t>21</w:t>
      </w:r>
      <w:r w:rsidR="002E1B0E" w:rsidRPr="00827DE5">
        <w:t xml:space="preserve">: </w:t>
      </w:r>
      <w:r w:rsidR="0009615E" w:rsidRPr="00827DE5">
        <w:t>A</w:t>
      </w:r>
      <w:r w:rsidR="006A1124">
        <w:t>.</w:t>
      </w:r>
      <w:r w:rsidR="0009615E" w:rsidRPr="00827DE5">
        <w:t xml:space="preserve"> Number of cases per year in each model and in the data across all regions and age groups (black crosses). B</w:t>
      </w:r>
      <w:r w:rsidR="006A1124">
        <w:t>.</w:t>
      </w:r>
      <w:r w:rsidR="0009615E" w:rsidRPr="00827DE5">
        <w:t xml:space="preserve"> Number of cases by age groups in the models and the data across all regions and years. C</w:t>
      </w:r>
      <w:r w:rsidR="006A1124">
        <w:t>.</w:t>
      </w:r>
      <w:r w:rsidR="0009615E" w:rsidRPr="00827DE5">
        <w:t xml:space="preserve"> Number of cases by regions in the models and the data across all regions and years. D</w:t>
      </w:r>
      <w:r w:rsidR="006A1124">
        <w:t>.</w:t>
      </w:r>
      <w:r w:rsidR="0009615E" w:rsidRPr="00827DE5">
        <w:t xml:space="preserve"> Proportion of cases by age groups in the models and the data. E</w:t>
      </w:r>
      <w:r w:rsidR="006A1124">
        <w:t>.</w:t>
      </w:r>
      <w:r w:rsidR="0009615E" w:rsidRPr="00827DE5">
        <w:t xml:space="preserve"> Proportion of cases by regions in the models and the data.</w:t>
      </w:r>
    </w:p>
    <w:p w14:paraId="140DF5EB" w14:textId="2EC92911" w:rsidR="00360003" w:rsidRPr="00827DE5" w:rsidRDefault="00360003" w:rsidP="006C601C">
      <w:pPr>
        <w:pStyle w:val="Heading1"/>
      </w:pPr>
      <w:bookmarkStart w:id="24" w:name="_Toc162889810"/>
      <w:r w:rsidRPr="00827DE5">
        <w:t>References</w:t>
      </w:r>
      <w:bookmarkEnd w:id="24"/>
    </w:p>
    <w:p w14:paraId="1DF0C787" w14:textId="77777777" w:rsidR="00FA2321" w:rsidRPr="00FA2321" w:rsidRDefault="00360003" w:rsidP="00FA2321">
      <w:pPr>
        <w:pStyle w:val="Bibliography"/>
        <w:rPr>
          <w:rFonts w:ascii="Calibri" w:hAnsi="Calibri" w:cs="Calibri"/>
        </w:rPr>
      </w:pPr>
      <w:r w:rsidRPr="00827DE5">
        <w:fldChar w:fldCharType="begin"/>
      </w:r>
      <w:r w:rsidRPr="00827DE5">
        <w:instrText xml:space="preserve"> ADDIN ZOTERO_BIBL {"uncited":[],"omitted":[],"custom":[]} CSL_BIBLIOGRAPHY </w:instrText>
      </w:r>
      <w:r w:rsidRPr="00827DE5">
        <w:fldChar w:fldCharType="separate"/>
      </w:r>
      <w:r w:rsidR="00FA2321" w:rsidRPr="00FA2321">
        <w:rPr>
          <w:rFonts w:ascii="Calibri" w:hAnsi="Calibri" w:cs="Calibri"/>
        </w:rPr>
        <w:t>1.</w:t>
      </w:r>
      <w:r w:rsidR="00FA2321" w:rsidRPr="00FA2321">
        <w:rPr>
          <w:rFonts w:ascii="Calibri" w:hAnsi="Calibri" w:cs="Calibri"/>
        </w:rPr>
        <w:tab/>
        <w:t xml:space="preserve">FitzJohn RG, Knock ES, Whittles LK, Perez-Guzman PN, Bhatia S, Guntoro F, et al. Reproducible parallel inference and simulation of stochastic state space models using odin, dust, and mcstate. Wellcome Open Research. 2020;5. </w:t>
      </w:r>
    </w:p>
    <w:p w14:paraId="392346EE" w14:textId="77777777" w:rsidR="00FA2321" w:rsidRPr="00FA2321" w:rsidRDefault="00FA2321" w:rsidP="00FA2321">
      <w:pPr>
        <w:pStyle w:val="Bibliography"/>
        <w:rPr>
          <w:rFonts w:ascii="Calibri" w:hAnsi="Calibri" w:cs="Calibri"/>
        </w:rPr>
      </w:pPr>
      <w:r w:rsidRPr="00FA2321">
        <w:rPr>
          <w:rFonts w:ascii="Calibri" w:hAnsi="Calibri" w:cs="Calibri"/>
        </w:rPr>
        <w:t>2.</w:t>
      </w:r>
      <w:r w:rsidRPr="00FA2321">
        <w:rPr>
          <w:rFonts w:ascii="Calibri" w:hAnsi="Calibri" w:cs="Calibri"/>
        </w:rPr>
        <w:tab/>
        <w:t>Funk S, Lander W, Gruson H. socialmixr: Social Mixing Matrices for Infectious Disease Modelling [Internet]. 2024. Available from: https://github.com/epiforecasts/socialmixr</w:t>
      </w:r>
    </w:p>
    <w:p w14:paraId="1964FDD7" w14:textId="77777777" w:rsidR="00FA2321" w:rsidRPr="00FA2321" w:rsidRDefault="00FA2321" w:rsidP="00FA2321">
      <w:pPr>
        <w:pStyle w:val="Bibliography"/>
        <w:rPr>
          <w:rFonts w:ascii="Calibri" w:hAnsi="Calibri" w:cs="Calibri"/>
        </w:rPr>
      </w:pPr>
      <w:r w:rsidRPr="00FA2321">
        <w:rPr>
          <w:rFonts w:ascii="Calibri" w:hAnsi="Calibri" w:cs="Calibri"/>
        </w:rPr>
        <w:t>3.</w:t>
      </w:r>
      <w:r w:rsidRPr="00FA2321">
        <w:rPr>
          <w:rFonts w:ascii="Calibri" w:hAnsi="Calibri" w:cs="Calibri"/>
        </w:rPr>
        <w:tab/>
        <w:t xml:space="preserve">Brown K, Fraser G, Ramsay M, Shanley R, Cowley N, Van Wijgerden J, et al. Attitudinal and Demographic Predictors of Measles-Mumps-Rubella Vaccine (MMR) Uptake during the UK Catch-Up Campaign 2008–09: Cross-Sectional Survey. Semple MG, editor. PLoS ONE. 2011 May 13;6(5):e19381. </w:t>
      </w:r>
    </w:p>
    <w:p w14:paraId="526AF1BA" w14:textId="77777777" w:rsidR="00FA2321" w:rsidRPr="00FA2321" w:rsidRDefault="00FA2321" w:rsidP="00FA2321">
      <w:pPr>
        <w:pStyle w:val="Bibliography"/>
        <w:rPr>
          <w:rFonts w:ascii="Calibri" w:hAnsi="Calibri" w:cs="Calibri"/>
        </w:rPr>
      </w:pPr>
      <w:r w:rsidRPr="00FA2321">
        <w:rPr>
          <w:rFonts w:ascii="Calibri" w:hAnsi="Calibri" w:cs="Calibri"/>
        </w:rPr>
        <w:t>4.</w:t>
      </w:r>
      <w:r w:rsidRPr="00FA2321">
        <w:rPr>
          <w:rFonts w:ascii="Calibri" w:hAnsi="Calibri" w:cs="Calibri"/>
        </w:rPr>
        <w:tab/>
        <w:t xml:space="preserve">Guerra FM, Crowcroft NS, Friedman L, Deeks SL, Halperin SA, Severini A, et al. Waning of measles maternal antibody in infants in measles elimination settings – A systematic literature review. Vaccine. 2018 Feb;36(10):1248–55. </w:t>
      </w:r>
    </w:p>
    <w:p w14:paraId="6BC8577E" w14:textId="77777777" w:rsidR="00FA2321" w:rsidRPr="00FA2321" w:rsidRDefault="00FA2321" w:rsidP="00FA2321">
      <w:pPr>
        <w:pStyle w:val="Bibliography"/>
        <w:rPr>
          <w:rFonts w:ascii="Calibri" w:hAnsi="Calibri" w:cs="Calibri"/>
        </w:rPr>
      </w:pPr>
      <w:r w:rsidRPr="00FA2321">
        <w:rPr>
          <w:rFonts w:ascii="Calibri" w:hAnsi="Calibri" w:cs="Calibri"/>
        </w:rPr>
        <w:t>5.</w:t>
      </w:r>
      <w:r w:rsidRPr="00FA2321">
        <w:rPr>
          <w:rFonts w:ascii="Calibri" w:hAnsi="Calibri" w:cs="Calibri"/>
        </w:rPr>
        <w:tab/>
        <w:t xml:space="preserve">Rota JS, Hickman CJ, Sowers SB, Rota PA, Mercader S, Bellini WJ. Two Case Studies of Modified Measles in Vaccinated Physicians Exposed to Primary Measles Cases: High Risk of Infection But Low Risk of Transmission. The Journal of Infectious Diseases. 2011 Jul;204(suppl_1):S559–63. </w:t>
      </w:r>
    </w:p>
    <w:p w14:paraId="7FD15E54" w14:textId="77777777" w:rsidR="00FA2321" w:rsidRPr="00FA2321" w:rsidRDefault="00FA2321" w:rsidP="00FA2321">
      <w:pPr>
        <w:pStyle w:val="Bibliography"/>
        <w:rPr>
          <w:rFonts w:ascii="Calibri" w:hAnsi="Calibri" w:cs="Calibri"/>
        </w:rPr>
      </w:pPr>
      <w:r w:rsidRPr="00FA2321">
        <w:rPr>
          <w:rFonts w:ascii="Calibri" w:hAnsi="Calibri" w:cs="Calibri"/>
        </w:rPr>
        <w:lastRenderedPageBreak/>
        <w:t>6.</w:t>
      </w:r>
      <w:r w:rsidRPr="00FA2321">
        <w:rPr>
          <w:rFonts w:ascii="Calibri" w:hAnsi="Calibri" w:cs="Calibri"/>
        </w:rPr>
        <w:tab/>
        <w:t xml:space="preserve">Klinkenberg D, Nishiura H. The correlation between infectivity and incubation period of measles, estimated from households with two cases. Journal of Theoretical Biology. 2011 Sep;284(1):52–60. </w:t>
      </w:r>
    </w:p>
    <w:p w14:paraId="1E1CA98A" w14:textId="77777777" w:rsidR="00FA2321" w:rsidRPr="00FA2321" w:rsidRDefault="00FA2321" w:rsidP="00FA2321">
      <w:pPr>
        <w:pStyle w:val="Bibliography"/>
        <w:rPr>
          <w:rFonts w:ascii="Calibri" w:hAnsi="Calibri" w:cs="Calibri"/>
        </w:rPr>
      </w:pPr>
      <w:r w:rsidRPr="00FA2321">
        <w:rPr>
          <w:rFonts w:ascii="Calibri" w:hAnsi="Calibri" w:cs="Calibri"/>
        </w:rPr>
        <w:t>7.</w:t>
      </w:r>
      <w:r w:rsidRPr="00FA2321">
        <w:rPr>
          <w:rFonts w:ascii="Calibri" w:hAnsi="Calibri" w:cs="Calibri"/>
        </w:rPr>
        <w:tab/>
        <w:t>UK Health Security Agency. Measles. The Green Book [Internet]. 2019 [cited 2024 Feb 20]. Available from: https://www.gov.uk/government/publications/measles-the-green-book-chapter-21</w:t>
      </w:r>
    </w:p>
    <w:p w14:paraId="4CA0D1B3" w14:textId="77777777" w:rsidR="00FA2321" w:rsidRPr="00FA2321" w:rsidRDefault="00FA2321" w:rsidP="00FA2321">
      <w:pPr>
        <w:pStyle w:val="Bibliography"/>
        <w:rPr>
          <w:rFonts w:ascii="Calibri" w:hAnsi="Calibri" w:cs="Calibri"/>
        </w:rPr>
      </w:pPr>
      <w:r w:rsidRPr="00FA2321">
        <w:rPr>
          <w:rFonts w:ascii="Calibri" w:hAnsi="Calibri" w:cs="Calibri"/>
        </w:rPr>
        <w:t>8.</w:t>
      </w:r>
      <w:r w:rsidRPr="00FA2321">
        <w:rPr>
          <w:rFonts w:ascii="Calibri" w:hAnsi="Calibri" w:cs="Calibri"/>
        </w:rPr>
        <w:tab/>
        <w:t>NHS digital. Cover of Vaccination Evaluated Rapidly (COVER) [Internet]. 2023 [cited 2024 Feb 20]. Available from: https://digital.nhs.uk/data-and-information/data-collections-and-data-sets/data-collections/cover-of-vaccination-evaluated-rapidly</w:t>
      </w:r>
    </w:p>
    <w:p w14:paraId="50998D34" w14:textId="77777777" w:rsidR="00FA2321" w:rsidRPr="00FA2321" w:rsidRDefault="00FA2321" w:rsidP="00FA2321">
      <w:pPr>
        <w:pStyle w:val="Bibliography"/>
        <w:rPr>
          <w:rFonts w:ascii="Calibri" w:hAnsi="Calibri" w:cs="Calibri"/>
        </w:rPr>
      </w:pPr>
      <w:r w:rsidRPr="00FA2321">
        <w:rPr>
          <w:rFonts w:ascii="Calibri" w:hAnsi="Calibri" w:cs="Calibri"/>
        </w:rPr>
        <w:t>9.</w:t>
      </w:r>
      <w:r w:rsidRPr="00FA2321">
        <w:rPr>
          <w:rFonts w:ascii="Calibri" w:hAnsi="Calibri" w:cs="Calibri"/>
        </w:rPr>
        <w:tab/>
        <w:t>UKHSA, Immunisation and Vaccine Preventable Diseases Division. Risk assessment for measles resurgence in the UK. 2023 May [cited 2024 Feb 20]; Available from: https://www.gov.uk/government/publications/measles-risk-assessment-for-resurgence-in-the-uk</w:t>
      </w:r>
    </w:p>
    <w:p w14:paraId="2DCAE12E" w14:textId="77777777" w:rsidR="00FA2321" w:rsidRPr="00FA2321" w:rsidRDefault="00FA2321" w:rsidP="00FA2321">
      <w:pPr>
        <w:pStyle w:val="Bibliography"/>
        <w:rPr>
          <w:rFonts w:ascii="Calibri" w:hAnsi="Calibri" w:cs="Calibri"/>
        </w:rPr>
      </w:pPr>
      <w:r w:rsidRPr="00FA2321">
        <w:rPr>
          <w:rFonts w:ascii="Calibri" w:hAnsi="Calibri" w:cs="Calibri"/>
        </w:rPr>
        <w:t>10.</w:t>
      </w:r>
      <w:r w:rsidRPr="00FA2321">
        <w:rPr>
          <w:rFonts w:ascii="Calibri" w:hAnsi="Calibri" w:cs="Calibri"/>
        </w:rPr>
        <w:tab/>
        <w:t>Public Health England. Uk Measles and Rubella elimination strategy  2019. 2019 Jan 9 [cited 2024 Feb 23]; Available from: https://www.gov.uk/government/publications/measles-and-rubella-elimination-uk-strategy</w:t>
      </w:r>
    </w:p>
    <w:p w14:paraId="5B2D5AA8" w14:textId="77777777" w:rsidR="00FA2321" w:rsidRPr="00FA2321" w:rsidRDefault="00FA2321" w:rsidP="00FA2321">
      <w:pPr>
        <w:pStyle w:val="Bibliography"/>
        <w:rPr>
          <w:rFonts w:ascii="Calibri" w:hAnsi="Calibri" w:cs="Calibri"/>
        </w:rPr>
      </w:pPr>
      <w:r w:rsidRPr="00FA2321">
        <w:rPr>
          <w:rFonts w:ascii="Calibri" w:hAnsi="Calibri" w:cs="Calibri"/>
        </w:rPr>
        <w:t>11.</w:t>
      </w:r>
      <w:r w:rsidRPr="00FA2321">
        <w:rPr>
          <w:rFonts w:ascii="Calibri" w:hAnsi="Calibri" w:cs="Calibri"/>
        </w:rPr>
        <w:tab/>
        <w:t xml:space="preserve">Clinical Practice Research Datalink. CPRD Aurum March 2021. 2021. </w:t>
      </w:r>
    </w:p>
    <w:p w14:paraId="75FBBAAA" w14:textId="77777777" w:rsidR="00FA2321" w:rsidRPr="00FA2321" w:rsidRDefault="00FA2321" w:rsidP="00FA2321">
      <w:pPr>
        <w:pStyle w:val="Bibliography"/>
        <w:rPr>
          <w:rFonts w:ascii="Calibri" w:hAnsi="Calibri" w:cs="Calibri"/>
        </w:rPr>
      </w:pPr>
      <w:r w:rsidRPr="00FA2321">
        <w:rPr>
          <w:rFonts w:ascii="Calibri" w:hAnsi="Calibri" w:cs="Calibri"/>
        </w:rPr>
        <w:t>12.</w:t>
      </w:r>
      <w:r w:rsidRPr="00FA2321">
        <w:rPr>
          <w:rFonts w:ascii="Calibri" w:hAnsi="Calibri" w:cs="Calibri"/>
        </w:rPr>
        <w:tab/>
        <w:t xml:space="preserve">Wolf A, Dedman D, Campbell J, Booth H, Lunn D, Chapman J, et al. Data resource profile: Clinical Practice Research Datalink (CPRD) Aurum. International Journal of Epidemiology. 2019 Dec 1;48(6):1740–1740g. </w:t>
      </w:r>
    </w:p>
    <w:p w14:paraId="55351194" w14:textId="77777777" w:rsidR="00FA2321" w:rsidRPr="00FA2321" w:rsidRDefault="00FA2321" w:rsidP="00FA2321">
      <w:pPr>
        <w:pStyle w:val="Bibliography"/>
        <w:rPr>
          <w:rFonts w:ascii="Calibri" w:hAnsi="Calibri" w:cs="Calibri"/>
        </w:rPr>
      </w:pPr>
      <w:r w:rsidRPr="00FA2321">
        <w:rPr>
          <w:rFonts w:ascii="Calibri" w:hAnsi="Calibri" w:cs="Calibri"/>
        </w:rPr>
        <w:t>13.</w:t>
      </w:r>
      <w:r w:rsidRPr="00FA2321">
        <w:rPr>
          <w:rFonts w:ascii="Calibri" w:hAnsi="Calibri" w:cs="Calibri"/>
        </w:rPr>
        <w:tab/>
        <w:t>Suffel AM, Walker JL, Campbell C, Carreira H, Warren-Gash C, McDonald HI. Methodological challenges and recommendations for identifying childhood immunisations using routine electronic health records in the United Kingdom [Internet]. Epidemiology; 2023 Mar [cited 2024 Feb 20]. Available from: http://medrxiv.org/lookup/doi/10.1101/2023.02.28.23286573</w:t>
      </w:r>
    </w:p>
    <w:p w14:paraId="6FF0447D" w14:textId="77777777" w:rsidR="00FA2321" w:rsidRPr="00FA2321" w:rsidRDefault="00FA2321" w:rsidP="00FA2321">
      <w:pPr>
        <w:pStyle w:val="Bibliography"/>
        <w:rPr>
          <w:rFonts w:ascii="Calibri" w:hAnsi="Calibri" w:cs="Calibri"/>
        </w:rPr>
      </w:pPr>
      <w:r w:rsidRPr="00FA2321">
        <w:rPr>
          <w:rFonts w:ascii="Calibri" w:hAnsi="Calibri" w:cs="Calibri"/>
        </w:rPr>
        <w:t>14.</w:t>
      </w:r>
      <w:r w:rsidRPr="00FA2321">
        <w:rPr>
          <w:rFonts w:ascii="Calibri" w:hAnsi="Calibri" w:cs="Calibri"/>
        </w:rPr>
        <w:tab/>
        <w:t xml:space="preserve">Suffel AM, Walker JL, Williamson E, McDonald HI, Warren-Gash C. Timeliness of childhood vaccination in England: A population-based cohort study. Vaccine. 2023 Sep;41(39):5775–81. </w:t>
      </w:r>
    </w:p>
    <w:p w14:paraId="703C7792" w14:textId="2938FA8C" w:rsidR="00750DF7" w:rsidRPr="00827DE5" w:rsidRDefault="00360003" w:rsidP="006C601C">
      <w:r w:rsidRPr="00827DE5">
        <w:fldChar w:fldCharType="end"/>
      </w:r>
    </w:p>
    <w:sectPr w:rsidR="00750DF7" w:rsidRPr="00827D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E6053"/>
    <w:multiLevelType w:val="hybridMultilevel"/>
    <w:tmpl w:val="C61801B6"/>
    <w:lvl w:ilvl="0" w:tplc="13609B0C">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10332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95DA6"/>
    <w:rsid w:val="00001339"/>
    <w:rsid w:val="00003589"/>
    <w:rsid w:val="00007D08"/>
    <w:rsid w:val="00014C13"/>
    <w:rsid w:val="00021B51"/>
    <w:rsid w:val="00031405"/>
    <w:rsid w:val="00035C09"/>
    <w:rsid w:val="00044CAD"/>
    <w:rsid w:val="000474BB"/>
    <w:rsid w:val="00047D48"/>
    <w:rsid w:val="00050A29"/>
    <w:rsid w:val="000515D8"/>
    <w:rsid w:val="00053DB9"/>
    <w:rsid w:val="00054BA8"/>
    <w:rsid w:val="00055082"/>
    <w:rsid w:val="0005621A"/>
    <w:rsid w:val="00056CEB"/>
    <w:rsid w:val="00060899"/>
    <w:rsid w:val="000763AC"/>
    <w:rsid w:val="000763EC"/>
    <w:rsid w:val="0007659E"/>
    <w:rsid w:val="0008068A"/>
    <w:rsid w:val="00085937"/>
    <w:rsid w:val="0009352E"/>
    <w:rsid w:val="0009615E"/>
    <w:rsid w:val="00096991"/>
    <w:rsid w:val="000A443D"/>
    <w:rsid w:val="000B6996"/>
    <w:rsid w:val="000D3917"/>
    <w:rsid w:val="000D4900"/>
    <w:rsid w:val="000D54E3"/>
    <w:rsid w:val="000E001A"/>
    <w:rsid w:val="000E1770"/>
    <w:rsid w:val="000E6345"/>
    <w:rsid w:val="000F0AE3"/>
    <w:rsid w:val="00112CAA"/>
    <w:rsid w:val="001155EE"/>
    <w:rsid w:val="001215F7"/>
    <w:rsid w:val="001309D6"/>
    <w:rsid w:val="00142BF0"/>
    <w:rsid w:val="00150968"/>
    <w:rsid w:val="001517DD"/>
    <w:rsid w:val="00153089"/>
    <w:rsid w:val="001538E4"/>
    <w:rsid w:val="0015746F"/>
    <w:rsid w:val="001640A9"/>
    <w:rsid w:val="001674F5"/>
    <w:rsid w:val="00183679"/>
    <w:rsid w:val="001932F1"/>
    <w:rsid w:val="001952A2"/>
    <w:rsid w:val="0019621F"/>
    <w:rsid w:val="001B39BE"/>
    <w:rsid w:val="001B4C99"/>
    <w:rsid w:val="001C3C74"/>
    <w:rsid w:val="001C4788"/>
    <w:rsid w:val="001C4B07"/>
    <w:rsid w:val="001C5036"/>
    <w:rsid w:val="001D75E9"/>
    <w:rsid w:val="001E04CC"/>
    <w:rsid w:val="001E0BB3"/>
    <w:rsid w:val="0021001A"/>
    <w:rsid w:val="00212ABF"/>
    <w:rsid w:val="00216BC1"/>
    <w:rsid w:val="002178D2"/>
    <w:rsid w:val="00231CE6"/>
    <w:rsid w:val="00234493"/>
    <w:rsid w:val="00241216"/>
    <w:rsid w:val="00254E34"/>
    <w:rsid w:val="00257402"/>
    <w:rsid w:val="0026217B"/>
    <w:rsid w:val="002640B2"/>
    <w:rsid w:val="00277458"/>
    <w:rsid w:val="00280FF5"/>
    <w:rsid w:val="002875C2"/>
    <w:rsid w:val="002919B5"/>
    <w:rsid w:val="002A13AB"/>
    <w:rsid w:val="002A1565"/>
    <w:rsid w:val="002B4715"/>
    <w:rsid w:val="002C063D"/>
    <w:rsid w:val="002C3349"/>
    <w:rsid w:val="002D2522"/>
    <w:rsid w:val="002D5A3F"/>
    <w:rsid w:val="002E19BD"/>
    <w:rsid w:val="002E1B0E"/>
    <w:rsid w:val="002F0FBF"/>
    <w:rsid w:val="002F1A2C"/>
    <w:rsid w:val="00307640"/>
    <w:rsid w:val="00313050"/>
    <w:rsid w:val="00317DA8"/>
    <w:rsid w:val="003231E7"/>
    <w:rsid w:val="00324E04"/>
    <w:rsid w:val="00325D12"/>
    <w:rsid w:val="00333FBC"/>
    <w:rsid w:val="003350D0"/>
    <w:rsid w:val="00352608"/>
    <w:rsid w:val="00360003"/>
    <w:rsid w:val="00366C9D"/>
    <w:rsid w:val="00366DAE"/>
    <w:rsid w:val="00373006"/>
    <w:rsid w:val="003748E6"/>
    <w:rsid w:val="00375965"/>
    <w:rsid w:val="00380767"/>
    <w:rsid w:val="00383B65"/>
    <w:rsid w:val="003843E4"/>
    <w:rsid w:val="003920C0"/>
    <w:rsid w:val="003A71C8"/>
    <w:rsid w:val="003B0AB4"/>
    <w:rsid w:val="003B1AB7"/>
    <w:rsid w:val="003D74B3"/>
    <w:rsid w:val="003E1CBB"/>
    <w:rsid w:val="003F0DC3"/>
    <w:rsid w:val="004014DC"/>
    <w:rsid w:val="00410F14"/>
    <w:rsid w:val="00413B51"/>
    <w:rsid w:val="004170B6"/>
    <w:rsid w:val="00422BB8"/>
    <w:rsid w:val="004230DD"/>
    <w:rsid w:val="00433AD8"/>
    <w:rsid w:val="00436731"/>
    <w:rsid w:val="00452E98"/>
    <w:rsid w:val="00454475"/>
    <w:rsid w:val="00455C1E"/>
    <w:rsid w:val="00455DC0"/>
    <w:rsid w:val="0045779B"/>
    <w:rsid w:val="00460017"/>
    <w:rsid w:val="00472950"/>
    <w:rsid w:val="0047708F"/>
    <w:rsid w:val="0048343A"/>
    <w:rsid w:val="0049016F"/>
    <w:rsid w:val="004908AB"/>
    <w:rsid w:val="00491D01"/>
    <w:rsid w:val="004A1055"/>
    <w:rsid w:val="004A711C"/>
    <w:rsid w:val="004B17F0"/>
    <w:rsid w:val="004C336A"/>
    <w:rsid w:val="004C4561"/>
    <w:rsid w:val="004C7425"/>
    <w:rsid w:val="004D1062"/>
    <w:rsid w:val="004D2895"/>
    <w:rsid w:val="004D3148"/>
    <w:rsid w:val="004D75AE"/>
    <w:rsid w:val="004F506A"/>
    <w:rsid w:val="00502B01"/>
    <w:rsid w:val="00503F0A"/>
    <w:rsid w:val="005052B2"/>
    <w:rsid w:val="00512CF7"/>
    <w:rsid w:val="005130B1"/>
    <w:rsid w:val="0052269D"/>
    <w:rsid w:val="00524196"/>
    <w:rsid w:val="00531526"/>
    <w:rsid w:val="00535681"/>
    <w:rsid w:val="005362A4"/>
    <w:rsid w:val="00537DD5"/>
    <w:rsid w:val="005423BC"/>
    <w:rsid w:val="005509D0"/>
    <w:rsid w:val="00557906"/>
    <w:rsid w:val="00560320"/>
    <w:rsid w:val="00567BB2"/>
    <w:rsid w:val="0057125D"/>
    <w:rsid w:val="0058146A"/>
    <w:rsid w:val="0058419D"/>
    <w:rsid w:val="00584A40"/>
    <w:rsid w:val="00585857"/>
    <w:rsid w:val="00592DF7"/>
    <w:rsid w:val="005A0A05"/>
    <w:rsid w:val="005B0145"/>
    <w:rsid w:val="005B0D08"/>
    <w:rsid w:val="005B6309"/>
    <w:rsid w:val="005C3332"/>
    <w:rsid w:val="005D00ED"/>
    <w:rsid w:val="005D244A"/>
    <w:rsid w:val="005D303D"/>
    <w:rsid w:val="005D7B96"/>
    <w:rsid w:val="005F08BA"/>
    <w:rsid w:val="005F2FF1"/>
    <w:rsid w:val="005F3141"/>
    <w:rsid w:val="0062053E"/>
    <w:rsid w:val="00633BEF"/>
    <w:rsid w:val="0063485C"/>
    <w:rsid w:val="00635A47"/>
    <w:rsid w:val="00636165"/>
    <w:rsid w:val="00637E57"/>
    <w:rsid w:val="00647145"/>
    <w:rsid w:val="006573D7"/>
    <w:rsid w:val="0066347F"/>
    <w:rsid w:val="00666911"/>
    <w:rsid w:val="00675190"/>
    <w:rsid w:val="006814C3"/>
    <w:rsid w:val="006842DC"/>
    <w:rsid w:val="006942FF"/>
    <w:rsid w:val="00697B53"/>
    <w:rsid w:val="00697F8A"/>
    <w:rsid w:val="006A1124"/>
    <w:rsid w:val="006B092A"/>
    <w:rsid w:val="006B38C1"/>
    <w:rsid w:val="006C4049"/>
    <w:rsid w:val="006C48F2"/>
    <w:rsid w:val="006C601C"/>
    <w:rsid w:val="006D1D05"/>
    <w:rsid w:val="006D4595"/>
    <w:rsid w:val="006D5E16"/>
    <w:rsid w:val="006D764C"/>
    <w:rsid w:val="006E1122"/>
    <w:rsid w:val="006E1ECA"/>
    <w:rsid w:val="006E2AAE"/>
    <w:rsid w:val="006F027A"/>
    <w:rsid w:val="006F1317"/>
    <w:rsid w:val="006F1E40"/>
    <w:rsid w:val="006F7F6A"/>
    <w:rsid w:val="007005FD"/>
    <w:rsid w:val="00702F2A"/>
    <w:rsid w:val="007036DB"/>
    <w:rsid w:val="00710B2B"/>
    <w:rsid w:val="00715348"/>
    <w:rsid w:val="007158E3"/>
    <w:rsid w:val="007266B9"/>
    <w:rsid w:val="00734632"/>
    <w:rsid w:val="00735496"/>
    <w:rsid w:val="00740DEE"/>
    <w:rsid w:val="007429C4"/>
    <w:rsid w:val="00747470"/>
    <w:rsid w:val="00750DF7"/>
    <w:rsid w:val="00752BAF"/>
    <w:rsid w:val="00761403"/>
    <w:rsid w:val="007650C1"/>
    <w:rsid w:val="0076705E"/>
    <w:rsid w:val="00783C3A"/>
    <w:rsid w:val="00790B6A"/>
    <w:rsid w:val="007939A1"/>
    <w:rsid w:val="00796D10"/>
    <w:rsid w:val="007A03D3"/>
    <w:rsid w:val="007A6D86"/>
    <w:rsid w:val="007B4ED9"/>
    <w:rsid w:val="007B7354"/>
    <w:rsid w:val="007C0B40"/>
    <w:rsid w:val="007C4ECE"/>
    <w:rsid w:val="007E0CAE"/>
    <w:rsid w:val="007E201E"/>
    <w:rsid w:val="007E68C5"/>
    <w:rsid w:val="007F651F"/>
    <w:rsid w:val="007F79B3"/>
    <w:rsid w:val="007F7C10"/>
    <w:rsid w:val="00800BA8"/>
    <w:rsid w:val="00801375"/>
    <w:rsid w:val="00805570"/>
    <w:rsid w:val="00807091"/>
    <w:rsid w:val="00815F2D"/>
    <w:rsid w:val="00817C13"/>
    <w:rsid w:val="00822F66"/>
    <w:rsid w:val="008272B9"/>
    <w:rsid w:val="00827DE5"/>
    <w:rsid w:val="00830634"/>
    <w:rsid w:val="00843E5B"/>
    <w:rsid w:val="008457B1"/>
    <w:rsid w:val="00845E79"/>
    <w:rsid w:val="0085210E"/>
    <w:rsid w:val="00862391"/>
    <w:rsid w:val="0086658C"/>
    <w:rsid w:val="008671E5"/>
    <w:rsid w:val="0088244B"/>
    <w:rsid w:val="0088737E"/>
    <w:rsid w:val="008A71B3"/>
    <w:rsid w:val="008B2D92"/>
    <w:rsid w:val="008B5D75"/>
    <w:rsid w:val="008C0AC9"/>
    <w:rsid w:val="008C22DF"/>
    <w:rsid w:val="008C5D31"/>
    <w:rsid w:val="008D57C6"/>
    <w:rsid w:val="008E2B93"/>
    <w:rsid w:val="008E4DDB"/>
    <w:rsid w:val="008E6242"/>
    <w:rsid w:val="008F1DE8"/>
    <w:rsid w:val="008F5AAD"/>
    <w:rsid w:val="009065AB"/>
    <w:rsid w:val="009209F9"/>
    <w:rsid w:val="0092117E"/>
    <w:rsid w:val="00922240"/>
    <w:rsid w:val="00926C9F"/>
    <w:rsid w:val="009334A1"/>
    <w:rsid w:val="00936AA3"/>
    <w:rsid w:val="009404D9"/>
    <w:rsid w:val="00940C7D"/>
    <w:rsid w:val="00942CEE"/>
    <w:rsid w:val="0094649C"/>
    <w:rsid w:val="009539CD"/>
    <w:rsid w:val="00961AF3"/>
    <w:rsid w:val="009653C6"/>
    <w:rsid w:val="00965842"/>
    <w:rsid w:val="009711E3"/>
    <w:rsid w:val="00973495"/>
    <w:rsid w:val="00974384"/>
    <w:rsid w:val="009759A4"/>
    <w:rsid w:val="009909ED"/>
    <w:rsid w:val="009945A8"/>
    <w:rsid w:val="00996C3D"/>
    <w:rsid w:val="009A11AC"/>
    <w:rsid w:val="009B005D"/>
    <w:rsid w:val="009B0BBC"/>
    <w:rsid w:val="009B209B"/>
    <w:rsid w:val="009C4C0C"/>
    <w:rsid w:val="009C6CB7"/>
    <w:rsid w:val="009D2FC5"/>
    <w:rsid w:val="009D5406"/>
    <w:rsid w:val="009E228F"/>
    <w:rsid w:val="009E3C5E"/>
    <w:rsid w:val="009E7827"/>
    <w:rsid w:val="009F6985"/>
    <w:rsid w:val="009F733D"/>
    <w:rsid w:val="00A03FE9"/>
    <w:rsid w:val="00A10CE7"/>
    <w:rsid w:val="00A14C6C"/>
    <w:rsid w:val="00A219F8"/>
    <w:rsid w:val="00A228EB"/>
    <w:rsid w:val="00A26DF6"/>
    <w:rsid w:val="00A313D0"/>
    <w:rsid w:val="00A315EA"/>
    <w:rsid w:val="00A44518"/>
    <w:rsid w:val="00A446BE"/>
    <w:rsid w:val="00A76F93"/>
    <w:rsid w:val="00A85C6D"/>
    <w:rsid w:val="00A865BD"/>
    <w:rsid w:val="00AA14CA"/>
    <w:rsid w:val="00AA478F"/>
    <w:rsid w:val="00AA5BD0"/>
    <w:rsid w:val="00AB465D"/>
    <w:rsid w:val="00AC456D"/>
    <w:rsid w:val="00AC5052"/>
    <w:rsid w:val="00AC58D0"/>
    <w:rsid w:val="00AC5D84"/>
    <w:rsid w:val="00AE478F"/>
    <w:rsid w:val="00AE533B"/>
    <w:rsid w:val="00AE720E"/>
    <w:rsid w:val="00AF60B1"/>
    <w:rsid w:val="00B029F4"/>
    <w:rsid w:val="00B11F06"/>
    <w:rsid w:val="00B122EE"/>
    <w:rsid w:val="00B21D99"/>
    <w:rsid w:val="00B277EE"/>
    <w:rsid w:val="00B442F0"/>
    <w:rsid w:val="00B57ADC"/>
    <w:rsid w:val="00B57B0E"/>
    <w:rsid w:val="00B61933"/>
    <w:rsid w:val="00B62260"/>
    <w:rsid w:val="00B738CC"/>
    <w:rsid w:val="00B77D7B"/>
    <w:rsid w:val="00B814DF"/>
    <w:rsid w:val="00B81D65"/>
    <w:rsid w:val="00B84E9D"/>
    <w:rsid w:val="00B91827"/>
    <w:rsid w:val="00B918A4"/>
    <w:rsid w:val="00B9673B"/>
    <w:rsid w:val="00BA37FA"/>
    <w:rsid w:val="00BB1969"/>
    <w:rsid w:val="00BB2337"/>
    <w:rsid w:val="00BB56CC"/>
    <w:rsid w:val="00BC0248"/>
    <w:rsid w:val="00BC7994"/>
    <w:rsid w:val="00BD2565"/>
    <w:rsid w:val="00BD3439"/>
    <w:rsid w:val="00BE162F"/>
    <w:rsid w:val="00BE488F"/>
    <w:rsid w:val="00BE4993"/>
    <w:rsid w:val="00BF3A8C"/>
    <w:rsid w:val="00BF3BBF"/>
    <w:rsid w:val="00C015B7"/>
    <w:rsid w:val="00C018DF"/>
    <w:rsid w:val="00C03854"/>
    <w:rsid w:val="00C075EF"/>
    <w:rsid w:val="00C07E93"/>
    <w:rsid w:val="00C1408C"/>
    <w:rsid w:val="00C22CF3"/>
    <w:rsid w:val="00C415BB"/>
    <w:rsid w:val="00C47E83"/>
    <w:rsid w:val="00C50192"/>
    <w:rsid w:val="00C51923"/>
    <w:rsid w:val="00C52DA2"/>
    <w:rsid w:val="00C552DB"/>
    <w:rsid w:val="00C5563B"/>
    <w:rsid w:val="00C56D10"/>
    <w:rsid w:val="00C70250"/>
    <w:rsid w:val="00C71661"/>
    <w:rsid w:val="00C95192"/>
    <w:rsid w:val="00CA03DE"/>
    <w:rsid w:val="00CB77F6"/>
    <w:rsid w:val="00CC281C"/>
    <w:rsid w:val="00CC3D3B"/>
    <w:rsid w:val="00CC758A"/>
    <w:rsid w:val="00CD09E8"/>
    <w:rsid w:val="00CE2CC6"/>
    <w:rsid w:val="00CE389D"/>
    <w:rsid w:val="00CE46D9"/>
    <w:rsid w:val="00CF09B3"/>
    <w:rsid w:val="00CF194F"/>
    <w:rsid w:val="00CF2E7D"/>
    <w:rsid w:val="00CF7A84"/>
    <w:rsid w:val="00D0312D"/>
    <w:rsid w:val="00D0397F"/>
    <w:rsid w:val="00D13ACE"/>
    <w:rsid w:val="00D327AB"/>
    <w:rsid w:val="00D36D28"/>
    <w:rsid w:val="00D42D79"/>
    <w:rsid w:val="00D51512"/>
    <w:rsid w:val="00D55488"/>
    <w:rsid w:val="00D62B4E"/>
    <w:rsid w:val="00D63CCE"/>
    <w:rsid w:val="00D7391F"/>
    <w:rsid w:val="00D901A8"/>
    <w:rsid w:val="00D92E4B"/>
    <w:rsid w:val="00D947A6"/>
    <w:rsid w:val="00DA3FA3"/>
    <w:rsid w:val="00DA735C"/>
    <w:rsid w:val="00DA7F14"/>
    <w:rsid w:val="00DB2ED3"/>
    <w:rsid w:val="00DB56A0"/>
    <w:rsid w:val="00DC480E"/>
    <w:rsid w:val="00DC55DA"/>
    <w:rsid w:val="00DC7199"/>
    <w:rsid w:val="00DD5F5C"/>
    <w:rsid w:val="00DE487B"/>
    <w:rsid w:val="00DE6878"/>
    <w:rsid w:val="00DF07C2"/>
    <w:rsid w:val="00DF1F46"/>
    <w:rsid w:val="00DF3AA7"/>
    <w:rsid w:val="00E01CBF"/>
    <w:rsid w:val="00E04431"/>
    <w:rsid w:val="00E20D3A"/>
    <w:rsid w:val="00E210A5"/>
    <w:rsid w:val="00E22519"/>
    <w:rsid w:val="00E317D3"/>
    <w:rsid w:val="00E35070"/>
    <w:rsid w:val="00E62F1D"/>
    <w:rsid w:val="00E74BEC"/>
    <w:rsid w:val="00E76C4C"/>
    <w:rsid w:val="00E7724D"/>
    <w:rsid w:val="00E8437F"/>
    <w:rsid w:val="00E95DA6"/>
    <w:rsid w:val="00E96682"/>
    <w:rsid w:val="00EA2349"/>
    <w:rsid w:val="00EA6097"/>
    <w:rsid w:val="00EA7AB2"/>
    <w:rsid w:val="00EC37DD"/>
    <w:rsid w:val="00EC6E8C"/>
    <w:rsid w:val="00ED2ECC"/>
    <w:rsid w:val="00ED3211"/>
    <w:rsid w:val="00EE6D6F"/>
    <w:rsid w:val="00EF03E9"/>
    <w:rsid w:val="00EF19F4"/>
    <w:rsid w:val="00EF1A51"/>
    <w:rsid w:val="00F027EC"/>
    <w:rsid w:val="00F14A48"/>
    <w:rsid w:val="00F15E14"/>
    <w:rsid w:val="00F22564"/>
    <w:rsid w:val="00F339B1"/>
    <w:rsid w:val="00F37106"/>
    <w:rsid w:val="00F407DA"/>
    <w:rsid w:val="00F417B7"/>
    <w:rsid w:val="00F41D85"/>
    <w:rsid w:val="00F46F5F"/>
    <w:rsid w:val="00F54ECF"/>
    <w:rsid w:val="00F64375"/>
    <w:rsid w:val="00F670B0"/>
    <w:rsid w:val="00F7381C"/>
    <w:rsid w:val="00F7758A"/>
    <w:rsid w:val="00F83C09"/>
    <w:rsid w:val="00F87438"/>
    <w:rsid w:val="00F91D95"/>
    <w:rsid w:val="00F92256"/>
    <w:rsid w:val="00F927A7"/>
    <w:rsid w:val="00F942CB"/>
    <w:rsid w:val="00F96784"/>
    <w:rsid w:val="00FA20D2"/>
    <w:rsid w:val="00FA2321"/>
    <w:rsid w:val="00FC0274"/>
    <w:rsid w:val="00FC1281"/>
    <w:rsid w:val="00FC21E8"/>
    <w:rsid w:val="00FC2A84"/>
    <w:rsid w:val="00FD4A4B"/>
    <w:rsid w:val="00FD5F25"/>
    <w:rsid w:val="00FE07BA"/>
    <w:rsid w:val="00FE0B27"/>
    <w:rsid w:val="00FE1BE9"/>
    <w:rsid w:val="00FE5D5E"/>
    <w:rsid w:val="00FF5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CE4A0"/>
  <w15:docId w15:val="{0B62B259-8A66-4835-837E-04C0F6E36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01C"/>
    <w:pPr>
      <w:jc w:val="both"/>
    </w:pPr>
    <w:rPr>
      <w:rFonts w:eastAsiaTheme="minorEastAsia"/>
    </w:rPr>
  </w:style>
  <w:style w:type="paragraph" w:styleId="Heading1">
    <w:name w:val="heading 1"/>
    <w:basedOn w:val="Normal"/>
    <w:next w:val="Normal"/>
    <w:link w:val="Heading1Char"/>
    <w:uiPriority w:val="9"/>
    <w:qFormat/>
    <w:rsid w:val="00E95D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3C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1C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F2E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5D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5DA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95D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31CE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9209F9"/>
    <w:rPr>
      <w:sz w:val="16"/>
      <w:szCs w:val="16"/>
    </w:rPr>
  </w:style>
  <w:style w:type="paragraph" w:styleId="CommentText">
    <w:name w:val="annotation text"/>
    <w:basedOn w:val="Normal"/>
    <w:link w:val="CommentTextChar"/>
    <w:uiPriority w:val="99"/>
    <w:unhideWhenUsed/>
    <w:rsid w:val="009209F9"/>
    <w:pPr>
      <w:spacing w:line="240" w:lineRule="auto"/>
    </w:pPr>
    <w:rPr>
      <w:sz w:val="20"/>
      <w:szCs w:val="20"/>
    </w:rPr>
  </w:style>
  <w:style w:type="character" w:customStyle="1" w:styleId="CommentTextChar">
    <w:name w:val="Comment Text Char"/>
    <w:basedOn w:val="DefaultParagraphFont"/>
    <w:link w:val="CommentText"/>
    <w:uiPriority w:val="99"/>
    <w:rsid w:val="009209F9"/>
    <w:rPr>
      <w:sz w:val="20"/>
      <w:szCs w:val="20"/>
    </w:rPr>
  </w:style>
  <w:style w:type="table" w:styleId="TableGrid">
    <w:name w:val="Table Grid"/>
    <w:basedOn w:val="TableNormal"/>
    <w:uiPriority w:val="39"/>
    <w:rsid w:val="00920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F2E7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5509D0"/>
    <w:pPr>
      <w:numPr>
        <w:numId w:val="1"/>
      </w:numPr>
      <w:contextualSpacing/>
    </w:pPr>
    <w:rPr>
      <w:rFonts w:cstheme="minorHAnsi"/>
      <w:iCs/>
    </w:rPr>
  </w:style>
  <w:style w:type="character" w:customStyle="1" w:styleId="Heading2Char">
    <w:name w:val="Heading 2 Char"/>
    <w:basedOn w:val="DefaultParagraphFont"/>
    <w:link w:val="Heading2"/>
    <w:uiPriority w:val="9"/>
    <w:rsid w:val="00783C3A"/>
    <w:rPr>
      <w:rFonts w:asciiTheme="majorHAnsi" w:eastAsiaTheme="majorEastAsia" w:hAnsiTheme="majorHAnsi" w:cstheme="majorBidi"/>
      <w:color w:val="2F5496" w:themeColor="accent1" w:themeShade="BF"/>
      <w:sz w:val="26"/>
      <w:szCs w:val="26"/>
    </w:rPr>
  </w:style>
  <w:style w:type="paragraph" w:styleId="Bibliography">
    <w:name w:val="Bibliography"/>
    <w:basedOn w:val="Normal"/>
    <w:next w:val="Normal"/>
    <w:uiPriority w:val="37"/>
    <w:unhideWhenUsed/>
    <w:rsid w:val="00360003"/>
    <w:pPr>
      <w:tabs>
        <w:tab w:val="left" w:pos="264"/>
      </w:tabs>
      <w:spacing w:after="240" w:line="240" w:lineRule="auto"/>
      <w:ind w:left="264" w:hanging="264"/>
    </w:pPr>
  </w:style>
  <w:style w:type="paragraph" w:styleId="CommentSubject">
    <w:name w:val="annotation subject"/>
    <w:basedOn w:val="CommentText"/>
    <w:next w:val="CommentText"/>
    <w:link w:val="CommentSubjectChar"/>
    <w:uiPriority w:val="99"/>
    <w:semiHidden/>
    <w:unhideWhenUsed/>
    <w:rsid w:val="006C601C"/>
    <w:rPr>
      <w:b/>
      <w:bCs/>
    </w:rPr>
  </w:style>
  <w:style w:type="character" w:customStyle="1" w:styleId="CommentSubjectChar">
    <w:name w:val="Comment Subject Char"/>
    <w:basedOn w:val="CommentTextChar"/>
    <w:link w:val="CommentSubject"/>
    <w:uiPriority w:val="99"/>
    <w:semiHidden/>
    <w:rsid w:val="006C601C"/>
    <w:rPr>
      <w:rFonts w:eastAsiaTheme="minorEastAsia"/>
      <w:b/>
      <w:bCs/>
      <w:sz w:val="20"/>
      <w:szCs w:val="20"/>
    </w:rPr>
  </w:style>
  <w:style w:type="paragraph" w:customStyle="1" w:styleId="paragraph">
    <w:name w:val="paragraph"/>
    <w:basedOn w:val="Normal"/>
    <w:rsid w:val="00491D01"/>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491D01"/>
  </w:style>
  <w:style w:type="character" w:customStyle="1" w:styleId="eop">
    <w:name w:val="eop"/>
    <w:basedOn w:val="DefaultParagraphFont"/>
    <w:rsid w:val="00491D01"/>
  </w:style>
  <w:style w:type="character" w:styleId="PlaceholderText">
    <w:name w:val="Placeholder Text"/>
    <w:basedOn w:val="DefaultParagraphFont"/>
    <w:uiPriority w:val="99"/>
    <w:semiHidden/>
    <w:rsid w:val="00035C09"/>
    <w:rPr>
      <w:color w:val="666666"/>
    </w:rPr>
  </w:style>
  <w:style w:type="paragraph" w:styleId="TOCHeading">
    <w:name w:val="TOC Heading"/>
    <w:basedOn w:val="Heading1"/>
    <w:next w:val="Normal"/>
    <w:uiPriority w:val="39"/>
    <w:unhideWhenUsed/>
    <w:qFormat/>
    <w:rsid w:val="001D75E9"/>
    <w:pPr>
      <w:jc w:val="left"/>
      <w:outlineLvl w:val="9"/>
    </w:pPr>
    <w:rPr>
      <w:kern w:val="0"/>
      <w:lang w:val="en-US"/>
      <w14:ligatures w14:val="none"/>
    </w:rPr>
  </w:style>
  <w:style w:type="paragraph" w:styleId="TOC1">
    <w:name w:val="toc 1"/>
    <w:basedOn w:val="Normal"/>
    <w:next w:val="Normal"/>
    <w:autoRedefine/>
    <w:uiPriority w:val="39"/>
    <w:unhideWhenUsed/>
    <w:rsid w:val="001D75E9"/>
    <w:pPr>
      <w:spacing w:after="100"/>
    </w:pPr>
  </w:style>
  <w:style w:type="paragraph" w:styleId="TOC3">
    <w:name w:val="toc 3"/>
    <w:basedOn w:val="Normal"/>
    <w:next w:val="Normal"/>
    <w:autoRedefine/>
    <w:uiPriority w:val="39"/>
    <w:unhideWhenUsed/>
    <w:rsid w:val="001D75E9"/>
    <w:pPr>
      <w:spacing w:after="100"/>
      <w:ind w:left="440"/>
    </w:pPr>
  </w:style>
  <w:style w:type="paragraph" w:styleId="TOC2">
    <w:name w:val="toc 2"/>
    <w:basedOn w:val="Normal"/>
    <w:next w:val="Normal"/>
    <w:autoRedefine/>
    <w:uiPriority w:val="39"/>
    <w:unhideWhenUsed/>
    <w:rsid w:val="001D75E9"/>
    <w:pPr>
      <w:spacing w:after="100"/>
      <w:ind w:left="220"/>
    </w:pPr>
  </w:style>
  <w:style w:type="character" w:styleId="Hyperlink">
    <w:name w:val="Hyperlink"/>
    <w:basedOn w:val="DefaultParagraphFont"/>
    <w:uiPriority w:val="99"/>
    <w:unhideWhenUsed/>
    <w:rsid w:val="001D75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234452">
      <w:bodyDiv w:val="1"/>
      <w:marLeft w:val="0"/>
      <w:marRight w:val="0"/>
      <w:marTop w:val="0"/>
      <w:marBottom w:val="0"/>
      <w:divBdr>
        <w:top w:val="none" w:sz="0" w:space="0" w:color="auto"/>
        <w:left w:val="none" w:sz="0" w:space="0" w:color="auto"/>
        <w:bottom w:val="none" w:sz="0" w:space="0" w:color="auto"/>
        <w:right w:val="none" w:sz="0" w:space="0" w:color="auto"/>
      </w:divBdr>
    </w:div>
    <w:div w:id="1380397119">
      <w:bodyDiv w:val="1"/>
      <w:marLeft w:val="0"/>
      <w:marRight w:val="0"/>
      <w:marTop w:val="0"/>
      <w:marBottom w:val="0"/>
      <w:divBdr>
        <w:top w:val="none" w:sz="0" w:space="0" w:color="auto"/>
        <w:left w:val="none" w:sz="0" w:space="0" w:color="auto"/>
        <w:bottom w:val="none" w:sz="0" w:space="0" w:color="auto"/>
        <w:right w:val="none" w:sz="0" w:space="0" w:color="auto"/>
      </w:divBdr>
    </w:div>
    <w:div w:id="1380933464">
      <w:bodyDiv w:val="1"/>
      <w:marLeft w:val="0"/>
      <w:marRight w:val="0"/>
      <w:marTop w:val="0"/>
      <w:marBottom w:val="0"/>
      <w:divBdr>
        <w:top w:val="none" w:sz="0" w:space="0" w:color="auto"/>
        <w:left w:val="none" w:sz="0" w:space="0" w:color="auto"/>
        <w:bottom w:val="none" w:sz="0" w:space="0" w:color="auto"/>
        <w:right w:val="none" w:sz="0" w:space="0" w:color="auto"/>
      </w:divBdr>
    </w:div>
    <w:div w:id="1513957280">
      <w:bodyDiv w:val="1"/>
      <w:marLeft w:val="0"/>
      <w:marRight w:val="0"/>
      <w:marTop w:val="0"/>
      <w:marBottom w:val="0"/>
      <w:divBdr>
        <w:top w:val="none" w:sz="0" w:space="0" w:color="auto"/>
        <w:left w:val="none" w:sz="0" w:space="0" w:color="auto"/>
        <w:bottom w:val="none" w:sz="0" w:space="0" w:color="auto"/>
        <w:right w:val="none" w:sz="0" w:space="0" w:color="auto"/>
      </w:divBdr>
      <w:divsChild>
        <w:div w:id="584922987">
          <w:marLeft w:val="0"/>
          <w:marRight w:val="0"/>
          <w:marTop w:val="0"/>
          <w:marBottom w:val="0"/>
          <w:divBdr>
            <w:top w:val="none" w:sz="0" w:space="0" w:color="auto"/>
            <w:left w:val="none" w:sz="0" w:space="0" w:color="auto"/>
            <w:bottom w:val="none" w:sz="0" w:space="0" w:color="auto"/>
            <w:right w:val="none" w:sz="0" w:space="0" w:color="auto"/>
          </w:divBdr>
          <w:divsChild>
            <w:div w:id="1551041594">
              <w:marLeft w:val="0"/>
              <w:marRight w:val="0"/>
              <w:marTop w:val="0"/>
              <w:marBottom w:val="0"/>
              <w:divBdr>
                <w:top w:val="none" w:sz="0" w:space="0" w:color="auto"/>
                <w:left w:val="none" w:sz="0" w:space="0" w:color="auto"/>
                <w:bottom w:val="none" w:sz="0" w:space="0" w:color="auto"/>
                <w:right w:val="none" w:sz="0" w:space="0" w:color="auto"/>
              </w:divBdr>
              <w:divsChild>
                <w:div w:id="2137674900">
                  <w:marLeft w:val="0"/>
                  <w:marRight w:val="0"/>
                  <w:marTop w:val="0"/>
                  <w:marBottom w:val="0"/>
                  <w:divBdr>
                    <w:top w:val="none" w:sz="0" w:space="0" w:color="auto"/>
                    <w:left w:val="none" w:sz="0" w:space="0" w:color="auto"/>
                    <w:bottom w:val="none" w:sz="0" w:space="0" w:color="auto"/>
                    <w:right w:val="none" w:sz="0" w:space="0" w:color="auto"/>
                  </w:divBdr>
                  <w:divsChild>
                    <w:div w:id="1658991983">
                      <w:marLeft w:val="0"/>
                      <w:marRight w:val="0"/>
                      <w:marTop w:val="0"/>
                      <w:marBottom w:val="0"/>
                      <w:divBdr>
                        <w:top w:val="none" w:sz="0" w:space="0" w:color="auto"/>
                        <w:left w:val="none" w:sz="0" w:space="0" w:color="auto"/>
                        <w:bottom w:val="none" w:sz="0" w:space="0" w:color="auto"/>
                        <w:right w:val="none" w:sz="0" w:space="0" w:color="auto"/>
                      </w:divBdr>
                      <w:divsChild>
                        <w:div w:id="2006012202">
                          <w:marLeft w:val="0"/>
                          <w:marRight w:val="0"/>
                          <w:marTop w:val="0"/>
                          <w:marBottom w:val="0"/>
                          <w:divBdr>
                            <w:top w:val="none" w:sz="0" w:space="0" w:color="auto"/>
                            <w:left w:val="none" w:sz="0" w:space="0" w:color="auto"/>
                            <w:bottom w:val="none" w:sz="0" w:space="0" w:color="auto"/>
                            <w:right w:val="none" w:sz="0" w:space="0" w:color="auto"/>
                          </w:divBdr>
                          <w:divsChild>
                            <w:div w:id="1145002187">
                              <w:marLeft w:val="-240"/>
                              <w:marRight w:val="-120"/>
                              <w:marTop w:val="0"/>
                              <w:marBottom w:val="0"/>
                              <w:divBdr>
                                <w:top w:val="none" w:sz="0" w:space="0" w:color="auto"/>
                                <w:left w:val="none" w:sz="0" w:space="0" w:color="auto"/>
                                <w:bottom w:val="none" w:sz="0" w:space="0" w:color="auto"/>
                                <w:right w:val="none" w:sz="0" w:space="0" w:color="auto"/>
                              </w:divBdr>
                              <w:divsChild>
                                <w:div w:id="416052054">
                                  <w:marLeft w:val="0"/>
                                  <w:marRight w:val="0"/>
                                  <w:marTop w:val="0"/>
                                  <w:marBottom w:val="60"/>
                                  <w:divBdr>
                                    <w:top w:val="none" w:sz="0" w:space="0" w:color="auto"/>
                                    <w:left w:val="none" w:sz="0" w:space="0" w:color="auto"/>
                                    <w:bottom w:val="none" w:sz="0" w:space="0" w:color="auto"/>
                                    <w:right w:val="none" w:sz="0" w:space="0" w:color="auto"/>
                                  </w:divBdr>
                                  <w:divsChild>
                                    <w:div w:id="2054882728">
                                      <w:marLeft w:val="0"/>
                                      <w:marRight w:val="0"/>
                                      <w:marTop w:val="0"/>
                                      <w:marBottom w:val="0"/>
                                      <w:divBdr>
                                        <w:top w:val="none" w:sz="0" w:space="0" w:color="auto"/>
                                        <w:left w:val="none" w:sz="0" w:space="0" w:color="auto"/>
                                        <w:bottom w:val="none" w:sz="0" w:space="0" w:color="auto"/>
                                        <w:right w:val="none" w:sz="0" w:space="0" w:color="auto"/>
                                      </w:divBdr>
                                      <w:divsChild>
                                        <w:div w:id="2049916992">
                                          <w:marLeft w:val="0"/>
                                          <w:marRight w:val="0"/>
                                          <w:marTop w:val="0"/>
                                          <w:marBottom w:val="0"/>
                                          <w:divBdr>
                                            <w:top w:val="none" w:sz="0" w:space="0" w:color="auto"/>
                                            <w:left w:val="none" w:sz="0" w:space="0" w:color="auto"/>
                                            <w:bottom w:val="none" w:sz="0" w:space="0" w:color="auto"/>
                                            <w:right w:val="none" w:sz="0" w:space="0" w:color="auto"/>
                                          </w:divBdr>
                                          <w:divsChild>
                                            <w:div w:id="419064362">
                                              <w:marLeft w:val="0"/>
                                              <w:marRight w:val="0"/>
                                              <w:marTop w:val="0"/>
                                              <w:marBottom w:val="0"/>
                                              <w:divBdr>
                                                <w:top w:val="none" w:sz="0" w:space="0" w:color="auto"/>
                                                <w:left w:val="none" w:sz="0" w:space="0" w:color="auto"/>
                                                <w:bottom w:val="none" w:sz="0" w:space="0" w:color="auto"/>
                                                <w:right w:val="none" w:sz="0" w:space="0" w:color="auto"/>
                                              </w:divBdr>
                                              <w:divsChild>
                                                <w:div w:id="2407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033745">
      <w:bodyDiv w:val="1"/>
      <w:marLeft w:val="0"/>
      <w:marRight w:val="0"/>
      <w:marTop w:val="0"/>
      <w:marBottom w:val="0"/>
      <w:divBdr>
        <w:top w:val="none" w:sz="0" w:space="0" w:color="auto"/>
        <w:left w:val="none" w:sz="0" w:space="0" w:color="auto"/>
        <w:bottom w:val="none" w:sz="0" w:space="0" w:color="auto"/>
        <w:right w:val="none" w:sz="0" w:space="0" w:color="auto"/>
      </w:divBdr>
    </w:div>
    <w:div w:id="1819416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B23A6-B5FA-4D0D-BD49-35776431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9688</Words>
  <Characters>55228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64787</CharactersWithSpaces>
  <SharedDoc>false</SharedDoc>
  <HLinks>
    <vt:vector size="126" baseType="variant">
      <vt:variant>
        <vt:i4>2031673</vt:i4>
      </vt:variant>
      <vt:variant>
        <vt:i4>122</vt:i4>
      </vt:variant>
      <vt:variant>
        <vt:i4>0</vt:i4>
      </vt:variant>
      <vt:variant>
        <vt:i4>5</vt:i4>
      </vt:variant>
      <vt:variant>
        <vt:lpwstr/>
      </vt:variant>
      <vt:variant>
        <vt:lpwstr>_Toc160186095</vt:lpwstr>
      </vt:variant>
      <vt:variant>
        <vt:i4>2031673</vt:i4>
      </vt:variant>
      <vt:variant>
        <vt:i4>116</vt:i4>
      </vt:variant>
      <vt:variant>
        <vt:i4>0</vt:i4>
      </vt:variant>
      <vt:variant>
        <vt:i4>5</vt:i4>
      </vt:variant>
      <vt:variant>
        <vt:lpwstr/>
      </vt:variant>
      <vt:variant>
        <vt:lpwstr>_Toc160186094</vt:lpwstr>
      </vt:variant>
      <vt:variant>
        <vt:i4>2031673</vt:i4>
      </vt:variant>
      <vt:variant>
        <vt:i4>110</vt:i4>
      </vt:variant>
      <vt:variant>
        <vt:i4>0</vt:i4>
      </vt:variant>
      <vt:variant>
        <vt:i4>5</vt:i4>
      </vt:variant>
      <vt:variant>
        <vt:lpwstr/>
      </vt:variant>
      <vt:variant>
        <vt:lpwstr>_Toc160186093</vt:lpwstr>
      </vt:variant>
      <vt:variant>
        <vt:i4>2031673</vt:i4>
      </vt:variant>
      <vt:variant>
        <vt:i4>104</vt:i4>
      </vt:variant>
      <vt:variant>
        <vt:i4>0</vt:i4>
      </vt:variant>
      <vt:variant>
        <vt:i4>5</vt:i4>
      </vt:variant>
      <vt:variant>
        <vt:lpwstr/>
      </vt:variant>
      <vt:variant>
        <vt:lpwstr>_Toc160186092</vt:lpwstr>
      </vt:variant>
      <vt:variant>
        <vt:i4>2031673</vt:i4>
      </vt:variant>
      <vt:variant>
        <vt:i4>98</vt:i4>
      </vt:variant>
      <vt:variant>
        <vt:i4>0</vt:i4>
      </vt:variant>
      <vt:variant>
        <vt:i4>5</vt:i4>
      </vt:variant>
      <vt:variant>
        <vt:lpwstr/>
      </vt:variant>
      <vt:variant>
        <vt:lpwstr>_Toc160186091</vt:lpwstr>
      </vt:variant>
      <vt:variant>
        <vt:i4>2031673</vt:i4>
      </vt:variant>
      <vt:variant>
        <vt:i4>92</vt:i4>
      </vt:variant>
      <vt:variant>
        <vt:i4>0</vt:i4>
      </vt:variant>
      <vt:variant>
        <vt:i4>5</vt:i4>
      </vt:variant>
      <vt:variant>
        <vt:lpwstr/>
      </vt:variant>
      <vt:variant>
        <vt:lpwstr>_Toc160186090</vt:lpwstr>
      </vt:variant>
      <vt:variant>
        <vt:i4>1966137</vt:i4>
      </vt:variant>
      <vt:variant>
        <vt:i4>86</vt:i4>
      </vt:variant>
      <vt:variant>
        <vt:i4>0</vt:i4>
      </vt:variant>
      <vt:variant>
        <vt:i4>5</vt:i4>
      </vt:variant>
      <vt:variant>
        <vt:lpwstr/>
      </vt:variant>
      <vt:variant>
        <vt:lpwstr>_Toc160186089</vt:lpwstr>
      </vt:variant>
      <vt:variant>
        <vt:i4>1966137</vt:i4>
      </vt:variant>
      <vt:variant>
        <vt:i4>80</vt:i4>
      </vt:variant>
      <vt:variant>
        <vt:i4>0</vt:i4>
      </vt:variant>
      <vt:variant>
        <vt:i4>5</vt:i4>
      </vt:variant>
      <vt:variant>
        <vt:lpwstr/>
      </vt:variant>
      <vt:variant>
        <vt:lpwstr>_Toc160186088</vt:lpwstr>
      </vt:variant>
      <vt:variant>
        <vt:i4>1966137</vt:i4>
      </vt:variant>
      <vt:variant>
        <vt:i4>74</vt:i4>
      </vt:variant>
      <vt:variant>
        <vt:i4>0</vt:i4>
      </vt:variant>
      <vt:variant>
        <vt:i4>5</vt:i4>
      </vt:variant>
      <vt:variant>
        <vt:lpwstr/>
      </vt:variant>
      <vt:variant>
        <vt:lpwstr>_Toc160186087</vt:lpwstr>
      </vt:variant>
      <vt:variant>
        <vt:i4>1966137</vt:i4>
      </vt:variant>
      <vt:variant>
        <vt:i4>68</vt:i4>
      </vt:variant>
      <vt:variant>
        <vt:i4>0</vt:i4>
      </vt:variant>
      <vt:variant>
        <vt:i4>5</vt:i4>
      </vt:variant>
      <vt:variant>
        <vt:lpwstr/>
      </vt:variant>
      <vt:variant>
        <vt:lpwstr>_Toc160186086</vt:lpwstr>
      </vt:variant>
      <vt:variant>
        <vt:i4>1966137</vt:i4>
      </vt:variant>
      <vt:variant>
        <vt:i4>62</vt:i4>
      </vt:variant>
      <vt:variant>
        <vt:i4>0</vt:i4>
      </vt:variant>
      <vt:variant>
        <vt:i4>5</vt:i4>
      </vt:variant>
      <vt:variant>
        <vt:lpwstr/>
      </vt:variant>
      <vt:variant>
        <vt:lpwstr>_Toc160186085</vt:lpwstr>
      </vt:variant>
      <vt:variant>
        <vt:i4>1966137</vt:i4>
      </vt:variant>
      <vt:variant>
        <vt:i4>56</vt:i4>
      </vt:variant>
      <vt:variant>
        <vt:i4>0</vt:i4>
      </vt:variant>
      <vt:variant>
        <vt:i4>5</vt:i4>
      </vt:variant>
      <vt:variant>
        <vt:lpwstr/>
      </vt:variant>
      <vt:variant>
        <vt:lpwstr>_Toc160186084</vt:lpwstr>
      </vt:variant>
      <vt:variant>
        <vt:i4>1966137</vt:i4>
      </vt:variant>
      <vt:variant>
        <vt:i4>50</vt:i4>
      </vt:variant>
      <vt:variant>
        <vt:i4>0</vt:i4>
      </vt:variant>
      <vt:variant>
        <vt:i4>5</vt:i4>
      </vt:variant>
      <vt:variant>
        <vt:lpwstr/>
      </vt:variant>
      <vt:variant>
        <vt:lpwstr>_Toc160186083</vt:lpwstr>
      </vt:variant>
      <vt:variant>
        <vt:i4>1966137</vt:i4>
      </vt:variant>
      <vt:variant>
        <vt:i4>44</vt:i4>
      </vt:variant>
      <vt:variant>
        <vt:i4>0</vt:i4>
      </vt:variant>
      <vt:variant>
        <vt:i4>5</vt:i4>
      </vt:variant>
      <vt:variant>
        <vt:lpwstr/>
      </vt:variant>
      <vt:variant>
        <vt:lpwstr>_Toc160186082</vt:lpwstr>
      </vt:variant>
      <vt:variant>
        <vt:i4>1966137</vt:i4>
      </vt:variant>
      <vt:variant>
        <vt:i4>38</vt:i4>
      </vt:variant>
      <vt:variant>
        <vt:i4>0</vt:i4>
      </vt:variant>
      <vt:variant>
        <vt:i4>5</vt:i4>
      </vt:variant>
      <vt:variant>
        <vt:lpwstr/>
      </vt:variant>
      <vt:variant>
        <vt:lpwstr>_Toc160186081</vt:lpwstr>
      </vt:variant>
      <vt:variant>
        <vt:i4>1966137</vt:i4>
      </vt:variant>
      <vt:variant>
        <vt:i4>32</vt:i4>
      </vt:variant>
      <vt:variant>
        <vt:i4>0</vt:i4>
      </vt:variant>
      <vt:variant>
        <vt:i4>5</vt:i4>
      </vt:variant>
      <vt:variant>
        <vt:lpwstr/>
      </vt:variant>
      <vt:variant>
        <vt:lpwstr>_Toc160186080</vt:lpwstr>
      </vt:variant>
      <vt:variant>
        <vt:i4>1114169</vt:i4>
      </vt:variant>
      <vt:variant>
        <vt:i4>26</vt:i4>
      </vt:variant>
      <vt:variant>
        <vt:i4>0</vt:i4>
      </vt:variant>
      <vt:variant>
        <vt:i4>5</vt:i4>
      </vt:variant>
      <vt:variant>
        <vt:lpwstr/>
      </vt:variant>
      <vt:variant>
        <vt:lpwstr>_Toc160186079</vt:lpwstr>
      </vt:variant>
      <vt:variant>
        <vt:i4>1114169</vt:i4>
      </vt:variant>
      <vt:variant>
        <vt:i4>20</vt:i4>
      </vt:variant>
      <vt:variant>
        <vt:i4>0</vt:i4>
      </vt:variant>
      <vt:variant>
        <vt:i4>5</vt:i4>
      </vt:variant>
      <vt:variant>
        <vt:lpwstr/>
      </vt:variant>
      <vt:variant>
        <vt:lpwstr>_Toc160186078</vt:lpwstr>
      </vt:variant>
      <vt:variant>
        <vt:i4>1114169</vt:i4>
      </vt:variant>
      <vt:variant>
        <vt:i4>14</vt:i4>
      </vt:variant>
      <vt:variant>
        <vt:i4>0</vt:i4>
      </vt:variant>
      <vt:variant>
        <vt:i4>5</vt:i4>
      </vt:variant>
      <vt:variant>
        <vt:lpwstr/>
      </vt:variant>
      <vt:variant>
        <vt:lpwstr>_Toc160186077</vt:lpwstr>
      </vt:variant>
      <vt:variant>
        <vt:i4>1114169</vt:i4>
      </vt:variant>
      <vt:variant>
        <vt:i4>8</vt:i4>
      </vt:variant>
      <vt:variant>
        <vt:i4>0</vt:i4>
      </vt:variant>
      <vt:variant>
        <vt:i4>5</vt:i4>
      </vt:variant>
      <vt:variant>
        <vt:lpwstr/>
      </vt:variant>
      <vt:variant>
        <vt:lpwstr>_Toc160186076</vt:lpwstr>
      </vt:variant>
      <vt:variant>
        <vt:i4>1114169</vt:i4>
      </vt:variant>
      <vt:variant>
        <vt:i4>2</vt:i4>
      </vt:variant>
      <vt:variant>
        <vt:i4>0</vt:i4>
      </vt:variant>
      <vt:variant>
        <vt:i4>5</vt:i4>
      </vt:variant>
      <vt:variant>
        <vt:lpwstr/>
      </vt:variant>
      <vt:variant>
        <vt:lpwstr>_Toc160186075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Robert</dc:creator>
  <cp:keywords/>
  <dc:description/>
  <cp:lastModifiedBy>Alexis  Robert</cp:lastModifiedBy>
  <cp:revision>240</cp:revision>
  <dcterms:created xsi:type="dcterms:W3CDTF">2024-03-06T06:10:00Z</dcterms:created>
  <dcterms:modified xsi:type="dcterms:W3CDTF">2024-04-18T14:06:00Z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id="zbYI31hH"/&gt;&lt;style id="http://www.zotero.org/styles/vancouver" locale="en-GB" hasBibliography="1" bibliographyStyleHasBeenSet="1"/&gt;&lt;prefs&gt;&lt;pref name="fieldType" value="Field"/&gt;&lt;/prefs&gt;&lt;/data&gt;</vt:lpwstr>
  </property>
</Properties>
</file>