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96AF" w14:textId="4986882E" w:rsidR="00201BBD" w:rsidRPr="00201BBD" w:rsidRDefault="00201BBD" w:rsidP="00201BBD">
      <w:pPr>
        <w:spacing w:after="160" w:line="259" w:lineRule="auto"/>
        <w:rPr>
          <w:rFonts w:ascii="Times New Roman" w:eastAsia="Times New Roman" w:hAnsi="Times New Roman" w:cs="Times New Roman"/>
          <w:b/>
          <w:bCs/>
          <w:kern w:val="0"/>
          <w14:ligatures w14:val="none"/>
        </w:rPr>
      </w:pPr>
      <w:r w:rsidRPr="00201BBD">
        <w:rPr>
          <w:rFonts w:ascii="Times New Roman" w:eastAsia="Times New Roman" w:hAnsi="Times New Roman" w:cs="Times New Roman"/>
          <w:b/>
          <w:bCs/>
          <w:kern w:val="0"/>
          <w:u w:val="single"/>
          <w14:ligatures w14:val="none"/>
        </w:rPr>
        <w:t>SUPPLEMENT-</w:t>
      </w:r>
      <w:r w:rsidR="00D16025">
        <w:rPr>
          <w:rFonts w:ascii="Times New Roman" w:eastAsia="Times New Roman" w:hAnsi="Times New Roman" w:cs="Times New Roman"/>
          <w:b/>
          <w:bCs/>
          <w:kern w:val="0"/>
          <w:u w:val="single"/>
          <w14:ligatures w14:val="none"/>
        </w:rPr>
        <w:t xml:space="preserve"> Methods and Results</w:t>
      </w:r>
    </w:p>
    <w:p w14:paraId="1CDF91F1" w14:textId="77777777" w:rsidR="00201BBD" w:rsidRPr="00201BBD" w:rsidRDefault="00201BBD" w:rsidP="00201BBD">
      <w:pPr>
        <w:spacing w:line="480" w:lineRule="auto"/>
        <w:jc w:val="center"/>
        <w:rPr>
          <w:rFonts w:ascii="Times New Roman" w:eastAsia="Times New Roman" w:hAnsi="Times New Roman" w:cs="Times New Roman"/>
          <w:b/>
          <w:bCs/>
          <w:kern w:val="0"/>
          <w14:ligatures w14:val="none"/>
        </w:rPr>
      </w:pPr>
      <w:r w:rsidRPr="00201BBD">
        <w:rPr>
          <w:rFonts w:ascii="Times New Roman" w:eastAsia="Times New Roman" w:hAnsi="Times New Roman" w:cs="Times New Roman"/>
          <w:b/>
          <w:bCs/>
          <w:kern w:val="0"/>
          <w14:ligatures w14:val="none"/>
        </w:rPr>
        <w:t>Characterizing genetic profiles for high triglyceride levels in U.S. patients of African ancestry</w:t>
      </w:r>
    </w:p>
    <w:p w14:paraId="47EE8046" w14:textId="77777777" w:rsidR="00201BBD" w:rsidRPr="00201BBD" w:rsidRDefault="00201BBD" w:rsidP="00201BBD">
      <w:pPr>
        <w:spacing w:line="480" w:lineRule="auto"/>
        <w:jc w:val="center"/>
        <w:rPr>
          <w:rFonts w:ascii="Times New Roman" w:eastAsia="Times New Roman" w:hAnsi="Times New Roman" w:cs="Times New Roman"/>
          <w:b/>
          <w:bCs/>
          <w:kern w:val="0"/>
          <w14:ligatures w14:val="none"/>
        </w:rPr>
      </w:pPr>
    </w:p>
    <w:p w14:paraId="23BBE056" w14:textId="77777777" w:rsidR="00201BBD" w:rsidRPr="00201BBD" w:rsidRDefault="00201BBD" w:rsidP="00201BBD">
      <w:pPr>
        <w:spacing w:after="160" w:line="480" w:lineRule="auto"/>
        <w:jc w:val="center"/>
        <w:rPr>
          <w:rFonts w:ascii="Times New Roman" w:eastAsia="Times New Roman" w:hAnsi="Times New Roman" w:cs="Times New Roman"/>
          <w:kern w:val="0"/>
          <w14:ligatures w14:val="none"/>
        </w:rPr>
      </w:pPr>
      <w:r w:rsidRPr="00201BBD">
        <w:rPr>
          <w:rFonts w:ascii="Times New Roman" w:eastAsia="Times New Roman" w:hAnsi="Times New Roman" w:cs="Times New Roman"/>
          <w:kern w:val="0"/>
          <w14:ligatures w14:val="none"/>
        </w:rPr>
        <w:t>Lan Jiang</w:t>
      </w:r>
      <w:r w:rsidRPr="00201BBD">
        <w:rPr>
          <w:rFonts w:ascii="Times New Roman" w:eastAsia="Times New Roman" w:hAnsi="Times New Roman" w:cs="Times New Roman"/>
          <w:kern w:val="0"/>
          <w:vertAlign w:val="superscript"/>
          <w14:ligatures w14:val="none"/>
        </w:rPr>
        <w:t>1</w:t>
      </w:r>
      <w:r w:rsidRPr="00201BBD">
        <w:rPr>
          <w:rFonts w:ascii="Times New Roman" w:eastAsia="Times New Roman" w:hAnsi="Times New Roman" w:cs="Times New Roman"/>
          <w:kern w:val="0"/>
          <w14:ligatures w14:val="none"/>
        </w:rPr>
        <w:t>, Srushti Gangireddy</w:t>
      </w:r>
      <w:r w:rsidRPr="00201BBD">
        <w:rPr>
          <w:rFonts w:ascii="Times New Roman" w:eastAsia="Times New Roman" w:hAnsi="Times New Roman" w:cs="Times New Roman"/>
          <w:kern w:val="0"/>
          <w:vertAlign w:val="superscript"/>
          <w14:ligatures w14:val="none"/>
        </w:rPr>
        <w:t>2</w:t>
      </w:r>
      <w:r w:rsidRPr="00201BBD">
        <w:rPr>
          <w:rFonts w:ascii="Times New Roman" w:eastAsia="Times New Roman" w:hAnsi="Times New Roman" w:cs="Times New Roman"/>
          <w:kern w:val="0"/>
          <w14:ligatures w14:val="none"/>
        </w:rPr>
        <w:t>, Alyson L. Dickson</w:t>
      </w:r>
      <w:r w:rsidRPr="00201BBD">
        <w:rPr>
          <w:rFonts w:ascii="Times New Roman" w:eastAsia="Times New Roman" w:hAnsi="Times New Roman" w:cs="Times New Roman"/>
          <w:kern w:val="0"/>
          <w:vertAlign w:val="superscript"/>
          <w14:ligatures w14:val="none"/>
        </w:rPr>
        <w:t>1</w:t>
      </w:r>
      <w:r w:rsidRPr="00201BBD">
        <w:rPr>
          <w:rFonts w:ascii="Times New Roman" w:eastAsia="Times New Roman" w:hAnsi="Times New Roman" w:cs="Times New Roman"/>
          <w:kern w:val="0"/>
          <w14:ligatures w14:val="none"/>
        </w:rPr>
        <w:t>, Vivian Kawai</w:t>
      </w:r>
      <w:r w:rsidRPr="00201BBD">
        <w:rPr>
          <w:rFonts w:ascii="Times New Roman" w:eastAsia="Times New Roman" w:hAnsi="Times New Roman" w:cs="Times New Roman"/>
          <w:kern w:val="0"/>
          <w:vertAlign w:val="superscript"/>
          <w14:ligatures w14:val="none"/>
        </w:rPr>
        <w:t>1</w:t>
      </w:r>
      <w:r w:rsidRPr="00201BBD">
        <w:rPr>
          <w:rFonts w:ascii="Times New Roman" w:eastAsia="Times New Roman" w:hAnsi="Times New Roman" w:cs="Times New Roman"/>
          <w:kern w:val="0"/>
          <w14:ligatures w14:val="none"/>
        </w:rPr>
        <w:t>, Nancy J. Cox</w:t>
      </w:r>
      <w:r w:rsidRPr="00201BBD">
        <w:rPr>
          <w:rFonts w:ascii="Times New Roman" w:eastAsia="Times New Roman" w:hAnsi="Times New Roman" w:cs="Times New Roman"/>
          <w:kern w:val="0"/>
          <w:vertAlign w:val="superscript"/>
          <w14:ligatures w14:val="none"/>
        </w:rPr>
        <w:t>3</w:t>
      </w:r>
      <w:r w:rsidRPr="00201BBD">
        <w:rPr>
          <w:rFonts w:ascii="Times New Roman" w:eastAsia="Times New Roman" w:hAnsi="Times New Roman" w:cs="Times New Roman"/>
          <w:kern w:val="0"/>
          <w14:ligatures w14:val="none"/>
        </w:rPr>
        <w:t>, MacRae F. Linton</w:t>
      </w:r>
      <w:r w:rsidRPr="00201BBD">
        <w:rPr>
          <w:rFonts w:ascii="Times New Roman" w:eastAsia="Times New Roman" w:hAnsi="Times New Roman" w:cs="Times New Roman"/>
          <w:kern w:val="0"/>
          <w:vertAlign w:val="superscript"/>
          <w14:ligatures w14:val="none"/>
        </w:rPr>
        <w:t>4,5</w:t>
      </w:r>
      <w:r w:rsidRPr="00201BBD">
        <w:rPr>
          <w:rFonts w:ascii="Times New Roman" w:eastAsia="Times New Roman" w:hAnsi="Times New Roman" w:cs="Times New Roman"/>
          <w:kern w:val="0"/>
          <w14:ligatures w14:val="none"/>
        </w:rPr>
        <w:t>, Wei-Qi Wei</w:t>
      </w:r>
      <w:r w:rsidRPr="00201BBD">
        <w:rPr>
          <w:rFonts w:ascii="Times New Roman" w:eastAsia="Times New Roman" w:hAnsi="Times New Roman" w:cs="Times New Roman"/>
          <w:kern w:val="0"/>
          <w:vertAlign w:val="superscript"/>
          <w14:ligatures w14:val="none"/>
        </w:rPr>
        <w:t>2</w:t>
      </w:r>
      <w:r w:rsidRPr="00201BBD">
        <w:rPr>
          <w:rFonts w:ascii="Times New Roman" w:eastAsia="Times New Roman" w:hAnsi="Times New Roman" w:cs="Times New Roman"/>
          <w:kern w:val="0"/>
          <w14:ligatures w14:val="none"/>
        </w:rPr>
        <w:t>, C. Michael Stein</w:t>
      </w:r>
      <w:r w:rsidRPr="00201BBD">
        <w:rPr>
          <w:rFonts w:ascii="Times New Roman" w:eastAsia="Times New Roman" w:hAnsi="Times New Roman" w:cs="Times New Roman"/>
          <w:kern w:val="0"/>
          <w:vertAlign w:val="superscript"/>
          <w14:ligatures w14:val="none"/>
        </w:rPr>
        <w:t>1,4</w:t>
      </w:r>
      <w:r w:rsidRPr="00201BBD">
        <w:rPr>
          <w:rFonts w:ascii="Times New Roman" w:eastAsia="Times New Roman" w:hAnsi="Times New Roman" w:cs="Times New Roman"/>
          <w:kern w:val="0"/>
          <w14:ligatures w14:val="none"/>
        </w:rPr>
        <w:t xml:space="preserve">, </w:t>
      </w:r>
      <w:proofErr w:type="spellStart"/>
      <w:r w:rsidRPr="00201BBD">
        <w:rPr>
          <w:rFonts w:ascii="Times New Roman" w:eastAsia="Times New Roman" w:hAnsi="Times New Roman" w:cs="Times New Roman"/>
          <w:kern w:val="0"/>
          <w14:ligatures w14:val="none"/>
        </w:rPr>
        <w:t>QiPing</w:t>
      </w:r>
      <w:proofErr w:type="spellEnd"/>
      <w:r w:rsidRPr="00201BBD">
        <w:rPr>
          <w:rFonts w:ascii="Times New Roman" w:eastAsia="Times New Roman" w:hAnsi="Times New Roman" w:cs="Times New Roman"/>
          <w:kern w:val="0"/>
          <w14:ligatures w14:val="none"/>
        </w:rPr>
        <w:t xml:space="preserve"> Feng</w:t>
      </w:r>
      <w:r w:rsidRPr="00201BBD">
        <w:rPr>
          <w:rFonts w:ascii="Times New Roman" w:eastAsia="Times New Roman" w:hAnsi="Times New Roman" w:cs="Times New Roman"/>
          <w:kern w:val="0"/>
          <w:vertAlign w:val="superscript"/>
          <w14:ligatures w14:val="none"/>
        </w:rPr>
        <w:t>1</w:t>
      </w:r>
    </w:p>
    <w:p w14:paraId="799A1416" w14:textId="77777777" w:rsidR="00201BBD" w:rsidRPr="00201BBD" w:rsidRDefault="00201BBD" w:rsidP="00201BBD">
      <w:pPr>
        <w:spacing w:after="160" w:line="480" w:lineRule="auto"/>
        <w:rPr>
          <w:rFonts w:ascii="Times New Roman" w:eastAsia="Times New Roman" w:hAnsi="Times New Roman" w:cs="Times New Roman"/>
          <w:kern w:val="0"/>
          <w:vertAlign w:val="superscript"/>
          <w14:ligatures w14:val="none"/>
        </w:rPr>
      </w:pPr>
    </w:p>
    <w:p w14:paraId="27018FD2" w14:textId="77777777" w:rsidR="00201BBD" w:rsidRPr="00201BBD" w:rsidRDefault="00201BBD" w:rsidP="00201BBD">
      <w:pPr>
        <w:spacing w:line="480" w:lineRule="auto"/>
        <w:rPr>
          <w:rFonts w:ascii="Times New Roman" w:eastAsia="Times New Roman" w:hAnsi="Times New Roman" w:cs="Times New Roman"/>
          <w:kern w:val="0"/>
          <w14:ligatures w14:val="none"/>
        </w:rPr>
      </w:pPr>
      <w:r w:rsidRPr="00201BBD">
        <w:rPr>
          <w:rFonts w:ascii="Times New Roman" w:eastAsia="Times New Roman" w:hAnsi="Times New Roman" w:cs="Times New Roman"/>
          <w:kern w:val="0"/>
          <w:vertAlign w:val="superscript"/>
          <w14:ligatures w14:val="none"/>
        </w:rPr>
        <w:t>1</w:t>
      </w:r>
      <w:r w:rsidRPr="00201BBD">
        <w:rPr>
          <w:rFonts w:ascii="Times New Roman" w:eastAsia="Times New Roman" w:hAnsi="Times New Roman" w:cs="Times New Roman"/>
          <w:kern w:val="0"/>
          <w14:ligatures w14:val="none"/>
        </w:rPr>
        <w:t> Division of Clinical Pharmacology, Department of Medicine, Vanderbilt University Medical Center, Nashville, TN </w:t>
      </w:r>
    </w:p>
    <w:p w14:paraId="01F740A3" w14:textId="77777777" w:rsidR="00201BBD" w:rsidRPr="00201BBD" w:rsidRDefault="00201BBD" w:rsidP="00201BBD">
      <w:pPr>
        <w:spacing w:line="480" w:lineRule="auto"/>
        <w:rPr>
          <w:rFonts w:ascii="Times New Roman" w:eastAsia="Times New Roman" w:hAnsi="Times New Roman" w:cs="Times New Roman"/>
          <w:kern w:val="0"/>
          <w14:ligatures w14:val="none"/>
        </w:rPr>
      </w:pPr>
      <w:r w:rsidRPr="00201BBD">
        <w:rPr>
          <w:rFonts w:ascii="Times New Roman" w:eastAsia="Times New Roman" w:hAnsi="Times New Roman" w:cs="Times New Roman"/>
          <w:kern w:val="0"/>
          <w:vertAlign w:val="superscript"/>
          <w14:ligatures w14:val="none"/>
        </w:rPr>
        <w:t>2</w:t>
      </w:r>
      <w:r w:rsidRPr="00201BBD">
        <w:rPr>
          <w:rFonts w:ascii="Times New Roman" w:eastAsia="Times New Roman" w:hAnsi="Times New Roman" w:cs="Times New Roman"/>
          <w:kern w:val="0"/>
          <w14:ligatures w14:val="none"/>
        </w:rPr>
        <w:t xml:space="preserve"> Department of Biomedical Informatics, Vanderbilt University Medical Center, Nashville, TN  </w:t>
      </w:r>
    </w:p>
    <w:p w14:paraId="05775C6C" w14:textId="77777777" w:rsidR="00201BBD" w:rsidRPr="00201BBD" w:rsidRDefault="00201BBD" w:rsidP="00201BBD">
      <w:pPr>
        <w:spacing w:line="480" w:lineRule="auto"/>
        <w:rPr>
          <w:rFonts w:ascii="Times New Roman" w:eastAsia="Times New Roman" w:hAnsi="Times New Roman" w:cs="Times New Roman"/>
          <w:kern w:val="0"/>
          <w14:ligatures w14:val="none"/>
        </w:rPr>
      </w:pPr>
      <w:r w:rsidRPr="00201BBD">
        <w:rPr>
          <w:rFonts w:ascii="Times New Roman" w:eastAsia="Times New Roman" w:hAnsi="Times New Roman" w:cs="Times New Roman"/>
          <w:kern w:val="0"/>
          <w:vertAlign w:val="superscript"/>
          <w14:ligatures w14:val="none"/>
        </w:rPr>
        <w:t>3</w:t>
      </w:r>
      <w:r w:rsidRPr="00201BBD">
        <w:rPr>
          <w:rFonts w:ascii="Times New Roman" w:eastAsia="Times New Roman" w:hAnsi="Times New Roman" w:cs="Times New Roman"/>
          <w:kern w:val="0"/>
          <w14:ligatures w14:val="none"/>
        </w:rPr>
        <w:t> Vanderbilt Genetics Institute, Department of Medicine, Vanderbilt University Medical Center, Nashville, TN</w:t>
      </w:r>
    </w:p>
    <w:p w14:paraId="4F215F59" w14:textId="77777777" w:rsidR="00201BBD" w:rsidRPr="00201BBD" w:rsidRDefault="00201BBD" w:rsidP="00201BBD">
      <w:pPr>
        <w:spacing w:line="480" w:lineRule="auto"/>
        <w:rPr>
          <w:rFonts w:ascii="Times New Roman" w:eastAsia="Times New Roman" w:hAnsi="Times New Roman" w:cs="Times New Roman"/>
          <w:kern w:val="0"/>
          <w14:ligatures w14:val="none"/>
        </w:rPr>
      </w:pPr>
      <w:r w:rsidRPr="00201BBD">
        <w:rPr>
          <w:rFonts w:ascii="Times New Roman" w:eastAsia="Times New Roman" w:hAnsi="Times New Roman" w:cs="Times New Roman"/>
          <w:kern w:val="0"/>
          <w:vertAlign w:val="superscript"/>
          <w14:ligatures w14:val="none"/>
        </w:rPr>
        <w:t>4</w:t>
      </w:r>
      <w:r w:rsidRPr="00201BBD">
        <w:rPr>
          <w:rFonts w:ascii="Times New Roman" w:eastAsia="Times New Roman" w:hAnsi="Times New Roman" w:cs="Times New Roman"/>
          <w:kern w:val="0"/>
          <w14:ligatures w14:val="none"/>
        </w:rPr>
        <w:t> Department of Pharmacology, Vanderbilt University, Nashville, TN</w:t>
      </w:r>
    </w:p>
    <w:p w14:paraId="4E53A812" w14:textId="77777777" w:rsidR="00201BBD" w:rsidRPr="00201BBD" w:rsidRDefault="00201BBD" w:rsidP="00201BBD">
      <w:pPr>
        <w:spacing w:line="480" w:lineRule="auto"/>
        <w:rPr>
          <w:rFonts w:ascii="Times New Roman" w:eastAsia="Times New Roman" w:hAnsi="Times New Roman" w:cs="Times New Roman"/>
          <w:kern w:val="0"/>
          <w14:ligatures w14:val="none"/>
        </w:rPr>
      </w:pPr>
      <w:r w:rsidRPr="00201BBD">
        <w:rPr>
          <w:rFonts w:ascii="Times New Roman" w:eastAsia="Times New Roman" w:hAnsi="Times New Roman" w:cs="Times New Roman"/>
          <w:kern w:val="0"/>
          <w:vertAlign w:val="superscript"/>
          <w14:ligatures w14:val="none"/>
        </w:rPr>
        <w:t>5</w:t>
      </w:r>
      <w:r w:rsidRPr="00201BBD">
        <w:rPr>
          <w:rFonts w:ascii="Times New Roman" w:eastAsia="Times New Roman" w:hAnsi="Times New Roman" w:cs="Times New Roman"/>
          <w:kern w:val="0"/>
          <w14:ligatures w14:val="none"/>
        </w:rPr>
        <w:t> Division of Cardiovascular Medicine, Department of Medicine, Vanderbilt University Medical Center, Nashville, TN</w:t>
      </w:r>
    </w:p>
    <w:p w14:paraId="5CAB0C49" w14:textId="77777777" w:rsidR="00201BBD" w:rsidRDefault="00201BBD">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243C5C36" w14:textId="274FCD9E" w:rsidR="005371F2" w:rsidRPr="009B31D4" w:rsidRDefault="005371F2" w:rsidP="005371F2">
      <w:pPr>
        <w:spacing w:after="120" w:line="480" w:lineRule="auto"/>
        <w:rPr>
          <w:rFonts w:ascii="Times New Roman" w:eastAsia="Times New Roman" w:hAnsi="Times New Roman" w:cs="Times New Roman"/>
          <w:b/>
          <w:bCs/>
          <w:kern w:val="0"/>
          <w14:ligatures w14:val="none"/>
        </w:rPr>
      </w:pPr>
      <w:r w:rsidRPr="009B31D4">
        <w:rPr>
          <w:rFonts w:ascii="Times New Roman" w:eastAsia="Times New Roman" w:hAnsi="Times New Roman" w:cs="Times New Roman"/>
          <w:b/>
          <w:bCs/>
          <w:kern w:val="0"/>
          <w14:ligatures w14:val="none"/>
        </w:rPr>
        <w:lastRenderedPageBreak/>
        <w:t>Supplemen</w:t>
      </w:r>
      <w:r w:rsidR="00201BBD">
        <w:rPr>
          <w:rFonts w:ascii="Times New Roman" w:eastAsia="Times New Roman" w:hAnsi="Times New Roman" w:cs="Times New Roman"/>
          <w:b/>
          <w:bCs/>
          <w:kern w:val="0"/>
          <w14:ligatures w14:val="none"/>
        </w:rPr>
        <w:t>tal</w:t>
      </w:r>
      <w:r w:rsidRPr="009B31D4">
        <w:rPr>
          <w:rFonts w:ascii="Times New Roman" w:eastAsia="Times New Roman" w:hAnsi="Times New Roman" w:cs="Times New Roman"/>
          <w:b/>
          <w:bCs/>
          <w:kern w:val="0"/>
          <w14:ligatures w14:val="none"/>
        </w:rPr>
        <w:t xml:space="preserve"> Methods</w:t>
      </w:r>
    </w:p>
    <w:p w14:paraId="3CD15701" w14:textId="3B8FF539" w:rsidR="005371F2" w:rsidRPr="00B87233" w:rsidRDefault="00AD083F" w:rsidP="005371F2">
      <w:pPr>
        <w:spacing w:after="120" w:line="48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Sensitivity Analysis</w:t>
      </w:r>
      <w:r w:rsidR="003759BF">
        <w:rPr>
          <w:rFonts w:ascii="Times New Roman" w:eastAsia="Times New Roman" w:hAnsi="Times New Roman" w:cs="Times New Roman"/>
          <w:kern w:val="0"/>
          <w:u w:val="single"/>
          <w14:ligatures w14:val="none"/>
        </w:rPr>
        <w:t xml:space="preserve"> Categories</w:t>
      </w:r>
    </w:p>
    <w:p w14:paraId="46039B5A" w14:textId="462AB8BC" w:rsidR="005371F2" w:rsidRPr="009B31D4" w:rsidRDefault="005371F2" w:rsidP="005371F2">
      <w:pPr>
        <w:spacing w:after="120" w:line="480" w:lineRule="auto"/>
        <w:rPr>
          <w:rFonts w:ascii="Times New Roman" w:eastAsia="Times New Roman" w:hAnsi="Times New Roman" w:cs="Times New Roman"/>
          <w:kern w:val="0"/>
          <w14:ligatures w14:val="none"/>
        </w:rPr>
      </w:pPr>
      <w:r w:rsidRPr="009B31D4">
        <w:rPr>
          <w:rFonts w:ascii="Times New Roman" w:eastAsia="Times New Roman" w:hAnsi="Times New Roman" w:cs="Times New Roman"/>
          <w:kern w:val="0"/>
          <w14:ligatures w14:val="none"/>
        </w:rPr>
        <w:t xml:space="preserve">Given that standards for high </w:t>
      </w:r>
      <w:r w:rsidR="00F77703">
        <w:rPr>
          <w:rFonts w:ascii="Times New Roman" w:eastAsia="Times New Roman" w:hAnsi="Times New Roman" w:cs="Times New Roman"/>
          <w:kern w:val="0"/>
          <w14:ligatures w14:val="none"/>
        </w:rPr>
        <w:t xml:space="preserve">triglycerides </w:t>
      </w:r>
      <w:r w:rsidRPr="009B31D4">
        <w:rPr>
          <w:rFonts w:ascii="Times New Roman" w:eastAsia="Times New Roman" w:hAnsi="Times New Roman" w:cs="Times New Roman"/>
          <w:kern w:val="0"/>
          <w14:ligatures w14:val="none"/>
        </w:rPr>
        <w:t>TG</w:t>
      </w:r>
      <w:r w:rsidR="00F77703">
        <w:rPr>
          <w:rFonts w:ascii="Times New Roman" w:eastAsia="Times New Roman" w:hAnsi="Times New Roman" w:cs="Times New Roman"/>
          <w:kern w:val="0"/>
          <w14:ligatures w14:val="none"/>
        </w:rPr>
        <w:t>)</w:t>
      </w:r>
      <w:r w:rsidRPr="009B31D4">
        <w:rPr>
          <w:rFonts w:ascii="Times New Roman" w:eastAsia="Times New Roman" w:hAnsi="Times New Roman" w:cs="Times New Roman"/>
          <w:kern w:val="0"/>
          <w14:ligatures w14:val="none"/>
        </w:rPr>
        <w:t xml:space="preserve"> vary globally and that the prevailing standards have been developed among patient populations with predominantly European ancestry</w:t>
      </w:r>
      <w:r w:rsidR="00234F8E">
        <w:rPr>
          <w:rFonts w:ascii="Times New Roman" w:eastAsia="Times New Roman" w:hAnsi="Times New Roman" w:cs="Times New Roman"/>
          <w:kern w:val="0"/>
          <w14:ligatures w14:val="none"/>
        </w:rPr>
        <w:t xml:space="preserve"> (EA)</w:t>
      </w:r>
      <w:r w:rsidRPr="009B31D4">
        <w:rPr>
          <w:rFonts w:ascii="Times New Roman" w:eastAsia="Times New Roman" w:hAnsi="Times New Roman" w:cs="Times New Roman"/>
          <w:kern w:val="0"/>
          <w14:ligatures w14:val="none"/>
        </w:rPr>
        <w:t>, we conducted sensitivity analyses using two alternative high TG definitions to provide additional nuance to the assessment of high TG levels among patients</w:t>
      </w:r>
      <w:r w:rsidR="00234F8E">
        <w:rPr>
          <w:rFonts w:ascii="Times New Roman" w:eastAsia="Times New Roman" w:hAnsi="Times New Roman" w:cs="Times New Roman"/>
          <w:kern w:val="0"/>
          <w14:ligatures w14:val="none"/>
        </w:rPr>
        <w:t xml:space="preserve"> of African ancestry (AA)</w:t>
      </w:r>
      <w:r w:rsidRPr="009B31D4">
        <w:rPr>
          <w:rFonts w:ascii="Times New Roman" w:eastAsia="Times New Roman" w:hAnsi="Times New Roman" w:cs="Times New Roman"/>
          <w:kern w:val="0"/>
          <w14:ligatures w14:val="none"/>
        </w:rPr>
        <w:t xml:space="preserve"> in the U.S.  First, to account for accepted U.S. standards, we designated an </w:t>
      </w:r>
      <w:r w:rsidR="00F77703">
        <w:rPr>
          <w:rFonts w:ascii="Times New Roman" w:eastAsia="Times New Roman" w:hAnsi="Times New Roman" w:cs="Times New Roman"/>
          <w:kern w:val="0"/>
          <w14:ligatures w14:val="none"/>
        </w:rPr>
        <w:t>American Heart Association (</w:t>
      </w:r>
      <w:r w:rsidRPr="009B31D4">
        <w:rPr>
          <w:rFonts w:ascii="Times New Roman" w:eastAsia="Times New Roman" w:hAnsi="Times New Roman" w:cs="Times New Roman"/>
          <w:kern w:val="0"/>
          <w14:ligatures w14:val="none"/>
        </w:rPr>
        <w:t>AHA</w:t>
      </w:r>
      <w:r w:rsidR="00F77703">
        <w:rPr>
          <w:rFonts w:ascii="Times New Roman" w:eastAsia="Times New Roman" w:hAnsi="Times New Roman" w:cs="Times New Roman"/>
          <w:kern w:val="0"/>
          <w14:ligatures w14:val="none"/>
        </w:rPr>
        <w:t>)</w:t>
      </w:r>
      <w:r w:rsidRPr="009B31D4">
        <w:rPr>
          <w:rFonts w:ascii="Times New Roman" w:eastAsia="Times New Roman" w:hAnsi="Times New Roman" w:cs="Times New Roman"/>
          <w:kern w:val="0"/>
          <w14:ligatures w14:val="none"/>
        </w:rPr>
        <w:t xml:space="preserve"> </w:t>
      </w:r>
      <w:r w:rsidR="008E77B9" w:rsidRPr="009B31D4">
        <w:rPr>
          <w:rFonts w:ascii="Times New Roman" w:eastAsia="Times New Roman" w:hAnsi="Times New Roman" w:cs="Times New Roman"/>
          <w:kern w:val="0"/>
          <w14:ligatures w14:val="none"/>
        </w:rPr>
        <w:t xml:space="preserve">severe </w:t>
      </w:r>
      <w:r w:rsidR="007F29B1">
        <w:rPr>
          <w:rFonts w:ascii="Times New Roman" w:eastAsia="Times New Roman" w:hAnsi="Times New Roman" w:cs="Times New Roman"/>
          <w:kern w:val="0"/>
          <w14:ligatures w14:val="none"/>
        </w:rPr>
        <w:t>hyper</w:t>
      </w:r>
      <w:r w:rsidR="00234F8E" w:rsidRPr="00234F8E">
        <w:rPr>
          <w:rFonts w:ascii="Times New Roman" w:eastAsia="Times New Roman" w:hAnsi="Times New Roman" w:cs="Times New Roman"/>
          <w:kern w:val="0"/>
          <w14:ligatures w14:val="none"/>
        </w:rPr>
        <w:t>triglyceridemia</w:t>
      </w:r>
      <w:r w:rsidR="00234F8E">
        <w:rPr>
          <w:rFonts w:ascii="Times New Roman" w:eastAsia="Times New Roman" w:hAnsi="Times New Roman" w:cs="Times New Roman"/>
          <w:kern w:val="0"/>
          <w14:ligatures w14:val="none"/>
        </w:rPr>
        <w:t xml:space="preserve"> (</w:t>
      </w:r>
      <w:r w:rsidRPr="009B31D4">
        <w:rPr>
          <w:rFonts w:ascii="Times New Roman" w:eastAsia="Times New Roman" w:hAnsi="Times New Roman" w:cs="Times New Roman"/>
          <w:kern w:val="0"/>
          <w14:ligatures w14:val="none"/>
        </w:rPr>
        <w:t>HTG</w:t>
      </w:r>
      <w:r w:rsidR="00234F8E">
        <w:rPr>
          <w:rFonts w:ascii="Times New Roman" w:eastAsia="Times New Roman" w:hAnsi="Times New Roman" w:cs="Times New Roman"/>
          <w:kern w:val="0"/>
          <w14:ligatures w14:val="none"/>
        </w:rPr>
        <w:t>)</w:t>
      </w:r>
      <w:r w:rsidRPr="009B31D4">
        <w:rPr>
          <w:rFonts w:ascii="Times New Roman" w:eastAsia="Times New Roman" w:hAnsi="Times New Roman" w:cs="Times New Roman"/>
          <w:kern w:val="0"/>
          <w14:ligatures w14:val="none"/>
        </w:rPr>
        <w:t xml:space="preserve"> category—individuals with median TG levels greater than 500 mg/dL, as defined by AHA guidelines. Second, to address the possibility that standards developed primarily among patients with EA may not most effectively identify “high” TG levels among individuals with AA, we designated a top 1% TG category—individuals with TG levels greater than 99% of AA patients in our cohort. These two categories (i.e., AHA </w:t>
      </w:r>
      <w:r w:rsidR="001518D0" w:rsidRPr="009B31D4">
        <w:rPr>
          <w:rFonts w:ascii="Times New Roman" w:eastAsia="Times New Roman" w:hAnsi="Times New Roman" w:cs="Times New Roman"/>
          <w:kern w:val="0"/>
          <w14:ligatures w14:val="none"/>
        </w:rPr>
        <w:t xml:space="preserve">severe HTG </w:t>
      </w:r>
      <w:r w:rsidRPr="009B31D4">
        <w:rPr>
          <w:rFonts w:ascii="Times New Roman" w:eastAsia="Times New Roman" w:hAnsi="Times New Roman" w:cs="Times New Roman"/>
          <w:kern w:val="0"/>
          <w14:ligatures w14:val="none"/>
        </w:rPr>
        <w:t>and top 1%) included overlapping individuals with the primary analysis categories of severe HTG and mild-to-moderate HTG. We analyzed each of these two categories separately.</w:t>
      </w:r>
    </w:p>
    <w:p w14:paraId="136BAB4F" w14:textId="77777777" w:rsidR="005371F2" w:rsidRPr="009B31D4" w:rsidRDefault="005371F2" w:rsidP="005371F2">
      <w:pPr>
        <w:spacing w:after="120" w:line="480" w:lineRule="auto"/>
        <w:rPr>
          <w:rFonts w:ascii="Times New Roman" w:eastAsia="Times New Roman" w:hAnsi="Times New Roman" w:cs="Times New Roman"/>
          <w:kern w:val="0"/>
          <w14:ligatures w14:val="none"/>
        </w:rPr>
      </w:pPr>
    </w:p>
    <w:p w14:paraId="170742C5" w14:textId="77777777" w:rsidR="005371F2" w:rsidRPr="009B31D4" w:rsidRDefault="005371F2" w:rsidP="005371F2">
      <w:pPr>
        <w:spacing w:after="120" w:line="480" w:lineRule="auto"/>
        <w:rPr>
          <w:rFonts w:ascii="Times New Roman" w:eastAsia="Times New Roman" w:hAnsi="Times New Roman" w:cs="Times New Roman"/>
          <w:kern w:val="0"/>
          <w14:ligatures w14:val="none"/>
        </w:rPr>
      </w:pPr>
    </w:p>
    <w:p w14:paraId="70740BE4" w14:textId="77777777" w:rsidR="00AB35C1" w:rsidRPr="009B31D4" w:rsidRDefault="00AB35C1">
      <w:pPr>
        <w:rPr>
          <w:rFonts w:ascii="Times New Roman" w:eastAsia="Times New Roman" w:hAnsi="Times New Roman" w:cs="Times New Roman"/>
          <w:b/>
          <w:bCs/>
          <w:kern w:val="0"/>
          <w14:ligatures w14:val="none"/>
        </w:rPr>
      </w:pPr>
      <w:r w:rsidRPr="009B31D4">
        <w:rPr>
          <w:rFonts w:ascii="Times New Roman" w:eastAsia="Times New Roman" w:hAnsi="Times New Roman" w:cs="Times New Roman"/>
          <w:b/>
          <w:bCs/>
          <w:kern w:val="0"/>
          <w14:ligatures w14:val="none"/>
        </w:rPr>
        <w:br w:type="page"/>
      </w:r>
    </w:p>
    <w:p w14:paraId="7EB24C54" w14:textId="7625F7D7" w:rsidR="00AB35C1" w:rsidRPr="009B31D4" w:rsidRDefault="00AB35C1" w:rsidP="00AB35C1">
      <w:pPr>
        <w:spacing w:after="120" w:line="480" w:lineRule="auto"/>
        <w:rPr>
          <w:rFonts w:ascii="Times New Roman" w:eastAsia="Times New Roman" w:hAnsi="Times New Roman" w:cs="Times New Roman"/>
          <w:b/>
          <w:bCs/>
          <w:kern w:val="0"/>
          <w14:ligatures w14:val="none"/>
        </w:rPr>
      </w:pPr>
      <w:r w:rsidRPr="009B31D4">
        <w:rPr>
          <w:rFonts w:ascii="Times New Roman" w:eastAsia="Times New Roman" w:hAnsi="Times New Roman" w:cs="Times New Roman"/>
          <w:b/>
          <w:bCs/>
          <w:kern w:val="0"/>
          <w14:ligatures w14:val="none"/>
        </w:rPr>
        <w:lastRenderedPageBreak/>
        <w:t>Supplementa</w:t>
      </w:r>
      <w:r w:rsidR="0086553D">
        <w:rPr>
          <w:rFonts w:ascii="Times New Roman" w:eastAsia="Times New Roman" w:hAnsi="Times New Roman" w:cs="Times New Roman"/>
          <w:b/>
          <w:bCs/>
          <w:kern w:val="0"/>
          <w14:ligatures w14:val="none"/>
        </w:rPr>
        <w:t>l</w:t>
      </w:r>
      <w:r w:rsidRPr="009B31D4">
        <w:rPr>
          <w:rFonts w:ascii="Times New Roman" w:eastAsia="Times New Roman" w:hAnsi="Times New Roman" w:cs="Times New Roman"/>
          <w:b/>
          <w:bCs/>
          <w:kern w:val="0"/>
          <w14:ligatures w14:val="none"/>
        </w:rPr>
        <w:t xml:space="preserve"> Results</w:t>
      </w:r>
    </w:p>
    <w:p w14:paraId="2D01A9FB" w14:textId="29A1D6FD" w:rsidR="005371F2" w:rsidRPr="009B31D4" w:rsidRDefault="00C80C0C" w:rsidP="005371F2">
      <w:pPr>
        <w:spacing w:after="120" w:line="480" w:lineRule="auto"/>
        <w:rPr>
          <w:rFonts w:ascii="Times New Roman" w:hAnsi="Times New Roman" w:cs="Times New Roman"/>
        </w:rPr>
      </w:pPr>
      <w:r w:rsidRPr="009B31D4">
        <w:rPr>
          <w:rFonts w:ascii="Times New Roman" w:hAnsi="Times New Roman" w:cs="Times New Roman"/>
        </w:rPr>
        <w:t>We</w:t>
      </w:r>
      <w:r w:rsidR="005371F2" w:rsidRPr="009B31D4">
        <w:rPr>
          <w:rFonts w:ascii="Times New Roman" w:hAnsi="Times New Roman" w:cs="Times New Roman"/>
        </w:rPr>
        <w:t xml:space="preserve"> first identified 54 individuals in the AHA </w:t>
      </w:r>
      <w:r w:rsidR="00C36AE8" w:rsidRPr="009B31D4">
        <w:rPr>
          <w:rFonts w:ascii="Times New Roman" w:hAnsi="Times New Roman" w:cs="Times New Roman"/>
        </w:rPr>
        <w:t>severe</w:t>
      </w:r>
      <w:r w:rsidR="001518D0" w:rsidRPr="009B31D4">
        <w:rPr>
          <w:rFonts w:ascii="Times New Roman" w:hAnsi="Times New Roman" w:cs="Times New Roman"/>
        </w:rPr>
        <w:t xml:space="preserve"> HTG</w:t>
      </w:r>
      <w:r w:rsidR="00C36AE8" w:rsidRPr="009B31D4">
        <w:rPr>
          <w:rFonts w:ascii="Times New Roman" w:hAnsi="Times New Roman" w:cs="Times New Roman"/>
        </w:rPr>
        <w:t xml:space="preserve"> </w:t>
      </w:r>
      <w:r w:rsidR="005371F2" w:rsidRPr="009B31D4">
        <w:rPr>
          <w:rFonts w:ascii="Times New Roman" w:hAnsi="Times New Roman" w:cs="Times New Roman"/>
        </w:rPr>
        <w:t xml:space="preserve">category (i.e., individuals with median TG levels greater than 500 mg/dL); of these, 29 (53.7%) were female and the median age [IQR] was 55.00 [48.00-64.00]). </w:t>
      </w:r>
      <w:r w:rsidR="00E60BF7" w:rsidRPr="009B31D4">
        <w:rPr>
          <w:rFonts w:ascii="Times New Roman" w:hAnsi="Times New Roman" w:cs="Times New Roman"/>
        </w:rPr>
        <w:t>We identified those with</w:t>
      </w:r>
      <w:r w:rsidR="005371F2" w:rsidRPr="009B31D4">
        <w:rPr>
          <w:rFonts w:ascii="Times New Roman" w:hAnsi="Times New Roman" w:cs="Times New Roman"/>
        </w:rPr>
        <w:t xml:space="preserve"> median TG level </w:t>
      </w:r>
      <w:r w:rsidR="00E60BF7" w:rsidRPr="009B31D4">
        <w:rPr>
          <w:rFonts w:ascii="Times New Roman" w:hAnsi="Times New Roman" w:cs="Times New Roman"/>
        </w:rPr>
        <w:t>greater than 374.4 mg/dL as</w:t>
      </w:r>
      <w:r w:rsidR="00E60BF7" w:rsidRPr="009B31D4">
        <w:rPr>
          <w:rStyle w:val="CommentReference"/>
          <w:rFonts w:ascii="Times New Roman" w:hAnsi="Times New Roman" w:cs="Times New Roman"/>
        </w:rPr>
        <w:t xml:space="preserve"> </w:t>
      </w:r>
      <w:r w:rsidR="005371F2" w:rsidRPr="009B31D4">
        <w:rPr>
          <w:rFonts w:ascii="Times New Roman" w:hAnsi="Times New Roman" w:cs="Times New Roman"/>
        </w:rPr>
        <w:t>the top 1% TG category</w:t>
      </w:r>
      <w:r w:rsidR="00E60BF7" w:rsidRPr="009B31D4">
        <w:rPr>
          <w:rFonts w:ascii="Times New Roman" w:hAnsi="Times New Roman" w:cs="Times New Roman"/>
        </w:rPr>
        <w:t>. O</w:t>
      </w:r>
      <w:r w:rsidR="005371F2" w:rsidRPr="009B31D4">
        <w:rPr>
          <w:rFonts w:ascii="Times New Roman" w:hAnsi="Times New Roman" w:cs="Times New Roman"/>
        </w:rPr>
        <w:t>f the 154 individuals in this category, 77 (50.0%) were female and the median age [IQR] was 57.00 [49.00-64.00] (</w:t>
      </w:r>
      <w:r w:rsidR="005371F2" w:rsidRPr="009B31D4">
        <w:rPr>
          <w:rFonts w:ascii="Times New Roman" w:hAnsi="Times New Roman" w:cs="Times New Roman"/>
          <w:b/>
          <w:bCs/>
        </w:rPr>
        <w:t>Supplementa</w:t>
      </w:r>
      <w:r w:rsidR="0086553D">
        <w:rPr>
          <w:rFonts w:ascii="Times New Roman" w:hAnsi="Times New Roman" w:cs="Times New Roman"/>
          <w:b/>
          <w:bCs/>
        </w:rPr>
        <w:t>l</w:t>
      </w:r>
      <w:r w:rsidR="005371F2" w:rsidRPr="009B31D4">
        <w:rPr>
          <w:rFonts w:ascii="Times New Roman" w:hAnsi="Times New Roman" w:cs="Times New Roman"/>
          <w:b/>
          <w:bCs/>
        </w:rPr>
        <w:t xml:space="preserve"> Table </w:t>
      </w:r>
      <w:r w:rsidR="0086553D">
        <w:rPr>
          <w:rFonts w:ascii="Times New Roman" w:hAnsi="Times New Roman" w:cs="Times New Roman"/>
          <w:b/>
          <w:bCs/>
        </w:rPr>
        <w:t>S</w:t>
      </w:r>
      <w:r w:rsidRPr="009B31D4">
        <w:rPr>
          <w:rFonts w:ascii="Times New Roman" w:hAnsi="Times New Roman" w:cs="Times New Roman"/>
          <w:b/>
          <w:bCs/>
        </w:rPr>
        <w:t>10</w:t>
      </w:r>
      <w:r w:rsidR="005371F2" w:rsidRPr="009B31D4">
        <w:rPr>
          <w:rFonts w:ascii="Times New Roman" w:hAnsi="Times New Roman" w:cs="Times New Roman"/>
        </w:rPr>
        <w:t xml:space="preserve">). </w:t>
      </w:r>
    </w:p>
    <w:p w14:paraId="15E34D01" w14:textId="77777777" w:rsidR="009B31D4" w:rsidRDefault="009B31D4" w:rsidP="005371F2">
      <w:pPr>
        <w:spacing w:after="120" w:line="480" w:lineRule="auto"/>
        <w:rPr>
          <w:rFonts w:ascii="Times New Roman" w:hAnsi="Times New Roman" w:cs="Times New Roman"/>
          <w:b/>
          <w:bCs/>
        </w:rPr>
      </w:pPr>
    </w:p>
    <w:p w14:paraId="7654F12C" w14:textId="691997D9" w:rsidR="00475525" w:rsidRPr="00B87233" w:rsidRDefault="00475525" w:rsidP="005371F2">
      <w:pPr>
        <w:spacing w:after="120" w:line="480" w:lineRule="auto"/>
        <w:rPr>
          <w:rFonts w:ascii="Times New Roman" w:hAnsi="Times New Roman" w:cs="Times New Roman"/>
          <w:u w:val="single"/>
        </w:rPr>
      </w:pPr>
      <w:r w:rsidRPr="00B87233">
        <w:rPr>
          <w:rFonts w:ascii="Times New Roman" w:hAnsi="Times New Roman" w:cs="Times New Roman"/>
          <w:u w:val="single"/>
        </w:rPr>
        <w:t>Canonical TG genes—rare and common variants</w:t>
      </w:r>
    </w:p>
    <w:p w14:paraId="310B0EBA" w14:textId="52661BFE" w:rsidR="00475525" w:rsidRPr="009B31D4" w:rsidRDefault="00475525" w:rsidP="005371F2">
      <w:pPr>
        <w:spacing w:after="120" w:line="480" w:lineRule="auto"/>
        <w:rPr>
          <w:rFonts w:ascii="Times New Roman" w:hAnsi="Times New Roman" w:cs="Times New Roman"/>
          <w:u w:val="single"/>
        </w:rPr>
      </w:pPr>
      <w:r w:rsidRPr="009B31D4">
        <w:rPr>
          <w:rStyle w:val="ui-provider"/>
          <w:rFonts w:ascii="Times New Roman" w:hAnsi="Times New Roman" w:cs="Times New Roman"/>
        </w:rPr>
        <w:t xml:space="preserve">1) </w:t>
      </w:r>
      <w:r w:rsidRPr="00B87233">
        <w:rPr>
          <w:rFonts w:ascii="Times New Roman" w:hAnsi="Times New Roman" w:cs="Times New Roman"/>
        </w:rPr>
        <w:t>Rare genetic variants within canonical TG gene regions</w:t>
      </w:r>
    </w:p>
    <w:p w14:paraId="1B79AFA5" w14:textId="7A21B163" w:rsidR="00475525" w:rsidRPr="009B31D4" w:rsidRDefault="00336B4A" w:rsidP="00475525">
      <w:pPr>
        <w:spacing w:after="120" w:line="480" w:lineRule="auto"/>
        <w:rPr>
          <w:rFonts w:ascii="Times New Roman" w:hAnsi="Times New Roman" w:cs="Times New Roman"/>
          <w:color w:val="2E2E2E"/>
        </w:rPr>
      </w:pPr>
      <w:r w:rsidRPr="009B31D4">
        <w:rPr>
          <w:rStyle w:val="ui-provider"/>
          <w:rFonts w:ascii="Times New Roman" w:hAnsi="Times New Roman" w:cs="Times New Roman"/>
        </w:rPr>
        <w:t xml:space="preserve">Less than </w:t>
      </w:r>
      <w:r w:rsidR="00475525" w:rsidRPr="009B31D4">
        <w:rPr>
          <w:rStyle w:val="ui-provider"/>
          <w:rFonts w:ascii="Times New Roman" w:hAnsi="Times New Roman" w:cs="Times New Roman"/>
        </w:rPr>
        <w:t xml:space="preserve">37.5% (N≤20) of the AHA </w:t>
      </w:r>
      <w:r w:rsidR="00B328E0" w:rsidRPr="009B31D4">
        <w:rPr>
          <w:rStyle w:val="ui-provider"/>
          <w:rFonts w:ascii="Times New Roman" w:hAnsi="Times New Roman" w:cs="Times New Roman"/>
        </w:rPr>
        <w:t xml:space="preserve">severe </w:t>
      </w:r>
      <w:r w:rsidR="00475525" w:rsidRPr="009B31D4">
        <w:rPr>
          <w:rStyle w:val="ui-provider"/>
          <w:rFonts w:ascii="Times New Roman" w:hAnsi="Times New Roman" w:cs="Times New Roman"/>
        </w:rPr>
        <w:t>HTG category and 18.8% (N=29) of the top 1% TG category carried rare functional variants (</w:t>
      </w:r>
      <w:r w:rsidR="00C80C0C" w:rsidRPr="009B31D4">
        <w:rPr>
          <w:rStyle w:val="ui-provider"/>
          <w:rFonts w:ascii="Times New Roman" w:hAnsi="Times New Roman" w:cs="Times New Roman"/>
          <w:b/>
          <w:bCs/>
        </w:rPr>
        <w:t>Supplementa</w:t>
      </w:r>
      <w:r w:rsidR="0086553D">
        <w:rPr>
          <w:rStyle w:val="ui-provider"/>
          <w:rFonts w:ascii="Times New Roman" w:hAnsi="Times New Roman" w:cs="Times New Roman"/>
          <w:b/>
          <w:bCs/>
        </w:rPr>
        <w:t>l</w:t>
      </w:r>
      <w:r w:rsidR="00C80C0C" w:rsidRPr="009B31D4">
        <w:rPr>
          <w:rStyle w:val="ui-provider"/>
          <w:rFonts w:ascii="Times New Roman" w:hAnsi="Times New Roman" w:cs="Times New Roman"/>
          <w:b/>
          <w:bCs/>
        </w:rPr>
        <w:t xml:space="preserve"> </w:t>
      </w:r>
      <w:r w:rsidR="00475525" w:rsidRPr="009B31D4">
        <w:rPr>
          <w:rStyle w:val="ui-provider"/>
          <w:rFonts w:ascii="Times New Roman" w:hAnsi="Times New Roman" w:cs="Times New Roman"/>
          <w:b/>
          <w:bCs/>
        </w:rPr>
        <w:t xml:space="preserve">Figure </w:t>
      </w:r>
      <w:r w:rsidR="0086553D">
        <w:rPr>
          <w:rStyle w:val="ui-provider"/>
          <w:rFonts w:ascii="Times New Roman" w:hAnsi="Times New Roman" w:cs="Times New Roman"/>
          <w:b/>
          <w:bCs/>
        </w:rPr>
        <w:t>S</w:t>
      </w:r>
      <w:r w:rsidR="00906A28" w:rsidRPr="009B31D4">
        <w:rPr>
          <w:rStyle w:val="ui-provider"/>
          <w:rFonts w:ascii="Times New Roman" w:hAnsi="Times New Roman" w:cs="Times New Roman"/>
          <w:b/>
          <w:bCs/>
        </w:rPr>
        <w:t>1</w:t>
      </w:r>
      <w:r w:rsidR="00475525" w:rsidRPr="009B31D4">
        <w:rPr>
          <w:rStyle w:val="ui-provider"/>
          <w:rFonts w:ascii="Times New Roman" w:hAnsi="Times New Roman" w:cs="Times New Roman"/>
        </w:rPr>
        <w:t xml:space="preserve">). </w:t>
      </w:r>
      <w:r w:rsidR="00475525" w:rsidRPr="009B31D4">
        <w:rPr>
          <w:rFonts w:ascii="Times New Roman" w:hAnsi="Times New Roman" w:cs="Times New Roman"/>
          <w:color w:val="2E2E2E"/>
        </w:rPr>
        <w:t xml:space="preserve">Individuals in the AHA </w:t>
      </w:r>
      <w:r w:rsidR="00291A23" w:rsidRPr="009B31D4">
        <w:rPr>
          <w:rFonts w:ascii="Times New Roman" w:hAnsi="Times New Roman" w:cs="Times New Roman"/>
          <w:color w:val="2E2E2E"/>
        </w:rPr>
        <w:t xml:space="preserve">severe </w:t>
      </w:r>
      <w:r w:rsidR="00475525" w:rsidRPr="009B31D4">
        <w:rPr>
          <w:rFonts w:ascii="Times New Roman" w:hAnsi="Times New Roman" w:cs="Times New Roman"/>
          <w:color w:val="2E2E2E"/>
        </w:rPr>
        <w:t>HTG and top 1% TG categories were 2.01 times (95% CI [1.01-4.00]; p=0.048) and 2.05 times (95% CI [1.36-3.09]; p=6</w:t>
      </w:r>
      <w:r w:rsidR="00475525" w:rsidRPr="009B31D4">
        <w:rPr>
          <w:rFonts w:ascii="Times New Roman" w:hAnsi="Times New Roman" w:cs="Times New Roman"/>
          <w:color w:val="2E2E2E"/>
        </w:rPr>
        <w:sym w:font="Symbol" w:char="F0B4"/>
      </w:r>
      <w:r w:rsidR="00475525" w:rsidRPr="009B31D4">
        <w:rPr>
          <w:rFonts w:ascii="Times New Roman" w:hAnsi="Times New Roman" w:cs="Times New Roman"/>
          <w:color w:val="2E2E2E"/>
        </w:rPr>
        <w:t>10</w:t>
      </w:r>
      <w:r w:rsidR="00475525" w:rsidRPr="009B31D4">
        <w:rPr>
          <w:rFonts w:ascii="Times New Roman" w:hAnsi="Times New Roman" w:cs="Times New Roman"/>
          <w:color w:val="2E2E2E"/>
          <w:vertAlign w:val="superscript"/>
        </w:rPr>
        <w:t>-4</w:t>
      </w:r>
      <w:r w:rsidR="00475525" w:rsidRPr="009B31D4">
        <w:rPr>
          <w:rFonts w:ascii="Times New Roman" w:hAnsi="Times New Roman" w:cs="Times New Roman"/>
          <w:color w:val="2E2E2E"/>
        </w:rPr>
        <w:t>) more likely to carry a rare variant compared to the normal TG group, respectively (</w:t>
      </w:r>
      <w:r w:rsidR="00C80C0C" w:rsidRPr="009B31D4">
        <w:rPr>
          <w:rStyle w:val="ui-provider"/>
          <w:rFonts w:ascii="Times New Roman" w:hAnsi="Times New Roman" w:cs="Times New Roman"/>
          <w:b/>
          <w:bCs/>
        </w:rPr>
        <w:t>Supplementa</w:t>
      </w:r>
      <w:r w:rsidR="0086553D">
        <w:rPr>
          <w:rStyle w:val="ui-provider"/>
          <w:rFonts w:ascii="Times New Roman" w:hAnsi="Times New Roman" w:cs="Times New Roman"/>
          <w:b/>
          <w:bCs/>
        </w:rPr>
        <w:t>l</w:t>
      </w:r>
      <w:r w:rsidR="00C80C0C" w:rsidRPr="009B31D4">
        <w:rPr>
          <w:rStyle w:val="ui-provider"/>
          <w:rFonts w:ascii="Times New Roman" w:hAnsi="Times New Roman" w:cs="Times New Roman"/>
          <w:b/>
          <w:bCs/>
        </w:rPr>
        <w:t xml:space="preserve"> Figure </w:t>
      </w:r>
      <w:r w:rsidR="0086553D">
        <w:rPr>
          <w:rStyle w:val="ui-provider"/>
          <w:rFonts w:ascii="Times New Roman" w:hAnsi="Times New Roman" w:cs="Times New Roman"/>
          <w:b/>
          <w:bCs/>
        </w:rPr>
        <w:t>S</w:t>
      </w:r>
      <w:r w:rsidR="00906A28" w:rsidRPr="009B31D4">
        <w:rPr>
          <w:rStyle w:val="ui-provider"/>
          <w:rFonts w:ascii="Times New Roman" w:hAnsi="Times New Roman" w:cs="Times New Roman"/>
          <w:b/>
          <w:bCs/>
        </w:rPr>
        <w:t>2</w:t>
      </w:r>
      <w:r w:rsidR="00475525" w:rsidRPr="009B31D4">
        <w:rPr>
          <w:rFonts w:ascii="Times New Roman" w:hAnsi="Times New Roman" w:cs="Times New Roman"/>
          <w:b/>
          <w:bCs/>
          <w:color w:val="2E2E2E"/>
        </w:rPr>
        <w:t>, Supplementa</w:t>
      </w:r>
      <w:r w:rsidR="0086553D">
        <w:rPr>
          <w:rFonts w:ascii="Times New Roman" w:hAnsi="Times New Roman" w:cs="Times New Roman"/>
          <w:b/>
          <w:bCs/>
          <w:color w:val="2E2E2E"/>
        </w:rPr>
        <w:t>l</w:t>
      </w:r>
      <w:r w:rsidR="00475525" w:rsidRPr="009B31D4">
        <w:rPr>
          <w:rFonts w:ascii="Times New Roman" w:hAnsi="Times New Roman" w:cs="Times New Roman"/>
          <w:b/>
          <w:bCs/>
          <w:color w:val="2E2E2E"/>
        </w:rPr>
        <w:t xml:space="preserve"> Table </w:t>
      </w:r>
      <w:r w:rsidR="0086553D">
        <w:rPr>
          <w:rFonts w:ascii="Times New Roman" w:hAnsi="Times New Roman" w:cs="Times New Roman"/>
          <w:b/>
          <w:bCs/>
          <w:color w:val="2E2E2E"/>
        </w:rPr>
        <w:t>S</w:t>
      </w:r>
      <w:r w:rsidR="00C80C0C" w:rsidRPr="009B31D4">
        <w:rPr>
          <w:rFonts w:ascii="Times New Roman" w:hAnsi="Times New Roman" w:cs="Times New Roman"/>
          <w:b/>
          <w:bCs/>
          <w:color w:val="2E2E2E"/>
        </w:rPr>
        <w:t>11</w:t>
      </w:r>
      <w:r w:rsidR="00475525" w:rsidRPr="009B31D4">
        <w:rPr>
          <w:rFonts w:ascii="Times New Roman" w:hAnsi="Times New Roman" w:cs="Times New Roman"/>
          <w:color w:val="2E2E2E"/>
        </w:rPr>
        <w:t xml:space="preserve">). </w:t>
      </w:r>
    </w:p>
    <w:p w14:paraId="3D71CA63" w14:textId="77777777" w:rsidR="002F7454" w:rsidRDefault="002F7454" w:rsidP="00475525">
      <w:pPr>
        <w:spacing w:after="120" w:line="480" w:lineRule="auto"/>
        <w:rPr>
          <w:rFonts w:ascii="Times New Roman" w:hAnsi="Times New Roman" w:cs="Times New Roman"/>
        </w:rPr>
      </w:pPr>
    </w:p>
    <w:p w14:paraId="11C6AF81" w14:textId="183ED4AE" w:rsidR="00475525" w:rsidRPr="00B87233" w:rsidRDefault="00475525" w:rsidP="00475525">
      <w:pPr>
        <w:spacing w:after="120" w:line="480" w:lineRule="auto"/>
        <w:rPr>
          <w:rFonts w:ascii="Times New Roman" w:hAnsi="Times New Roman" w:cs="Times New Roman"/>
        </w:rPr>
      </w:pPr>
      <w:r w:rsidRPr="00B87233">
        <w:rPr>
          <w:rFonts w:ascii="Times New Roman" w:hAnsi="Times New Roman" w:cs="Times New Roman"/>
        </w:rPr>
        <w:t>2) Common genetic variants within canonical TG gene regions</w:t>
      </w:r>
    </w:p>
    <w:p w14:paraId="0A0DE70E" w14:textId="799F09EA" w:rsidR="00475525" w:rsidRPr="009B31D4" w:rsidRDefault="00336B4A" w:rsidP="00475525">
      <w:pPr>
        <w:spacing w:after="120" w:line="480" w:lineRule="auto"/>
        <w:rPr>
          <w:rStyle w:val="ui-provider"/>
          <w:rFonts w:ascii="Times New Roman" w:hAnsi="Times New Roman" w:cs="Times New Roman"/>
        </w:rPr>
      </w:pPr>
      <w:r w:rsidRPr="009B31D4">
        <w:rPr>
          <w:rStyle w:val="ui-provider"/>
          <w:rFonts w:ascii="Times New Roman" w:hAnsi="Times New Roman" w:cs="Times New Roman"/>
        </w:rPr>
        <w:t xml:space="preserve">Less than </w:t>
      </w:r>
      <w:r w:rsidR="00475525" w:rsidRPr="009B31D4">
        <w:rPr>
          <w:rStyle w:val="ui-provider"/>
          <w:rFonts w:ascii="Times New Roman" w:hAnsi="Times New Roman" w:cs="Times New Roman"/>
        </w:rPr>
        <w:t xml:space="preserve">37.5% (N≤20) of the AHA </w:t>
      </w:r>
      <w:r w:rsidR="00B328E0" w:rsidRPr="009B31D4">
        <w:rPr>
          <w:rStyle w:val="ui-provider"/>
          <w:rFonts w:ascii="Times New Roman" w:hAnsi="Times New Roman" w:cs="Times New Roman"/>
        </w:rPr>
        <w:t xml:space="preserve">severe </w:t>
      </w:r>
      <w:r w:rsidR="00475525" w:rsidRPr="009B31D4">
        <w:rPr>
          <w:rStyle w:val="ui-provider"/>
          <w:rFonts w:ascii="Times New Roman" w:hAnsi="Times New Roman" w:cs="Times New Roman"/>
        </w:rPr>
        <w:t>HTG category and 20.8% (N=32) of the top 1% TG category carried the APOA5 p.S19W variant. Individuals in the AHA</w:t>
      </w:r>
      <w:r w:rsidR="00B328E0" w:rsidRPr="009B31D4">
        <w:rPr>
          <w:rStyle w:val="ui-provider"/>
          <w:rFonts w:ascii="Times New Roman" w:hAnsi="Times New Roman" w:cs="Times New Roman"/>
        </w:rPr>
        <w:t xml:space="preserve"> severe </w:t>
      </w:r>
      <w:r w:rsidR="00475525" w:rsidRPr="009B31D4">
        <w:rPr>
          <w:rStyle w:val="ui-provider"/>
          <w:rFonts w:ascii="Times New Roman" w:hAnsi="Times New Roman" w:cs="Times New Roman"/>
        </w:rPr>
        <w:t>HTG and top 1% TG categories were 2.14 times (95% CI [1.12-4.08]; p=0.02) and 1.97 times (95% CI [1.32-2.92]; p=</w:t>
      </w:r>
      <w:r w:rsidR="00475525" w:rsidRPr="009B31D4">
        <w:rPr>
          <w:rFonts w:ascii="Times New Roman" w:hAnsi="Times New Roman" w:cs="Times New Roman"/>
          <w:color w:val="2E2E2E"/>
        </w:rPr>
        <w:t>8</w:t>
      </w:r>
      <w:r w:rsidR="00475525" w:rsidRPr="009B31D4">
        <w:rPr>
          <w:rFonts w:ascii="Times New Roman" w:hAnsi="Times New Roman" w:cs="Times New Roman"/>
          <w:color w:val="2E2E2E"/>
        </w:rPr>
        <w:sym w:font="Symbol" w:char="F0B4"/>
      </w:r>
      <w:r w:rsidR="00475525" w:rsidRPr="009B31D4">
        <w:rPr>
          <w:rFonts w:ascii="Times New Roman" w:hAnsi="Times New Roman" w:cs="Times New Roman"/>
          <w:color w:val="2E2E2E"/>
        </w:rPr>
        <w:t>10</w:t>
      </w:r>
      <w:r w:rsidR="00475525" w:rsidRPr="009B31D4">
        <w:rPr>
          <w:rFonts w:ascii="Times New Roman" w:hAnsi="Times New Roman" w:cs="Times New Roman"/>
          <w:color w:val="2E2E2E"/>
          <w:vertAlign w:val="superscript"/>
        </w:rPr>
        <w:t>-4</w:t>
      </w:r>
      <w:r w:rsidR="00475525" w:rsidRPr="009B31D4">
        <w:rPr>
          <w:rStyle w:val="ui-provider"/>
          <w:rFonts w:ascii="Times New Roman" w:hAnsi="Times New Roman" w:cs="Times New Roman"/>
        </w:rPr>
        <w:t>) more likely to carry a rare variant compared to the normal TG group, respectively (</w:t>
      </w:r>
      <w:r w:rsidR="00475525" w:rsidRPr="009B31D4">
        <w:rPr>
          <w:rStyle w:val="ui-provider"/>
          <w:rFonts w:ascii="Times New Roman" w:hAnsi="Times New Roman" w:cs="Times New Roman"/>
          <w:b/>
          <w:bCs/>
        </w:rPr>
        <w:t>Supplementa</w:t>
      </w:r>
      <w:r w:rsidR="0086553D">
        <w:rPr>
          <w:rStyle w:val="ui-provider"/>
          <w:rFonts w:ascii="Times New Roman" w:hAnsi="Times New Roman" w:cs="Times New Roman"/>
          <w:b/>
          <w:bCs/>
        </w:rPr>
        <w:t>l</w:t>
      </w:r>
      <w:r w:rsidR="00475525" w:rsidRPr="009B31D4">
        <w:rPr>
          <w:rStyle w:val="ui-provider"/>
          <w:rFonts w:ascii="Times New Roman" w:hAnsi="Times New Roman" w:cs="Times New Roman"/>
          <w:b/>
          <w:bCs/>
        </w:rPr>
        <w:t xml:space="preserve"> Table </w:t>
      </w:r>
      <w:r w:rsidR="0086553D">
        <w:rPr>
          <w:rStyle w:val="ui-provider"/>
          <w:rFonts w:ascii="Times New Roman" w:hAnsi="Times New Roman" w:cs="Times New Roman"/>
          <w:b/>
          <w:bCs/>
        </w:rPr>
        <w:t>S</w:t>
      </w:r>
      <w:r w:rsidR="00F71688" w:rsidRPr="009B31D4">
        <w:rPr>
          <w:rStyle w:val="ui-provider"/>
          <w:rFonts w:ascii="Times New Roman" w:hAnsi="Times New Roman" w:cs="Times New Roman"/>
          <w:b/>
          <w:bCs/>
        </w:rPr>
        <w:t>11</w:t>
      </w:r>
      <w:r w:rsidR="00475525" w:rsidRPr="009B31D4">
        <w:rPr>
          <w:rStyle w:val="ui-provider"/>
          <w:rFonts w:ascii="Times New Roman" w:hAnsi="Times New Roman" w:cs="Times New Roman"/>
        </w:rPr>
        <w:t xml:space="preserve">). </w:t>
      </w:r>
    </w:p>
    <w:p w14:paraId="326C4C39" w14:textId="3BFB1A96" w:rsidR="00475525" w:rsidRPr="009B31D4" w:rsidRDefault="00475525" w:rsidP="00475525">
      <w:pPr>
        <w:spacing w:after="120" w:line="480" w:lineRule="auto"/>
        <w:rPr>
          <w:rStyle w:val="ui-provider"/>
          <w:rFonts w:ascii="Times New Roman" w:hAnsi="Times New Roman" w:cs="Times New Roman"/>
        </w:rPr>
      </w:pPr>
    </w:p>
    <w:p w14:paraId="4201BE87" w14:textId="14E10615" w:rsidR="00475525" w:rsidRPr="00B87233" w:rsidRDefault="00475525" w:rsidP="00475525">
      <w:pPr>
        <w:spacing w:after="120" w:line="480" w:lineRule="auto"/>
        <w:rPr>
          <w:rFonts w:ascii="Times New Roman" w:hAnsi="Times New Roman" w:cs="Times New Roman"/>
          <w:u w:val="single"/>
        </w:rPr>
      </w:pPr>
      <w:r w:rsidRPr="00B87233">
        <w:rPr>
          <w:rFonts w:ascii="Times New Roman" w:hAnsi="Times New Roman" w:cs="Times New Roman"/>
          <w:color w:val="2E2E2E"/>
          <w:u w:val="single"/>
        </w:rPr>
        <w:t xml:space="preserve">AA-derived TG </w:t>
      </w:r>
      <w:r w:rsidR="000351FF" w:rsidRPr="00B87233">
        <w:rPr>
          <w:rFonts w:ascii="Times New Roman" w:hAnsi="Times New Roman" w:cs="Times New Roman"/>
          <w:color w:val="2E2E2E"/>
          <w:u w:val="single"/>
        </w:rPr>
        <w:t>polygenic risk score (</w:t>
      </w:r>
      <w:r w:rsidRPr="00B87233">
        <w:rPr>
          <w:rFonts w:ascii="Times New Roman" w:hAnsi="Times New Roman" w:cs="Times New Roman"/>
          <w:color w:val="2E2E2E"/>
          <w:u w:val="single"/>
        </w:rPr>
        <w:t>PRS</w:t>
      </w:r>
      <w:r w:rsidR="000351FF" w:rsidRPr="00B87233">
        <w:rPr>
          <w:rFonts w:ascii="Times New Roman" w:hAnsi="Times New Roman" w:cs="Times New Roman"/>
          <w:color w:val="2E2E2E"/>
          <w:u w:val="single"/>
        </w:rPr>
        <w:t>)</w:t>
      </w:r>
      <w:r w:rsidRPr="00B87233">
        <w:rPr>
          <w:rFonts w:ascii="Times New Roman" w:hAnsi="Times New Roman" w:cs="Times New Roman"/>
          <w:color w:val="2E2E2E"/>
          <w:u w:val="single"/>
        </w:rPr>
        <w:t xml:space="preserve"> </w:t>
      </w:r>
    </w:p>
    <w:p w14:paraId="18C960A4" w14:textId="7422025C" w:rsidR="00475525" w:rsidRPr="009B31D4" w:rsidRDefault="005D1A5A" w:rsidP="00475525">
      <w:pPr>
        <w:spacing w:after="120" w:line="480" w:lineRule="auto"/>
        <w:rPr>
          <w:rFonts w:ascii="Times New Roman" w:hAnsi="Times New Roman" w:cs="Times New Roman"/>
          <w:color w:val="000000"/>
        </w:rPr>
      </w:pPr>
      <w:r w:rsidRPr="009B31D4">
        <w:rPr>
          <w:rFonts w:ascii="Times New Roman" w:hAnsi="Times New Roman" w:cs="Times New Roman"/>
        </w:rPr>
        <w:t>E</w:t>
      </w:r>
      <w:r w:rsidR="00475525" w:rsidRPr="009B31D4">
        <w:rPr>
          <w:rFonts w:ascii="Times New Roman" w:hAnsi="Times New Roman" w:cs="Times New Roman"/>
        </w:rPr>
        <w:t>levated</w:t>
      </w:r>
      <w:r w:rsidR="000351FF">
        <w:rPr>
          <w:rFonts w:ascii="Times New Roman" w:hAnsi="Times New Roman" w:cs="Times New Roman"/>
        </w:rPr>
        <w:t xml:space="preserve"> (i.e., top 10%)</w:t>
      </w:r>
      <w:r w:rsidR="00475525" w:rsidRPr="009B31D4">
        <w:rPr>
          <w:rFonts w:ascii="Times New Roman" w:hAnsi="Times New Roman" w:cs="Times New Roman"/>
        </w:rPr>
        <w:t xml:space="preserve"> TG PRS were found in ≤37.5% (N≤20) and 14.9% (N=23) of</w:t>
      </w:r>
      <w:r w:rsidR="00475525" w:rsidRPr="009B31D4">
        <w:rPr>
          <w:rFonts w:ascii="Times New Roman" w:hAnsi="Times New Roman" w:cs="Times New Roman"/>
          <w:color w:val="2E2E2E"/>
        </w:rPr>
        <w:t xml:space="preserve"> the AHA </w:t>
      </w:r>
      <w:r w:rsidR="00B328E0" w:rsidRPr="009B31D4">
        <w:rPr>
          <w:rFonts w:ascii="Times New Roman" w:hAnsi="Times New Roman" w:cs="Times New Roman"/>
          <w:color w:val="2E2E2E"/>
        </w:rPr>
        <w:t xml:space="preserve">severe </w:t>
      </w:r>
      <w:r w:rsidR="00475525" w:rsidRPr="009B31D4">
        <w:rPr>
          <w:rFonts w:ascii="Times New Roman" w:hAnsi="Times New Roman" w:cs="Times New Roman"/>
          <w:color w:val="2E2E2E"/>
        </w:rPr>
        <w:t>HTG and top 1% TG categories, respectively (</w:t>
      </w:r>
      <w:r w:rsidRPr="009B31D4">
        <w:rPr>
          <w:rStyle w:val="ui-provider"/>
          <w:rFonts w:ascii="Times New Roman" w:hAnsi="Times New Roman" w:cs="Times New Roman"/>
          <w:b/>
          <w:bCs/>
        </w:rPr>
        <w:t>Supplementary Figure 2</w:t>
      </w:r>
      <w:r w:rsidR="00475525" w:rsidRPr="009B31D4">
        <w:rPr>
          <w:rFonts w:ascii="Times New Roman" w:hAnsi="Times New Roman" w:cs="Times New Roman"/>
          <w:color w:val="2E2E2E"/>
        </w:rPr>
        <w:t xml:space="preserve">). The resulting odds ratios of having elevated TG PRS when compared to individuals in the normal TG category were similar to those of the mild-to-moderate HTG category: 1.53 (95% CI [0.72-3.25]; p=0.27) and 1.54 (95% CI [0.98-2.42]; p=0.06) for the AHA </w:t>
      </w:r>
      <w:r w:rsidR="00B328E0" w:rsidRPr="009B31D4">
        <w:rPr>
          <w:rFonts w:ascii="Times New Roman" w:hAnsi="Times New Roman" w:cs="Times New Roman"/>
          <w:color w:val="2E2E2E"/>
        </w:rPr>
        <w:t xml:space="preserve">severe </w:t>
      </w:r>
      <w:r w:rsidR="00475525" w:rsidRPr="009B31D4">
        <w:rPr>
          <w:rFonts w:ascii="Times New Roman" w:hAnsi="Times New Roman" w:cs="Times New Roman"/>
          <w:color w:val="2E2E2E"/>
        </w:rPr>
        <w:t>HTG and top 1% TG categories, respectively (</w:t>
      </w:r>
      <w:r w:rsidR="00713C5D" w:rsidRPr="009B31D4">
        <w:rPr>
          <w:rStyle w:val="ui-provider"/>
          <w:rFonts w:ascii="Times New Roman" w:hAnsi="Times New Roman" w:cs="Times New Roman"/>
          <w:b/>
          <w:bCs/>
        </w:rPr>
        <w:t xml:space="preserve">Supplementary Figure </w:t>
      </w:r>
      <w:r w:rsidR="00906A28" w:rsidRPr="009B31D4">
        <w:rPr>
          <w:rStyle w:val="ui-provider"/>
          <w:rFonts w:ascii="Times New Roman" w:hAnsi="Times New Roman" w:cs="Times New Roman"/>
          <w:b/>
          <w:bCs/>
        </w:rPr>
        <w:t>2</w:t>
      </w:r>
      <w:r w:rsidR="00475525" w:rsidRPr="009B31D4">
        <w:rPr>
          <w:rFonts w:ascii="Times New Roman" w:hAnsi="Times New Roman" w:cs="Times New Roman"/>
          <w:b/>
          <w:bCs/>
          <w:color w:val="2E2E2E"/>
        </w:rPr>
        <w:t xml:space="preserve">, Supplementary Table </w:t>
      </w:r>
      <w:r w:rsidR="00F71688" w:rsidRPr="009B31D4">
        <w:rPr>
          <w:rFonts w:ascii="Times New Roman" w:hAnsi="Times New Roman" w:cs="Times New Roman"/>
          <w:b/>
          <w:bCs/>
          <w:color w:val="2E2E2E"/>
        </w:rPr>
        <w:t>11</w:t>
      </w:r>
      <w:r w:rsidR="00475525" w:rsidRPr="009B31D4">
        <w:rPr>
          <w:rFonts w:ascii="Times New Roman" w:hAnsi="Times New Roman" w:cs="Times New Roman"/>
          <w:color w:val="2E2E2E"/>
        </w:rPr>
        <w:t xml:space="preserve">). </w:t>
      </w:r>
    </w:p>
    <w:p w14:paraId="599B9DCE" w14:textId="655A4D52" w:rsidR="00475525" w:rsidRPr="009B31D4" w:rsidRDefault="00475525" w:rsidP="00475525">
      <w:pPr>
        <w:spacing w:after="120" w:line="480" w:lineRule="auto"/>
        <w:rPr>
          <w:rStyle w:val="ui-provider"/>
          <w:rFonts w:ascii="Times New Roman" w:hAnsi="Times New Roman" w:cs="Times New Roman"/>
        </w:rPr>
      </w:pPr>
    </w:p>
    <w:p w14:paraId="74EA2261" w14:textId="0351582B" w:rsidR="00475525" w:rsidRPr="00B87233" w:rsidRDefault="00475525" w:rsidP="00475525">
      <w:pPr>
        <w:spacing w:after="120" w:line="480" w:lineRule="auto"/>
        <w:rPr>
          <w:rFonts w:ascii="Times New Roman" w:hAnsi="Times New Roman" w:cs="Times New Roman"/>
          <w:u w:val="single"/>
        </w:rPr>
      </w:pPr>
      <w:r w:rsidRPr="00B87233">
        <w:rPr>
          <w:rFonts w:ascii="Times New Roman" w:hAnsi="Times New Roman" w:cs="Times New Roman"/>
          <w:color w:val="2E2E2E"/>
          <w:u w:val="single"/>
        </w:rPr>
        <w:t>Accumulation of potential</w:t>
      </w:r>
      <w:r w:rsidR="00766013" w:rsidRPr="00B87233">
        <w:rPr>
          <w:rFonts w:ascii="Times New Roman" w:hAnsi="Times New Roman" w:cs="Times New Roman"/>
          <w:color w:val="2E2E2E"/>
          <w:u w:val="single"/>
        </w:rPr>
        <w:t>ly</w:t>
      </w:r>
      <w:r w:rsidRPr="00B87233">
        <w:rPr>
          <w:rFonts w:ascii="Times New Roman" w:hAnsi="Times New Roman" w:cs="Times New Roman"/>
          <w:color w:val="2E2E2E"/>
          <w:u w:val="single"/>
        </w:rPr>
        <w:t xml:space="preserve"> causal TG variants</w:t>
      </w:r>
    </w:p>
    <w:p w14:paraId="55080698" w14:textId="3D87FA26" w:rsidR="00067E8A" w:rsidRPr="009B31D4" w:rsidRDefault="00564E51" w:rsidP="00067E8A">
      <w:pPr>
        <w:spacing w:after="120" w:line="480" w:lineRule="auto"/>
        <w:rPr>
          <w:rFonts w:ascii="Times New Roman" w:hAnsi="Times New Roman" w:cs="Times New Roman"/>
          <w:color w:val="2E2E2E"/>
        </w:rPr>
      </w:pPr>
      <w:r w:rsidRPr="009B31D4">
        <w:rPr>
          <w:rFonts w:ascii="Times New Roman" w:hAnsi="Times New Roman" w:cs="Times New Roman"/>
          <w:color w:val="2E2E2E"/>
        </w:rPr>
        <w:t>E</w:t>
      </w:r>
      <w:r w:rsidR="00067E8A" w:rsidRPr="009B31D4">
        <w:rPr>
          <w:rFonts w:ascii="Times New Roman" w:hAnsi="Times New Roman" w:cs="Times New Roman"/>
          <w:color w:val="2E2E2E"/>
        </w:rPr>
        <w:t>nrich</w:t>
      </w:r>
      <w:r w:rsidR="00C343FB">
        <w:rPr>
          <w:rFonts w:ascii="Times New Roman" w:hAnsi="Times New Roman" w:cs="Times New Roman"/>
          <w:color w:val="2E2E2E"/>
        </w:rPr>
        <w:t xml:space="preserve">ment (i.e., top 10% </w:t>
      </w:r>
      <w:r w:rsidR="00D21E7D">
        <w:rPr>
          <w:rFonts w:ascii="Times New Roman" w:hAnsi="Times New Roman" w:cs="Times New Roman"/>
          <w:color w:val="2E2E2E"/>
        </w:rPr>
        <w:t>allele count)</w:t>
      </w:r>
      <w:r w:rsidR="00C343FB">
        <w:rPr>
          <w:rFonts w:ascii="Times New Roman" w:hAnsi="Times New Roman" w:cs="Times New Roman"/>
          <w:color w:val="2E2E2E"/>
        </w:rPr>
        <w:t xml:space="preserve"> for the 145</w:t>
      </w:r>
      <w:r w:rsidR="00067E8A" w:rsidRPr="009B31D4">
        <w:rPr>
          <w:rFonts w:ascii="Times New Roman" w:hAnsi="Times New Roman" w:cs="Times New Roman"/>
          <w:color w:val="2E2E2E"/>
        </w:rPr>
        <w:t xml:space="preserve"> </w:t>
      </w:r>
      <w:r w:rsidR="00067E8A" w:rsidRPr="009B31D4">
        <w:rPr>
          <w:rFonts w:ascii="Times New Roman" w:hAnsi="Times New Roman" w:cs="Times New Roman"/>
        </w:rPr>
        <w:t>potential</w:t>
      </w:r>
      <w:r w:rsidR="00766013">
        <w:rPr>
          <w:rFonts w:ascii="Times New Roman" w:hAnsi="Times New Roman" w:cs="Times New Roman"/>
        </w:rPr>
        <w:t>ly</w:t>
      </w:r>
      <w:r w:rsidR="00067E8A" w:rsidRPr="009B31D4">
        <w:rPr>
          <w:rFonts w:ascii="Times New Roman" w:hAnsi="Times New Roman" w:cs="Times New Roman"/>
        </w:rPr>
        <w:t xml:space="preserve"> causal TG variants w</w:t>
      </w:r>
      <w:r w:rsidR="00C343FB">
        <w:rPr>
          <w:rFonts w:ascii="Times New Roman" w:hAnsi="Times New Roman" w:cs="Times New Roman"/>
        </w:rPr>
        <w:t>as</w:t>
      </w:r>
      <w:r w:rsidR="00067E8A" w:rsidRPr="009B31D4">
        <w:rPr>
          <w:rFonts w:ascii="Times New Roman" w:hAnsi="Times New Roman" w:cs="Times New Roman"/>
        </w:rPr>
        <w:t xml:space="preserve"> identified in ≤37.5% (N≤20) and 16.9% (N=26) of AA individuals in</w:t>
      </w:r>
      <w:r w:rsidR="00067E8A" w:rsidRPr="009B31D4">
        <w:rPr>
          <w:rFonts w:ascii="Times New Roman" w:hAnsi="Times New Roman" w:cs="Times New Roman"/>
          <w:color w:val="2E2E2E"/>
        </w:rPr>
        <w:t xml:space="preserve"> the AHA </w:t>
      </w:r>
      <w:r w:rsidR="004D08E4" w:rsidRPr="009B31D4">
        <w:rPr>
          <w:rFonts w:ascii="Times New Roman" w:hAnsi="Times New Roman" w:cs="Times New Roman"/>
          <w:color w:val="2E2E2E"/>
        </w:rPr>
        <w:t xml:space="preserve">severe </w:t>
      </w:r>
      <w:r w:rsidR="00067E8A" w:rsidRPr="009B31D4">
        <w:rPr>
          <w:rFonts w:ascii="Times New Roman" w:hAnsi="Times New Roman" w:cs="Times New Roman"/>
          <w:color w:val="2E2E2E"/>
        </w:rPr>
        <w:t>HTG and top 1% TG categories, respectively (</w:t>
      </w:r>
      <w:r w:rsidRPr="009B31D4">
        <w:rPr>
          <w:rStyle w:val="ui-provider"/>
          <w:rFonts w:ascii="Times New Roman" w:hAnsi="Times New Roman" w:cs="Times New Roman"/>
          <w:b/>
          <w:bCs/>
        </w:rPr>
        <w:t xml:space="preserve">Supplementary Figure </w:t>
      </w:r>
      <w:r w:rsidR="00906A28" w:rsidRPr="009B31D4">
        <w:rPr>
          <w:rStyle w:val="ui-provider"/>
          <w:rFonts w:ascii="Times New Roman" w:hAnsi="Times New Roman" w:cs="Times New Roman"/>
          <w:b/>
          <w:bCs/>
        </w:rPr>
        <w:t>1</w:t>
      </w:r>
      <w:r w:rsidR="00067E8A" w:rsidRPr="009B31D4">
        <w:rPr>
          <w:rFonts w:ascii="Times New Roman" w:hAnsi="Times New Roman" w:cs="Times New Roman"/>
          <w:color w:val="2E2E2E"/>
        </w:rPr>
        <w:t xml:space="preserve">). </w:t>
      </w:r>
      <w:r w:rsidR="00067E8A" w:rsidRPr="009B31D4">
        <w:rPr>
          <w:rFonts w:ascii="Times New Roman" w:hAnsi="Times New Roman" w:cs="Times New Roman"/>
        </w:rPr>
        <w:t>AA individuals in</w:t>
      </w:r>
      <w:r w:rsidR="00067E8A" w:rsidRPr="009B31D4">
        <w:rPr>
          <w:rFonts w:ascii="Times New Roman" w:hAnsi="Times New Roman" w:cs="Times New Roman"/>
          <w:color w:val="2E2E2E"/>
        </w:rPr>
        <w:t xml:space="preserve"> the top AHA </w:t>
      </w:r>
      <w:r w:rsidR="004D08E4" w:rsidRPr="009B31D4">
        <w:rPr>
          <w:rFonts w:ascii="Times New Roman" w:hAnsi="Times New Roman" w:cs="Times New Roman"/>
          <w:color w:val="2E2E2E"/>
        </w:rPr>
        <w:t xml:space="preserve">severe </w:t>
      </w:r>
      <w:r w:rsidR="00067E8A" w:rsidRPr="009B31D4">
        <w:rPr>
          <w:rFonts w:ascii="Times New Roman" w:hAnsi="Times New Roman" w:cs="Times New Roman"/>
          <w:color w:val="2E2E2E"/>
        </w:rPr>
        <w:t>HTG and 1% TG categories were more likely to be enriched for potential</w:t>
      </w:r>
      <w:r w:rsidR="00766013">
        <w:rPr>
          <w:rFonts w:ascii="Times New Roman" w:hAnsi="Times New Roman" w:cs="Times New Roman"/>
          <w:color w:val="2E2E2E"/>
        </w:rPr>
        <w:t>ly</w:t>
      </w:r>
      <w:r w:rsidR="00067E8A" w:rsidRPr="009B31D4">
        <w:rPr>
          <w:rFonts w:ascii="Times New Roman" w:hAnsi="Times New Roman" w:cs="Times New Roman"/>
          <w:color w:val="2E2E2E"/>
        </w:rPr>
        <w:t xml:space="preserve"> causal TG variants (OR=2.25, 95% CI [1.16-4.38]; p=1.7</w:t>
      </w:r>
      <w:r w:rsidR="00067E8A" w:rsidRPr="009B31D4">
        <w:rPr>
          <w:rFonts w:ascii="Times New Roman" w:hAnsi="Times New Roman" w:cs="Times New Roman"/>
          <w:color w:val="2E2E2E"/>
        </w:rPr>
        <w:sym w:font="Symbol" w:char="F0B4"/>
      </w:r>
      <w:r w:rsidR="00067E8A" w:rsidRPr="009B31D4">
        <w:rPr>
          <w:rFonts w:ascii="Times New Roman" w:hAnsi="Times New Roman" w:cs="Times New Roman"/>
          <w:color w:val="2E2E2E"/>
        </w:rPr>
        <w:t>10</w:t>
      </w:r>
      <w:r w:rsidR="00067E8A" w:rsidRPr="009B31D4">
        <w:rPr>
          <w:rFonts w:ascii="Times New Roman" w:hAnsi="Times New Roman" w:cs="Times New Roman"/>
          <w:color w:val="2E2E2E"/>
          <w:vertAlign w:val="superscript"/>
        </w:rPr>
        <w:t>-3</w:t>
      </w:r>
      <w:r w:rsidR="00067E8A" w:rsidRPr="009B31D4">
        <w:rPr>
          <w:rFonts w:ascii="Times New Roman" w:hAnsi="Times New Roman" w:cs="Times New Roman"/>
          <w:color w:val="2E2E2E"/>
        </w:rPr>
        <w:t xml:space="preserve"> and OR=1.79, 95% CI [1.16-2.74]; p=7.9</w:t>
      </w:r>
      <w:r w:rsidR="00067E8A" w:rsidRPr="009B31D4">
        <w:rPr>
          <w:rFonts w:ascii="Times New Roman" w:hAnsi="Times New Roman" w:cs="Times New Roman"/>
          <w:color w:val="2E2E2E"/>
        </w:rPr>
        <w:sym w:font="Symbol" w:char="F0B4"/>
      </w:r>
      <w:r w:rsidR="00067E8A" w:rsidRPr="009B31D4">
        <w:rPr>
          <w:rFonts w:ascii="Times New Roman" w:hAnsi="Times New Roman" w:cs="Times New Roman"/>
          <w:color w:val="2E2E2E"/>
        </w:rPr>
        <w:t>10</w:t>
      </w:r>
      <w:r w:rsidR="00067E8A" w:rsidRPr="009B31D4">
        <w:rPr>
          <w:rFonts w:ascii="Times New Roman" w:hAnsi="Times New Roman" w:cs="Times New Roman"/>
          <w:color w:val="2E2E2E"/>
          <w:vertAlign w:val="superscript"/>
        </w:rPr>
        <w:t>-3</w:t>
      </w:r>
      <w:r w:rsidR="00067E8A" w:rsidRPr="009B31D4">
        <w:rPr>
          <w:rFonts w:ascii="Times New Roman" w:hAnsi="Times New Roman" w:cs="Times New Roman"/>
          <w:color w:val="2E2E2E"/>
        </w:rPr>
        <w:t>, respectively) compared to the normal TG category (</w:t>
      </w:r>
      <w:r w:rsidR="0066703A" w:rsidRPr="009B31D4">
        <w:rPr>
          <w:rStyle w:val="ui-provider"/>
          <w:rFonts w:ascii="Times New Roman" w:hAnsi="Times New Roman" w:cs="Times New Roman"/>
          <w:b/>
          <w:bCs/>
        </w:rPr>
        <w:t xml:space="preserve">Supplementary Figure </w:t>
      </w:r>
      <w:r w:rsidR="00906A28" w:rsidRPr="009B31D4">
        <w:rPr>
          <w:rStyle w:val="ui-provider"/>
          <w:rFonts w:ascii="Times New Roman" w:hAnsi="Times New Roman" w:cs="Times New Roman"/>
          <w:b/>
          <w:bCs/>
        </w:rPr>
        <w:t>2</w:t>
      </w:r>
      <w:r w:rsidR="0066703A" w:rsidRPr="009B31D4">
        <w:rPr>
          <w:rStyle w:val="ui-provider"/>
          <w:rFonts w:ascii="Times New Roman" w:hAnsi="Times New Roman" w:cs="Times New Roman"/>
          <w:b/>
          <w:bCs/>
        </w:rPr>
        <w:t xml:space="preserve">, </w:t>
      </w:r>
      <w:r w:rsidR="00067E8A" w:rsidRPr="009B31D4">
        <w:rPr>
          <w:rFonts w:ascii="Times New Roman" w:hAnsi="Times New Roman" w:cs="Times New Roman"/>
          <w:b/>
          <w:bCs/>
          <w:color w:val="2E2E2E"/>
        </w:rPr>
        <w:t xml:space="preserve">Supplementary Table </w:t>
      </w:r>
      <w:r w:rsidR="00F71688" w:rsidRPr="009B31D4">
        <w:rPr>
          <w:rFonts w:ascii="Times New Roman" w:hAnsi="Times New Roman" w:cs="Times New Roman"/>
          <w:b/>
          <w:bCs/>
          <w:color w:val="2E2E2E"/>
        </w:rPr>
        <w:t>11</w:t>
      </w:r>
      <w:r w:rsidR="00067E8A" w:rsidRPr="009B31D4">
        <w:rPr>
          <w:rFonts w:ascii="Times New Roman" w:hAnsi="Times New Roman" w:cs="Times New Roman"/>
          <w:color w:val="2E2E2E"/>
        </w:rPr>
        <w:t xml:space="preserve">). </w:t>
      </w:r>
    </w:p>
    <w:p w14:paraId="49EEAF8B" w14:textId="1BC61CC3" w:rsidR="00067E8A" w:rsidRPr="009B31D4" w:rsidRDefault="00067E8A" w:rsidP="00067E8A">
      <w:pPr>
        <w:spacing w:after="120" w:line="480" w:lineRule="auto"/>
        <w:rPr>
          <w:rFonts w:ascii="Times New Roman" w:hAnsi="Times New Roman" w:cs="Times New Roman"/>
          <w:b/>
          <w:bCs/>
          <w:color w:val="2E2E2E"/>
        </w:rPr>
      </w:pPr>
    </w:p>
    <w:p w14:paraId="4D3BDCDD" w14:textId="29A1B56F" w:rsidR="00067E8A" w:rsidRPr="00B87233" w:rsidRDefault="00067E8A" w:rsidP="00067E8A">
      <w:pPr>
        <w:spacing w:after="120" w:line="480" w:lineRule="auto"/>
        <w:rPr>
          <w:rFonts w:ascii="Times New Roman" w:hAnsi="Times New Roman" w:cs="Times New Roman"/>
          <w:color w:val="2E2E2E"/>
          <w:u w:val="single"/>
        </w:rPr>
      </w:pPr>
      <w:r w:rsidRPr="00B87233">
        <w:rPr>
          <w:rFonts w:ascii="Times New Roman" w:hAnsi="Times New Roman" w:cs="Times New Roman"/>
          <w:color w:val="2E2E2E"/>
          <w:u w:val="single"/>
        </w:rPr>
        <w:t>Collective Genetic Risk Factors</w:t>
      </w:r>
    </w:p>
    <w:p w14:paraId="47C595F8" w14:textId="5A23C8BA" w:rsidR="00836982" w:rsidRPr="001C1165" w:rsidRDefault="00564E51" w:rsidP="00B431C2">
      <w:pPr>
        <w:spacing w:after="120" w:line="480" w:lineRule="auto"/>
        <w:rPr>
          <w:rFonts w:ascii="Times New Roman" w:eastAsia="Times New Roman" w:hAnsi="Times New Roman" w:cs="Times New Roman"/>
          <w:kern w:val="0"/>
          <w14:ligatures w14:val="none"/>
        </w:rPr>
      </w:pPr>
      <w:r w:rsidRPr="009B31D4">
        <w:rPr>
          <w:rFonts w:ascii="Times New Roman" w:hAnsi="Times New Roman" w:cs="Times New Roman"/>
          <w:color w:val="2E2E2E"/>
        </w:rPr>
        <w:t>P</w:t>
      </w:r>
      <w:r w:rsidR="00067E8A" w:rsidRPr="009B31D4">
        <w:rPr>
          <w:rFonts w:ascii="Times New Roman" w:hAnsi="Times New Roman" w:cs="Times New Roman"/>
          <w:color w:val="2E2E2E"/>
        </w:rPr>
        <w:t xml:space="preserve">atients with at least one genetic risk factor represented 57.4% (N=31) and 55.2% (N=85) of the AHA </w:t>
      </w:r>
      <w:r w:rsidR="004D08E4" w:rsidRPr="009B31D4">
        <w:rPr>
          <w:rFonts w:ascii="Times New Roman" w:hAnsi="Times New Roman" w:cs="Times New Roman"/>
          <w:color w:val="2E2E2E"/>
        </w:rPr>
        <w:t xml:space="preserve">severe </w:t>
      </w:r>
      <w:r w:rsidR="00067E8A" w:rsidRPr="009B31D4">
        <w:rPr>
          <w:rFonts w:ascii="Times New Roman" w:hAnsi="Times New Roman" w:cs="Times New Roman"/>
          <w:color w:val="2E2E2E"/>
        </w:rPr>
        <w:t>HTG and the top 1% TG categories (</w:t>
      </w:r>
      <w:r w:rsidR="00437C16" w:rsidRPr="009B31D4">
        <w:rPr>
          <w:rStyle w:val="ui-provider"/>
          <w:rFonts w:ascii="Times New Roman" w:hAnsi="Times New Roman" w:cs="Times New Roman"/>
          <w:b/>
          <w:bCs/>
        </w:rPr>
        <w:t xml:space="preserve">Supplementary Figure </w:t>
      </w:r>
      <w:r w:rsidR="00906A28" w:rsidRPr="009B31D4">
        <w:rPr>
          <w:rStyle w:val="ui-provider"/>
          <w:rFonts w:ascii="Times New Roman" w:hAnsi="Times New Roman" w:cs="Times New Roman"/>
          <w:b/>
          <w:bCs/>
        </w:rPr>
        <w:t>1</w:t>
      </w:r>
      <w:r w:rsidR="00067E8A" w:rsidRPr="009B31D4">
        <w:rPr>
          <w:rFonts w:ascii="Times New Roman" w:hAnsi="Times New Roman" w:cs="Times New Roman"/>
          <w:color w:val="2E2E2E"/>
        </w:rPr>
        <w:t xml:space="preserve">). When compared to the normal TG category, individuals in the AHA </w:t>
      </w:r>
      <w:r w:rsidR="004D08E4" w:rsidRPr="009B31D4">
        <w:rPr>
          <w:rFonts w:ascii="Times New Roman" w:hAnsi="Times New Roman" w:cs="Times New Roman"/>
          <w:color w:val="2E2E2E"/>
        </w:rPr>
        <w:t xml:space="preserve">severe </w:t>
      </w:r>
      <w:r w:rsidR="00067E8A" w:rsidRPr="009B31D4">
        <w:rPr>
          <w:rFonts w:ascii="Times New Roman" w:hAnsi="Times New Roman" w:cs="Times New Roman"/>
          <w:color w:val="2E2E2E"/>
        </w:rPr>
        <w:t xml:space="preserve">HTG and top 1% TG were 2.48 and 2.27 </w:t>
      </w:r>
      <w:r w:rsidR="00067E8A" w:rsidRPr="009B31D4">
        <w:rPr>
          <w:rFonts w:ascii="Times New Roman" w:hAnsi="Times New Roman" w:cs="Times New Roman"/>
          <w:color w:val="2E2E2E"/>
        </w:rPr>
        <w:lastRenderedPageBreak/>
        <w:t>times more likely (95% CI [1.45-4.27], p-value=0.001 and 95% CI [1.65-3.13], p=5.51</w:t>
      </w:r>
      <w:r w:rsidR="00067E8A" w:rsidRPr="009B31D4">
        <w:rPr>
          <w:rFonts w:ascii="Times New Roman" w:hAnsi="Times New Roman" w:cs="Times New Roman"/>
          <w:color w:val="2E2E2E"/>
        </w:rPr>
        <w:sym w:font="Symbol" w:char="F0B4"/>
      </w:r>
      <w:r w:rsidR="00067E8A" w:rsidRPr="009B31D4">
        <w:rPr>
          <w:rFonts w:ascii="Times New Roman" w:hAnsi="Times New Roman" w:cs="Times New Roman"/>
          <w:color w:val="2E2E2E"/>
        </w:rPr>
        <w:t>10</w:t>
      </w:r>
      <w:r w:rsidR="00067E8A" w:rsidRPr="009B31D4">
        <w:rPr>
          <w:rFonts w:ascii="Times New Roman" w:hAnsi="Times New Roman" w:cs="Times New Roman"/>
          <w:color w:val="2E2E2E"/>
          <w:vertAlign w:val="superscript"/>
        </w:rPr>
        <w:t>-7</w:t>
      </w:r>
      <w:r w:rsidR="00067E8A" w:rsidRPr="009B31D4">
        <w:rPr>
          <w:rFonts w:ascii="Times New Roman" w:hAnsi="Times New Roman" w:cs="Times New Roman"/>
          <w:color w:val="2E2E2E"/>
        </w:rPr>
        <w:t>, respectively) to carry a genetic risk factor (</w:t>
      </w:r>
      <w:r w:rsidR="0066703A" w:rsidRPr="009B31D4">
        <w:rPr>
          <w:rStyle w:val="ui-provider"/>
          <w:rFonts w:ascii="Times New Roman" w:hAnsi="Times New Roman" w:cs="Times New Roman"/>
          <w:b/>
          <w:bCs/>
        </w:rPr>
        <w:t xml:space="preserve">Supplementary Figure </w:t>
      </w:r>
      <w:r w:rsidR="00DF5FFB">
        <w:rPr>
          <w:rStyle w:val="ui-provider"/>
          <w:rFonts w:ascii="Times New Roman" w:hAnsi="Times New Roman" w:cs="Times New Roman"/>
          <w:b/>
          <w:bCs/>
        </w:rPr>
        <w:t>2</w:t>
      </w:r>
      <w:r w:rsidR="00067E8A" w:rsidRPr="009B31D4">
        <w:rPr>
          <w:rFonts w:ascii="Times New Roman" w:hAnsi="Times New Roman" w:cs="Times New Roman"/>
          <w:b/>
          <w:bCs/>
          <w:color w:val="2E2E2E"/>
        </w:rPr>
        <w:t xml:space="preserve">, Supplementary Table </w:t>
      </w:r>
      <w:r w:rsidR="00F71688" w:rsidRPr="009B31D4">
        <w:rPr>
          <w:rFonts w:ascii="Times New Roman" w:hAnsi="Times New Roman" w:cs="Times New Roman"/>
          <w:b/>
          <w:bCs/>
          <w:color w:val="2E2E2E"/>
        </w:rPr>
        <w:t>11</w:t>
      </w:r>
      <w:r w:rsidR="00067E8A" w:rsidRPr="009B31D4">
        <w:rPr>
          <w:rFonts w:ascii="Times New Roman" w:hAnsi="Times New Roman" w:cs="Times New Roman"/>
          <w:color w:val="2E2E2E"/>
        </w:rPr>
        <w:t xml:space="preserve">). </w:t>
      </w:r>
    </w:p>
    <w:sectPr w:rsidR="00836982" w:rsidRPr="001C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F2"/>
    <w:rsid w:val="0001141B"/>
    <w:rsid w:val="000351FF"/>
    <w:rsid w:val="00047EF0"/>
    <w:rsid w:val="00062D9C"/>
    <w:rsid w:val="00067E8A"/>
    <w:rsid w:val="00094986"/>
    <w:rsid w:val="000C3CAD"/>
    <w:rsid w:val="00106C8A"/>
    <w:rsid w:val="0013093C"/>
    <w:rsid w:val="001518D0"/>
    <w:rsid w:val="00155142"/>
    <w:rsid w:val="00191CB0"/>
    <w:rsid w:val="001A280F"/>
    <w:rsid w:val="001C1165"/>
    <w:rsid w:val="00201BBD"/>
    <w:rsid w:val="00234F8E"/>
    <w:rsid w:val="00291A23"/>
    <w:rsid w:val="002D4D09"/>
    <w:rsid w:val="002F7454"/>
    <w:rsid w:val="00336B4A"/>
    <w:rsid w:val="003634C1"/>
    <w:rsid w:val="003759BF"/>
    <w:rsid w:val="00395AB6"/>
    <w:rsid w:val="003A7D41"/>
    <w:rsid w:val="003F06A0"/>
    <w:rsid w:val="00404452"/>
    <w:rsid w:val="00426065"/>
    <w:rsid w:val="00431503"/>
    <w:rsid w:val="00437C16"/>
    <w:rsid w:val="0046779B"/>
    <w:rsid w:val="00475525"/>
    <w:rsid w:val="00484FE3"/>
    <w:rsid w:val="004A4925"/>
    <w:rsid w:val="004D08E4"/>
    <w:rsid w:val="005371F2"/>
    <w:rsid w:val="005626C2"/>
    <w:rsid w:val="00564E51"/>
    <w:rsid w:val="005737A3"/>
    <w:rsid w:val="00597D73"/>
    <w:rsid w:val="005D1A5A"/>
    <w:rsid w:val="005F611C"/>
    <w:rsid w:val="00610C3E"/>
    <w:rsid w:val="00634863"/>
    <w:rsid w:val="0066703A"/>
    <w:rsid w:val="00692AD9"/>
    <w:rsid w:val="006C2A17"/>
    <w:rsid w:val="00713C5D"/>
    <w:rsid w:val="007165DE"/>
    <w:rsid w:val="0073146B"/>
    <w:rsid w:val="00766013"/>
    <w:rsid w:val="007F29B1"/>
    <w:rsid w:val="00806E62"/>
    <w:rsid w:val="008177DF"/>
    <w:rsid w:val="00827EE4"/>
    <w:rsid w:val="00836982"/>
    <w:rsid w:val="00852489"/>
    <w:rsid w:val="0086553D"/>
    <w:rsid w:val="00866DA7"/>
    <w:rsid w:val="008C226B"/>
    <w:rsid w:val="008E77B9"/>
    <w:rsid w:val="00906A28"/>
    <w:rsid w:val="0092196F"/>
    <w:rsid w:val="00942119"/>
    <w:rsid w:val="00972069"/>
    <w:rsid w:val="009B31D4"/>
    <w:rsid w:val="009E1551"/>
    <w:rsid w:val="009E7E9B"/>
    <w:rsid w:val="00A947B2"/>
    <w:rsid w:val="00AB35C1"/>
    <w:rsid w:val="00AD083F"/>
    <w:rsid w:val="00B328E0"/>
    <w:rsid w:val="00B42E23"/>
    <w:rsid w:val="00B431C2"/>
    <w:rsid w:val="00B65537"/>
    <w:rsid w:val="00B87233"/>
    <w:rsid w:val="00BA398C"/>
    <w:rsid w:val="00C177CA"/>
    <w:rsid w:val="00C343FB"/>
    <w:rsid w:val="00C36AE8"/>
    <w:rsid w:val="00C62B15"/>
    <w:rsid w:val="00C80C0C"/>
    <w:rsid w:val="00CC202F"/>
    <w:rsid w:val="00CE24FC"/>
    <w:rsid w:val="00D10350"/>
    <w:rsid w:val="00D16025"/>
    <w:rsid w:val="00D21E7D"/>
    <w:rsid w:val="00D452C0"/>
    <w:rsid w:val="00DC3BE0"/>
    <w:rsid w:val="00DE7F16"/>
    <w:rsid w:val="00DF5FFB"/>
    <w:rsid w:val="00E60BF7"/>
    <w:rsid w:val="00E61172"/>
    <w:rsid w:val="00E93F0B"/>
    <w:rsid w:val="00EF2944"/>
    <w:rsid w:val="00F71688"/>
    <w:rsid w:val="00F77703"/>
    <w:rsid w:val="00FE443A"/>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6141"/>
  <w15:chartTrackingRefBased/>
  <w15:docId w15:val="{AAA5F4E4-4A88-4147-B81D-FC958641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1F2"/>
    <w:rPr>
      <w:color w:val="0000FF"/>
      <w:u w:val="single"/>
    </w:rPr>
  </w:style>
  <w:style w:type="character" w:styleId="CommentReference">
    <w:name w:val="annotation reference"/>
    <w:basedOn w:val="DefaultParagraphFont"/>
    <w:uiPriority w:val="99"/>
    <w:semiHidden/>
    <w:unhideWhenUsed/>
    <w:rsid w:val="005371F2"/>
    <w:rPr>
      <w:sz w:val="16"/>
      <w:szCs w:val="16"/>
    </w:rPr>
  </w:style>
  <w:style w:type="paragraph" w:styleId="CommentText">
    <w:name w:val="annotation text"/>
    <w:basedOn w:val="Normal"/>
    <w:link w:val="CommentTextChar"/>
    <w:uiPriority w:val="99"/>
    <w:unhideWhenUsed/>
    <w:rsid w:val="005371F2"/>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5371F2"/>
    <w:rPr>
      <w:rFonts w:ascii="Times New Roman" w:eastAsia="Times New Roman" w:hAnsi="Times New Roman" w:cs="Times New Roman"/>
      <w:kern w:val="0"/>
      <w:sz w:val="20"/>
      <w:szCs w:val="20"/>
      <w14:ligatures w14:val="none"/>
    </w:rPr>
  </w:style>
  <w:style w:type="character" w:customStyle="1" w:styleId="ui-provider">
    <w:name w:val="ui-provider"/>
    <w:basedOn w:val="DefaultParagraphFont"/>
    <w:rsid w:val="00475525"/>
  </w:style>
  <w:style w:type="paragraph" w:styleId="Revision">
    <w:name w:val="Revision"/>
    <w:hidden/>
    <w:uiPriority w:val="99"/>
    <w:semiHidden/>
    <w:rsid w:val="00CE24FC"/>
  </w:style>
  <w:style w:type="paragraph" w:styleId="CommentSubject">
    <w:name w:val="annotation subject"/>
    <w:basedOn w:val="CommentText"/>
    <w:next w:val="CommentText"/>
    <w:link w:val="CommentSubjectChar"/>
    <w:uiPriority w:val="99"/>
    <w:semiHidden/>
    <w:unhideWhenUsed/>
    <w:rsid w:val="003F06A0"/>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3F06A0"/>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Qiping</dc:creator>
  <cp:keywords/>
  <dc:description/>
  <cp:lastModifiedBy>Dickson, Alyson L</cp:lastModifiedBy>
  <cp:revision>4</cp:revision>
  <dcterms:created xsi:type="dcterms:W3CDTF">2024-03-11T13:23:00Z</dcterms:created>
  <dcterms:modified xsi:type="dcterms:W3CDTF">2024-03-11T13:57:00Z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2023-11-21T22:15:47Z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97623f1b-01eb-4ffe-a4a5-c883cb9c1cf9</vt:lpwstr>
  </property>
  <property fmtid="{D5CDD505-2E9C-101B-9397-08002B2CF9AE}" pid="8" name="MSIP_Label_792c8cef-6f2b-4af1-b4ac-d815ff795cd6_ContentBits">
    <vt:lpwstr>0</vt:lpwstr>
  </property>
</Properties>
</file>