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BE1D" w14:textId="77777777" w:rsidR="000D5988" w:rsidRPr="00344979" w:rsidRDefault="00000000" w:rsidP="003D6ECF">
      <w:pPr>
        <w:spacing w:after="0"/>
        <w:jc w:val="center"/>
        <w:rPr>
          <w:rFonts w:ascii="Times New Roman" w:hAnsi="Times New Roman" w:cs="Times New Roman"/>
          <w:sz w:val="36"/>
          <w:szCs w:val="36"/>
        </w:rPr>
      </w:pPr>
      <w:r w:rsidRPr="00344979">
        <w:rPr>
          <w:rFonts w:ascii="Times New Roman" w:hAnsi="Times New Roman" w:cs="Times New Roman"/>
          <w:sz w:val="36"/>
          <w:szCs w:val="36"/>
        </w:rPr>
        <w:t>Supplemental Information for</w:t>
      </w:r>
      <w:r w:rsidR="00BD12DE" w:rsidRPr="00344979">
        <w:rPr>
          <w:rFonts w:ascii="Times New Roman" w:hAnsi="Times New Roman" w:cs="Times New Roman"/>
          <w:sz w:val="36"/>
          <w:szCs w:val="36"/>
        </w:rPr>
        <w:t>:</w:t>
      </w:r>
      <w:r w:rsidRPr="00344979">
        <w:rPr>
          <w:rFonts w:ascii="Times New Roman" w:hAnsi="Times New Roman" w:cs="Times New Roman"/>
          <w:sz w:val="36"/>
          <w:szCs w:val="36"/>
        </w:rPr>
        <w:t xml:space="preserve"> </w:t>
      </w:r>
    </w:p>
    <w:p w14:paraId="78600A85" w14:textId="77777777" w:rsidR="00847130" w:rsidRPr="00344979" w:rsidRDefault="00847130" w:rsidP="00847130">
      <w:pPr>
        <w:rPr>
          <w:rFonts w:ascii="Times New Roman" w:hAnsi="Times New Roman" w:cs="Times New Roman"/>
          <w:b/>
          <w:bCs/>
          <w:sz w:val="32"/>
          <w:szCs w:val="32"/>
        </w:rPr>
      </w:pPr>
      <w:r w:rsidRPr="00344979">
        <w:rPr>
          <w:rFonts w:ascii="Times New Roman" w:hAnsi="Times New Roman" w:cs="Times New Roman"/>
          <w:b/>
          <w:bCs/>
          <w:sz w:val="32"/>
          <w:szCs w:val="32"/>
        </w:rPr>
        <w:t>In praise of fossil fuel subsidies (for cooking)</w:t>
      </w:r>
      <w:r w:rsidRPr="00344979">
        <w:rPr>
          <w:rStyle w:val="FootnoteReference"/>
          <w:rFonts w:ascii="Times New Roman" w:hAnsi="Times New Roman" w:cs="Times New Roman"/>
          <w:sz w:val="32"/>
          <w:szCs w:val="32"/>
        </w:rPr>
        <w:t xml:space="preserve"> </w:t>
      </w:r>
      <w:r w:rsidRPr="00344979">
        <w:rPr>
          <w:rStyle w:val="FootnoteReference"/>
          <w:rFonts w:ascii="Times New Roman" w:hAnsi="Times New Roman" w:cs="Times New Roman"/>
        </w:rPr>
        <w:footnoteReference w:customMarkFollows="1" w:id="1"/>
        <w:t>‡</w:t>
      </w:r>
    </w:p>
    <w:p w14:paraId="1780873B" w14:textId="77777777" w:rsidR="00847130" w:rsidRPr="00344979" w:rsidRDefault="00847130" w:rsidP="00847130">
      <w:pPr>
        <w:spacing w:after="230"/>
        <w:contextualSpacing/>
        <w:rPr>
          <w:rFonts w:ascii="Times New Roman" w:hAnsi="Times New Roman" w:cs="Times New Roman"/>
          <w:b/>
          <w:bCs/>
          <w:sz w:val="28"/>
          <w:szCs w:val="28"/>
        </w:rPr>
      </w:pPr>
    </w:p>
    <w:p w14:paraId="38D0A01A" w14:textId="77777777" w:rsidR="00847130" w:rsidRPr="00344979" w:rsidRDefault="00847130" w:rsidP="00847130">
      <w:pPr>
        <w:spacing w:after="230"/>
        <w:contextualSpacing/>
        <w:rPr>
          <w:rFonts w:ascii="Times New Roman" w:hAnsi="Times New Roman" w:cs="Times New Roman"/>
          <w:b/>
        </w:rPr>
      </w:pPr>
      <w:r w:rsidRPr="00344979">
        <w:rPr>
          <w:rFonts w:ascii="Times New Roman" w:hAnsi="Times New Roman" w:cs="Times New Roman"/>
        </w:rPr>
        <w:t xml:space="preserve">Carlos F. Gould </w:t>
      </w:r>
      <w:r w:rsidRPr="00344979">
        <w:rPr>
          <w:rFonts w:ascii="Times New Roman" w:eastAsia="Cambria" w:hAnsi="Times New Roman" w:cs="Times New Roman"/>
          <w:vertAlign w:val="superscript"/>
        </w:rPr>
        <w:t>1*</w:t>
      </w:r>
      <w:r w:rsidRPr="00344979">
        <w:rPr>
          <w:rFonts w:ascii="Times New Roman" w:hAnsi="Times New Roman" w:cs="Times New Roman"/>
        </w:rPr>
        <w:t xml:space="preserve">, Rob </w:t>
      </w:r>
      <w:proofErr w:type="spellStart"/>
      <w:r w:rsidRPr="00344979">
        <w:rPr>
          <w:rFonts w:ascii="Times New Roman" w:hAnsi="Times New Roman" w:cs="Times New Roman"/>
        </w:rPr>
        <w:t>Bailis</w:t>
      </w:r>
      <w:proofErr w:type="spellEnd"/>
      <w:r w:rsidRPr="00344979">
        <w:rPr>
          <w:rFonts w:ascii="Times New Roman" w:hAnsi="Times New Roman" w:cs="Times New Roman"/>
        </w:rPr>
        <w:t xml:space="preserve"> </w:t>
      </w:r>
      <w:r w:rsidRPr="00344979">
        <w:rPr>
          <w:rFonts w:ascii="Times New Roman" w:hAnsi="Times New Roman" w:cs="Times New Roman"/>
          <w:vertAlign w:val="superscript"/>
        </w:rPr>
        <w:t>2</w:t>
      </w:r>
      <w:r w:rsidRPr="00344979">
        <w:rPr>
          <w:rFonts w:ascii="Times New Roman" w:hAnsi="Times New Roman" w:cs="Times New Roman"/>
        </w:rPr>
        <w:t xml:space="preserve">, Kalpana Balakrishnan </w:t>
      </w:r>
      <w:r w:rsidRPr="00344979">
        <w:rPr>
          <w:rFonts w:ascii="Times New Roman" w:hAnsi="Times New Roman" w:cs="Times New Roman"/>
          <w:vertAlign w:val="superscript"/>
        </w:rPr>
        <w:t>3</w:t>
      </w:r>
      <w:r w:rsidRPr="00344979">
        <w:rPr>
          <w:rFonts w:ascii="Times New Roman" w:hAnsi="Times New Roman" w:cs="Times New Roman"/>
        </w:rPr>
        <w:t xml:space="preserve">, </w:t>
      </w:r>
      <w:r w:rsidRPr="00344979">
        <w:rPr>
          <w:rFonts w:ascii="Times New Roman" w:eastAsia="Cambria" w:hAnsi="Times New Roman" w:cs="Times New Roman"/>
        </w:rPr>
        <w:t xml:space="preserve">Marshall Burke </w:t>
      </w:r>
      <w:r w:rsidRPr="00344979">
        <w:rPr>
          <w:rFonts w:ascii="Times New Roman" w:eastAsia="Cambria" w:hAnsi="Times New Roman" w:cs="Times New Roman"/>
          <w:vertAlign w:val="superscript"/>
        </w:rPr>
        <w:t>4,5,6</w:t>
      </w:r>
      <w:r w:rsidRPr="00344979">
        <w:rPr>
          <w:rFonts w:ascii="Times New Roman" w:eastAsia="Cambria" w:hAnsi="Times New Roman" w:cs="Times New Roman"/>
        </w:rPr>
        <w:t xml:space="preserve">, Sebastián Espinoza </w:t>
      </w:r>
      <w:r w:rsidRPr="00344979">
        <w:rPr>
          <w:rFonts w:ascii="Times New Roman" w:eastAsia="Cambria" w:hAnsi="Times New Roman" w:cs="Times New Roman"/>
          <w:vertAlign w:val="superscript"/>
        </w:rPr>
        <w:t>7</w:t>
      </w:r>
      <w:r w:rsidRPr="00344979">
        <w:rPr>
          <w:rFonts w:ascii="Times New Roman" w:eastAsia="Cambria" w:hAnsi="Times New Roman" w:cs="Times New Roman"/>
        </w:rPr>
        <w:t xml:space="preserve">, Sumi Mehta </w:t>
      </w:r>
      <w:r w:rsidRPr="00344979">
        <w:rPr>
          <w:rFonts w:ascii="Times New Roman" w:hAnsi="Times New Roman" w:cs="Times New Roman"/>
          <w:vertAlign w:val="superscript"/>
        </w:rPr>
        <w:t>8</w:t>
      </w:r>
      <w:r w:rsidRPr="00344979">
        <w:rPr>
          <w:rFonts w:ascii="Times New Roman" w:hAnsi="Times New Roman" w:cs="Times New Roman"/>
        </w:rPr>
        <w:t xml:space="preserve">, Samuel B. Schlesinger </w:t>
      </w:r>
      <w:r w:rsidRPr="00344979">
        <w:rPr>
          <w:rFonts w:ascii="Times New Roman" w:eastAsia="Cambria" w:hAnsi="Times New Roman" w:cs="Times New Roman"/>
          <w:vertAlign w:val="superscript"/>
        </w:rPr>
        <w:t>9</w:t>
      </w:r>
      <w:r w:rsidRPr="00344979">
        <w:rPr>
          <w:rFonts w:ascii="Times New Roman" w:eastAsia="Cambria" w:hAnsi="Times New Roman" w:cs="Times New Roman"/>
        </w:rPr>
        <w:t xml:space="preserve">, José R. Suarez-Lopez </w:t>
      </w:r>
      <w:r w:rsidRPr="00344979">
        <w:rPr>
          <w:rFonts w:ascii="Times New Roman" w:eastAsia="Cambria" w:hAnsi="Times New Roman" w:cs="Times New Roman"/>
          <w:vertAlign w:val="superscript"/>
        </w:rPr>
        <w:t>1</w:t>
      </w:r>
      <w:r w:rsidRPr="00344979">
        <w:rPr>
          <w:rFonts w:ascii="Times New Roman" w:eastAsia="Cambria" w:hAnsi="Times New Roman" w:cs="Times New Roman"/>
        </w:rPr>
        <w:t xml:space="preserve">, </w:t>
      </w:r>
      <w:r w:rsidRPr="00344979">
        <w:rPr>
          <w:rFonts w:ascii="Times New Roman" w:hAnsi="Times New Roman" w:cs="Times New Roman"/>
        </w:rPr>
        <w:t xml:space="preserve">Ajay </w:t>
      </w:r>
      <w:proofErr w:type="spellStart"/>
      <w:r w:rsidRPr="00344979">
        <w:rPr>
          <w:rFonts w:ascii="Times New Roman" w:hAnsi="Times New Roman" w:cs="Times New Roman"/>
        </w:rPr>
        <w:t>Pillarisetti</w:t>
      </w:r>
      <w:proofErr w:type="spellEnd"/>
      <w:r w:rsidRPr="00344979">
        <w:rPr>
          <w:rFonts w:ascii="Times New Roman" w:hAnsi="Times New Roman" w:cs="Times New Roman"/>
        </w:rPr>
        <w:t xml:space="preserve"> </w:t>
      </w:r>
      <w:r w:rsidRPr="00344979">
        <w:rPr>
          <w:rFonts w:ascii="Times New Roman" w:eastAsia="Cambria" w:hAnsi="Times New Roman" w:cs="Times New Roman"/>
          <w:vertAlign w:val="superscript"/>
        </w:rPr>
        <w:t>10</w:t>
      </w:r>
      <w:r w:rsidRPr="00344979">
        <w:rPr>
          <w:rFonts w:ascii="Times New Roman" w:hAnsi="Times New Roman" w:cs="Times New Roman"/>
          <w:b/>
        </w:rPr>
        <w:tab/>
      </w:r>
    </w:p>
    <w:p w14:paraId="369ACBBB" w14:textId="77777777" w:rsidR="00847130" w:rsidRPr="00344979" w:rsidRDefault="00847130" w:rsidP="00847130">
      <w:pPr>
        <w:pStyle w:val="Paragraph"/>
        <w:ind w:firstLine="0"/>
      </w:pPr>
      <w:r w:rsidRPr="00344979">
        <w:rPr>
          <w:vertAlign w:val="superscript"/>
        </w:rPr>
        <w:t>1</w:t>
      </w:r>
      <w:r w:rsidRPr="00344979">
        <w:t xml:space="preserve">Herbert Wertheim School of Public Health and Longevity Science, University of California, San Diego; San Diego, USA </w:t>
      </w:r>
    </w:p>
    <w:p w14:paraId="6B8686F1" w14:textId="77777777" w:rsidR="00847130" w:rsidRPr="00344979" w:rsidRDefault="00847130" w:rsidP="00847130">
      <w:pPr>
        <w:pStyle w:val="Paragraph"/>
        <w:ind w:firstLine="0"/>
      </w:pPr>
      <w:bookmarkStart w:id="0" w:name="_Hlk62201618"/>
      <w:r w:rsidRPr="00344979">
        <w:rPr>
          <w:vertAlign w:val="superscript"/>
        </w:rPr>
        <w:t>2</w:t>
      </w:r>
      <w:r w:rsidRPr="00344979">
        <w:t>Stockholm Environment Institute; Somerville, USA</w:t>
      </w:r>
    </w:p>
    <w:p w14:paraId="22F3CCBB" w14:textId="77777777" w:rsidR="00847130" w:rsidRPr="00344979" w:rsidRDefault="00847130" w:rsidP="00847130">
      <w:pPr>
        <w:pStyle w:val="Paragraph"/>
        <w:ind w:firstLine="0"/>
      </w:pPr>
      <w:r w:rsidRPr="00344979">
        <w:rPr>
          <w:vertAlign w:val="superscript"/>
        </w:rPr>
        <w:t>3</w:t>
      </w:r>
      <w:r w:rsidRPr="00344979">
        <w:t>Department of Environmental Health Engineering, Faculty of Public Health, Sri Ramachandra Institute of Higher Education and Research; Chennai, India</w:t>
      </w:r>
    </w:p>
    <w:p w14:paraId="7E01DB1A" w14:textId="77777777" w:rsidR="00847130" w:rsidRPr="00344979" w:rsidRDefault="00847130" w:rsidP="00847130">
      <w:pPr>
        <w:pStyle w:val="Paragraph"/>
        <w:ind w:firstLine="0"/>
      </w:pPr>
      <w:bookmarkStart w:id="1" w:name="_Hlk62201654"/>
      <w:bookmarkEnd w:id="0"/>
      <w:r w:rsidRPr="00344979">
        <w:rPr>
          <w:vertAlign w:val="superscript"/>
        </w:rPr>
        <w:t>4</w:t>
      </w:r>
      <w:r w:rsidRPr="00344979">
        <w:t>Doerr School of Sustainability, Stanford University; Stanford, USA</w:t>
      </w:r>
    </w:p>
    <w:p w14:paraId="283F64FD" w14:textId="77777777" w:rsidR="00847130" w:rsidRPr="00344979" w:rsidRDefault="00847130" w:rsidP="00847130">
      <w:pPr>
        <w:pStyle w:val="Paragraph"/>
        <w:ind w:firstLine="0"/>
      </w:pPr>
      <w:r w:rsidRPr="00344979">
        <w:rPr>
          <w:vertAlign w:val="superscript"/>
        </w:rPr>
        <w:t>5</w:t>
      </w:r>
      <w:r w:rsidRPr="00344979">
        <w:t>Center for Food, Security, and Environment, Stanford University; Stanford, USA</w:t>
      </w:r>
    </w:p>
    <w:p w14:paraId="23121102" w14:textId="77777777" w:rsidR="00847130" w:rsidRPr="00344979" w:rsidRDefault="00847130" w:rsidP="00847130">
      <w:pPr>
        <w:pStyle w:val="Paragraph"/>
        <w:ind w:firstLine="0"/>
      </w:pPr>
      <w:r w:rsidRPr="00344979">
        <w:rPr>
          <w:vertAlign w:val="superscript"/>
        </w:rPr>
        <w:t>6</w:t>
      </w:r>
      <w:r w:rsidRPr="00344979">
        <w:t>National Bureau of Economic Research; Cambridge, USA</w:t>
      </w:r>
    </w:p>
    <w:p w14:paraId="07233E11" w14:textId="77777777" w:rsidR="00847130" w:rsidRPr="00344979" w:rsidRDefault="00847130" w:rsidP="00847130">
      <w:pPr>
        <w:pStyle w:val="Paragraph"/>
        <w:ind w:firstLine="0"/>
      </w:pPr>
      <w:r w:rsidRPr="00344979">
        <w:rPr>
          <w:vertAlign w:val="superscript"/>
        </w:rPr>
        <w:t>7</w:t>
      </w:r>
      <w:r w:rsidRPr="00344979">
        <w:t xml:space="preserve">Instituto de </w:t>
      </w:r>
      <w:proofErr w:type="spellStart"/>
      <w:r w:rsidRPr="00344979">
        <w:t>Investigación</w:t>
      </w:r>
      <w:proofErr w:type="spellEnd"/>
      <w:r w:rsidRPr="00344979">
        <w:t xml:space="preserve"> </w:t>
      </w:r>
      <w:proofErr w:type="spellStart"/>
      <w:r w:rsidRPr="00344979">
        <w:t>Geológico</w:t>
      </w:r>
      <w:proofErr w:type="spellEnd"/>
      <w:r w:rsidRPr="00344979">
        <w:t xml:space="preserve"> y </w:t>
      </w:r>
      <w:proofErr w:type="spellStart"/>
      <w:r w:rsidRPr="00344979">
        <w:t>Energético</w:t>
      </w:r>
      <w:proofErr w:type="spellEnd"/>
      <w:r w:rsidRPr="00344979">
        <w:t>; Quito, Ecuador</w:t>
      </w:r>
    </w:p>
    <w:p w14:paraId="6E10B876" w14:textId="77777777" w:rsidR="00847130" w:rsidRPr="00344979" w:rsidRDefault="00847130" w:rsidP="00847130">
      <w:pPr>
        <w:pStyle w:val="Paragraph"/>
        <w:ind w:firstLine="0"/>
      </w:pPr>
      <w:r w:rsidRPr="00344979">
        <w:rPr>
          <w:vertAlign w:val="superscript"/>
        </w:rPr>
        <w:t>8</w:t>
      </w:r>
      <w:r w:rsidRPr="00344979">
        <w:t>Vital Strategies; New York, USA</w:t>
      </w:r>
    </w:p>
    <w:p w14:paraId="1281801B" w14:textId="77777777" w:rsidR="00847130" w:rsidRPr="00344979" w:rsidRDefault="00847130" w:rsidP="00847130">
      <w:pPr>
        <w:pStyle w:val="Paragraph"/>
        <w:ind w:firstLine="0"/>
      </w:pPr>
      <w:r w:rsidRPr="00344979">
        <w:rPr>
          <w:vertAlign w:val="superscript"/>
        </w:rPr>
        <w:t>9</w:t>
      </w:r>
      <w:r w:rsidRPr="00344979">
        <w:t>Independent Consultant; Quito, Ecuador</w:t>
      </w:r>
    </w:p>
    <w:p w14:paraId="0D1C3B3E" w14:textId="77777777" w:rsidR="00847130" w:rsidRPr="00344979" w:rsidRDefault="00847130" w:rsidP="00847130">
      <w:pPr>
        <w:pStyle w:val="Paragraph"/>
        <w:ind w:firstLine="0"/>
      </w:pPr>
      <w:r w:rsidRPr="00344979">
        <w:rPr>
          <w:vertAlign w:val="superscript"/>
        </w:rPr>
        <w:t>10</w:t>
      </w:r>
      <w:r w:rsidRPr="00344979">
        <w:t>School of Public Health, University of California, Berkeley; Berkeley, USA</w:t>
      </w:r>
    </w:p>
    <w:p w14:paraId="0F196C2E" w14:textId="77777777" w:rsidR="00847130" w:rsidRPr="00344979" w:rsidRDefault="00847130" w:rsidP="00847130">
      <w:pPr>
        <w:pStyle w:val="Paragraph"/>
        <w:ind w:firstLine="0"/>
      </w:pPr>
      <w:r w:rsidRPr="00344979">
        <w:t>*Corresponding author. Email: cagould@health.ucsd.edu</w:t>
      </w:r>
      <w:bookmarkEnd w:id="1"/>
    </w:p>
    <w:p w14:paraId="51B34774" w14:textId="416BFC62" w:rsidR="003E1F88" w:rsidRPr="00344979" w:rsidRDefault="003E1F88" w:rsidP="00960FA8">
      <w:pPr>
        <w:spacing w:after="0" w:line="480" w:lineRule="auto"/>
        <w:ind w:left="0" w:right="0" w:firstLine="0"/>
        <w:jc w:val="left"/>
        <w:rPr>
          <w:rFonts w:ascii="Times New Roman" w:hAnsi="Times New Roman" w:cs="Times New Roman"/>
        </w:rPr>
      </w:pPr>
    </w:p>
    <w:p w14:paraId="10DBC0C4" w14:textId="77777777" w:rsidR="0090339F" w:rsidRPr="00344979" w:rsidRDefault="0090339F">
      <w:pPr>
        <w:spacing w:after="0" w:line="240" w:lineRule="auto"/>
        <w:ind w:left="0" w:right="0" w:firstLine="0"/>
        <w:jc w:val="left"/>
        <w:rPr>
          <w:rFonts w:ascii="Times New Roman" w:hAnsi="Times New Roman" w:cs="Times New Roman"/>
          <w:b/>
          <w:bCs/>
        </w:rPr>
      </w:pPr>
      <w:r w:rsidRPr="00344979">
        <w:rPr>
          <w:rFonts w:ascii="Times New Roman" w:hAnsi="Times New Roman" w:cs="Times New Roman"/>
          <w:b/>
          <w:bCs/>
        </w:rPr>
        <w:br w:type="page"/>
      </w:r>
    </w:p>
    <w:p w14:paraId="5724409B" w14:textId="09AB6F5C" w:rsidR="001C65AA" w:rsidRPr="00344979" w:rsidRDefault="00821478">
      <w:pPr>
        <w:spacing w:after="0" w:line="240" w:lineRule="auto"/>
        <w:ind w:left="0" w:right="0" w:firstLine="0"/>
        <w:jc w:val="left"/>
        <w:rPr>
          <w:rFonts w:ascii="Times New Roman" w:hAnsi="Times New Roman" w:cs="Times New Roman"/>
          <w:b/>
          <w:bCs/>
          <w:sz w:val="32"/>
          <w:szCs w:val="32"/>
        </w:rPr>
      </w:pPr>
      <w:r w:rsidRPr="00344979">
        <w:rPr>
          <w:rFonts w:ascii="Times New Roman" w:hAnsi="Times New Roman" w:cs="Times New Roman"/>
          <w:b/>
          <w:bCs/>
          <w:sz w:val="32"/>
          <w:szCs w:val="32"/>
        </w:rPr>
        <w:lastRenderedPageBreak/>
        <w:t>Table of contents</w:t>
      </w:r>
    </w:p>
    <w:p w14:paraId="0DC929DD" w14:textId="77777777" w:rsidR="00D65709" w:rsidRPr="00344979" w:rsidRDefault="00D65709">
      <w:pPr>
        <w:spacing w:after="0" w:line="240" w:lineRule="auto"/>
        <w:ind w:left="0" w:right="0" w:firstLine="0"/>
        <w:jc w:val="left"/>
        <w:rPr>
          <w:rFonts w:ascii="Times New Roman" w:hAnsi="Times New Roman" w:cs="Times New Roman"/>
          <w:b/>
          <w:bCs/>
        </w:rPr>
      </w:pPr>
    </w:p>
    <w:sdt>
      <w:sdtPr>
        <w:rPr>
          <w:rFonts w:ascii="Times New Roman" w:eastAsia="Calibri" w:hAnsi="Times New Roman" w:cs="Times New Roman"/>
          <w:b w:val="0"/>
          <w:bCs w:val="0"/>
          <w:color w:val="000000"/>
          <w:kern w:val="2"/>
          <w:sz w:val="24"/>
          <w:szCs w:val="24"/>
          <w:u w:val="none"/>
          <w14:ligatures w14:val="standardContextual"/>
        </w:rPr>
        <w:id w:val="1704747395"/>
        <w:docPartObj>
          <w:docPartGallery w:val="Table of Contents"/>
          <w:docPartUnique/>
        </w:docPartObj>
      </w:sdtPr>
      <w:sdtEndPr>
        <w:rPr>
          <w:noProof/>
        </w:rPr>
      </w:sdtEndPr>
      <w:sdtContent>
        <w:p w14:paraId="1775E5ED" w14:textId="201E66DC" w:rsidR="0099343B" w:rsidRPr="00344979" w:rsidRDefault="0099343B">
          <w:pPr>
            <w:pStyle w:val="TOCHeading"/>
            <w:rPr>
              <w:rFonts w:ascii="Times New Roman" w:hAnsi="Times New Roman" w:cs="Times New Roman"/>
            </w:rPr>
          </w:pPr>
        </w:p>
        <w:p w14:paraId="60FFBE32" w14:textId="705B31A0" w:rsidR="007470A7" w:rsidRPr="00344979" w:rsidRDefault="0099343B">
          <w:pPr>
            <w:pStyle w:val="TOC1"/>
            <w:tabs>
              <w:tab w:val="right" w:pos="9061"/>
            </w:tabs>
            <w:rPr>
              <w:rFonts w:ascii="Times New Roman" w:eastAsiaTheme="minorEastAsia" w:hAnsi="Times New Roman" w:cs="Times New Roman"/>
              <w:b w:val="0"/>
              <w:bCs w:val="0"/>
              <w:i w:val="0"/>
              <w:iCs w:val="0"/>
              <w:noProof/>
              <w:color w:val="auto"/>
            </w:rPr>
          </w:pPr>
          <w:r w:rsidRPr="00344979">
            <w:rPr>
              <w:rFonts w:ascii="Times New Roman" w:hAnsi="Times New Roman" w:cs="Times New Roman"/>
              <w:b w:val="0"/>
              <w:bCs w:val="0"/>
            </w:rPr>
            <w:fldChar w:fldCharType="begin"/>
          </w:r>
          <w:r w:rsidRPr="00344979">
            <w:rPr>
              <w:rFonts w:ascii="Times New Roman" w:hAnsi="Times New Roman" w:cs="Times New Roman"/>
            </w:rPr>
            <w:instrText xml:space="preserve"> TOC \o "1-3" \h \z \u </w:instrText>
          </w:r>
          <w:r w:rsidRPr="00344979">
            <w:rPr>
              <w:rFonts w:ascii="Times New Roman" w:hAnsi="Times New Roman" w:cs="Times New Roman"/>
              <w:b w:val="0"/>
              <w:bCs w:val="0"/>
            </w:rPr>
            <w:fldChar w:fldCharType="separate"/>
          </w:r>
          <w:hyperlink w:anchor="_Toc161220509" w:history="1">
            <w:r w:rsidR="007470A7" w:rsidRPr="00344979">
              <w:rPr>
                <w:rStyle w:val="Hyperlink"/>
                <w:rFonts w:ascii="Times New Roman" w:hAnsi="Times New Roman" w:cs="Times New Roman"/>
                <w:noProof/>
              </w:rPr>
              <w:t>Context of cooking fuel programs in Ecuador, India, and Kenya</w:t>
            </w:r>
            <w:r w:rsidR="007470A7" w:rsidRPr="00344979">
              <w:rPr>
                <w:rFonts w:ascii="Times New Roman" w:hAnsi="Times New Roman" w:cs="Times New Roman"/>
                <w:noProof/>
                <w:webHidden/>
              </w:rPr>
              <w:tab/>
            </w:r>
            <w:r w:rsidR="007470A7" w:rsidRPr="00344979">
              <w:rPr>
                <w:rFonts w:ascii="Times New Roman" w:hAnsi="Times New Roman" w:cs="Times New Roman"/>
                <w:noProof/>
                <w:webHidden/>
              </w:rPr>
              <w:fldChar w:fldCharType="begin"/>
            </w:r>
            <w:r w:rsidR="007470A7" w:rsidRPr="00344979">
              <w:rPr>
                <w:rFonts w:ascii="Times New Roman" w:hAnsi="Times New Roman" w:cs="Times New Roman"/>
                <w:noProof/>
                <w:webHidden/>
              </w:rPr>
              <w:instrText xml:space="preserve"> PAGEREF _Toc161220509 \h </w:instrText>
            </w:r>
            <w:r w:rsidR="007470A7" w:rsidRPr="00344979">
              <w:rPr>
                <w:rFonts w:ascii="Times New Roman" w:hAnsi="Times New Roman" w:cs="Times New Roman"/>
                <w:noProof/>
                <w:webHidden/>
              </w:rPr>
            </w:r>
            <w:r w:rsidR="007470A7" w:rsidRPr="00344979">
              <w:rPr>
                <w:rFonts w:ascii="Times New Roman" w:hAnsi="Times New Roman" w:cs="Times New Roman"/>
                <w:noProof/>
                <w:webHidden/>
              </w:rPr>
              <w:fldChar w:fldCharType="separate"/>
            </w:r>
            <w:r w:rsidR="007470A7" w:rsidRPr="00344979">
              <w:rPr>
                <w:rFonts w:ascii="Times New Roman" w:hAnsi="Times New Roman" w:cs="Times New Roman"/>
                <w:noProof/>
                <w:webHidden/>
              </w:rPr>
              <w:t>4</w:t>
            </w:r>
            <w:r w:rsidR="007470A7" w:rsidRPr="00344979">
              <w:rPr>
                <w:rFonts w:ascii="Times New Roman" w:hAnsi="Times New Roman" w:cs="Times New Roman"/>
                <w:noProof/>
                <w:webHidden/>
              </w:rPr>
              <w:fldChar w:fldCharType="end"/>
            </w:r>
          </w:hyperlink>
        </w:p>
        <w:p w14:paraId="4E307F1F" w14:textId="02FCFE1C" w:rsidR="007470A7" w:rsidRPr="00344979" w:rsidRDefault="007470A7">
          <w:pPr>
            <w:pStyle w:val="TOC1"/>
            <w:tabs>
              <w:tab w:val="right" w:pos="9061"/>
            </w:tabs>
            <w:rPr>
              <w:rFonts w:ascii="Times New Roman" w:eastAsiaTheme="minorEastAsia" w:hAnsi="Times New Roman" w:cs="Times New Roman"/>
              <w:b w:val="0"/>
              <w:bCs w:val="0"/>
              <w:i w:val="0"/>
              <w:iCs w:val="0"/>
              <w:noProof/>
              <w:color w:val="auto"/>
            </w:rPr>
          </w:pPr>
          <w:hyperlink w:anchor="_Toc161220510" w:history="1">
            <w:r w:rsidRPr="00344979">
              <w:rPr>
                <w:rStyle w:val="Hyperlink"/>
                <w:rFonts w:ascii="Times New Roman" w:hAnsi="Times New Roman" w:cs="Times New Roman"/>
                <w:noProof/>
              </w:rPr>
              <w:t>Ecuador case study</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_Toc161220510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5</w:t>
            </w:r>
            <w:r w:rsidRPr="00344979">
              <w:rPr>
                <w:rFonts w:ascii="Times New Roman" w:hAnsi="Times New Roman" w:cs="Times New Roman"/>
                <w:noProof/>
                <w:webHidden/>
              </w:rPr>
              <w:fldChar w:fldCharType="end"/>
            </w:r>
          </w:hyperlink>
        </w:p>
        <w:p w14:paraId="3589A4E0" w14:textId="25B56F05"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11" w:history="1">
            <w:r w:rsidRPr="00344979">
              <w:rPr>
                <w:rStyle w:val="Hyperlink"/>
                <w:rFonts w:ascii="Times New Roman" w:hAnsi="Times New Roman" w:cs="Times New Roman"/>
                <w:noProof/>
              </w:rPr>
              <w:t>Data sources</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_Toc161220511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5</w:t>
            </w:r>
            <w:r w:rsidRPr="00344979">
              <w:rPr>
                <w:rFonts w:ascii="Times New Roman" w:hAnsi="Times New Roman" w:cs="Times New Roman"/>
                <w:noProof/>
                <w:webHidden/>
              </w:rPr>
              <w:fldChar w:fldCharType="end"/>
            </w:r>
          </w:hyperlink>
        </w:p>
        <w:p w14:paraId="7C86EC54" w14:textId="3E2A81F1"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12" w:history="1">
            <w:r w:rsidRPr="00344979">
              <w:rPr>
                <w:rStyle w:val="Hyperlink"/>
                <w:rFonts w:ascii="Times New Roman" w:hAnsi="Times New Roman" w:cs="Times New Roman"/>
                <w:noProof/>
              </w:rPr>
              <w:t>Modeling mortality and estimating its value, 1979-2019</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_Toc161220512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7</w:t>
            </w:r>
            <w:r w:rsidRPr="00344979">
              <w:rPr>
                <w:rFonts w:ascii="Times New Roman" w:hAnsi="Times New Roman" w:cs="Times New Roman"/>
                <w:noProof/>
                <w:webHidden/>
              </w:rPr>
              <w:fldChar w:fldCharType="end"/>
            </w:r>
          </w:hyperlink>
        </w:p>
        <w:p w14:paraId="5F25533E" w14:textId="2809F034"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13" w:history="1">
            <w:r w:rsidRPr="00344979">
              <w:rPr>
                <w:rStyle w:val="Hyperlink"/>
                <w:rFonts w:ascii="Times New Roman" w:hAnsi="Times New Roman" w:cs="Times New Roman"/>
                <w:noProof/>
              </w:rPr>
              <w:t>Regression-based estimates of health benefits, 1990–2019</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_Toc161220513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9</w:t>
            </w:r>
            <w:r w:rsidRPr="00344979">
              <w:rPr>
                <w:rFonts w:ascii="Times New Roman" w:hAnsi="Times New Roman" w:cs="Times New Roman"/>
                <w:noProof/>
                <w:webHidden/>
              </w:rPr>
              <w:fldChar w:fldCharType="end"/>
            </w:r>
          </w:hyperlink>
        </w:p>
        <w:p w14:paraId="35F74D9C" w14:textId="37B985B3"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14" w:history="1">
            <w:r w:rsidRPr="00344979">
              <w:rPr>
                <w:rStyle w:val="Hyperlink"/>
                <w:rFonts w:ascii="Times New Roman" w:hAnsi="Times New Roman" w:cs="Times New Roman"/>
                <w:noProof/>
              </w:rPr>
              <w:t>Benchmarking estimates with the Global Burden of Disease</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_Toc161220514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10</w:t>
            </w:r>
            <w:r w:rsidRPr="00344979">
              <w:rPr>
                <w:rFonts w:ascii="Times New Roman" w:hAnsi="Times New Roman" w:cs="Times New Roman"/>
                <w:noProof/>
                <w:webHidden/>
              </w:rPr>
              <w:fldChar w:fldCharType="end"/>
            </w:r>
          </w:hyperlink>
        </w:p>
        <w:p w14:paraId="6B693C93" w14:textId="28B83836" w:rsidR="007470A7" w:rsidRPr="00344979" w:rsidRDefault="007470A7">
          <w:pPr>
            <w:pStyle w:val="TOC1"/>
            <w:tabs>
              <w:tab w:val="right" w:pos="9061"/>
            </w:tabs>
            <w:rPr>
              <w:rFonts w:ascii="Times New Roman" w:eastAsiaTheme="minorEastAsia" w:hAnsi="Times New Roman" w:cs="Times New Roman"/>
              <w:b w:val="0"/>
              <w:bCs w:val="0"/>
              <w:i w:val="0"/>
              <w:iCs w:val="0"/>
              <w:noProof/>
              <w:color w:val="auto"/>
            </w:rPr>
          </w:pPr>
          <w:hyperlink w:anchor="_Toc161220515" w:history="1">
            <w:r w:rsidRPr="00344979">
              <w:rPr>
                <w:rStyle w:val="Hyperlink"/>
                <w:rFonts w:ascii="Times New Roman" w:hAnsi="Times New Roman" w:cs="Times New Roman"/>
                <w:noProof/>
              </w:rPr>
              <w:t>India case study</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_Toc161220515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12</w:t>
            </w:r>
            <w:r w:rsidRPr="00344979">
              <w:rPr>
                <w:rFonts w:ascii="Times New Roman" w:hAnsi="Times New Roman" w:cs="Times New Roman"/>
                <w:noProof/>
                <w:webHidden/>
              </w:rPr>
              <w:fldChar w:fldCharType="end"/>
            </w:r>
          </w:hyperlink>
        </w:p>
        <w:p w14:paraId="3F45CA9D" w14:textId="5E4CB7D8"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16" w:history="1">
            <w:r w:rsidRPr="00344979">
              <w:rPr>
                <w:rStyle w:val="Hyperlink"/>
                <w:rFonts w:ascii="Times New Roman" w:hAnsi="Times New Roman" w:cs="Times New Roman"/>
                <w:noProof/>
              </w:rPr>
              <w:t>Mortality modeling</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_Toc161220516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17</w:t>
            </w:r>
            <w:r w:rsidRPr="00344979">
              <w:rPr>
                <w:rFonts w:ascii="Times New Roman" w:hAnsi="Times New Roman" w:cs="Times New Roman"/>
                <w:noProof/>
                <w:webHidden/>
              </w:rPr>
              <w:fldChar w:fldCharType="end"/>
            </w:r>
          </w:hyperlink>
        </w:p>
        <w:p w14:paraId="737AC292" w14:textId="011DE568" w:rsidR="007470A7" w:rsidRPr="00344979" w:rsidRDefault="007470A7">
          <w:pPr>
            <w:pStyle w:val="TOC1"/>
            <w:tabs>
              <w:tab w:val="right" w:pos="9061"/>
            </w:tabs>
            <w:rPr>
              <w:rFonts w:ascii="Times New Roman" w:eastAsiaTheme="minorEastAsia" w:hAnsi="Times New Roman" w:cs="Times New Roman"/>
              <w:b w:val="0"/>
              <w:bCs w:val="0"/>
              <w:i w:val="0"/>
              <w:iCs w:val="0"/>
              <w:noProof/>
              <w:color w:val="auto"/>
            </w:rPr>
          </w:pPr>
          <w:hyperlink w:anchor="_Toc161220517" w:history="1">
            <w:r w:rsidRPr="00344979">
              <w:rPr>
                <w:rStyle w:val="Hyperlink"/>
                <w:rFonts w:ascii="Times New Roman" w:hAnsi="Times New Roman" w:cs="Times New Roman"/>
                <w:noProof/>
              </w:rPr>
              <w:t>Kenya case study</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_Toc161220517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18</w:t>
            </w:r>
            <w:r w:rsidRPr="00344979">
              <w:rPr>
                <w:rFonts w:ascii="Times New Roman" w:hAnsi="Times New Roman" w:cs="Times New Roman"/>
                <w:noProof/>
                <w:webHidden/>
              </w:rPr>
              <w:fldChar w:fldCharType="end"/>
            </w:r>
          </w:hyperlink>
        </w:p>
        <w:p w14:paraId="47875D90" w14:textId="3A3B619D"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18" w:history="1">
            <w:r w:rsidRPr="00344979">
              <w:rPr>
                <w:rStyle w:val="Hyperlink"/>
                <w:rFonts w:ascii="Times New Roman" w:hAnsi="Times New Roman" w:cs="Times New Roman"/>
                <w:noProof/>
              </w:rPr>
              <w:t>Data sources</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_Toc161220518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18</w:t>
            </w:r>
            <w:r w:rsidRPr="00344979">
              <w:rPr>
                <w:rFonts w:ascii="Times New Roman" w:hAnsi="Times New Roman" w:cs="Times New Roman"/>
                <w:noProof/>
                <w:webHidden/>
              </w:rPr>
              <w:fldChar w:fldCharType="end"/>
            </w:r>
          </w:hyperlink>
        </w:p>
        <w:p w14:paraId="2F1D4730" w14:textId="7911438D"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19" w:history="1">
            <w:r w:rsidRPr="00344979">
              <w:rPr>
                <w:rStyle w:val="Hyperlink"/>
                <w:rFonts w:ascii="Times New Roman" w:hAnsi="Times New Roman" w:cs="Times New Roman"/>
                <w:noProof/>
              </w:rPr>
              <w:t>Mortality modeling</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_Toc161220519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23</w:t>
            </w:r>
            <w:r w:rsidRPr="00344979">
              <w:rPr>
                <w:rFonts w:ascii="Times New Roman" w:hAnsi="Times New Roman" w:cs="Times New Roman"/>
                <w:noProof/>
                <w:webHidden/>
              </w:rPr>
              <w:fldChar w:fldCharType="end"/>
            </w:r>
          </w:hyperlink>
        </w:p>
        <w:p w14:paraId="1140C92B" w14:textId="02C4EF77" w:rsidR="007470A7" w:rsidRPr="00344979" w:rsidRDefault="007470A7">
          <w:pPr>
            <w:pStyle w:val="TOC1"/>
            <w:tabs>
              <w:tab w:val="right" w:pos="9061"/>
            </w:tabs>
            <w:rPr>
              <w:rFonts w:ascii="Times New Roman" w:eastAsiaTheme="minorEastAsia" w:hAnsi="Times New Roman" w:cs="Times New Roman"/>
              <w:b w:val="0"/>
              <w:bCs w:val="0"/>
              <w:i w:val="0"/>
              <w:iCs w:val="0"/>
              <w:noProof/>
              <w:color w:val="auto"/>
            </w:rPr>
          </w:pPr>
          <w:hyperlink w:anchor="_Toc161220520" w:history="1">
            <w:r w:rsidRPr="00344979">
              <w:rPr>
                <w:rStyle w:val="Hyperlink"/>
                <w:rFonts w:ascii="Times New Roman" w:hAnsi="Times New Roman" w:cs="Times New Roman"/>
                <w:noProof/>
              </w:rPr>
              <w:t>Estimating greenhouse gas emissions differences in all three case studies</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_Toc161220520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23</w:t>
            </w:r>
            <w:r w:rsidRPr="00344979">
              <w:rPr>
                <w:rFonts w:ascii="Times New Roman" w:hAnsi="Times New Roman" w:cs="Times New Roman"/>
                <w:noProof/>
                <w:webHidden/>
              </w:rPr>
              <w:fldChar w:fldCharType="end"/>
            </w:r>
          </w:hyperlink>
        </w:p>
        <w:p w14:paraId="7D722A18" w14:textId="257B4D04"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21" w:history="1">
            <w:r w:rsidRPr="00344979">
              <w:rPr>
                <w:rStyle w:val="Hyperlink"/>
                <w:rFonts w:ascii="Times New Roman" w:hAnsi="Times New Roman" w:cs="Times New Roman"/>
                <w:noProof/>
              </w:rPr>
              <w:t>Ecuador</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_Toc161220521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24</w:t>
            </w:r>
            <w:r w:rsidRPr="00344979">
              <w:rPr>
                <w:rFonts w:ascii="Times New Roman" w:hAnsi="Times New Roman" w:cs="Times New Roman"/>
                <w:noProof/>
                <w:webHidden/>
              </w:rPr>
              <w:fldChar w:fldCharType="end"/>
            </w:r>
          </w:hyperlink>
        </w:p>
        <w:p w14:paraId="1FC5D2C2" w14:textId="76797C19"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22" w:history="1">
            <w:r w:rsidRPr="00344979">
              <w:rPr>
                <w:rStyle w:val="Hyperlink"/>
                <w:rFonts w:ascii="Times New Roman" w:hAnsi="Times New Roman" w:cs="Times New Roman"/>
                <w:noProof/>
              </w:rPr>
              <w:t>India</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_Toc161220522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25</w:t>
            </w:r>
            <w:r w:rsidRPr="00344979">
              <w:rPr>
                <w:rFonts w:ascii="Times New Roman" w:hAnsi="Times New Roman" w:cs="Times New Roman"/>
                <w:noProof/>
                <w:webHidden/>
              </w:rPr>
              <w:fldChar w:fldCharType="end"/>
            </w:r>
          </w:hyperlink>
        </w:p>
        <w:p w14:paraId="03330F82" w14:textId="095367DB"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23" w:history="1">
            <w:r w:rsidRPr="00344979">
              <w:rPr>
                <w:rStyle w:val="Hyperlink"/>
                <w:rFonts w:ascii="Times New Roman" w:hAnsi="Times New Roman" w:cs="Times New Roman"/>
                <w:noProof/>
              </w:rPr>
              <w:t>Kenya</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_Toc161220523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26</w:t>
            </w:r>
            <w:r w:rsidRPr="00344979">
              <w:rPr>
                <w:rFonts w:ascii="Times New Roman" w:hAnsi="Times New Roman" w:cs="Times New Roman"/>
                <w:noProof/>
                <w:webHidden/>
              </w:rPr>
              <w:fldChar w:fldCharType="end"/>
            </w:r>
          </w:hyperlink>
        </w:p>
        <w:p w14:paraId="58E69616" w14:textId="6A81A441" w:rsidR="007470A7" w:rsidRPr="00344979" w:rsidRDefault="007470A7">
          <w:pPr>
            <w:pStyle w:val="TOC2"/>
            <w:tabs>
              <w:tab w:val="right" w:pos="9061"/>
            </w:tabs>
            <w:rPr>
              <w:rFonts w:ascii="Times New Roman" w:eastAsiaTheme="minorEastAsia" w:hAnsi="Times New Roman" w:cs="Times New Roman"/>
              <w:b w:val="0"/>
              <w:bCs w:val="0"/>
              <w:noProof/>
              <w:color w:val="auto"/>
              <w:sz w:val="24"/>
              <w:szCs w:val="24"/>
            </w:rPr>
          </w:pPr>
          <w:hyperlink w:anchor="_Toc161220524" w:history="1">
            <w:r w:rsidRPr="00344979">
              <w:rPr>
                <w:rStyle w:val="Hyperlink"/>
                <w:rFonts w:ascii="Times New Roman" w:hAnsi="Times New Roman" w:cs="Times New Roman"/>
                <w:noProof/>
              </w:rPr>
              <w:t>Monetizing CO2 emissions</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_Toc161220524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26</w:t>
            </w:r>
            <w:r w:rsidRPr="00344979">
              <w:rPr>
                <w:rFonts w:ascii="Times New Roman" w:hAnsi="Times New Roman" w:cs="Times New Roman"/>
                <w:noProof/>
                <w:webHidden/>
              </w:rPr>
              <w:fldChar w:fldCharType="end"/>
            </w:r>
          </w:hyperlink>
        </w:p>
        <w:p w14:paraId="2118BC1D" w14:textId="15C28461" w:rsidR="007470A7" w:rsidRPr="00344979" w:rsidRDefault="007470A7">
          <w:pPr>
            <w:pStyle w:val="TOC1"/>
            <w:tabs>
              <w:tab w:val="right" w:pos="9061"/>
            </w:tabs>
            <w:rPr>
              <w:rFonts w:ascii="Times New Roman" w:eastAsiaTheme="minorEastAsia" w:hAnsi="Times New Roman" w:cs="Times New Roman"/>
              <w:b w:val="0"/>
              <w:bCs w:val="0"/>
              <w:i w:val="0"/>
              <w:iCs w:val="0"/>
              <w:noProof/>
              <w:color w:val="auto"/>
            </w:rPr>
          </w:pPr>
          <w:hyperlink w:anchor="_Toc161220525" w:history="1">
            <w:r w:rsidRPr="00344979">
              <w:rPr>
                <w:rStyle w:val="Hyperlink"/>
                <w:rFonts w:ascii="Times New Roman" w:hAnsi="Times New Roman" w:cs="Times New Roman"/>
                <w:noProof/>
              </w:rPr>
              <w:t>References</w:t>
            </w:r>
            <w:r w:rsidRPr="00344979">
              <w:rPr>
                <w:rFonts w:ascii="Times New Roman" w:hAnsi="Times New Roman" w:cs="Times New Roman"/>
                <w:noProof/>
                <w:webHidden/>
              </w:rPr>
              <w:tab/>
            </w:r>
            <w:r w:rsidRPr="00344979">
              <w:rPr>
                <w:rFonts w:ascii="Times New Roman" w:hAnsi="Times New Roman" w:cs="Times New Roman"/>
                <w:noProof/>
                <w:webHidden/>
              </w:rPr>
              <w:fldChar w:fldCharType="begin"/>
            </w:r>
            <w:r w:rsidRPr="00344979">
              <w:rPr>
                <w:rFonts w:ascii="Times New Roman" w:hAnsi="Times New Roman" w:cs="Times New Roman"/>
                <w:noProof/>
                <w:webHidden/>
              </w:rPr>
              <w:instrText xml:space="preserve"> PAGEREF _Toc161220525 \h </w:instrText>
            </w:r>
            <w:r w:rsidRPr="00344979">
              <w:rPr>
                <w:rFonts w:ascii="Times New Roman" w:hAnsi="Times New Roman" w:cs="Times New Roman"/>
                <w:noProof/>
                <w:webHidden/>
              </w:rPr>
            </w:r>
            <w:r w:rsidRPr="00344979">
              <w:rPr>
                <w:rFonts w:ascii="Times New Roman" w:hAnsi="Times New Roman" w:cs="Times New Roman"/>
                <w:noProof/>
                <w:webHidden/>
              </w:rPr>
              <w:fldChar w:fldCharType="separate"/>
            </w:r>
            <w:r w:rsidRPr="00344979">
              <w:rPr>
                <w:rFonts w:ascii="Times New Roman" w:hAnsi="Times New Roman" w:cs="Times New Roman"/>
                <w:noProof/>
                <w:webHidden/>
              </w:rPr>
              <w:t>28</w:t>
            </w:r>
            <w:r w:rsidRPr="00344979">
              <w:rPr>
                <w:rFonts w:ascii="Times New Roman" w:hAnsi="Times New Roman" w:cs="Times New Roman"/>
                <w:noProof/>
                <w:webHidden/>
              </w:rPr>
              <w:fldChar w:fldCharType="end"/>
            </w:r>
          </w:hyperlink>
        </w:p>
        <w:p w14:paraId="4226588F" w14:textId="5BEBEEF2" w:rsidR="0035142E" w:rsidRPr="00344979" w:rsidRDefault="0099343B" w:rsidP="007470A7">
          <w:pPr>
            <w:rPr>
              <w:rFonts w:ascii="Times New Roman" w:hAnsi="Times New Roman" w:cs="Times New Roman"/>
            </w:rPr>
            <w:sectPr w:rsidR="0035142E" w:rsidRPr="00344979" w:rsidSect="007E23B1">
              <w:footerReference w:type="even" r:id="rId8"/>
              <w:footerReference w:type="default" r:id="rId9"/>
              <w:footerReference w:type="first" r:id="rId10"/>
              <w:type w:val="continuous"/>
              <w:pgSz w:w="12240" w:h="15840"/>
              <w:pgMar w:top="2179" w:right="1616" w:bottom="1706" w:left="1553" w:header="720" w:footer="1139" w:gutter="0"/>
              <w:cols w:space="720"/>
            </w:sectPr>
          </w:pPr>
          <w:r w:rsidRPr="00344979">
            <w:rPr>
              <w:rFonts w:ascii="Times New Roman" w:hAnsi="Times New Roman" w:cs="Times New Roman"/>
              <w:b/>
              <w:bCs/>
              <w:noProof/>
            </w:rPr>
            <w:fldChar w:fldCharType="end"/>
          </w:r>
        </w:p>
      </w:sdtContent>
    </w:sdt>
    <w:p w14:paraId="674E7D4B" w14:textId="0ACA6A75" w:rsidR="00027A68" w:rsidRPr="00344979" w:rsidRDefault="00027A68">
      <w:pPr>
        <w:spacing w:after="0" w:line="240" w:lineRule="auto"/>
        <w:ind w:left="0" w:right="0" w:firstLine="0"/>
        <w:jc w:val="left"/>
        <w:rPr>
          <w:rFonts w:ascii="Times New Roman" w:hAnsi="Times New Roman" w:cs="Times New Roman"/>
          <w:b/>
          <w:bCs/>
          <w:u w:val="single"/>
        </w:rPr>
      </w:pPr>
    </w:p>
    <w:p w14:paraId="542035D2" w14:textId="090198DF" w:rsidR="0035142E" w:rsidRPr="00344979" w:rsidRDefault="0035142E" w:rsidP="00C52FAD">
      <w:pPr>
        <w:pStyle w:val="Heading1"/>
        <w:ind w:left="0" w:firstLine="0"/>
      </w:pPr>
      <w:bookmarkStart w:id="2" w:name="_Toc161220509"/>
      <w:r w:rsidRPr="00344979">
        <w:lastRenderedPageBreak/>
        <w:t>Context of cooking fuel programs in Ecuador, India, and Kenya</w:t>
      </w:r>
      <w:bookmarkEnd w:id="2"/>
    </w:p>
    <w:p w14:paraId="72BDAB41" w14:textId="77777777" w:rsidR="0035142E" w:rsidRPr="00B40337" w:rsidRDefault="0035142E" w:rsidP="0035142E">
      <w:pPr>
        <w:spacing w:after="0" w:line="480" w:lineRule="auto"/>
        <w:ind w:left="0" w:right="0" w:firstLine="0"/>
        <w:jc w:val="left"/>
        <w:rPr>
          <w:rFonts w:ascii="Times New Roman" w:hAnsi="Times New Roman" w:cs="Times New Roman"/>
          <w:b/>
          <w:bCs/>
          <w:u w:val="single"/>
        </w:rPr>
      </w:pPr>
      <w:r w:rsidRPr="00344979">
        <w:rPr>
          <w:rFonts w:ascii="Times New Roman" w:eastAsiaTheme="minorEastAsia" w:hAnsi="Times New Roman" w:cs="Times New Roman"/>
          <w:kern w:val="0"/>
        </w:rPr>
        <w:t>It is worth directly comparing the context of LPG and related programs in Ecuador, India, and Kenya. In Ecuador, LPG cylinder refill costs for all residential consumers are directly subsidized at point of sale (subsidy is ~$0.67/kg, 90% market cost). Since there is no restriction on the number of cylinder refills that can be purchased for most</w:t>
      </w:r>
      <w:r w:rsidRPr="00B40337">
        <w:rPr>
          <w:rFonts w:ascii="Times New Roman" w:eastAsiaTheme="minorEastAsia" w:hAnsi="Times New Roman" w:cs="Times New Roman"/>
          <w:kern w:val="0"/>
        </w:rPr>
        <w:t xml:space="preserve"> of the country, this universal and untracked subsidy leads to disproportionate subsidy capture by the wealthy (though use among the comparatively less wealthy is still high). There is also some leakage, both to neighboring countries and non-residential users. In India, LPG cylinder refills are purchased at market rates and subsidies are subsequently deposited into customers’ bank accounts (~$0.33/kg, 45% market cost). LPG cylinder refill costs are centrally dictated each month and there is little variation in costs within states. Eligible (income-poor) customers can avail themselves of nine subsidized refills yearly. India’s direct-deposit approach limits leakage and can enable flexible subsidy targeting; however, it also introduces barriers for the unbanked and for those that struggle to pay the upfront cost. In Kenya, LPG prices are not controlled and are directly influenced by international markets. As part of efforts to expand LPG use to 35% of the population primarily cooking with LPG by 2030 (from 20% in 2016), the Kenyan Treasury removed the 16% VAT on LPG, which effectively served as a 16% price cut for consumers. However, the 16% VAT on LPG was reinstated in 2021 amid COVID-19 related budgetary strain. As a result, LPG prices rose to $1.62/kg and have recently reached $1.73/kg.</w:t>
      </w:r>
      <w:r w:rsidRPr="00B40337">
        <w:rPr>
          <w:rFonts w:ascii="Times New Roman" w:hAnsi="Times New Roman" w:cs="Times New Roman"/>
        </w:rPr>
        <w:br w:type="page"/>
      </w:r>
    </w:p>
    <w:p w14:paraId="715FC104" w14:textId="77777777" w:rsidR="0035142E" w:rsidRPr="00B40337" w:rsidRDefault="0035142E" w:rsidP="0035142E">
      <w:pPr>
        <w:pStyle w:val="Heading1"/>
      </w:pPr>
      <w:bookmarkStart w:id="3" w:name="_Toc161220510"/>
      <w:r w:rsidRPr="00B40337">
        <w:lastRenderedPageBreak/>
        <w:t>Ecuador case study</w:t>
      </w:r>
      <w:bookmarkEnd w:id="3"/>
    </w:p>
    <w:p w14:paraId="017C9F95" w14:textId="77777777" w:rsidR="0035142E" w:rsidRPr="00B40337" w:rsidRDefault="0035142E" w:rsidP="0035142E">
      <w:pPr>
        <w:pStyle w:val="Heading2"/>
      </w:pPr>
      <w:bookmarkStart w:id="4" w:name="_Toc161220511"/>
      <w:r w:rsidRPr="00B40337">
        <w:t>Data sources</w:t>
      </w:r>
      <w:bookmarkEnd w:id="4"/>
    </w:p>
    <w:p w14:paraId="2502C49D" w14:textId="77777777" w:rsidR="0035142E" w:rsidRPr="00B40337" w:rsidRDefault="0035142E" w:rsidP="0035142E">
      <w:pPr>
        <w:spacing w:after="0" w:line="480" w:lineRule="auto"/>
        <w:ind w:left="-5" w:right="0"/>
        <w:jc w:val="left"/>
        <w:rPr>
          <w:rFonts w:ascii="Times New Roman" w:hAnsi="Times New Roman" w:cs="Times New Roman"/>
        </w:rPr>
      </w:pPr>
      <w:r w:rsidRPr="00B40337">
        <w:rPr>
          <w:rFonts w:ascii="Times New Roman" w:hAnsi="Times New Roman" w:cs="Times New Roman"/>
        </w:rPr>
        <w:t xml:space="preserve">Here we list some parameters and data sources in more detail than in the main text. </w:t>
      </w:r>
    </w:p>
    <w:p w14:paraId="763D7853" w14:textId="77777777" w:rsidR="0035142E" w:rsidRPr="00B40337" w:rsidRDefault="0035142E" w:rsidP="0035142E">
      <w:pPr>
        <w:pStyle w:val="ListParagraph"/>
        <w:numPr>
          <w:ilvl w:val="0"/>
          <w:numId w:val="5"/>
        </w:numPr>
        <w:spacing w:line="480" w:lineRule="auto"/>
        <w:rPr>
          <w:rFonts w:ascii="Times New Roman" w:hAnsi="Times New Roman" w:cs="Times New Roman"/>
        </w:rPr>
      </w:pPr>
      <w:r w:rsidRPr="00B40337">
        <w:rPr>
          <w:rFonts w:ascii="Times New Roman" w:hAnsi="Times New Roman" w:cs="Times New Roman"/>
        </w:rPr>
        <w:t xml:space="preserve">Ecuador’s historical LPG sales volume and subsidies data come from multi-annual reports by </w:t>
      </w:r>
      <w:proofErr w:type="spellStart"/>
      <w:r w:rsidRPr="00B40337">
        <w:rPr>
          <w:rFonts w:ascii="Times New Roman" w:hAnsi="Times New Roman" w:cs="Times New Roman"/>
        </w:rPr>
        <w:t>PetroEcuador</w:t>
      </w:r>
      <w:proofErr w:type="spellEnd"/>
      <w:r w:rsidRPr="00B40337">
        <w:rPr>
          <w:rFonts w:ascii="Times New Roman" w:hAnsi="Times New Roman" w:cs="Times New Roman"/>
        </w:rPr>
        <w:t xml:space="preserve">, the state petroleum company which, together with its predecessor entities, has held a monopoly on LPG importation and wholesaling throughout the period under study. Consumer prices can be found on </w:t>
      </w:r>
      <w:hyperlink r:id="rId11">
        <w:r w:rsidRPr="00B40337">
          <w:rPr>
            <w:rFonts w:ascii="Times New Roman" w:hAnsi="Times New Roman" w:cs="Times New Roman"/>
            <w:u w:val="single"/>
          </w:rPr>
          <w:t>p.170</w:t>
        </w:r>
      </w:hyperlink>
      <w:r w:rsidRPr="00B40337">
        <w:rPr>
          <w:rFonts w:ascii="Times New Roman" w:hAnsi="Times New Roman" w:cs="Times New Roman"/>
        </w:rPr>
        <w:t xml:space="preserve"> and annual consumption can be found on </w:t>
      </w:r>
      <w:hyperlink r:id="rId12">
        <w:r w:rsidRPr="00B40337">
          <w:rPr>
            <w:rFonts w:ascii="Times New Roman" w:hAnsi="Times New Roman" w:cs="Times New Roman"/>
            <w:u w:val="single"/>
          </w:rPr>
          <w:t>p.102</w:t>
        </w:r>
      </w:hyperlink>
      <w:r w:rsidRPr="00B40337">
        <w:rPr>
          <w:rFonts w:ascii="Times New Roman" w:hAnsi="Times New Roman" w:cs="Times New Roman"/>
        </w:rPr>
        <w:t xml:space="preserve"> of </w:t>
      </w:r>
      <w:proofErr w:type="spellStart"/>
      <w:r w:rsidRPr="00B40337">
        <w:rPr>
          <w:rFonts w:ascii="Times New Roman" w:hAnsi="Times New Roman" w:cs="Times New Roman"/>
        </w:rPr>
        <w:t>PetroEcuador</w:t>
      </w:r>
      <w:proofErr w:type="spellEnd"/>
      <w:r w:rsidRPr="00B40337">
        <w:rPr>
          <w:rFonts w:ascii="Times New Roman" w:hAnsi="Times New Roman" w:cs="Times New Roman"/>
        </w:rPr>
        <w:t xml:space="preserve"> report ‘40 years building the development of the country, 1972–2012.’</w:t>
      </w:r>
    </w:p>
    <w:p w14:paraId="2F3E03D3" w14:textId="77777777" w:rsidR="0035142E" w:rsidRPr="00B40337" w:rsidRDefault="0035142E" w:rsidP="0035142E">
      <w:pPr>
        <w:pStyle w:val="ListParagraph"/>
        <w:numPr>
          <w:ilvl w:val="0"/>
          <w:numId w:val="5"/>
        </w:numPr>
        <w:spacing w:line="480" w:lineRule="auto"/>
        <w:rPr>
          <w:rFonts w:ascii="Times New Roman" w:hAnsi="Times New Roman" w:cs="Times New Roman"/>
        </w:rPr>
      </w:pPr>
      <w:r w:rsidRPr="00B40337">
        <w:rPr>
          <w:rFonts w:ascii="Times New Roman" w:hAnsi="Times New Roman" w:cs="Times New Roman"/>
        </w:rPr>
        <w:t xml:space="preserve">Exchange rates between the US dollar and Sucre (Ecuador’s national currency until early 2000, when the country began using the US dollar as its official currency) were calculated using data downloaded from the Banco Central de Ecuador </w:t>
      </w:r>
      <w:hyperlink r:id="rId13">
        <w:r w:rsidRPr="00B40337">
          <w:rPr>
            <w:rFonts w:ascii="Times New Roman" w:hAnsi="Times New Roman" w:cs="Times New Roman"/>
          </w:rPr>
          <w:t>(</w:t>
        </w:r>
        <w:r w:rsidRPr="00B40337">
          <w:rPr>
            <w:rFonts w:ascii="Times New Roman" w:hAnsi="Times New Roman" w:cs="Times New Roman"/>
            <w:u w:val="single"/>
          </w:rPr>
          <w:t>here</w:t>
        </w:r>
        <w:r w:rsidRPr="00B40337">
          <w:rPr>
            <w:rFonts w:ascii="Times New Roman" w:hAnsi="Times New Roman" w:cs="Times New Roman"/>
          </w:rPr>
          <w:t>)</w:t>
        </w:r>
      </w:hyperlink>
      <w:r w:rsidRPr="00B40337">
        <w:rPr>
          <w:rFonts w:ascii="Times New Roman" w:hAnsi="Times New Roman" w:cs="Times New Roman"/>
        </w:rPr>
        <w:t xml:space="preserve">. Conversion factors were applied to convert Sucres into current-year US dollars, and to convert current-year dollars into May 2023 dollars (Bureau of Labor Statistics </w:t>
      </w:r>
      <w:hyperlink r:id="rId14">
        <w:r w:rsidRPr="00B40337">
          <w:rPr>
            <w:rFonts w:ascii="Times New Roman" w:hAnsi="Times New Roman" w:cs="Times New Roman"/>
            <w:u w:val="single"/>
          </w:rPr>
          <w:t>here</w:t>
        </w:r>
        <w:r w:rsidRPr="00B40337">
          <w:rPr>
            <w:rFonts w:ascii="Times New Roman" w:hAnsi="Times New Roman" w:cs="Times New Roman"/>
          </w:rPr>
          <w:t>)</w:t>
        </w:r>
      </w:hyperlink>
      <w:r w:rsidRPr="00B40337">
        <w:rPr>
          <w:rFonts w:ascii="Times New Roman" w:hAnsi="Times New Roman" w:cs="Times New Roman"/>
        </w:rPr>
        <w:t>.</w:t>
      </w:r>
    </w:p>
    <w:p w14:paraId="79257484" w14:textId="77777777" w:rsidR="0035142E" w:rsidRPr="00B40337" w:rsidRDefault="0035142E" w:rsidP="0035142E">
      <w:pPr>
        <w:pStyle w:val="ListParagraph"/>
        <w:numPr>
          <w:ilvl w:val="0"/>
          <w:numId w:val="5"/>
        </w:numPr>
        <w:spacing w:line="480" w:lineRule="auto"/>
        <w:ind w:right="172"/>
        <w:rPr>
          <w:rFonts w:ascii="Times New Roman" w:hAnsi="Times New Roman" w:cs="Times New Roman"/>
        </w:rPr>
      </w:pPr>
      <w:r w:rsidRPr="00B40337">
        <w:rPr>
          <w:rFonts w:ascii="Times New Roman" w:hAnsi="Times New Roman" w:cs="Times New Roman"/>
        </w:rPr>
        <w:t xml:space="preserve">Ecuador’s historical GDP data come from the World Bank (available </w:t>
      </w:r>
      <w:hyperlink r:id="rId15">
        <w:r w:rsidRPr="00B40337">
          <w:rPr>
            <w:rFonts w:ascii="Times New Roman" w:hAnsi="Times New Roman" w:cs="Times New Roman"/>
            <w:u w:val="single"/>
          </w:rPr>
          <w:t>here</w:t>
        </w:r>
        <w:r w:rsidRPr="00B40337">
          <w:rPr>
            <w:rFonts w:ascii="Times New Roman" w:hAnsi="Times New Roman" w:cs="Times New Roman"/>
          </w:rPr>
          <w:t>)</w:t>
        </w:r>
      </w:hyperlink>
      <w:r w:rsidRPr="00B40337">
        <w:rPr>
          <w:rFonts w:ascii="Times New Roman" w:hAnsi="Times New Roman" w:cs="Times New Roman"/>
        </w:rPr>
        <w:t>.</w:t>
      </w:r>
    </w:p>
    <w:p w14:paraId="2CF3D501" w14:textId="77777777" w:rsidR="0035142E" w:rsidRPr="00B40337" w:rsidRDefault="0035142E" w:rsidP="0035142E">
      <w:pPr>
        <w:pStyle w:val="ListParagraph"/>
        <w:numPr>
          <w:ilvl w:val="0"/>
          <w:numId w:val="5"/>
        </w:numPr>
        <w:spacing w:line="480" w:lineRule="auto"/>
        <w:rPr>
          <w:rFonts w:ascii="Times New Roman" w:hAnsi="Times New Roman" w:cs="Times New Roman"/>
        </w:rPr>
      </w:pPr>
      <w:r w:rsidRPr="00B40337">
        <w:rPr>
          <w:rFonts w:ascii="Times New Roman" w:hAnsi="Times New Roman" w:cs="Times New Roman"/>
        </w:rPr>
        <w:t xml:space="preserve">The Central Bank also collects and publishes data from </w:t>
      </w:r>
      <w:proofErr w:type="spellStart"/>
      <w:r w:rsidRPr="00B40337">
        <w:rPr>
          <w:rFonts w:ascii="Times New Roman" w:hAnsi="Times New Roman" w:cs="Times New Roman"/>
        </w:rPr>
        <w:t>PetroEcuador</w:t>
      </w:r>
      <w:proofErr w:type="spellEnd"/>
      <w:r w:rsidRPr="00B40337">
        <w:rPr>
          <w:rFonts w:ascii="Times New Roman" w:hAnsi="Times New Roman" w:cs="Times New Roman"/>
        </w:rPr>
        <w:t xml:space="preserve">, including quarterly statistics on annual LPG imports and sales, which were used to crosscheck and fill gaps in the data from </w:t>
      </w:r>
      <w:proofErr w:type="spellStart"/>
      <w:r w:rsidRPr="00B40337">
        <w:rPr>
          <w:rFonts w:ascii="Times New Roman" w:hAnsi="Times New Roman" w:cs="Times New Roman"/>
        </w:rPr>
        <w:t>PetroEcuador</w:t>
      </w:r>
      <w:proofErr w:type="spellEnd"/>
      <w:r w:rsidRPr="00B40337">
        <w:rPr>
          <w:rFonts w:ascii="Times New Roman" w:hAnsi="Times New Roman" w:cs="Times New Roman"/>
        </w:rPr>
        <w:t>-published reports.</w:t>
      </w:r>
    </w:p>
    <w:p w14:paraId="213F542B" w14:textId="77777777" w:rsidR="0035142E" w:rsidRPr="00B40337" w:rsidRDefault="0035142E" w:rsidP="0035142E">
      <w:pPr>
        <w:pStyle w:val="ListParagraph"/>
        <w:numPr>
          <w:ilvl w:val="0"/>
          <w:numId w:val="5"/>
        </w:numPr>
        <w:spacing w:line="480" w:lineRule="auto"/>
        <w:rPr>
          <w:rFonts w:ascii="Times New Roman" w:hAnsi="Times New Roman" w:cs="Times New Roman"/>
        </w:rPr>
      </w:pPr>
      <w:r w:rsidRPr="00B40337">
        <w:rPr>
          <w:rFonts w:ascii="Times New Roman" w:hAnsi="Times New Roman" w:cs="Times New Roman"/>
        </w:rPr>
        <w:t xml:space="preserve">The cost of Ecuador’s LPG subsidy was determined by multiplying the country’s annual consumption by the difference between the subsidized consumer price and the international wholesaler and producer price (data from </w:t>
      </w:r>
      <w:hyperlink r:id="rId16">
        <w:r w:rsidRPr="00B40337">
          <w:rPr>
            <w:rFonts w:ascii="Times New Roman" w:hAnsi="Times New Roman" w:cs="Times New Roman"/>
            <w:u w:val="single"/>
          </w:rPr>
          <w:t>EIA</w:t>
        </w:r>
      </w:hyperlink>
      <w:r w:rsidRPr="00B40337">
        <w:rPr>
          <w:rFonts w:ascii="Times New Roman" w:hAnsi="Times New Roman" w:cs="Times New Roman"/>
        </w:rPr>
        <w:t xml:space="preserve"> and </w:t>
      </w:r>
      <w:hyperlink r:id="rId17">
        <w:r w:rsidRPr="00B40337">
          <w:rPr>
            <w:rFonts w:ascii="Times New Roman" w:hAnsi="Times New Roman" w:cs="Times New Roman"/>
            <w:u w:val="single"/>
          </w:rPr>
          <w:t>FRED</w:t>
        </w:r>
      </w:hyperlink>
      <w:r w:rsidRPr="00B40337">
        <w:rPr>
          <w:rFonts w:ascii="Times New Roman" w:hAnsi="Times New Roman" w:cs="Times New Roman"/>
        </w:rPr>
        <w:t xml:space="preserve"> producer price index; propane using Dec 2022 as index=100).</w:t>
      </w:r>
    </w:p>
    <w:p w14:paraId="158CB011" w14:textId="77777777" w:rsidR="0035142E" w:rsidRPr="00B40337" w:rsidRDefault="0035142E" w:rsidP="0035142E">
      <w:pPr>
        <w:spacing w:after="0" w:line="480" w:lineRule="auto"/>
        <w:ind w:left="-15" w:right="0" w:firstLine="0"/>
        <w:jc w:val="left"/>
        <w:rPr>
          <w:rFonts w:ascii="Times New Roman" w:hAnsi="Times New Roman" w:cs="Times New Roman"/>
        </w:rPr>
      </w:pPr>
    </w:p>
    <w:p w14:paraId="4041A86D" w14:textId="26F4B265" w:rsidR="0035142E" w:rsidRPr="00B40337" w:rsidRDefault="0035142E" w:rsidP="00284030">
      <w:pPr>
        <w:spacing w:after="0" w:line="480" w:lineRule="auto"/>
        <w:ind w:left="-15" w:right="0" w:firstLine="0"/>
        <w:jc w:val="left"/>
        <w:rPr>
          <w:rFonts w:ascii="Times New Roman" w:hAnsi="Times New Roman" w:cs="Times New Roman"/>
        </w:rPr>
      </w:pPr>
      <w:r w:rsidRPr="00B40337">
        <w:rPr>
          <w:rFonts w:ascii="Times New Roman" w:hAnsi="Times New Roman" w:cs="Times New Roman"/>
        </w:rPr>
        <w:t xml:space="preserve">This analysis makes several assumptions to bridge data gaps: first, domestic LPG production is treated as equivalent to imported fuel. Domestic production volume has been stagnant since the mid-1990s and has accounted for roughly one-fifth of overall consumption since 2000. As </w:t>
      </w:r>
      <w:r w:rsidRPr="00B40337">
        <w:rPr>
          <w:rFonts w:ascii="Times New Roman" w:hAnsi="Times New Roman" w:cs="Times New Roman"/>
        </w:rPr>
        <w:lastRenderedPageBreak/>
        <w:t xml:space="preserve">domestic production has largely come under the aegis of </w:t>
      </w:r>
      <w:proofErr w:type="spellStart"/>
      <w:r w:rsidRPr="00B40337">
        <w:rPr>
          <w:rFonts w:ascii="Times New Roman" w:hAnsi="Times New Roman" w:cs="Times New Roman"/>
        </w:rPr>
        <w:t>PetroEcuador</w:t>
      </w:r>
      <w:proofErr w:type="spellEnd"/>
      <w:r w:rsidRPr="00B40337">
        <w:rPr>
          <w:rFonts w:ascii="Times New Roman" w:hAnsi="Times New Roman" w:cs="Times New Roman"/>
        </w:rPr>
        <w:t xml:space="preserve">, we treat unrealized income (from the potential sale of this LPG at market prices) as equivalent to the cost of imported fuel. Second, our estimations conservatively treat all LPG sales within the country as fully subsidized. While household use of LPG represents most of the internal market (&gt;90% over the last decade), a complex and evolving set of price points have been fixed for industrial, agricultural, and transportation uses of LPG. However, data gaps on LPG use in these sectors for </w:t>
      </w:r>
      <w:proofErr w:type="gramStart"/>
      <w:r w:rsidRPr="00B40337">
        <w:rPr>
          <w:rFonts w:ascii="Times New Roman" w:hAnsi="Times New Roman" w:cs="Times New Roman"/>
        </w:rPr>
        <w:t>the majority of</w:t>
      </w:r>
      <w:proofErr w:type="gramEnd"/>
      <w:r w:rsidRPr="00B40337">
        <w:rPr>
          <w:rFonts w:ascii="Times New Roman" w:hAnsi="Times New Roman" w:cs="Times New Roman"/>
        </w:rPr>
        <w:t xml:space="preserve"> the years under analysis prevent the inclusion of this detail. Finally, our use of average annual international wholesale prices and US prices received by LPG producers for the period prior to 2011 represents an imperfect estimate, and likely an underestimate, of the cost paid by Ecuador’s government for imported LPG, which must cover shipping and logistics costs, in addition to being subject to the volatility of the LPG market at the moment that import contracts are signed. </w:t>
      </w:r>
    </w:p>
    <w:p w14:paraId="31E72B73" w14:textId="77777777" w:rsidR="0035142E" w:rsidRPr="00B40337" w:rsidRDefault="0035142E" w:rsidP="0035142E">
      <w:pPr>
        <w:spacing w:after="0" w:line="240" w:lineRule="auto"/>
        <w:ind w:left="0" w:right="0" w:firstLine="0"/>
        <w:jc w:val="left"/>
        <w:rPr>
          <w:rFonts w:ascii="Times New Roman" w:hAnsi="Times New Roman" w:cs="Times New Roman"/>
        </w:rPr>
      </w:pPr>
      <w:r w:rsidRPr="00B40337">
        <w:rPr>
          <w:rFonts w:ascii="Times New Roman" w:hAnsi="Times New Roman" w:cs="Times New Roman"/>
        </w:rPr>
        <w:br w:type="page"/>
      </w:r>
    </w:p>
    <w:p w14:paraId="0C7AAA0E" w14:textId="50853107" w:rsidR="0035142E" w:rsidRPr="00B40337" w:rsidRDefault="0035142E" w:rsidP="0035142E">
      <w:pPr>
        <w:pStyle w:val="Heading2"/>
      </w:pPr>
      <w:bookmarkStart w:id="5" w:name="_Toc161220512"/>
      <w:r w:rsidRPr="00B40337">
        <w:lastRenderedPageBreak/>
        <w:t>Modeling mortality and estimating its value, 1979-2019</w:t>
      </w:r>
      <w:bookmarkEnd w:id="5"/>
    </w:p>
    <w:p w14:paraId="58DA954E" w14:textId="77777777" w:rsidR="0035142E" w:rsidRPr="00B40337" w:rsidRDefault="0035142E" w:rsidP="0035142E">
      <w:pPr>
        <w:spacing w:after="0" w:line="480" w:lineRule="auto"/>
        <w:ind w:left="-5" w:right="172"/>
        <w:jc w:val="left"/>
        <w:rPr>
          <w:rFonts w:ascii="Times New Roman" w:hAnsi="Times New Roman" w:cs="Times New Roman"/>
        </w:rPr>
      </w:pPr>
      <w:r w:rsidRPr="00B40337">
        <w:rPr>
          <w:rFonts w:ascii="Times New Roman" w:hAnsi="Times New Roman" w:cs="Times New Roman"/>
        </w:rPr>
        <w:t>Our modeled estimates of the averted mortality from clean cooking fuel scale up in Ecuador rely on yearly nationwide observed % primary clean cooking fuel use, predicted % primary clean cooking fuel use absent the subsidy, all-cause all-age mortality rates, average PM</w:t>
      </w:r>
      <w:r w:rsidRPr="00B40337">
        <w:rPr>
          <w:rFonts w:ascii="Times New Roman" w:hAnsi="Times New Roman" w:cs="Times New Roman"/>
          <w:vertAlign w:val="subscript"/>
        </w:rPr>
        <w:t>2.5</w:t>
      </w:r>
      <w:r w:rsidRPr="00B40337">
        <w:rPr>
          <w:rFonts w:ascii="Times New Roman" w:hAnsi="Times New Roman" w:cs="Times New Roman"/>
        </w:rPr>
        <w:t xml:space="preserve"> exposure estimates for those using clean cooking fuels primarily and those that are not, and an exposure-response function that translates those exposures into changes in all-age all-cause mortality risk.</w:t>
      </w:r>
    </w:p>
    <w:p w14:paraId="549EB058" w14:textId="146CA0C4" w:rsidR="0035142E" w:rsidRPr="00B40337" w:rsidRDefault="0035142E" w:rsidP="0035142E">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 xml:space="preserve">The observed trajectory is derived by linearly interpolating the percent primary clean cooking fuel use variable derived from Census years 1974, 1982, 1990, 2000, 2010, and a combined set of nationally-representative surveys conducted between 2015– 2019 (whose mean value we place at 2019). The </w:t>
      </w:r>
      <w:proofErr w:type="gramStart"/>
      <w:r w:rsidRPr="00B40337">
        <w:rPr>
          <w:rFonts w:ascii="Times New Roman" w:hAnsi="Times New Roman" w:cs="Times New Roman"/>
        </w:rPr>
        <w:t>20 year</w:t>
      </w:r>
      <w:proofErr w:type="gramEnd"/>
      <w:r w:rsidRPr="00B40337">
        <w:rPr>
          <w:rFonts w:ascii="Times New Roman" w:hAnsi="Times New Roman" w:cs="Times New Roman"/>
        </w:rPr>
        <w:t xml:space="preserve"> delayed trajectory is calculated by starting at 6.55% in 1974 (no difference to observed), increasing to 9.91% in 1984 (the value Ecuador had reached in 1975), increasing to 26.71% by 1994 (1980), increasing to 39.57% in 2004 (1984), and maintaining the 20y delayed gap thereon. The 10y delayed trajectory is calculated by starting at 6.55% in 1974 (no difference to observed), increasing to 23.35% in 1984 (the value Ecuador had reached in 1979), increasing to 39.57% by 1994 (the value reached in 1984), and maintaining the 10y delayed gap thereon.</w:t>
      </w:r>
    </w:p>
    <w:p w14:paraId="3B56B6AA" w14:textId="525FDC13" w:rsidR="0035142E" w:rsidRPr="00B40337" w:rsidRDefault="0035142E" w:rsidP="0035142E">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 xml:space="preserve">Yearly nationwide data on population and mortality are derived from the United Nations World Population Prospects 2022 (available </w:t>
      </w:r>
      <w:hyperlink r:id="rId18">
        <w:r w:rsidRPr="00B40337">
          <w:rPr>
            <w:rFonts w:ascii="Times New Roman" w:hAnsi="Times New Roman" w:cs="Times New Roman"/>
            <w:u w:val="single"/>
          </w:rPr>
          <w:t>here</w:t>
        </w:r>
        <w:r w:rsidRPr="00B40337">
          <w:rPr>
            <w:rFonts w:ascii="Times New Roman" w:hAnsi="Times New Roman" w:cs="Times New Roman"/>
          </w:rPr>
          <w:t>)</w:t>
        </w:r>
      </w:hyperlink>
      <w:r w:rsidR="00682D9D">
        <w:rPr>
          <w:rFonts w:ascii="Times New Roman" w:hAnsi="Times New Roman" w:cs="Times New Roman"/>
        </w:rPr>
        <w:t>.</w:t>
      </w:r>
    </w:p>
    <w:p w14:paraId="08AA5979" w14:textId="7C3C16A7" w:rsidR="0035142E" w:rsidRPr="00B40337" w:rsidRDefault="0035142E" w:rsidP="0035142E">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 xml:space="preserve">Exposure contrasts are derived from ref. </w:t>
      </w:r>
      <w:r w:rsidRPr="00B40337">
        <w:rPr>
          <w:rFonts w:ascii="Times New Roman" w:hAnsi="Times New Roman" w:cs="Times New Roman"/>
        </w:rPr>
        <w:fldChar w:fldCharType="begin"/>
      </w:r>
      <w:r w:rsidRPr="00B40337">
        <w:rPr>
          <w:rFonts w:ascii="Times New Roman" w:hAnsi="Times New Roman" w:cs="Times New Roman"/>
        </w:rPr>
        <w:instrText xml:space="preserve"> ADDIN ZOTERO_ITEM CSL_CITATION {"citationID":"Z4DfoGXK","properties":{"formattedCitation":"({\\i{}2})","plainCitation":"(2)","noteIndex":0},"citationItems":[{"id":1672,"uris":["http://zotero.org/users/2607085/items/GN59EKZI"],"itemData":{"id":1672,"type":"article-journal","abstract":"Ecuador presents a unique case study for evaluating personal air pollution exposure in a middle-income country where a clean cooking fuel has been available at low cost for several decades. We measured personal PM2.5 exposure, stove use, and participant location during a 48-h monitoring period for 157 rural and peri-urban households in coastal and Andean Ecuador. While nearly all households owned a liquefied petroleum gas (LPG) stove and used it as their primary cooking fuel, one-quarter of households utilized firewood as a secondary fuel and 10% used induction stoves secondary to LPG. Stove use monitoring demonstrated clear within- and across-meal fuel stacking patterns. Firewood-owning participants had higher distributions of 48-h and 10-min PM2.5 exposure as compared with primary LPG and induction stove users, and this effect became more pronounced with firewood use during monitoring.Accounting for within-subject clustering, contemporaneous firewood stove use was associated with 101 μg/m3 higher 10-min PM2.5 exposure (95% CI: 94–108 μg/m3). LPG and induction cooking events were largely not associated with contemporaneous PM2.5 exposure. Our results suggest that firewood use is associated with average and short-term personal air pollution exposure above the WHO interim-I guideline, even when LPG is the primary cooking fuel.","container-title":"Journal of Exposure Science &amp; Environmental Epidemiology","DOI":"10.1038/s41370-020-0231-5","ISSN":"1559-064X","issue":"4","language":"en","license":"2020 The Author(s)","note":"number: 4\npublisher: Nature Publishing Group","page":"707-720","source":"www-nature-com.ezproxy.cul.columbia.edu","title":"Long-standing LPG subsidies, cooking fuel stacking, and personal exposure to air pollution in rural and peri-urban Ecuador","volume":"30","author":[{"family":"Gould","given":"Carlos F."},{"family":"Schlesinger","given":"Samuel B."},{"family":"Molina","given":"Emilio"},{"family":"Bejarano","given":"M. Lorena"},{"family":"Valarezo","given":"Alfredo"},{"family":"Jack","given":"Darby W."}],"issued":{"date-parts":[["2020",7]]}}}],"schema":"https://github.com/citation-style-language/schema/raw/master/csl-citation.json"} </w:instrText>
      </w:r>
      <w:r w:rsidRPr="00B40337">
        <w:rPr>
          <w:rFonts w:ascii="Times New Roman" w:hAnsi="Times New Roman" w:cs="Times New Roman"/>
        </w:rPr>
        <w:fldChar w:fldCharType="separate"/>
      </w:r>
      <w:r w:rsidRPr="00B40337">
        <w:rPr>
          <w:rFonts w:ascii="Times New Roman" w:hAnsi="Times New Roman" w:cs="Times New Roman"/>
          <w:kern w:val="0"/>
        </w:rPr>
        <w:t>(</w:t>
      </w:r>
      <w:r w:rsidRPr="00B40337">
        <w:rPr>
          <w:rFonts w:ascii="Times New Roman" w:hAnsi="Times New Roman" w:cs="Times New Roman"/>
          <w:i/>
          <w:iCs/>
          <w:kern w:val="0"/>
        </w:rPr>
        <w:t>2</w:t>
      </w:r>
      <w:r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vertAlign w:val="superscript"/>
        </w:rPr>
        <w:t xml:space="preserve"> </w:t>
      </w:r>
      <w:r w:rsidRPr="00B40337">
        <w:rPr>
          <w:rFonts w:ascii="Times New Roman" w:hAnsi="Times New Roman" w:cs="Times New Roman"/>
        </w:rPr>
        <w:t xml:space="preserve">and are as follows: 50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 xml:space="preserve">3 </w:t>
      </w:r>
      <w:r w:rsidRPr="00B40337">
        <w:rPr>
          <w:rFonts w:ascii="Times New Roman" w:hAnsi="Times New Roman" w:cs="Times New Roman"/>
        </w:rPr>
        <w:t>(</w:t>
      </w:r>
      <w:proofErr w:type="spellStart"/>
      <w:r w:rsidRPr="00B40337">
        <w:rPr>
          <w:rFonts w:ascii="Times New Roman" w:hAnsi="Times New Roman" w:cs="Times New Roman"/>
        </w:rPr>
        <w:t>sd</w:t>
      </w:r>
      <w:proofErr w:type="spellEnd"/>
      <w:r w:rsidRPr="00B40337">
        <w:rPr>
          <w:rFonts w:ascii="Times New Roman" w:hAnsi="Times New Roman" w:cs="Times New Roman"/>
        </w:rPr>
        <w:t xml:space="preserve"> = 20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3</w:t>
      </w:r>
      <w:r w:rsidRPr="00B40337">
        <w:rPr>
          <w:rFonts w:ascii="Times New Roman" w:hAnsi="Times New Roman" w:cs="Times New Roman"/>
        </w:rPr>
        <w:t xml:space="preserve">) polluting and 25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 xml:space="preserve">3 </w:t>
      </w:r>
      <w:r w:rsidRPr="00B40337">
        <w:rPr>
          <w:rFonts w:ascii="Times New Roman" w:hAnsi="Times New Roman" w:cs="Times New Roman"/>
        </w:rPr>
        <w:t xml:space="preserve">(10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3</w:t>
      </w:r>
      <w:r w:rsidRPr="00B40337">
        <w:rPr>
          <w:rFonts w:ascii="Times New Roman" w:hAnsi="Times New Roman" w:cs="Times New Roman"/>
        </w:rPr>
        <w:t xml:space="preserve">) clean. For each bootstrapped run, we draw from a truncated normal distribution where the mean and SD are as described above, the minimum is 5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 xml:space="preserve">3 </w:t>
      </w:r>
      <w:r w:rsidRPr="00B40337">
        <w:rPr>
          <w:rFonts w:ascii="Times New Roman" w:hAnsi="Times New Roman" w:cs="Times New Roman"/>
        </w:rPr>
        <w:t xml:space="preserve">for both polluting and clean fuels, and the maximum is 150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 xml:space="preserve">3 </w:t>
      </w:r>
      <w:r w:rsidRPr="00B40337">
        <w:rPr>
          <w:rFonts w:ascii="Times New Roman" w:hAnsi="Times New Roman" w:cs="Times New Roman"/>
        </w:rPr>
        <w:t xml:space="preserve">for polluting and for </w:t>
      </w:r>
      <w:r w:rsidRPr="00B40337">
        <w:rPr>
          <w:rFonts w:ascii="Times New Roman" w:hAnsi="Times New Roman" w:cs="Times New Roman"/>
        </w:rPr>
        <w:lastRenderedPageBreak/>
        <w:t>clean fuels. The maximum was the randomly selected level for the polluting group, ensuring that the clean group had either the same exposure or lower.</w:t>
      </w:r>
    </w:p>
    <w:p w14:paraId="0A3735E7" w14:textId="533D37C7" w:rsidR="0035142E" w:rsidRPr="00B40337" w:rsidRDefault="0035142E" w:rsidP="0035142E">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For the exposure-response relationship (for Ecuador, India, and Kenya), we applied the Global Exposure Mortality Model (GEMM).</w:t>
      </w:r>
      <w:r w:rsidRPr="00B40337">
        <w:rPr>
          <w:rFonts w:ascii="Times New Roman" w:hAnsi="Times New Roman" w:cs="Times New Roman"/>
        </w:rPr>
        <w:fldChar w:fldCharType="begin"/>
      </w:r>
      <w:r w:rsidRPr="00B40337">
        <w:rPr>
          <w:rFonts w:ascii="Times New Roman" w:hAnsi="Times New Roman" w:cs="Times New Roman"/>
        </w:rPr>
        <w:instrText xml:space="preserve"> ADDIN ZOTERO_ITEM CSL_CITATION {"citationID":"aFxk66GY","properties":{"formattedCitation":"({\\i{}3})","plainCitation":"(3)","noteIndex":0},"citationItems":[{"id":10967,"uris":["http://zotero.org/users/2607085/items/Y4CB4CMX"],"itemData":{"id":10967,"type":"article-journal","abstract":"Exposure to ambient fine particulate matter (PM\n              2.5\n              ) is a major global health concern. Quantitative estimates of attributable mortality are based on disease-specific hazard ratio models that incorporate risk information from multiple PM\n              2.5\n              sources (outdoor and indoor air pollution from use of solid fuels and secondhand and active smoking), requiring assumptions about equivalent exposure and toxicity. We relax these contentious assumptions by constructing a PM\n              2.5\n              -mortality hazard ratio function based only on cohort studies of outdoor air pollution that covers the global exposure range. We modeled the shape of the association between PM\n              2.5\n              and nonaccidental mortality using data from 41 cohorts from 16 countries—the Global Exposure Mortality Model (GEMM). We then constructed GEMMs for five specific causes of death examined by the global burden of disease (GBD). The GEMM predicts 8.9 million [95% confidence interval (CI): 7.5–10.3] deaths in 2015, a figure 30% larger than that predicted by the sum of deaths among the five specific causes (6.9; 95% CI: 4.9–8.5) and 120% larger than the risk function used in the GBD (4.0; 95% CI: 3.3–4.8). Differences between the GEMM and GBD risk functions are larger for a 20% reduction in concentrations, with the GEMM predicting 220% higher excess deaths. These results suggest that PM\n              2.5\n              exposure may be related to additional causes of death than the five considered by the GBD and that incorporation of risk information from other, nonoutdoor, particle sources leads to underestimation of disease burden, especially at higher concentrations.","container-title":"Proceedings of the National Academy of Sciences","DOI":"10.1073/pnas.1803222115","ISSN":"0027-8424, 1091-6490","issue":"38","journalAbbreviation":"Proc. Natl. Acad. Sci. U.S.A.","language":"en","page":"9592-9597","source":"DOI.org (Crossref)","title":"Global estimates of mortality associated with long-term exposure to outdoor fine particulate matter","volume":"115","author":[{"family":"Burnett","given":"Richard"},{"family":"Chen","given":"Hong"},{"family":"Szyszkowicz","given":"Mieczysław"},{"family":"Fann","given":"Neal"},{"family":"Hubbell","given":"Bryan"},{"family":"Pope","given":"C. Arden"},{"family":"Apte","given":"Joshua S."},{"family":"Brauer","given":"Michael"},{"family":"Cohen","given":"Aaron"},{"family":"Weichenthal","given":"Scott"},{"family":"Coggins","given":"Jay"},{"family":"Di","given":"Qian"},{"family":"Brunekreef","given":"Bert"},{"family":"Frostad","given":"Joseph"},{"family":"Lim","given":"Stephen S."},{"family":"Kan","given":"Haidong"},{"family":"Walker","given":"Katherine D."},{"family":"Thurston","given":"George D."},{"family":"Hayes","given":"Richard B."},{"family":"Lim","given":"Chris C."},{"family":"Turner","given":"Michelle C."},{"family":"Jerrett","given":"Michael"},{"family":"Krewski","given":"Daniel"},{"family":"Gapstur","given":"Susan M."},{"family":"Diver","given":"W. Ryan"},{"family":"Ostro","given":"Bart"},{"family":"Goldberg","given":"Debbie"},{"family":"Crouse","given":"Daniel L."},{"family":"Martin","given":"Randall V."},{"family":"Peters","given":"Paul"},{"family":"Pinault","given":"Lauren"},{"family":"Tjepkema","given":"Michael"},{"family":"Van Donkelaar","given":"Aaron"},{"family":"Villeneuve","given":"Paul J."},{"family":"Miller","given":"Anthony B."},{"family":"Yin","given":"Peng"},{"family":"Zhou","given":"Maigeng"},{"family":"Wang","given":"Lijun"},{"family":"Janssen","given":"Nicole A. H."},{"family":"Marra","given":"Marten"},{"family":"Atkinson","given":"Richard W."},{"family":"Tsang","given":"Hilda"},{"family":"Quoc Thach","given":"Thuan"},{"family":"Cannon","given":"John B."},{"family":"Allen","given":"Ryan T."},{"family":"Hart","given":"Jaime E."},{"family":"Laden","given":"Francine"},{"family":"Cesaroni","given":"Giulia"},{"family":"Forastiere","given":"Francesco"},{"family":"Weinmayr","given":"Gudrun"},{"family":"Jaensch","given":"Andrea"},{"family":"Nagel","given":"Gabriele"},{"family":"Concin","given":"Hans"},{"family":"Spadaro","given":"Joseph V."}],"issued":{"date-parts":[["2018",9,18]]}}}],"schema":"https://github.com/citation-style-language/schema/raw/master/csl-citation.json"} </w:instrText>
      </w:r>
      <w:r w:rsidRPr="00B40337">
        <w:rPr>
          <w:rFonts w:ascii="Times New Roman" w:hAnsi="Times New Roman" w:cs="Times New Roman"/>
        </w:rPr>
        <w:fldChar w:fldCharType="separate"/>
      </w:r>
      <w:r w:rsidRPr="00B40337">
        <w:rPr>
          <w:rFonts w:ascii="Times New Roman" w:hAnsi="Times New Roman" w:cs="Times New Roman"/>
          <w:kern w:val="0"/>
        </w:rPr>
        <w:t>(</w:t>
      </w:r>
      <w:r w:rsidRPr="00B40337">
        <w:rPr>
          <w:rFonts w:ascii="Times New Roman" w:hAnsi="Times New Roman" w:cs="Times New Roman"/>
          <w:i/>
          <w:iCs/>
          <w:kern w:val="0"/>
        </w:rPr>
        <w:t>3</w:t>
      </w:r>
      <w:r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vertAlign w:val="superscript"/>
        </w:rPr>
        <w:t xml:space="preserve"> </w:t>
      </w:r>
      <w:r w:rsidRPr="00B40337">
        <w:rPr>
          <w:rFonts w:ascii="Times New Roman" w:hAnsi="Times New Roman" w:cs="Times New Roman"/>
        </w:rPr>
        <w:t>The GEMM provides hazard functions derived from 41 cohort studies across 16 countries, including high PM2.5 contexts, and removes the use of secondhand smoking studies to cover these high concentrations and to provide an upper exposure bound. Our outcome of interest is nonaccidental mortality; we apply the 25 years and older category from the GEMM to our populations. The inputs are drawn from an excel file downloaded from the Supplemental Information from the paper describing the GEMM and its application (Burnett et al. (2018)).</w:t>
      </w:r>
    </w:p>
    <w:p w14:paraId="031B8237" w14:textId="77777777" w:rsidR="0035142E" w:rsidRPr="00B40337" w:rsidRDefault="0035142E" w:rsidP="0035142E">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As noted elsewhere,</w:t>
      </w:r>
      <w:r w:rsidRPr="00B40337">
        <w:rPr>
          <w:rFonts w:ascii="Times New Roman" w:hAnsi="Times New Roman" w:cs="Times New Roman"/>
        </w:rPr>
        <w:fldChar w:fldCharType="begin"/>
      </w:r>
      <w:r w:rsidRPr="00B40337">
        <w:rPr>
          <w:rFonts w:ascii="Times New Roman" w:hAnsi="Times New Roman" w:cs="Times New Roman"/>
        </w:rPr>
        <w:instrText xml:space="preserve"> ADDIN ZOTERO_ITEM CSL_CITATION {"citationID":"Ae969Wwx","properties":{"formattedCitation":"({\\i{}4}, {\\i{}5})","plainCitation":"(4, 5)","noteIndex":0},"citationItems":[{"id":10949,"uris":["http://zotero.org/users/2607085/items/VKHVJ28C"],"itemData":{"id":10949,"type":"article-journal","abstract":"This editorial refers to ‘Cardiovascular disease burden from ambient air pollution in Europe reassessed using novel hazard ratio functions’†, by J. Lelieveld et al., on page 1590.During the severe smog event in London in the winter of 1952, which is now believed to have caused some 12 000 deaths, PM10 levels approached 3000 μg/m3, 60 times higher than the current EU air quality standard 24 h limit.1  ,  2 The widespread concern among Londoners that developed during this event is believed to have catalysed the passage of clean air regulations soon thereafter. These and subsequent regulations have delivered huge improvements in air quality across Europe over the past 60 years, giving many people a sense that health threats associated with air pollution are a thing of the past.","container-title":"European Heart Journal","DOI":"10.1093/eurheartj/ehz200","ISSN":"0195-668X","issue":"20","journalAbbreviation":"European Heart Journal","page":"1597-1599","source":"Silverchair","title":"Estimating pollution-attributable mortality at the regional and global scales: challenges in uncertainty estimation and causal inference","title-short":"Estimating pollution-attributable mortality at the regional and global scales","volume":"40","author":[{"family":"Nethery","given":"Rachel C"},{"family":"Dominici","given":"Francesca"}],"issued":{"date-parts":[["2019",5,21]]}}},{"id":10969,"uris":["http://zotero.org/users/2607085/items/RD6525JW"],"itemData":{"id":10969,"type":"article-journal","abstract":"Abstract\n            Since the publication of the first epidemiological study to establish the connection between long‐term exposure to atmospheric pollution and effects on human health, major efforts have been dedicated to estimate the attributable mortality burden, especially in the context of the Global Burden of Disease (GBD). In this work, we review the estimates of excess mortality attributable to outdoor air pollution at the global scale, by comparing studies available in the literature. We find large differences between the estimates, which are related to the exposure response functions as well as the number of health outcomes included in the calculations, aspects where further improvements are necessary. Furthermore, we show that despite the considerable advancements in our understanding of health impacts of air pollution and the consequent improvement in the accuracy of the global estimates, their precision has not increased in the last decades. We offer recommendations for future measurements and research directions, which will help to improve our understanding and quantification of air pollution‐health relationships.\n          , \n            Plain Language Summary\n            In this work we review the estimates of excess mortality attributable to outdoor air pollution at the global scale, by comparing studies available in the literature. We find large differences between the estimates, mainly caused by mathematical function used to describe the pollution‐health link, as well as the number of health outcomes included in the calculations. We showed that, despite the considerable advancements in our understanding of health impacts of air pollution, the precision of the estimates has not increased in the last decades. We offer recommendations for future measurements and research directions, which will help to improve our understanding and quantification of air pollution‐health relationships.\n          , \n            Key Points\n            \n              \n                \n                  Large differences are present in the published estimates of excess mortality attributable to outdoor air pollution at the global scale\n                \n                \n                  The differences are mostly due to the exposure response functions as well as the number of health outcomes included in the calculations\n                \n                \n                  Although the accuracy of the global estimates has improved, their precision has not increased in the last decades","container-title":"GeoHealth","DOI":"10.1029/2022GH000711","ISSN":"2471-1403, 2471-1403","issue":"1","journalAbbreviation":"GeoHealth","language":"en","page":"e2022GH000711","source":"DOI.org (Crossref)","title":"Mortality Attributable to Ambient Air Pollution: A Review of Global Estimates","title-short":"Mortality Attributable to Ambient Air Pollution","volume":"7","author":[{"family":"Pozzer","given":"A."},{"family":"Anenberg","given":"S. C."},{"family":"Dey","given":"S."},{"family":"Haines","given":"A."},{"family":"Lelieveld","given":"J."},{"family":"Chowdhury","given":"S."}],"issued":{"date-parts":[["2023",1]]}}}],"schema":"https://github.com/citation-style-language/schema/raw/master/csl-citation.json"} </w:instrText>
      </w:r>
      <w:r w:rsidRPr="00B40337">
        <w:rPr>
          <w:rFonts w:ascii="Times New Roman" w:hAnsi="Times New Roman" w:cs="Times New Roman"/>
        </w:rPr>
        <w:fldChar w:fldCharType="separate"/>
      </w:r>
      <w:r w:rsidRPr="00B40337">
        <w:rPr>
          <w:rFonts w:ascii="Times New Roman" w:hAnsi="Times New Roman" w:cs="Times New Roman"/>
          <w:kern w:val="0"/>
        </w:rPr>
        <w:t>(</w:t>
      </w:r>
      <w:r w:rsidRPr="00B40337">
        <w:rPr>
          <w:rFonts w:ascii="Times New Roman" w:hAnsi="Times New Roman" w:cs="Times New Roman"/>
          <w:i/>
          <w:iCs/>
          <w:kern w:val="0"/>
        </w:rPr>
        <w:t>4</w:t>
      </w:r>
      <w:r w:rsidRPr="00B40337">
        <w:rPr>
          <w:rFonts w:ascii="Times New Roman" w:hAnsi="Times New Roman" w:cs="Times New Roman"/>
          <w:kern w:val="0"/>
        </w:rPr>
        <w:t xml:space="preserve">, </w:t>
      </w:r>
      <w:r w:rsidRPr="00B40337">
        <w:rPr>
          <w:rFonts w:ascii="Times New Roman" w:hAnsi="Times New Roman" w:cs="Times New Roman"/>
          <w:i/>
          <w:iCs/>
          <w:kern w:val="0"/>
        </w:rPr>
        <w:t>5</w:t>
      </w:r>
      <w:r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vertAlign w:val="superscript"/>
        </w:rPr>
        <w:t xml:space="preserve"> </w:t>
      </w:r>
      <w:r w:rsidRPr="00B40337">
        <w:rPr>
          <w:rFonts w:ascii="Times New Roman" w:hAnsi="Times New Roman" w:cs="Times New Roman"/>
        </w:rPr>
        <w:t xml:space="preserve">the choice of exposure-response relationship can highly impact modeled estimates of air pollution attributable mortality, especially at high concentrations (by 2x, at times). In addition to its strengths noted above, we choose the GEMM because its parameters are publicly available and easily implemented. </w:t>
      </w:r>
    </w:p>
    <w:p w14:paraId="515F1A4C" w14:textId="55704881" w:rsidR="0035142E" w:rsidRDefault="0035142E" w:rsidP="0035142E">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We select a preferred Value of a Statistical Life (VSL) of 820,000 USD from</w:t>
      </w:r>
      <w:r w:rsidR="00C130C9" w:rsidRPr="00B40337">
        <w:rPr>
          <w:rFonts w:ascii="Times New Roman" w:hAnsi="Times New Roman" w:cs="Times New Roman"/>
        </w:rPr>
        <w:t xml:space="preserve"> </w:t>
      </w:r>
      <w:r w:rsidR="00C130C9" w:rsidRPr="00B40337">
        <w:rPr>
          <w:rFonts w:ascii="Times New Roman" w:hAnsi="Times New Roman" w:cs="Times New Roman"/>
        </w:rPr>
        <w:fldChar w:fldCharType="begin"/>
      </w:r>
      <w:r w:rsidR="00C130C9" w:rsidRPr="00B40337">
        <w:rPr>
          <w:rFonts w:ascii="Times New Roman" w:hAnsi="Times New Roman" w:cs="Times New Roman"/>
        </w:rPr>
        <w:instrText xml:space="preserve"> ADDIN ZOTERO_ITEM CSL_CITATION {"citationID":"Dr0v6tUN","properties":{"formattedCitation":"({\\i{}6})","plainCitation":"(6)","noteIndex":0},"citationItems":[{"id":11010,"uris":["http://zotero.org/users/2607085/items/PRWXPJ4D"],"itemData":{"id":11010,"type":"webpage","abstract":"The cost of air pollution - a case\n            study for the city of Cuenca, Ecuador (English)","container-title":"World Bank","genre":"Text/HTML","language":"en","title":"The cost of air pollution - a case study for the city of Cuenca, Ecuador","URL":"https://documents.worldbank.org/en/publication/documents-reports/documentdetail/458511468189273908/The-cost-of-air-pollution-a-case-study-for-the-city-of-Cuenca-Ecuador","author":[{"family":"Sander,Klas,Mira-Salama,Daniel,Feuerbacher,Arndt","given":""}],"accessed":{"date-parts":[["2023",10,24]]}}}],"schema":"https://github.com/citation-style-language/schema/raw/master/csl-citation.json"} </w:instrText>
      </w:r>
      <w:r w:rsidR="00C130C9" w:rsidRPr="00B40337">
        <w:rPr>
          <w:rFonts w:ascii="Times New Roman" w:hAnsi="Times New Roman" w:cs="Times New Roman"/>
        </w:rPr>
        <w:fldChar w:fldCharType="separate"/>
      </w:r>
      <w:r w:rsidR="00C130C9" w:rsidRPr="00B40337">
        <w:rPr>
          <w:rFonts w:ascii="Times New Roman" w:hAnsi="Times New Roman" w:cs="Times New Roman"/>
          <w:kern w:val="0"/>
        </w:rPr>
        <w:t>(</w:t>
      </w:r>
      <w:r w:rsidR="00C130C9" w:rsidRPr="00B40337">
        <w:rPr>
          <w:rFonts w:ascii="Times New Roman" w:hAnsi="Times New Roman" w:cs="Times New Roman"/>
          <w:i/>
          <w:iCs/>
          <w:kern w:val="0"/>
        </w:rPr>
        <w:t>6</w:t>
      </w:r>
      <w:r w:rsidR="00C130C9" w:rsidRPr="00B40337">
        <w:rPr>
          <w:rFonts w:ascii="Times New Roman" w:hAnsi="Times New Roman" w:cs="Times New Roman"/>
          <w:kern w:val="0"/>
        </w:rPr>
        <w:t>)</w:t>
      </w:r>
      <w:r w:rsidR="00C130C9" w:rsidRPr="00B40337">
        <w:rPr>
          <w:rFonts w:ascii="Times New Roman" w:hAnsi="Times New Roman" w:cs="Times New Roman"/>
        </w:rPr>
        <w:fldChar w:fldCharType="end"/>
      </w:r>
      <w:r w:rsidR="00C130C9" w:rsidRPr="00B40337">
        <w:rPr>
          <w:rFonts w:ascii="Times New Roman" w:hAnsi="Times New Roman" w:cs="Times New Roman"/>
        </w:rPr>
        <w:t xml:space="preserve">. </w:t>
      </w:r>
      <w:r w:rsidRPr="00B40337">
        <w:rPr>
          <w:rFonts w:ascii="Times New Roman" w:hAnsi="Times New Roman" w:cs="Times New Roman"/>
        </w:rPr>
        <w:t>Other values are possible, however: 400,000 USD in 2019 dollars</w:t>
      </w:r>
      <w:r w:rsidR="00CE4BC6" w:rsidRPr="00B40337">
        <w:rPr>
          <w:rFonts w:ascii="Times New Roman" w:hAnsi="Times New Roman" w:cs="Times New Roman"/>
        </w:rPr>
        <w:t xml:space="preserve"> </w:t>
      </w:r>
      <w:r w:rsidR="00D76C23"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{"citationID":"AJF7wO9W","properties":{"formattedCitation":"({\\i{}7})","plainCitation":"(7)","noteIndex":0},"citationItems":[{"id":11012,"uris":["http://zotero.org/users/2607085/items/CAC9X7XK"],"itemData":{"id":11012,"type":"webpage","title":"Repositorio Digital: Estimación del valor estadístico de la vida para Ecuador en el año 2019","URL":"http://www.dspace.uce.edu.ec/handle/25000/24631?mode=full","accessed":{"date-parts":[["2023",10,24]]}}}],"schema":"https://github.com/citation-style-language/schema/raw/master/csl-citation.json"} </w:instrText>
      </w:r>
      <w:r w:rsidR="00D76C23"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7</w:t>
      </w:r>
      <w:r w:rsidR="00D76C23" w:rsidRPr="00B40337">
        <w:rPr>
          <w:rFonts w:ascii="Times New Roman" w:hAnsi="Times New Roman" w:cs="Times New Roman"/>
          <w:kern w:val="0"/>
        </w:rPr>
        <w:t>)</w:t>
      </w:r>
      <w:r w:rsidR="00D76C23" w:rsidRPr="00B40337">
        <w:rPr>
          <w:rFonts w:ascii="Times New Roman" w:hAnsi="Times New Roman" w:cs="Times New Roman"/>
        </w:rPr>
        <w:fldChar w:fldCharType="end"/>
      </w:r>
      <w:r w:rsidRPr="00B40337">
        <w:rPr>
          <w:rFonts w:ascii="Times New Roman" w:hAnsi="Times New Roman" w:cs="Times New Roman"/>
          <w:vertAlign w:val="superscript"/>
        </w:rPr>
        <w:t xml:space="preserve"> </w:t>
      </w:r>
      <w:r w:rsidRPr="00B40337">
        <w:rPr>
          <w:rFonts w:ascii="Times New Roman" w:hAnsi="Times New Roman" w:cs="Times New Roman"/>
        </w:rPr>
        <w:t>and 2.15 million USD in 2020 dollars</w:t>
      </w:r>
      <w:r w:rsidR="00732605" w:rsidRPr="00B40337">
        <w:rPr>
          <w:rFonts w:ascii="Times New Roman" w:hAnsi="Times New Roman" w:cs="Times New Roman"/>
        </w:rPr>
        <w:t xml:space="preserve"> </w:t>
      </w:r>
      <w:r w:rsidR="00732605"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{"citationID":"bhBzwSaf","properties":{"formattedCitation":"({\\i{}8})","plainCitation":"(8)","noteIndex":0},"citationItems":[{"id":11008,"uris":["http://zotero.org/users/2607085/items/YA6WRCK3"],"itemData":{"id":11008,"type":"article-journal","abstract":"Policies to address the coronavirus disease 2019 (COVID-19) require a balancing of the health risk reductions and the costs of economic dislocations. Application of the value of a statistical life (VSL) to monetize COVID-19 deaths produces a U.S. mortality cost estimate of $1.4 trillion for deaths in the first half of 2020. This article presents worldwide COVID-19 costs for over 100 countries. The total global mortality cost through July 2, 2020 is $3.5 trillion. The United States accounts for 25% of the deaths, but 41% of the mortality cost. Adjustments for the shorter life expectancy and lower income of the victims substantially reduces the estimated monetized losses, but may raise fundamental equity concerns. Morbidity effects of COVID-19 affect many more patients than do the disease’s mortality risks. Consideration of the morbidity effects increase the expected health losses associated with COVID-19 illnesses by 10% to 40%.","container-title":"Journal of Risk and Uncertainty","DOI":"10.1007/s11166-020-09337-2","ISSN":"1573-0476","issue":"2","journalAbbreviation":"J Risk Uncertain","language":"en","license":"2020 Springer Science+Business Media, LLC, part of Springer Nature","note":"Company: Springer\nDistributor: Springer\nInstitution: Springer\nLabel: Springer\nnumber: 2\npublisher: Springer US","page":"101-128","source":"link.springer.com","title":"Pricing the global health risks of the COVID-19 pandemic","volume":"61","author":[{"family":"Viscusi","given":"W. Kip"}],"issued":{"date-parts":[["2020",10,1]]}}}],"schema":"https://github.com/citation-style-language/schema/raw/master/csl-citation.json"} </w:instrText>
      </w:r>
      <w:r w:rsidR="00732605"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8</w:t>
      </w:r>
      <w:r w:rsidR="00D76C23" w:rsidRPr="00B40337">
        <w:rPr>
          <w:rFonts w:ascii="Times New Roman" w:hAnsi="Times New Roman" w:cs="Times New Roman"/>
          <w:kern w:val="0"/>
        </w:rPr>
        <w:t>)</w:t>
      </w:r>
      <w:r w:rsidR="00732605" w:rsidRPr="00B40337">
        <w:rPr>
          <w:rFonts w:ascii="Times New Roman" w:hAnsi="Times New Roman" w:cs="Times New Roman"/>
        </w:rPr>
        <w:fldChar w:fldCharType="end"/>
      </w:r>
      <w:r w:rsidRPr="00B40337">
        <w:rPr>
          <w:rFonts w:ascii="Times New Roman" w:hAnsi="Times New Roman" w:cs="Times New Roman"/>
        </w:rPr>
        <w:t>.</w:t>
      </w:r>
      <w:r w:rsidRPr="00B40337">
        <w:rPr>
          <w:rFonts w:ascii="Times New Roman" w:hAnsi="Times New Roman" w:cs="Times New Roman"/>
          <w:vertAlign w:val="superscript"/>
        </w:rPr>
        <w:t xml:space="preserve"> </w:t>
      </w:r>
      <w:r w:rsidRPr="00B40337">
        <w:rPr>
          <w:rFonts w:ascii="Times New Roman" w:hAnsi="Times New Roman" w:cs="Times New Roman"/>
        </w:rPr>
        <w:t xml:space="preserve">For reference, in the US, The Department of Health and Human Services recommends using an $11.4 million VSL, The Department of Transportation recommends an $11.7 million VSL, and the Environmental Protection Agency recommends a $10.8 million VSL (US$2020). </w:t>
      </w:r>
    </w:p>
    <w:p w14:paraId="71898BB4" w14:textId="77777777" w:rsidR="00847130" w:rsidRPr="00B40337" w:rsidRDefault="00847130" w:rsidP="0035142E">
      <w:pPr>
        <w:spacing w:after="0" w:line="480" w:lineRule="auto"/>
        <w:ind w:left="-15" w:right="172" w:firstLine="735"/>
        <w:jc w:val="left"/>
        <w:rPr>
          <w:rFonts w:ascii="Times New Roman" w:hAnsi="Times New Roman" w:cs="Times New Roman"/>
        </w:rPr>
      </w:pPr>
    </w:p>
    <w:p w14:paraId="4AF4AB25" w14:textId="77777777" w:rsidR="00847130" w:rsidRDefault="00847130">
      <w:pPr>
        <w:spacing w:after="0" w:line="240" w:lineRule="auto"/>
        <w:ind w:left="0" w:right="0" w:firstLine="0"/>
        <w:jc w:val="left"/>
        <w:rPr>
          <w:rFonts w:ascii="Times New Roman" w:hAnsi="Times New Roman" w:cs="Times New Roman"/>
          <w:u w:val="single"/>
        </w:rPr>
      </w:pPr>
      <w:r>
        <w:br w:type="page"/>
      </w:r>
    </w:p>
    <w:p w14:paraId="45F9FE2D" w14:textId="44C16962" w:rsidR="005C2537" w:rsidRPr="00B40337" w:rsidRDefault="005C2537" w:rsidP="009E3A02">
      <w:pPr>
        <w:pStyle w:val="Heading2"/>
      </w:pPr>
      <w:bookmarkStart w:id="6" w:name="_Toc161220513"/>
      <w:r w:rsidRPr="00B40337">
        <w:lastRenderedPageBreak/>
        <w:t>Regression-based estimates of health benefits, 1990–2019</w:t>
      </w:r>
      <w:bookmarkEnd w:id="6"/>
    </w:p>
    <w:p w14:paraId="2298E1DC" w14:textId="02E53A3F" w:rsidR="005C2537" w:rsidRPr="00B40337" w:rsidRDefault="0040702F" w:rsidP="005C2537">
      <w:pPr>
        <w:spacing w:after="0" w:line="480" w:lineRule="auto"/>
        <w:ind w:left="-5" w:right="0"/>
        <w:jc w:val="left"/>
        <w:rPr>
          <w:rFonts w:ascii="Times New Roman" w:hAnsi="Times New Roman" w:cs="Times New Roman"/>
        </w:rPr>
      </w:pPr>
      <w:r w:rsidRPr="00B40337">
        <w:rPr>
          <w:rFonts w:ascii="Times New Roman" w:hAnsi="Times New Roman" w:cs="Times New Roman"/>
        </w:rPr>
        <w:t xml:space="preserve">As a complement to our theoretical analysis detailed above, we additionally conducted regression-based estimates of health benefits from 1990 to 2019. This analysis </w:t>
      </w:r>
      <w:r w:rsidR="005C2537" w:rsidRPr="00B40337">
        <w:rPr>
          <w:rFonts w:ascii="Times New Roman" w:hAnsi="Times New Roman" w:cs="Times New Roman"/>
        </w:rPr>
        <w:t>builds on previous work</w:t>
      </w:r>
      <w:r w:rsidR="005C2537" w:rsidRPr="00B40337">
        <w:rPr>
          <w:rFonts w:ascii="Times New Roman" w:hAnsi="Times New Roman" w:cs="Times New Roman"/>
          <w:vertAlign w:val="superscript"/>
        </w:rPr>
        <w:t xml:space="preserve">1 </w:t>
      </w:r>
      <w:r w:rsidR="005C2537" w:rsidRPr="00B40337">
        <w:rPr>
          <w:rFonts w:ascii="Times New Roman" w:hAnsi="Times New Roman" w:cs="Times New Roman"/>
        </w:rPr>
        <w:t>where we estimated the impact of LPG scale-up from 1990 to 2019 on under-5 lower respiratory infections mortality</w:t>
      </w:r>
      <w:r w:rsidR="00FF54B6" w:rsidRPr="00B40337">
        <w:rPr>
          <w:rFonts w:ascii="Times New Roman" w:hAnsi="Times New Roman" w:cs="Times New Roman"/>
        </w:rPr>
        <w:t xml:space="preserve"> (</w:t>
      </w:r>
      <w:r w:rsidR="00A13233" w:rsidRPr="00B40337">
        <w:rPr>
          <w:rFonts w:ascii="Times New Roman" w:hAnsi="Times New Roman" w:cs="Times New Roman"/>
        </w:rPr>
        <w:t>but is unpublished elsewhere</w:t>
      </w:r>
      <w:r w:rsidR="00FF54B6" w:rsidRPr="00B40337">
        <w:rPr>
          <w:rFonts w:ascii="Times New Roman" w:hAnsi="Times New Roman" w:cs="Times New Roman"/>
        </w:rPr>
        <w:t>)</w:t>
      </w:r>
      <w:r w:rsidR="005C2537" w:rsidRPr="00B40337">
        <w:rPr>
          <w:rFonts w:ascii="Times New Roman" w:hAnsi="Times New Roman" w:cs="Times New Roman"/>
        </w:rPr>
        <w:t xml:space="preserve">. </w:t>
      </w:r>
      <w:r w:rsidR="00A2087B" w:rsidRPr="00B40337">
        <w:rPr>
          <w:rFonts w:ascii="Times New Roman" w:hAnsi="Times New Roman" w:cs="Times New Roman"/>
        </w:rPr>
        <w:t xml:space="preserve">In comparison to </w:t>
      </w:r>
      <w:r w:rsidR="009270D5" w:rsidRPr="00B40337">
        <w:rPr>
          <w:rFonts w:ascii="Times New Roman" w:hAnsi="Times New Roman" w:cs="Times New Roman"/>
        </w:rPr>
        <w:t>Gould et al. (202</w:t>
      </w:r>
      <w:r w:rsidR="00C82556" w:rsidRPr="00B40337">
        <w:rPr>
          <w:rFonts w:ascii="Times New Roman" w:hAnsi="Times New Roman" w:cs="Times New Roman"/>
        </w:rPr>
        <w:t>3</w:t>
      </w:r>
      <w:r w:rsidR="009270D5" w:rsidRPr="00B40337">
        <w:rPr>
          <w:rFonts w:ascii="Times New Roman" w:hAnsi="Times New Roman" w:cs="Times New Roman"/>
        </w:rPr>
        <w:t>)</w:t>
      </w:r>
      <w:r w:rsidR="00C82556"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{"citationID":"AR5FYlXH","properties":{"formattedCitation":"({\\i{}9})","plainCitation":"(9)","noteIndex":0},"citationItems":[{"id":10973,"uris":["http://zotero.org/users/2607085/items/PCU2U3EE"],"itemData":{"id":10973,"type":"article-journal","container-title":"Environmental Health Perspectives","DOI":"10.1289/EHP11016","ISSN":"0091-6765, 1552-9924","issue":"3","journalAbbreviation":"Environ Health Perspect","language":"en","page":"037017","source":"DOI.org (Crossref)","title":"Widespread Clean Cooking Fuel Scale-Up and under-5 Lower Respiratory Infection Mortality: An Ecological Analysis in Ecuador, 1990–2019","title-short":"Widespread Clean Cooking Fuel Scale-Up and under-5 Lower Respiratory Infection Mortality","volume":"131","author":[{"family":"Gould","given":"Carlos F."},{"family":"Bejarano","given":"M. Lorena"},{"family":"Kioumourtzoglou","given":"Marianthi-Anna"},{"family":"Lee","given":"Alison G."},{"family":"Pillarisetti","given":"Ajay"},{"family":"Schlesinger","given":"Samuel B."},{"family":"Terán","given":"Enrique"},{"family":"Valarezo","given":"Alfredo"},{"family":"Jack","given":"Darby W."}],"issued":{"date-parts":[["2023",3]]}}}],"schema":"https://github.com/citation-style-language/schema/raw/master/csl-citation.json"} </w:instrText>
      </w:r>
      <w:r w:rsidR="00C82556"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9</w:t>
      </w:r>
      <w:r w:rsidR="00D76C23" w:rsidRPr="00B40337">
        <w:rPr>
          <w:rFonts w:ascii="Times New Roman" w:hAnsi="Times New Roman" w:cs="Times New Roman"/>
          <w:kern w:val="0"/>
        </w:rPr>
        <w:t>)</w:t>
      </w:r>
      <w:r w:rsidR="00C82556" w:rsidRPr="00B40337">
        <w:rPr>
          <w:rFonts w:ascii="Times New Roman" w:hAnsi="Times New Roman" w:cs="Times New Roman"/>
        </w:rPr>
        <w:fldChar w:fldCharType="end"/>
      </w:r>
      <w:r w:rsidR="009530BC" w:rsidRPr="00B40337">
        <w:rPr>
          <w:rFonts w:ascii="Times New Roman" w:hAnsi="Times New Roman" w:cs="Times New Roman"/>
        </w:rPr>
        <w:t>,</w:t>
      </w:r>
      <w:r w:rsidR="005C2537" w:rsidRPr="00B40337">
        <w:rPr>
          <w:rFonts w:ascii="Times New Roman" w:hAnsi="Times New Roman" w:cs="Times New Roman"/>
        </w:rPr>
        <w:t xml:space="preserve"> our approach differs in a few respects. First, our outcome of interest is all-cause, all-age mortality to </w:t>
      </w:r>
      <w:proofErr w:type="gramStart"/>
      <w:r w:rsidR="005C2537" w:rsidRPr="00B40337">
        <w:rPr>
          <w:rFonts w:ascii="Times New Roman" w:hAnsi="Times New Roman" w:cs="Times New Roman"/>
        </w:rPr>
        <w:t>more fully capture the potential benefits of clean fuel scale</w:t>
      </w:r>
      <w:proofErr w:type="gramEnd"/>
      <w:r w:rsidR="005C2537" w:rsidRPr="00B40337">
        <w:rPr>
          <w:rFonts w:ascii="Times New Roman" w:hAnsi="Times New Roman" w:cs="Times New Roman"/>
        </w:rPr>
        <w:t xml:space="preserve"> up. Second, to quantify uncertainties, we bootstrap 95% confidence intervals by sampling cantons with replacement. Third, we generate population averaged estimates by weighting canton-months according to their population in our regression.</w:t>
      </w:r>
    </w:p>
    <w:p w14:paraId="5E1D82C5" w14:textId="77777777" w:rsidR="005C2537" w:rsidRPr="00B40337" w:rsidRDefault="005C2537" w:rsidP="005C2537">
      <w:pPr>
        <w:spacing w:after="0" w:line="480" w:lineRule="auto"/>
        <w:ind w:left="-5" w:right="0" w:firstLine="735"/>
        <w:jc w:val="left"/>
        <w:rPr>
          <w:rFonts w:ascii="Times New Roman" w:hAnsi="Times New Roman" w:cs="Times New Roman"/>
        </w:rPr>
      </w:pPr>
      <w:r w:rsidRPr="00B40337">
        <w:rPr>
          <w:rFonts w:ascii="Times New Roman" w:hAnsi="Times New Roman" w:cs="Times New Roman"/>
        </w:rPr>
        <w:t>To model the relationship between all-cause mortality and clean fuel, we estimate the following regression:</w:t>
      </w:r>
    </w:p>
    <w:p w14:paraId="2D2EB535" w14:textId="77777777" w:rsidR="005C2537" w:rsidRPr="00B40337" w:rsidRDefault="005C2537" w:rsidP="005C2537">
      <w:pPr>
        <w:tabs>
          <w:tab w:val="center" w:pos="4528"/>
          <w:tab w:val="right" w:pos="9071"/>
        </w:tabs>
        <w:spacing w:after="0" w:line="480" w:lineRule="auto"/>
        <w:ind w:left="0" w:right="0" w:firstLine="0"/>
        <w:jc w:val="left"/>
        <w:rPr>
          <w:rFonts w:ascii="Times New Roman" w:hAnsi="Times New Roman" w:cs="Times New Roman"/>
        </w:rPr>
      </w:pPr>
      <w:r w:rsidRPr="00B40337">
        <w:rPr>
          <w:rFonts w:ascii="Times New Roman" w:hAnsi="Times New Roman" w:cs="Times New Roman"/>
          <w:sz w:val="22"/>
        </w:rPr>
        <w:tab/>
      </w:r>
      <w:r w:rsidRPr="00B40337">
        <w:rPr>
          <w:rFonts w:ascii="Times New Roman" w:hAnsi="Times New Roman" w:cs="Times New Roman"/>
          <w:i/>
        </w:rPr>
        <w:t>l</w:t>
      </w:r>
      <w:r w:rsidRPr="00B40337">
        <w:rPr>
          <w:rFonts w:ascii="Times New Roman" w:eastAsia="Cambria" w:hAnsi="Times New Roman" w:cs="Times New Roman"/>
          <w:i/>
        </w:rPr>
        <w:t>og</w:t>
      </w:r>
      <w:r w:rsidRPr="00B40337">
        <w:rPr>
          <w:rFonts w:ascii="Times New Roman" w:eastAsia="Cambria" w:hAnsi="Times New Roman" w:cs="Times New Roman"/>
        </w:rPr>
        <w:t>(</w:t>
      </w:r>
      <w:proofErr w:type="spellStart"/>
      <w:r w:rsidRPr="00B40337">
        <w:rPr>
          <w:rFonts w:ascii="Times New Roman" w:eastAsia="Cambria" w:hAnsi="Times New Roman" w:cs="Times New Roman"/>
          <w:i/>
        </w:rPr>
        <w:t>y</w:t>
      </w:r>
      <w:r w:rsidRPr="00B40337">
        <w:rPr>
          <w:rFonts w:ascii="Times New Roman" w:eastAsia="Cambria" w:hAnsi="Times New Roman" w:cs="Times New Roman"/>
          <w:i/>
          <w:sz w:val="16"/>
        </w:rPr>
        <w:t>cy</w:t>
      </w:r>
      <w:proofErr w:type="spellEnd"/>
      <w:r w:rsidRPr="00B40337">
        <w:rPr>
          <w:rFonts w:ascii="Times New Roman" w:eastAsia="Cambria" w:hAnsi="Times New Roman" w:cs="Times New Roman"/>
        </w:rPr>
        <w:t xml:space="preserve">) = </w:t>
      </w:r>
      <w:r w:rsidRPr="00B40337">
        <w:rPr>
          <w:rFonts w:ascii="Times New Roman" w:eastAsia="Cambria" w:hAnsi="Times New Roman" w:cs="Times New Roman"/>
          <w:i/>
        </w:rPr>
        <w:t>β</w:t>
      </w:r>
      <w:proofErr w:type="spellStart"/>
      <w:r w:rsidRPr="00B40337">
        <w:rPr>
          <w:rFonts w:ascii="Times New Roman" w:eastAsia="Cambria" w:hAnsi="Times New Roman" w:cs="Times New Roman"/>
          <w:i/>
        </w:rPr>
        <w:t>P</w:t>
      </w:r>
      <w:r w:rsidRPr="00B40337">
        <w:rPr>
          <w:rFonts w:ascii="Times New Roman" w:eastAsia="Cambria" w:hAnsi="Times New Roman" w:cs="Times New Roman"/>
          <w:i/>
          <w:sz w:val="16"/>
        </w:rPr>
        <w:t>cy</w:t>
      </w:r>
      <w:proofErr w:type="spellEnd"/>
      <w:r w:rsidRPr="00B40337">
        <w:rPr>
          <w:rFonts w:ascii="Times New Roman" w:eastAsia="Cambria" w:hAnsi="Times New Roman" w:cs="Times New Roman"/>
          <w:i/>
          <w:sz w:val="16"/>
        </w:rPr>
        <w:t xml:space="preserve"> </w:t>
      </w:r>
      <w:r w:rsidRPr="00B40337">
        <w:rPr>
          <w:rFonts w:ascii="Times New Roman" w:eastAsia="Cambria" w:hAnsi="Times New Roman" w:cs="Times New Roman"/>
        </w:rPr>
        <w:t>+</w:t>
      </w:r>
      <w:proofErr w:type="spellStart"/>
      <w:r w:rsidRPr="00B40337">
        <w:rPr>
          <w:rFonts w:ascii="Times New Roman" w:eastAsia="Cambria" w:hAnsi="Times New Roman" w:cs="Times New Roman"/>
          <w:i/>
        </w:rPr>
        <w:t>λ</w:t>
      </w:r>
      <w:r w:rsidRPr="00B40337">
        <w:rPr>
          <w:rFonts w:ascii="Times New Roman" w:eastAsia="Cambria" w:hAnsi="Times New Roman" w:cs="Times New Roman"/>
          <w:i/>
          <w:sz w:val="16"/>
        </w:rPr>
        <w:t>cy</w:t>
      </w:r>
      <w:proofErr w:type="spellEnd"/>
      <w:r w:rsidRPr="00B40337">
        <w:rPr>
          <w:rFonts w:ascii="Times New Roman" w:eastAsia="Cambria" w:hAnsi="Times New Roman" w:cs="Times New Roman"/>
          <w:i/>
          <w:sz w:val="16"/>
        </w:rPr>
        <w:t xml:space="preserve"> </w:t>
      </w:r>
      <w:r w:rsidRPr="00B40337">
        <w:rPr>
          <w:rFonts w:ascii="Times New Roman" w:eastAsia="Cambria" w:hAnsi="Times New Roman" w:cs="Times New Roman"/>
        </w:rPr>
        <w:t>+</w:t>
      </w:r>
      <w:r w:rsidRPr="00B40337">
        <w:rPr>
          <w:rFonts w:ascii="Times New Roman" w:eastAsia="Cambria" w:hAnsi="Times New Roman" w:cs="Times New Roman"/>
          <w:i/>
        </w:rPr>
        <w:t>µ</w:t>
      </w:r>
      <w:r w:rsidRPr="00B40337">
        <w:rPr>
          <w:rFonts w:ascii="Times New Roman" w:eastAsia="Cambria" w:hAnsi="Times New Roman" w:cs="Times New Roman"/>
          <w:i/>
          <w:sz w:val="16"/>
        </w:rPr>
        <w:t xml:space="preserve">c </w:t>
      </w:r>
      <w:r w:rsidRPr="00B40337">
        <w:rPr>
          <w:rFonts w:ascii="Times New Roman" w:eastAsia="Cambria" w:hAnsi="Times New Roman" w:cs="Times New Roman"/>
        </w:rPr>
        <w:t>+</w:t>
      </w:r>
      <w:proofErr w:type="spellStart"/>
      <w:r w:rsidRPr="00B40337">
        <w:rPr>
          <w:rFonts w:ascii="Times New Roman" w:eastAsia="Cambria" w:hAnsi="Times New Roman" w:cs="Times New Roman"/>
          <w:i/>
        </w:rPr>
        <w:t>γ</w:t>
      </w:r>
      <w:r w:rsidRPr="00B40337">
        <w:rPr>
          <w:rFonts w:ascii="Times New Roman" w:eastAsia="Cambria" w:hAnsi="Times New Roman" w:cs="Times New Roman"/>
          <w:i/>
          <w:sz w:val="16"/>
        </w:rPr>
        <w:t>y</w:t>
      </w:r>
      <w:proofErr w:type="spellEnd"/>
      <w:r w:rsidRPr="00B40337">
        <w:rPr>
          <w:rFonts w:ascii="Times New Roman" w:eastAsia="Cambria" w:hAnsi="Times New Roman" w:cs="Times New Roman"/>
          <w:i/>
          <w:sz w:val="16"/>
        </w:rPr>
        <w:t xml:space="preserve"> </w:t>
      </w:r>
      <w:r w:rsidRPr="00B40337">
        <w:rPr>
          <w:rFonts w:ascii="Times New Roman" w:eastAsia="Cambria" w:hAnsi="Times New Roman" w:cs="Times New Roman"/>
        </w:rPr>
        <w:t>+</w:t>
      </w:r>
      <w:proofErr w:type="spellStart"/>
      <w:r w:rsidRPr="00B40337">
        <w:rPr>
          <w:rFonts w:ascii="Times New Roman" w:eastAsia="Cambria" w:hAnsi="Times New Roman" w:cs="Times New Roman"/>
          <w:i/>
        </w:rPr>
        <w:t>θ</w:t>
      </w:r>
      <w:r w:rsidRPr="00B40337">
        <w:rPr>
          <w:rFonts w:ascii="Times New Roman" w:eastAsia="Cambria" w:hAnsi="Times New Roman" w:cs="Times New Roman"/>
          <w:i/>
          <w:sz w:val="16"/>
        </w:rPr>
        <w:t>cy</w:t>
      </w:r>
      <w:proofErr w:type="spellEnd"/>
      <w:r w:rsidRPr="00B40337">
        <w:rPr>
          <w:rFonts w:ascii="Times New Roman" w:eastAsia="Cambria" w:hAnsi="Times New Roman" w:cs="Times New Roman"/>
          <w:i/>
          <w:sz w:val="16"/>
        </w:rPr>
        <w:t xml:space="preserve"> </w:t>
      </w:r>
      <w:r w:rsidRPr="00B40337">
        <w:rPr>
          <w:rFonts w:ascii="Times New Roman" w:eastAsia="Cambria" w:hAnsi="Times New Roman" w:cs="Times New Roman"/>
        </w:rPr>
        <w:t>+</w:t>
      </w:r>
      <w:proofErr w:type="spellStart"/>
      <w:r w:rsidRPr="00B40337">
        <w:rPr>
          <w:rFonts w:ascii="Times New Roman" w:eastAsia="Cambria" w:hAnsi="Times New Roman" w:cs="Times New Roman"/>
          <w:i/>
        </w:rPr>
        <w:t>ε</w:t>
      </w:r>
      <w:r w:rsidRPr="00B40337">
        <w:rPr>
          <w:rFonts w:ascii="Times New Roman" w:eastAsia="Cambria" w:hAnsi="Times New Roman" w:cs="Times New Roman"/>
          <w:i/>
          <w:sz w:val="16"/>
        </w:rPr>
        <w:t>cy</w:t>
      </w:r>
      <w:proofErr w:type="spellEnd"/>
      <w:r w:rsidRPr="00B40337">
        <w:rPr>
          <w:rFonts w:ascii="Times New Roman" w:eastAsia="Cambria" w:hAnsi="Times New Roman" w:cs="Times New Roman"/>
          <w:i/>
          <w:sz w:val="16"/>
        </w:rPr>
        <w:tab/>
      </w:r>
      <w:r w:rsidRPr="00B40337">
        <w:rPr>
          <w:rFonts w:ascii="Times New Roman" w:hAnsi="Times New Roman" w:cs="Times New Roman"/>
        </w:rPr>
        <w:t>(1)</w:t>
      </w:r>
    </w:p>
    <w:p w14:paraId="73EA6C78" w14:textId="497D720A" w:rsidR="005C2537" w:rsidRPr="00FF655B" w:rsidRDefault="005C2537" w:rsidP="005C2537">
      <w:pPr>
        <w:spacing w:after="0" w:line="480" w:lineRule="auto"/>
        <w:ind w:left="-15" w:right="0" w:firstLine="0"/>
        <w:jc w:val="left"/>
        <w:rPr>
          <w:rFonts w:ascii="Times New Roman" w:hAnsi="Times New Roman" w:cs="Times New Roman"/>
        </w:rPr>
      </w:pPr>
      <w:r w:rsidRPr="00B40337">
        <w:rPr>
          <w:rFonts w:ascii="Times New Roman" w:hAnsi="Times New Roman" w:cs="Times New Roman"/>
        </w:rPr>
        <w:t xml:space="preserve">using ordinary least squares, where </w:t>
      </w:r>
      <w:r w:rsidRPr="00B40337">
        <w:rPr>
          <w:rFonts w:ascii="Times New Roman" w:hAnsi="Times New Roman" w:cs="Times New Roman"/>
          <w:i/>
        </w:rPr>
        <w:t xml:space="preserve">c </w:t>
      </w:r>
      <w:r w:rsidRPr="00B40337">
        <w:rPr>
          <w:rFonts w:ascii="Times New Roman" w:hAnsi="Times New Roman" w:cs="Times New Roman"/>
        </w:rPr>
        <w:t xml:space="preserve">indexes cantons and </w:t>
      </w:r>
      <w:r w:rsidRPr="00B40337">
        <w:rPr>
          <w:rFonts w:ascii="Times New Roman" w:hAnsi="Times New Roman" w:cs="Times New Roman"/>
          <w:i/>
        </w:rPr>
        <w:t xml:space="preserve">y </w:t>
      </w:r>
      <w:r w:rsidRPr="00B40337">
        <w:rPr>
          <w:rFonts w:ascii="Times New Roman" w:hAnsi="Times New Roman" w:cs="Times New Roman"/>
        </w:rPr>
        <w:t xml:space="preserve">indexes year. </w:t>
      </w:r>
      <w:proofErr w:type="spellStart"/>
      <w:r w:rsidRPr="00B40337">
        <w:rPr>
          <w:rFonts w:ascii="Times New Roman" w:hAnsi="Times New Roman" w:cs="Times New Roman"/>
          <w:i/>
        </w:rPr>
        <w:t>y</w:t>
      </w:r>
      <w:r w:rsidRPr="00B40337">
        <w:rPr>
          <w:rFonts w:ascii="Times New Roman" w:eastAsia="Cambria" w:hAnsi="Times New Roman" w:cs="Times New Roman"/>
          <w:i/>
          <w:vertAlign w:val="subscript"/>
        </w:rPr>
        <w:t>c</w:t>
      </w:r>
      <w:r w:rsidR="001E4222" w:rsidRPr="00B40337">
        <w:rPr>
          <w:rFonts w:ascii="Times New Roman" w:eastAsia="Cambria" w:hAnsi="Times New Roman" w:cs="Times New Roman"/>
          <w:i/>
          <w:vertAlign w:val="subscript"/>
        </w:rPr>
        <w:t>y</w:t>
      </w:r>
      <w:proofErr w:type="spellEnd"/>
      <w:r w:rsidRPr="00B40337">
        <w:rPr>
          <w:rFonts w:ascii="Times New Roman" w:eastAsia="Cambria" w:hAnsi="Times New Roman" w:cs="Times New Roman"/>
          <w:i/>
          <w:vertAlign w:val="subscript"/>
        </w:rPr>
        <w:t xml:space="preserve"> </w:t>
      </w:r>
      <w:r w:rsidRPr="00B40337">
        <w:rPr>
          <w:rFonts w:ascii="Times New Roman" w:hAnsi="Times New Roman" w:cs="Times New Roman"/>
        </w:rPr>
        <w:t xml:space="preserve">is the log of the yearly canton-level all-cause, all-age mortality rate and </w:t>
      </w:r>
      <w:proofErr w:type="spellStart"/>
      <w:r w:rsidRPr="00B40337">
        <w:rPr>
          <w:rFonts w:ascii="Times New Roman" w:hAnsi="Times New Roman" w:cs="Times New Roman"/>
          <w:i/>
        </w:rPr>
        <w:t>P</w:t>
      </w:r>
      <w:r w:rsidRPr="00B40337">
        <w:rPr>
          <w:rFonts w:ascii="Times New Roman" w:eastAsia="Cambria" w:hAnsi="Times New Roman" w:cs="Times New Roman"/>
          <w:i/>
          <w:vertAlign w:val="subscript"/>
        </w:rPr>
        <w:t>cm</w:t>
      </w:r>
      <w:proofErr w:type="spellEnd"/>
      <w:r w:rsidRPr="00B40337">
        <w:rPr>
          <w:rFonts w:ascii="Times New Roman" w:eastAsia="Cambria" w:hAnsi="Times New Roman" w:cs="Times New Roman"/>
          <w:i/>
          <w:vertAlign w:val="subscript"/>
        </w:rPr>
        <w:t xml:space="preserve"> </w:t>
      </w:r>
      <w:r w:rsidRPr="00B40337">
        <w:rPr>
          <w:rFonts w:ascii="Times New Roman" w:hAnsi="Times New Roman" w:cs="Times New Roman"/>
        </w:rPr>
        <w:t xml:space="preserve">is the proportion of </w:t>
      </w:r>
      <w:r w:rsidR="00A414FF" w:rsidRPr="00B40337">
        <w:rPr>
          <w:rFonts w:ascii="Times New Roman" w:hAnsi="Times New Roman" w:cs="Times New Roman"/>
        </w:rPr>
        <w:t>households</w:t>
      </w:r>
      <w:r w:rsidRPr="00B40337">
        <w:rPr>
          <w:rFonts w:ascii="Times New Roman" w:hAnsi="Times New Roman" w:cs="Times New Roman"/>
        </w:rPr>
        <w:t xml:space="preserve"> primarily cooking with a clean-burning cooking fuel in the same canton-year. </w:t>
      </w:r>
      <w:proofErr w:type="spellStart"/>
      <w:r w:rsidRPr="00B40337">
        <w:rPr>
          <w:rFonts w:ascii="Times New Roman" w:eastAsia="Cambria" w:hAnsi="Times New Roman" w:cs="Times New Roman"/>
          <w:i/>
        </w:rPr>
        <w:t>λ</w:t>
      </w:r>
      <w:r w:rsidRPr="00B40337">
        <w:rPr>
          <w:rFonts w:ascii="Times New Roman" w:eastAsia="Cambria" w:hAnsi="Times New Roman" w:cs="Times New Roman"/>
          <w:i/>
          <w:vertAlign w:val="subscript"/>
        </w:rPr>
        <w:t>cy</w:t>
      </w:r>
      <w:proofErr w:type="spellEnd"/>
      <w:r w:rsidRPr="00B40337">
        <w:rPr>
          <w:rFonts w:ascii="Times New Roman" w:eastAsia="Cambria" w:hAnsi="Times New Roman" w:cs="Times New Roman"/>
          <w:i/>
          <w:vertAlign w:val="subscript"/>
        </w:rPr>
        <w:t xml:space="preserve"> </w:t>
      </w:r>
      <w:r w:rsidRPr="00B40337">
        <w:rPr>
          <w:rFonts w:ascii="Times New Roman" w:hAnsi="Times New Roman" w:cs="Times New Roman"/>
        </w:rPr>
        <w:t>is a vector of canton-year control variables, including the fraction of households that are classified as rural, the fraction of households that are grid electrified, a composite index of household building materials (roof, wall, floor) intended to serve as a proxy for infrastructure and wealth, toilet type intended to serve as a proxy for water, sanitation, and hygiene practices and wealth, the fraction of adult women that are literate, the fraction of girls under 18 years that are in school, the fraction of households where an individual speaks an indigenous language, and a composite index of under-5 vaccination rates (for more details see ref</w:t>
      </w:r>
      <w:r w:rsidR="00BA3FF3" w:rsidRPr="00B40337">
        <w:rPr>
          <w:rFonts w:ascii="Times New Roman" w:hAnsi="Times New Roman" w:cs="Times New Roman"/>
        </w:rPr>
        <w:t xml:space="preserve">. </w:t>
      </w:r>
      <w:r w:rsidR="008A1E6B"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{"citationID":"lwJM5BLK","properties":{"formattedCitation":"({\\i{}9})","plainCitation":"(9)","noteIndex":0},"citationItems":[{"id":10973,"uris":["http://zotero.org/users/2607085/items/PCU2U3EE"],"itemData":{"id":10973,"type":"article-journal","container-title":"Environmental Health Perspectives","DOI":"10.1289/EHP11016","ISSN":"0091-6765, 1552-9924","issue":"3","journalAbbreviation":"Environ Health Perspect","language":"en","page":"037017","source":"DOI.org (Crossref)","title":"Widespread Clean Cooking Fuel Scale-Up and under-5 Lower Respiratory Infection Mortality: An Ecological Analysis in Ecuador, 1990–2019","title-short":"Widespread Clean Cooking Fuel Scale-Up and under-5 Lower Respiratory Infection Mortality","volume":"131","author":[{"family":"Gould","given":"Carlos F."},{"family":"Bejarano","given":"M. Lorena"},{"family":"Kioumourtzoglou","given":"Marianthi-Anna"},{"family":"Lee","given":"Alison G."},{"family":"Pillarisetti","given":"Ajay"},{"family":"Schlesinger","given":"Samuel B."},{"family":"Terán","given":"Enrique"},{"family":"Valarezo","given":"Alfredo"},{"family":"Jack","given":"Darby W."}],"issued":{"date-parts":[["2023",3]]}}}],"schema":"https://github.com/citation-style-language/schema/raw/master/csl-citation.json"} </w:instrText>
      </w:r>
      <w:r w:rsidR="008A1E6B"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9</w:t>
      </w:r>
      <w:r w:rsidR="00D76C23" w:rsidRPr="00B40337">
        <w:rPr>
          <w:rFonts w:ascii="Times New Roman" w:hAnsi="Times New Roman" w:cs="Times New Roman"/>
          <w:kern w:val="0"/>
        </w:rPr>
        <w:t>)</w:t>
      </w:r>
      <w:r w:rsidR="008A1E6B" w:rsidRPr="00B40337">
        <w:rPr>
          <w:rFonts w:ascii="Times New Roman" w:hAnsi="Times New Roman" w:cs="Times New Roman"/>
        </w:rPr>
        <w:fldChar w:fldCharType="end"/>
      </w:r>
      <w:r w:rsidRPr="00B40337">
        <w:rPr>
          <w:rFonts w:ascii="Times New Roman" w:hAnsi="Times New Roman" w:cs="Times New Roman"/>
        </w:rPr>
        <w:t xml:space="preserve">). </w:t>
      </w:r>
      <w:r w:rsidRPr="00B40337">
        <w:rPr>
          <w:rFonts w:ascii="Times New Roman" w:eastAsia="Cambria" w:hAnsi="Times New Roman" w:cs="Times New Roman"/>
          <w:i/>
        </w:rPr>
        <w:t>µ</w:t>
      </w:r>
      <w:r w:rsidRPr="00B40337">
        <w:rPr>
          <w:rFonts w:ascii="Times New Roman" w:eastAsia="Cambria" w:hAnsi="Times New Roman" w:cs="Times New Roman"/>
          <w:i/>
          <w:vertAlign w:val="subscript"/>
        </w:rPr>
        <w:t xml:space="preserve">c </w:t>
      </w:r>
      <w:r w:rsidRPr="00B40337">
        <w:rPr>
          <w:rFonts w:ascii="Times New Roman" w:hAnsi="Times New Roman" w:cs="Times New Roman"/>
        </w:rPr>
        <w:t xml:space="preserve">is a vector of canton fixed effects that </w:t>
      </w:r>
      <w:r w:rsidRPr="00B40337">
        <w:rPr>
          <w:rFonts w:ascii="Times New Roman" w:hAnsi="Times New Roman" w:cs="Times New Roman"/>
        </w:rPr>
        <w:lastRenderedPageBreak/>
        <w:t xml:space="preserve">account for all locality-specific time-invariant characteristics correlated with either LPG scale up or mortality rates. To account for longer-term trends in LPG scale up and mortality rates, we include a vector of year fixed </w:t>
      </w:r>
      <w:r w:rsidRPr="00FF655B">
        <w:rPr>
          <w:rFonts w:ascii="Times New Roman" w:hAnsi="Times New Roman" w:cs="Times New Roman"/>
        </w:rPr>
        <w:t xml:space="preserve">effects </w:t>
      </w:r>
      <w:proofErr w:type="spellStart"/>
      <w:r w:rsidRPr="00FF655B">
        <w:rPr>
          <w:rFonts w:ascii="Times New Roman" w:eastAsia="Cambria" w:hAnsi="Times New Roman" w:cs="Times New Roman"/>
          <w:i/>
        </w:rPr>
        <w:t>γ</w:t>
      </w:r>
      <w:r w:rsidRPr="00FF655B">
        <w:rPr>
          <w:rFonts w:ascii="Times New Roman" w:eastAsia="Cambria" w:hAnsi="Times New Roman" w:cs="Times New Roman"/>
          <w:i/>
          <w:vertAlign w:val="subscript"/>
        </w:rPr>
        <w:t>m</w:t>
      </w:r>
      <w:proofErr w:type="spellEnd"/>
      <w:r w:rsidRPr="00FF655B">
        <w:rPr>
          <w:rFonts w:ascii="Times New Roman" w:hAnsi="Times New Roman" w:cs="Times New Roman"/>
        </w:rPr>
        <w:t>, which account for any time-trending differences in either LPG scale up or mortality rates that are common to all cantons. Regressions were weighted by canton population and standard errors were clustered at the canton level.</w:t>
      </w:r>
      <w:r w:rsidR="006B628A" w:rsidRPr="00FF655B">
        <w:rPr>
          <w:rFonts w:ascii="Times New Roman" w:hAnsi="Times New Roman" w:cs="Times New Roman"/>
        </w:rPr>
        <w:t xml:space="preserve"> </w:t>
      </w:r>
      <w:r w:rsidR="00FF655B" w:rsidRPr="00FF655B">
        <w:rPr>
          <w:rStyle w:val="apple-converted-space"/>
          <w:rFonts w:ascii="Times New Roman" w:hAnsi="Times New Roman" w:cs="Times New Roman"/>
        </w:rPr>
        <w:t> </w:t>
      </w:r>
      <w:r w:rsidR="00FF655B" w:rsidRPr="00FF655B">
        <w:rPr>
          <w:rFonts w:ascii="Times New Roman" w:hAnsi="Times New Roman" w:cs="Times New Roman"/>
        </w:rPr>
        <w:t>We find that all-cause mortality rates decline by 0.41% (95% CI, -0.94% to 0.00%) with each additional percentage of households in a canton using a clean cooking fuel.</w:t>
      </w:r>
    </w:p>
    <w:p w14:paraId="432110B0" w14:textId="5793BD21" w:rsidR="00166E94" w:rsidRPr="00FF655B" w:rsidRDefault="00166E94" w:rsidP="00166E94">
      <w:pPr>
        <w:spacing w:after="0" w:line="480" w:lineRule="auto"/>
        <w:ind w:left="-15" w:right="0" w:firstLine="735"/>
        <w:jc w:val="left"/>
        <w:rPr>
          <w:rFonts w:ascii="Times New Roman" w:hAnsi="Times New Roman" w:cs="Times New Roman"/>
        </w:rPr>
      </w:pPr>
      <w:r w:rsidRPr="00FF655B">
        <w:rPr>
          <w:rFonts w:ascii="Times New Roman" w:hAnsi="Times New Roman" w:cs="Times New Roman"/>
        </w:rPr>
        <w:t>One might also be concerned that our results are sensitive to our selection of control variables. While these are theoretically motivated to cover multiple domains that might be correlated with both all-cause mortality rates and clean cooking fuel scale-up from 1990–2019 and the canton-year level, there are some others that could be selected as well. We test the full range of combinations of our included control variables as well three more (the fraction of pregnant women that received antenatal care, the fraction of children under 5 years that received three doses of the pneumococcal conjugate vaccine (introduced in 2010), and a composite index of household sanitation practices (source of household water, trash disposal practices, toilet type, and presence of a private household shower). In total, there were 2,054 combinations. Per 10 percentage point increase in the fraction of households primarily cooking with a clean burning cooking fuel, we observed a decline in all-cause mortality rate of an average of -5.4% (the median was -4.9% (IQR, -2.7% to -7.6%)) across all combinations of controls.</w:t>
      </w:r>
    </w:p>
    <w:p w14:paraId="4BFD473E" w14:textId="77777777" w:rsidR="002B502B" w:rsidRDefault="002B502B" w:rsidP="002B502B">
      <w:pPr>
        <w:spacing w:after="0" w:line="480" w:lineRule="auto"/>
        <w:ind w:left="0" w:right="0" w:firstLine="0"/>
        <w:jc w:val="left"/>
        <w:rPr>
          <w:rFonts w:ascii="Times New Roman" w:hAnsi="Times New Roman" w:cs="Times New Roman"/>
        </w:rPr>
      </w:pPr>
    </w:p>
    <w:p w14:paraId="5D0785F9" w14:textId="7E7E4415" w:rsidR="002B502B" w:rsidRPr="00B40337" w:rsidRDefault="002B502B" w:rsidP="002B502B">
      <w:pPr>
        <w:pStyle w:val="Heading2"/>
      </w:pPr>
      <w:bookmarkStart w:id="7" w:name="_Toc161220514"/>
      <w:r>
        <w:t>Benchmarking estimates with the Global Burden of Disease</w:t>
      </w:r>
      <w:bookmarkEnd w:id="7"/>
    </w:p>
    <w:p w14:paraId="67917500" w14:textId="71C07E7F" w:rsidR="005C2537" w:rsidRPr="002B502B" w:rsidRDefault="002B502B" w:rsidP="002B502B">
      <w:pPr>
        <w:spacing w:after="0" w:line="480" w:lineRule="auto"/>
        <w:ind w:left="0" w:right="0" w:firstLine="0"/>
        <w:jc w:val="left"/>
        <w:rPr>
          <w:rFonts w:ascii="Times New Roman" w:hAnsi="Times New Roman" w:cs="Times New Roman"/>
        </w:rPr>
      </w:pPr>
      <w:r w:rsidRPr="002B502B">
        <w:rPr>
          <w:rFonts w:ascii="Times New Roman" w:hAnsi="Times New Roman" w:cs="Times New Roman"/>
        </w:rPr>
        <w:t xml:space="preserve">We benchmark our two approaches using estimates from the Global Burden of Disease (GBD). The GBD estimates mortality from household air pollution by collecting data on exposure, health </w:t>
      </w:r>
      <w:r w:rsidRPr="002B502B">
        <w:rPr>
          <w:rFonts w:ascii="Times New Roman" w:hAnsi="Times New Roman" w:cs="Times New Roman"/>
        </w:rPr>
        <w:lastRenderedPageBreak/>
        <w:t>endpoints, and population demographics and applying these country-level statistics to modeled concentration-response functions over time. GBD models indicate that 27,000 more deaths would have occurred had household air pollution levels stayed fixed from 1990–2019</w:t>
      </w:r>
      <w:r w:rsidR="00E01D35">
        <w:rPr>
          <w:rFonts w:ascii="Times New Roman" w:hAnsi="Times New Roman" w:cs="Times New Roman"/>
        </w:rPr>
        <w:t xml:space="preserve">, i.e., </w:t>
      </w:r>
      <w:r w:rsidR="00C45E79">
        <w:rPr>
          <w:rFonts w:ascii="Times New Roman" w:hAnsi="Times New Roman" w:cs="Times New Roman"/>
        </w:rPr>
        <w:t>30 years of 1990 household air pollution mortality estimates exceed the ‘observed’ household air pollution related mortality estimates by 27,000</w:t>
      </w:r>
      <w:r w:rsidR="008D43B2">
        <w:rPr>
          <w:rFonts w:ascii="Times New Roman" w:hAnsi="Times New Roman" w:cs="Times New Roman"/>
        </w:rPr>
        <w:t xml:space="preserve"> deaths</w:t>
      </w:r>
      <w:r w:rsidRPr="002B502B">
        <w:rPr>
          <w:rFonts w:ascii="Times New Roman" w:hAnsi="Times New Roman" w:cs="Times New Roman"/>
        </w:rPr>
        <w:t>. Our first approach based on vital statistics yields an estimate of 34,500 excess deaths; our second model-based approach estimates 39,000 excess deaths.</w:t>
      </w:r>
    </w:p>
    <w:p w14:paraId="524271D8" w14:textId="77777777" w:rsidR="005C2537" w:rsidRPr="00B40337" w:rsidRDefault="005C2537" w:rsidP="005C2537">
      <w:pPr>
        <w:spacing w:after="0" w:line="480" w:lineRule="auto"/>
        <w:ind w:left="-15" w:right="0" w:firstLine="351"/>
        <w:jc w:val="left"/>
        <w:rPr>
          <w:rFonts w:ascii="Times New Roman" w:hAnsi="Times New Roman" w:cs="Times New Roman"/>
        </w:rPr>
      </w:pPr>
    </w:p>
    <w:p w14:paraId="5A164B13" w14:textId="77777777" w:rsidR="005C2537" w:rsidRPr="00B40337" w:rsidRDefault="005C2537" w:rsidP="005C2537">
      <w:pPr>
        <w:spacing w:after="0" w:line="480" w:lineRule="auto"/>
        <w:ind w:left="-15" w:right="0" w:firstLine="351"/>
        <w:jc w:val="left"/>
        <w:rPr>
          <w:rFonts w:ascii="Times New Roman" w:hAnsi="Times New Roman" w:cs="Times New Roman"/>
        </w:rPr>
      </w:pPr>
    </w:p>
    <w:p w14:paraId="244B0F6A" w14:textId="77777777" w:rsidR="005C2537" w:rsidRPr="00B40337" w:rsidRDefault="005C2537" w:rsidP="005C2537">
      <w:pPr>
        <w:spacing w:after="0" w:line="480" w:lineRule="auto"/>
        <w:ind w:left="-15" w:right="0" w:firstLine="351"/>
        <w:jc w:val="left"/>
        <w:rPr>
          <w:rFonts w:ascii="Times New Roman" w:hAnsi="Times New Roman" w:cs="Times New Roman"/>
        </w:rPr>
      </w:pPr>
    </w:p>
    <w:p w14:paraId="6E9B247B" w14:textId="77777777" w:rsidR="005C2537" w:rsidRPr="00B40337" w:rsidRDefault="005C2537" w:rsidP="005C2537">
      <w:pPr>
        <w:spacing w:after="0" w:line="480" w:lineRule="auto"/>
        <w:ind w:left="-15" w:right="0" w:firstLine="351"/>
        <w:jc w:val="left"/>
        <w:rPr>
          <w:rFonts w:ascii="Times New Roman" w:hAnsi="Times New Roman" w:cs="Times New Roman"/>
        </w:rPr>
      </w:pPr>
    </w:p>
    <w:p w14:paraId="5A2674AE" w14:textId="2107775A" w:rsidR="005C2537" w:rsidRPr="00B40337" w:rsidRDefault="005C2537" w:rsidP="005C2537">
      <w:pPr>
        <w:spacing w:after="0" w:line="240" w:lineRule="auto"/>
        <w:ind w:left="0" w:right="0" w:firstLine="0"/>
        <w:jc w:val="left"/>
        <w:rPr>
          <w:rFonts w:ascii="Times New Roman" w:hAnsi="Times New Roman" w:cs="Times New Roman"/>
        </w:rPr>
      </w:pPr>
    </w:p>
    <w:p w14:paraId="1E4E1432" w14:textId="0417A79A" w:rsidR="005C2537" w:rsidRPr="00B40337" w:rsidRDefault="005C2537" w:rsidP="005C2537">
      <w:pPr>
        <w:spacing w:after="0" w:line="240" w:lineRule="auto"/>
        <w:ind w:left="0" w:right="0" w:firstLine="0"/>
        <w:jc w:val="left"/>
        <w:rPr>
          <w:rFonts w:ascii="Times New Roman" w:hAnsi="Times New Roman" w:cs="Times New Roman"/>
        </w:rPr>
      </w:pPr>
    </w:p>
    <w:p w14:paraId="139C9726" w14:textId="77777777" w:rsidR="00475468" w:rsidRDefault="00475468">
      <w:pPr>
        <w:spacing w:after="0" w:line="240" w:lineRule="auto"/>
        <w:ind w:left="0" w:right="0" w:firstLine="0"/>
        <w:jc w:val="left"/>
        <w:rPr>
          <w:rFonts w:ascii="Times New Roman" w:hAnsi="Times New Roman" w:cs="Times New Roman"/>
          <w:b/>
          <w:bCs/>
          <w:u w:val="single"/>
        </w:rPr>
      </w:pPr>
      <w:r>
        <w:br w:type="page"/>
      </w:r>
    </w:p>
    <w:p w14:paraId="5308BC09" w14:textId="52FECA1D" w:rsidR="003E1F88" w:rsidRPr="00B40337" w:rsidRDefault="00464FFC" w:rsidP="00D859C4">
      <w:pPr>
        <w:pStyle w:val="Heading1"/>
      </w:pPr>
      <w:bookmarkStart w:id="8" w:name="_Toc161220515"/>
      <w:r w:rsidRPr="00B40337">
        <w:lastRenderedPageBreak/>
        <w:t>India</w:t>
      </w:r>
      <w:r w:rsidR="005C2537" w:rsidRPr="00B40337">
        <w:t xml:space="preserve"> case study</w:t>
      </w:r>
      <w:bookmarkEnd w:id="8"/>
    </w:p>
    <w:p w14:paraId="5DD8877F" w14:textId="22CE0B0E" w:rsidR="001549CA" w:rsidRPr="00B40337" w:rsidRDefault="001549CA" w:rsidP="001549CA">
      <w:pPr>
        <w:spacing w:after="0" w:line="480" w:lineRule="auto"/>
        <w:ind w:left="-5" w:right="172"/>
        <w:jc w:val="left"/>
        <w:rPr>
          <w:rFonts w:ascii="Times New Roman" w:hAnsi="Times New Roman" w:cs="Times New Roman"/>
        </w:rPr>
      </w:pPr>
      <w:r w:rsidRPr="00B40337">
        <w:rPr>
          <w:rFonts w:ascii="Times New Roman" w:hAnsi="Times New Roman" w:cs="Times New Roman"/>
        </w:rPr>
        <w:t>The central reference provided in the main text is to India’s energy budget for 2023-2024. In conjunction with budgets since 2016-2017, it is clear that investments in PMUY and subsidies have declined precipitously (</w:t>
      </w:r>
      <w:r w:rsidRPr="00B40337">
        <w:rPr>
          <w:rFonts w:ascii="Times New Roman" w:hAnsi="Times New Roman" w:cs="Times New Roman"/>
          <w:u w:val="single"/>
        </w:rPr>
        <w:t xml:space="preserve">see </w:t>
      </w:r>
      <w:hyperlink r:id="rId19">
        <w:r w:rsidRPr="00B40337">
          <w:rPr>
            <w:rFonts w:ascii="Times New Roman" w:hAnsi="Times New Roman" w:cs="Times New Roman"/>
            <w:u w:val="single"/>
          </w:rPr>
          <w:t>collated budget data)</w:t>
        </w:r>
      </w:hyperlink>
      <w:r w:rsidRPr="00B40337">
        <w:rPr>
          <w:rFonts w:ascii="Times New Roman" w:hAnsi="Times New Roman" w:cs="Times New Roman"/>
        </w:rPr>
        <w:t xml:space="preserve">. On August 29, 2023, the Government of India announced a cut to domestic LPG cylinder refill prices of roughly 200 INR, in response to rising inflation and high international petroleum prices; this move also comes amid ramp up for 2024 national elections in India. This brings the total subsidy rate for PMUY-eligible </w:t>
      </w:r>
      <w:r w:rsidR="00AB4E1B">
        <w:rPr>
          <w:rFonts w:ascii="Times New Roman" w:hAnsi="Times New Roman" w:cs="Times New Roman"/>
        </w:rPr>
        <w:t>households</w:t>
      </w:r>
      <w:r w:rsidRPr="00B40337">
        <w:rPr>
          <w:rFonts w:ascii="Times New Roman" w:hAnsi="Times New Roman" w:cs="Times New Roman"/>
        </w:rPr>
        <w:t xml:space="preserve"> to 400 INR per cylinder; other consumers receive 200 INR per cylinder. Up-to-date LPG cylinder refill prices can typically be found at </w:t>
      </w:r>
      <w:hyperlink r:id="rId20" w:history="1">
        <w:r w:rsidRPr="00B40337">
          <w:rPr>
            <w:rStyle w:val="Hyperlink"/>
            <w:rFonts w:ascii="Times New Roman" w:hAnsi="Times New Roman" w:cs="Times New Roman"/>
            <w:color w:val="auto"/>
          </w:rPr>
          <w:t>https://www.goodreturns.in/lpg-price.html</w:t>
        </w:r>
      </w:hyperlink>
      <w:r w:rsidRPr="00B40337">
        <w:rPr>
          <w:rFonts w:ascii="Times New Roman" w:hAnsi="Times New Roman" w:cs="Times New Roman"/>
        </w:rPr>
        <w:t xml:space="preserve">. </w:t>
      </w:r>
    </w:p>
    <w:p w14:paraId="56D2F7EA" w14:textId="412A41DC" w:rsidR="001549CA" w:rsidRPr="00B40337" w:rsidRDefault="001549CA" w:rsidP="001549CA">
      <w:pPr>
        <w:spacing w:after="0" w:line="480" w:lineRule="auto"/>
        <w:ind w:left="0" w:right="172" w:firstLine="720"/>
        <w:jc w:val="left"/>
        <w:rPr>
          <w:rFonts w:ascii="Times New Roman" w:hAnsi="Times New Roman" w:cs="Times New Roman"/>
        </w:rPr>
      </w:pPr>
      <w:r w:rsidRPr="00B40337">
        <w:rPr>
          <w:rFonts w:ascii="Times New Roman" w:hAnsi="Times New Roman" w:cs="Times New Roman"/>
        </w:rPr>
        <w:t xml:space="preserve">Central to our estimates of the health-related impacts of cooking gas subsidies in India is the logic that if the LPG cylinder refill prices increase, then LPG cylinder refill purchasing (and thereby consumption) decreases. When LPG consumption decreases, biomass combustion increases. When biomass combustion increases, personal PM2.5 exposures increase, health risks increase, and at the population level public health is damaged. Similarly, given that biomass emits more greenhouse gases than LPG per unit energy delivered, CO2e emissions increase. </w:t>
      </w:r>
      <w:r w:rsidR="00847130">
        <w:rPr>
          <w:rFonts w:ascii="Times New Roman" w:hAnsi="Times New Roman" w:cs="Times New Roman"/>
        </w:rPr>
        <w:t xml:space="preserve">Similar logic applies to the reverse, which we model directly: lower prices lead to more LPG consumption and more biomass displacement. </w:t>
      </w:r>
      <w:r w:rsidRPr="00B40337">
        <w:rPr>
          <w:rFonts w:ascii="Times New Roman" w:hAnsi="Times New Roman" w:cs="Times New Roman"/>
        </w:rPr>
        <w:t>Here, we outline specific inputs for our modeling and our approach.</w:t>
      </w:r>
    </w:p>
    <w:p w14:paraId="767DB19C" w14:textId="77777777" w:rsidR="001549CA" w:rsidRPr="00B40337" w:rsidRDefault="001549CA" w:rsidP="001549CA">
      <w:pPr>
        <w:spacing w:after="0" w:line="480" w:lineRule="auto"/>
        <w:ind w:left="-5" w:right="172"/>
        <w:jc w:val="left"/>
        <w:rPr>
          <w:rFonts w:ascii="Times New Roman" w:hAnsi="Times New Roman" w:cs="Times New Roman"/>
          <w:u w:val="single"/>
        </w:rPr>
      </w:pPr>
    </w:p>
    <w:p w14:paraId="4F139333" w14:textId="77777777" w:rsidR="001549CA" w:rsidRPr="00B40337" w:rsidRDefault="001549CA" w:rsidP="001549CA">
      <w:pPr>
        <w:ind w:left="0" w:firstLine="0"/>
        <w:rPr>
          <w:rFonts w:ascii="Times New Roman" w:hAnsi="Times New Roman" w:cs="Times New Roman"/>
          <w:i/>
          <w:iCs/>
        </w:rPr>
      </w:pPr>
      <w:r w:rsidRPr="00B40337">
        <w:rPr>
          <w:rFonts w:ascii="Times New Roman" w:hAnsi="Times New Roman" w:cs="Times New Roman"/>
          <w:i/>
          <w:iCs/>
        </w:rPr>
        <w:t>LPG prices</w:t>
      </w:r>
    </w:p>
    <w:p w14:paraId="3D02EA2A" w14:textId="5D00DD92" w:rsidR="001549CA" w:rsidRPr="00B40337" w:rsidRDefault="001549CA" w:rsidP="001549CA">
      <w:pPr>
        <w:spacing w:after="0" w:line="480" w:lineRule="auto"/>
        <w:ind w:left="-5" w:right="172"/>
        <w:jc w:val="left"/>
        <w:rPr>
          <w:rFonts w:ascii="Times New Roman" w:hAnsi="Times New Roman" w:cs="Times New Roman"/>
        </w:rPr>
      </w:pPr>
      <w:r w:rsidRPr="00B40337">
        <w:rPr>
          <w:rFonts w:ascii="Times New Roman" w:hAnsi="Times New Roman" w:cs="Times New Roman"/>
        </w:rPr>
        <w:t xml:space="preserve">In 2019, LPG cylinder refills cost 750 INR, subsidized to 550 INR for PMUY beneficiaries. As of September 2023, LPG cylinder refills cost 900 INR, subsidized to 700 INR for PMUY beneficiaries. However, absent the recent price cut, costs would be at 1100 INR, subsidized to 900 INR for PMUY beneficiaries. Previously, budgets indicated that there would be minimal </w:t>
      </w:r>
      <w:r w:rsidRPr="00B40337">
        <w:rPr>
          <w:rFonts w:ascii="Times New Roman" w:hAnsi="Times New Roman" w:cs="Times New Roman"/>
        </w:rPr>
        <w:lastRenderedPageBreak/>
        <w:t xml:space="preserve">support for the LPG subsidy, indicating that it would be plausible that PMUY beneficiaries would have to pay 1100 INR per refill. As such, we model three scenarios – </w:t>
      </w:r>
      <w:r w:rsidR="00DE2431">
        <w:rPr>
          <w:rFonts w:ascii="Times New Roman" w:hAnsi="Times New Roman" w:cs="Times New Roman"/>
        </w:rPr>
        <w:t>1100</w:t>
      </w:r>
      <w:r w:rsidRPr="00B40337">
        <w:rPr>
          <w:rFonts w:ascii="Times New Roman" w:hAnsi="Times New Roman" w:cs="Times New Roman"/>
        </w:rPr>
        <w:t xml:space="preserve"> INR, 900 INR, and </w:t>
      </w:r>
      <w:r w:rsidR="00DE2431">
        <w:rPr>
          <w:rFonts w:ascii="Times New Roman" w:hAnsi="Times New Roman" w:cs="Times New Roman"/>
        </w:rPr>
        <w:t>700</w:t>
      </w:r>
      <w:r w:rsidRPr="00B40337">
        <w:rPr>
          <w:rFonts w:ascii="Times New Roman" w:hAnsi="Times New Roman" w:cs="Times New Roman"/>
        </w:rPr>
        <w:t xml:space="preserve"> INR -- and compare them to </w:t>
      </w:r>
      <w:r w:rsidR="00DE2431">
        <w:rPr>
          <w:rFonts w:ascii="Times New Roman" w:hAnsi="Times New Roman" w:cs="Times New Roman"/>
        </w:rPr>
        <w:t>1100</w:t>
      </w:r>
      <w:r w:rsidRPr="00B40337">
        <w:rPr>
          <w:rFonts w:ascii="Times New Roman" w:hAnsi="Times New Roman" w:cs="Times New Roman"/>
        </w:rPr>
        <w:t xml:space="preserve"> INR costs. </w:t>
      </w:r>
    </w:p>
    <w:p w14:paraId="33DE108B" w14:textId="77777777" w:rsidR="001549CA" w:rsidRPr="00B40337" w:rsidRDefault="001549CA" w:rsidP="001549CA">
      <w:pPr>
        <w:spacing w:after="0" w:line="480" w:lineRule="auto"/>
        <w:ind w:left="0" w:right="172" w:firstLine="0"/>
        <w:jc w:val="left"/>
        <w:rPr>
          <w:rFonts w:ascii="Times New Roman" w:hAnsi="Times New Roman" w:cs="Times New Roman"/>
        </w:rPr>
      </w:pPr>
    </w:p>
    <w:p w14:paraId="692D82AE" w14:textId="77777777" w:rsidR="001549CA" w:rsidRPr="00B40337" w:rsidRDefault="001549CA" w:rsidP="001549CA">
      <w:pPr>
        <w:ind w:left="0"/>
        <w:rPr>
          <w:rFonts w:ascii="Times New Roman" w:hAnsi="Times New Roman" w:cs="Times New Roman"/>
          <w:i/>
          <w:iCs/>
        </w:rPr>
      </w:pPr>
      <w:r w:rsidRPr="00B40337">
        <w:rPr>
          <w:rFonts w:ascii="Times New Roman" w:hAnsi="Times New Roman" w:cs="Times New Roman"/>
          <w:i/>
          <w:iCs/>
        </w:rPr>
        <w:t>LPG price elasticity</w:t>
      </w:r>
    </w:p>
    <w:p w14:paraId="11FB336B" w14:textId="116A8867" w:rsidR="001549CA" w:rsidRPr="00B40337" w:rsidRDefault="001549CA" w:rsidP="001549CA">
      <w:pPr>
        <w:spacing w:after="0" w:line="480" w:lineRule="auto"/>
        <w:ind w:left="0" w:right="172" w:firstLine="0"/>
        <w:jc w:val="left"/>
        <w:rPr>
          <w:rFonts w:ascii="Times New Roman" w:hAnsi="Times New Roman" w:cs="Times New Roman"/>
        </w:rPr>
      </w:pPr>
      <w:r w:rsidRPr="00B40337">
        <w:rPr>
          <w:rFonts w:ascii="Times New Roman" w:hAnsi="Times New Roman" w:cs="Times New Roman"/>
        </w:rPr>
        <w:t xml:space="preserve">To estimate the extent to which LPG consumption declines with increases in refill prices, we draw on recent experimental work in Tamil Nadu, India among PMUY beneficiaries </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{"citationID":"0HPe6krl","properties":{"formattedCitation":"({\\i{}10})","plainCitation":"(10)","noteIndex":0},"citationItems":[{"id":10963,"uris":["http://zotero.org/users/2607085/items/BNMGFCAL"],"itemData":{"id":10963,"type":"article-journal","abstract":"The use of solid fuels for cooking is a major contributor to mortality, disease burden, and environmental harm in many countries. To tackle the problem, India expanded access to a cleaner and often subsidized alternative, liquefied petroleum gas (LPG), but solid fuels reliance has persisted. Aiming to inform LPG subsidy policy, we conducted a field experiment with low-income households in rural India to examine how LPG prices affect demand. Households (n = 580) were randomized to four groups: a control group that received no discount beyond the existing subsidy and three treatment groups that received discount vouchers worth US$1.7, US$3.4, and US$5.1 per cylinder refill. Purchases of LPG cylinders increased significantly with the size of the discounts. The findings indicate that higher LPG subsidy amounts will be necessary to achieve near exclusive use of this cleaner cooking fuel among low-income Indian households, in support of health and environmental goals.","container-title":"World Development Perspectives","DOI":"10.1016/j.wdp.2023.100490","ISSN":"2452-2929","journalAbbreviation":"World Development Perspectives","page":"100490","source":"ScienceDirect","title":"A randomized trial of price subsidies for liquefied petroleum cooking gas among low-income households in rural India","volume":"30","author":[{"family":"Jeuland","given":"Marc"},{"family":"Desai","given":"Manish A."},{"family":"Bair","given":"Elizabeth F."},{"family":"Mohideen Abdul Cader","given":"Nafeesa"},{"family":"Natesan","given":"Durairaj"},{"family":"Isaac","given":"Wilson Jayakaran"},{"family":"Sambandam","given":"Sankar"},{"family":"Balakrishnan","given":"Kalpana"},{"family":"Thangavel","given":"Gurusamy"},{"family":"Thirumurthy","given":"Harsha"}],"issued":{"date-parts":[["2023",6,1]]}}}],"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10</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xml:space="preserve">. Briefly, households recruited into the study were randomized to receive differing levels of subsidies for LPG cylinder refills and their refill and LPG consumption were tracked over time. Results from that study indicate strong price sensitivity, which is supported by rich observational evidence from both India and elsewhere globally. We estimate price sensitivities using results presented in Table 2 of that study, which show the mass of LPG consumed during the intervention period in kilograms across the control group and various subsidy levels ($1.70, $3.40, $5.10). Using a baseline control cost of about $7.95 per refill, we estimate price elasticity among PMUY beneficiaries by regressing the log of consumption per month (estimated as group averages divided by an intervention period length of seven months) and the log of the price. This procedure yields an estimated price elasticity of -0.33. In other words, a 1% increase in LPG cylinder refill costs results in a decline in LPG consumption of 0.33%. </w:t>
      </w:r>
    </w:p>
    <w:p w14:paraId="6CF03A0E" w14:textId="77777777" w:rsidR="001549CA" w:rsidRPr="00B40337" w:rsidRDefault="001549CA" w:rsidP="001549CA">
      <w:pPr>
        <w:spacing w:after="0" w:line="480" w:lineRule="auto"/>
        <w:ind w:left="0" w:right="172" w:firstLine="0"/>
        <w:jc w:val="left"/>
        <w:rPr>
          <w:rFonts w:ascii="Times New Roman" w:hAnsi="Times New Roman" w:cs="Times New Roman"/>
        </w:rPr>
      </w:pPr>
      <w:r w:rsidRPr="00B40337">
        <w:rPr>
          <w:rFonts w:ascii="Times New Roman" w:hAnsi="Times New Roman" w:cs="Times New Roman"/>
        </w:rPr>
        <w:tab/>
        <w:t xml:space="preserve">Given that high consuming households also have larger incomes, we infer that they are less sensitive to price than low-consuming households—for whom a single LPG cylinder refill accounts for a larger fraction of their monthly expenditures. As such, in our preferred specification, households that consume fewer than 4 refills per year have an elasticity of -0.33, 4-9 refills per year have an elasticity of -0.2, 9-12 refills per year have an elasticity of -0.1, and those than consume more than 12 refills per year are price inelastic. In Scenario 2, all </w:t>
      </w:r>
      <w:r w:rsidRPr="00B40337">
        <w:rPr>
          <w:rFonts w:ascii="Times New Roman" w:hAnsi="Times New Roman" w:cs="Times New Roman"/>
        </w:rPr>
        <w:lastRenderedPageBreak/>
        <w:t xml:space="preserve">households have a price elasticity of -0.33. In scenario 3, all households have a price elasticity of -0.10. In analyses, we randomly draw elasticity from relatively tight means/SDs for all; each elasticity must be a lower step down and never 0 (except for those than consume &gt;12 refills per year). When reporting results, we refer to these three scenarios as “Trade-off Scenario 1”, “Trade-off Scenario 2”, and “Trade-off Scenario 3.” LPG price elasticities are referred to as Elasticity 1, 2, or 3 (in our main model they are -0.33, -0.2, and -0.1, respectively). Random draws are specified as follows (R code; </w:t>
      </w:r>
      <w:proofErr w:type="spellStart"/>
      <w:r w:rsidRPr="00B40337">
        <w:rPr>
          <w:rFonts w:ascii="Times New Roman" w:hAnsi="Times New Roman" w:cs="Times New Roman"/>
        </w:rPr>
        <w:t>rnormTrunc</w:t>
      </w:r>
      <w:proofErr w:type="spellEnd"/>
      <w:r w:rsidRPr="00B40337">
        <w:rPr>
          <w:rFonts w:ascii="Times New Roman" w:hAnsi="Times New Roman" w:cs="Times New Roman"/>
        </w:rPr>
        <w:t xml:space="preserve"> comes from the </w:t>
      </w:r>
      <w:proofErr w:type="spellStart"/>
      <w:r w:rsidRPr="00B40337">
        <w:rPr>
          <w:rFonts w:ascii="Times New Roman" w:hAnsi="Times New Roman" w:cs="Times New Roman"/>
          <w:i/>
          <w:iCs/>
        </w:rPr>
        <w:t>EnvStats</w:t>
      </w:r>
      <w:proofErr w:type="spellEnd"/>
      <w:r w:rsidRPr="00B40337">
        <w:rPr>
          <w:rFonts w:ascii="Times New Roman" w:hAnsi="Times New Roman" w:cs="Times New Roman"/>
        </w:rPr>
        <w:t xml:space="preserve"> package):</w:t>
      </w:r>
    </w:p>
    <w:p w14:paraId="56F00F0A" w14:textId="77777777" w:rsidR="001549CA" w:rsidRPr="00B40337" w:rsidRDefault="001549CA" w:rsidP="001549CA">
      <w:pPr>
        <w:spacing w:after="0" w:line="480" w:lineRule="auto"/>
        <w:ind w:left="0" w:right="172" w:firstLine="0"/>
        <w:jc w:val="left"/>
        <w:rPr>
          <w:rFonts w:ascii="Times New Roman" w:hAnsi="Times New Roman" w:cs="Times New Roman"/>
        </w:rPr>
      </w:pPr>
    </w:p>
    <w:p w14:paraId="527DD84F" w14:textId="77777777" w:rsidR="001549CA" w:rsidRPr="00B40337" w:rsidRDefault="001549CA" w:rsidP="001549CA">
      <w:pPr>
        <w:spacing w:after="0" w:line="480" w:lineRule="auto"/>
        <w:ind w:left="0" w:right="172" w:firstLine="0"/>
        <w:jc w:val="left"/>
        <w:rPr>
          <w:rFonts w:ascii="Times New Roman" w:hAnsi="Times New Roman" w:cs="Times New Roman"/>
          <w:sz w:val="20"/>
          <w:szCs w:val="20"/>
        </w:rPr>
      </w:pPr>
      <w:r w:rsidRPr="00B40337">
        <w:rPr>
          <w:rFonts w:ascii="Times New Roman" w:hAnsi="Times New Roman" w:cs="Times New Roman"/>
          <w:sz w:val="20"/>
          <w:szCs w:val="20"/>
        </w:rPr>
        <w:t xml:space="preserve">elasticity1 = </w:t>
      </w:r>
      <w:proofErr w:type="spellStart"/>
      <w:proofErr w:type="gramStart"/>
      <w:r w:rsidRPr="00B40337">
        <w:rPr>
          <w:rFonts w:ascii="Times New Roman" w:hAnsi="Times New Roman" w:cs="Times New Roman"/>
          <w:sz w:val="20"/>
          <w:szCs w:val="20"/>
        </w:rPr>
        <w:t>rnorm</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1, .33, .025)</w:t>
      </w:r>
    </w:p>
    <w:p w14:paraId="40E03B32" w14:textId="77777777" w:rsidR="001549CA" w:rsidRPr="00B40337" w:rsidRDefault="001549CA" w:rsidP="001549CA">
      <w:pPr>
        <w:spacing w:after="0" w:line="480" w:lineRule="auto"/>
        <w:ind w:left="0" w:right="172" w:firstLine="0"/>
        <w:jc w:val="left"/>
        <w:rPr>
          <w:rFonts w:ascii="Times New Roman" w:hAnsi="Times New Roman" w:cs="Times New Roman"/>
          <w:sz w:val="20"/>
          <w:szCs w:val="20"/>
        </w:rPr>
      </w:pPr>
      <w:r w:rsidRPr="00B40337">
        <w:rPr>
          <w:rFonts w:ascii="Times New Roman" w:hAnsi="Times New Roman" w:cs="Times New Roman"/>
          <w:sz w:val="20"/>
          <w:szCs w:val="20"/>
        </w:rPr>
        <w:t xml:space="preserve">elasticity2 = </w:t>
      </w:r>
      <w:proofErr w:type="spellStart"/>
      <w:proofErr w:type="gramStart"/>
      <w:r w:rsidRPr="00B40337">
        <w:rPr>
          <w:rFonts w:ascii="Times New Roman" w:hAnsi="Times New Roman" w:cs="Times New Roman"/>
          <w:sz w:val="20"/>
          <w:szCs w:val="20"/>
        </w:rPr>
        <w:t>rnormTrunc</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.2, .025, 0.1, elasticity1)</w:t>
      </w:r>
    </w:p>
    <w:p w14:paraId="754BC799" w14:textId="77777777" w:rsidR="001549CA" w:rsidRPr="00B40337" w:rsidRDefault="001549CA" w:rsidP="001549CA">
      <w:pPr>
        <w:spacing w:after="0" w:line="480" w:lineRule="auto"/>
        <w:ind w:left="0" w:right="172" w:firstLine="0"/>
        <w:jc w:val="left"/>
        <w:rPr>
          <w:rFonts w:ascii="Times New Roman" w:hAnsi="Times New Roman" w:cs="Times New Roman"/>
          <w:sz w:val="20"/>
          <w:szCs w:val="20"/>
        </w:rPr>
      </w:pPr>
      <w:r w:rsidRPr="00B40337">
        <w:rPr>
          <w:rFonts w:ascii="Times New Roman" w:hAnsi="Times New Roman" w:cs="Times New Roman"/>
          <w:sz w:val="20"/>
          <w:szCs w:val="20"/>
        </w:rPr>
        <w:t xml:space="preserve">elasticity3 = </w:t>
      </w:r>
      <w:proofErr w:type="spellStart"/>
      <w:proofErr w:type="gramStart"/>
      <w:r w:rsidRPr="00B40337">
        <w:rPr>
          <w:rFonts w:ascii="Times New Roman" w:hAnsi="Times New Roman" w:cs="Times New Roman"/>
          <w:sz w:val="20"/>
          <w:szCs w:val="20"/>
        </w:rPr>
        <w:t>rnormTrunc</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.10, .0025, 0.01, elasticity2)</w:t>
      </w:r>
    </w:p>
    <w:p w14:paraId="773541FF" w14:textId="77777777" w:rsidR="001549CA" w:rsidRPr="00B40337" w:rsidRDefault="001549CA" w:rsidP="001549CA">
      <w:pPr>
        <w:spacing w:after="0" w:line="480" w:lineRule="auto"/>
        <w:ind w:left="-5" w:right="172"/>
        <w:jc w:val="left"/>
        <w:rPr>
          <w:rFonts w:ascii="Times New Roman" w:hAnsi="Times New Roman" w:cs="Times New Roman"/>
          <w:u w:val="single"/>
        </w:rPr>
      </w:pPr>
    </w:p>
    <w:p w14:paraId="5131D8C9" w14:textId="77777777" w:rsidR="001549CA" w:rsidRPr="00B40337" w:rsidRDefault="001549CA" w:rsidP="001549CA">
      <w:pPr>
        <w:spacing w:after="0" w:line="480" w:lineRule="auto"/>
        <w:ind w:left="-5" w:right="172"/>
        <w:jc w:val="left"/>
        <w:rPr>
          <w:rFonts w:ascii="Times New Roman" w:hAnsi="Times New Roman" w:cs="Times New Roman"/>
        </w:rPr>
      </w:pPr>
      <w:r w:rsidRPr="00B40337">
        <w:rPr>
          <w:rFonts w:ascii="Times New Roman" w:hAnsi="Times New Roman" w:cs="Times New Roman"/>
          <w:u w:val="single"/>
        </w:rPr>
        <w:t>LPG consumption</w:t>
      </w:r>
    </w:p>
    <w:p w14:paraId="00566852" w14:textId="77A0013E" w:rsidR="001549CA" w:rsidRPr="00B40337" w:rsidRDefault="001549CA" w:rsidP="001549CA">
      <w:pPr>
        <w:spacing w:after="0" w:line="480" w:lineRule="auto"/>
        <w:ind w:left="0" w:right="172" w:firstLine="0"/>
        <w:jc w:val="left"/>
        <w:rPr>
          <w:rFonts w:ascii="Times New Roman" w:hAnsi="Times New Roman" w:cs="Times New Roman"/>
        </w:rPr>
      </w:pPr>
      <w:r w:rsidRPr="00B40337">
        <w:rPr>
          <w:rFonts w:ascii="Times New Roman" w:hAnsi="Times New Roman" w:cs="Times New Roman"/>
        </w:rPr>
        <w:t xml:space="preserve">LPG consumption is derived from energy access survey data collected in 14,850 urban and rural households across 152 districts in India’s 21 most populous states in 2019 </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{"citationID":"JizUQu2W","properties":{"formattedCitation":"({\\i{}11})","plainCitation":"(11)","noteIndex":0},"citationItems":[{"id":2104,"uris":["http://zotero.org/users/2607085/items/JW8UZ3M2"],"itemData":{"id":2104,"type":"report","event-place":"New Delhi, India","language":"en","publisher":"Council on Energy, Environment and Water","publisher-place":"New Delhi, India","title":"State of Electricity Access in India: Insights from the India Residential Energy consumption Survey (IRES) 2020","URL":"https://www.ceew.in/publications/state-electricity-access-india","author":[{"family":"Agrawal","given":"Shalu"},{"family":"Mani","given":"Sunil"},{"family":"Jain","given":"Abhishek"},{"family":"Ganesan","given":"Karthik"}],"accessed":{"date-parts":[["2021",8,17]]},"issued":{"date-parts":[["2020",10,7]]}}}],"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11</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xml:space="preserve">. A stratified multistage probability sampling design was implemented to achieve nationally representative data when accounting for household level survey weights. All households were asked if they had an LPG stove. If so, they were asked if they obtained their stove via PMUY. Households that had an LPG stove were also asked how many 14.2 kg LPG cylinder refills they purchased in the previous year. As such, we can estimate the distribution of LPG consumption in kg per year among PMUY beneficiaries. </w:t>
      </w:r>
    </w:p>
    <w:p w14:paraId="08C1DD7B" w14:textId="77777777" w:rsidR="008E160D" w:rsidRPr="00B40337" w:rsidRDefault="00953E2F" w:rsidP="001549CA">
      <w:pPr>
        <w:spacing w:line="480" w:lineRule="auto"/>
        <w:ind w:left="0" w:firstLine="720"/>
        <w:jc w:val="left"/>
        <w:rPr>
          <w:rFonts w:ascii="Times New Roman" w:hAnsi="Times New Roman" w:cs="Times New Roman"/>
        </w:rPr>
      </w:pPr>
      <w:r w:rsidRPr="00B40337">
        <w:rPr>
          <w:rFonts w:ascii="Times New Roman" w:hAnsi="Times New Roman" w:cs="Times New Roman"/>
        </w:rPr>
        <w:t xml:space="preserve">We compute LPG consumption in a few steps. First, we </w:t>
      </w:r>
      <w:r w:rsidR="001549CA" w:rsidRPr="00B40337">
        <w:rPr>
          <w:rFonts w:ascii="Times New Roman" w:hAnsi="Times New Roman" w:cs="Times New Roman"/>
        </w:rPr>
        <w:t xml:space="preserve">(1) generate a 2019 density plot; (2) extract values at every 1kg between 1-200 kg/year; </w:t>
      </w:r>
      <w:r w:rsidR="00124196" w:rsidRPr="00B40337">
        <w:rPr>
          <w:rFonts w:ascii="Times New Roman" w:hAnsi="Times New Roman" w:cs="Times New Roman"/>
        </w:rPr>
        <w:t xml:space="preserve">and </w:t>
      </w:r>
      <w:r w:rsidR="001549CA" w:rsidRPr="00B40337">
        <w:rPr>
          <w:rFonts w:ascii="Times New Roman" w:hAnsi="Times New Roman" w:cs="Times New Roman"/>
        </w:rPr>
        <w:t>(3) scale densities to sum to 1 so that every value at a 1kg increment can be considered as a % of population</w:t>
      </w:r>
      <w:r w:rsidR="00447B1B" w:rsidRPr="00B40337">
        <w:rPr>
          <w:rFonts w:ascii="Times New Roman" w:hAnsi="Times New Roman" w:cs="Times New Roman"/>
        </w:rPr>
        <w:t xml:space="preserve">. </w:t>
      </w:r>
      <w:r w:rsidR="00EC77C8" w:rsidRPr="00B40337">
        <w:rPr>
          <w:rFonts w:ascii="Times New Roman" w:hAnsi="Times New Roman" w:cs="Times New Roman"/>
        </w:rPr>
        <w:t xml:space="preserve">Next, we estimate </w:t>
      </w:r>
      <w:r w:rsidR="00434323" w:rsidRPr="00B40337">
        <w:rPr>
          <w:rFonts w:ascii="Times New Roman" w:hAnsi="Times New Roman" w:cs="Times New Roman"/>
        </w:rPr>
        <w:t xml:space="preserve">our </w:t>
      </w:r>
      <w:r w:rsidR="00434323" w:rsidRPr="00B40337">
        <w:rPr>
          <w:rFonts w:ascii="Times New Roman" w:hAnsi="Times New Roman" w:cs="Times New Roman"/>
        </w:rPr>
        <w:lastRenderedPageBreak/>
        <w:t>‘baseline LPG consumption’</w:t>
      </w:r>
      <w:r w:rsidR="009A05D1" w:rsidRPr="00B40337">
        <w:rPr>
          <w:rFonts w:ascii="Times New Roman" w:hAnsi="Times New Roman" w:cs="Times New Roman"/>
        </w:rPr>
        <w:t xml:space="preserve"> by</w:t>
      </w:r>
      <w:r w:rsidR="003D3AAE" w:rsidRPr="00B40337">
        <w:rPr>
          <w:rFonts w:ascii="Times New Roman" w:hAnsi="Times New Roman" w:cs="Times New Roman"/>
        </w:rPr>
        <w:t xml:space="preserve">, </w:t>
      </w:r>
      <w:r w:rsidR="001549CA" w:rsidRPr="00B40337">
        <w:rPr>
          <w:rFonts w:ascii="Times New Roman" w:hAnsi="Times New Roman" w:cs="Times New Roman"/>
        </w:rPr>
        <w:t>for each 1kg/year, multiply</w:t>
      </w:r>
      <w:r w:rsidR="003D3AAE" w:rsidRPr="00B40337">
        <w:rPr>
          <w:rFonts w:ascii="Times New Roman" w:hAnsi="Times New Roman" w:cs="Times New Roman"/>
        </w:rPr>
        <w:t>ing</w:t>
      </w:r>
      <w:r w:rsidR="001549CA" w:rsidRPr="00B40337">
        <w:rPr>
          <w:rFonts w:ascii="Times New Roman" w:hAnsi="Times New Roman" w:cs="Times New Roman"/>
        </w:rPr>
        <w:t xml:space="preserve"> the % price change (relative to 550 INR) by the price elasticity to get declines in LPG consumption</w:t>
      </w:r>
      <w:r w:rsidR="0006590F" w:rsidRPr="00B40337">
        <w:rPr>
          <w:rFonts w:ascii="Times New Roman" w:hAnsi="Times New Roman" w:cs="Times New Roman"/>
        </w:rPr>
        <w:t>. In this ‘baseline’ scenario, LPG cylinder refill prices are 1100 INR</w:t>
      </w:r>
      <w:r w:rsidR="00AC33A8" w:rsidRPr="00B40337">
        <w:rPr>
          <w:rFonts w:ascii="Times New Roman" w:hAnsi="Times New Roman" w:cs="Times New Roman"/>
        </w:rPr>
        <w:t xml:space="preserve">. </w:t>
      </w:r>
    </w:p>
    <w:p w14:paraId="0DECC857" w14:textId="4E020D3C" w:rsidR="001549CA" w:rsidRPr="00B40337" w:rsidRDefault="008E160D" w:rsidP="001549CA">
      <w:pPr>
        <w:spacing w:line="480" w:lineRule="auto"/>
        <w:ind w:left="0" w:firstLine="720"/>
        <w:jc w:val="left"/>
        <w:rPr>
          <w:rFonts w:ascii="Times New Roman" w:hAnsi="Times New Roman" w:cs="Times New Roman"/>
        </w:rPr>
      </w:pPr>
      <w:r w:rsidRPr="00B40337">
        <w:rPr>
          <w:rFonts w:ascii="Times New Roman" w:hAnsi="Times New Roman" w:cs="Times New Roman"/>
        </w:rPr>
        <w:t>To estimate the benefits of the LPG subsidy, we then re-model LPG consumption as a function of anticipated LPG cylinder refill price declines (and the price elasticities) relative to 1100 INR. For each of these scenarios (where prices are 550 INR, 700 INR, and 900 INR)</w:t>
      </w:r>
      <w:r w:rsidR="00B44AB4" w:rsidRPr="00B40337">
        <w:rPr>
          <w:rFonts w:ascii="Times New Roman" w:hAnsi="Times New Roman" w:cs="Times New Roman"/>
        </w:rPr>
        <w:t xml:space="preserve">, we </w:t>
      </w:r>
      <w:r w:rsidR="001549CA" w:rsidRPr="00B40337">
        <w:rPr>
          <w:rFonts w:ascii="Times New Roman" w:hAnsi="Times New Roman" w:cs="Times New Roman"/>
        </w:rPr>
        <w:t xml:space="preserve">subtract kg declines from the estimated consumption in </w:t>
      </w:r>
      <w:r w:rsidR="001D204C" w:rsidRPr="00B40337">
        <w:rPr>
          <w:rFonts w:ascii="Times New Roman" w:hAnsi="Times New Roman" w:cs="Times New Roman"/>
        </w:rPr>
        <w:t>the 2023</w:t>
      </w:r>
      <w:r w:rsidR="001549CA" w:rsidRPr="00B40337">
        <w:rPr>
          <w:rFonts w:ascii="Times New Roman" w:hAnsi="Times New Roman" w:cs="Times New Roman"/>
        </w:rPr>
        <w:t xml:space="preserve"> kg/year</w:t>
      </w:r>
      <w:r w:rsidR="006E7C77" w:rsidRPr="00B40337">
        <w:rPr>
          <w:rFonts w:ascii="Times New Roman" w:hAnsi="Times New Roman" w:cs="Times New Roman"/>
        </w:rPr>
        <w:t xml:space="preserve"> distributions</w:t>
      </w:r>
      <w:r w:rsidR="001549CA" w:rsidRPr="00B40337">
        <w:rPr>
          <w:rFonts w:ascii="Times New Roman" w:hAnsi="Times New Roman" w:cs="Times New Roman"/>
        </w:rPr>
        <w:t>.</w:t>
      </w:r>
      <w:r w:rsidR="00EB712F" w:rsidRPr="00B40337">
        <w:rPr>
          <w:rFonts w:ascii="Times New Roman" w:hAnsi="Times New Roman" w:cs="Times New Roman"/>
        </w:rPr>
        <w:t xml:space="preserve"> </w:t>
      </w:r>
    </w:p>
    <w:p w14:paraId="4FCE6E13" w14:textId="77777777" w:rsidR="001549CA" w:rsidRPr="00B40337" w:rsidRDefault="001549CA" w:rsidP="001549CA">
      <w:pPr>
        <w:spacing w:after="0" w:line="480" w:lineRule="auto"/>
        <w:ind w:left="0" w:right="172" w:firstLine="0"/>
        <w:jc w:val="left"/>
        <w:rPr>
          <w:rFonts w:ascii="Times New Roman" w:hAnsi="Times New Roman" w:cs="Times New Roman"/>
        </w:rPr>
      </w:pPr>
    </w:p>
    <w:p w14:paraId="3D61A726" w14:textId="77777777" w:rsidR="001549CA" w:rsidRPr="00B40337" w:rsidRDefault="001549CA" w:rsidP="001549CA">
      <w:pPr>
        <w:spacing w:after="0" w:line="480" w:lineRule="auto"/>
        <w:ind w:left="0" w:right="172" w:firstLine="0"/>
        <w:jc w:val="left"/>
        <w:rPr>
          <w:rFonts w:ascii="Times New Roman" w:hAnsi="Times New Roman" w:cs="Times New Roman"/>
          <w:i/>
          <w:iCs/>
        </w:rPr>
      </w:pPr>
      <w:r w:rsidRPr="00B40337">
        <w:rPr>
          <w:rFonts w:ascii="Times New Roman" w:hAnsi="Times New Roman" w:cs="Times New Roman"/>
          <w:i/>
          <w:iCs/>
        </w:rPr>
        <w:t>PM</w:t>
      </w:r>
      <w:r w:rsidRPr="00B40337">
        <w:rPr>
          <w:rFonts w:ascii="Times New Roman" w:hAnsi="Times New Roman" w:cs="Times New Roman"/>
          <w:i/>
          <w:iCs/>
          <w:vertAlign w:val="subscript"/>
        </w:rPr>
        <w:t>2.5</w:t>
      </w:r>
      <w:r w:rsidRPr="00B40337">
        <w:rPr>
          <w:rFonts w:ascii="Times New Roman" w:hAnsi="Times New Roman" w:cs="Times New Roman"/>
          <w:i/>
          <w:iCs/>
        </w:rPr>
        <w:t xml:space="preserve"> exposures</w:t>
      </w:r>
    </w:p>
    <w:p w14:paraId="66563D76" w14:textId="5545266E" w:rsidR="001549CA" w:rsidRPr="00B40337" w:rsidRDefault="001549CA" w:rsidP="001549CA">
      <w:pPr>
        <w:spacing w:after="0" w:line="480" w:lineRule="auto"/>
        <w:ind w:left="-15" w:right="172" w:firstLine="0"/>
        <w:jc w:val="left"/>
        <w:rPr>
          <w:rFonts w:ascii="Times New Roman" w:hAnsi="Times New Roman" w:cs="Times New Roman"/>
        </w:rPr>
      </w:pPr>
      <w:r w:rsidRPr="00B40337">
        <w:rPr>
          <w:rFonts w:ascii="Times New Roman" w:hAnsi="Times New Roman" w:cs="Times New Roman"/>
        </w:rPr>
        <w:t xml:space="preserve">There are no recent, nationally representative Indian personal air pollution exposure measurements for households that use exclusively polluting cooking fuels, that mix polluting and clean-burning fuels, and that use exclusively clean-burning fuels. However, a recent and extensive set of measurements in Tamil Nadu, India – of pregnant women, children, and other adult women in the same households – provides evidence of the effectiveness of LPG in reducing exposures when used consistently. In refs. </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{"citationID":"shBmUyET","properties":{"formattedCitation":"({\\i{}12}, {\\i{}13})","plainCitation":"(12, 13)","noteIndex":0},"citationItems":[{"id":10954,"uris":["http://zotero.org/users/2607085/items/LSCRGRKS"],"itemData":{"id":10954,"type":"article-journal","container-title":"New England Journal of Medicine","DOI":"10.1056/NEJMoa2206734","ISSN":"0028-4793","issue":"19","note":"publisher: Massachusetts Medical Society\n_eprint: https://doi.org/10.1056/NEJMoa2206734\nPMID: 36214599","page":"1735-1746","source":"Taylor and Francis+NEJM","title":"Liquefied Petroleum Gas or Biomass for Cooking and Effects on Birth Weight","volume":"387","author":[{"family":"Clasen","given":"Thomas F."},{"family":"Chang","given":"Howard H."},{"family":"Thompson","given":"Lisa M."},{"family":"Kirby","given":"Miles A."},{"family":"Balakrishnan","given":"Kalpana"},{"family":"Díaz-Artiga","given":"Anaité"},{"family":"McCracken","given":"John P."},{"family":"Rosa","given":"Ghislaine"},{"family":"Steenland","given":"Kyle"},{"family":"Younger","given":"Ashley"},{"family":"Aravindalochanan","given":"Vigneswari"},{"family":"Barr","given":"Dana B."},{"family":"Castañaza","given":"Adly"},{"family":"Chen","given":"Yunyun"},{"family":"Chiang","given":"Marilú"},{"family":"Clark","given":"Maggie L."},{"family":"Garg","given":"Sarada"},{"family":"Hartinger","given":"Stella"},{"family":"Jabbarzadeh","given":"Shirin"},{"family":"Johnson","given":"Michael A."},{"family":"Kim","given":"Dong-Yun"},{"family":"Lovvorn","given":"Amy E."},{"family":"McCollum","given":"Eric D."},{"family":"Monroy","given":"Libny"},{"family":"Moulton","given":"Lawrence H."},{"family":"Mukeshimana","given":"Alexie"},{"family":"Mukhopadhyay","given":"Krishnendu"},{"family":"Naeher","given":"Luke P."},{"family":"Ndagijimana","given":"Florien"},{"family":"Papageorghiou","given":"Aris"},{"family":"Piedrahita","given":"Ricardo"},{"family":"Pillarisetti","given":"Ajay"},{"family":"Puttaswamy","given":"Naveen"},{"family":"Quinn","given":"Ashlinn"},{"family":"Ramakrishnan","given":"Usha"},{"family":"Sambandam","given":"Sankar"},{"family":"Sinharoy","given":"Sheela S."},{"family":"Thangavel","given":"Gurusamy"},{"family":"Underhill","given":"Lindsay J."},{"family":"Waller","given":"Lance A."},{"family":"Wang","given":"Jiantong"},{"family":"Williams","given":"Kendra N."},{"family":"Rosenthal","given":"Joshua P."},{"family":"Checkley","given":"William"},{"family":"Peel","given":"Jennifer L."}],"issued":{"date-parts":[["2022",11,10]]}}},{"id":10958,"uris":["http://zotero.org/users/2607085/items/47ZITDTT"],"itemData":{"id":10958,"type":"article-journal","container-title":"Environmental Health Perspectives","DOI":"10.1289/EHP10295","ISSN":"0091-6765, 1552-9924","issue":"9","journalAbbreviation":"Environ Health Perspect","language":"en","page":"097005","source":"DOI.org (Crossref)","title":"Exposure Contrasts of Pregnant Women during the Household Air Pollution Intervention Network Randomized Controlled Trial","volume":"130","author":[{"family":"Johnson","given":"Michael"},{"family":"Pillarisetti","given":"Ajay"},{"family":"Piedrahita","given":"Ricardo"},{"family":"Balakrishnan","given":"Kalpana"},{"family":"Peel","given":"Jennifer L."},{"family":"Steenland","given":"Kyle"},{"family":"Underhill","given":"Lindsay J."},{"family":"Rosa","given":"Ghislaine"},{"family":"Kirby","given":"Miles A."},{"family":"Díaz-Artiga","given":"Anaité"},{"family":"McCracken","given":"John"},{"family":"Clark","given":"Maggie L."},{"family":"Waller","given":"Lance"},{"family":"Chang","given":"Howard H."},{"family":"Wang","given":"Jiantong"},{"family":"Dusabimana","given":"Ephrem"},{"family":"Ndagijimana","given":"Florien"},{"family":"Sambandam","given":"Sankar"},{"family":"Mukhopadhyay","given":"Krishnendu"},{"family":"Kearns","given":"Katherine A."},{"family":"Campbell","given":"Devan"},{"family":"Kremer","given":"Jacob"},{"family":"Rosenthal","given":"Joshua P."},{"family":"Checkley","given":"William"},{"family":"Clasen","given":"Thomas"},{"family":"Naeher","given":"Luke"},{"literal":"and the Household Air Pollution Intervention Network (HAPIN) Trial Investigators"}],"issued":{"date-parts":[["2022",9]]}}}],"schema":"https://github.com/citation-style-language/schema/raw/master/csl-citation.json"}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12</w:t>
      </w:r>
      <w:r w:rsidR="00D76C23" w:rsidRPr="00B40337">
        <w:rPr>
          <w:rFonts w:ascii="Times New Roman" w:hAnsi="Times New Roman" w:cs="Times New Roman"/>
          <w:kern w:val="0"/>
        </w:rPr>
        <w:t xml:space="preserve">, </w:t>
      </w:r>
      <w:r w:rsidR="00D76C23" w:rsidRPr="00B40337">
        <w:rPr>
          <w:rFonts w:ascii="Times New Roman" w:hAnsi="Times New Roman" w:cs="Times New Roman"/>
          <w:i/>
          <w:iCs/>
          <w:kern w:val="0"/>
        </w:rPr>
        <w:t>13</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xml:space="preserve"> biomass using households had mean PM</w:t>
      </w:r>
      <w:r w:rsidRPr="00B40337">
        <w:rPr>
          <w:rFonts w:ascii="Times New Roman" w:hAnsi="Times New Roman" w:cs="Times New Roman"/>
          <w:vertAlign w:val="subscript"/>
        </w:rPr>
        <w:t>2.5</w:t>
      </w:r>
      <w:r w:rsidRPr="00B40337">
        <w:rPr>
          <w:rFonts w:ascii="Times New Roman" w:hAnsi="Times New Roman" w:cs="Times New Roman"/>
        </w:rPr>
        <w:t xml:space="preserve"> exposures of 100-120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3</w:t>
      </w:r>
      <w:r w:rsidRPr="00B40337">
        <w:rPr>
          <w:rFonts w:ascii="Times New Roman" w:hAnsi="Times New Roman" w:cs="Times New Roman"/>
        </w:rPr>
        <w:t xml:space="preserve">, while LPG using households had median exposures ranging between 37-39 </w:t>
      </w:r>
      <w:r w:rsidRPr="00B40337">
        <w:rPr>
          <w:rFonts w:ascii="Times New Roman" w:eastAsia="Cambria" w:hAnsi="Times New Roman" w:cs="Times New Roman"/>
          <w:i/>
        </w:rPr>
        <w:t>µg/m</w:t>
      </w:r>
      <w:r w:rsidRPr="00B40337">
        <w:rPr>
          <w:rFonts w:ascii="Times New Roman" w:eastAsia="Cambria" w:hAnsi="Times New Roman" w:cs="Times New Roman"/>
          <w:vertAlign w:val="superscript"/>
        </w:rPr>
        <w:t>3</w:t>
      </w:r>
      <w:r w:rsidRPr="00B40337">
        <w:rPr>
          <w:rFonts w:ascii="Times New Roman" w:hAnsi="Times New Roman" w:cs="Times New Roman"/>
        </w:rPr>
        <w:t>. We note that the exposures observed in Tamil Nadu are lower than the expected range for biomass using households across India, but nonetheless utilize these estimates as they result in conservative overall modeled averted mortality estimates.</w:t>
      </w:r>
    </w:p>
    <w:p w14:paraId="1580BDD9" w14:textId="3FC2926F" w:rsidR="001549CA" w:rsidRPr="00B40337" w:rsidRDefault="001549CA" w:rsidP="001549CA">
      <w:pPr>
        <w:spacing w:line="480" w:lineRule="auto"/>
        <w:ind w:left="0" w:firstLine="720"/>
        <w:jc w:val="left"/>
        <w:rPr>
          <w:rFonts w:ascii="Times New Roman" w:hAnsi="Times New Roman" w:cs="Times New Roman"/>
        </w:rPr>
      </w:pPr>
      <w:r w:rsidRPr="00B40337">
        <w:rPr>
          <w:rFonts w:ascii="Times New Roman" w:hAnsi="Times New Roman" w:cs="Times New Roman"/>
        </w:rPr>
        <w:t xml:space="preserve">We develop three scenarios to relate LPG consumption to average PM2.5 exposures. For each of these models we develop a simple formula with parameters that we randomly draw from in each bootstrapped run; the LPG to PM2.5 exposure relationship varies slightly across all </w:t>
      </w:r>
      <w:r w:rsidRPr="00B40337">
        <w:rPr>
          <w:rFonts w:ascii="Times New Roman" w:hAnsi="Times New Roman" w:cs="Times New Roman"/>
        </w:rPr>
        <w:lastRenderedPageBreak/>
        <w:t xml:space="preserve">runs. In each run, we model all three LPG-PM2.5 relationships fully. The central responses include: </w:t>
      </w:r>
    </w:p>
    <w:p w14:paraId="06FFE97B" w14:textId="77777777" w:rsidR="001549CA" w:rsidRPr="00B40337" w:rsidRDefault="001549CA" w:rsidP="001549CA">
      <w:pPr>
        <w:spacing w:line="480" w:lineRule="auto"/>
        <w:ind w:left="0" w:firstLine="720"/>
        <w:jc w:val="left"/>
        <w:rPr>
          <w:rFonts w:ascii="Times New Roman" w:hAnsi="Times New Roman" w:cs="Times New Roman"/>
        </w:rPr>
      </w:pPr>
      <w:r w:rsidRPr="00B40337">
        <w:rPr>
          <w:rFonts w:ascii="Times New Roman" w:hAnsi="Times New Roman" w:cs="Times New Roman"/>
        </w:rPr>
        <w:t xml:space="preserve">(a) Our preferred, sinusoidal response where there is little movement in exposure until about two to three refills per year, then a steep decline until about eight or nine, at which point the response levels off. </w:t>
      </w:r>
    </w:p>
    <w:p w14:paraId="22ACB747" w14:textId="43D2A404" w:rsidR="001549CA" w:rsidRPr="00B40337" w:rsidRDefault="001549CA" w:rsidP="001549CA">
      <w:pPr>
        <w:spacing w:line="480" w:lineRule="auto"/>
        <w:ind w:left="0" w:firstLine="720"/>
        <w:jc w:val="left"/>
        <w:rPr>
          <w:rFonts w:ascii="Times New Roman" w:eastAsiaTheme="minorHAnsi" w:hAnsi="Times New Roman" w:cs="Times New Roman"/>
          <w:color w:val="auto"/>
          <w:sz w:val="22"/>
          <w:szCs w:val="22"/>
        </w:rPr>
      </w:pPr>
      <w:r w:rsidRPr="00B40337">
        <w:rPr>
          <w:rFonts w:ascii="Times New Roman" w:hAnsi="Times New Roman" w:cs="Times New Roman"/>
        </w:rPr>
        <w:t xml:space="preserve">(b) A sinusoidal response that can </w:t>
      </w:r>
      <w:proofErr w:type="gramStart"/>
      <w:r w:rsidRPr="00B40337">
        <w:rPr>
          <w:rFonts w:ascii="Times New Roman" w:hAnsi="Times New Roman" w:cs="Times New Roman"/>
        </w:rPr>
        <w:t>be considered to be</w:t>
      </w:r>
      <w:proofErr w:type="gramEnd"/>
      <w:r w:rsidRPr="00B40337">
        <w:rPr>
          <w:rFonts w:ascii="Times New Roman" w:hAnsi="Times New Roman" w:cs="Times New Roman"/>
        </w:rPr>
        <w:t xml:space="preserve"> somewhat more pessimistic about how much LPG consumption results in declines in exposure. In other words, more LPG consumption is needed to effectively reduce PM2.5 exposures</w:t>
      </w:r>
      <w:r w:rsidR="0077415C">
        <w:rPr>
          <w:rFonts w:ascii="Times New Roman" w:hAnsi="Times New Roman" w:cs="Times New Roman"/>
        </w:rPr>
        <w:t>.</w:t>
      </w:r>
      <w:r w:rsidRPr="00B40337">
        <w:rPr>
          <w:rFonts w:ascii="Times New Roman" w:eastAsiaTheme="minorHAnsi" w:hAnsi="Times New Roman" w:cs="Times New Roman"/>
          <w:color w:val="auto"/>
          <w:sz w:val="22"/>
          <w:szCs w:val="22"/>
        </w:rPr>
        <w:t xml:space="preserve"> </w:t>
      </w:r>
    </w:p>
    <w:p w14:paraId="56FFDCFB" w14:textId="77777777" w:rsidR="001549CA" w:rsidRPr="00B40337" w:rsidRDefault="001549CA" w:rsidP="001549CA">
      <w:pPr>
        <w:spacing w:line="480" w:lineRule="auto"/>
        <w:ind w:left="0" w:firstLine="720"/>
        <w:jc w:val="left"/>
        <w:rPr>
          <w:rFonts w:ascii="Times New Roman" w:hAnsi="Times New Roman" w:cs="Times New Roman"/>
        </w:rPr>
      </w:pPr>
      <w:r w:rsidRPr="00B40337">
        <w:rPr>
          <w:rFonts w:ascii="Times New Roman" w:eastAsiaTheme="minorHAnsi" w:hAnsi="Times New Roman" w:cs="Times New Roman"/>
          <w:color w:val="auto"/>
          <w:sz w:val="22"/>
          <w:szCs w:val="22"/>
        </w:rPr>
        <w:t>(c)</w:t>
      </w:r>
      <w:r w:rsidRPr="00B40337">
        <w:rPr>
          <w:rFonts w:ascii="Times New Roman" w:hAnsi="Times New Roman" w:cs="Times New Roman"/>
        </w:rPr>
        <w:t xml:space="preserve"> A linear response from the maximum exposure (1 kg) to the minimum (200 kg).</w:t>
      </w:r>
    </w:p>
    <w:p w14:paraId="56BDBC6A" w14:textId="77777777" w:rsidR="001549CA" w:rsidRPr="00B40337" w:rsidRDefault="001549CA" w:rsidP="00DE1506">
      <w:pPr>
        <w:spacing w:line="480" w:lineRule="auto"/>
        <w:ind w:left="0" w:firstLine="720"/>
        <w:jc w:val="left"/>
        <w:rPr>
          <w:rFonts w:ascii="Times New Roman" w:hAnsi="Times New Roman" w:cs="Times New Roman"/>
        </w:rPr>
      </w:pPr>
      <w:r w:rsidRPr="00B40337">
        <w:rPr>
          <w:rFonts w:ascii="Times New Roman" w:hAnsi="Times New Roman" w:cs="Times New Roman"/>
        </w:rPr>
        <w:t>In each bootstrap we run all three scenarios and perturb their parameters somewhat (slightly higher/lower max/min, earlier/later, steeper/shallower declines).  Specific R code to do so is shown below:</w:t>
      </w:r>
    </w:p>
    <w:p w14:paraId="47F20BF1" w14:textId="77777777" w:rsidR="001549CA" w:rsidRPr="00B40337" w:rsidRDefault="001549CA" w:rsidP="001549CA">
      <w:pPr>
        <w:spacing w:line="480" w:lineRule="auto"/>
        <w:ind w:left="0" w:firstLine="0"/>
        <w:jc w:val="left"/>
        <w:rPr>
          <w:rFonts w:ascii="Times New Roman" w:hAnsi="Times New Roman" w:cs="Times New Roman"/>
        </w:rPr>
      </w:pPr>
    </w:p>
    <w:p w14:paraId="2BC109CC"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 xml:space="preserve">min1 = </w:t>
      </w:r>
      <w:proofErr w:type="spellStart"/>
      <w:proofErr w:type="gramStart"/>
      <w:r w:rsidRPr="00B40337">
        <w:rPr>
          <w:rFonts w:ascii="Times New Roman" w:hAnsi="Times New Roman" w:cs="Times New Roman"/>
          <w:sz w:val="20"/>
          <w:szCs w:val="20"/>
        </w:rPr>
        <w:t>rnorm</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1, 25, 5)</w:t>
      </w:r>
    </w:p>
    <w:p w14:paraId="27A1AA82"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 xml:space="preserve">max1 = </w:t>
      </w:r>
      <w:proofErr w:type="spellStart"/>
      <w:proofErr w:type="gramStart"/>
      <w:r w:rsidRPr="00B40337">
        <w:rPr>
          <w:rFonts w:ascii="Times New Roman" w:hAnsi="Times New Roman" w:cs="Times New Roman"/>
          <w:sz w:val="20"/>
          <w:szCs w:val="20"/>
        </w:rPr>
        <w:t>rnorm</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1, 100, 5)</w:t>
      </w:r>
    </w:p>
    <w:p w14:paraId="0016F713"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 xml:space="preserve">decline1 = </w:t>
      </w:r>
      <w:proofErr w:type="spellStart"/>
      <w:proofErr w:type="gramStart"/>
      <w:r w:rsidRPr="00B40337">
        <w:rPr>
          <w:rFonts w:ascii="Times New Roman" w:hAnsi="Times New Roman" w:cs="Times New Roman"/>
          <w:sz w:val="20"/>
          <w:szCs w:val="20"/>
        </w:rPr>
        <w:t>rnorm</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1, 70, 2.5)</w:t>
      </w:r>
    </w:p>
    <w:p w14:paraId="0C115013"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 xml:space="preserve">exp1 = </w:t>
      </w:r>
      <w:proofErr w:type="spellStart"/>
      <w:proofErr w:type="gramStart"/>
      <w:r w:rsidRPr="00B40337">
        <w:rPr>
          <w:rFonts w:ascii="Times New Roman" w:hAnsi="Times New Roman" w:cs="Times New Roman"/>
          <w:sz w:val="20"/>
          <w:szCs w:val="20"/>
        </w:rPr>
        <w:t>rnorm</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1, 4, .05)</w:t>
      </w:r>
    </w:p>
    <w:p w14:paraId="0F3996EA"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 xml:space="preserve">exp2 = </w:t>
      </w:r>
      <w:proofErr w:type="spellStart"/>
      <w:proofErr w:type="gramStart"/>
      <w:r w:rsidRPr="00B40337">
        <w:rPr>
          <w:rFonts w:ascii="Times New Roman" w:hAnsi="Times New Roman" w:cs="Times New Roman"/>
          <w:sz w:val="20"/>
          <w:szCs w:val="20"/>
        </w:rPr>
        <w:t>rnorm</w:t>
      </w:r>
      <w:proofErr w:type="spellEnd"/>
      <w:r w:rsidRPr="00B40337">
        <w:rPr>
          <w:rFonts w:ascii="Times New Roman" w:hAnsi="Times New Roman" w:cs="Times New Roman"/>
          <w:sz w:val="20"/>
          <w:szCs w:val="20"/>
        </w:rPr>
        <w:t>(</w:t>
      </w:r>
      <w:proofErr w:type="gramEnd"/>
      <w:r w:rsidRPr="00B40337">
        <w:rPr>
          <w:rFonts w:ascii="Times New Roman" w:hAnsi="Times New Roman" w:cs="Times New Roman"/>
          <w:sz w:val="20"/>
          <w:szCs w:val="20"/>
        </w:rPr>
        <w:t>1, 8, .1)</w:t>
      </w:r>
    </w:p>
    <w:p w14:paraId="2F5F3E02" w14:textId="77777777" w:rsidR="001549CA" w:rsidRPr="00B40337" w:rsidRDefault="001549CA" w:rsidP="001549CA">
      <w:pPr>
        <w:spacing w:line="480" w:lineRule="auto"/>
        <w:ind w:left="0" w:firstLine="0"/>
        <w:jc w:val="left"/>
        <w:rPr>
          <w:rFonts w:ascii="Times New Roman" w:hAnsi="Times New Roman" w:cs="Times New Roman"/>
          <w:sz w:val="20"/>
          <w:szCs w:val="20"/>
        </w:rPr>
      </w:pPr>
    </w:p>
    <w:p w14:paraId="73DAA071"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x=0:200</w:t>
      </w:r>
    </w:p>
    <w:p w14:paraId="254A1549"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PM25_a=min1 + (max1-min1) / (1 + (x/decline</w:t>
      </w:r>
      <w:proofErr w:type="gramStart"/>
      <w:r w:rsidRPr="00B40337">
        <w:rPr>
          <w:rFonts w:ascii="Times New Roman" w:hAnsi="Times New Roman" w:cs="Times New Roman"/>
          <w:sz w:val="20"/>
          <w:szCs w:val="20"/>
        </w:rPr>
        <w:t>1)^</w:t>
      </w:r>
      <w:proofErr w:type="gramEnd"/>
      <w:r w:rsidRPr="00B40337">
        <w:rPr>
          <w:rFonts w:ascii="Times New Roman" w:hAnsi="Times New Roman" w:cs="Times New Roman"/>
          <w:sz w:val="20"/>
          <w:szCs w:val="20"/>
        </w:rPr>
        <w:t>exp1)</w:t>
      </w:r>
    </w:p>
    <w:p w14:paraId="261F67EA"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PM25_b=min1 + (max1-min1) / (1 + (x/max</w:t>
      </w:r>
      <w:proofErr w:type="gramStart"/>
      <w:r w:rsidRPr="00B40337">
        <w:rPr>
          <w:rFonts w:ascii="Times New Roman" w:hAnsi="Times New Roman" w:cs="Times New Roman"/>
          <w:sz w:val="20"/>
          <w:szCs w:val="20"/>
        </w:rPr>
        <w:t>1)^</w:t>
      </w:r>
      <w:proofErr w:type="gramEnd"/>
      <w:r w:rsidRPr="00B40337">
        <w:rPr>
          <w:rFonts w:ascii="Times New Roman" w:hAnsi="Times New Roman" w:cs="Times New Roman"/>
          <w:sz w:val="20"/>
          <w:szCs w:val="20"/>
        </w:rPr>
        <w:t>exp1)</w:t>
      </w:r>
    </w:p>
    <w:p w14:paraId="1DE2400C" w14:textId="77777777" w:rsidR="001549CA" w:rsidRPr="00B40337" w:rsidRDefault="001549CA" w:rsidP="001549CA">
      <w:pPr>
        <w:spacing w:line="480" w:lineRule="auto"/>
        <w:jc w:val="left"/>
        <w:rPr>
          <w:rFonts w:ascii="Times New Roman" w:hAnsi="Times New Roman" w:cs="Times New Roman"/>
          <w:sz w:val="20"/>
          <w:szCs w:val="20"/>
        </w:rPr>
      </w:pPr>
      <w:r w:rsidRPr="00B40337">
        <w:rPr>
          <w:rFonts w:ascii="Times New Roman" w:hAnsi="Times New Roman" w:cs="Times New Roman"/>
          <w:sz w:val="20"/>
          <w:szCs w:val="20"/>
        </w:rPr>
        <w:t xml:space="preserve">PM25_c=max1 - ((max1 - min1) / </w:t>
      </w:r>
      <w:proofErr w:type="gramStart"/>
      <w:r w:rsidRPr="00B40337">
        <w:rPr>
          <w:rFonts w:ascii="Times New Roman" w:hAnsi="Times New Roman" w:cs="Times New Roman"/>
          <w:sz w:val="20"/>
          <w:szCs w:val="20"/>
        </w:rPr>
        <w:t>200)*</w:t>
      </w:r>
      <w:proofErr w:type="gramEnd"/>
      <w:r w:rsidRPr="00B40337">
        <w:rPr>
          <w:rFonts w:ascii="Times New Roman" w:hAnsi="Times New Roman" w:cs="Times New Roman"/>
          <w:sz w:val="20"/>
          <w:szCs w:val="20"/>
        </w:rPr>
        <w:t>x</w:t>
      </w:r>
    </w:p>
    <w:p w14:paraId="71334E1A" w14:textId="77777777" w:rsidR="00284030" w:rsidRDefault="001549CA" w:rsidP="00284030">
      <w:pPr>
        <w:spacing w:after="0" w:line="240" w:lineRule="auto"/>
        <w:ind w:left="0" w:right="0" w:firstLine="0"/>
        <w:jc w:val="left"/>
        <w:rPr>
          <w:rFonts w:ascii="Times New Roman" w:hAnsi="Times New Roman" w:cs="Times New Roman"/>
        </w:rPr>
      </w:pPr>
      <w:r w:rsidRPr="00B40337">
        <w:rPr>
          <w:rFonts w:ascii="Times New Roman" w:hAnsi="Times New Roman" w:cs="Times New Roman"/>
        </w:rPr>
        <w:br w:type="page"/>
      </w:r>
    </w:p>
    <w:p w14:paraId="0D71E37C" w14:textId="121CAD5C" w:rsidR="001549CA" w:rsidRPr="00B40337" w:rsidRDefault="001549CA" w:rsidP="00284030">
      <w:pPr>
        <w:spacing w:after="0" w:line="240" w:lineRule="auto"/>
        <w:ind w:left="0" w:right="0" w:firstLine="0"/>
        <w:jc w:val="left"/>
        <w:rPr>
          <w:rFonts w:ascii="Times New Roman" w:hAnsi="Times New Roman" w:cs="Times New Roman"/>
          <w:i/>
          <w:iCs/>
        </w:rPr>
      </w:pPr>
      <w:r w:rsidRPr="00B40337">
        <w:rPr>
          <w:rFonts w:ascii="Times New Roman" w:hAnsi="Times New Roman" w:cs="Times New Roman"/>
          <w:i/>
          <w:iCs/>
        </w:rPr>
        <w:lastRenderedPageBreak/>
        <w:t>Other model inputs and parameters</w:t>
      </w:r>
    </w:p>
    <w:p w14:paraId="1DA3C51B" w14:textId="77777777" w:rsidR="00284030" w:rsidRDefault="00284030" w:rsidP="006720E0">
      <w:pPr>
        <w:spacing w:after="0" w:line="480" w:lineRule="auto"/>
        <w:ind w:left="-15" w:right="172" w:firstLine="0"/>
        <w:jc w:val="left"/>
        <w:rPr>
          <w:rFonts w:ascii="Times New Roman" w:hAnsi="Times New Roman" w:cs="Times New Roman"/>
        </w:rPr>
      </w:pPr>
    </w:p>
    <w:p w14:paraId="6530BD1F" w14:textId="4213D5A9" w:rsidR="001549CA" w:rsidRPr="00B40337" w:rsidRDefault="001549CA" w:rsidP="006720E0">
      <w:pPr>
        <w:spacing w:after="0" w:line="480" w:lineRule="auto"/>
        <w:ind w:left="-15" w:right="172" w:firstLine="0"/>
        <w:jc w:val="left"/>
        <w:rPr>
          <w:rFonts w:ascii="Times New Roman" w:hAnsi="Times New Roman" w:cs="Times New Roman"/>
          <w:highlight w:val="yellow"/>
        </w:rPr>
      </w:pPr>
      <w:r w:rsidRPr="00B40337">
        <w:rPr>
          <w:rFonts w:ascii="Times New Roman" w:hAnsi="Times New Roman" w:cs="Times New Roman"/>
        </w:rPr>
        <w:t xml:space="preserve">We use predicted data on the size of India’s population and crude mortality rate yearly from 2023–2030. These data are derived from the United Nations World Population Prospects 2022 (available </w:t>
      </w:r>
      <w:hyperlink r:id="rId21">
        <w:r w:rsidRPr="00B40337">
          <w:rPr>
            <w:rFonts w:ascii="Times New Roman" w:hAnsi="Times New Roman" w:cs="Times New Roman"/>
            <w:u w:val="single"/>
          </w:rPr>
          <w:t>here</w:t>
        </w:r>
        <w:r w:rsidRPr="00B40337">
          <w:rPr>
            <w:rFonts w:ascii="Times New Roman" w:hAnsi="Times New Roman" w:cs="Times New Roman"/>
          </w:rPr>
          <w:t>)</w:t>
        </w:r>
      </w:hyperlink>
      <w:r w:rsidRPr="00B40337">
        <w:rPr>
          <w:rFonts w:ascii="Times New Roman" w:hAnsi="Times New Roman" w:cs="Times New Roman"/>
        </w:rPr>
        <w:t>. We note that the UN WPP indicates that India’s crude mortality rate will decline from 9.1 per 1000 in 2022 to 6.6 per 1000 in 2023. If the crude mortality rate does not drop to this extent, our results may underestimate mortality damages due to higher-than-expected baseline mortality rates, though ex ante it is difficult to know how this may alter the effect of LPG subsidies on the margin.</w:t>
      </w:r>
    </w:p>
    <w:p w14:paraId="19D44D7E" w14:textId="1CF6E6B6" w:rsidR="001549CA" w:rsidRPr="00B40337" w:rsidRDefault="001549CA" w:rsidP="006720E0">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 xml:space="preserve">Our choice of </w:t>
      </w:r>
      <w:r w:rsidRPr="00B40337">
        <w:rPr>
          <w:rFonts w:ascii="Times New Roman" w:hAnsi="Times New Roman" w:cs="Times New Roman"/>
          <w:i/>
          <w:iCs/>
        </w:rPr>
        <w:t>VSL</w:t>
      </w:r>
      <w:r w:rsidRPr="00B40337">
        <w:rPr>
          <w:rFonts w:ascii="Times New Roman" w:hAnsi="Times New Roman" w:cs="Times New Roman"/>
        </w:rPr>
        <w:t xml:space="preserve"> (820,000 USD) comes from ref.</w:t>
      </w:r>
      <w:proofErr w:type="gramStart"/>
      <w:r w:rsidRPr="00B40337">
        <w:rPr>
          <w:rFonts w:ascii="Times New Roman" w:hAnsi="Times New Roman" w:cs="Times New Roman"/>
          <w:vertAlign w:val="superscript"/>
        </w:rPr>
        <w:t>13</w:t>
      </w:r>
      <w:proofErr w:type="gramEnd"/>
      <w:r w:rsidRPr="00B40337">
        <w:rPr>
          <w:rFonts w:ascii="Times New Roman" w:hAnsi="Times New Roman" w:cs="Times New Roman"/>
          <w:vertAlign w:val="superscript"/>
        </w:rPr>
        <w:t xml:space="preserve"> </w:t>
      </w:r>
    </w:p>
    <w:p w14:paraId="00AD9E96" w14:textId="1AC232A9" w:rsidR="001549CA" w:rsidRPr="00B40337" w:rsidRDefault="001549CA" w:rsidP="006720E0">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Given that we are projecting future benefits, it is useful to apply a social discount rate. According to ref.</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{"citationID":"GaJxcIca","properties":{"formattedCitation":"({\\i{}14})","plainCitation":"(14)","noteIndex":0},"citationItems":[{"id":10978,"uris":["http://zotero.org/users/2607085/items/WQ99M6I5"],"itemData":{"id":10978,"type":"article-journal","abstract":"Abstract\n            Choices on discount rates have important implications for the outcomes of economic evaluations of health interventions and policies. In global health, such evaluations typically apply a discount rate of 3% for health outcomes and costs, mirroring guidance developed for high-income countries, notably the USA. The article investigates the suitability of these guidelines for global health [i.e. with a focus on low- and middle-income countries (LMICs)] and seeks to identify best practice. Our analysis builds on an overview of the academic literature on discounting in health evaluations, existing academic or government-related guidelines on discounting, a review on discount rates applied in economic evaluations in global health, and cross-country macroeconomic data. The social discount rate generally applied in global health of 3% annually is inconsistent with rates of economic growth experienced outside the most advanced economies. For low- and lower-middle-income countries, a discount rate of at least 5% is more appropriate, and one around 4% for upper-middle-income countries. Alternative approaches—e.g. motivated by the returns to alternative investments or by the cost of financing—could usefully be applied, dependent on policy context. The current practise could lead to systematic bias towards over-valuing the future costs and health benefits of interventions. For health economic evaluations in global health, guidelines on discounting need to be adapted to take account of the different economic contexts of LMICs.","container-title":"Health Policy and Planning","DOI":"10.1093/heapol/czz127","ISSN":"0268-1080, 1460-2237","language":"en","page":"czz127","source":"DOI.org (Crossref)","title":"On discount rates for economic evaluations in global health","author":[{"family":"Haacker","given":"Markus"},{"family":"Hallett","given":"Timothy B"},{"family":"Atun","given":"Rifat"}],"issued":{"date-parts":[["2019",10,18]]}}}],"schema":"https://github.com/citation-style-language/schema/raw/master/csl-citation.json"}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14</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vertAlign w:val="superscript"/>
        </w:rPr>
        <w:t xml:space="preserve"> </w:t>
      </w:r>
      <w:r w:rsidRPr="00B40337">
        <w:rPr>
          <w:rFonts w:ascii="Times New Roman" w:hAnsi="Times New Roman" w:cs="Times New Roman"/>
        </w:rPr>
        <w:t>based on growth rates, a discount rate of 9% is appropriate for India in global health analyses.</w:t>
      </w:r>
    </w:p>
    <w:p w14:paraId="1FA9A2BB" w14:textId="77777777" w:rsidR="001549CA" w:rsidRPr="00B40337" w:rsidRDefault="001549CA" w:rsidP="006720E0">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Our choice of time horizon (2023–2030) is aligned with the Sustainable Development Goals ‘deadline’ of 2030, though, of course, is somewhat arbitrary. We refrain from predicting beyond 2030 to avoid even larger uncertainties in fuel markets and other policies and political environments.</w:t>
      </w:r>
    </w:p>
    <w:p w14:paraId="49D4A94A" w14:textId="77777777" w:rsidR="001549CA" w:rsidRPr="00B40337" w:rsidRDefault="001549CA" w:rsidP="006720E0">
      <w:pPr>
        <w:spacing w:after="0" w:line="480" w:lineRule="auto"/>
        <w:ind w:left="0" w:right="172" w:firstLine="0"/>
        <w:jc w:val="left"/>
        <w:rPr>
          <w:rFonts w:ascii="Times New Roman" w:hAnsi="Times New Roman" w:cs="Times New Roman"/>
        </w:rPr>
      </w:pPr>
    </w:p>
    <w:p w14:paraId="7E6F5A8D" w14:textId="77777777" w:rsidR="001549CA" w:rsidRPr="00B40337" w:rsidRDefault="001549CA" w:rsidP="006720E0">
      <w:pPr>
        <w:pStyle w:val="Heading2"/>
      </w:pPr>
      <w:bookmarkStart w:id="9" w:name="_Toc161220516"/>
      <w:r w:rsidRPr="00B40337">
        <w:t>Mortality modeling</w:t>
      </w:r>
      <w:bookmarkEnd w:id="9"/>
    </w:p>
    <w:p w14:paraId="10F1D394" w14:textId="2BDEF69B" w:rsidR="001549CA" w:rsidRPr="00B40337" w:rsidRDefault="001549CA" w:rsidP="006720E0">
      <w:pPr>
        <w:spacing w:line="480" w:lineRule="auto"/>
        <w:ind w:left="0" w:firstLine="0"/>
        <w:jc w:val="left"/>
        <w:rPr>
          <w:rFonts w:ascii="Times New Roman" w:hAnsi="Times New Roman" w:cs="Times New Roman"/>
        </w:rPr>
      </w:pPr>
      <w:r w:rsidRPr="00B40337">
        <w:rPr>
          <w:rFonts w:ascii="Times New Roman" w:hAnsi="Times New Roman" w:cs="Times New Roman"/>
        </w:rPr>
        <w:t xml:space="preserve">To estimate mortality damages, we estimate the number of people at each 1 kg/year increment, which is directly mapped to personal PM2.5 exposure, as outlined above. For a given level of PM2.5 exposure, we use the GEMM to identify the mortality hazard ratio for that kg/year population group. Applying this hazard ratio to the national crude mortality rate, we then estimate excess mortality relative to ‘theoretical minimum’ 2.4 ug/m3. We then sum yearly </w:t>
      </w:r>
      <w:r w:rsidRPr="00B40337">
        <w:rPr>
          <w:rFonts w:ascii="Times New Roman" w:hAnsi="Times New Roman" w:cs="Times New Roman"/>
        </w:rPr>
        <w:lastRenderedPageBreak/>
        <w:t xml:space="preserve">excess mortality due to PM2.5 exposure within a year and estimate differences across scenarios within a year. We then apply VSLs (preferred, high, low), apply the social discount factor, and summarize across various model parameters: price, price sensitivities, and LPG consumption to PM2.5 exposure mapping.  </w:t>
      </w:r>
    </w:p>
    <w:p w14:paraId="2000AA2C" w14:textId="07A4A9F5" w:rsidR="00BD6DD8" w:rsidRPr="00B40337" w:rsidRDefault="00BD6DD8" w:rsidP="00284030">
      <w:pPr>
        <w:spacing w:after="0" w:line="240" w:lineRule="auto"/>
        <w:ind w:left="0" w:right="0" w:firstLine="0"/>
        <w:jc w:val="left"/>
        <w:rPr>
          <w:rFonts w:ascii="Times New Roman" w:hAnsi="Times New Roman" w:cs="Times New Roman"/>
          <w:b/>
          <w:bCs/>
          <w:sz w:val="34"/>
        </w:rPr>
      </w:pPr>
    </w:p>
    <w:p w14:paraId="205D3734" w14:textId="77777777" w:rsidR="00743DBB" w:rsidRPr="00B40337" w:rsidRDefault="00743DBB" w:rsidP="003B3519">
      <w:pPr>
        <w:pStyle w:val="Heading1"/>
        <w:rPr>
          <w:u w:val="none"/>
        </w:rPr>
      </w:pPr>
      <w:bookmarkStart w:id="10" w:name="_Toc161220517"/>
      <w:r w:rsidRPr="00B40337">
        <w:t>Kenya case study</w:t>
      </w:r>
      <w:bookmarkEnd w:id="10"/>
    </w:p>
    <w:p w14:paraId="4D75A167" w14:textId="1EB29523" w:rsidR="003D330D" w:rsidRPr="00B40337" w:rsidRDefault="00515F74" w:rsidP="003B3519">
      <w:pPr>
        <w:pStyle w:val="BodyText"/>
        <w:spacing w:line="480" w:lineRule="auto"/>
        <w:rPr>
          <w:rFonts w:ascii="Times New Roman" w:hAnsi="Times New Roman" w:cs="Times New Roman"/>
        </w:rPr>
      </w:pPr>
      <w:r w:rsidRPr="00B40337">
        <w:rPr>
          <w:rFonts w:ascii="Times New Roman" w:hAnsi="Times New Roman" w:cs="Times New Roman"/>
        </w:rPr>
        <w:t xml:space="preserve">Our approach to modeling health and climate benefits </w:t>
      </w:r>
      <w:r w:rsidR="005837BB">
        <w:rPr>
          <w:rFonts w:ascii="Times New Roman" w:hAnsi="Times New Roman" w:cs="Times New Roman"/>
        </w:rPr>
        <w:t>changes in VAT</w:t>
      </w:r>
      <w:r w:rsidRPr="00B40337">
        <w:rPr>
          <w:rFonts w:ascii="Times New Roman" w:hAnsi="Times New Roman" w:cs="Times New Roman"/>
        </w:rPr>
        <w:t xml:space="preserve"> mirrors that of the India analysis. </w:t>
      </w:r>
    </w:p>
    <w:p w14:paraId="436DECF0" w14:textId="7FE92D63" w:rsidR="00EF21E5" w:rsidRPr="00B40337" w:rsidRDefault="00EF21E5" w:rsidP="003B3519">
      <w:pPr>
        <w:pStyle w:val="Heading2"/>
      </w:pPr>
      <w:bookmarkStart w:id="11" w:name="_Toc161220518"/>
      <w:r w:rsidRPr="00B40337">
        <w:t>Data sources</w:t>
      </w:r>
      <w:bookmarkEnd w:id="11"/>
    </w:p>
    <w:p w14:paraId="4B82298E" w14:textId="7F0A2658" w:rsidR="003D330D" w:rsidRPr="00B40337" w:rsidRDefault="003D330D" w:rsidP="003B3519">
      <w:pPr>
        <w:spacing w:line="480" w:lineRule="auto"/>
        <w:ind w:left="0" w:firstLine="0"/>
        <w:jc w:val="left"/>
        <w:rPr>
          <w:rFonts w:ascii="Times New Roman" w:hAnsi="Times New Roman" w:cs="Times New Roman"/>
        </w:rPr>
      </w:pPr>
      <w:r w:rsidRPr="00B40337">
        <w:rPr>
          <w:rFonts w:ascii="Times New Roman" w:hAnsi="Times New Roman" w:cs="Times New Roman"/>
          <w:i/>
          <w:iCs/>
        </w:rPr>
        <w:t>LPG consumption</w:t>
      </w:r>
    </w:p>
    <w:p w14:paraId="58759AB4" w14:textId="661C7A2D" w:rsidR="002D154D" w:rsidRPr="00B40337" w:rsidRDefault="002D154D" w:rsidP="003B3519">
      <w:pPr>
        <w:spacing w:line="480" w:lineRule="auto"/>
        <w:ind w:left="0" w:firstLine="0"/>
        <w:jc w:val="left"/>
        <w:rPr>
          <w:rFonts w:ascii="Times New Roman" w:hAnsi="Times New Roman" w:cs="Times New Roman"/>
        </w:rPr>
      </w:pPr>
      <w:r w:rsidRPr="00B40337">
        <w:rPr>
          <w:rFonts w:ascii="Times New Roman" w:hAnsi="Times New Roman" w:cs="Times New Roman"/>
        </w:rPr>
        <w:t xml:space="preserve">Recent estimates of LPG ownership and use are derived using two data sources. First, the use of LPG as a primary cooking fuel comes from the Demographic Health Survey conducted in 2019, which is nationally-representative. One limitation of this survey is that we lack robust data on the use of secondary cooking fuels (either LPG or biomass). We complement these DHS data with data from </w:t>
      </w:r>
      <w:proofErr w:type="spellStart"/>
      <w:r w:rsidRPr="00B40337">
        <w:rPr>
          <w:rFonts w:ascii="Times New Roman" w:hAnsi="Times New Roman" w:cs="Times New Roman"/>
        </w:rPr>
        <w:t>Shupler</w:t>
      </w:r>
      <w:proofErr w:type="spellEnd"/>
      <w:r w:rsidRPr="00B40337">
        <w:rPr>
          <w:rFonts w:ascii="Times New Roman" w:hAnsi="Times New Roman" w:cs="Times New Roman"/>
        </w:rPr>
        <w:t xml:space="preserve"> et al. (2021)</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{"citationID":"qL6xuDYp","properties":{"formattedCitation":"({\\i{}15})","plainCitation":"(15)","noteIndex":0},"citationItems":[{"id":6403,"uris":["http://zotero.org/users/2607085/items/RBK9PQ7H"],"itemData":{"id":6403,"type":"article-journal","abstract":"Household transitions to cleaner cooking fuels (for example, liquefied petroleum gas (LPG)) have historically been studied from a demand perspective, with clean energy usage expected to increase with improvements in household socio-economic status. Although recent studies demonstrate the importance of supply-side determinants in increasing clean cooking, few large-scale studies have assessed their importance quantitatively, relative to demand-related factors. Here, as part of the CLEAN-Air(Africa) study, we examine a population-based survey (n = 5,638) of cooking practices in peri-urban communities within Cameroon, Kenya and Ghana. Multilevel logistic and log-linear regression assessed the demand and supply-side determinants of LPG usage (primary versus secondary fuel) and consumption (kilograms per capita per year), respectively. Supply-side factors (for example, cylinder refill and transportation costs) and the use of single versus multiburner stoves were better predictors than household socio-economic status for both the probability of primarily cooking with LPG and the annual LPG consumption. These results highlight the need for policies that promote LPG supply and stove equipment to meet household needs.","container-title":"Nature Energy","DOI":"10.1038/s41560-021-00933-3","ISSN":"2058-7546","issue":"12","journalAbbreviation":"Nat Energy","language":"en","license":"2021 The Author(s)","note":"number: 12\npublisher: Nature Publishing Group","page":"1198-1210","source":"www.nature.com","title":"Modelling of supply and demand-side determinants of liquefied petroleum gas consumption in peri-urban Cameroon, Ghana and Kenya","volume":"6","author":[{"family":"Shupler","given":"Matthew"},{"family":"Mangeni","given":"Judith"},{"family":"Tawiah","given":"Theresa"},{"family":"Sang","given":"Edna"},{"family":"Baame","given":"Miranda"},{"family":"Anderson de Cuevas","given":"Rachel"},{"family":"Nix","given":"Emily"},{"family":"Betang","given":"Emmanuel"},{"family":"Saah","given":"Jason"},{"family":"Twumasi","given":"Mieks"},{"family":"Amenga-Etego","given":"Seeba"},{"family":"Quansah","given":"Reginald"},{"family":"Puzzolo","given":"Elisa"},{"family":"Mbatchou","given":"Bertrand"},{"family":"Asante","given":"Kwaku Poku"},{"family":"Menya","given":"Diana"},{"family":"Pope","given":"Daniel"}],"issued":{"date-parts":[["2021",12]]}}}],"schema":"https://github.com/citation-style-language/schema/raw/master/csl-citation.json"}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15</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xml:space="preserve"> who conducted 1840 household energy use surveys in Eldoret, Kenya. More specifically, we use data from 757 </w:t>
      </w:r>
      <w:proofErr w:type="gramStart"/>
      <w:r w:rsidRPr="00B40337">
        <w:rPr>
          <w:rFonts w:ascii="Times New Roman" w:hAnsi="Times New Roman" w:cs="Times New Roman"/>
        </w:rPr>
        <w:t>randomly-sampled</w:t>
      </w:r>
      <w:proofErr w:type="gramEnd"/>
      <w:r w:rsidRPr="00B40337">
        <w:rPr>
          <w:rFonts w:ascii="Times New Roman" w:hAnsi="Times New Roman" w:cs="Times New Roman"/>
        </w:rPr>
        <w:t xml:space="preserve"> households in Eldoret. These data indicate that among LPG users, 4% of households are exclusive LPG users, 37% are primary LPG / secondary biomass, and 59% are primary biomass / secondary LPG. In total, we estimate that 31.2% of households in Kenya use LPG in some capacity. </w:t>
      </w:r>
    </w:p>
    <w:p w14:paraId="32BCCEF9" w14:textId="77777777" w:rsidR="002D154D" w:rsidRPr="00B40337" w:rsidRDefault="002D154D" w:rsidP="003B3519">
      <w:pPr>
        <w:spacing w:line="480" w:lineRule="auto"/>
        <w:ind w:left="0" w:firstLine="720"/>
        <w:jc w:val="left"/>
        <w:rPr>
          <w:rFonts w:ascii="Times New Roman" w:hAnsi="Times New Roman" w:cs="Times New Roman"/>
        </w:rPr>
      </w:pPr>
      <w:proofErr w:type="spellStart"/>
      <w:r w:rsidRPr="00B40337">
        <w:rPr>
          <w:rFonts w:ascii="Times New Roman" w:hAnsi="Times New Roman" w:cs="Times New Roman"/>
        </w:rPr>
        <w:t>Shupler</w:t>
      </w:r>
      <w:proofErr w:type="spellEnd"/>
      <w:r w:rsidRPr="00B40337">
        <w:rPr>
          <w:rFonts w:ascii="Times New Roman" w:hAnsi="Times New Roman" w:cs="Times New Roman"/>
        </w:rPr>
        <w:t xml:space="preserve"> et al. (2021) also report kilograms of LPG consumed per capita per year across the different LPG use types. We simulate normal distributions of LPG kg/capita/year across the different household samples to generate hypothetical populations to recover the ‘raw’ data from </w:t>
      </w:r>
      <w:r w:rsidRPr="00B40337">
        <w:rPr>
          <w:rFonts w:ascii="Times New Roman" w:hAnsi="Times New Roman" w:cs="Times New Roman"/>
        </w:rPr>
        <w:lastRenderedPageBreak/>
        <w:t xml:space="preserve">this study. By combining these distributions with data on the number of households in Kenya, we can recover distributions of LPG consumption (kg/capita/year) for all Kenyan households. </w:t>
      </w:r>
    </w:p>
    <w:p w14:paraId="55D57B8B" w14:textId="77777777" w:rsidR="003D330D" w:rsidRPr="00B40337" w:rsidRDefault="003D330D" w:rsidP="003B3519">
      <w:pPr>
        <w:spacing w:line="480" w:lineRule="auto"/>
        <w:ind w:left="0" w:firstLine="0"/>
        <w:jc w:val="left"/>
        <w:rPr>
          <w:rFonts w:ascii="Times New Roman" w:hAnsi="Times New Roman" w:cs="Times New Roman"/>
        </w:rPr>
      </w:pPr>
    </w:p>
    <w:p w14:paraId="46538E61" w14:textId="77777777" w:rsidR="003D330D" w:rsidRPr="00B40337" w:rsidRDefault="003D330D" w:rsidP="003B3519">
      <w:pPr>
        <w:spacing w:line="480" w:lineRule="auto"/>
        <w:ind w:left="0" w:firstLine="0"/>
        <w:jc w:val="left"/>
        <w:rPr>
          <w:rFonts w:ascii="Times New Roman" w:hAnsi="Times New Roman" w:cs="Times New Roman"/>
          <w:i/>
          <w:iCs/>
        </w:rPr>
      </w:pPr>
      <w:r w:rsidRPr="00B40337">
        <w:rPr>
          <w:rFonts w:ascii="Times New Roman" w:hAnsi="Times New Roman" w:cs="Times New Roman"/>
          <w:i/>
          <w:iCs/>
        </w:rPr>
        <w:t>LPG prices</w:t>
      </w:r>
    </w:p>
    <w:p w14:paraId="0E89EE11" w14:textId="7B83C24A" w:rsidR="003D330D" w:rsidRPr="00B40337" w:rsidRDefault="00E52F77" w:rsidP="003B3519">
      <w:pPr>
        <w:spacing w:after="0" w:line="480" w:lineRule="auto"/>
        <w:ind w:left="-5" w:right="172"/>
        <w:jc w:val="left"/>
        <w:rPr>
          <w:rFonts w:ascii="Times New Roman" w:hAnsi="Times New Roman" w:cs="Times New Roman"/>
        </w:rPr>
      </w:pPr>
      <w:r w:rsidRPr="00B40337">
        <w:rPr>
          <w:rFonts w:ascii="Times New Roman" w:hAnsi="Times New Roman" w:cs="Times New Roman"/>
        </w:rPr>
        <w:t>We model three central scenarios: no VAT, VAT of 8%, and VAT of 16%</w:t>
      </w:r>
      <w:r w:rsidR="008E4D99" w:rsidRPr="00B40337">
        <w:rPr>
          <w:rFonts w:ascii="Times New Roman" w:hAnsi="Times New Roman" w:cs="Times New Roman"/>
        </w:rPr>
        <w:t xml:space="preserve"> (reference)</w:t>
      </w:r>
      <w:r w:rsidRPr="00B40337">
        <w:rPr>
          <w:rFonts w:ascii="Times New Roman" w:hAnsi="Times New Roman" w:cs="Times New Roman"/>
        </w:rPr>
        <w:t xml:space="preserve">. </w:t>
      </w:r>
      <w:r w:rsidR="008E4D99" w:rsidRPr="00B40337">
        <w:rPr>
          <w:rFonts w:ascii="Times New Roman" w:hAnsi="Times New Roman" w:cs="Times New Roman"/>
        </w:rPr>
        <w:t>We estimate percent change based on the removal (or</w:t>
      </w:r>
      <w:r w:rsidR="00A46B34" w:rsidRPr="00B40337">
        <w:rPr>
          <w:rFonts w:ascii="Times New Roman" w:hAnsi="Times New Roman" w:cs="Times New Roman"/>
        </w:rPr>
        <w:t xml:space="preserve"> reduction) of the VAT relative to current prices. </w:t>
      </w:r>
      <w:r w:rsidR="00084E82" w:rsidRPr="00B40337">
        <w:rPr>
          <w:rFonts w:ascii="Times New Roman" w:hAnsi="Times New Roman" w:cs="Times New Roman"/>
        </w:rPr>
        <w:t>Based on a reference price of $1.73/kg, which internalizes the 16% VAT, the price reduction in percentage terms would be 14%</w:t>
      </w:r>
      <w:r w:rsidR="00B5355A" w:rsidRPr="00B40337">
        <w:rPr>
          <w:rFonts w:ascii="Times New Roman" w:hAnsi="Times New Roman" w:cs="Times New Roman"/>
        </w:rPr>
        <w:t>. For the 8% VAT scenario, the price reduction is 7%. This</w:t>
      </w:r>
      <w:r w:rsidR="00092AA7" w:rsidRPr="00B40337">
        <w:rPr>
          <w:rFonts w:ascii="Times New Roman" w:hAnsi="Times New Roman" w:cs="Times New Roman"/>
        </w:rPr>
        <w:t xml:space="preserve"> agrees with observational evidence from </w:t>
      </w:r>
      <w:proofErr w:type="spellStart"/>
      <w:r w:rsidR="00092AA7" w:rsidRPr="00B40337">
        <w:rPr>
          <w:rFonts w:ascii="Times New Roman" w:hAnsi="Times New Roman" w:cs="Times New Roman"/>
        </w:rPr>
        <w:t>Shupler</w:t>
      </w:r>
      <w:proofErr w:type="spellEnd"/>
      <w:r w:rsidR="00092AA7" w:rsidRPr="00B40337">
        <w:rPr>
          <w:rFonts w:ascii="Times New Roman" w:hAnsi="Times New Roman" w:cs="Times New Roman"/>
        </w:rPr>
        <w:t xml:space="preserve"> et al. (2023)</w:t>
      </w:r>
      <w:r w:rsidR="00F255CF" w:rsidRPr="00B40337">
        <w:rPr>
          <w:rFonts w:ascii="Times New Roman" w:hAnsi="Times New Roman" w:cs="Times New Roman"/>
        </w:rPr>
        <w:t xml:space="preserve"> </w:t>
      </w:r>
      <w:r w:rsidR="00F255CF"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{"citationID":"lMHjrRVm","properties":{"formattedCitation":"({\\i{}16})","plainCitation":"(16)","noteIndex":0},"citationItems":[{"id":10975,"uris":["http://zotero.org/users/2607085/items/RAJE3FKW"],"itemData":{"id":10975,"type":"report","abstract":"ABSTRACT\n          \n            Energy market turmoil due to the Russian-Ukrainian war increased global fuel/food prices. While risks to energy and food security have been suggested, little research has documented impacts for the most vulnerable. During September-October 2022, surveys were administered to 701 households using pay-as-you-go liquefied petroleum gas (PAYG LPG) for clean cooking in an informal settlement in Nairobi, Kenya. Paired t-tests compared PAYG LPG consumption/payment behaviors before (July-October 2021) and during a &gt;15% inflationary food price period (July-October 2022). Three-quarters (74%; %; n=520) of all households and 94% of food insecure households (n=393; 54% of sample) changed their dietary behavior (changed foods cooked, skipped more meals, and/or reduced PAYG LPG consumption) in 2022. Between July-October 2021 and 2022, PAYG LPG prices increased by 16% (214 Kenyan Shilling (KSh)/kg ($1.53USD/kg) to 249 KSh/kg ($1.78USD/kg) and households reduced their monthly PAYG LPG expenditure by 79% (856 KSh ($6.07USD) to 184 KSh ($1.31USD)). Although 97% of participants continued using PAYG LPG in July-October 2022, average consumption declined by two-thirds (0.82 to 0.27 kg/capita/month; difference\n            (paired-t)\n            :-0.28 95%CI:[-0.36,-0.21]). Higher food and LPG prices in 2022 led to substantial declines in food security and LPG consumption in an informal urban settlement, highlighting increased obstacles to achieving the Sustainable Development Goals.\n          \n          \n            Highlights\n            \n              \n                67% reduction (0.82 to 0.27 kg/capita/month) in mean PAYG LPG use between 2021 and 2022\n              \n              \n                97% of homes continued using LPG but monthly fuel expenditure decreased 79% between 2021- 2022\n              \n              \n                56% of households were food insecure\n              \n              \n                94% of food insecure homes changed foods cooked, skipped meals or reduced LPG use in 2022\n              \n              \n                One of first studies linking rising food prices with declines in clean energy consumption\n              \n            \n            \n              Synopsis\n              Using smart meter data, this study illustrates that LPG consumption for cooking dropped by two-thirds and food insecurity increased in an informal urban settlement due to higher food costs in 2022.","genre":"preprint","language":"en","note":"DOI: 10.1101/2023.07.09.23292423","publisher":"Epidemiology","source":"DOI.org (Crossref)","title":"Declining use of clean cooking fuels &amp; food security in 2022: Downstream impact of the Russian-Ukrainian war in a Kenyan informal urban settlement","title-short":"Declining use of clean cooking fuels &amp; food security in 2022","URL":"http://medrxiv.org/lookup/doi/10.1101/2023.07.09.23292423","author":[{"family":"Shupler","given":"Matthew"},{"family":"Mwitari","given":"James"},{"family":"O’Keefe","given":"Mark"},{"family":"Lorenzetti","given":"Federico"},{"family":"Nabukwangwa","given":"Willah"},{"family":"Gohole","given":"Arthur"},{"family":"Perros","given":"Tash"},{"family":"Nix","given":"Emily"},{"family":"Puzzolo","given":"Elisa"},{"family":"Pope","given":"Daniel"},{"family":"Osiolo","given":"Helen Hoka"}],"accessed":{"date-parts":[["2023",10,16]]},"issued":{"date-parts":[["2023",7,12]]}}}],"schema":"https://github.com/citation-style-language/schema/raw/master/csl-citation.json"} </w:instrText>
      </w:r>
      <w:r w:rsidR="00F255CF"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16</w:t>
      </w:r>
      <w:r w:rsidR="00D76C23" w:rsidRPr="00B40337">
        <w:rPr>
          <w:rFonts w:ascii="Times New Roman" w:hAnsi="Times New Roman" w:cs="Times New Roman"/>
          <w:kern w:val="0"/>
        </w:rPr>
        <w:t>)</w:t>
      </w:r>
      <w:r w:rsidR="00F255CF" w:rsidRPr="00B40337">
        <w:rPr>
          <w:rFonts w:ascii="Times New Roman" w:hAnsi="Times New Roman" w:cs="Times New Roman"/>
        </w:rPr>
        <w:fldChar w:fldCharType="end"/>
      </w:r>
      <w:r w:rsidR="0047787E" w:rsidRPr="00B40337">
        <w:rPr>
          <w:rFonts w:ascii="Times New Roman" w:hAnsi="Times New Roman" w:cs="Times New Roman"/>
        </w:rPr>
        <w:t>.</w:t>
      </w:r>
    </w:p>
    <w:p w14:paraId="5C7EB8F2" w14:textId="77777777" w:rsidR="003D330D" w:rsidRPr="00B40337" w:rsidRDefault="003D330D" w:rsidP="003B3519">
      <w:pPr>
        <w:spacing w:after="0" w:line="480" w:lineRule="auto"/>
        <w:ind w:left="0" w:right="172" w:firstLine="0"/>
        <w:jc w:val="left"/>
        <w:rPr>
          <w:rFonts w:ascii="Times New Roman" w:hAnsi="Times New Roman" w:cs="Times New Roman"/>
        </w:rPr>
      </w:pPr>
    </w:p>
    <w:p w14:paraId="63D0A7FC" w14:textId="77777777" w:rsidR="009F3F65" w:rsidRPr="00B40337" w:rsidRDefault="009F3F65" w:rsidP="003B3519">
      <w:pPr>
        <w:spacing w:line="480" w:lineRule="auto"/>
        <w:ind w:left="0" w:firstLine="0"/>
        <w:jc w:val="left"/>
        <w:rPr>
          <w:rFonts w:ascii="Times New Roman" w:hAnsi="Times New Roman" w:cs="Times New Roman"/>
          <w:i/>
          <w:iCs/>
        </w:rPr>
      </w:pPr>
      <w:r w:rsidRPr="00B40337">
        <w:rPr>
          <w:rFonts w:ascii="Times New Roman" w:hAnsi="Times New Roman" w:cs="Times New Roman"/>
          <w:i/>
          <w:iCs/>
        </w:rPr>
        <w:t>LPG price elasticity</w:t>
      </w:r>
    </w:p>
    <w:p w14:paraId="56C95652" w14:textId="4A3BE131" w:rsidR="009F3F65" w:rsidRPr="00B40337" w:rsidRDefault="009F3F65" w:rsidP="003B3519">
      <w:pPr>
        <w:spacing w:after="0" w:line="480" w:lineRule="auto"/>
        <w:ind w:left="0" w:right="172" w:firstLine="0"/>
        <w:jc w:val="left"/>
        <w:rPr>
          <w:rFonts w:ascii="Times New Roman" w:hAnsi="Times New Roman" w:cs="Times New Roman"/>
        </w:rPr>
      </w:pPr>
      <w:r w:rsidRPr="00B40337">
        <w:rPr>
          <w:rFonts w:ascii="Times New Roman" w:hAnsi="Times New Roman" w:cs="Times New Roman"/>
        </w:rPr>
        <w:t xml:space="preserve">To estimate the extent to which LPG consumption declines with increases in refill prices, we draw on recent work by </w:t>
      </w:r>
      <w:proofErr w:type="spellStart"/>
      <w:r w:rsidRPr="00B40337">
        <w:rPr>
          <w:rFonts w:ascii="Times New Roman" w:hAnsi="Times New Roman" w:cs="Times New Roman"/>
        </w:rPr>
        <w:t>Shupler</w:t>
      </w:r>
      <w:proofErr w:type="spellEnd"/>
      <w:r w:rsidRPr="00B40337">
        <w:rPr>
          <w:rFonts w:ascii="Times New Roman" w:hAnsi="Times New Roman" w:cs="Times New Roman"/>
        </w:rPr>
        <w:t xml:space="preserve"> et al. (2023), who observed LPG consumption records among a subset of households that use pay-as-you go technologies. Using real-time data on LPG prices and consumption before and after the VAT was re-established, they estimate a change in LPG consumption with a change in price. Specifically, </w:t>
      </w:r>
      <w:proofErr w:type="spellStart"/>
      <w:r w:rsidRPr="00B40337">
        <w:rPr>
          <w:rFonts w:ascii="Times New Roman" w:hAnsi="Times New Roman" w:cs="Times New Roman"/>
        </w:rPr>
        <w:t>Shupler</w:t>
      </w:r>
      <w:proofErr w:type="spellEnd"/>
      <w:r w:rsidRPr="00B40337">
        <w:rPr>
          <w:rFonts w:ascii="Times New Roman" w:hAnsi="Times New Roman" w:cs="Times New Roman"/>
        </w:rPr>
        <w:t xml:space="preserve"> et al. (2023) report</w:t>
      </w:r>
      <w:r w:rsidR="00D955A1">
        <w:rPr>
          <w:rStyle w:val="FootnoteReference"/>
          <w:rFonts w:ascii="Times New Roman" w:hAnsi="Times New Roman" w:cs="Times New Roman"/>
        </w:rPr>
        <w:footnoteReference w:id="2"/>
      </w:r>
      <w:r w:rsidRPr="00B40337">
        <w:rPr>
          <w:rFonts w:ascii="Times New Roman" w:hAnsi="Times New Roman" w:cs="Times New Roman"/>
        </w:rPr>
        <w:t xml:space="preserve"> that LPG prices increased by 34 Kenyan Shillings (</w:t>
      </w:r>
      <w:proofErr w:type="spellStart"/>
      <w:r w:rsidRPr="00B40337">
        <w:rPr>
          <w:rFonts w:ascii="Times New Roman" w:hAnsi="Times New Roman" w:cs="Times New Roman"/>
        </w:rPr>
        <w:t>KSh</w:t>
      </w:r>
      <w:proofErr w:type="spellEnd"/>
      <w:r w:rsidRPr="00B40337">
        <w:rPr>
          <w:rFonts w:ascii="Times New Roman" w:hAnsi="Times New Roman" w:cs="Times New Roman"/>
        </w:rPr>
        <w:t xml:space="preserve">) from </w:t>
      </w:r>
      <w:r w:rsidR="00A14DF8">
        <w:rPr>
          <w:rFonts w:ascii="Times New Roman" w:hAnsi="Times New Roman" w:cs="Times New Roman"/>
        </w:rPr>
        <w:t>214</w:t>
      </w:r>
      <w:r w:rsidRPr="00B40337">
        <w:rPr>
          <w:rFonts w:ascii="Times New Roman" w:hAnsi="Times New Roman" w:cs="Times New Roman"/>
        </w:rPr>
        <w:t xml:space="preserve"> to </w:t>
      </w:r>
      <w:r w:rsidR="00A14DF8">
        <w:rPr>
          <w:rFonts w:ascii="Times New Roman" w:hAnsi="Times New Roman" w:cs="Times New Roman"/>
        </w:rPr>
        <w:t>249</w:t>
      </w:r>
      <w:r w:rsidRPr="00B40337">
        <w:rPr>
          <w:rFonts w:ascii="Times New Roman" w:hAnsi="Times New Roman" w:cs="Times New Roman"/>
        </w:rPr>
        <w:t xml:space="preserve"> </w:t>
      </w:r>
      <w:proofErr w:type="spellStart"/>
      <w:r w:rsidRPr="00B40337">
        <w:rPr>
          <w:rFonts w:ascii="Times New Roman" w:hAnsi="Times New Roman" w:cs="Times New Roman"/>
        </w:rPr>
        <w:t>KSh</w:t>
      </w:r>
      <w:proofErr w:type="spellEnd"/>
      <w:r w:rsidR="00997C34">
        <w:rPr>
          <w:rFonts w:ascii="Times New Roman" w:hAnsi="Times New Roman" w:cs="Times New Roman"/>
        </w:rPr>
        <w:t xml:space="preserve"> per kilogram</w:t>
      </w:r>
      <w:r w:rsidRPr="00B40337">
        <w:rPr>
          <w:rFonts w:ascii="Times New Roman" w:hAnsi="Times New Roman" w:cs="Times New Roman"/>
        </w:rPr>
        <w:t>, which was accompanied by a decline in LPG consumption of 0.</w:t>
      </w:r>
      <w:r w:rsidR="00C33F63">
        <w:rPr>
          <w:rFonts w:ascii="Times New Roman" w:hAnsi="Times New Roman" w:cs="Times New Roman"/>
        </w:rPr>
        <w:t>55</w:t>
      </w:r>
      <w:r w:rsidRPr="00B40337">
        <w:rPr>
          <w:rFonts w:ascii="Times New Roman" w:hAnsi="Times New Roman" w:cs="Times New Roman"/>
        </w:rPr>
        <w:t xml:space="preserve"> kg/capita/month (from 0.</w:t>
      </w:r>
      <w:r w:rsidR="002B1D73">
        <w:rPr>
          <w:rFonts w:ascii="Times New Roman" w:hAnsi="Times New Roman" w:cs="Times New Roman"/>
        </w:rPr>
        <w:t>82</w:t>
      </w:r>
      <w:r w:rsidRPr="00B40337">
        <w:rPr>
          <w:rFonts w:ascii="Times New Roman" w:hAnsi="Times New Roman" w:cs="Times New Roman"/>
        </w:rPr>
        <w:t xml:space="preserve"> kg/capita/month). We thus estimate that a price increase of 1</w:t>
      </w:r>
      <w:r w:rsidR="00957486">
        <w:rPr>
          <w:rFonts w:ascii="Times New Roman" w:hAnsi="Times New Roman" w:cs="Times New Roman"/>
        </w:rPr>
        <w:t>6</w:t>
      </w:r>
      <w:r w:rsidRPr="00B40337">
        <w:rPr>
          <w:rFonts w:ascii="Times New Roman" w:hAnsi="Times New Roman" w:cs="Times New Roman"/>
        </w:rPr>
        <w:t xml:space="preserve">% resulted in an LPG consumption decline of </w:t>
      </w:r>
      <w:r w:rsidR="00957486">
        <w:rPr>
          <w:rFonts w:ascii="Times New Roman" w:hAnsi="Times New Roman" w:cs="Times New Roman"/>
        </w:rPr>
        <w:t>67</w:t>
      </w:r>
      <w:r w:rsidRPr="00B40337">
        <w:rPr>
          <w:rFonts w:ascii="Times New Roman" w:hAnsi="Times New Roman" w:cs="Times New Roman"/>
        </w:rPr>
        <w:t xml:space="preserve">%. Using these percent changes, we recover a price elasticity of </w:t>
      </w:r>
      <w:r w:rsidR="0027566D">
        <w:rPr>
          <w:rFonts w:ascii="Times New Roman" w:hAnsi="Times New Roman" w:cs="Times New Roman"/>
        </w:rPr>
        <w:t>4.1</w:t>
      </w:r>
      <w:r w:rsidRPr="00B40337">
        <w:rPr>
          <w:rFonts w:ascii="Times New Roman" w:hAnsi="Times New Roman" w:cs="Times New Roman"/>
        </w:rPr>
        <w:t xml:space="preserve">. Elsewhere, </w:t>
      </w:r>
      <w:proofErr w:type="spellStart"/>
      <w:r w:rsidRPr="00B40337">
        <w:rPr>
          <w:rFonts w:ascii="Times New Roman" w:hAnsi="Times New Roman" w:cs="Times New Roman"/>
        </w:rPr>
        <w:t>Shupler</w:t>
      </w:r>
      <w:proofErr w:type="spellEnd"/>
      <w:r w:rsidRPr="00B40337">
        <w:rPr>
          <w:rFonts w:ascii="Times New Roman" w:hAnsi="Times New Roman" w:cs="Times New Roman"/>
        </w:rPr>
        <w:t xml:space="preserve"> and colleagues report that wealthier households (and higher consuming </w:t>
      </w:r>
      <w:r w:rsidRPr="00B40337">
        <w:rPr>
          <w:rFonts w:ascii="Times New Roman" w:hAnsi="Times New Roman" w:cs="Times New Roman"/>
        </w:rPr>
        <w:lastRenderedPageBreak/>
        <w:t xml:space="preserve">households) were less likely to alter LPG consumption as a result of the VAT changes </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{"citationID":"fuEbhnzp","properties":{"formattedCitation":"({\\i{}17})","plainCitation":"(17)","noteIndex":0},"citationItems":[{"id":131,"uris":["http://zotero.org/users/2607085/items/KCFM4LT8"],"itemData":{"id":131,"type":"article-journal","abstract":"Approximately 2.8 billion people rely on polluting fuels (e.g. wood, kerosene) for cooking. With affordability being a key access barrier to clean cooking fuels, such as liquefied petroleum gas (LPG), pay-as-you-go (PAYG) LPG smart meter technology may help resource-poor households adopt LPG by allowing incremental fuel payments. To understand the potential for PAYG LPG to facilitate clean cooking, objective evaluations of customers’ cooking and spending patterns are needed. This study uses novel smart meter data collected between January 2018-June 2020, spanning COVID-19 lockdown, from 426 PAYG LPG customers living in an informal settlement in Nairobi, Kenya to evaluate stove usage (e.g. cooking events/day, cooking event length). Seven semi-structured interviews were conducted in August 2020 to provide context for potential changes in cooking behaviours during lockdown. Using stove monitoring data, objective comparisons of cooking patterns are made with households using purchased 6 kg cylinder LPG in peri-urban Eldoret, Kenya. In Nairobi, 95% of study households continued using PAYG LPG during COVID-19 lockdown, with consumption increasing from 0.97 to 1.22 kg/capita/month. Daily cooking event frequency also increased by 60% (1.07 to 1.72 events/day). In contrast, average days/month using LPG declined by 75% during lockdown (17 to four days) among seven households purchasing 6 kg cylinder LPG in Eldoret. Interviewed customers reported benefits of PAYG LPG beyond fuel affordability, including safety, time savings and cylinder delivery. In the first study assessing PAYG LPG cooking patterns, LPG use was sustained despite a COVID-19 lockdown, illustrating how PAYG smart meter technology may help foster clean cooking access.","container-title":"Applied Energy","DOI":"10.1016/j.apenergy.2021.116769","ISSN":"0306-2619","journalAbbreviation":"Applied Energy","language":"en","page":"116769","source":"ScienceDirect","title":"Pay-as-you-go liquefied petroleum gas supports sustainable clean cooking in Kenyan informal urban settlement during COVID-19 lockdown","volume":"292","author":[{"family":"Shupler","given":"Matthew"},{"family":"O'Keefe","given":"Mark"},{"family":"Puzzolo","given":"Elisa"},{"family":"Nix","given":"Emily"},{"family":"Anderson de Cuevas","given":"Rachel"},{"family":"Mwitari","given":"James"},{"family":"Gohole","given":"Arthur"},{"family":"Sang","given":"Edna"},{"family":"Čukić","given":"Iva"},{"family":"Menya","given":"Diana"},{"family":"Pope","given":"Daniel"}],"issued":{"date-parts":[["2021",6,15]]}}}],"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17</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We model price elasticity differently across consumption groups, where those that are highest consumers have the lowest elasticity and vice-versa. We again draw randomly from a distribution in each bootstrap run. R code is as follows:</w:t>
      </w:r>
    </w:p>
    <w:p w14:paraId="05017796" w14:textId="77777777" w:rsidR="009F3F65" w:rsidRPr="00B40337" w:rsidRDefault="009F3F65" w:rsidP="003B3519">
      <w:pPr>
        <w:spacing w:after="0" w:line="480" w:lineRule="auto"/>
        <w:ind w:left="0" w:right="172" w:firstLine="0"/>
        <w:jc w:val="left"/>
        <w:rPr>
          <w:rFonts w:ascii="Times New Roman" w:hAnsi="Times New Roman" w:cs="Times New Roman"/>
        </w:rPr>
      </w:pPr>
    </w:p>
    <w:p w14:paraId="24556945" w14:textId="2F05C4E3" w:rsidR="009F3F65" w:rsidRPr="00A319C8" w:rsidRDefault="009F3F65" w:rsidP="003B3519">
      <w:pPr>
        <w:spacing w:after="0" w:line="480" w:lineRule="auto"/>
        <w:ind w:left="0" w:right="172" w:firstLine="0"/>
        <w:jc w:val="left"/>
        <w:rPr>
          <w:rFonts w:ascii="Courier New" w:hAnsi="Courier New" w:cs="Courier New"/>
          <w:sz w:val="20"/>
          <w:szCs w:val="20"/>
        </w:rPr>
      </w:pPr>
      <w:r w:rsidRPr="00A319C8">
        <w:rPr>
          <w:rFonts w:ascii="Courier New" w:hAnsi="Courier New" w:cs="Courier New"/>
          <w:sz w:val="20"/>
          <w:szCs w:val="20"/>
        </w:rPr>
        <w:t xml:space="preserve">elastic3 = </w:t>
      </w:r>
      <w:r w:rsidR="002041CE" w:rsidRPr="002041CE">
        <w:rPr>
          <w:rFonts w:ascii="Courier New" w:hAnsi="Courier New" w:cs="Courier New"/>
          <w:sz w:val="20"/>
          <w:szCs w:val="20"/>
        </w:rPr>
        <w:t>4.101045</w:t>
      </w:r>
      <w:r w:rsidRPr="00A319C8">
        <w:rPr>
          <w:rFonts w:ascii="Courier New" w:hAnsi="Courier New" w:cs="Courier New"/>
          <w:sz w:val="20"/>
          <w:szCs w:val="20"/>
        </w:rPr>
        <w:t>/10 # &gt;30 kg/capita/</w:t>
      </w:r>
      <w:proofErr w:type="spellStart"/>
      <w:r w:rsidRPr="00A319C8">
        <w:rPr>
          <w:rFonts w:ascii="Courier New" w:hAnsi="Courier New" w:cs="Courier New"/>
          <w:sz w:val="20"/>
          <w:szCs w:val="20"/>
        </w:rPr>
        <w:t>yr</w:t>
      </w:r>
      <w:proofErr w:type="spellEnd"/>
    </w:p>
    <w:p w14:paraId="7BB4433F" w14:textId="5558140B" w:rsidR="009F3F65" w:rsidRPr="00A319C8" w:rsidRDefault="009F3F65" w:rsidP="003B3519">
      <w:pPr>
        <w:spacing w:after="0" w:line="480" w:lineRule="auto"/>
        <w:ind w:left="0" w:right="172" w:firstLine="0"/>
        <w:jc w:val="left"/>
        <w:rPr>
          <w:rFonts w:ascii="Courier New" w:hAnsi="Courier New" w:cs="Courier New"/>
          <w:sz w:val="20"/>
          <w:szCs w:val="20"/>
        </w:rPr>
      </w:pPr>
      <w:r w:rsidRPr="00A319C8">
        <w:rPr>
          <w:rFonts w:ascii="Courier New" w:hAnsi="Courier New" w:cs="Courier New"/>
          <w:sz w:val="20"/>
          <w:szCs w:val="20"/>
        </w:rPr>
        <w:t xml:space="preserve">elastic2 = </w:t>
      </w:r>
      <w:r w:rsidR="002041CE" w:rsidRPr="002041CE">
        <w:rPr>
          <w:rFonts w:ascii="Courier New" w:hAnsi="Courier New" w:cs="Courier New"/>
          <w:sz w:val="20"/>
          <w:szCs w:val="20"/>
        </w:rPr>
        <w:t>4.101045</w:t>
      </w:r>
      <w:r w:rsidRPr="00A319C8">
        <w:rPr>
          <w:rFonts w:ascii="Courier New" w:hAnsi="Courier New" w:cs="Courier New"/>
          <w:sz w:val="20"/>
          <w:szCs w:val="20"/>
        </w:rPr>
        <w:t># 15-30 kg/capita/</w:t>
      </w:r>
      <w:proofErr w:type="spellStart"/>
      <w:r w:rsidRPr="00A319C8">
        <w:rPr>
          <w:rFonts w:ascii="Courier New" w:hAnsi="Courier New" w:cs="Courier New"/>
          <w:sz w:val="20"/>
          <w:szCs w:val="20"/>
        </w:rPr>
        <w:t>yr</w:t>
      </w:r>
      <w:proofErr w:type="spellEnd"/>
    </w:p>
    <w:p w14:paraId="4D84B728" w14:textId="24185A97" w:rsidR="009F3F65" w:rsidRPr="00A319C8" w:rsidRDefault="009F3F65" w:rsidP="003B3519">
      <w:pPr>
        <w:spacing w:after="0" w:line="480" w:lineRule="auto"/>
        <w:ind w:left="0" w:right="172" w:firstLine="0"/>
        <w:jc w:val="left"/>
        <w:rPr>
          <w:rFonts w:ascii="Courier New" w:hAnsi="Courier New" w:cs="Courier New"/>
          <w:sz w:val="20"/>
          <w:szCs w:val="20"/>
        </w:rPr>
      </w:pPr>
      <w:r w:rsidRPr="00A319C8">
        <w:rPr>
          <w:rFonts w:ascii="Courier New" w:hAnsi="Courier New" w:cs="Courier New"/>
          <w:sz w:val="20"/>
          <w:szCs w:val="20"/>
        </w:rPr>
        <w:t xml:space="preserve">elastic1 = </w:t>
      </w:r>
      <w:r w:rsidR="002041CE" w:rsidRPr="002041CE">
        <w:rPr>
          <w:rFonts w:ascii="Courier New" w:hAnsi="Courier New" w:cs="Courier New"/>
          <w:sz w:val="20"/>
          <w:szCs w:val="20"/>
        </w:rPr>
        <w:t>4.101045</w:t>
      </w:r>
      <w:r w:rsidRPr="00A319C8">
        <w:rPr>
          <w:rFonts w:ascii="Courier New" w:hAnsi="Courier New" w:cs="Courier New"/>
          <w:sz w:val="20"/>
          <w:szCs w:val="20"/>
        </w:rPr>
        <w:t>*1.1 # &lt;15 kg/capita/</w:t>
      </w:r>
      <w:proofErr w:type="spellStart"/>
      <w:r w:rsidRPr="00A319C8">
        <w:rPr>
          <w:rFonts w:ascii="Courier New" w:hAnsi="Courier New" w:cs="Courier New"/>
          <w:sz w:val="20"/>
          <w:szCs w:val="20"/>
        </w:rPr>
        <w:t>yr</w:t>
      </w:r>
      <w:proofErr w:type="spellEnd"/>
    </w:p>
    <w:p w14:paraId="77734954" w14:textId="77777777" w:rsidR="009F3F65" w:rsidRPr="00A319C8" w:rsidRDefault="009F3F65" w:rsidP="003B3519">
      <w:pPr>
        <w:spacing w:after="0" w:line="480" w:lineRule="auto"/>
        <w:ind w:left="0" w:right="172" w:firstLine="0"/>
        <w:jc w:val="left"/>
        <w:rPr>
          <w:rFonts w:ascii="Courier New" w:hAnsi="Courier New" w:cs="Courier New"/>
          <w:sz w:val="20"/>
          <w:szCs w:val="20"/>
        </w:rPr>
      </w:pPr>
    </w:p>
    <w:p w14:paraId="1CD10684" w14:textId="77777777" w:rsidR="009F3F65" w:rsidRPr="00A319C8" w:rsidRDefault="009F3F65" w:rsidP="003B3519">
      <w:pPr>
        <w:spacing w:after="0" w:line="480" w:lineRule="auto"/>
        <w:ind w:left="0" w:right="172" w:firstLine="0"/>
        <w:jc w:val="left"/>
        <w:rPr>
          <w:rFonts w:ascii="Courier New" w:hAnsi="Courier New" w:cs="Courier New"/>
          <w:sz w:val="20"/>
          <w:szCs w:val="20"/>
        </w:rPr>
      </w:pPr>
      <w:r w:rsidRPr="00A319C8">
        <w:rPr>
          <w:rFonts w:ascii="Courier New" w:hAnsi="Courier New" w:cs="Courier New"/>
          <w:sz w:val="20"/>
          <w:szCs w:val="20"/>
        </w:rPr>
        <w:t xml:space="preserve">elasticity1 = </w:t>
      </w:r>
      <w:proofErr w:type="spellStart"/>
      <w:proofErr w:type="gramStart"/>
      <w:r w:rsidRPr="00A319C8">
        <w:rPr>
          <w:rFonts w:ascii="Courier New" w:hAnsi="Courier New" w:cs="Courier New"/>
          <w:sz w:val="20"/>
          <w:szCs w:val="20"/>
        </w:rPr>
        <w:t>rnorm</w:t>
      </w:r>
      <w:proofErr w:type="spellEnd"/>
      <w:r w:rsidRPr="00A319C8">
        <w:rPr>
          <w:rFonts w:ascii="Courier New" w:hAnsi="Courier New" w:cs="Courier New"/>
          <w:sz w:val="20"/>
          <w:szCs w:val="20"/>
        </w:rPr>
        <w:t>(</w:t>
      </w:r>
      <w:proofErr w:type="gramEnd"/>
      <w:r w:rsidRPr="00A319C8">
        <w:rPr>
          <w:rFonts w:ascii="Courier New" w:hAnsi="Courier New" w:cs="Courier New"/>
          <w:sz w:val="20"/>
          <w:szCs w:val="20"/>
        </w:rPr>
        <w:t>1, elastic 1, .025)</w:t>
      </w:r>
    </w:p>
    <w:p w14:paraId="19F3B81E" w14:textId="77777777" w:rsidR="009F3F65" w:rsidRPr="00A319C8" w:rsidRDefault="009F3F65" w:rsidP="003B3519">
      <w:pPr>
        <w:spacing w:after="0" w:line="480" w:lineRule="auto"/>
        <w:ind w:left="0" w:right="172" w:firstLine="0"/>
        <w:jc w:val="left"/>
        <w:rPr>
          <w:rFonts w:ascii="Courier New" w:hAnsi="Courier New" w:cs="Courier New"/>
          <w:sz w:val="20"/>
          <w:szCs w:val="20"/>
        </w:rPr>
      </w:pPr>
      <w:r w:rsidRPr="00A319C8">
        <w:rPr>
          <w:rFonts w:ascii="Courier New" w:hAnsi="Courier New" w:cs="Courier New"/>
          <w:sz w:val="20"/>
          <w:szCs w:val="20"/>
        </w:rPr>
        <w:t xml:space="preserve">elasticity2 = </w:t>
      </w:r>
      <w:proofErr w:type="spellStart"/>
      <w:proofErr w:type="gramStart"/>
      <w:r w:rsidRPr="00A319C8">
        <w:rPr>
          <w:rFonts w:ascii="Courier New" w:hAnsi="Courier New" w:cs="Courier New"/>
          <w:sz w:val="20"/>
          <w:szCs w:val="20"/>
        </w:rPr>
        <w:t>rnormTrunc</w:t>
      </w:r>
      <w:proofErr w:type="spellEnd"/>
      <w:r w:rsidRPr="00A319C8">
        <w:rPr>
          <w:rFonts w:ascii="Courier New" w:hAnsi="Courier New" w:cs="Courier New"/>
          <w:sz w:val="20"/>
          <w:szCs w:val="20"/>
        </w:rPr>
        <w:t>(</w:t>
      </w:r>
      <w:proofErr w:type="gramEnd"/>
      <w:r w:rsidRPr="00A319C8">
        <w:rPr>
          <w:rFonts w:ascii="Courier New" w:hAnsi="Courier New" w:cs="Courier New"/>
          <w:sz w:val="20"/>
          <w:szCs w:val="20"/>
        </w:rPr>
        <w:t>1, elastic2, .5, 0.1, elasticity1)</w:t>
      </w:r>
    </w:p>
    <w:p w14:paraId="35EB1949" w14:textId="77777777" w:rsidR="009F3F65" w:rsidRPr="00A319C8" w:rsidRDefault="009F3F65" w:rsidP="003B3519">
      <w:pPr>
        <w:spacing w:after="0" w:line="480" w:lineRule="auto"/>
        <w:ind w:left="0" w:right="172" w:firstLine="0"/>
        <w:jc w:val="left"/>
        <w:rPr>
          <w:rFonts w:ascii="Courier New" w:hAnsi="Courier New" w:cs="Courier New"/>
          <w:sz w:val="20"/>
          <w:szCs w:val="20"/>
        </w:rPr>
      </w:pPr>
      <w:r w:rsidRPr="00A319C8">
        <w:rPr>
          <w:rFonts w:ascii="Courier New" w:hAnsi="Courier New" w:cs="Courier New"/>
          <w:sz w:val="20"/>
          <w:szCs w:val="20"/>
        </w:rPr>
        <w:t xml:space="preserve">elasticity3 = </w:t>
      </w:r>
      <w:proofErr w:type="spellStart"/>
      <w:proofErr w:type="gramStart"/>
      <w:r w:rsidRPr="00A319C8">
        <w:rPr>
          <w:rFonts w:ascii="Courier New" w:hAnsi="Courier New" w:cs="Courier New"/>
          <w:sz w:val="20"/>
          <w:szCs w:val="20"/>
        </w:rPr>
        <w:t>rnormTrunc</w:t>
      </w:r>
      <w:proofErr w:type="spellEnd"/>
      <w:r w:rsidRPr="00A319C8">
        <w:rPr>
          <w:rFonts w:ascii="Courier New" w:hAnsi="Courier New" w:cs="Courier New"/>
          <w:sz w:val="20"/>
          <w:szCs w:val="20"/>
        </w:rPr>
        <w:t>(</w:t>
      </w:r>
      <w:proofErr w:type="gramEnd"/>
      <w:r w:rsidRPr="00A319C8">
        <w:rPr>
          <w:rFonts w:ascii="Courier New" w:hAnsi="Courier New" w:cs="Courier New"/>
          <w:sz w:val="20"/>
          <w:szCs w:val="20"/>
        </w:rPr>
        <w:t>1, elastic3, .0025, 0.01, elasticity2)</w:t>
      </w:r>
    </w:p>
    <w:p w14:paraId="1735DCD0" w14:textId="77777777" w:rsidR="009F3F65" w:rsidRPr="00B40337" w:rsidRDefault="009F3F65" w:rsidP="003B3519">
      <w:pPr>
        <w:spacing w:after="0" w:line="480" w:lineRule="auto"/>
        <w:ind w:left="0" w:right="172" w:firstLine="0"/>
        <w:jc w:val="left"/>
        <w:rPr>
          <w:rFonts w:ascii="Times New Roman" w:hAnsi="Times New Roman" w:cs="Times New Roman"/>
          <w:u w:val="single"/>
        </w:rPr>
      </w:pPr>
    </w:p>
    <w:p w14:paraId="0864E27F" w14:textId="77777777" w:rsidR="009F3F65" w:rsidRPr="00B40337" w:rsidRDefault="009F3F65" w:rsidP="003B3519">
      <w:pPr>
        <w:spacing w:after="0" w:line="480" w:lineRule="auto"/>
        <w:ind w:left="0" w:right="0" w:firstLine="0"/>
        <w:jc w:val="left"/>
        <w:rPr>
          <w:rFonts w:ascii="Times New Roman" w:hAnsi="Times New Roman" w:cs="Times New Roman"/>
          <w:i/>
          <w:iCs/>
        </w:rPr>
      </w:pPr>
      <w:r w:rsidRPr="00B40337">
        <w:rPr>
          <w:rFonts w:ascii="Times New Roman" w:hAnsi="Times New Roman" w:cs="Times New Roman"/>
          <w:i/>
          <w:iCs/>
        </w:rPr>
        <w:br w:type="page"/>
      </w:r>
    </w:p>
    <w:p w14:paraId="2151C7D4" w14:textId="77777777" w:rsidR="009F3F65" w:rsidRPr="00B40337" w:rsidRDefault="009F3F65" w:rsidP="00A319C8">
      <w:pPr>
        <w:spacing w:after="0" w:line="480" w:lineRule="auto"/>
        <w:ind w:left="0" w:right="172" w:firstLine="0"/>
        <w:jc w:val="left"/>
        <w:rPr>
          <w:rFonts w:ascii="Times New Roman" w:hAnsi="Times New Roman" w:cs="Times New Roman"/>
          <w:i/>
          <w:iCs/>
        </w:rPr>
      </w:pPr>
      <w:r w:rsidRPr="00B40337">
        <w:rPr>
          <w:rFonts w:ascii="Times New Roman" w:hAnsi="Times New Roman" w:cs="Times New Roman"/>
          <w:i/>
          <w:iCs/>
        </w:rPr>
        <w:lastRenderedPageBreak/>
        <w:t>PM</w:t>
      </w:r>
      <w:r w:rsidRPr="00B40337">
        <w:rPr>
          <w:rFonts w:ascii="Times New Roman" w:hAnsi="Times New Roman" w:cs="Times New Roman"/>
          <w:i/>
          <w:iCs/>
          <w:vertAlign w:val="subscript"/>
        </w:rPr>
        <w:t>2.5</w:t>
      </w:r>
      <w:r w:rsidRPr="00B40337">
        <w:rPr>
          <w:rFonts w:ascii="Times New Roman" w:hAnsi="Times New Roman" w:cs="Times New Roman"/>
          <w:i/>
          <w:iCs/>
        </w:rPr>
        <w:t xml:space="preserve"> exposures</w:t>
      </w:r>
    </w:p>
    <w:p w14:paraId="596BD180" w14:textId="77777777" w:rsidR="009F3F65" w:rsidRPr="00B40337" w:rsidRDefault="009F3F65" w:rsidP="00A319C8">
      <w:pPr>
        <w:spacing w:after="0" w:line="480" w:lineRule="auto"/>
        <w:ind w:left="-15" w:right="172" w:firstLine="0"/>
        <w:jc w:val="left"/>
        <w:rPr>
          <w:rFonts w:ascii="Times New Roman" w:hAnsi="Times New Roman" w:cs="Times New Roman"/>
        </w:rPr>
      </w:pPr>
      <w:r w:rsidRPr="00B40337">
        <w:rPr>
          <w:rFonts w:ascii="Times New Roman" w:hAnsi="Times New Roman" w:cs="Times New Roman"/>
        </w:rPr>
        <w:t xml:space="preserve">Recent, nationally representative personal air pollution exposure measurements for households that use exclusively polluting cooking fuels, that mix polluting and clean-burning fuels, and that use exclusively clean-burning fuels in Kenya are not available. Instead, we draw on a set of other studies to establish baselines for these categories. </w:t>
      </w:r>
    </w:p>
    <w:p w14:paraId="18511244" w14:textId="3712D122" w:rsidR="009F3F65" w:rsidRPr="00B40337" w:rsidRDefault="009F3F65" w:rsidP="00A319C8">
      <w:pPr>
        <w:spacing w:after="0" w:line="480" w:lineRule="auto"/>
        <w:ind w:left="-15" w:right="172" w:firstLine="0"/>
        <w:jc w:val="left"/>
        <w:rPr>
          <w:rFonts w:ascii="Times New Roman" w:hAnsi="Times New Roman" w:cs="Times New Roman"/>
        </w:rPr>
      </w:pPr>
      <w:r w:rsidRPr="00B40337">
        <w:rPr>
          <w:rFonts w:ascii="Times New Roman" w:hAnsi="Times New Roman" w:cs="Times New Roman"/>
        </w:rPr>
        <w:tab/>
      </w:r>
      <w:r w:rsidRPr="00B40337">
        <w:rPr>
          <w:rFonts w:ascii="Times New Roman" w:hAnsi="Times New Roman" w:cs="Times New Roman"/>
        </w:rPr>
        <w:tab/>
        <w:t xml:space="preserve">Drawing on the PURE cohort study, </w:t>
      </w:r>
      <w:proofErr w:type="spellStart"/>
      <w:r w:rsidRPr="00B40337">
        <w:rPr>
          <w:rFonts w:ascii="Times New Roman" w:hAnsi="Times New Roman" w:cs="Times New Roman"/>
        </w:rPr>
        <w:t>Shupler</w:t>
      </w:r>
      <w:proofErr w:type="spellEnd"/>
      <w:r w:rsidRPr="00B40337">
        <w:rPr>
          <w:rFonts w:ascii="Times New Roman" w:hAnsi="Times New Roman" w:cs="Times New Roman"/>
        </w:rPr>
        <w:t xml:space="preserve"> et al. (2020)</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wvxORwLC","properties":{"formattedCitation":"({\\i{}18})","plainCitation":"(18)","noteIndex":0},"citationItems":[{"id":4873,"uris":["http://zotero.org/groups/2357599/items/CQTG9RHF"],"itemData":{"id":4873,"type":"article-journal","abstract":"&lt;h2&gt;Summary&lt;/h2&gt;&lt;h3&gt;Background&lt;/h3&gt;&lt;p&gt;Approximately 2·8 billion people are exposed to household air pollution from cooking with polluting fuels. Few monitoring studies have systematically measured health-damaging air pollutant (ie, fine particulate matter [PM&lt;sub&gt;2·5&lt;/sub&gt;] and black carbon) concentrations from a wide range of cooking fuels across diverse populations. This multinational study aimed to assess the magnitude of kitchen concentrations and personal exposures to PM&lt;sub&gt;2·5&lt;/sub&gt; and black carbon in rural communities with a wide range of cooking environments.&lt;/p&gt;&lt;h3&gt;Methods&lt;/h3&gt;&lt;p&gt;As part of the Prospective Urban and Rural Epidemiological (PURE) cohort, the PURE-AIR study was done in 120 rural communities in eight countries (Bangladesh, Chile, China, Colombia, India, Pakistan, Tanzania, and Zimbabwe). Data were collected from 2541 households and from 998 individuals (442 men and 556 women). Gravimetric (or filter-based) 48 h kitchen and personal PM&lt;sub&gt;2·5&lt;/sub&gt; measurements were collected. Light absorbance (10&lt;sup&gt;−5&lt;/sup&gt;m&lt;sup&gt;−1&lt;/sup&gt;) of the PM&lt;sub&gt;2·5&lt;/sub&gt; filters, a proxy for black carbon concentrations, was calculated via an image-based reflectance method. Surveys of household characteristics and cooking patterns were collected before and after the 48 h monitoring period.&lt;/p&gt;&lt;h3&gt;Findings&lt;/h3&gt;&lt;p&gt;Monitoring of household air pollution for the PURE-AIR study was done from June, 2017, to September, 2019. A mean PM&lt;sub&gt;2·5&lt;/sub&gt; kitchen concentration gradient emerged across primary cooking fuels: gas (45 μg/m&lt;sup&gt;3&lt;/sup&gt; [95% CI 43–48]), electricity (53 μg/m&lt;sup&gt;3&lt;/sup&gt; [47–60]), coal (68 μg/m&lt;sup&gt;3&lt;/sup&gt; [61–77]), charcoal (92 μg/m&lt;sup&gt;3&lt;/sup&gt; [58–146]), agricultural or crop waste (106 μg/m&lt;sup&gt;3&lt;/sup&gt; [91–125]), wood (109 μg/m&lt;sup&gt;3&lt;/sup&gt; [102–118]), animal dung (224 μg/m&lt;sup&gt;3&lt;/sup&gt; [197–254]), and shrubs or grass (276 μg/m&lt;sup&gt;3&lt;/sup&gt; [223–342]). Among households cooking primarily with wood, average PM&lt;sub&gt;2·5&lt;/sub&gt; concentrations varied ten-fold (range: 40–380 μg/m&lt;sup&gt;3&lt;/sup&gt;). Fuel stacking was prevalent (981 [39%] of 2541 households); using wood as a primary cooking fuel with clean secondary cooking fuels (eg, gas) was associated with 50% lower PM&lt;sub&gt;2·5&lt;/sub&gt; and black carbon concentrations than using only wood as a primary cooking fuel. Similar average PM&lt;sub&gt;2·5&lt;/sub&gt; personal exposures between women (67 μg/m&lt;sup&gt;3&lt;/sup&gt; [95% CI 62–72]) and men (62 [58–67]) were observed. Nearly equivalent average personal exposure to kitchen exposure ratios were observed for PM&lt;sub&gt;2·5&lt;/sub&gt; (0·79 [95% 0·71–0·88] for men and 0·82 [0·74–0·91] for women) and black carbon (0·64 [0·45–0·92] for men and 0·68 [0·46–1·02] for women).&lt;/p&gt;&lt;h3&gt;Interpretation&lt;/h3&gt;&lt;p&gt;Using clean primary fuels substantially lowers kitchen PM&lt;sub&gt;2·5&lt;/sub&gt; concentrations. Importantly, average kitchen and personal PM&lt;sub&gt;2·5&lt;/sub&gt; measurements for all primary fuel types exceeded WHO's Interim Target-1 (35 μg/m&lt;sup&gt;3&lt;/sup&gt; annual average), highlighting the need for comprehensive pollution mitigation strategies.&lt;/p&gt;&lt;h3&gt;Funding&lt;/h3&gt;&lt;p&gt;Canadian Institutes for Health Research, National Institutes of Health.&lt;/p&gt;","container-title":"The Lancet Planetary Health","DOI":"10.1016/S2542-5196(20)30197-2","ISSN":"2542-5196","issue":"10","journalAbbreviation":"The Lancet Planetary Health","language":"English","note":"publisher: Elsevier\nPMID: 33038319","page":"e451-e462","source":"www.thelancet.com","title":"Household and personal air pollution exposure measurements from 120 communities in eight countries: results from the PURE-AIR study","title-short":"Household and personal air pollution exposure measurements from 120 communities in eight countries","volume":"4","author":[{"family":"Shupler","given":"Matthew"},{"family":"Hystad","given":"Perry"},{"family":"Birch","given":"Aaron"},{"family":"Miller-Lionberg","given":"Daniel"},{"family":"Jeronimo","given":"Matthew"},{"family":"Arku","given":"Raphael E."},{"family":"Chu","given":"Yen Li"},{"family":"Mushtaha","given":"Maha"},{"family":"Heenan","given":"Laura"},{"family":"Rangarajan","given":"Sumathy"},{"family":"Seron","given":"Pamela"},{"family":"Lanas","given":"Fernando"},{"family":"Cazor","given":"Fairuz"},{"family":"Lopez-Jaramillo","given":"Patricio"},{"family":"Camacho","given":"Paul A."},{"family":"Perez","given":"Maritza"},{"family":"Yeates","given":"Karen"},{"family":"West","given":"Nicola"},{"family":"Ncube","given":"Tatenda"},{"family":"Ncube","given":"Brian"},{"family":"Chifamba","given":"Jephat"},{"family":"Yusuf","given":"Rita"},{"family":"Khan","given":"Afreen"},{"family":"Hu","given":"Bo"},{"family":"Liu","given":"Xiaoyun"},{"family":"Wei","given":"Li"},{"family":"Tse","given":"Lap Ah"},{"family":"Mohan","given":"Deepa"},{"family":"Kumar","given":"Parthiban"},{"family":"Gupta","given":"Rajeev"},{"family":"Mohan","given":"Indu"},{"family":"Jayachitra","given":"K. G."},{"family":"Mony","given":"Prem K."},{"family":"Rammohan","given":"Kamala"},{"family":"Nair","given":"Sanjeev"},{"family":"Lakshmi","given":"P. V. M."},{"family":"Sagar","given":"Vivek"},{"family":"Khawaja","given":"Rehman"},{"family":"Iqbal","given":"Romaina"},{"family":"Kazmi","given":"Khawar"},{"family":"Yusuf","given":"Salim"},{"family":"Brauer","given":"Michael"}],"issued":{"date-parts":[["2020",10,1]]}}}],"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18</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xml:space="preserve"> establish average PM2.5 exposures (medians and 25</w:t>
      </w:r>
      <w:r w:rsidRPr="00B40337">
        <w:rPr>
          <w:rFonts w:ascii="Times New Roman" w:hAnsi="Times New Roman" w:cs="Times New Roman"/>
          <w:vertAlign w:val="superscript"/>
        </w:rPr>
        <w:t>th</w:t>
      </w:r>
      <w:r w:rsidRPr="00B40337">
        <w:rPr>
          <w:rFonts w:ascii="Times New Roman" w:hAnsi="Times New Roman" w:cs="Times New Roman"/>
        </w:rPr>
        <w:t>-75</w:t>
      </w:r>
      <w:r w:rsidRPr="00B40337">
        <w:rPr>
          <w:rFonts w:ascii="Times New Roman" w:hAnsi="Times New Roman" w:cs="Times New Roman"/>
          <w:vertAlign w:val="superscript"/>
        </w:rPr>
        <w:t>th</w:t>
      </w:r>
      <w:r w:rsidRPr="00B40337">
        <w:rPr>
          <w:rFonts w:ascii="Times New Roman" w:hAnsi="Times New Roman" w:cs="Times New Roman"/>
        </w:rPr>
        <w:t xml:space="preserve"> percentiles) for households in Eastern Sub-Saharan Africa as follows. They estimate relatively high levels of exposure (in µgm</w:t>
      </w:r>
      <w:r w:rsidR="00A319C8" w:rsidRPr="00A319C8">
        <w:rPr>
          <w:rFonts w:ascii="Times New Roman" w:hAnsi="Times New Roman" w:cs="Times New Roman"/>
          <w:vertAlign w:val="superscript"/>
        </w:rPr>
        <w:t>-</w:t>
      </w:r>
      <w:r w:rsidRPr="00A319C8">
        <w:rPr>
          <w:rFonts w:ascii="Times New Roman" w:hAnsi="Times New Roman" w:cs="Times New Roman"/>
          <w:vertAlign w:val="superscript"/>
        </w:rPr>
        <w:t>3</w:t>
      </w:r>
      <w:r w:rsidRPr="00B40337">
        <w:rPr>
          <w:rFonts w:ascii="Times New Roman" w:hAnsi="Times New Roman" w:cs="Times New Roman"/>
        </w:rPr>
        <w:t>): among gas/electric users, median female, male, and child exposures (25</w:t>
      </w:r>
      <w:r w:rsidRPr="00B40337">
        <w:rPr>
          <w:rFonts w:ascii="Times New Roman" w:hAnsi="Times New Roman" w:cs="Times New Roman"/>
          <w:vertAlign w:val="superscript"/>
        </w:rPr>
        <w:t>th</w:t>
      </w:r>
      <w:r w:rsidRPr="00B40337">
        <w:rPr>
          <w:rFonts w:ascii="Times New Roman" w:hAnsi="Times New Roman" w:cs="Times New Roman"/>
        </w:rPr>
        <w:t>, 75</w:t>
      </w:r>
      <w:r w:rsidRPr="00B40337">
        <w:rPr>
          <w:rFonts w:ascii="Times New Roman" w:hAnsi="Times New Roman" w:cs="Times New Roman"/>
          <w:vertAlign w:val="superscript"/>
        </w:rPr>
        <w:t>th</w:t>
      </w:r>
      <w:r w:rsidRPr="00B40337">
        <w:rPr>
          <w:rFonts w:ascii="Times New Roman" w:hAnsi="Times New Roman" w:cs="Times New Roman"/>
        </w:rPr>
        <w:t xml:space="preserve"> percentiles) are 102 (34, 314), 73 (24, 226), and 89 (30, 273), respectively, indicating that clean fuel uses in these categories may not be exclusively using these fuels. For wood users, median female, male, and child exposures (25</w:t>
      </w:r>
      <w:r w:rsidRPr="00B40337">
        <w:rPr>
          <w:rFonts w:ascii="Times New Roman" w:hAnsi="Times New Roman" w:cs="Times New Roman"/>
          <w:vertAlign w:val="superscript"/>
        </w:rPr>
        <w:t>th</w:t>
      </w:r>
      <w:r w:rsidRPr="00B40337">
        <w:rPr>
          <w:rFonts w:ascii="Times New Roman" w:hAnsi="Times New Roman" w:cs="Times New Roman"/>
        </w:rPr>
        <w:t>, 75</w:t>
      </w:r>
      <w:r w:rsidRPr="00B40337">
        <w:rPr>
          <w:rFonts w:ascii="Times New Roman" w:hAnsi="Times New Roman" w:cs="Times New Roman"/>
          <w:vertAlign w:val="superscript"/>
        </w:rPr>
        <w:t>th</w:t>
      </w:r>
      <w:r w:rsidRPr="00B40337">
        <w:rPr>
          <w:rFonts w:ascii="Times New Roman" w:hAnsi="Times New Roman" w:cs="Times New Roman"/>
        </w:rPr>
        <w:t xml:space="preserve"> percentiles) are 388 (115, 1122), 279 (83, 808), and 337 (100, 976), respectively.</w:t>
      </w:r>
    </w:p>
    <w:p w14:paraId="79366A5B" w14:textId="21FE5AE9" w:rsidR="009F3F65" w:rsidRPr="00B40337" w:rsidRDefault="009F3F65" w:rsidP="00A319C8">
      <w:pPr>
        <w:spacing w:after="0" w:line="480" w:lineRule="auto"/>
        <w:ind w:left="-15" w:right="172" w:firstLine="0"/>
        <w:jc w:val="left"/>
        <w:rPr>
          <w:rFonts w:ascii="Times New Roman" w:hAnsi="Times New Roman" w:cs="Times New Roman"/>
        </w:rPr>
      </w:pPr>
      <w:r w:rsidRPr="00B40337">
        <w:rPr>
          <w:rFonts w:ascii="Times New Roman" w:hAnsi="Times New Roman" w:cs="Times New Roman"/>
        </w:rPr>
        <w:tab/>
      </w:r>
      <w:r w:rsidRPr="00B40337">
        <w:rPr>
          <w:rFonts w:ascii="Times New Roman" w:hAnsi="Times New Roman" w:cs="Times New Roman"/>
        </w:rPr>
        <w:tab/>
        <w:t>Elsewhere, a study in Kenya focused on predicting personal exposures (Johnson et al. (2021)</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{"citationID":"g9QhsSqP","properties":{"formattedCitation":"({\\i{}19})","plainCitation":"(19)","noteIndex":0},"citationItems":[{"id":1808,"uris":["http://zotero.org/users/2607085/items/NCDCM8EP"],"itemData":{"id":1808,"type":"article-journal","container-title":"Indoor Air","DOI":"10.1111/ina.12790","ISSN":"0905-6947, 1600-0668","journalAbbreviation":"Indoor Air","language":"en","page":"ina.12790","source":"DOI.org (Crossref)","title":"Modeling approaches and performance for estimating personal exposure to household air pollution: A case study in Kenya","title-short":"Modeling approaches and performance for estimating personal exposure to household air pollution","author":[{"family":"Johnson","given":"Michael"},{"family":"Piedrahita","given":"Ricardo"},{"family":"Pillarisetti","given":"Ajay"},{"family":"Shupler","given":"Matthew"},{"family":"Menya","given":"Diana"},{"family":"Rossanese","given":"Madeleine"},{"family":"Delapeña","given":"Samantha"},{"family":"Penumetcha","given":"Neeraja"},{"family":"Chartier","given":"Ryan"},{"family":"Puzzolo","given":"Elisa"},{"family":"Pope","given":"Daniel"}],"issued":{"date-parts":[["2021",3,2]]}}}],"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19</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reports lower estimated predicted and measured exposures among LPG users and wood users (in µg/m3): median (25</w:t>
      </w:r>
      <w:r w:rsidRPr="00B40337">
        <w:rPr>
          <w:rFonts w:ascii="Times New Roman" w:hAnsi="Times New Roman" w:cs="Times New Roman"/>
          <w:vertAlign w:val="superscript"/>
        </w:rPr>
        <w:t>th</w:t>
      </w:r>
      <w:r w:rsidRPr="00B40337">
        <w:rPr>
          <w:rFonts w:ascii="Times New Roman" w:hAnsi="Times New Roman" w:cs="Times New Roman"/>
        </w:rPr>
        <w:t>, 75</w:t>
      </w:r>
      <w:r w:rsidRPr="00B40337">
        <w:rPr>
          <w:rFonts w:ascii="Times New Roman" w:hAnsi="Times New Roman" w:cs="Times New Roman"/>
          <w:vertAlign w:val="superscript"/>
        </w:rPr>
        <w:t>th</w:t>
      </w:r>
      <w:r w:rsidRPr="00B40337">
        <w:rPr>
          <w:rFonts w:ascii="Times New Roman" w:hAnsi="Times New Roman" w:cs="Times New Roman"/>
        </w:rPr>
        <w:t xml:space="preserve"> percentile) exposures of 29 (27-46); for wood users, they measured 182 (104, 292).</w:t>
      </w:r>
    </w:p>
    <w:p w14:paraId="379B12FB" w14:textId="65DF1AFF" w:rsidR="009F3F65" w:rsidRPr="00B40337" w:rsidRDefault="009F3F65" w:rsidP="00A319C8">
      <w:pPr>
        <w:spacing w:after="0" w:line="480" w:lineRule="auto"/>
        <w:ind w:left="0" w:right="172"/>
        <w:jc w:val="left"/>
        <w:rPr>
          <w:rFonts w:ascii="Times New Roman" w:hAnsi="Times New Roman" w:cs="Times New Roman"/>
        </w:rPr>
      </w:pPr>
      <w:r w:rsidRPr="00B40337">
        <w:rPr>
          <w:rFonts w:ascii="Times New Roman" w:hAnsi="Times New Roman" w:cs="Times New Roman"/>
        </w:rPr>
        <w:tab/>
      </w:r>
      <w:r w:rsidRPr="00B40337">
        <w:rPr>
          <w:rFonts w:ascii="Times New Roman" w:hAnsi="Times New Roman" w:cs="Times New Roman"/>
        </w:rPr>
        <w:tab/>
        <w:t xml:space="preserve">Using these inputs, we assign average PM2.5 exposure for exclusive LPG use to be roughly 35 </w:t>
      </w:r>
      <w:r w:rsidR="002C5855" w:rsidRPr="00B40337">
        <w:rPr>
          <w:rFonts w:ascii="Times New Roman" w:hAnsi="Times New Roman" w:cs="Times New Roman"/>
        </w:rPr>
        <w:t>µgm</w:t>
      </w:r>
      <w:r w:rsidR="002C5855" w:rsidRPr="00A319C8">
        <w:rPr>
          <w:rFonts w:ascii="Times New Roman" w:hAnsi="Times New Roman" w:cs="Times New Roman"/>
          <w:vertAlign w:val="superscript"/>
        </w:rPr>
        <w:t>-3</w:t>
      </w:r>
      <w:r w:rsidRPr="00B40337">
        <w:rPr>
          <w:rFonts w:ascii="Times New Roman" w:hAnsi="Times New Roman" w:cs="Times New Roman"/>
        </w:rPr>
        <w:t xml:space="preserve">. Average PM2.5 exposure for exclusive biomass use is 250 </w:t>
      </w:r>
      <w:r w:rsidR="005D3F85" w:rsidRPr="00B40337">
        <w:rPr>
          <w:rFonts w:ascii="Times New Roman" w:hAnsi="Times New Roman" w:cs="Times New Roman"/>
        </w:rPr>
        <w:t>µgm</w:t>
      </w:r>
      <w:r w:rsidR="005D3F85" w:rsidRPr="00A319C8">
        <w:rPr>
          <w:rFonts w:ascii="Times New Roman" w:hAnsi="Times New Roman" w:cs="Times New Roman"/>
          <w:vertAlign w:val="superscript"/>
        </w:rPr>
        <w:t>-3</w:t>
      </w:r>
      <w:r w:rsidRPr="00B40337">
        <w:rPr>
          <w:rFonts w:ascii="Times New Roman" w:hAnsi="Times New Roman" w:cs="Times New Roman"/>
        </w:rPr>
        <w:t xml:space="preserve">. </w:t>
      </w:r>
      <w:proofErr w:type="gramStart"/>
      <w:r w:rsidRPr="00B40337">
        <w:rPr>
          <w:rFonts w:ascii="Times New Roman" w:hAnsi="Times New Roman" w:cs="Times New Roman"/>
        </w:rPr>
        <w:t>Both of these</w:t>
      </w:r>
      <w:proofErr w:type="gramEnd"/>
      <w:r w:rsidRPr="00B40337">
        <w:rPr>
          <w:rFonts w:ascii="Times New Roman" w:hAnsi="Times New Roman" w:cs="Times New Roman"/>
        </w:rPr>
        <w:t xml:space="preserve"> estimates are perhaps optimistic and ultimately may mean we underestimate impacts. </w:t>
      </w:r>
      <w:r w:rsidR="00117A54" w:rsidRPr="00B40337">
        <w:rPr>
          <w:rFonts w:ascii="Times New Roman" w:hAnsi="Times New Roman" w:cs="Times New Roman"/>
        </w:rPr>
        <w:t xml:space="preserve">If we halve the exclusive biomass value in our models to 125 ug/m3, modeled mortality impacts are attenuated by </w:t>
      </w:r>
      <w:r w:rsidR="006B2D27" w:rsidRPr="00B40337">
        <w:rPr>
          <w:rFonts w:ascii="Times New Roman" w:hAnsi="Times New Roman" w:cs="Times New Roman"/>
        </w:rPr>
        <w:t>10-15%</w:t>
      </w:r>
      <w:r w:rsidR="00C66F5E">
        <w:rPr>
          <w:rFonts w:ascii="Times New Roman" w:hAnsi="Times New Roman" w:cs="Times New Roman"/>
        </w:rPr>
        <w:t>.</w:t>
      </w:r>
    </w:p>
    <w:p w14:paraId="5333ECA4" w14:textId="308812A8" w:rsidR="009F3F65" w:rsidRPr="00B40337" w:rsidRDefault="009F3F65" w:rsidP="00A319C8">
      <w:pPr>
        <w:spacing w:line="480" w:lineRule="auto"/>
        <w:ind w:left="0" w:firstLine="720"/>
        <w:jc w:val="left"/>
        <w:rPr>
          <w:rFonts w:ascii="Times New Roman" w:hAnsi="Times New Roman" w:cs="Times New Roman"/>
        </w:rPr>
      </w:pPr>
      <w:r w:rsidRPr="00B40337">
        <w:rPr>
          <w:rFonts w:ascii="Times New Roman" w:hAnsi="Times New Roman" w:cs="Times New Roman"/>
        </w:rPr>
        <w:t xml:space="preserve">As with the India model, we develop three scenarios to relate LPG consumption to average PM2.5 exposures. For each of these models we develop a simple formula with </w:t>
      </w:r>
      <w:r w:rsidRPr="00B40337">
        <w:rPr>
          <w:rFonts w:ascii="Times New Roman" w:hAnsi="Times New Roman" w:cs="Times New Roman"/>
        </w:rPr>
        <w:lastRenderedPageBreak/>
        <w:t xml:space="preserve">parameters that we randomly draw from in each bootstrapped run, so the LPG to PM2.5 exposure relationship varies slightly across all runs. In each run, we model all three LPG-PM2.5 relationships fully. The central responses include: </w:t>
      </w:r>
    </w:p>
    <w:p w14:paraId="0A0A3808" w14:textId="7635943A" w:rsidR="009F3F65" w:rsidRPr="00B40337" w:rsidRDefault="009F3F65" w:rsidP="00A319C8">
      <w:pPr>
        <w:spacing w:line="480" w:lineRule="auto"/>
        <w:ind w:left="0" w:firstLine="720"/>
        <w:jc w:val="left"/>
        <w:rPr>
          <w:rFonts w:ascii="Times New Roman" w:hAnsi="Times New Roman" w:cs="Times New Roman"/>
        </w:rPr>
      </w:pPr>
      <w:r w:rsidRPr="00B40337">
        <w:rPr>
          <w:rFonts w:ascii="Times New Roman" w:hAnsi="Times New Roman" w:cs="Times New Roman"/>
        </w:rPr>
        <w:t xml:space="preserve">(a) Our preferred, sinusoidal response. </w:t>
      </w:r>
    </w:p>
    <w:p w14:paraId="45144653" w14:textId="36446F87" w:rsidR="009F3F65" w:rsidRPr="00B40337" w:rsidRDefault="009F3F65" w:rsidP="00A319C8">
      <w:pPr>
        <w:spacing w:line="480" w:lineRule="auto"/>
        <w:ind w:left="0" w:firstLine="720"/>
        <w:jc w:val="left"/>
        <w:rPr>
          <w:rFonts w:ascii="Times New Roman" w:eastAsiaTheme="minorHAnsi" w:hAnsi="Times New Roman" w:cs="Times New Roman"/>
          <w:color w:val="auto"/>
          <w:sz w:val="22"/>
          <w:szCs w:val="22"/>
        </w:rPr>
      </w:pPr>
      <w:r w:rsidRPr="00B40337">
        <w:rPr>
          <w:rFonts w:ascii="Times New Roman" w:hAnsi="Times New Roman" w:cs="Times New Roman"/>
        </w:rPr>
        <w:t xml:space="preserve">(b) A </w:t>
      </w:r>
      <w:r w:rsidR="00353088">
        <w:rPr>
          <w:rFonts w:ascii="Times New Roman" w:hAnsi="Times New Roman" w:cs="Times New Roman"/>
        </w:rPr>
        <w:t xml:space="preserve">somewhat more pessimistic sinusoidal response. </w:t>
      </w:r>
    </w:p>
    <w:p w14:paraId="35DAB991" w14:textId="77777777" w:rsidR="009F3F65" w:rsidRPr="00B40337" w:rsidRDefault="009F3F65" w:rsidP="00A319C8">
      <w:pPr>
        <w:spacing w:line="480" w:lineRule="auto"/>
        <w:ind w:left="0" w:firstLine="720"/>
        <w:jc w:val="left"/>
        <w:rPr>
          <w:rFonts w:ascii="Times New Roman" w:hAnsi="Times New Roman" w:cs="Times New Roman"/>
        </w:rPr>
      </w:pPr>
      <w:r w:rsidRPr="00B40337">
        <w:rPr>
          <w:rFonts w:ascii="Times New Roman" w:eastAsiaTheme="minorHAnsi" w:hAnsi="Times New Roman" w:cs="Times New Roman"/>
          <w:color w:val="auto"/>
          <w:sz w:val="22"/>
          <w:szCs w:val="22"/>
        </w:rPr>
        <w:t>(c)</w:t>
      </w:r>
      <w:r w:rsidRPr="00B40337">
        <w:rPr>
          <w:rFonts w:ascii="Times New Roman" w:hAnsi="Times New Roman" w:cs="Times New Roman"/>
        </w:rPr>
        <w:t xml:space="preserve"> A linear response from the maximum exposure (1 kg) to the minimum (55 kg).</w:t>
      </w:r>
    </w:p>
    <w:p w14:paraId="60AE3901" w14:textId="77777777" w:rsidR="009F3F65" w:rsidRDefault="009F3F65" w:rsidP="00716136">
      <w:pPr>
        <w:spacing w:line="480" w:lineRule="auto"/>
        <w:ind w:left="0" w:firstLine="720"/>
        <w:jc w:val="left"/>
        <w:rPr>
          <w:rFonts w:ascii="Times New Roman" w:hAnsi="Times New Roman" w:cs="Times New Roman"/>
        </w:rPr>
      </w:pPr>
      <w:r w:rsidRPr="00B40337">
        <w:rPr>
          <w:rFonts w:ascii="Times New Roman" w:hAnsi="Times New Roman" w:cs="Times New Roman"/>
        </w:rPr>
        <w:t>In each bootstrap we run all three scenarios and perturb their parameters somewhat (slightly higher/lower max/min, earlier/later, steeper/shallower declines).  Specific R code to do so is shown below:</w:t>
      </w:r>
    </w:p>
    <w:p w14:paraId="19175C8F" w14:textId="77777777" w:rsidR="0093267A" w:rsidRPr="00AA7373" w:rsidRDefault="0093267A" w:rsidP="00716136">
      <w:pPr>
        <w:spacing w:line="480" w:lineRule="auto"/>
        <w:ind w:left="0" w:firstLine="720"/>
        <w:jc w:val="left"/>
        <w:rPr>
          <w:rFonts w:ascii="Courier New" w:hAnsi="Courier New" w:cs="Courier New"/>
        </w:rPr>
      </w:pPr>
    </w:p>
    <w:p w14:paraId="16CDD7D2"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min1 = </w:t>
      </w:r>
      <w:proofErr w:type="spellStart"/>
      <w:proofErr w:type="gramStart"/>
      <w:r w:rsidRPr="00AA7373">
        <w:rPr>
          <w:rFonts w:ascii="Courier New" w:hAnsi="Courier New" w:cs="Courier New"/>
          <w:sz w:val="20"/>
          <w:szCs w:val="20"/>
        </w:rPr>
        <w:t>rnorm</w:t>
      </w:r>
      <w:proofErr w:type="spellEnd"/>
      <w:r w:rsidRPr="00AA7373">
        <w:rPr>
          <w:rFonts w:ascii="Courier New" w:hAnsi="Courier New" w:cs="Courier New"/>
          <w:sz w:val="20"/>
          <w:szCs w:val="20"/>
        </w:rPr>
        <w:t>(</w:t>
      </w:r>
      <w:proofErr w:type="gramEnd"/>
      <w:r w:rsidRPr="00AA7373">
        <w:rPr>
          <w:rFonts w:ascii="Courier New" w:hAnsi="Courier New" w:cs="Courier New"/>
          <w:sz w:val="20"/>
          <w:szCs w:val="20"/>
        </w:rPr>
        <w:t>1, 35, 5)</w:t>
      </w:r>
    </w:p>
    <w:p w14:paraId="71DD61D0"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max1 = </w:t>
      </w:r>
      <w:proofErr w:type="spellStart"/>
      <w:proofErr w:type="gramStart"/>
      <w:r w:rsidRPr="00AA7373">
        <w:rPr>
          <w:rFonts w:ascii="Courier New" w:hAnsi="Courier New" w:cs="Courier New"/>
          <w:sz w:val="20"/>
          <w:szCs w:val="20"/>
        </w:rPr>
        <w:t>rnorm</w:t>
      </w:r>
      <w:proofErr w:type="spellEnd"/>
      <w:r w:rsidRPr="00AA7373">
        <w:rPr>
          <w:rFonts w:ascii="Courier New" w:hAnsi="Courier New" w:cs="Courier New"/>
          <w:sz w:val="20"/>
          <w:szCs w:val="20"/>
        </w:rPr>
        <w:t>(</w:t>
      </w:r>
      <w:proofErr w:type="gramEnd"/>
      <w:r w:rsidRPr="00AA7373">
        <w:rPr>
          <w:rFonts w:ascii="Courier New" w:hAnsi="Courier New" w:cs="Courier New"/>
          <w:sz w:val="20"/>
          <w:szCs w:val="20"/>
        </w:rPr>
        <w:t>1, 250, 25)</w:t>
      </w:r>
    </w:p>
    <w:p w14:paraId="54FE5030"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decline1 = </w:t>
      </w:r>
      <w:proofErr w:type="spellStart"/>
      <w:proofErr w:type="gramStart"/>
      <w:r w:rsidRPr="00AA7373">
        <w:rPr>
          <w:rFonts w:ascii="Courier New" w:hAnsi="Courier New" w:cs="Courier New"/>
          <w:sz w:val="20"/>
          <w:szCs w:val="20"/>
        </w:rPr>
        <w:t>rnorm</w:t>
      </w:r>
      <w:proofErr w:type="spellEnd"/>
      <w:r w:rsidRPr="00AA7373">
        <w:rPr>
          <w:rFonts w:ascii="Courier New" w:hAnsi="Courier New" w:cs="Courier New"/>
          <w:sz w:val="20"/>
          <w:szCs w:val="20"/>
        </w:rPr>
        <w:t>(</w:t>
      </w:r>
      <w:proofErr w:type="gramEnd"/>
      <w:r w:rsidRPr="00AA7373">
        <w:rPr>
          <w:rFonts w:ascii="Courier New" w:hAnsi="Courier New" w:cs="Courier New"/>
          <w:sz w:val="20"/>
          <w:szCs w:val="20"/>
        </w:rPr>
        <w:t>1, 18, 2.5)</w:t>
      </w:r>
    </w:p>
    <w:p w14:paraId="3B57235F"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decline2 = </w:t>
      </w:r>
      <w:proofErr w:type="spellStart"/>
      <w:proofErr w:type="gramStart"/>
      <w:r w:rsidRPr="00AA7373">
        <w:rPr>
          <w:rFonts w:ascii="Courier New" w:hAnsi="Courier New" w:cs="Courier New"/>
          <w:sz w:val="20"/>
          <w:szCs w:val="20"/>
        </w:rPr>
        <w:t>rnorm</w:t>
      </w:r>
      <w:proofErr w:type="spellEnd"/>
      <w:r w:rsidRPr="00AA7373">
        <w:rPr>
          <w:rFonts w:ascii="Courier New" w:hAnsi="Courier New" w:cs="Courier New"/>
          <w:sz w:val="20"/>
          <w:szCs w:val="20"/>
        </w:rPr>
        <w:t>(</w:t>
      </w:r>
      <w:proofErr w:type="gramEnd"/>
      <w:r w:rsidRPr="00AA7373">
        <w:rPr>
          <w:rFonts w:ascii="Courier New" w:hAnsi="Courier New" w:cs="Courier New"/>
          <w:sz w:val="20"/>
          <w:szCs w:val="20"/>
        </w:rPr>
        <w:t>1, 13, 2.5)</w:t>
      </w:r>
    </w:p>
    <w:p w14:paraId="18F4B680"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exp1 = </w:t>
      </w:r>
      <w:proofErr w:type="spellStart"/>
      <w:proofErr w:type="gramStart"/>
      <w:r w:rsidRPr="00AA7373">
        <w:rPr>
          <w:rFonts w:ascii="Courier New" w:hAnsi="Courier New" w:cs="Courier New"/>
          <w:sz w:val="20"/>
          <w:szCs w:val="20"/>
        </w:rPr>
        <w:t>rnorm</w:t>
      </w:r>
      <w:proofErr w:type="spellEnd"/>
      <w:r w:rsidRPr="00AA7373">
        <w:rPr>
          <w:rFonts w:ascii="Courier New" w:hAnsi="Courier New" w:cs="Courier New"/>
          <w:sz w:val="20"/>
          <w:szCs w:val="20"/>
        </w:rPr>
        <w:t>(</w:t>
      </w:r>
      <w:proofErr w:type="gramEnd"/>
      <w:r w:rsidRPr="00AA7373">
        <w:rPr>
          <w:rFonts w:ascii="Courier New" w:hAnsi="Courier New" w:cs="Courier New"/>
          <w:sz w:val="20"/>
          <w:szCs w:val="20"/>
        </w:rPr>
        <w:t>1, 3, .05)</w:t>
      </w:r>
    </w:p>
    <w:p w14:paraId="7F0A0ECF"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exp2 = </w:t>
      </w:r>
      <w:proofErr w:type="spellStart"/>
      <w:proofErr w:type="gramStart"/>
      <w:r w:rsidRPr="00AA7373">
        <w:rPr>
          <w:rFonts w:ascii="Courier New" w:hAnsi="Courier New" w:cs="Courier New"/>
          <w:sz w:val="20"/>
          <w:szCs w:val="20"/>
        </w:rPr>
        <w:t>rnorm</w:t>
      </w:r>
      <w:proofErr w:type="spellEnd"/>
      <w:r w:rsidRPr="00AA7373">
        <w:rPr>
          <w:rFonts w:ascii="Courier New" w:hAnsi="Courier New" w:cs="Courier New"/>
          <w:sz w:val="20"/>
          <w:szCs w:val="20"/>
        </w:rPr>
        <w:t>(</w:t>
      </w:r>
      <w:proofErr w:type="gramEnd"/>
      <w:r w:rsidRPr="00AA7373">
        <w:rPr>
          <w:rFonts w:ascii="Courier New" w:hAnsi="Courier New" w:cs="Courier New"/>
          <w:sz w:val="20"/>
          <w:szCs w:val="20"/>
        </w:rPr>
        <w:t>1, 5, .1)</w:t>
      </w:r>
    </w:p>
    <w:p w14:paraId="3FE711E3" w14:textId="77777777" w:rsidR="009F3F65" w:rsidRPr="00AA7373" w:rsidRDefault="009F3F65" w:rsidP="009F3F65">
      <w:pPr>
        <w:spacing w:after="0" w:line="240" w:lineRule="auto"/>
        <w:ind w:left="0" w:right="0" w:firstLine="0"/>
        <w:jc w:val="left"/>
        <w:rPr>
          <w:rFonts w:ascii="Courier New" w:hAnsi="Courier New" w:cs="Courier New"/>
          <w:sz w:val="20"/>
          <w:szCs w:val="20"/>
        </w:rPr>
      </w:pPr>
    </w:p>
    <w:p w14:paraId="1EA60084"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x=1:55</w:t>
      </w:r>
    </w:p>
    <w:p w14:paraId="616E93A1"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PM25_1=min1 + (max1-min1) / (1 + (x/decline</w:t>
      </w:r>
      <w:proofErr w:type="gramStart"/>
      <w:r w:rsidRPr="00AA7373">
        <w:rPr>
          <w:rFonts w:ascii="Courier New" w:hAnsi="Courier New" w:cs="Courier New"/>
          <w:sz w:val="20"/>
          <w:szCs w:val="20"/>
        </w:rPr>
        <w:t>1)^</w:t>
      </w:r>
      <w:proofErr w:type="gramEnd"/>
      <w:r w:rsidRPr="00AA7373">
        <w:rPr>
          <w:rFonts w:ascii="Courier New" w:hAnsi="Courier New" w:cs="Courier New"/>
          <w:sz w:val="20"/>
          <w:szCs w:val="20"/>
        </w:rPr>
        <w:t>exp1)</w:t>
      </w:r>
    </w:p>
    <w:p w14:paraId="6A2272DC"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PM25_2=min1 + (max1-min1) / (1 + (x/decline</w:t>
      </w:r>
      <w:proofErr w:type="gramStart"/>
      <w:r w:rsidRPr="00AA7373">
        <w:rPr>
          <w:rFonts w:ascii="Courier New" w:hAnsi="Courier New" w:cs="Courier New"/>
          <w:sz w:val="20"/>
          <w:szCs w:val="20"/>
        </w:rPr>
        <w:t>2)^</w:t>
      </w:r>
      <w:proofErr w:type="gramEnd"/>
      <w:r w:rsidRPr="00AA7373">
        <w:rPr>
          <w:rFonts w:ascii="Courier New" w:hAnsi="Courier New" w:cs="Courier New"/>
          <w:sz w:val="20"/>
          <w:szCs w:val="20"/>
        </w:rPr>
        <w:t>exp1)</w:t>
      </w:r>
    </w:p>
    <w:p w14:paraId="469D46ED"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PM25_3=max1 - ((max1 - min1) / max(x</w:t>
      </w:r>
      <w:proofErr w:type="gramStart"/>
      <w:r w:rsidRPr="00AA7373">
        <w:rPr>
          <w:rFonts w:ascii="Courier New" w:hAnsi="Courier New" w:cs="Courier New"/>
          <w:sz w:val="20"/>
          <w:szCs w:val="20"/>
        </w:rPr>
        <w:t>))*</w:t>
      </w:r>
      <w:proofErr w:type="gramEnd"/>
      <w:r w:rsidRPr="00AA7373">
        <w:rPr>
          <w:rFonts w:ascii="Courier New" w:hAnsi="Courier New" w:cs="Courier New"/>
          <w:sz w:val="20"/>
          <w:szCs w:val="20"/>
        </w:rPr>
        <w:t>x</w:t>
      </w:r>
    </w:p>
    <w:p w14:paraId="1AB6C63F" w14:textId="77777777" w:rsidR="009F3F65" w:rsidRPr="00AA7373" w:rsidRDefault="009F3F65" w:rsidP="009F3F65">
      <w:pPr>
        <w:spacing w:after="0" w:line="240" w:lineRule="auto"/>
        <w:ind w:left="0" w:right="0" w:firstLine="0"/>
        <w:jc w:val="left"/>
        <w:rPr>
          <w:rFonts w:ascii="Courier New" w:hAnsi="Courier New" w:cs="Courier New"/>
          <w:sz w:val="20"/>
          <w:szCs w:val="20"/>
        </w:rPr>
      </w:pPr>
    </w:p>
    <w:p w14:paraId="70E011AF"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kg_lpg_pm25 &lt;- </w:t>
      </w:r>
      <w:proofErr w:type="spellStart"/>
      <w:proofErr w:type="gramStart"/>
      <w:r w:rsidRPr="00AA7373">
        <w:rPr>
          <w:rFonts w:ascii="Courier New" w:hAnsi="Courier New" w:cs="Courier New"/>
          <w:sz w:val="20"/>
          <w:szCs w:val="20"/>
        </w:rPr>
        <w:t>tibble</w:t>
      </w:r>
      <w:proofErr w:type="spellEnd"/>
      <w:r w:rsidRPr="00AA7373">
        <w:rPr>
          <w:rFonts w:ascii="Courier New" w:hAnsi="Courier New" w:cs="Courier New"/>
          <w:sz w:val="20"/>
          <w:szCs w:val="20"/>
        </w:rPr>
        <w:t>(</w:t>
      </w:r>
      <w:proofErr w:type="gramEnd"/>
    </w:p>
    <w:p w14:paraId="5F136C9F"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  </w:t>
      </w:r>
      <w:proofErr w:type="spellStart"/>
      <w:r w:rsidRPr="00AA7373">
        <w:rPr>
          <w:rFonts w:ascii="Courier New" w:hAnsi="Courier New" w:cs="Courier New"/>
          <w:sz w:val="20"/>
          <w:szCs w:val="20"/>
        </w:rPr>
        <w:t>kg_lpg</w:t>
      </w:r>
      <w:proofErr w:type="spellEnd"/>
      <w:r w:rsidRPr="00AA7373">
        <w:rPr>
          <w:rFonts w:ascii="Courier New" w:hAnsi="Courier New" w:cs="Courier New"/>
          <w:sz w:val="20"/>
          <w:szCs w:val="20"/>
        </w:rPr>
        <w:t xml:space="preserve"> = 1:55,</w:t>
      </w:r>
    </w:p>
    <w:p w14:paraId="073AE7F5"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  PM25_1 = PM25_1,</w:t>
      </w:r>
    </w:p>
    <w:p w14:paraId="79E14D76"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  PM25_2 = PM25_2,</w:t>
      </w:r>
    </w:p>
    <w:p w14:paraId="53658F31" w14:textId="77777777" w:rsidR="009F3F65" w:rsidRPr="00AA7373" w:rsidRDefault="009F3F65" w:rsidP="009F3F65">
      <w:pPr>
        <w:spacing w:after="0" w:line="240" w:lineRule="auto"/>
        <w:ind w:left="0" w:right="0" w:firstLine="0"/>
        <w:jc w:val="left"/>
        <w:rPr>
          <w:rFonts w:ascii="Courier New" w:hAnsi="Courier New" w:cs="Courier New"/>
          <w:sz w:val="20"/>
          <w:szCs w:val="20"/>
        </w:rPr>
      </w:pPr>
      <w:r w:rsidRPr="00AA7373">
        <w:rPr>
          <w:rFonts w:ascii="Courier New" w:hAnsi="Courier New" w:cs="Courier New"/>
          <w:sz w:val="20"/>
          <w:szCs w:val="20"/>
        </w:rPr>
        <w:t xml:space="preserve">  PM25_3 = PM25_3</w:t>
      </w:r>
    </w:p>
    <w:p w14:paraId="7A333738" w14:textId="221F7EF7" w:rsidR="00284030" w:rsidRPr="00B40337" w:rsidRDefault="009F3F65" w:rsidP="00284030">
      <w:pPr>
        <w:spacing w:after="0" w:line="240" w:lineRule="auto"/>
        <w:ind w:left="0" w:right="0" w:firstLine="0"/>
        <w:jc w:val="left"/>
        <w:rPr>
          <w:rFonts w:ascii="Times New Roman" w:hAnsi="Times New Roman" w:cs="Times New Roman"/>
        </w:rPr>
      </w:pPr>
      <w:r w:rsidRPr="00AA7373">
        <w:rPr>
          <w:rFonts w:ascii="Courier New" w:hAnsi="Courier New" w:cs="Courier New"/>
          <w:sz w:val="20"/>
          <w:szCs w:val="20"/>
        </w:rPr>
        <w:t>)</w:t>
      </w:r>
    </w:p>
    <w:p w14:paraId="61540AED" w14:textId="1325394E" w:rsidR="003D330D" w:rsidRPr="00B40337" w:rsidRDefault="003D330D" w:rsidP="009F3F65">
      <w:pPr>
        <w:spacing w:after="0" w:line="240" w:lineRule="auto"/>
        <w:ind w:left="0" w:right="0" w:firstLine="0"/>
        <w:jc w:val="left"/>
        <w:rPr>
          <w:rFonts w:ascii="Times New Roman" w:hAnsi="Times New Roman" w:cs="Times New Roman"/>
        </w:rPr>
      </w:pPr>
      <w:r w:rsidRPr="00B40337">
        <w:rPr>
          <w:rFonts w:ascii="Times New Roman" w:hAnsi="Times New Roman" w:cs="Times New Roman"/>
        </w:rPr>
        <w:br w:type="page"/>
      </w:r>
    </w:p>
    <w:p w14:paraId="70340CE6" w14:textId="77777777" w:rsidR="003D330D" w:rsidRPr="00B40337" w:rsidRDefault="003D330D" w:rsidP="00C32657">
      <w:pPr>
        <w:spacing w:after="0" w:line="480" w:lineRule="auto"/>
        <w:ind w:left="0" w:right="172" w:firstLine="0"/>
        <w:jc w:val="left"/>
        <w:rPr>
          <w:rFonts w:ascii="Times New Roman" w:hAnsi="Times New Roman" w:cs="Times New Roman"/>
          <w:i/>
          <w:iCs/>
        </w:rPr>
      </w:pPr>
      <w:r w:rsidRPr="00B40337">
        <w:rPr>
          <w:rFonts w:ascii="Times New Roman" w:hAnsi="Times New Roman" w:cs="Times New Roman"/>
          <w:i/>
          <w:iCs/>
        </w:rPr>
        <w:lastRenderedPageBreak/>
        <w:t>Other model inputs and parameters</w:t>
      </w:r>
    </w:p>
    <w:p w14:paraId="171F0098" w14:textId="77777777" w:rsidR="00DF11EE" w:rsidRPr="00B40337" w:rsidRDefault="00DF11EE" w:rsidP="00C32657">
      <w:pPr>
        <w:spacing w:after="0" w:line="480" w:lineRule="auto"/>
        <w:ind w:left="-15" w:right="172" w:firstLine="0"/>
        <w:jc w:val="left"/>
        <w:rPr>
          <w:rFonts w:ascii="Times New Roman" w:hAnsi="Times New Roman" w:cs="Times New Roman"/>
        </w:rPr>
      </w:pPr>
      <w:r w:rsidRPr="00B40337">
        <w:rPr>
          <w:rFonts w:ascii="Times New Roman" w:hAnsi="Times New Roman" w:cs="Times New Roman"/>
        </w:rPr>
        <w:t xml:space="preserve">We use predicted data on the size of Kenya’s population and crude mortality rate yearly from 2023–2030. These data are derived from the United Nations World Population Prospects 2022 (available </w:t>
      </w:r>
      <w:hyperlink r:id="rId22">
        <w:r w:rsidRPr="00B40337">
          <w:rPr>
            <w:rFonts w:ascii="Times New Roman" w:hAnsi="Times New Roman" w:cs="Times New Roman"/>
            <w:u w:val="single"/>
          </w:rPr>
          <w:t>here</w:t>
        </w:r>
        <w:r w:rsidRPr="00B40337">
          <w:rPr>
            <w:rFonts w:ascii="Times New Roman" w:hAnsi="Times New Roman" w:cs="Times New Roman"/>
          </w:rPr>
          <w:t>)</w:t>
        </w:r>
      </w:hyperlink>
      <w:r w:rsidRPr="00B40337">
        <w:rPr>
          <w:rFonts w:ascii="Times New Roman" w:hAnsi="Times New Roman" w:cs="Times New Roman"/>
        </w:rPr>
        <w:t>.</w:t>
      </w:r>
    </w:p>
    <w:p w14:paraId="1B668C15" w14:textId="56119149" w:rsidR="00DF11EE" w:rsidRPr="00B40337" w:rsidRDefault="00DF11EE" w:rsidP="00C32657">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Our choice of VSL (230,000 USD) comes from ref</w:t>
      </w:r>
      <w:r w:rsidR="004918A5" w:rsidRPr="00B40337">
        <w:rPr>
          <w:rFonts w:ascii="Times New Roman" w:hAnsi="Times New Roman" w:cs="Times New Roman"/>
        </w:rPr>
        <w:t xml:space="preserve"> </w:t>
      </w:r>
      <w:r w:rsidR="002F4045" w:rsidRPr="00B40337">
        <w:rPr>
          <w:rFonts w:ascii="Times New Roman" w:hAnsi="Times New Roman" w:cs="Times New Roman"/>
        </w:rPr>
        <w:fldChar w:fldCharType="begin"/>
      </w:r>
      <w:r w:rsidR="002F4045" w:rsidRPr="00B40337">
        <w:rPr>
          <w:rFonts w:ascii="Times New Roman" w:hAnsi="Times New Roman" w:cs="Times New Roman"/>
        </w:rPr>
        <w:instrText xml:space="preserve"> ADDIN ZOTERO_ITEM CSL_CITATION {"citationID":"vL4qVFLM","properties":{"formattedCitation":"({\\i{}20})","plainCitation":"(20)","noteIndex":0},"citationItems":[{"id":10971,"uris":["http://zotero.org/users/2607085/items/SEUJ9UU3"],"itemData":{"id":10971,"type":"article-journal","abstract":"Countries throughout the world use estimates of the value of a statistical life (VSL) to monetize fatality risks in benefit-cost analyses. However, the vast majority of countries lack reliable revealed preference or stated preference estimates of the VSL. This article proposes that the best way to calculate a population-average VSL for countries with insufficient or unreliable data is to transfer a base VSL from the United States calculated using labor market estimates from Census of Fatal Occupational Injuries data, coupled with adjustments for differences in income between the United States and the country of interest. This approach requires estimation of two critical inputs: a base U.S. VSL and the income elasticity of the VSL. Drawing upon previous meta-analyses that include adjustments for publication selection biases, we adopt a base VSL of $9.6 million. We utilize a sample of 953 VSL estimates from 68 labor market studies of the VSL covering fourteen lower-middle income to high income nations. We estimate the income elasticity of the VSL within the United States to be from 0.5 to 0.7 and to be just above 1.0 for non-U.S. countries. Quantile regression reveals that much of the disparity in income elasticities is attributable to income differences between the United States and other countries, as the income elasticity increases for lower income populations. Using income classifications from the World Bank, we calculate average VSLs in lower income, lower-middle income, upper-middle income, and upper income countries to be $107,000, $420,000, $1.2 million, and $6.4 million, respectively. We also present VSL estimates for all 189 countries for which World Bank income data are available, yielding a VSL range from $45,000 to $18.3 million.","container-title":"Journal of Benefit-Cost Analysis","DOI":"10.1017/bca.2017.12","ISSN":"2194-5888, 2152-2812","issue":"2","language":"en","note":"publisher: Cambridge University Press","page":"226-250","source":"Cambridge University Press","title":"Income Elasticities and Global Values of a Statistical Life","volume":"8","author":[{"family":"Viscusi","given":"W. Kip"},{"family":"Masterman","given":"Clayton J."}],"issued":{"date-parts":[["2017",7]]}}}],"schema":"https://github.com/citation-style-language/schema/raw/master/csl-citation.json"} </w:instrText>
      </w:r>
      <w:r w:rsidR="002F4045" w:rsidRPr="00B40337">
        <w:rPr>
          <w:rFonts w:ascii="Times New Roman" w:hAnsi="Times New Roman" w:cs="Times New Roman"/>
        </w:rPr>
        <w:fldChar w:fldCharType="separate"/>
      </w:r>
      <w:r w:rsidR="002F4045" w:rsidRPr="00B40337">
        <w:rPr>
          <w:rFonts w:ascii="Times New Roman" w:hAnsi="Times New Roman" w:cs="Times New Roman"/>
          <w:kern w:val="0"/>
        </w:rPr>
        <w:t>(</w:t>
      </w:r>
      <w:r w:rsidR="002F4045" w:rsidRPr="00B40337">
        <w:rPr>
          <w:rFonts w:ascii="Times New Roman" w:hAnsi="Times New Roman" w:cs="Times New Roman"/>
          <w:i/>
          <w:iCs/>
          <w:kern w:val="0"/>
        </w:rPr>
        <w:t>20</w:t>
      </w:r>
      <w:r w:rsidR="002F4045" w:rsidRPr="00B40337">
        <w:rPr>
          <w:rFonts w:ascii="Times New Roman" w:hAnsi="Times New Roman" w:cs="Times New Roman"/>
          <w:kern w:val="0"/>
        </w:rPr>
        <w:t>)</w:t>
      </w:r>
      <w:r w:rsidR="002F4045" w:rsidRPr="00B40337">
        <w:rPr>
          <w:rFonts w:ascii="Times New Roman" w:hAnsi="Times New Roman" w:cs="Times New Roman"/>
        </w:rPr>
        <w:fldChar w:fldCharType="end"/>
      </w:r>
      <w:r w:rsidR="004918A5" w:rsidRPr="00B40337">
        <w:rPr>
          <w:rFonts w:ascii="Times New Roman" w:hAnsi="Times New Roman" w:cs="Times New Roman"/>
        </w:rPr>
        <w:t>.</w:t>
      </w:r>
      <w:r w:rsidRPr="00B40337">
        <w:rPr>
          <w:rFonts w:ascii="Times New Roman" w:hAnsi="Times New Roman" w:cs="Times New Roman"/>
          <w:vertAlign w:val="superscript"/>
        </w:rPr>
        <w:t xml:space="preserve"> </w:t>
      </w:r>
    </w:p>
    <w:p w14:paraId="4818B255" w14:textId="7F94274F" w:rsidR="00DF11EE" w:rsidRPr="00B40337" w:rsidRDefault="00DF11EE" w:rsidP="00C32657">
      <w:pPr>
        <w:spacing w:after="0" w:line="480" w:lineRule="auto"/>
        <w:ind w:left="-15" w:right="172" w:firstLine="735"/>
        <w:jc w:val="left"/>
        <w:rPr>
          <w:rFonts w:ascii="Times New Roman" w:hAnsi="Times New Roman" w:cs="Times New Roman"/>
        </w:rPr>
      </w:pPr>
      <w:r w:rsidRPr="00B40337">
        <w:rPr>
          <w:rFonts w:ascii="Times New Roman" w:hAnsi="Times New Roman" w:cs="Times New Roman"/>
        </w:rPr>
        <w:t xml:space="preserve">We apply a social discount rate; according to </w:t>
      </w:r>
      <w:proofErr w:type="spellStart"/>
      <w:r w:rsidRPr="00B40337">
        <w:rPr>
          <w:rFonts w:ascii="Times New Roman" w:hAnsi="Times New Roman" w:cs="Times New Roman"/>
        </w:rPr>
        <w:t>Haacker</w:t>
      </w:r>
      <w:proofErr w:type="spellEnd"/>
      <w:r w:rsidRPr="00B40337">
        <w:rPr>
          <w:rFonts w:ascii="Times New Roman" w:hAnsi="Times New Roman" w:cs="Times New Roman"/>
        </w:rPr>
        <w:t xml:space="preserve"> et al. (2019)</w:t>
      </w:r>
      <w:r w:rsidRPr="00B40337">
        <w:rPr>
          <w:rFonts w:ascii="Times New Roman" w:hAnsi="Times New Roman" w:cs="Times New Roman"/>
        </w:rPr>
        <w:fldChar w:fldCharType="begin"/>
      </w:r>
      <w:r w:rsidR="00D76C23" w:rsidRPr="00B40337">
        <w:rPr>
          <w:rFonts w:ascii="Times New Roman" w:hAnsi="Times New Roman" w:cs="Times New Roman"/>
        </w:rPr>
        <w:instrText xml:space="preserve"> ADDIN ZOTERO_ITEM CSL_CITATION {"citationID":"FMt5N4i5","properties":{"formattedCitation":"({\\i{}14})","plainCitation":"(14)","noteIndex":0},"citationItems":[{"id":10978,"uris":["http://zotero.org/users/2607085/items/WQ99M6I5"],"itemData":{"id":10978,"type":"article-journal","abstract":"Abstract\n            Choices on discount rates have important implications for the outcomes of economic evaluations of health interventions and policies. In global health, such evaluations typically apply a discount rate of 3% for health outcomes and costs, mirroring guidance developed for high-income countries, notably the USA. The article investigates the suitability of these guidelines for global health [i.e. with a focus on low- and middle-income countries (LMICs)] and seeks to identify best practice. Our analysis builds on an overview of the academic literature on discounting in health evaluations, existing academic or government-related guidelines on discounting, a review on discount rates applied in economic evaluations in global health, and cross-country macroeconomic data. The social discount rate generally applied in global health of 3% annually is inconsistent with rates of economic growth experienced outside the most advanced economies. For low- and lower-middle-income countries, a discount rate of at least 5% is more appropriate, and one around 4% for upper-middle-income countries. Alternative approaches—e.g. motivated by the returns to alternative investments or by the cost of financing—could usefully be applied, dependent on policy context. The current practise could lead to systematic bias towards over-valuing the future costs and health benefits of interventions. For health economic evaluations in global health, guidelines on discounting need to be adapted to take account of the different economic contexts of LMICs.","container-title":"Health Policy and Planning","DOI":"10.1093/heapol/czz127","ISSN":"0268-1080, 1460-2237","language":"en","page":"czz127","source":"DOI.org (Crossref)","title":"On discount rates for economic evaluations in global health","author":[{"family":"Haacker","given":"Markus"},{"family":"Hallett","given":"Timothy B"},{"family":"Atun","given":"Rifat"}],"issued":{"date-parts":[["2019",10,18]]}}}],"schema":"https://github.com/citation-style-language/schema/raw/master/csl-citation.json"} </w:instrText>
      </w:r>
      <w:r w:rsidRPr="00B40337">
        <w:rPr>
          <w:rFonts w:ascii="Times New Roman" w:hAnsi="Times New Roman" w:cs="Times New Roman"/>
        </w:rPr>
        <w:fldChar w:fldCharType="separate"/>
      </w:r>
      <w:r w:rsidR="00D76C23" w:rsidRPr="00B40337">
        <w:rPr>
          <w:rFonts w:ascii="Times New Roman" w:hAnsi="Times New Roman" w:cs="Times New Roman"/>
          <w:kern w:val="0"/>
        </w:rPr>
        <w:t>(</w:t>
      </w:r>
      <w:r w:rsidR="00D76C23" w:rsidRPr="00B40337">
        <w:rPr>
          <w:rFonts w:ascii="Times New Roman" w:hAnsi="Times New Roman" w:cs="Times New Roman"/>
          <w:i/>
          <w:iCs/>
          <w:kern w:val="0"/>
        </w:rPr>
        <w:t>14</w:t>
      </w:r>
      <w:r w:rsidR="00D76C23" w:rsidRPr="00B40337">
        <w:rPr>
          <w:rFonts w:ascii="Times New Roman" w:hAnsi="Times New Roman" w:cs="Times New Roman"/>
          <w:kern w:val="0"/>
        </w:rPr>
        <w:t>)</w:t>
      </w:r>
      <w:r w:rsidRPr="00B40337">
        <w:rPr>
          <w:rFonts w:ascii="Times New Roman" w:hAnsi="Times New Roman" w:cs="Times New Roman"/>
        </w:rPr>
        <w:fldChar w:fldCharType="end"/>
      </w:r>
      <w:r w:rsidRPr="00B40337">
        <w:rPr>
          <w:rFonts w:ascii="Times New Roman" w:hAnsi="Times New Roman" w:cs="Times New Roman"/>
        </w:rPr>
        <w:t xml:space="preserve"> a discount rate of 5% is appropriate for low- and middle-income countries in global health analyses.</w:t>
      </w:r>
    </w:p>
    <w:p w14:paraId="767E4343" w14:textId="77777777" w:rsidR="00DF11EE" w:rsidRPr="00B40337" w:rsidRDefault="00DF11EE" w:rsidP="00C32657">
      <w:pPr>
        <w:spacing w:after="0" w:line="480" w:lineRule="auto"/>
        <w:ind w:left="-15" w:right="172" w:firstLine="735"/>
        <w:jc w:val="left"/>
        <w:rPr>
          <w:rFonts w:ascii="Times New Roman" w:hAnsi="Times New Roman" w:cs="Times New Roman"/>
        </w:rPr>
      </w:pPr>
    </w:p>
    <w:p w14:paraId="64E7601E" w14:textId="77777777" w:rsidR="00DF11EE" w:rsidRPr="00B40337" w:rsidRDefault="00DF11EE" w:rsidP="00C32657">
      <w:pPr>
        <w:pStyle w:val="Heading2"/>
      </w:pPr>
      <w:bookmarkStart w:id="12" w:name="_Toc161220519"/>
      <w:r w:rsidRPr="00B40337">
        <w:t>Mortality modeling</w:t>
      </w:r>
      <w:bookmarkEnd w:id="12"/>
    </w:p>
    <w:p w14:paraId="608DBCC6" w14:textId="6F408CD2" w:rsidR="00D36E0E" w:rsidRDefault="00DF11EE" w:rsidP="00284030">
      <w:pPr>
        <w:spacing w:line="480" w:lineRule="auto"/>
        <w:ind w:left="0" w:firstLine="0"/>
        <w:jc w:val="left"/>
        <w:rPr>
          <w:rFonts w:ascii="Times New Roman" w:hAnsi="Times New Roman" w:cs="Times New Roman"/>
        </w:rPr>
      </w:pPr>
      <w:r w:rsidRPr="00B40337">
        <w:rPr>
          <w:rFonts w:ascii="Times New Roman" w:hAnsi="Times New Roman" w:cs="Times New Roman"/>
        </w:rPr>
        <w:t xml:space="preserve">As in the India model, to estimate mortality damages, we estimate the number of people at each 1 kg/capita/year increment, which is directly mapped to personal PM2.5 exposure, as outlined above. For a given level of PM2.5 exposure, we use the GEMM to identify the mortality hazard ratio for that kg/capita/year increment population group. Applying this hazard ratio to the national crude mortality rate, we then estimate excess mortality relative to </w:t>
      </w:r>
      <w:r w:rsidR="007421A9">
        <w:rPr>
          <w:rFonts w:ascii="Times New Roman" w:hAnsi="Times New Roman" w:cs="Times New Roman"/>
        </w:rPr>
        <w:t xml:space="preserve">the </w:t>
      </w:r>
      <w:r w:rsidRPr="00B40337">
        <w:rPr>
          <w:rFonts w:ascii="Times New Roman" w:hAnsi="Times New Roman" w:cs="Times New Roman"/>
        </w:rPr>
        <w:t xml:space="preserve">‘theoretical minimum’ 2.4 </w:t>
      </w:r>
      <w:r w:rsidR="00E46136" w:rsidRPr="00B40337">
        <w:rPr>
          <w:rFonts w:ascii="Times New Roman" w:hAnsi="Times New Roman" w:cs="Times New Roman"/>
        </w:rPr>
        <w:t>µgm</w:t>
      </w:r>
      <w:r w:rsidR="00E46136" w:rsidRPr="00A319C8">
        <w:rPr>
          <w:rFonts w:ascii="Times New Roman" w:hAnsi="Times New Roman" w:cs="Times New Roman"/>
          <w:vertAlign w:val="superscript"/>
        </w:rPr>
        <w:t>-3</w:t>
      </w:r>
      <w:r w:rsidRPr="00B40337">
        <w:rPr>
          <w:rFonts w:ascii="Times New Roman" w:hAnsi="Times New Roman" w:cs="Times New Roman"/>
        </w:rPr>
        <w:t xml:space="preserve">. We then sum yearly excess mortality due to PM2.5 exposure within a year and estimate differences across scenarios within a year. We then apply VSLs (preferred, high, low), apply the social discount rate, and summarize across various model parameters: price change, price elasticities, and LPG consumption to PM2.5 exposure mapping.  </w:t>
      </w:r>
    </w:p>
    <w:p w14:paraId="19FAEB9B" w14:textId="77777777" w:rsidR="00284030" w:rsidRPr="00B40337" w:rsidRDefault="00284030" w:rsidP="00284030">
      <w:pPr>
        <w:spacing w:line="480" w:lineRule="auto"/>
        <w:ind w:left="0" w:firstLine="0"/>
        <w:jc w:val="left"/>
        <w:rPr>
          <w:rFonts w:ascii="Times New Roman" w:hAnsi="Times New Roman" w:cs="Times New Roman"/>
          <w:u w:val="single"/>
        </w:rPr>
      </w:pPr>
    </w:p>
    <w:p w14:paraId="031535B0" w14:textId="50E79D63" w:rsidR="0079527A" w:rsidRPr="00B40337" w:rsidRDefault="00000000" w:rsidP="00D306D0">
      <w:pPr>
        <w:pStyle w:val="Heading1"/>
      </w:pPr>
      <w:bookmarkStart w:id="13" w:name="_Toc161220520"/>
      <w:r w:rsidRPr="00B40337">
        <w:t>Estimating greenhouse gas emissions differences</w:t>
      </w:r>
      <w:r w:rsidR="00B36526" w:rsidRPr="00B40337">
        <w:t xml:space="preserve"> in all three case studies</w:t>
      </w:r>
      <w:bookmarkEnd w:id="13"/>
    </w:p>
    <w:p w14:paraId="2FC1E54B" w14:textId="49381323" w:rsidR="00D122A9" w:rsidRPr="00B40337" w:rsidRDefault="00D122A9" w:rsidP="00D122A9">
      <w:pPr>
        <w:spacing w:after="0" w:line="480" w:lineRule="auto"/>
        <w:ind w:left="-5" w:right="172"/>
        <w:jc w:val="left"/>
        <w:rPr>
          <w:rFonts w:ascii="Times New Roman" w:hAnsi="Times New Roman" w:cs="Times New Roman"/>
        </w:rPr>
      </w:pPr>
      <w:r w:rsidRPr="00B40337">
        <w:rPr>
          <w:rFonts w:ascii="Times New Roman" w:hAnsi="Times New Roman" w:cs="Times New Roman"/>
        </w:rPr>
        <w:t>To estimate the greenhouse gas emissions differences across scenarios we need to estimate total energy consumpt</w:t>
      </w:r>
      <w:r w:rsidR="00923033" w:rsidRPr="00B40337">
        <w:rPr>
          <w:rFonts w:ascii="Times New Roman" w:hAnsi="Times New Roman" w:cs="Times New Roman"/>
        </w:rPr>
        <w:t>ion</w:t>
      </w:r>
      <w:r w:rsidRPr="00B40337">
        <w:rPr>
          <w:rFonts w:ascii="Times New Roman" w:hAnsi="Times New Roman" w:cs="Times New Roman"/>
        </w:rPr>
        <w:t xml:space="preserve"> from each fuel and then translate these combustion estimates to emissions. To do so, we follow common, simple assumptions about daily energy consumption, fuel-</w:t>
      </w:r>
      <w:r w:rsidRPr="00B40337">
        <w:rPr>
          <w:rFonts w:ascii="Times New Roman" w:hAnsi="Times New Roman" w:cs="Times New Roman"/>
        </w:rPr>
        <w:lastRenderedPageBreak/>
        <w:t>specific combustion emissions, and the fraction of biomass that is renewably harvested (</w:t>
      </w:r>
      <w:proofErr w:type="spellStart"/>
      <w:r w:rsidRPr="00B40337">
        <w:rPr>
          <w:rFonts w:ascii="Times New Roman" w:hAnsi="Times New Roman" w:cs="Times New Roman"/>
        </w:rPr>
        <w:t>fNRB</w:t>
      </w:r>
      <w:proofErr w:type="spellEnd"/>
      <w:r w:rsidRPr="00B40337">
        <w:rPr>
          <w:rFonts w:ascii="Times New Roman" w:hAnsi="Times New Roman" w:cs="Times New Roman"/>
        </w:rPr>
        <w:t xml:space="preserve">) (and thus does not contribute to net emissions). Broadly we follow a reduced form of the approach outlined in </w:t>
      </w:r>
      <w:proofErr w:type="spellStart"/>
      <w:r w:rsidR="00DF0B37" w:rsidRPr="00B40337">
        <w:rPr>
          <w:rFonts w:ascii="Times New Roman" w:hAnsi="Times New Roman" w:cs="Times New Roman"/>
        </w:rPr>
        <w:t>Floess</w:t>
      </w:r>
      <w:proofErr w:type="spellEnd"/>
      <w:r w:rsidR="00DF0B37" w:rsidRPr="00B40337">
        <w:rPr>
          <w:rFonts w:ascii="Times New Roman" w:hAnsi="Times New Roman" w:cs="Times New Roman"/>
        </w:rPr>
        <w:t xml:space="preserve"> et al. (2023)</w:t>
      </w:r>
      <w:r w:rsidR="00B52698">
        <w:rPr>
          <w:rFonts w:ascii="Times New Roman" w:hAnsi="Times New Roman" w:cs="Times New Roman"/>
        </w:rPr>
        <w:t xml:space="preserve"> </w:t>
      </w:r>
      <w:r w:rsidR="00B9554B">
        <w:rPr>
          <w:rFonts w:ascii="Times New Roman" w:hAnsi="Times New Roman" w:cs="Times New Roman"/>
        </w:rPr>
        <w:fldChar w:fldCharType="begin"/>
      </w:r>
      <w:r w:rsidR="00B9554B">
        <w:rPr>
          <w:rFonts w:ascii="Times New Roman" w:hAnsi="Times New Roman" w:cs="Times New Roman"/>
        </w:rPr>
        <w:instrText xml:space="preserve"> ADDIN ZOTERO_ITEM CSL_CITATION {"citationID":"S63aKvaj","properties":{"formattedCitation":"({\\i{}21})","plainCitation":"(21)","noteIndex":0},"citationItems":[{"id":10945,"uris":["http://zotero.org/users/2607085/items/JVKL4LI3"],"itemData":{"id":10945,"type":"article-journal","abstract":"Nearly three billion people in low- and middle-income countries (LMICs) rely on polluting fuels, resulting in millions of avoidable deaths annually. Polluting fuels also emit short-lived climate forcers (SLCFs) and greenhouse gases (GHGs). Liquefied petroleum gas (LPG) and grid-based electricity are scalable alternatives to polluting fuels but have raised climate and health concerns. Here, we compare emissions and climate impacts of a business-as-usual household cooking fuel trajectory to four large-scale transitions to gas and/or grid electricity in 77 LMICs. We account for upstream and end-use emissions from gas and electric cooking, assuming electrical grids evolve according to the 2022 World Energy Outlook’s ‘Stated Policies’ Scenario. We input the emissions into a reduced-complexity climate model to estimate radiative forcing and temperature changes associated with each scenario. We find full transitions to LPG and/or electricity decrease emissions from both well-mixed GHG and SLCFs, resulting in a roughly 5 millikelvin global temperature reduction by 2040. Transitions to LPG and/or electricity also reduce annual emissions of PM2.5 by over 6 Mt (99%) by 2040, which would substantially lower health risks from household air pollution. Full transitions to LPG or grid electricity in LMICs improve climate impacts over BAU trajectories.","container-title":"Environmental Research Letters","DOI":"10.1088/1748-9326/acb501","ISSN":"1748-9326","issue":"3","journalAbbreviation":"Environ. Res. Lett.","language":"en","note":"publisher: IOP Publishing","page":"034010","source":"Institute of Physics","title":"Scaling up gas and electric cooking in low- and middle-income countries: climate threat or mitigation strategy with co-benefits?","title-short":"Scaling up gas and electric cooking in low- and middle-income countries","volume":"18","author":[{"family":"Floess","given":"Emily"},{"family":"Grieshop","given":"Andrew"},{"family":"Puzzolo","given":"Elisa"},{"family":"Pope","given":"Dan"},{"family":"Leach","given":"Nicholas"},{"family":"Smith","given":"Christopher J."},{"family":"Gill-Wiehl","given":"Annelise"},{"family":"Landesman","given":"Katherine"},{"family":"Bailis","given":"Rob"}],"issued":{"date-parts":[["2023",2]]}}}],"schema":"https://github.com/citation-style-language/schema/raw/master/csl-citation.json"} </w:instrText>
      </w:r>
      <w:r w:rsidR="00B9554B">
        <w:rPr>
          <w:rFonts w:ascii="Times New Roman" w:hAnsi="Times New Roman" w:cs="Times New Roman"/>
        </w:rPr>
        <w:fldChar w:fldCharType="separate"/>
      </w:r>
      <w:r w:rsidR="00B9554B" w:rsidRPr="00B9554B">
        <w:rPr>
          <w:rFonts w:ascii="Times New Roman" w:hAnsi="Times New Roman" w:cs="Times New Roman"/>
          <w:kern w:val="0"/>
        </w:rPr>
        <w:t>(</w:t>
      </w:r>
      <w:r w:rsidR="00B9554B" w:rsidRPr="00B9554B">
        <w:rPr>
          <w:rFonts w:ascii="Times New Roman" w:hAnsi="Times New Roman" w:cs="Times New Roman"/>
          <w:i/>
          <w:iCs/>
          <w:kern w:val="0"/>
        </w:rPr>
        <w:t>21</w:t>
      </w:r>
      <w:r w:rsidR="00B9554B" w:rsidRPr="00B9554B">
        <w:rPr>
          <w:rFonts w:ascii="Times New Roman" w:hAnsi="Times New Roman" w:cs="Times New Roman"/>
          <w:kern w:val="0"/>
        </w:rPr>
        <w:t>)</w:t>
      </w:r>
      <w:r w:rsidR="00B9554B">
        <w:rPr>
          <w:rFonts w:ascii="Times New Roman" w:hAnsi="Times New Roman" w:cs="Times New Roman"/>
        </w:rPr>
        <w:fldChar w:fldCharType="end"/>
      </w:r>
      <w:r w:rsidR="00DF0B37" w:rsidRPr="00B40337">
        <w:rPr>
          <w:rFonts w:ascii="Times New Roman" w:hAnsi="Times New Roman" w:cs="Times New Roman"/>
        </w:rPr>
        <w:t>.</w:t>
      </w:r>
    </w:p>
    <w:p w14:paraId="03214CDB" w14:textId="250382DB" w:rsidR="00D122A9" w:rsidRPr="00B40337" w:rsidRDefault="004C51B4" w:rsidP="00005956">
      <w:pPr>
        <w:spacing w:after="0" w:line="480" w:lineRule="auto"/>
        <w:ind w:left="-5" w:right="172"/>
        <w:jc w:val="left"/>
        <w:rPr>
          <w:rFonts w:ascii="Times New Roman" w:hAnsi="Times New Roman" w:cs="Times New Roman"/>
        </w:rPr>
      </w:pPr>
      <w:r w:rsidRPr="00B40337">
        <w:rPr>
          <w:rFonts w:ascii="Times New Roman" w:hAnsi="Times New Roman" w:cs="Times New Roman"/>
        </w:rPr>
        <w:tab/>
      </w:r>
      <w:r w:rsidRPr="00B40337">
        <w:rPr>
          <w:rFonts w:ascii="Times New Roman" w:hAnsi="Times New Roman" w:cs="Times New Roman"/>
        </w:rPr>
        <w:tab/>
      </w:r>
      <w:r w:rsidRPr="00B40337">
        <w:rPr>
          <w:rFonts w:ascii="Times New Roman" w:hAnsi="Times New Roman" w:cs="Times New Roman"/>
        </w:rPr>
        <w:tab/>
        <w:t xml:space="preserve">We rely on a set of emissions factors that quantify upstream and at-point-of-combustion contributions of cooking fuels to </w:t>
      </w:r>
      <w:r w:rsidR="007562E0" w:rsidRPr="00B40337">
        <w:rPr>
          <w:rFonts w:ascii="Times New Roman" w:hAnsi="Times New Roman" w:cs="Times New Roman"/>
        </w:rPr>
        <w:t>CO2, CH4, and N2</w:t>
      </w:r>
      <w:r w:rsidR="00A32CCD" w:rsidRPr="00B40337">
        <w:rPr>
          <w:rFonts w:ascii="Times New Roman" w:hAnsi="Times New Roman" w:cs="Times New Roman"/>
        </w:rPr>
        <w:t>O</w:t>
      </w:r>
      <w:r w:rsidRPr="00B40337">
        <w:rPr>
          <w:rFonts w:ascii="Times New Roman" w:hAnsi="Times New Roman" w:cs="Times New Roman"/>
        </w:rPr>
        <w:t>)</w:t>
      </w:r>
      <w:r w:rsidR="00BD1C09" w:rsidRPr="00B40337">
        <w:rPr>
          <w:rFonts w:ascii="Times New Roman" w:hAnsi="Times New Roman" w:cs="Times New Roman"/>
        </w:rPr>
        <w:t xml:space="preserve"> emissions, which are then converted to CO2-equivalent (CO2e) using global warming potentials (1, 27.8, and 273, respectively)</w:t>
      </w:r>
      <w:r w:rsidR="006E4466" w:rsidRPr="00B40337">
        <w:rPr>
          <w:rFonts w:ascii="Times New Roman" w:hAnsi="Times New Roman" w:cs="Times New Roman"/>
        </w:rPr>
        <w:t xml:space="preserve">. </w:t>
      </w:r>
      <w:r w:rsidR="00BD1C09" w:rsidRPr="00B40337">
        <w:rPr>
          <w:rFonts w:ascii="Times New Roman" w:hAnsi="Times New Roman" w:cs="Times New Roman"/>
        </w:rPr>
        <w:t>We have these emissions factors for firewood and LPG</w:t>
      </w:r>
      <w:r w:rsidR="00844A16" w:rsidRPr="00B40337">
        <w:rPr>
          <w:rFonts w:ascii="Times New Roman" w:hAnsi="Times New Roman" w:cs="Times New Roman"/>
        </w:rPr>
        <w:t xml:space="preserve"> in grams CO2e emitted per megajoule (MJ) delivered from fuel combustion. </w:t>
      </w:r>
      <w:r w:rsidR="00005956" w:rsidRPr="00B40337">
        <w:rPr>
          <w:rFonts w:ascii="Times New Roman" w:hAnsi="Times New Roman" w:cs="Times New Roman"/>
        </w:rPr>
        <w:t>For firewood, w</w:t>
      </w:r>
      <w:r w:rsidR="00D122A9" w:rsidRPr="00B40337">
        <w:rPr>
          <w:rFonts w:ascii="Times New Roman" w:hAnsi="Times New Roman" w:cs="Times New Roman"/>
        </w:rPr>
        <w:t xml:space="preserve">e defray a portion of related </w:t>
      </w:r>
      <w:r w:rsidR="00005956" w:rsidRPr="00B40337">
        <w:rPr>
          <w:rFonts w:ascii="Times New Roman" w:hAnsi="Times New Roman" w:cs="Times New Roman"/>
        </w:rPr>
        <w:t>emissions</w:t>
      </w:r>
      <w:r w:rsidR="00D122A9" w:rsidRPr="00B40337">
        <w:rPr>
          <w:rFonts w:ascii="Times New Roman" w:hAnsi="Times New Roman" w:cs="Times New Roman"/>
        </w:rPr>
        <w:t xml:space="preserve"> by multiplying it by the </w:t>
      </w:r>
      <w:proofErr w:type="spellStart"/>
      <w:r w:rsidR="00D122A9" w:rsidRPr="00B40337">
        <w:rPr>
          <w:rFonts w:ascii="Times New Roman" w:hAnsi="Times New Roman" w:cs="Times New Roman"/>
        </w:rPr>
        <w:t>fNRB</w:t>
      </w:r>
      <w:proofErr w:type="spellEnd"/>
      <w:r w:rsidR="00D122A9" w:rsidRPr="00B40337">
        <w:rPr>
          <w:rFonts w:ascii="Times New Roman" w:hAnsi="Times New Roman" w:cs="Times New Roman"/>
        </w:rPr>
        <w:t xml:space="preserve">. </w:t>
      </w:r>
      <w:r w:rsidR="00EB42BE" w:rsidRPr="00B40337">
        <w:rPr>
          <w:rFonts w:ascii="Times New Roman" w:hAnsi="Times New Roman" w:cs="Times New Roman"/>
        </w:rPr>
        <w:t>Where feasible, we apply country-</w:t>
      </w:r>
      <w:r w:rsidR="00353203" w:rsidRPr="00B40337">
        <w:rPr>
          <w:rFonts w:ascii="Times New Roman" w:hAnsi="Times New Roman" w:cs="Times New Roman"/>
        </w:rPr>
        <w:t>specific</w:t>
      </w:r>
      <w:r w:rsidR="00EB42BE" w:rsidRPr="00B40337">
        <w:rPr>
          <w:rFonts w:ascii="Times New Roman" w:hAnsi="Times New Roman" w:cs="Times New Roman"/>
        </w:rPr>
        <w:t xml:space="preserve"> </w:t>
      </w:r>
      <w:proofErr w:type="spellStart"/>
      <w:r w:rsidR="00EB42BE" w:rsidRPr="00B40337">
        <w:rPr>
          <w:rFonts w:ascii="Times New Roman" w:hAnsi="Times New Roman" w:cs="Times New Roman"/>
        </w:rPr>
        <w:t>fNRB</w:t>
      </w:r>
      <w:proofErr w:type="spellEnd"/>
      <w:r w:rsidR="00EB42BE" w:rsidRPr="00B40337">
        <w:rPr>
          <w:rFonts w:ascii="Times New Roman" w:hAnsi="Times New Roman" w:cs="Times New Roman"/>
        </w:rPr>
        <w:t xml:space="preserve"> values</w:t>
      </w:r>
      <w:r w:rsidR="00A449E6" w:rsidRPr="00B40337">
        <w:rPr>
          <w:rFonts w:ascii="Times New Roman" w:hAnsi="Times New Roman" w:cs="Times New Roman"/>
        </w:rPr>
        <w:t xml:space="preserve"> (India = 27%, Kenya = 6</w:t>
      </w:r>
      <w:r w:rsidR="00EF5EB5" w:rsidRPr="00B40337">
        <w:rPr>
          <w:rFonts w:ascii="Times New Roman" w:hAnsi="Times New Roman" w:cs="Times New Roman"/>
        </w:rPr>
        <w:t>1.1</w:t>
      </w:r>
      <w:r w:rsidR="00A449E6" w:rsidRPr="00B40337">
        <w:rPr>
          <w:rFonts w:ascii="Times New Roman" w:hAnsi="Times New Roman" w:cs="Times New Roman"/>
        </w:rPr>
        <w:t>%)</w:t>
      </w:r>
      <w:r w:rsidR="00EB42BE" w:rsidRPr="00B40337">
        <w:rPr>
          <w:rFonts w:ascii="Times New Roman" w:hAnsi="Times New Roman" w:cs="Times New Roman"/>
        </w:rPr>
        <w:t xml:space="preserve">. </w:t>
      </w:r>
      <w:r w:rsidR="00D122A9" w:rsidRPr="00B40337">
        <w:rPr>
          <w:rFonts w:ascii="Times New Roman" w:hAnsi="Times New Roman" w:cs="Times New Roman"/>
        </w:rPr>
        <w:t xml:space="preserve">Ecuador does not have a country-specific </w:t>
      </w:r>
      <w:proofErr w:type="spellStart"/>
      <w:r w:rsidR="00D122A9" w:rsidRPr="00B40337">
        <w:rPr>
          <w:rFonts w:ascii="Times New Roman" w:hAnsi="Times New Roman" w:cs="Times New Roman"/>
        </w:rPr>
        <w:t>fNRB</w:t>
      </w:r>
      <w:proofErr w:type="spellEnd"/>
      <w:r w:rsidR="00D122A9" w:rsidRPr="00B40337">
        <w:rPr>
          <w:rFonts w:ascii="Times New Roman" w:hAnsi="Times New Roman" w:cs="Times New Roman"/>
        </w:rPr>
        <w:t xml:space="preserve">, so we use the low- and middle-income country average of 28.8%, which is </w:t>
      </w:r>
      <w:proofErr w:type="gramStart"/>
      <w:r w:rsidR="00D122A9" w:rsidRPr="00B40337">
        <w:rPr>
          <w:rFonts w:ascii="Times New Roman" w:hAnsi="Times New Roman" w:cs="Times New Roman"/>
        </w:rPr>
        <w:t>similar to</w:t>
      </w:r>
      <w:proofErr w:type="gramEnd"/>
      <w:r w:rsidR="00D122A9" w:rsidRPr="00B40337">
        <w:rPr>
          <w:rFonts w:ascii="Times New Roman" w:hAnsi="Times New Roman" w:cs="Times New Roman"/>
        </w:rPr>
        <w:t xml:space="preserve"> nearby countries’ values (Colombia 29.7%, Peru 26.1%).</w:t>
      </w:r>
    </w:p>
    <w:p w14:paraId="77ECE697" w14:textId="77777777" w:rsidR="00D122A9" w:rsidRPr="00B40337" w:rsidRDefault="00D122A9" w:rsidP="00B054AE">
      <w:pPr>
        <w:pStyle w:val="Heading2"/>
      </w:pPr>
    </w:p>
    <w:p w14:paraId="6ACA6CE4" w14:textId="4611B919" w:rsidR="002C0E5E" w:rsidRPr="00B40337" w:rsidRDefault="009A33DB" w:rsidP="00FA022E">
      <w:pPr>
        <w:pStyle w:val="Heading2"/>
      </w:pPr>
      <w:bookmarkStart w:id="14" w:name="_Toc161220521"/>
      <w:r w:rsidRPr="00B40337">
        <w:t>Ecuador</w:t>
      </w:r>
      <w:bookmarkEnd w:id="14"/>
    </w:p>
    <w:p w14:paraId="44023D2C" w14:textId="3E6F8191" w:rsidR="00005956" w:rsidRPr="00B40337" w:rsidRDefault="00005956" w:rsidP="003D6ECF">
      <w:pPr>
        <w:tabs>
          <w:tab w:val="right" w:pos="9258"/>
        </w:tabs>
        <w:spacing w:after="0" w:line="480" w:lineRule="auto"/>
        <w:ind w:left="-15" w:right="0" w:firstLine="0"/>
        <w:jc w:val="left"/>
        <w:rPr>
          <w:rFonts w:ascii="Times New Roman" w:hAnsi="Times New Roman" w:cs="Times New Roman"/>
        </w:rPr>
      </w:pPr>
      <w:r w:rsidRPr="00B40337">
        <w:rPr>
          <w:rFonts w:ascii="Times New Roman" w:hAnsi="Times New Roman" w:cs="Times New Roman"/>
        </w:rPr>
        <w:t xml:space="preserve">In Ecuador, we model CO2e differences due to the subsidy </w:t>
      </w:r>
      <w:proofErr w:type="gramStart"/>
      <w:r w:rsidRPr="00B40337">
        <w:rPr>
          <w:rFonts w:ascii="Times New Roman" w:hAnsi="Times New Roman" w:cs="Times New Roman"/>
        </w:rPr>
        <w:t>on the basis of</w:t>
      </w:r>
      <w:proofErr w:type="gramEnd"/>
      <w:r w:rsidRPr="00B40337">
        <w:rPr>
          <w:rFonts w:ascii="Times New Roman" w:hAnsi="Times New Roman" w:cs="Times New Roman"/>
        </w:rPr>
        <w:t xml:space="preserve"> the fraction of the population primarily using LPG or biomass in a given year in the observed vs. 20-y delayed scenario. </w:t>
      </w:r>
      <w:r w:rsidR="00B42011" w:rsidRPr="00B40337">
        <w:rPr>
          <w:rFonts w:ascii="Times New Roman" w:hAnsi="Times New Roman" w:cs="Times New Roman"/>
        </w:rPr>
        <w:t>To</w:t>
      </w:r>
      <w:r w:rsidR="00623383" w:rsidRPr="00B40337">
        <w:rPr>
          <w:rFonts w:ascii="Times New Roman" w:hAnsi="Times New Roman" w:cs="Times New Roman"/>
        </w:rPr>
        <w:t xml:space="preserve"> do so, </w:t>
      </w:r>
      <w:r w:rsidR="00615133" w:rsidRPr="00B40337">
        <w:rPr>
          <w:rFonts w:ascii="Times New Roman" w:hAnsi="Times New Roman" w:cs="Times New Roman"/>
        </w:rPr>
        <w:t>we estimate the total MJ delivered for each fuel in each household</w:t>
      </w:r>
      <w:r w:rsidR="00C34094" w:rsidRPr="00B40337">
        <w:rPr>
          <w:rFonts w:ascii="Times New Roman" w:hAnsi="Times New Roman" w:cs="Times New Roman"/>
        </w:rPr>
        <w:t xml:space="preserve">, then by the population size, and by the emissions factors to obtain CO2e </w:t>
      </w:r>
      <w:r w:rsidR="00501362" w:rsidRPr="00B40337">
        <w:rPr>
          <w:rFonts w:ascii="Times New Roman" w:hAnsi="Times New Roman" w:cs="Times New Roman"/>
        </w:rPr>
        <w:t>estimates</w:t>
      </w:r>
      <w:r w:rsidR="00C34094" w:rsidRPr="00B40337">
        <w:rPr>
          <w:rFonts w:ascii="Times New Roman" w:hAnsi="Times New Roman" w:cs="Times New Roman"/>
        </w:rPr>
        <w:t xml:space="preserve"> for each year. </w:t>
      </w:r>
    </w:p>
    <w:p w14:paraId="573235EE" w14:textId="77777777" w:rsidR="0075205D" w:rsidRPr="00B40337" w:rsidRDefault="0075205D" w:rsidP="003D6ECF">
      <w:pPr>
        <w:tabs>
          <w:tab w:val="right" w:pos="9258"/>
        </w:tabs>
        <w:spacing w:after="0" w:line="480" w:lineRule="auto"/>
        <w:ind w:left="-15" w:right="0" w:firstLine="0"/>
        <w:jc w:val="left"/>
        <w:rPr>
          <w:rFonts w:ascii="Times New Roman" w:hAnsi="Times New Roman" w:cs="Times New Roman"/>
        </w:rPr>
      </w:pPr>
    </w:p>
    <w:p w14:paraId="41B7103E" w14:textId="0537AD5B" w:rsidR="0010270B" w:rsidRPr="00B40337" w:rsidRDefault="00000000" w:rsidP="003D6ECF">
      <w:pPr>
        <w:tabs>
          <w:tab w:val="right" w:pos="9258"/>
        </w:tabs>
        <w:spacing w:after="0" w:line="480" w:lineRule="auto"/>
        <w:ind w:left="-15" w:right="0" w:firstLine="0"/>
        <w:jc w:val="left"/>
        <w:rPr>
          <w:rFonts w:ascii="Times New Roman" w:hAnsi="Times New Roman" w:cs="Times New Roman"/>
          <w:i/>
          <w:iCs/>
        </w:rPr>
      </w:pPr>
      <w:r w:rsidRPr="00B40337">
        <w:rPr>
          <w:rFonts w:ascii="Times New Roman" w:hAnsi="Times New Roman" w:cs="Times New Roman"/>
          <w:i/>
          <w:iCs/>
        </w:rPr>
        <w:t>Biomass</w:t>
      </w:r>
    </w:p>
    <w:p w14:paraId="0B91F04C" w14:textId="01DF1D45" w:rsidR="003E1F88" w:rsidRPr="00B40337" w:rsidRDefault="00000000" w:rsidP="003D6ECF">
      <w:pPr>
        <w:tabs>
          <w:tab w:val="right" w:pos="9258"/>
        </w:tabs>
        <w:spacing w:after="0" w:line="480" w:lineRule="auto"/>
        <w:ind w:left="-15" w:right="0" w:firstLine="0"/>
        <w:jc w:val="left"/>
        <w:rPr>
          <w:rFonts w:ascii="Times New Roman" w:hAnsi="Times New Roman" w:cs="Times New Roman"/>
        </w:rPr>
      </w:pPr>
      <w:r w:rsidRPr="00B40337">
        <w:rPr>
          <w:rFonts w:ascii="Times New Roman" w:hAnsi="Times New Roman" w:cs="Times New Roman"/>
        </w:rPr>
        <w:t xml:space="preserve">We estimate CO2e emissions for biomass in a given year using the following </w:t>
      </w:r>
      <w:proofErr w:type="gramStart"/>
      <w:r w:rsidRPr="00B40337">
        <w:rPr>
          <w:rFonts w:ascii="Times New Roman" w:hAnsi="Times New Roman" w:cs="Times New Roman"/>
        </w:rPr>
        <w:t>equation</w:t>
      </w:r>
      <w:proofErr w:type="gramEnd"/>
    </w:p>
    <w:p w14:paraId="78BC4DD3" w14:textId="289136BC" w:rsidR="003E1F88" w:rsidRPr="00B40337" w:rsidRDefault="00000000" w:rsidP="003D6ECF">
      <w:pPr>
        <w:tabs>
          <w:tab w:val="center" w:pos="4529"/>
          <w:tab w:val="right" w:pos="9258"/>
        </w:tabs>
        <w:spacing w:after="0" w:line="480" w:lineRule="auto"/>
        <w:ind w:left="0" w:right="0" w:firstLine="0"/>
        <w:jc w:val="left"/>
        <w:rPr>
          <w:rFonts w:ascii="Times New Roman" w:hAnsi="Times New Roman" w:cs="Times New Roman"/>
        </w:rPr>
      </w:pPr>
      <w:r w:rsidRPr="00B40337">
        <w:rPr>
          <w:rFonts w:ascii="Times New Roman" w:hAnsi="Times New Roman" w:cs="Times New Roman"/>
          <w:sz w:val="22"/>
        </w:rPr>
        <w:tab/>
      </w:r>
      <w:r w:rsidRPr="00B40337">
        <w:rPr>
          <w:rFonts w:ascii="Times New Roman" w:hAnsi="Times New Roman" w:cs="Times New Roman"/>
          <w:i/>
        </w:rPr>
        <w:t>C</w:t>
      </w:r>
      <w:r w:rsidRPr="00B40337">
        <w:rPr>
          <w:rFonts w:ascii="Times New Roman" w:eastAsia="Cambria" w:hAnsi="Times New Roman" w:cs="Times New Roman"/>
          <w:i/>
        </w:rPr>
        <w:t>O</w:t>
      </w:r>
      <w:r w:rsidRPr="00B40337">
        <w:rPr>
          <w:rFonts w:ascii="Times New Roman" w:eastAsia="Cambria" w:hAnsi="Times New Roman" w:cs="Times New Roman"/>
        </w:rPr>
        <w:t>2</w:t>
      </w:r>
      <w:r w:rsidRPr="00B40337">
        <w:rPr>
          <w:rFonts w:ascii="Times New Roman" w:eastAsia="Cambria" w:hAnsi="Times New Roman" w:cs="Times New Roman"/>
          <w:i/>
        </w:rPr>
        <w:t>e</w:t>
      </w:r>
      <w:r w:rsidRPr="00B40337">
        <w:rPr>
          <w:rFonts w:ascii="Times New Roman" w:eastAsia="Cambria" w:hAnsi="Times New Roman" w:cs="Times New Roman"/>
          <w:i/>
          <w:vertAlign w:val="subscript"/>
        </w:rPr>
        <w:t xml:space="preserve">biomass </w:t>
      </w:r>
      <w:r w:rsidRPr="00B40337">
        <w:rPr>
          <w:rFonts w:ascii="Times New Roman" w:eastAsia="Cambria" w:hAnsi="Times New Roman" w:cs="Times New Roman"/>
        </w:rPr>
        <w:t xml:space="preserve">= </w:t>
      </w:r>
      <w:r w:rsidRPr="00B40337">
        <w:rPr>
          <w:rFonts w:ascii="Times New Roman" w:eastAsia="Cambria" w:hAnsi="Times New Roman" w:cs="Times New Roman"/>
          <w:i/>
        </w:rPr>
        <w:t>γ</w:t>
      </w:r>
      <w:r w:rsidR="00716FCD" w:rsidRPr="00B40337">
        <w:rPr>
          <w:rFonts w:ascii="Times New Roman" w:eastAsia="Cambria" w:hAnsi="Times New Roman" w:cs="Times New Roman"/>
          <w:i/>
        </w:rPr>
        <w:t xml:space="preserve"> </w:t>
      </w:r>
      <w:r w:rsidRPr="00B40337">
        <w:rPr>
          <w:rFonts w:ascii="Cambria Math" w:eastAsia="Cambria" w:hAnsi="Cambria Math" w:cs="Cambria Math"/>
        </w:rPr>
        <w:t>∗</w:t>
      </w:r>
      <w:r w:rsidR="00716FCD" w:rsidRPr="00B40337">
        <w:rPr>
          <w:rFonts w:ascii="Times New Roman" w:eastAsia="Cambria" w:hAnsi="Times New Roman" w:cs="Times New Roman"/>
        </w:rPr>
        <w:t xml:space="preserve"> </w:t>
      </w:r>
      <w:r w:rsidRPr="00B40337">
        <w:rPr>
          <w:rFonts w:ascii="Times New Roman" w:eastAsia="Cambria" w:hAnsi="Times New Roman" w:cs="Times New Roman"/>
          <w:i/>
        </w:rPr>
        <w:t xml:space="preserve">EF </w:t>
      </w:r>
      <w:r w:rsidRPr="00B40337">
        <w:rPr>
          <w:rFonts w:ascii="Cambria Math" w:eastAsia="Cambria" w:hAnsi="Cambria Math" w:cs="Cambria Math"/>
        </w:rPr>
        <w:t>∗</w:t>
      </w:r>
      <w:r w:rsidR="00716FCD" w:rsidRPr="00B40337">
        <w:rPr>
          <w:rFonts w:ascii="Times New Roman" w:eastAsia="Cambria" w:hAnsi="Times New Roman" w:cs="Times New Roman"/>
        </w:rPr>
        <w:t xml:space="preserve"> </w:t>
      </w:r>
      <w:r w:rsidRPr="00B40337">
        <w:rPr>
          <w:rFonts w:ascii="Times New Roman" w:eastAsia="Cambria" w:hAnsi="Times New Roman" w:cs="Times New Roman"/>
          <w:i/>
        </w:rPr>
        <w:t>ω</w:t>
      </w:r>
      <w:r w:rsidR="00716FCD" w:rsidRPr="00B40337">
        <w:rPr>
          <w:rFonts w:ascii="Times New Roman" w:eastAsia="Cambria" w:hAnsi="Times New Roman" w:cs="Times New Roman"/>
          <w:i/>
        </w:rPr>
        <w:t xml:space="preserve"> </w:t>
      </w:r>
      <w:r w:rsidRPr="00B40337">
        <w:rPr>
          <w:rFonts w:ascii="Cambria Math" w:eastAsia="Cambria" w:hAnsi="Cambria Math" w:cs="Cambria Math"/>
        </w:rPr>
        <w:t>∗</w:t>
      </w:r>
      <w:r w:rsidR="00716FCD" w:rsidRPr="00B40337">
        <w:rPr>
          <w:rFonts w:ascii="Times New Roman" w:eastAsia="Cambria" w:hAnsi="Times New Roman" w:cs="Times New Roman"/>
        </w:rPr>
        <w:t xml:space="preserve"> </w:t>
      </w:r>
      <w:r w:rsidR="00752226" w:rsidRPr="00B40337">
        <w:rPr>
          <w:rFonts w:ascii="Times New Roman" w:eastAsia="Cambria" w:hAnsi="Times New Roman" w:cs="Times New Roman"/>
        </w:rPr>
        <w:t>7.3</w:t>
      </w:r>
      <w:r w:rsidR="00716FCD" w:rsidRPr="00B40337">
        <w:rPr>
          <w:rFonts w:ascii="Times New Roman" w:eastAsia="Cambria" w:hAnsi="Times New Roman" w:cs="Times New Roman"/>
        </w:rPr>
        <w:t xml:space="preserve"> </w:t>
      </w:r>
      <w:r w:rsidRPr="00B40337">
        <w:rPr>
          <w:rFonts w:ascii="Times New Roman" w:eastAsia="Cambria" w:hAnsi="Times New Roman" w:cs="Times New Roman"/>
          <w:i/>
        </w:rPr>
        <w:t>MJ</w:t>
      </w:r>
      <w:r w:rsidR="00A143AF" w:rsidRPr="00B40337">
        <w:rPr>
          <w:rFonts w:ascii="Times New Roman" w:eastAsia="Cambria" w:hAnsi="Times New Roman" w:cs="Times New Roman"/>
          <w:i/>
        </w:rPr>
        <w:t xml:space="preserve"> / person / day </w:t>
      </w:r>
      <w:r w:rsidRPr="00B40337">
        <w:rPr>
          <w:rFonts w:ascii="Cambria Math" w:eastAsia="Cambria" w:hAnsi="Cambria Math" w:cs="Cambria Math"/>
        </w:rPr>
        <w:t>∗</w:t>
      </w:r>
      <w:r w:rsidR="00A143AF" w:rsidRPr="00B40337">
        <w:rPr>
          <w:rFonts w:ascii="Times New Roman" w:eastAsia="Cambria" w:hAnsi="Times New Roman" w:cs="Times New Roman"/>
        </w:rPr>
        <w:t xml:space="preserve"> </w:t>
      </w:r>
      <w:r w:rsidRPr="00B40337">
        <w:rPr>
          <w:rFonts w:ascii="Times New Roman" w:eastAsia="Cambria" w:hAnsi="Times New Roman" w:cs="Times New Roman"/>
        </w:rPr>
        <w:t>365</w:t>
      </w:r>
      <w:r w:rsidR="003F4E68" w:rsidRPr="00B40337">
        <w:rPr>
          <w:rFonts w:ascii="Times New Roman" w:eastAsia="Cambria" w:hAnsi="Times New Roman" w:cs="Times New Roman"/>
        </w:rPr>
        <w:t xml:space="preserve"> </w:t>
      </w:r>
      <w:r w:rsidRPr="00B40337">
        <w:rPr>
          <w:rFonts w:ascii="Times New Roman" w:eastAsia="Cambria" w:hAnsi="Times New Roman" w:cs="Times New Roman"/>
          <w:i/>
        </w:rPr>
        <w:t>days</w:t>
      </w:r>
      <w:r w:rsidR="00A143AF" w:rsidRPr="00B40337">
        <w:rPr>
          <w:rFonts w:ascii="Times New Roman" w:eastAsia="Cambria" w:hAnsi="Times New Roman" w:cs="Times New Roman"/>
          <w:i/>
        </w:rPr>
        <w:t xml:space="preserve"> </w:t>
      </w:r>
      <w:r w:rsidRPr="00B40337">
        <w:rPr>
          <w:rFonts w:ascii="Cambria Math" w:eastAsia="Cambria" w:hAnsi="Cambria Math" w:cs="Cambria Math"/>
        </w:rPr>
        <w:t>∗</w:t>
      </w:r>
      <w:r w:rsidR="00A143AF" w:rsidRPr="00B40337">
        <w:rPr>
          <w:rFonts w:ascii="Times New Roman" w:eastAsia="Cambria" w:hAnsi="Times New Roman" w:cs="Times New Roman"/>
        </w:rPr>
        <w:t xml:space="preserve"> </w:t>
      </w:r>
      <w:proofErr w:type="spellStart"/>
      <w:r w:rsidRPr="00B40337">
        <w:rPr>
          <w:rFonts w:ascii="Times New Roman" w:eastAsia="Cambria" w:hAnsi="Times New Roman" w:cs="Times New Roman"/>
          <w:i/>
        </w:rPr>
        <w:t>fNRB</w:t>
      </w:r>
      <w:proofErr w:type="spellEnd"/>
      <w:r w:rsidRPr="00B40337">
        <w:rPr>
          <w:rFonts w:ascii="Times New Roman" w:eastAsia="Cambria" w:hAnsi="Times New Roman" w:cs="Times New Roman"/>
          <w:i/>
        </w:rPr>
        <w:tab/>
      </w:r>
      <w:r w:rsidRPr="00B40337">
        <w:rPr>
          <w:rFonts w:ascii="Times New Roman" w:hAnsi="Times New Roman" w:cs="Times New Roman"/>
        </w:rPr>
        <w:t>(2)</w:t>
      </w:r>
    </w:p>
    <w:p w14:paraId="141ECCC4" w14:textId="77777777" w:rsidR="008C626D" w:rsidRPr="00B40337" w:rsidRDefault="008C626D" w:rsidP="008C626D">
      <w:pPr>
        <w:spacing w:after="0" w:line="480" w:lineRule="auto"/>
        <w:ind w:left="-15" w:right="172" w:firstLine="0"/>
        <w:jc w:val="left"/>
        <w:rPr>
          <w:rFonts w:ascii="Times New Roman" w:hAnsi="Times New Roman" w:cs="Times New Roman"/>
        </w:rPr>
      </w:pPr>
      <w:r w:rsidRPr="00B40337">
        <w:rPr>
          <w:rFonts w:ascii="Times New Roman" w:hAnsi="Times New Roman" w:cs="Times New Roman"/>
        </w:rPr>
        <w:lastRenderedPageBreak/>
        <w:t xml:space="preserve">where </w:t>
      </w:r>
      <w:r w:rsidRPr="00B40337">
        <w:rPr>
          <w:rFonts w:ascii="Times New Roman" w:eastAsia="Cambria" w:hAnsi="Times New Roman" w:cs="Times New Roman"/>
          <w:i/>
        </w:rPr>
        <w:t xml:space="preserve">γ </w:t>
      </w:r>
      <w:r w:rsidRPr="00B40337">
        <w:rPr>
          <w:rFonts w:ascii="Times New Roman" w:hAnsi="Times New Roman" w:cs="Times New Roman"/>
        </w:rPr>
        <w:t xml:space="preserve">is the total population using biomass and </w:t>
      </w:r>
      <w:r w:rsidRPr="00B40337">
        <w:rPr>
          <w:rFonts w:ascii="Times New Roman" w:eastAsia="Cambria" w:hAnsi="Times New Roman" w:cs="Times New Roman"/>
          <w:i/>
        </w:rPr>
        <w:t xml:space="preserve">ω </w:t>
      </w:r>
      <w:r w:rsidRPr="00B40337">
        <w:rPr>
          <w:rFonts w:ascii="Times New Roman" w:hAnsi="Times New Roman" w:cs="Times New Roman"/>
        </w:rPr>
        <w:t xml:space="preserve">is the fraction of cooking that is done using biomass.  The emissions factor (EF) is estimated from </w:t>
      </w:r>
      <w:proofErr w:type="spellStart"/>
      <w:r w:rsidRPr="00B40337">
        <w:rPr>
          <w:rFonts w:ascii="Times New Roman" w:hAnsi="Times New Roman" w:cs="Times New Roman"/>
        </w:rPr>
        <w:t>Floess</w:t>
      </w:r>
      <w:proofErr w:type="spellEnd"/>
      <w:r w:rsidRPr="00B40337">
        <w:rPr>
          <w:rFonts w:ascii="Times New Roman" w:hAnsi="Times New Roman" w:cs="Times New Roman"/>
        </w:rPr>
        <w:t xml:space="preserve"> et al. indicate that per megajoule energy delivered from biomass combustion the following are emitted: 3.87g CH4, 0g N2O, and 633.7g CO2. Given that these are per MJ delivered, they already take into consideration the energy efficiency of typical stoves. For LPG, this was 50%; for biomass it was 15%. Using global warming potentials (GWPs), we can estimate the equivalent emissions from CH4 and N2O to CO2 using standard factors of 28, 273, and 1, respectively. We estimate that per MJ delivered biomass combustion is associated with 741g CO2e. This then gets multiplied by the </w:t>
      </w:r>
      <w:proofErr w:type="spellStart"/>
      <w:r w:rsidRPr="00B40337">
        <w:rPr>
          <w:rFonts w:ascii="Times New Roman" w:hAnsi="Times New Roman" w:cs="Times New Roman"/>
        </w:rPr>
        <w:t>fNRB</w:t>
      </w:r>
      <w:proofErr w:type="spellEnd"/>
      <w:r w:rsidRPr="00B40337">
        <w:rPr>
          <w:rFonts w:ascii="Times New Roman" w:hAnsi="Times New Roman" w:cs="Times New Roman"/>
        </w:rPr>
        <w:t xml:space="preserve"> (28.8%), yielding estimates for Ecuador of 290g CO2e per MJ biomass delivered.</w:t>
      </w:r>
    </w:p>
    <w:p w14:paraId="25FC0241" w14:textId="77777777" w:rsidR="00FE3836" w:rsidRPr="00B40337" w:rsidRDefault="00FE3836" w:rsidP="003D6ECF">
      <w:pPr>
        <w:tabs>
          <w:tab w:val="center" w:pos="4681"/>
        </w:tabs>
        <w:spacing w:after="0" w:line="480" w:lineRule="auto"/>
        <w:ind w:left="-15" w:right="0" w:firstLine="0"/>
        <w:jc w:val="left"/>
        <w:rPr>
          <w:rFonts w:ascii="Times New Roman" w:hAnsi="Times New Roman" w:cs="Times New Roman"/>
          <w:i/>
          <w:iCs/>
        </w:rPr>
      </w:pPr>
    </w:p>
    <w:p w14:paraId="1AE822E0" w14:textId="43B7AAD5" w:rsidR="00571570" w:rsidRPr="00B40337" w:rsidRDefault="00000000" w:rsidP="00D713A1">
      <w:pPr>
        <w:tabs>
          <w:tab w:val="center" w:pos="4681"/>
        </w:tabs>
        <w:spacing w:after="0" w:line="480" w:lineRule="auto"/>
        <w:ind w:left="-15" w:right="0" w:firstLine="0"/>
        <w:jc w:val="left"/>
        <w:rPr>
          <w:rFonts w:ascii="Times New Roman" w:hAnsi="Times New Roman" w:cs="Times New Roman"/>
        </w:rPr>
      </w:pPr>
      <w:r w:rsidRPr="00B40337">
        <w:rPr>
          <w:rFonts w:ascii="Times New Roman" w:hAnsi="Times New Roman" w:cs="Times New Roman"/>
          <w:i/>
          <w:iCs/>
        </w:rPr>
        <w:t>LPG</w:t>
      </w:r>
      <w:r w:rsidRPr="00B40337">
        <w:rPr>
          <w:rFonts w:ascii="Times New Roman" w:hAnsi="Times New Roman" w:cs="Times New Roman"/>
        </w:rPr>
        <w:tab/>
      </w:r>
    </w:p>
    <w:p w14:paraId="5E4ED54E" w14:textId="434DCDDD" w:rsidR="003E1F88" w:rsidRPr="00B40337" w:rsidRDefault="00000000" w:rsidP="003D6ECF">
      <w:pPr>
        <w:tabs>
          <w:tab w:val="center" w:pos="4681"/>
        </w:tabs>
        <w:spacing w:after="0" w:line="480" w:lineRule="auto"/>
        <w:ind w:left="-15" w:right="0" w:firstLine="0"/>
        <w:jc w:val="left"/>
        <w:rPr>
          <w:rFonts w:ascii="Times New Roman" w:hAnsi="Times New Roman" w:cs="Times New Roman"/>
        </w:rPr>
      </w:pPr>
      <w:r w:rsidRPr="00B40337">
        <w:rPr>
          <w:rFonts w:ascii="Times New Roman" w:hAnsi="Times New Roman" w:cs="Times New Roman"/>
        </w:rPr>
        <w:t xml:space="preserve">We estimate CO2e emissions for LPG </w:t>
      </w:r>
      <w:r w:rsidR="001C33DB" w:rsidRPr="00B40337">
        <w:rPr>
          <w:rFonts w:ascii="Times New Roman" w:hAnsi="Times New Roman" w:cs="Times New Roman"/>
        </w:rPr>
        <w:t>each year</w:t>
      </w:r>
      <w:r w:rsidRPr="00B40337">
        <w:rPr>
          <w:rFonts w:ascii="Times New Roman" w:hAnsi="Times New Roman" w:cs="Times New Roman"/>
        </w:rPr>
        <w:t xml:space="preserve"> using the following equation</w:t>
      </w:r>
      <w:r w:rsidR="00024591" w:rsidRPr="00B40337">
        <w:rPr>
          <w:rFonts w:ascii="Times New Roman" w:hAnsi="Times New Roman" w:cs="Times New Roman"/>
        </w:rPr>
        <w:t>:</w:t>
      </w:r>
    </w:p>
    <w:p w14:paraId="115A015B" w14:textId="0E3F7E5D" w:rsidR="003E1F88" w:rsidRPr="00B40337" w:rsidRDefault="00000000" w:rsidP="003D6ECF">
      <w:pPr>
        <w:tabs>
          <w:tab w:val="center" w:pos="4535"/>
          <w:tab w:val="right" w:pos="9258"/>
        </w:tabs>
        <w:spacing w:after="0" w:line="480" w:lineRule="auto"/>
        <w:ind w:left="0" w:right="0" w:firstLine="0"/>
        <w:jc w:val="left"/>
        <w:rPr>
          <w:rFonts w:ascii="Times New Roman" w:hAnsi="Times New Roman" w:cs="Times New Roman"/>
        </w:rPr>
      </w:pPr>
      <w:r w:rsidRPr="00B40337">
        <w:rPr>
          <w:rFonts w:ascii="Times New Roman" w:hAnsi="Times New Roman" w:cs="Times New Roman"/>
          <w:sz w:val="22"/>
        </w:rPr>
        <w:tab/>
      </w:r>
      <w:r w:rsidRPr="00B40337">
        <w:rPr>
          <w:rFonts w:ascii="Times New Roman" w:hAnsi="Times New Roman" w:cs="Times New Roman"/>
          <w:i/>
        </w:rPr>
        <w:t>C</w:t>
      </w:r>
      <w:r w:rsidRPr="00B40337">
        <w:rPr>
          <w:rFonts w:ascii="Times New Roman" w:eastAsia="Cambria" w:hAnsi="Times New Roman" w:cs="Times New Roman"/>
          <w:i/>
        </w:rPr>
        <w:t>O</w:t>
      </w:r>
      <w:r w:rsidRPr="00B40337">
        <w:rPr>
          <w:rFonts w:ascii="Times New Roman" w:eastAsia="Cambria" w:hAnsi="Times New Roman" w:cs="Times New Roman"/>
        </w:rPr>
        <w:t>2</w:t>
      </w:r>
      <w:r w:rsidRPr="00B40337">
        <w:rPr>
          <w:rFonts w:ascii="Times New Roman" w:eastAsia="Cambria" w:hAnsi="Times New Roman" w:cs="Times New Roman"/>
          <w:i/>
        </w:rPr>
        <w:t>e</w:t>
      </w:r>
      <w:r w:rsidRPr="00B40337">
        <w:rPr>
          <w:rFonts w:ascii="Times New Roman" w:eastAsia="Cambria" w:hAnsi="Times New Roman" w:cs="Times New Roman"/>
          <w:i/>
          <w:vertAlign w:val="subscript"/>
        </w:rPr>
        <w:t xml:space="preserve">LPG </w:t>
      </w:r>
      <w:r w:rsidRPr="00B40337">
        <w:rPr>
          <w:rFonts w:ascii="Times New Roman" w:eastAsia="Cambria" w:hAnsi="Times New Roman" w:cs="Times New Roman"/>
        </w:rPr>
        <w:t xml:space="preserve">= </w:t>
      </w:r>
      <w:r w:rsidRPr="00B40337">
        <w:rPr>
          <w:rFonts w:ascii="Times New Roman" w:eastAsia="Cambria" w:hAnsi="Times New Roman" w:cs="Times New Roman"/>
          <w:i/>
        </w:rPr>
        <w:t>γ</w:t>
      </w:r>
      <w:r w:rsidR="00735A40" w:rsidRPr="00B40337">
        <w:rPr>
          <w:rFonts w:ascii="Times New Roman" w:eastAsia="Cambria" w:hAnsi="Times New Roman" w:cs="Times New Roman"/>
          <w:i/>
        </w:rPr>
        <w:t xml:space="preserve"> </w:t>
      </w:r>
      <w:r w:rsidRPr="00B40337">
        <w:rPr>
          <w:rFonts w:ascii="Cambria Math" w:eastAsia="Cambria" w:hAnsi="Cambria Math" w:cs="Cambria Math"/>
        </w:rPr>
        <w:t>∗</w:t>
      </w:r>
      <w:r w:rsidR="00735A40" w:rsidRPr="00B40337">
        <w:rPr>
          <w:rFonts w:ascii="Times New Roman" w:eastAsia="Cambria" w:hAnsi="Times New Roman" w:cs="Times New Roman"/>
        </w:rPr>
        <w:t xml:space="preserve"> </w:t>
      </w:r>
      <w:r w:rsidRPr="00B40337">
        <w:rPr>
          <w:rFonts w:ascii="Times New Roman" w:eastAsia="Cambria" w:hAnsi="Times New Roman" w:cs="Times New Roman"/>
          <w:i/>
        </w:rPr>
        <w:t xml:space="preserve">EF </w:t>
      </w:r>
      <w:r w:rsidRPr="00B40337">
        <w:rPr>
          <w:rFonts w:ascii="Cambria Math" w:eastAsia="Cambria" w:hAnsi="Cambria Math" w:cs="Cambria Math"/>
        </w:rPr>
        <w:t>∗</w:t>
      </w:r>
      <w:r w:rsidR="00735A40" w:rsidRPr="00B40337">
        <w:rPr>
          <w:rFonts w:ascii="Times New Roman" w:eastAsia="Cambria" w:hAnsi="Times New Roman" w:cs="Times New Roman"/>
        </w:rPr>
        <w:t xml:space="preserve"> </w:t>
      </w:r>
      <w:r w:rsidRPr="00B40337">
        <w:rPr>
          <w:rFonts w:ascii="Times New Roman" w:eastAsia="Cambria" w:hAnsi="Times New Roman" w:cs="Times New Roman"/>
          <w:i/>
        </w:rPr>
        <w:t>ω</w:t>
      </w:r>
      <w:r w:rsidR="00735A40" w:rsidRPr="00B40337">
        <w:rPr>
          <w:rFonts w:ascii="Times New Roman" w:eastAsia="Cambria" w:hAnsi="Times New Roman" w:cs="Times New Roman"/>
          <w:i/>
        </w:rPr>
        <w:t xml:space="preserve"> </w:t>
      </w:r>
      <w:r w:rsidRPr="00B40337">
        <w:rPr>
          <w:rFonts w:ascii="Cambria Math" w:eastAsia="Cambria" w:hAnsi="Cambria Math" w:cs="Cambria Math"/>
        </w:rPr>
        <w:t>∗</w:t>
      </w:r>
      <w:r w:rsidR="00735A40" w:rsidRPr="00B40337">
        <w:rPr>
          <w:rFonts w:ascii="Times New Roman" w:eastAsia="Cambria" w:hAnsi="Times New Roman" w:cs="Times New Roman"/>
        </w:rPr>
        <w:t xml:space="preserve"> </w:t>
      </w:r>
      <w:r w:rsidR="002C64DF" w:rsidRPr="00B40337">
        <w:rPr>
          <w:rFonts w:ascii="Times New Roman" w:eastAsia="Cambria" w:hAnsi="Times New Roman" w:cs="Times New Roman"/>
        </w:rPr>
        <w:t>7.3</w:t>
      </w:r>
      <w:r w:rsidR="00735A40" w:rsidRPr="00B40337">
        <w:rPr>
          <w:rFonts w:ascii="Times New Roman" w:eastAsia="Cambria" w:hAnsi="Times New Roman" w:cs="Times New Roman"/>
        </w:rPr>
        <w:t xml:space="preserve"> </w:t>
      </w:r>
      <w:r w:rsidRPr="00B40337">
        <w:rPr>
          <w:rFonts w:ascii="Times New Roman" w:eastAsia="Cambria" w:hAnsi="Times New Roman" w:cs="Times New Roman"/>
          <w:i/>
        </w:rPr>
        <w:t>MJ</w:t>
      </w:r>
      <w:r w:rsidR="00735A40" w:rsidRPr="00B40337">
        <w:rPr>
          <w:rFonts w:ascii="Times New Roman" w:eastAsia="Cambria" w:hAnsi="Times New Roman" w:cs="Times New Roman"/>
          <w:i/>
        </w:rPr>
        <w:t xml:space="preserve"> / </w:t>
      </w:r>
      <w:r w:rsidRPr="00B40337">
        <w:rPr>
          <w:rFonts w:ascii="Times New Roman" w:eastAsia="Cambria" w:hAnsi="Times New Roman" w:cs="Times New Roman"/>
          <w:i/>
        </w:rPr>
        <w:t>person</w:t>
      </w:r>
      <w:r w:rsidR="00735A40" w:rsidRPr="00B40337">
        <w:rPr>
          <w:rFonts w:ascii="Times New Roman" w:eastAsia="Cambria" w:hAnsi="Times New Roman" w:cs="Times New Roman"/>
          <w:i/>
        </w:rPr>
        <w:t>/</w:t>
      </w:r>
      <w:r w:rsidRPr="00B40337">
        <w:rPr>
          <w:rFonts w:ascii="Times New Roman" w:eastAsia="Cambria" w:hAnsi="Times New Roman" w:cs="Times New Roman"/>
          <w:i/>
        </w:rPr>
        <w:t>day</w:t>
      </w:r>
      <w:r w:rsidR="00735A40" w:rsidRPr="00B40337">
        <w:rPr>
          <w:rFonts w:ascii="Times New Roman" w:eastAsia="Cambria" w:hAnsi="Times New Roman" w:cs="Times New Roman"/>
          <w:i/>
        </w:rPr>
        <w:t xml:space="preserve"> </w:t>
      </w:r>
      <w:r w:rsidRPr="00B40337">
        <w:rPr>
          <w:rFonts w:ascii="Cambria Math" w:eastAsia="Cambria" w:hAnsi="Cambria Math" w:cs="Cambria Math"/>
        </w:rPr>
        <w:t>∗</w:t>
      </w:r>
      <w:r w:rsidR="00735A40" w:rsidRPr="00B40337">
        <w:rPr>
          <w:rFonts w:ascii="Times New Roman" w:eastAsia="Cambria" w:hAnsi="Times New Roman" w:cs="Times New Roman"/>
        </w:rPr>
        <w:t xml:space="preserve"> </w:t>
      </w:r>
      <w:r w:rsidRPr="00B40337">
        <w:rPr>
          <w:rFonts w:ascii="Times New Roman" w:eastAsia="Cambria" w:hAnsi="Times New Roman" w:cs="Times New Roman"/>
        </w:rPr>
        <w:t>365</w:t>
      </w:r>
      <w:r w:rsidR="003F4E68" w:rsidRPr="00B40337">
        <w:rPr>
          <w:rFonts w:ascii="Times New Roman" w:eastAsia="Cambria" w:hAnsi="Times New Roman" w:cs="Times New Roman"/>
        </w:rPr>
        <w:t xml:space="preserve"> </w:t>
      </w:r>
      <w:r w:rsidRPr="00B40337">
        <w:rPr>
          <w:rFonts w:ascii="Times New Roman" w:eastAsia="Cambria" w:hAnsi="Times New Roman" w:cs="Times New Roman"/>
          <w:i/>
        </w:rPr>
        <w:t>days</w:t>
      </w:r>
      <w:r w:rsidRPr="00B40337">
        <w:rPr>
          <w:rFonts w:ascii="Times New Roman" w:eastAsia="Cambria" w:hAnsi="Times New Roman" w:cs="Times New Roman"/>
          <w:i/>
        </w:rPr>
        <w:tab/>
      </w:r>
      <w:r w:rsidRPr="00B40337">
        <w:rPr>
          <w:rFonts w:ascii="Times New Roman" w:hAnsi="Times New Roman" w:cs="Times New Roman"/>
        </w:rPr>
        <w:t>(3)</w:t>
      </w:r>
    </w:p>
    <w:p w14:paraId="44F2C8BD" w14:textId="7172BE96" w:rsidR="003E1F88" w:rsidRPr="00B40337" w:rsidRDefault="00000000" w:rsidP="00560316">
      <w:pPr>
        <w:spacing w:after="0" w:line="480" w:lineRule="auto"/>
        <w:ind w:left="-15" w:right="172" w:firstLine="0"/>
        <w:jc w:val="left"/>
        <w:rPr>
          <w:rFonts w:ascii="Times New Roman" w:hAnsi="Times New Roman" w:cs="Times New Roman"/>
        </w:rPr>
      </w:pPr>
      <w:r w:rsidRPr="00B40337">
        <w:rPr>
          <w:rFonts w:ascii="Times New Roman" w:hAnsi="Times New Roman" w:cs="Times New Roman"/>
        </w:rPr>
        <w:t xml:space="preserve">where </w:t>
      </w:r>
      <w:r w:rsidRPr="00B40337">
        <w:rPr>
          <w:rFonts w:ascii="Times New Roman" w:eastAsia="Cambria" w:hAnsi="Times New Roman" w:cs="Times New Roman"/>
          <w:i/>
        </w:rPr>
        <w:t xml:space="preserve">γ </w:t>
      </w:r>
      <w:r w:rsidRPr="00B40337">
        <w:rPr>
          <w:rFonts w:ascii="Times New Roman" w:hAnsi="Times New Roman" w:cs="Times New Roman"/>
        </w:rPr>
        <w:t xml:space="preserve">is the total population using LPG and </w:t>
      </w:r>
      <w:r w:rsidRPr="00B40337">
        <w:rPr>
          <w:rFonts w:ascii="Times New Roman" w:eastAsia="Cambria" w:hAnsi="Times New Roman" w:cs="Times New Roman"/>
          <w:i/>
        </w:rPr>
        <w:t xml:space="preserve">ω </w:t>
      </w:r>
      <w:r w:rsidRPr="00B40337">
        <w:rPr>
          <w:rFonts w:ascii="Times New Roman" w:hAnsi="Times New Roman" w:cs="Times New Roman"/>
        </w:rPr>
        <w:t xml:space="preserve">is the fraction of cooking that is done using LPG. The emissions factor (EF) is estimated from </w:t>
      </w:r>
      <w:proofErr w:type="spellStart"/>
      <w:r w:rsidR="00283C5B" w:rsidRPr="00B40337">
        <w:rPr>
          <w:rFonts w:ascii="Times New Roman" w:hAnsi="Times New Roman" w:cs="Times New Roman"/>
        </w:rPr>
        <w:t>Floess</w:t>
      </w:r>
      <w:proofErr w:type="spellEnd"/>
      <w:r w:rsidR="00283C5B" w:rsidRPr="00B40337">
        <w:rPr>
          <w:rFonts w:ascii="Times New Roman" w:hAnsi="Times New Roman" w:cs="Times New Roman"/>
        </w:rPr>
        <w:t xml:space="preserve"> et al. (as with the biomass estimates)</w:t>
      </w:r>
      <w:r w:rsidRPr="00B40337">
        <w:rPr>
          <w:rFonts w:ascii="Times New Roman" w:hAnsi="Times New Roman" w:cs="Times New Roman"/>
          <w:vertAlign w:val="superscript"/>
        </w:rPr>
        <w:t xml:space="preserve"> </w:t>
      </w:r>
      <w:r w:rsidRPr="00B40337">
        <w:rPr>
          <w:rFonts w:ascii="Times New Roman" w:hAnsi="Times New Roman" w:cs="Times New Roman"/>
        </w:rPr>
        <w:t xml:space="preserve">which indicate that per megajoule energy delivered from </w:t>
      </w:r>
      <w:r w:rsidR="00047FD2" w:rsidRPr="00B40337">
        <w:rPr>
          <w:rFonts w:ascii="Times New Roman" w:hAnsi="Times New Roman" w:cs="Times New Roman"/>
        </w:rPr>
        <w:t>LPG</w:t>
      </w:r>
      <w:r w:rsidRPr="00B40337">
        <w:rPr>
          <w:rFonts w:ascii="Times New Roman" w:hAnsi="Times New Roman" w:cs="Times New Roman"/>
        </w:rPr>
        <w:t xml:space="preserve"> combustion the following are emitted: </w:t>
      </w:r>
      <w:r w:rsidR="00BC048A" w:rsidRPr="00B40337">
        <w:rPr>
          <w:rFonts w:ascii="Times New Roman" w:hAnsi="Times New Roman" w:cs="Times New Roman"/>
        </w:rPr>
        <w:t>0.234g CH4, 0.0004g N2O, and 166g CO2</w:t>
      </w:r>
      <w:r w:rsidRPr="00B40337">
        <w:rPr>
          <w:rFonts w:ascii="Times New Roman" w:hAnsi="Times New Roman" w:cs="Times New Roman"/>
        </w:rPr>
        <w:t xml:space="preserve">. </w:t>
      </w:r>
      <w:r w:rsidR="00283C5B" w:rsidRPr="00B40337">
        <w:rPr>
          <w:rFonts w:ascii="Times New Roman" w:hAnsi="Times New Roman" w:cs="Times New Roman"/>
        </w:rPr>
        <w:t xml:space="preserve">Following the above </w:t>
      </w:r>
      <w:r w:rsidR="004D63B4" w:rsidRPr="00B40337">
        <w:rPr>
          <w:rFonts w:ascii="Times New Roman" w:hAnsi="Times New Roman" w:cs="Times New Roman"/>
        </w:rPr>
        <w:t>procedure,</w:t>
      </w:r>
      <w:r w:rsidR="00283C5B" w:rsidRPr="00B40337">
        <w:rPr>
          <w:rFonts w:ascii="Times New Roman" w:hAnsi="Times New Roman" w:cs="Times New Roman"/>
        </w:rPr>
        <w:t xml:space="preserve"> we estimate that, f</w:t>
      </w:r>
      <w:r w:rsidR="00020362" w:rsidRPr="00B40337">
        <w:rPr>
          <w:rFonts w:ascii="Times New Roman" w:hAnsi="Times New Roman" w:cs="Times New Roman"/>
        </w:rPr>
        <w:t>or Ecuador,</w:t>
      </w:r>
      <w:r w:rsidR="006D1D5A" w:rsidRPr="00B40337">
        <w:rPr>
          <w:rFonts w:ascii="Times New Roman" w:hAnsi="Times New Roman" w:cs="Times New Roman"/>
        </w:rPr>
        <w:t xml:space="preserve"> </w:t>
      </w:r>
      <w:r w:rsidR="009E6C2C" w:rsidRPr="00B40337">
        <w:rPr>
          <w:rFonts w:ascii="Times New Roman" w:hAnsi="Times New Roman" w:cs="Times New Roman"/>
        </w:rPr>
        <w:t>LPG</w:t>
      </w:r>
      <w:r w:rsidR="006D1D5A" w:rsidRPr="00B40337">
        <w:rPr>
          <w:rFonts w:ascii="Times New Roman" w:hAnsi="Times New Roman" w:cs="Times New Roman"/>
        </w:rPr>
        <w:t xml:space="preserve"> combustion is associated</w:t>
      </w:r>
      <w:r w:rsidR="00020362" w:rsidRPr="00B40337">
        <w:rPr>
          <w:rFonts w:ascii="Times New Roman" w:hAnsi="Times New Roman" w:cs="Times New Roman"/>
        </w:rPr>
        <w:t xml:space="preserve"> </w:t>
      </w:r>
      <w:r w:rsidRPr="00B40337">
        <w:rPr>
          <w:rFonts w:ascii="Times New Roman" w:hAnsi="Times New Roman" w:cs="Times New Roman"/>
        </w:rPr>
        <w:t>with 17</w:t>
      </w:r>
      <w:r w:rsidR="00983072" w:rsidRPr="00B40337">
        <w:rPr>
          <w:rFonts w:ascii="Times New Roman" w:hAnsi="Times New Roman" w:cs="Times New Roman"/>
        </w:rPr>
        <w:t>2.6</w:t>
      </w:r>
      <w:r w:rsidRPr="00B40337">
        <w:rPr>
          <w:rFonts w:ascii="Times New Roman" w:hAnsi="Times New Roman" w:cs="Times New Roman"/>
        </w:rPr>
        <w:t xml:space="preserve"> g CO2e</w:t>
      </w:r>
      <w:r w:rsidR="006D1D5A" w:rsidRPr="00B40337">
        <w:rPr>
          <w:rFonts w:ascii="Times New Roman" w:hAnsi="Times New Roman" w:cs="Times New Roman"/>
        </w:rPr>
        <w:t xml:space="preserve"> per MJ delivered</w:t>
      </w:r>
      <w:r w:rsidRPr="00B40337">
        <w:rPr>
          <w:rFonts w:ascii="Times New Roman" w:hAnsi="Times New Roman" w:cs="Times New Roman"/>
        </w:rPr>
        <w:t xml:space="preserve">. </w:t>
      </w:r>
    </w:p>
    <w:p w14:paraId="4D3CB506" w14:textId="77777777" w:rsidR="0064330A" w:rsidRPr="00B40337" w:rsidRDefault="0064330A" w:rsidP="00B9786F">
      <w:pPr>
        <w:pStyle w:val="Heading2"/>
      </w:pPr>
    </w:p>
    <w:p w14:paraId="0EA94C05" w14:textId="511928BD" w:rsidR="003E1F88" w:rsidRPr="00B40337" w:rsidRDefault="00226569" w:rsidP="00B9786F">
      <w:pPr>
        <w:pStyle w:val="Heading2"/>
      </w:pPr>
      <w:bookmarkStart w:id="15" w:name="_Toc161220522"/>
      <w:r w:rsidRPr="00B40337">
        <w:t>India</w:t>
      </w:r>
      <w:bookmarkEnd w:id="15"/>
    </w:p>
    <w:p w14:paraId="623D4364" w14:textId="43A11B16" w:rsidR="00237B1F" w:rsidRPr="00B40337" w:rsidRDefault="007E4BB3" w:rsidP="00174662">
      <w:pPr>
        <w:spacing w:after="0" w:line="480" w:lineRule="auto"/>
        <w:ind w:left="0" w:right="172" w:firstLine="0"/>
        <w:jc w:val="left"/>
        <w:rPr>
          <w:rFonts w:ascii="Times New Roman" w:hAnsi="Times New Roman" w:cs="Times New Roman"/>
        </w:rPr>
      </w:pPr>
      <w:r w:rsidRPr="00B40337">
        <w:rPr>
          <w:rFonts w:ascii="Times New Roman" w:hAnsi="Times New Roman" w:cs="Times New Roman"/>
        </w:rPr>
        <w:t>Our modeling procedure for estimating mortality impacts from increases in LPG cylinder refill prices can be used to generate estimates of the total kilograms of LPG consumed</w:t>
      </w:r>
      <w:r w:rsidR="003C48E3" w:rsidRPr="00B40337">
        <w:rPr>
          <w:rFonts w:ascii="Times New Roman" w:hAnsi="Times New Roman" w:cs="Times New Roman"/>
        </w:rPr>
        <w:t xml:space="preserve"> each year</w:t>
      </w:r>
      <w:r w:rsidR="00B33651" w:rsidRPr="00B40337">
        <w:rPr>
          <w:rFonts w:ascii="Times New Roman" w:hAnsi="Times New Roman" w:cs="Times New Roman"/>
        </w:rPr>
        <w:t xml:space="preserve">. </w:t>
      </w:r>
      <w:r w:rsidR="00815E57" w:rsidRPr="00B40337">
        <w:rPr>
          <w:rFonts w:ascii="Times New Roman" w:hAnsi="Times New Roman" w:cs="Times New Roman"/>
        </w:rPr>
        <w:t xml:space="preserve">When compared against the </w:t>
      </w:r>
      <w:r w:rsidR="00D02E6E" w:rsidRPr="00B40337">
        <w:rPr>
          <w:rFonts w:ascii="Times New Roman" w:hAnsi="Times New Roman" w:cs="Times New Roman"/>
        </w:rPr>
        <w:t>baseline scenario, this can be interpreted as</w:t>
      </w:r>
      <w:r w:rsidR="000A497D" w:rsidRPr="00B40337">
        <w:rPr>
          <w:rFonts w:ascii="Times New Roman" w:hAnsi="Times New Roman" w:cs="Times New Roman"/>
        </w:rPr>
        <w:t xml:space="preserve"> </w:t>
      </w:r>
      <w:r w:rsidR="009C77FC" w:rsidRPr="00B40337">
        <w:rPr>
          <w:rFonts w:ascii="Times New Roman" w:hAnsi="Times New Roman" w:cs="Times New Roman"/>
        </w:rPr>
        <w:t xml:space="preserve">changes in LPG kg </w:t>
      </w:r>
      <w:r w:rsidR="009C77FC" w:rsidRPr="00B40337">
        <w:rPr>
          <w:rFonts w:ascii="Times New Roman" w:hAnsi="Times New Roman" w:cs="Times New Roman"/>
        </w:rPr>
        <w:lastRenderedPageBreak/>
        <w:t xml:space="preserve">consumed due to changes in LPG prices. </w:t>
      </w:r>
      <w:r w:rsidR="007016DB" w:rsidRPr="00B40337">
        <w:rPr>
          <w:rFonts w:ascii="Times New Roman" w:hAnsi="Times New Roman" w:cs="Times New Roman"/>
        </w:rPr>
        <w:t>We use these estimates of LPG kg changes to make inferences about greenhouse gas emissi</w:t>
      </w:r>
      <w:r w:rsidR="00D508D6" w:rsidRPr="00B40337">
        <w:rPr>
          <w:rFonts w:ascii="Times New Roman" w:hAnsi="Times New Roman" w:cs="Times New Roman"/>
        </w:rPr>
        <w:t xml:space="preserve">ons. </w:t>
      </w:r>
      <w:r w:rsidR="008F2EFE" w:rsidRPr="00B40337">
        <w:rPr>
          <w:rFonts w:ascii="Times New Roman" w:hAnsi="Times New Roman" w:cs="Times New Roman"/>
        </w:rPr>
        <w:t xml:space="preserve">Using the specific heat of LPG of </w:t>
      </w:r>
      <w:r w:rsidR="00975EBA" w:rsidRPr="00B40337">
        <w:rPr>
          <w:rFonts w:ascii="Times New Roman" w:hAnsi="Times New Roman" w:cs="Times New Roman"/>
        </w:rPr>
        <w:t>45</w:t>
      </w:r>
      <w:r w:rsidR="008F2EFE" w:rsidRPr="00B40337">
        <w:rPr>
          <w:rFonts w:ascii="Times New Roman" w:hAnsi="Times New Roman" w:cs="Times New Roman"/>
        </w:rPr>
        <w:t xml:space="preserve"> MJ/kg, we can convert kg</w:t>
      </w:r>
      <w:r w:rsidR="00F76024" w:rsidRPr="00B40337">
        <w:rPr>
          <w:rFonts w:ascii="Times New Roman" w:hAnsi="Times New Roman" w:cs="Times New Roman"/>
        </w:rPr>
        <w:t xml:space="preserve"> consumed</w:t>
      </w:r>
      <w:r w:rsidR="008F2EFE" w:rsidRPr="00B40337">
        <w:rPr>
          <w:rFonts w:ascii="Times New Roman" w:hAnsi="Times New Roman" w:cs="Times New Roman"/>
        </w:rPr>
        <w:t xml:space="preserve"> to MJ</w:t>
      </w:r>
      <w:r w:rsidR="008E76EA" w:rsidRPr="00B40337">
        <w:rPr>
          <w:rFonts w:ascii="Times New Roman" w:hAnsi="Times New Roman" w:cs="Times New Roman"/>
        </w:rPr>
        <w:t xml:space="preserve">. </w:t>
      </w:r>
      <w:r w:rsidR="00C32F12" w:rsidRPr="00B40337">
        <w:rPr>
          <w:rFonts w:ascii="Times New Roman" w:hAnsi="Times New Roman" w:cs="Times New Roman"/>
        </w:rPr>
        <w:t xml:space="preserve">Using the above </w:t>
      </w:r>
      <w:r w:rsidR="00254974" w:rsidRPr="00B40337">
        <w:rPr>
          <w:rFonts w:ascii="Times New Roman" w:hAnsi="Times New Roman" w:cs="Times New Roman"/>
        </w:rPr>
        <w:t>calculations</w:t>
      </w:r>
      <w:r w:rsidR="00C32F12" w:rsidRPr="00B40337">
        <w:rPr>
          <w:rFonts w:ascii="Times New Roman" w:hAnsi="Times New Roman" w:cs="Times New Roman"/>
        </w:rPr>
        <w:t xml:space="preserve">, we can then easily estimate total kg CO2e </w:t>
      </w:r>
      <w:r w:rsidR="00424452" w:rsidRPr="00B40337">
        <w:rPr>
          <w:rFonts w:ascii="Times New Roman" w:hAnsi="Times New Roman" w:cs="Times New Roman"/>
        </w:rPr>
        <w:t xml:space="preserve">from LPG combustion </w:t>
      </w:r>
      <w:r w:rsidR="00B67F28" w:rsidRPr="00B40337">
        <w:rPr>
          <w:rFonts w:ascii="Times New Roman" w:hAnsi="Times New Roman" w:cs="Times New Roman"/>
        </w:rPr>
        <w:t>averted from reduced LPG consumption</w:t>
      </w:r>
      <w:r w:rsidR="00237B1F" w:rsidRPr="00B40337">
        <w:rPr>
          <w:rFonts w:ascii="Times New Roman" w:hAnsi="Times New Roman" w:cs="Times New Roman"/>
        </w:rPr>
        <w:t>:</w:t>
      </w:r>
    </w:p>
    <w:p w14:paraId="387D5AA7" w14:textId="7243AE1E" w:rsidR="00DE58DB" w:rsidRPr="00B40337" w:rsidRDefault="00195143" w:rsidP="008F7D4C">
      <w:pPr>
        <w:spacing w:after="0" w:line="480" w:lineRule="auto"/>
        <w:ind w:left="0" w:right="172" w:firstLine="0"/>
        <w:jc w:val="center"/>
        <w:rPr>
          <w:rFonts w:ascii="Times New Roman" w:eastAsia="Cambria" w:hAnsi="Times New Roman" w:cs="Times New Roman"/>
        </w:rPr>
      </w:pPr>
      <w:r w:rsidRPr="00B40337">
        <w:rPr>
          <w:rFonts w:ascii="Times New Roman" w:hAnsi="Times New Roman" w:cs="Times New Roman"/>
          <w:i/>
        </w:rPr>
        <w:t>C</w:t>
      </w:r>
      <w:r w:rsidRPr="00B40337">
        <w:rPr>
          <w:rFonts w:ascii="Times New Roman" w:eastAsia="Cambria" w:hAnsi="Times New Roman" w:cs="Times New Roman"/>
          <w:i/>
        </w:rPr>
        <w:t>O</w:t>
      </w:r>
      <w:r w:rsidRPr="00B40337">
        <w:rPr>
          <w:rFonts w:ascii="Times New Roman" w:eastAsia="Cambria" w:hAnsi="Times New Roman" w:cs="Times New Roman"/>
        </w:rPr>
        <w:t>2</w:t>
      </w:r>
      <w:r w:rsidRPr="00B40337">
        <w:rPr>
          <w:rFonts w:ascii="Times New Roman" w:eastAsia="Cambria" w:hAnsi="Times New Roman" w:cs="Times New Roman"/>
          <w:i/>
        </w:rPr>
        <w:t>e</w:t>
      </w:r>
      <w:r w:rsidRPr="00B40337">
        <w:rPr>
          <w:rFonts w:ascii="Times New Roman" w:eastAsia="Cambria" w:hAnsi="Times New Roman" w:cs="Times New Roman"/>
          <w:i/>
          <w:vertAlign w:val="subscript"/>
        </w:rPr>
        <w:t xml:space="preserve">LPG </w:t>
      </w:r>
      <w:r w:rsidRPr="00B40337">
        <w:rPr>
          <w:rFonts w:ascii="Times New Roman" w:eastAsia="Cambria" w:hAnsi="Times New Roman" w:cs="Times New Roman"/>
        </w:rPr>
        <w:t xml:space="preserve">= </w:t>
      </w:r>
      <w:r w:rsidRPr="00B40337">
        <w:rPr>
          <w:rFonts w:ascii="Times New Roman" w:eastAsia="Cambria" w:hAnsi="Times New Roman" w:cs="Times New Roman"/>
          <w:i/>
        </w:rPr>
        <w:t xml:space="preserve">γ </w:t>
      </w:r>
      <w:r w:rsidRPr="00B40337">
        <w:rPr>
          <w:rFonts w:ascii="Cambria Math" w:eastAsia="Cambria" w:hAnsi="Cambria Math" w:cs="Cambria Math"/>
        </w:rPr>
        <w:t>∗</w:t>
      </w:r>
      <w:r w:rsidRPr="00B40337">
        <w:rPr>
          <w:rFonts w:ascii="Times New Roman" w:eastAsia="Cambria" w:hAnsi="Times New Roman" w:cs="Times New Roman"/>
        </w:rPr>
        <w:t xml:space="preserve"> </w:t>
      </w:r>
      <w:r w:rsidR="00670270" w:rsidRPr="00B40337">
        <w:rPr>
          <w:rFonts w:ascii="Times New Roman" w:eastAsia="Cambria" w:hAnsi="Times New Roman" w:cs="Times New Roman"/>
          <w:i/>
        </w:rPr>
        <w:t>45</w:t>
      </w:r>
      <w:r w:rsidR="00BA0167" w:rsidRPr="00B40337">
        <w:rPr>
          <w:rFonts w:ascii="Times New Roman" w:eastAsia="Cambria" w:hAnsi="Times New Roman" w:cs="Times New Roman"/>
          <w:i/>
        </w:rPr>
        <w:t xml:space="preserve"> MJ</w:t>
      </w:r>
      <w:r w:rsidR="00C974EF" w:rsidRPr="00B40337">
        <w:rPr>
          <w:rFonts w:ascii="Times New Roman" w:eastAsia="Cambria" w:hAnsi="Times New Roman" w:cs="Times New Roman"/>
          <w:i/>
        </w:rPr>
        <w:t xml:space="preserve"> </w:t>
      </w:r>
      <w:r w:rsidR="00BA0167" w:rsidRPr="00B40337">
        <w:rPr>
          <w:rFonts w:ascii="Times New Roman" w:eastAsia="Cambria" w:hAnsi="Times New Roman" w:cs="Times New Roman"/>
          <w:i/>
        </w:rPr>
        <w:t>/</w:t>
      </w:r>
      <w:r w:rsidR="00C974EF" w:rsidRPr="00B40337">
        <w:rPr>
          <w:rFonts w:ascii="Times New Roman" w:eastAsia="Cambria" w:hAnsi="Times New Roman" w:cs="Times New Roman"/>
          <w:i/>
        </w:rPr>
        <w:t xml:space="preserve"> </w:t>
      </w:r>
      <w:r w:rsidR="00BA0167" w:rsidRPr="00B40337">
        <w:rPr>
          <w:rFonts w:ascii="Times New Roman" w:eastAsia="Cambria" w:hAnsi="Times New Roman" w:cs="Times New Roman"/>
          <w:i/>
        </w:rPr>
        <w:t>kg</w:t>
      </w:r>
      <w:r w:rsidRPr="00B40337">
        <w:rPr>
          <w:rFonts w:ascii="Times New Roman" w:eastAsia="Cambria" w:hAnsi="Times New Roman" w:cs="Times New Roman"/>
          <w:i/>
        </w:rPr>
        <w:t xml:space="preserve"> </w:t>
      </w:r>
      <w:r w:rsidRPr="00B40337">
        <w:rPr>
          <w:rFonts w:ascii="Cambria Math" w:eastAsia="Cambria" w:hAnsi="Cambria Math" w:cs="Cambria Math"/>
        </w:rPr>
        <w:t>∗</w:t>
      </w:r>
      <w:r w:rsidRPr="00B40337">
        <w:rPr>
          <w:rFonts w:ascii="Times New Roman" w:eastAsia="Cambria" w:hAnsi="Times New Roman" w:cs="Times New Roman"/>
        </w:rPr>
        <w:t xml:space="preserve"> </w:t>
      </w:r>
      <w:r w:rsidR="00D50DDC" w:rsidRPr="00B40337">
        <w:rPr>
          <w:rFonts w:ascii="Times New Roman" w:eastAsia="Cambria" w:hAnsi="Times New Roman" w:cs="Times New Roman"/>
        </w:rPr>
        <w:t>0.</w:t>
      </w:r>
      <w:r w:rsidR="000A1E54" w:rsidRPr="00B40337">
        <w:rPr>
          <w:rFonts w:ascii="Times New Roman" w:eastAsia="Cambria" w:hAnsi="Times New Roman" w:cs="Times New Roman"/>
        </w:rPr>
        <w:t>173</w:t>
      </w:r>
      <w:r w:rsidR="00D50DDC" w:rsidRPr="00B40337">
        <w:rPr>
          <w:rFonts w:ascii="Times New Roman" w:eastAsia="Cambria" w:hAnsi="Times New Roman" w:cs="Times New Roman"/>
        </w:rPr>
        <w:t xml:space="preserve"> kg CO2e / MJ</w:t>
      </w:r>
    </w:p>
    <w:p w14:paraId="4D8C589C" w14:textId="5B9A2B0E" w:rsidR="002C1825" w:rsidRPr="00B40337" w:rsidRDefault="002C1825" w:rsidP="002C1825">
      <w:pPr>
        <w:spacing w:after="0" w:line="480" w:lineRule="auto"/>
        <w:ind w:left="0" w:right="172" w:firstLine="0"/>
        <w:rPr>
          <w:rFonts w:ascii="Times New Roman" w:hAnsi="Times New Roman" w:cs="Times New Roman"/>
        </w:rPr>
      </w:pPr>
      <w:r w:rsidRPr="00B40337">
        <w:rPr>
          <w:rFonts w:ascii="Times New Roman" w:eastAsia="Cambria" w:hAnsi="Times New Roman" w:cs="Times New Roman"/>
        </w:rPr>
        <w:t xml:space="preserve">Where </w:t>
      </w:r>
      <w:r w:rsidR="0041037D" w:rsidRPr="00B40337">
        <w:rPr>
          <w:rFonts w:ascii="Times New Roman" w:eastAsia="Cambria" w:hAnsi="Times New Roman" w:cs="Times New Roman"/>
          <w:i/>
        </w:rPr>
        <w:t>γ</w:t>
      </w:r>
      <w:r w:rsidRPr="00B40337">
        <w:rPr>
          <w:rFonts w:ascii="Times New Roman" w:eastAsia="Cambria" w:hAnsi="Times New Roman" w:cs="Times New Roman"/>
        </w:rPr>
        <w:t xml:space="preserve"> is additional kg LPG consumed per year. </w:t>
      </w:r>
    </w:p>
    <w:p w14:paraId="38EC5042" w14:textId="60AC1706" w:rsidR="00784C85" w:rsidRPr="00B40337" w:rsidRDefault="008A4EB1" w:rsidP="00631D96">
      <w:pPr>
        <w:spacing w:after="0" w:line="480" w:lineRule="auto"/>
        <w:ind w:left="0" w:right="172" w:firstLine="720"/>
        <w:jc w:val="left"/>
        <w:rPr>
          <w:rFonts w:ascii="Times New Roman" w:hAnsi="Times New Roman" w:cs="Times New Roman"/>
        </w:rPr>
      </w:pPr>
      <w:r w:rsidRPr="00B40337">
        <w:rPr>
          <w:rFonts w:ascii="Times New Roman" w:hAnsi="Times New Roman" w:cs="Times New Roman"/>
        </w:rPr>
        <w:t>While this impl</w:t>
      </w:r>
      <w:r w:rsidR="006915EC" w:rsidRPr="00B40337">
        <w:rPr>
          <w:rFonts w:ascii="Times New Roman" w:hAnsi="Times New Roman" w:cs="Times New Roman"/>
        </w:rPr>
        <w:t>ies</w:t>
      </w:r>
      <w:r w:rsidRPr="00B40337">
        <w:rPr>
          <w:rFonts w:ascii="Times New Roman" w:hAnsi="Times New Roman" w:cs="Times New Roman"/>
        </w:rPr>
        <w:t xml:space="preserve"> reduced CO2e emissions due to </w:t>
      </w:r>
      <w:r w:rsidR="00451615" w:rsidRPr="00B40337">
        <w:rPr>
          <w:rFonts w:ascii="Times New Roman" w:hAnsi="Times New Roman" w:cs="Times New Roman"/>
        </w:rPr>
        <w:t>LPG refill</w:t>
      </w:r>
      <w:r w:rsidR="00432879" w:rsidRPr="00B40337">
        <w:rPr>
          <w:rFonts w:ascii="Times New Roman" w:hAnsi="Times New Roman" w:cs="Times New Roman"/>
        </w:rPr>
        <w:t xml:space="preserve"> price</w:t>
      </w:r>
      <w:r w:rsidR="00451615" w:rsidRPr="00B40337">
        <w:rPr>
          <w:rFonts w:ascii="Times New Roman" w:hAnsi="Times New Roman" w:cs="Times New Roman"/>
        </w:rPr>
        <w:t xml:space="preserve"> increases, we must account for expected increases in traditional biomass combustion.</w:t>
      </w:r>
      <w:r w:rsidR="00AF5EDA" w:rsidRPr="00B40337">
        <w:rPr>
          <w:rFonts w:ascii="Times New Roman" w:hAnsi="Times New Roman" w:cs="Times New Roman"/>
        </w:rPr>
        <w:t xml:space="preserve"> </w:t>
      </w:r>
      <w:r w:rsidR="00470370" w:rsidRPr="00B40337">
        <w:rPr>
          <w:rFonts w:ascii="Times New Roman" w:hAnsi="Times New Roman" w:cs="Times New Roman"/>
        </w:rPr>
        <w:t>Since reliable, empirical evidence of the substitution for LPG and biomass for cooking is in large part unavailable, o</w:t>
      </w:r>
      <w:r w:rsidR="00784C85" w:rsidRPr="00B40337">
        <w:rPr>
          <w:rFonts w:ascii="Times New Roman" w:hAnsi="Times New Roman" w:cs="Times New Roman"/>
        </w:rPr>
        <w:t>ur central approach to estimating concomitant increases in biomass combustion from reduced LPG consumption is through energy equivalences.</w:t>
      </w:r>
      <w:r w:rsidR="006602E4" w:rsidRPr="00B40337">
        <w:rPr>
          <w:rFonts w:ascii="Times New Roman" w:hAnsi="Times New Roman" w:cs="Times New Roman"/>
        </w:rPr>
        <w:t xml:space="preserve"> </w:t>
      </w:r>
      <w:r w:rsidR="00013C33" w:rsidRPr="00B40337">
        <w:rPr>
          <w:rFonts w:ascii="Times New Roman" w:hAnsi="Times New Roman" w:cs="Times New Roman"/>
        </w:rPr>
        <w:t xml:space="preserve">First, we consider the efficiencies of traditional Indian </w:t>
      </w:r>
      <w:proofErr w:type="spellStart"/>
      <w:r w:rsidR="00013C33" w:rsidRPr="00B40337">
        <w:rPr>
          <w:rFonts w:ascii="Times New Roman" w:hAnsi="Times New Roman" w:cs="Times New Roman"/>
        </w:rPr>
        <w:t>chulha</w:t>
      </w:r>
      <w:proofErr w:type="spellEnd"/>
      <w:r w:rsidR="00013C33" w:rsidRPr="00B40337">
        <w:rPr>
          <w:rFonts w:ascii="Times New Roman" w:hAnsi="Times New Roman" w:cs="Times New Roman"/>
        </w:rPr>
        <w:t xml:space="preserve"> stoves </w:t>
      </w:r>
      <w:r w:rsidR="00F81A61" w:rsidRPr="00B40337">
        <w:rPr>
          <w:rFonts w:ascii="Times New Roman" w:hAnsi="Times New Roman" w:cs="Times New Roman"/>
        </w:rPr>
        <w:t xml:space="preserve">(~15%) </w:t>
      </w:r>
      <w:r w:rsidR="00013C33" w:rsidRPr="00B40337">
        <w:rPr>
          <w:rFonts w:ascii="Times New Roman" w:hAnsi="Times New Roman" w:cs="Times New Roman"/>
        </w:rPr>
        <w:t>and LPG stoves</w:t>
      </w:r>
      <w:r w:rsidR="00F81A61" w:rsidRPr="00B40337">
        <w:rPr>
          <w:rFonts w:ascii="Times New Roman" w:hAnsi="Times New Roman" w:cs="Times New Roman"/>
        </w:rPr>
        <w:t xml:space="preserve"> (~5</w:t>
      </w:r>
      <w:r w:rsidR="000D6E49" w:rsidRPr="00B40337">
        <w:rPr>
          <w:rFonts w:ascii="Times New Roman" w:hAnsi="Times New Roman" w:cs="Times New Roman"/>
        </w:rPr>
        <w:t>1</w:t>
      </w:r>
      <w:r w:rsidR="00F81A61" w:rsidRPr="00B40337">
        <w:rPr>
          <w:rFonts w:ascii="Times New Roman" w:hAnsi="Times New Roman" w:cs="Times New Roman"/>
        </w:rPr>
        <w:t>%)</w:t>
      </w:r>
      <w:r w:rsidR="00C53840" w:rsidRPr="00B40337">
        <w:rPr>
          <w:rFonts w:ascii="Times New Roman" w:hAnsi="Times New Roman" w:cs="Times New Roman"/>
        </w:rPr>
        <w:t xml:space="preserve">. </w:t>
      </w:r>
      <w:r w:rsidR="00A02D8F" w:rsidRPr="00B40337">
        <w:rPr>
          <w:rFonts w:ascii="Times New Roman" w:hAnsi="Times New Roman" w:cs="Times New Roman"/>
        </w:rPr>
        <w:t>Dividing these two values can help us to estimate a trade-off</w:t>
      </w:r>
      <w:r w:rsidR="006F0D49" w:rsidRPr="00B40337">
        <w:rPr>
          <w:rFonts w:ascii="Times New Roman" w:hAnsi="Times New Roman" w:cs="Times New Roman"/>
        </w:rPr>
        <w:t xml:space="preserve"> if household demand for energy delivered were unchanged by shifting between biomass and gas</w:t>
      </w:r>
      <w:r w:rsidR="007D2F81" w:rsidRPr="00B40337">
        <w:rPr>
          <w:rFonts w:ascii="Times New Roman" w:hAnsi="Times New Roman" w:cs="Times New Roman"/>
        </w:rPr>
        <w:t xml:space="preserve"> (</w:t>
      </w:r>
      <w:r w:rsidR="005F0832" w:rsidRPr="00B40337">
        <w:rPr>
          <w:rFonts w:ascii="Times New Roman" w:hAnsi="Times New Roman" w:cs="Times New Roman"/>
        </w:rPr>
        <w:t>0.29)</w:t>
      </w:r>
      <w:r w:rsidR="0037668E" w:rsidRPr="00B40337">
        <w:rPr>
          <w:rFonts w:ascii="Times New Roman" w:hAnsi="Times New Roman" w:cs="Times New Roman"/>
        </w:rPr>
        <w:t>.</w:t>
      </w:r>
      <w:r w:rsidR="00A61755" w:rsidRPr="00B40337">
        <w:rPr>
          <w:rFonts w:ascii="Times New Roman" w:hAnsi="Times New Roman" w:cs="Times New Roman"/>
        </w:rPr>
        <w:t xml:space="preserve"> </w:t>
      </w:r>
      <w:r w:rsidR="006C0C75" w:rsidRPr="00B40337">
        <w:rPr>
          <w:rFonts w:ascii="Times New Roman" w:hAnsi="Times New Roman" w:cs="Times New Roman"/>
        </w:rPr>
        <w:t xml:space="preserve">Thus, we multiply MJ of </w:t>
      </w:r>
      <w:r w:rsidR="005C6629" w:rsidRPr="00B40337">
        <w:rPr>
          <w:rFonts w:ascii="Times New Roman" w:hAnsi="Times New Roman" w:cs="Times New Roman"/>
        </w:rPr>
        <w:t>averted</w:t>
      </w:r>
      <w:r w:rsidR="006C0C75" w:rsidRPr="00B40337">
        <w:rPr>
          <w:rFonts w:ascii="Times New Roman" w:hAnsi="Times New Roman" w:cs="Times New Roman"/>
        </w:rPr>
        <w:t xml:space="preserve"> kg LPG</w:t>
      </w:r>
      <w:r w:rsidR="006D6B4D" w:rsidRPr="00B40337">
        <w:rPr>
          <w:rFonts w:ascii="Times New Roman" w:hAnsi="Times New Roman" w:cs="Times New Roman"/>
        </w:rPr>
        <w:t xml:space="preserve"> </w:t>
      </w:r>
      <w:r w:rsidR="00EC38A7" w:rsidRPr="00B40337">
        <w:rPr>
          <w:rFonts w:ascii="Times New Roman" w:hAnsi="Times New Roman" w:cs="Times New Roman"/>
        </w:rPr>
        <w:t>by 0.29 to obtain an estimate of</w:t>
      </w:r>
      <w:r w:rsidR="00E805CC" w:rsidRPr="00B40337">
        <w:rPr>
          <w:rFonts w:ascii="Times New Roman" w:hAnsi="Times New Roman" w:cs="Times New Roman"/>
        </w:rPr>
        <w:t xml:space="preserve"> increased</w:t>
      </w:r>
      <w:r w:rsidR="00EC38A7" w:rsidRPr="00B40337">
        <w:rPr>
          <w:rFonts w:ascii="Times New Roman" w:hAnsi="Times New Roman" w:cs="Times New Roman"/>
        </w:rPr>
        <w:t xml:space="preserve"> biomass combus</w:t>
      </w:r>
      <w:r w:rsidR="007F6B7F" w:rsidRPr="00B40337">
        <w:rPr>
          <w:rFonts w:ascii="Times New Roman" w:hAnsi="Times New Roman" w:cs="Times New Roman"/>
        </w:rPr>
        <w:t>tion</w:t>
      </w:r>
      <w:r w:rsidR="0004783E" w:rsidRPr="00B40337">
        <w:rPr>
          <w:rFonts w:ascii="Times New Roman" w:hAnsi="Times New Roman" w:cs="Times New Roman"/>
        </w:rPr>
        <w:t xml:space="preserve"> in MJ</w:t>
      </w:r>
      <w:r w:rsidR="00C27459" w:rsidRPr="00B40337">
        <w:rPr>
          <w:rFonts w:ascii="Times New Roman" w:hAnsi="Times New Roman" w:cs="Times New Roman"/>
        </w:rPr>
        <w:t xml:space="preserve">. </w:t>
      </w:r>
      <w:r w:rsidR="00F1188F" w:rsidRPr="00B40337">
        <w:rPr>
          <w:rFonts w:ascii="Times New Roman" w:hAnsi="Times New Roman" w:cs="Times New Roman"/>
        </w:rPr>
        <w:t xml:space="preserve">For each additional MJ firewood combustion, we estimate </w:t>
      </w:r>
      <w:r w:rsidR="0063602C" w:rsidRPr="00B40337">
        <w:rPr>
          <w:rFonts w:ascii="Times New Roman" w:hAnsi="Times New Roman" w:cs="Times New Roman"/>
        </w:rPr>
        <w:t>278.5</w:t>
      </w:r>
      <w:r w:rsidR="00C748EA" w:rsidRPr="00B40337">
        <w:rPr>
          <w:rFonts w:ascii="Times New Roman" w:hAnsi="Times New Roman" w:cs="Times New Roman"/>
        </w:rPr>
        <w:t xml:space="preserve"> g CO2e/MJ firewood delivered.</w:t>
      </w:r>
    </w:p>
    <w:p w14:paraId="20977D5D" w14:textId="77777777" w:rsidR="00FA022E" w:rsidRPr="00B40337" w:rsidRDefault="00FA022E" w:rsidP="00631D96">
      <w:pPr>
        <w:spacing w:after="0" w:line="480" w:lineRule="auto"/>
        <w:ind w:left="0" w:right="172" w:firstLine="0"/>
        <w:jc w:val="left"/>
        <w:rPr>
          <w:rFonts w:ascii="Times New Roman" w:hAnsi="Times New Roman" w:cs="Times New Roman"/>
        </w:rPr>
      </w:pPr>
    </w:p>
    <w:p w14:paraId="1CAB4FEC" w14:textId="23035AAC" w:rsidR="00FA022E" w:rsidRPr="00B40337" w:rsidRDefault="00FA022E" w:rsidP="00631D96">
      <w:pPr>
        <w:pStyle w:val="Heading2"/>
      </w:pPr>
      <w:bookmarkStart w:id="16" w:name="_Toc161220523"/>
      <w:r w:rsidRPr="00B40337">
        <w:t>Kenya</w:t>
      </w:r>
      <w:bookmarkEnd w:id="16"/>
    </w:p>
    <w:p w14:paraId="56F68DA8" w14:textId="16A8405D" w:rsidR="00393A6E" w:rsidRPr="00B40337" w:rsidRDefault="000969B7" w:rsidP="00631D96">
      <w:pPr>
        <w:spacing w:line="480" w:lineRule="auto"/>
        <w:ind w:left="0" w:firstLine="0"/>
        <w:rPr>
          <w:rFonts w:ascii="Times New Roman" w:hAnsi="Times New Roman" w:cs="Times New Roman"/>
        </w:rPr>
      </w:pPr>
      <w:r w:rsidRPr="00B40337">
        <w:rPr>
          <w:rFonts w:ascii="Times New Roman" w:hAnsi="Times New Roman" w:cs="Times New Roman"/>
        </w:rPr>
        <w:t xml:space="preserve">Our approach for modeling in Kenya is </w:t>
      </w:r>
      <w:r w:rsidR="008F0B0C" w:rsidRPr="00B40337">
        <w:rPr>
          <w:rFonts w:ascii="Times New Roman" w:hAnsi="Times New Roman" w:cs="Times New Roman"/>
        </w:rPr>
        <w:t>identical</w:t>
      </w:r>
      <w:r w:rsidRPr="00B40337">
        <w:rPr>
          <w:rFonts w:ascii="Times New Roman" w:hAnsi="Times New Roman" w:cs="Times New Roman"/>
        </w:rPr>
        <w:t xml:space="preserve"> to the approach outlined for India, except that the </w:t>
      </w:r>
      <w:proofErr w:type="spellStart"/>
      <w:r w:rsidRPr="00B40337">
        <w:rPr>
          <w:rFonts w:ascii="Times New Roman" w:hAnsi="Times New Roman" w:cs="Times New Roman"/>
        </w:rPr>
        <w:t>fNRB</w:t>
      </w:r>
      <w:proofErr w:type="spellEnd"/>
      <w:r w:rsidRPr="00B40337">
        <w:rPr>
          <w:rFonts w:ascii="Times New Roman" w:hAnsi="Times New Roman" w:cs="Times New Roman"/>
        </w:rPr>
        <w:t xml:space="preserve"> in Kenya is substantially higher</w:t>
      </w:r>
      <w:r w:rsidR="00BF09E7" w:rsidRPr="00B40337">
        <w:rPr>
          <w:rFonts w:ascii="Times New Roman" w:hAnsi="Times New Roman" w:cs="Times New Roman"/>
        </w:rPr>
        <w:t>, which results in much higher GHG emissions from firewood cooking</w:t>
      </w:r>
      <w:r w:rsidR="001B48D2" w:rsidRPr="00B40337">
        <w:rPr>
          <w:rFonts w:ascii="Times New Roman" w:hAnsi="Times New Roman" w:cs="Times New Roman"/>
        </w:rPr>
        <w:t xml:space="preserve"> (529.9 g CO2e/MJ delivered)</w:t>
      </w:r>
      <w:r w:rsidR="00C1388B" w:rsidRPr="00B40337">
        <w:rPr>
          <w:rFonts w:ascii="Times New Roman" w:hAnsi="Times New Roman" w:cs="Times New Roman"/>
        </w:rPr>
        <w:t xml:space="preserve">. </w:t>
      </w:r>
      <w:r w:rsidR="00BF09E7" w:rsidRPr="00B40337">
        <w:rPr>
          <w:rFonts w:ascii="Times New Roman" w:hAnsi="Times New Roman" w:cs="Times New Roman"/>
        </w:rPr>
        <w:t xml:space="preserve"> </w:t>
      </w:r>
    </w:p>
    <w:p w14:paraId="20561FBE" w14:textId="77777777" w:rsidR="00393A6E" w:rsidRPr="00B40337" w:rsidRDefault="00393A6E" w:rsidP="00631D96">
      <w:pPr>
        <w:spacing w:line="480" w:lineRule="auto"/>
        <w:ind w:left="0" w:firstLine="0"/>
        <w:rPr>
          <w:rFonts w:ascii="Times New Roman" w:hAnsi="Times New Roman" w:cs="Times New Roman"/>
        </w:rPr>
      </w:pPr>
    </w:p>
    <w:p w14:paraId="6FC21025" w14:textId="7CE20D47" w:rsidR="001109D2" w:rsidRPr="00B40337" w:rsidRDefault="000357B9" w:rsidP="00631D96">
      <w:pPr>
        <w:pStyle w:val="Heading2"/>
      </w:pPr>
      <w:bookmarkStart w:id="17" w:name="_Toc161220524"/>
      <w:r w:rsidRPr="00B40337">
        <w:t>Monetizing CO2 emissions</w:t>
      </w:r>
      <w:bookmarkEnd w:id="17"/>
    </w:p>
    <w:p w14:paraId="37CA5C43" w14:textId="1A6753AB" w:rsidR="00284030" w:rsidRDefault="0065052D" w:rsidP="00284030">
      <w:pPr>
        <w:pStyle w:val="BodyText"/>
        <w:spacing w:line="480" w:lineRule="auto"/>
        <w:rPr>
          <w:rFonts w:ascii="Times New Roman" w:eastAsia="Calibri" w:hAnsi="Times New Roman" w:cs="Times New Roman"/>
          <w:b/>
          <w:bCs/>
          <w:color w:val="000000"/>
          <w:kern w:val="2"/>
          <w14:ligatures w14:val="standardContextual"/>
        </w:rPr>
      </w:pPr>
      <w:r w:rsidRPr="00B40337">
        <w:rPr>
          <w:rFonts w:ascii="Times New Roman" w:hAnsi="Times New Roman" w:cs="Times New Roman"/>
        </w:rPr>
        <w:lastRenderedPageBreak/>
        <w:t>We rely on Burke et al. (2023)</w:t>
      </w:r>
      <w:r w:rsidR="00CD19F0" w:rsidRPr="00B40337">
        <w:rPr>
          <w:rFonts w:ascii="Times New Roman" w:hAnsi="Times New Roman" w:cs="Times New Roman"/>
        </w:rPr>
        <w:fldChar w:fldCharType="begin"/>
      </w:r>
      <w:r w:rsidR="00B9554B">
        <w:rPr>
          <w:rFonts w:ascii="Times New Roman" w:hAnsi="Times New Roman" w:cs="Times New Roman"/>
        </w:rPr>
        <w:instrText xml:space="preserve"> ADDIN ZOTERO_ITEM CSL_CITATION {"citationID":"PjEGYFfl","properties":{"formattedCitation":"({\\i{}22})","plainCitation":"(22)","noteIndex":0},"citationItems":[{"id":10980,"uris":["http://zotero.org/users/2607085/items/4PZRQKVF"],"itemData":{"id":10980,"type":"report","event-place":"Cambridge, MA","language":"en","note":"DOI: 10.3386/w31658","number":"w31658","page":"w31658","publisher":"National Bureau of Economic Research","publisher-place":"Cambridge, MA","source":"DOI.org (Crossref)","title":"Quantifying Climate Change Loss and Damage Consistent with a Social Cost of Greenhouse Gases","URL":"http://www.nber.org/papers/w31658.pdf","author":[{"family":"Burke","given":"Marshall"},{"family":"Zahid","given":"Mustafa"},{"family":"Diffenbaugh","given":"Noah"},{"family":"Hsiang","given":"Solomon"}],"accessed":{"date-parts":[["2023",10,16]]},"issued":{"date-parts":[["2023",9]]}}}],"schema":"https://github.com/citation-style-language/schema/raw/master/csl-citation.json"} </w:instrText>
      </w:r>
      <w:r w:rsidR="00CD19F0" w:rsidRPr="00B40337">
        <w:rPr>
          <w:rFonts w:ascii="Times New Roman" w:hAnsi="Times New Roman" w:cs="Times New Roman"/>
        </w:rPr>
        <w:fldChar w:fldCharType="separate"/>
      </w:r>
      <w:r w:rsidR="00B9554B" w:rsidRPr="00B9554B">
        <w:rPr>
          <w:rFonts w:ascii="Times New Roman" w:hAnsi="Times New Roman" w:cs="Times New Roman"/>
        </w:rPr>
        <w:t>(</w:t>
      </w:r>
      <w:r w:rsidR="00B9554B" w:rsidRPr="00B9554B">
        <w:rPr>
          <w:rFonts w:ascii="Times New Roman" w:hAnsi="Times New Roman" w:cs="Times New Roman"/>
          <w:i/>
          <w:iCs/>
        </w:rPr>
        <w:t>22</w:t>
      </w:r>
      <w:r w:rsidR="00B9554B" w:rsidRPr="00B9554B">
        <w:rPr>
          <w:rFonts w:ascii="Times New Roman" w:hAnsi="Times New Roman" w:cs="Times New Roman"/>
        </w:rPr>
        <w:t>)</w:t>
      </w:r>
      <w:r w:rsidR="00CD19F0" w:rsidRPr="00B40337">
        <w:rPr>
          <w:rFonts w:ascii="Times New Roman" w:hAnsi="Times New Roman" w:cs="Times New Roman"/>
        </w:rPr>
        <w:fldChar w:fldCharType="end"/>
      </w:r>
      <w:r w:rsidRPr="00B40337">
        <w:rPr>
          <w:rFonts w:ascii="Times New Roman" w:hAnsi="Times New Roman" w:cs="Times New Roman"/>
        </w:rPr>
        <w:t xml:space="preserve"> to monetize changes in CO2 emissions in all three case studies. </w:t>
      </w:r>
      <w:r w:rsidR="005B6056" w:rsidRPr="00B40337">
        <w:rPr>
          <w:rFonts w:ascii="Times New Roman" w:hAnsi="Times New Roman" w:cs="Times New Roman"/>
        </w:rPr>
        <w:t xml:space="preserve">Burke et al. (2023) link </w:t>
      </w:r>
      <w:r w:rsidR="000357B9" w:rsidRPr="00B40337">
        <w:rPr>
          <w:rFonts w:ascii="Times New Roman" w:hAnsi="Times New Roman" w:cs="Times New Roman"/>
        </w:rPr>
        <w:t xml:space="preserve">recent efforts to quantify the harms of CO2 emissions </w:t>
      </w:r>
      <w:r w:rsidR="00FF2305" w:rsidRPr="00B40337">
        <w:rPr>
          <w:rFonts w:ascii="Times New Roman" w:hAnsi="Times New Roman" w:cs="Times New Roman"/>
        </w:rPr>
        <w:t xml:space="preserve">through 2100 </w:t>
      </w:r>
      <w:r w:rsidR="000357B9" w:rsidRPr="00B40337">
        <w:rPr>
          <w:rFonts w:ascii="Times New Roman" w:hAnsi="Times New Roman" w:cs="Times New Roman"/>
        </w:rPr>
        <w:t>(i.e., the social cost of carbon</w:t>
      </w:r>
      <w:r w:rsidR="005E111B" w:rsidRPr="00B40337">
        <w:rPr>
          <w:rFonts w:ascii="Times New Roman" w:hAnsi="Times New Roman" w:cs="Times New Roman"/>
        </w:rPr>
        <w:t>; SCC</w:t>
      </w:r>
      <w:r w:rsidR="000357B9" w:rsidRPr="00B40337">
        <w:rPr>
          <w:rFonts w:ascii="Times New Roman" w:hAnsi="Times New Roman" w:cs="Times New Roman"/>
        </w:rPr>
        <w:t>)</w:t>
      </w:r>
      <w:r w:rsidR="005E111B" w:rsidRPr="00B40337">
        <w:rPr>
          <w:rFonts w:ascii="Times New Roman" w:hAnsi="Times New Roman" w:cs="Times New Roman"/>
        </w:rPr>
        <w:t>, and generate year-specific SCCs from 1980</w:t>
      </w:r>
      <w:r w:rsidR="00AC48EF" w:rsidRPr="00B40337">
        <w:rPr>
          <w:rFonts w:ascii="Times New Roman" w:hAnsi="Times New Roman" w:cs="Times New Roman"/>
        </w:rPr>
        <w:t xml:space="preserve"> to </w:t>
      </w:r>
      <w:r w:rsidR="005E111B" w:rsidRPr="00B40337">
        <w:rPr>
          <w:rFonts w:ascii="Times New Roman" w:hAnsi="Times New Roman" w:cs="Times New Roman"/>
        </w:rPr>
        <w:t xml:space="preserve">2022. </w:t>
      </w:r>
      <w:r w:rsidR="0018309D" w:rsidRPr="00B40337">
        <w:rPr>
          <w:rFonts w:ascii="Times New Roman" w:hAnsi="Times New Roman" w:cs="Times New Roman"/>
        </w:rPr>
        <w:t xml:space="preserve">These year-specific SCCs are a large advancement over previous efforts to quantify SCCs and are a central motivating factor for using these estimates. </w:t>
      </w:r>
      <w:r w:rsidR="00E11623" w:rsidRPr="00B40337">
        <w:rPr>
          <w:rFonts w:ascii="Times New Roman" w:hAnsi="Times New Roman" w:cs="Times New Roman"/>
        </w:rPr>
        <w:t xml:space="preserve">We use their 2% discount rate scenarios. </w:t>
      </w:r>
      <w:r w:rsidR="005F759A" w:rsidRPr="00B40337">
        <w:rPr>
          <w:rFonts w:ascii="Times New Roman" w:hAnsi="Times New Roman" w:cs="Times New Roman"/>
        </w:rPr>
        <w:t>In general, the SCC ranges from</w:t>
      </w:r>
      <w:r w:rsidR="00C06E9C" w:rsidRPr="00B40337">
        <w:rPr>
          <w:rFonts w:ascii="Times New Roman" w:hAnsi="Times New Roman" w:cs="Times New Roman"/>
        </w:rPr>
        <w:t xml:space="preserve"> </w:t>
      </w:r>
      <w:r w:rsidR="00ED4057" w:rsidRPr="00B40337">
        <w:rPr>
          <w:rFonts w:ascii="Times New Roman" w:hAnsi="Times New Roman" w:cs="Times New Roman"/>
        </w:rPr>
        <w:t xml:space="preserve">$379 / tCO2 in 1980 to </w:t>
      </w:r>
      <w:r w:rsidR="00971141" w:rsidRPr="00B40337">
        <w:rPr>
          <w:rFonts w:ascii="Times New Roman" w:hAnsi="Times New Roman" w:cs="Times New Roman"/>
        </w:rPr>
        <w:t>$203 / tCO2</w:t>
      </w:r>
      <w:r w:rsidR="003113DA" w:rsidRPr="00B40337">
        <w:rPr>
          <w:rFonts w:ascii="Times New Roman" w:hAnsi="Times New Roman" w:cs="Times New Roman"/>
        </w:rPr>
        <w:t xml:space="preserve"> in 2020.</w:t>
      </w:r>
      <w:r w:rsidR="007A713C" w:rsidRPr="00B40337">
        <w:rPr>
          <w:rFonts w:ascii="Times New Roman" w:hAnsi="Times New Roman" w:cs="Times New Roman"/>
        </w:rPr>
        <w:t xml:space="preserve"> </w:t>
      </w:r>
      <w:r w:rsidR="00904795" w:rsidRPr="00B40337">
        <w:rPr>
          <w:rFonts w:ascii="Times New Roman" w:hAnsi="Times New Roman" w:cs="Times New Roman"/>
        </w:rPr>
        <w:t xml:space="preserve">For future damages, we discount the SCC by the social discount factor for each country as mentioned in the mortality modeling section. </w:t>
      </w:r>
    </w:p>
    <w:p w14:paraId="2CC36C26" w14:textId="77777777" w:rsidR="00284030" w:rsidRDefault="00284030">
      <w:pPr>
        <w:spacing w:after="0" w:line="240" w:lineRule="auto"/>
        <w:ind w:left="0" w:right="0" w:firstLine="0"/>
        <w:jc w:val="left"/>
        <w:rPr>
          <w:rFonts w:ascii="Times New Roman" w:hAnsi="Times New Roman" w:cs="Times New Roman"/>
          <w:b/>
          <w:bCs/>
        </w:rPr>
      </w:pPr>
      <w:r>
        <w:rPr>
          <w:rFonts w:ascii="Times New Roman" w:hAnsi="Times New Roman" w:cs="Times New Roman"/>
          <w:b/>
          <w:bCs/>
        </w:rPr>
        <w:br w:type="page"/>
      </w:r>
    </w:p>
    <w:p w14:paraId="722315F8" w14:textId="3A918354" w:rsidR="003E1F88" w:rsidRPr="00B40337" w:rsidRDefault="00000000" w:rsidP="00DC5123">
      <w:pPr>
        <w:pStyle w:val="Heading1"/>
      </w:pPr>
      <w:bookmarkStart w:id="18" w:name="_Toc161220525"/>
      <w:r w:rsidRPr="00B40337">
        <w:lastRenderedPageBreak/>
        <w:t>References</w:t>
      </w:r>
      <w:bookmarkEnd w:id="18"/>
    </w:p>
    <w:p w14:paraId="344B55CB" w14:textId="77777777" w:rsidR="00B9554B" w:rsidRPr="00B9554B" w:rsidRDefault="00BA232F" w:rsidP="00B9554B">
      <w:pPr>
        <w:pStyle w:val="Bibliography"/>
        <w:rPr>
          <w:rFonts w:ascii="Times New Roman" w:hAnsi="Times New Roman" w:cs="Times New Roman"/>
          <w:color w:val="000000"/>
        </w:rPr>
      </w:pPr>
      <w:r w:rsidRPr="00B40337">
        <w:fldChar w:fldCharType="begin"/>
      </w:r>
      <w:r w:rsidRPr="00B40337">
        <w:instrText xml:space="preserve"> ADDIN ZOTERO_BIBL {"uncited":[],"omitted":[],"custom":[]} CSL_BIBLIOGRAPHY </w:instrText>
      </w:r>
      <w:r w:rsidRPr="00B40337">
        <w:fldChar w:fldCharType="separate"/>
      </w:r>
      <w:r w:rsidR="00B9554B" w:rsidRPr="00B9554B">
        <w:rPr>
          <w:rFonts w:ascii="Times New Roman" w:hAnsi="Times New Roman" w:cs="Times New Roman"/>
          <w:color w:val="000000"/>
        </w:rPr>
        <w:t xml:space="preserve">1. </w:t>
      </w:r>
      <w:r w:rsidR="00B9554B" w:rsidRPr="00B9554B">
        <w:rPr>
          <w:rFonts w:ascii="Times New Roman" w:hAnsi="Times New Roman" w:cs="Times New Roman"/>
          <w:color w:val="000000"/>
        </w:rPr>
        <w:tab/>
        <w:t xml:space="preserve">World Health Organization, Household Energy Database. </w:t>
      </w:r>
      <w:r w:rsidR="00B9554B" w:rsidRPr="00B9554B">
        <w:rPr>
          <w:rFonts w:ascii="Times New Roman" w:hAnsi="Times New Roman" w:cs="Times New Roman"/>
          <w:i/>
          <w:iCs/>
          <w:color w:val="000000"/>
        </w:rPr>
        <w:t>Maps &amp; Data</w:t>
      </w:r>
      <w:r w:rsidR="00B9554B" w:rsidRPr="00B9554B">
        <w:rPr>
          <w:rFonts w:ascii="Times New Roman" w:hAnsi="Times New Roman" w:cs="Times New Roman"/>
          <w:color w:val="000000"/>
        </w:rPr>
        <w:t>, (available at http://www.who.int/airpollution/data/household-energy-database/en/).</w:t>
      </w:r>
    </w:p>
    <w:p w14:paraId="492720E4"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2. </w:t>
      </w:r>
      <w:r w:rsidRPr="00B9554B">
        <w:rPr>
          <w:rFonts w:ascii="Times New Roman" w:hAnsi="Times New Roman" w:cs="Times New Roman"/>
          <w:color w:val="000000"/>
        </w:rPr>
        <w:tab/>
        <w:t xml:space="preserve">C. F. Gould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Journal of Exposure Science &amp; Environmental Epidemiology</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30</w:t>
      </w:r>
      <w:r w:rsidRPr="00B9554B">
        <w:rPr>
          <w:rFonts w:ascii="Times New Roman" w:hAnsi="Times New Roman" w:cs="Times New Roman"/>
          <w:color w:val="000000"/>
        </w:rPr>
        <w:t>, 707–720 (2020).</w:t>
      </w:r>
    </w:p>
    <w:p w14:paraId="7D25A3FD"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3. </w:t>
      </w:r>
      <w:r w:rsidRPr="00B9554B">
        <w:rPr>
          <w:rFonts w:ascii="Times New Roman" w:hAnsi="Times New Roman" w:cs="Times New Roman"/>
          <w:color w:val="000000"/>
        </w:rPr>
        <w:tab/>
        <w:t xml:space="preserve">R. Burnett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Proc. Natl. Acad. Sci. U.S.A.</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115</w:t>
      </w:r>
      <w:r w:rsidRPr="00B9554B">
        <w:rPr>
          <w:rFonts w:ascii="Times New Roman" w:hAnsi="Times New Roman" w:cs="Times New Roman"/>
          <w:color w:val="000000"/>
        </w:rPr>
        <w:t>, 9592–9597 (2018).</w:t>
      </w:r>
    </w:p>
    <w:p w14:paraId="281126F5"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4. </w:t>
      </w:r>
      <w:r w:rsidRPr="00B9554B">
        <w:rPr>
          <w:rFonts w:ascii="Times New Roman" w:hAnsi="Times New Roman" w:cs="Times New Roman"/>
          <w:color w:val="000000"/>
        </w:rPr>
        <w:tab/>
        <w:t xml:space="preserve">R. C. Nethery, F. Dominici, </w:t>
      </w:r>
      <w:r w:rsidRPr="00B9554B">
        <w:rPr>
          <w:rFonts w:ascii="Times New Roman" w:hAnsi="Times New Roman" w:cs="Times New Roman"/>
          <w:i/>
          <w:iCs/>
          <w:color w:val="000000"/>
        </w:rPr>
        <w:t>European Heart Journal</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40</w:t>
      </w:r>
      <w:r w:rsidRPr="00B9554B">
        <w:rPr>
          <w:rFonts w:ascii="Times New Roman" w:hAnsi="Times New Roman" w:cs="Times New Roman"/>
          <w:color w:val="000000"/>
        </w:rPr>
        <w:t>, 1597–1599 (2019).</w:t>
      </w:r>
    </w:p>
    <w:p w14:paraId="35105D32"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5. </w:t>
      </w:r>
      <w:r w:rsidRPr="00B9554B">
        <w:rPr>
          <w:rFonts w:ascii="Times New Roman" w:hAnsi="Times New Roman" w:cs="Times New Roman"/>
          <w:color w:val="000000"/>
        </w:rPr>
        <w:tab/>
        <w:t xml:space="preserve">A. Pozzer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GeoHealth</w:t>
      </w:r>
      <w:r w:rsidRPr="00B9554B">
        <w:rPr>
          <w:rFonts w:ascii="Times New Roman" w:hAnsi="Times New Roman" w:cs="Times New Roman"/>
          <w:color w:val="000000"/>
        </w:rPr>
        <w:t>, in press, doi:10.1029/2022GH000711.</w:t>
      </w:r>
    </w:p>
    <w:p w14:paraId="4FD418FC"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6. </w:t>
      </w:r>
      <w:r w:rsidRPr="00B9554B">
        <w:rPr>
          <w:rFonts w:ascii="Times New Roman" w:hAnsi="Times New Roman" w:cs="Times New Roman"/>
          <w:color w:val="000000"/>
        </w:rPr>
        <w:tab/>
        <w:t xml:space="preserve">Sander,Klas,Mira-Salama,Daniel,Feuerbacher,Arndt, The cost of air pollution - a case study for the city of Cuenca, Ecuador. </w:t>
      </w:r>
      <w:r w:rsidRPr="00B9554B">
        <w:rPr>
          <w:rFonts w:ascii="Times New Roman" w:hAnsi="Times New Roman" w:cs="Times New Roman"/>
          <w:i/>
          <w:iCs/>
          <w:color w:val="000000"/>
        </w:rPr>
        <w:t>World Bank</w:t>
      </w:r>
      <w:r w:rsidRPr="00B9554B">
        <w:rPr>
          <w:rFonts w:ascii="Times New Roman" w:hAnsi="Times New Roman" w:cs="Times New Roman"/>
          <w:color w:val="000000"/>
        </w:rPr>
        <w:t>, (available at https://documents.worldbank.org/en/publication/documents-reports/documentdetail/458511468189273908/The-cost-of-air-pollution-a-case-study-for-the-city-of-Cuenca-Ecuador).</w:t>
      </w:r>
    </w:p>
    <w:p w14:paraId="16CF62E0"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7. </w:t>
      </w:r>
      <w:r w:rsidRPr="00B9554B">
        <w:rPr>
          <w:rFonts w:ascii="Times New Roman" w:hAnsi="Times New Roman" w:cs="Times New Roman"/>
          <w:color w:val="000000"/>
        </w:rPr>
        <w:tab/>
        <w:t>Repositorio Digital: Estimación del valor estadístico de la vida para Ecuador en el año 2019, (available at http://www.dspace.uce.edu.ec/handle/25000/24631?mode=full).</w:t>
      </w:r>
    </w:p>
    <w:p w14:paraId="2D10F15C"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8. </w:t>
      </w:r>
      <w:r w:rsidRPr="00B9554B">
        <w:rPr>
          <w:rFonts w:ascii="Times New Roman" w:hAnsi="Times New Roman" w:cs="Times New Roman"/>
          <w:color w:val="000000"/>
        </w:rPr>
        <w:tab/>
        <w:t xml:space="preserve">W. K. Viscusi, </w:t>
      </w:r>
      <w:r w:rsidRPr="00B9554B">
        <w:rPr>
          <w:rFonts w:ascii="Times New Roman" w:hAnsi="Times New Roman" w:cs="Times New Roman"/>
          <w:i/>
          <w:iCs/>
          <w:color w:val="000000"/>
        </w:rPr>
        <w:t>J Risk Uncertain</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61</w:t>
      </w:r>
      <w:r w:rsidRPr="00B9554B">
        <w:rPr>
          <w:rFonts w:ascii="Times New Roman" w:hAnsi="Times New Roman" w:cs="Times New Roman"/>
          <w:color w:val="000000"/>
        </w:rPr>
        <w:t>, 101–128 (2020).</w:t>
      </w:r>
    </w:p>
    <w:p w14:paraId="7E0822EC"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9. </w:t>
      </w:r>
      <w:r w:rsidRPr="00B9554B">
        <w:rPr>
          <w:rFonts w:ascii="Times New Roman" w:hAnsi="Times New Roman" w:cs="Times New Roman"/>
          <w:color w:val="000000"/>
        </w:rPr>
        <w:tab/>
        <w:t xml:space="preserve">C. F. Gould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Environ Health Perspect</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131</w:t>
      </w:r>
      <w:r w:rsidRPr="00B9554B">
        <w:rPr>
          <w:rFonts w:ascii="Times New Roman" w:hAnsi="Times New Roman" w:cs="Times New Roman"/>
          <w:color w:val="000000"/>
        </w:rPr>
        <w:t>, 037017 (2023).</w:t>
      </w:r>
    </w:p>
    <w:p w14:paraId="1930A309"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10. </w:t>
      </w:r>
      <w:r w:rsidRPr="00B9554B">
        <w:rPr>
          <w:rFonts w:ascii="Times New Roman" w:hAnsi="Times New Roman" w:cs="Times New Roman"/>
          <w:color w:val="000000"/>
        </w:rPr>
        <w:tab/>
        <w:t xml:space="preserve">M. Jeuland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World Development Perspectives</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30</w:t>
      </w:r>
      <w:r w:rsidRPr="00B9554B">
        <w:rPr>
          <w:rFonts w:ascii="Times New Roman" w:hAnsi="Times New Roman" w:cs="Times New Roman"/>
          <w:color w:val="000000"/>
        </w:rPr>
        <w:t>, 100490 (2023).</w:t>
      </w:r>
    </w:p>
    <w:p w14:paraId="79EB47F0"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11. </w:t>
      </w:r>
      <w:r w:rsidRPr="00B9554B">
        <w:rPr>
          <w:rFonts w:ascii="Times New Roman" w:hAnsi="Times New Roman" w:cs="Times New Roman"/>
          <w:color w:val="000000"/>
        </w:rPr>
        <w:tab/>
        <w:t>S. Agrawal, S. Mani, A. Jain, K. Ganesan, “State of Electricity Access in India: Insights from the India Residential Energy consumption Survey (IRES) 2020” (Council on Energy, Environment and Water, New Delhi, India, 2020), (available at https://www.ceew.in/publications/state-electricity-access-india).</w:t>
      </w:r>
    </w:p>
    <w:p w14:paraId="5233C0D1"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12. </w:t>
      </w:r>
      <w:r w:rsidRPr="00B9554B">
        <w:rPr>
          <w:rFonts w:ascii="Times New Roman" w:hAnsi="Times New Roman" w:cs="Times New Roman"/>
          <w:color w:val="000000"/>
        </w:rPr>
        <w:tab/>
        <w:t xml:space="preserve">T. F. Clasen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New England Journal of Medicine</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387</w:t>
      </w:r>
      <w:r w:rsidRPr="00B9554B">
        <w:rPr>
          <w:rFonts w:ascii="Times New Roman" w:hAnsi="Times New Roman" w:cs="Times New Roman"/>
          <w:color w:val="000000"/>
        </w:rPr>
        <w:t>, 1735–1746 (2022).</w:t>
      </w:r>
    </w:p>
    <w:p w14:paraId="2678EAB8"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13. </w:t>
      </w:r>
      <w:r w:rsidRPr="00B9554B">
        <w:rPr>
          <w:rFonts w:ascii="Times New Roman" w:hAnsi="Times New Roman" w:cs="Times New Roman"/>
          <w:color w:val="000000"/>
        </w:rPr>
        <w:tab/>
        <w:t xml:space="preserve">M. Johnson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Environ Health Perspect</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130</w:t>
      </w:r>
      <w:r w:rsidRPr="00B9554B">
        <w:rPr>
          <w:rFonts w:ascii="Times New Roman" w:hAnsi="Times New Roman" w:cs="Times New Roman"/>
          <w:color w:val="000000"/>
        </w:rPr>
        <w:t>, 097005 (2022).</w:t>
      </w:r>
    </w:p>
    <w:p w14:paraId="07D151B0"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14. </w:t>
      </w:r>
      <w:r w:rsidRPr="00B9554B">
        <w:rPr>
          <w:rFonts w:ascii="Times New Roman" w:hAnsi="Times New Roman" w:cs="Times New Roman"/>
          <w:color w:val="000000"/>
        </w:rPr>
        <w:tab/>
        <w:t xml:space="preserve">M. Haacker, T. B. Hallett, R. Atun, </w:t>
      </w:r>
      <w:r w:rsidRPr="00B9554B">
        <w:rPr>
          <w:rFonts w:ascii="Times New Roman" w:hAnsi="Times New Roman" w:cs="Times New Roman"/>
          <w:i/>
          <w:iCs/>
          <w:color w:val="000000"/>
        </w:rPr>
        <w:t>Health Policy and Planning</w:t>
      </w:r>
      <w:r w:rsidRPr="00B9554B">
        <w:rPr>
          <w:rFonts w:ascii="Times New Roman" w:hAnsi="Times New Roman" w:cs="Times New Roman"/>
          <w:color w:val="000000"/>
        </w:rPr>
        <w:t>, czz127 (2019).</w:t>
      </w:r>
    </w:p>
    <w:p w14:paraId="0437934D"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15. </w:t>
      </w:r>
      <w:r w:rsidRPr="00B9554B">
        <w:rPr>
          <w:rFonts w:ascii="Times New Roman" w:hAnsi="Times New Roman" w:cs="Times New Roman"/>
          <w:color w:val="000000"/>
        </w:rPr>
        <w:tab/>
        <w:t xml:space="preserve">M. Shupler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Nat Energy</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6</w:t>
      </w:r>
      <w:r w:rsidRPr="00B9554B">
        <w:rPr>
          <w:rFonts w:ascii="Times New Roman" w:hAnsi="Times New Roman" w:cs="Times New Roman"/>
          <w:color w:val="000000"/>
        </w:rPr>
        <w:t>, 1198–1210 (2021).</w:t>
      </w:r>
    </w:p>
    <w:p w14:paraId="631A9396"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16. </w:t>
      </w:r>
      <w:r w:rsidRPr="00B9554B">
        <w:rPr>
          <w:rFonts w:ascii="Times New Roman" w:hAnsi="Times New Roman" w:cs="Times New Roman"/>
          <w:color w:val="000000"/>
        </w:rPr>
        <w:tab/>
        <w:t xml:space="preserve">M. Shupler </w:t>
      </w:r>
      <w:r w:rsidRPr="00B9554B">
        <w:rPr>
          <w:rFonts w:ascii="Times New Roman" w:hAnsi="Times New Roman" w:cs="Times New Roman"/>
          <w:i/>
          <w:iCs/>
          <w:color w:val="000000"/>
        </w:rPr>
        <w:t>et al.</w:t>
      </w:r>
      <w:r w:rsidRPr="00B9554B">
        <w:rPr>
          <w:rFonts w:ascii="Times New Roman" w:hAnsi="Times New Roman" w:cs="Times New Roman"/>
          <w:color w:val="000000"/>
        </w:rPr>
        <w:t>, “Declining use of clean cooking fuels &amp; food security in 2022: Downstream impact of the Russian-Ukrainian war in a Kenyan informal urban settlement” (preprint, Epidemiology, 2023), , doi:10.1101/2023.07.09.23292423.</w:t>
      </w:r>
    </w:p>
    <w:p w14:paraId="0D9CDE8D"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17. </w:t>
      </w:r>
      <w:r w:rsidRPr="00B9554B">
        <w:rPr>
          <w:rFonts w:ascii="Times New Roman" w:hAnsi="Times New Roman" w:cs="Times New Roman"/>
          <w:color w:val="000000"/>
        </w:rPr>
        <w:tab/>
        <w:t xml:space="preserve">M. Shupler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Applied Energy</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292</w:t>
      </w:r>
      <w:r w:rsidRPr="00B9554B">
        <w:rPr>
          <w:rFonts w:ascii="Times New Roman" w:hAnsi="Times New Roman" w:cs="Times New Roman"/>
          <w:color w:val="000000"/>
        </w:rPr>
        <w:t>, 116769 (2021).</w:t>
      </w:r>
    </w:p>
    <w:p w14:paraId="561280C4"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18. </w:t>
      </w:r>
      <w:r w:rsidRPr="00B9554B">
        <w:rPr>
          <w:rFonts w:ascii="Times New Roman" w:hAnsi="Times New Roman" w:cs="Times New Roman"/>
          <w:color w:val="000000"/>
        </w:rPr>
        <w:tab/>
        <w:t xml:space="preserve">M. Shupler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The Lancet Planetary Health</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4</w:t>
      </w:r>
      <w:r w:rsidRPr="00B9554B">
        <w:rPr>
          <w:rFonts w:ascii="Times New Roman" w:hAnsi="Times New Roman" w:cs="Times New Roman"/>
          <w:color w:val="000000"/>
        </w:rPr>
        <w:t>, e451–e462 (2020).</w:t>
      </w:r>
    </w:p>
    <w:p w14:paraId="1EE2CC3A"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lastRenderedPageBreak/>
        <w:t xml:space="preserve">19. </w:t>
      </w:r>
      <w:r w:rsidRPr="00B9554B">
        <w:rPr>
          <w:rFonts w:ascii="Times New Roman" w:hAnsi="Times New Roman" w:cs="Times New Roman"/>
          <w:color w:val="000000"/>
        </w:rPr>
        <w:tab/>
        <w:t xml:space="preserve">M. Johnson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Indoor Air</w:t>
      </w:r>
      <w:r w:rsidRPr="00B9554B">
        <w:rPr>
          <w:rFonts w:ascii="Times New Roman" w:hAnsi="Times New Roman" w:cs="Times New Roman"/>
          <w:color w:val="000000"/>
        </w:rPr>
        <w:t>, in press, doi:10.1111/ina.12790.</w:t>
      </w:r>
    </w:p>
    <w:p w14:paraId="7DC18B8F"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20. </w:t>
      </w:r>
      <w:r w:rsidRPr="00B9554B">
        <w:rPr>
          <w:rFonts w:ascii="Times New Roman" w:hAnsi="Times New Roman" w:cs="Times New Roman"/>
          <w:color w:val="000000"/>
        </w:rPr>
        <w:tab/>
        <w:t xml:space="preserve">W. K. Viscusi, C. J. Masterman, </w:t>
      </w:r>
      <w:r w:rsidRPr="00B9554B">
        <w:rPr>
          <w:rFonts w:ascii="Times New Roman" w:hAnsi="Times New Roman" w:cs="Times New Roman"/>
          <w:i/>
          <w:iCs/>
          <w:color w:val="000000"/>
        </w:rPr>
        <w:t>Journal of Benefit-Cost Analysis</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8</w:t>
      </w:r>
      <w:r w:rsidRPr="00B9554B">
        <w:rPr>
          <w:rFonts w:ascii="Times New Roman" w:hAnsi="Times New Roman" w:cs="Times New Roman"/>
          <w:color w:val="000000"/>
        </w:rPr>
        <w:t>, 226–250 (2017).</w:t>
      </w:r>
    </w:p>
    <w:p w14:paraId="0513D986"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21. </w:t>
      </w:r>
      <w:r w:rsidRPr="00B9554B">
        <w:rPr>
          <w:rFonts w:ascii="Times New Roman" w:hAnsi="Times New Roman" w:cs="Times New Roman"/>
          <w:color w:val="000000"/>
        </w:rPr>
        <w:tab/>
        <w:t xml:space="preserve">E. Floess </w:t>
      </w:r>
      <w:r w:rsidRPr="00B9554B">
        <w:rPr>
          <w:rFonts w:ascii="Times New Roman" w:hAnsi="Times New Roman" w:cs="Times New Roman"/>
          <w:i/>
          <w:iCs/>
          <w:color w:val="000000"/>
        </w:rPr>
        <w:t>et al.</w:t>
      </w:r>
      <w:r w:rsidRPr="00B9554B">
        <w:rPr>
          <w:rFonts w:ascii="Times New Roman" w:hAnsi="Times New Roman" w:cs="Times New Roman"/>
          <w:color w:val="000000"/>
        </w:rPr>
        <w:t xml:space="preserve">, </w:t>
      </w:r>
      <w:r w:rsidRPr="00B9554B">
        <w:rPr>
          <w:rFonts w:ascii="Times New Roman" w:hAnsi="Times New Roman" w:cs="Times New Roman"/>
          <w:i/>
          <w:iCs/>
          <w:color w:val="000000"/>
        </w:rPr>
        <w:t>Environ. Res. Lett.</w:t>
      </w:r>
      <w:r w:rsidRPr="00B9554B">
        <w:rPr>
          <w:rFonts w:ascii="Times New Roman" w:hAnsi="Times New Roman" w:cs="Times New Roman"/>
          <w:color w:val="000000"/>
        </w:rPr>
        <w:t xml:space="preserve"> </w:t>
      </w:r>
      <w:r w:rsidRPr="00B9554B">
        <w:rPr>
          <w:rFonts w:ascii="Times New Roman" w:hAnsi="Times New Roman" w:cs="Times New Roman"/>
          <w:b/>
          <w:bCs/>
          <w:color w:val="000000"/>
        </w:rPr>
        <w:t>18</w:t>
      </w:r>
      <w:r w:rsidRPr="00B9554B">
        <w:rPr>
          <w:rFonts w:ascii="Times New Roman" w:hAnsi="Times New Roman" w:cs="Times New Roman"/>
          <w:color w:val="000000"/>
        </w:rPr>
        <w:t>, 034010 (2023).</w:t>
      </w:r>
    </w:p>
    <w:p w14:paraId="658CA4CC" w14:textId="77777777" w:rsidR="00B9554B" w:rsidRPr="00B9554B" w:rsidRDefault="00B9554B" w:rsidP="00B9554B">
      <w:pPr>
        <w:pStyle w:val="Bibliography"/>
        <w:rPr>
          <w:rFonts w:ascii="Times New Roman" w:hAnsi="Times New Roman" w:cs="Times New Roman"/>
          <w:color w:val="000000"/>
        </w:rPr>
      </w:pPr>
      <w:r w:rsidRPr="00B9554B">
        <w:rPr>
          <w:rFonts w:ascii="Times New Roman" w:hAnsi="Times New Roman" w:cs="Times New Roman"/>
          <w:color w:val="000000"/>
        </w:rPr>
        <w:t xml:space="preserve">22. </w:t>
      </w:r>
      <w:r w:rsidRPr="00B9554B">
        <w:rPr>
          <w:rFonts w:ascii="Times New Roman" w:hAnsi="Times New Roman" w:cs="Times New Roman"/>
          <w:color w:val="000000"/>
        </w:rPr>
        <w:tab/>
        <w:t>M. Burke, M. Zahid, N. Diffenbaugh, S. Hsiang, “Quantifying Climate Change Loss and Damage Consistent with a Social Cost of Greenhouse Gases” (w31658, National Bureau of Economic Research, Cambridge, MA, 2023), p. w31658.</w:t>
      </w:r>
    </w:p>
    <w:p w14:paraId="7FF4AA49" w14:textId="5A28AA20" w:rsidR="00077171" w:rsidRPr="00B40337" w:rsidRDefault="00BA232F" w:rsidP="00077171">
      <w:pPr>
        <w:ind w:left="0" w:firstLine="0"/>
        <w:rPr>
          <w:rFonts w:ascii="Times New Roman" w:hAnsi="Times New Roman" w:cs="Times New Roman"/>
        </w:rPr>
      </w:pPr>
      <w:r w:rsidRPr="00B40337">
        <w:rPr>
          <w:rFonts w:ascii="Times New Roman" w:hAnsi="Times New Roman" w:cs="Times New Roman"/>
        </w:rPr>
        <w:fldChar w:fldCharType="end"/>
      </w:r>
    </w:p>
    <w:p w14:paraId="01BB9AE6" w14:textId="531C731A" w:rsidR="003E1F88" w:rsidRPr="00B40337" w:rsidRDefault="003E1F88" w:rsidP="000D0DBE">
      <w:pPr>
        <w:spacing w:after="0" w:line="480" w:lineRule="auto"/>
        <w:ind w:right="0"/>
        <w:jc w:val="left"/>
        <w:rPr>
          <w:rFonts w:ascii="Times New Roman" w:hAnsi="Times New Roman" w:cs="Times New Roman"/>
        </w:rPr>
      </w:pPr>
    </w:p>
    <w:sectPr w:rsidR="003E1F88" w:rsidRPr="00B40337" w:rsidSect="007E23B1">
      <w:footerReference w:type="even" r:id="rId23"/>
      <w:footerReference w:type="default" r:id="rId24"/>
      <w:footerReference w:type="first" r:id="rId25"/>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FC78" w14:textId="77777777" w:rsidR="007E23B1" w:rsidRDefault="007E23B1">
      <w:pPr>
        <w:spacing w:after="0" w:line="240" w:lineRule="auto"/>
      </w:pPr>
      <w:r>
        <w:separator/>
      </w:r>
    </w:p>
  </w:endnote>
  <w:endnote w:type="continuationSeparator" w:id="0">
    <w:p w14:paraId="40CF146E" w14:textId="77777777" w:rsidR="007E23B1" w:rsidRDefault="007E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AA6D" w14:textId="77777777" w:rsidR="0035142E" w:rsidRDefault="0035142E">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EC63" w14:textId="77777777" w:rsidR="0035142E" w:rsidRPr="000255C3" w:rsidRDefault="0035142E">
    <w:pPr>
      <w:spacing w:after="0" w:line="259" w:lineRule="auto"/>
      <w:ind w:left="0" w:right="0" w:firstLine="0"/>
      <w:jc w:val="center"/>
      <w:rPr>
        <w:rFonts w:ascii="Times New Roman" w:hAnsi="Times New Roman" w:cs="Times New Roman"/>
        <w:sz w:val="20"/>
        <w:szCs w:val="20"/>
      </w:rPr>
    </w:pPr>
    <w:r w:rsidRPr="000255C3">
      <w:rPr>
        <w:rFonts w:ascii="Times New Roman" w:hAnsi="Times New Roman" w:cs="Times New Roman"/>
        <w:sz w:val="20"/>
        <w:szCs w:val="20"/>
      </w:rPr>
      <w:fldChar w:fldCharType="begin"/>
    </w:r>
    <w:r w:rsidRPr="000255C3">
      <w:rPr>
        <w:rFonts w:ascii="Times New Roman" w:hAnsi="Times New Roman" w:cs="Times New Roman"/>
        <w:sz w:val="20"/>
        <w:szCs w:val="20"/>
      </w:rPr>
      <w:instrText xml:space="preserve"> PAGE   \* MERGEFORMAT </w:instrText>
    </w:r>
    <w:r w:rsidRPr="000255C3">
      <w:rPr>
        <w:rFonts w:ascii="Times New Roman" w:hAnsi="Times New Roman" w:cs="Times New Roman"/>
        <w:sz w:val="20"/>
        <w:szCs w:val="20"/>
      </w:rPr>
      <w:fldChar w:fldCharType="separate"/>
    </w:r>
    <w:r w:rsidRPr="000255C3">
      <w:rPr>
        <w:rFonts w:ascii="Times New Roman" w:hAnsi="Times New Roman" w:cs="Times New Roman"/>
        <w:sz w:val="20"/>
        <w:szCs w:val="20"/>
      </w:rPr>
      <w:t>1</w:t>
    </w:r>
    <w:r w:rsidRPr="000255C3">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4F3F" w14:textId="77777777" w:rsidR="0035142E" w:rsidRDefault="0035142E">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9FB0" w14:textId="77777777" w:rsidR="003E1F88" w:rsidRDefault="00000000">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AFA2" w14:textId="77777777" w:rsidR="003E1F88" w:rsidRPr="000255C3" w:rsidRDefault="00000000">
    <w:pPr>
      <w:spacing w:after="0" w:line="259" w:lineRule="auto"/>
      <w:ind w:left="0" w:right="0" w:firstLine="0"/>
      <w:jc w:val="center"/>
      <w:rPr>
        <w:rFonts w:ascii="Times New Roman" w:hAnsi="Times New Roman" w:cs="Times New Roman"/>
        <w:sz w:val="20"/>
        <w:szCs w:val="20"/>
      </w:rPr>
    </w:pPr>
    <w:r w:rsidRPr="000255C3">
      <w:rPr>
        <w:rFonts w:ascii="Times New Roman" w:hAnsi="Times New Roman" w:cs="Times New Roman"/>
        <w:sz w:val="20"/>
        <w:szCs w:val="20"/>
      </w:rPr>
      <w:fldChar w:fldCharType="begin"/>
    </w:r>
    <w:r w:rsidRPr="000255C3">
      <w:rPr>
        <w:rFonts w:ascii="Times New Roman" w:hAnsi="Times New Roman" w:cs="Times New Roman"/>
        <w:sz w:val="20"/>
        <w:szCs w:val="20"/>
      </w:rPr>
      <w:instrText xml:space="preserve"> PAGE   \* MERGEFORMAT </w:instrText>
    </w:r>
    <w:r w:rsidRPr="000255C3">
      <w:rPr>
        <w:rFonts w:ascii="Times New Roman" w:hAnsi="Times New Roman" w:cs="Times New Roman"/>
        <w:sz w:val="20"/>
        <w:szCs w:val="20"/>
      </w:rPr>
      <w:fldChar w:fldCharType="separate"/>
    </w:r>
    <w:r w:rsidRPr="000255C3">
      <w:rPr>
        <w:rFonts w:ascii="Times New Roman" w:hAnsi="Times New Roman" w:cs="Times New Roman"/>
        <w:sz w:val="20"/>
        <w:szCs w:val="20"/>
      </w:rPr>
      <w:t>1</w:t>
    </w:r>
    <w:r w:rsidRPr="000255C3">
      <w:rPr>
        <w:rFonts w:ascii="Times New Roman" w:hAnsi="Times New Roman" w:cs="Times New Roman"/>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125B" w14:textId="77777777" w:rsidR="003E1F88" w:rsidRDefault="00000000">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F6A1" w14:textId="77777777" w:rsidR="007E23B1" w:rsidRDefault="007E23B1">
      <w:pPr>
        <w:spacing w:after="0" w:line="240" w:lineRule="auto"/>
      </w:pPr>
      <w:r>
        <w:separator/>
      </w:r>
    </w:p>
  </w:footnote>
  <w:footnote w:type="continuationSeparator" w:id="0">
    <w:p w14:paraId="118C1CE2" w14:textId="77777777" w:rsidR="007E23B1" w:rsidRDefault="007E23B1">
      <w:pPr>
        <w:spacing w:after="0" w:line="240" w:lineRule="auto"/>
      </w:pPr>
      <w:r>
        <w:continuationSeparator/>
      </w:r>
    </w:p>
  </w:footnote>
  <w:footnote w:id="1">
    <w:p w14:paraId="5D57CC18" w14:textId="77777777" w:rsidR="00847130" w:rsidRPr="0048789E" w:rsidRDefault="00847130" w:rsidP="00847130">
      <w:pPr>
        <w:pStyle w:val="footnotedescription"/>
        <w:spacing w:after="17"/>
        <w:ind w:right="129"/>
        <w:rPr>
          <w:rFonts w:ascii="Times New Roman" w:hAnsi="Times New Roman" w:cs="Times New Roman"/>
        </w:rPr>
      </w:pPr>
      <w:r w:rsidRPr="00D53FC3">
        <w:rPr>
          <w:rStyle w:val="FootnoteReference"/>
        </w:rPr>
        <w:t>‡</w:t>
      </w:r>
      <w:r w:rsidRPr="0048789E">
        <w:rPr>
          <w:rFonts w:ascii="Times New Roman" w:hAnsi="Times New Roman" w:cs="Times New Roman"/>
        </w:rPr>
        <w:t xml:space="preserve"> Our title draws inspiration from Kirk R. Smith</w:t>
      </w:r>
      <w:r>
        <w:rPr>
          <w:rFonts w:ascii="Times New Roman" w:hAnsi="Times New Roman" w:cs="Times New Roman"/>
        </w:rPr>
        <w:t xml:space="preserve"> </w:t>
      </w:r>
      <w:r w:rsidRPr="0048789E">
        <w:rPr>
          <w:rFonts w:ascii="Times New Roman" w:hAnsi="Times New Roman" w:cs="Times New Roman"/>
        </w:rPr>
        <w:t xml:space="preserve">(2002) ‘In praise of petroleum?’ </w:t>
      </w:r>
      <w:r w:rsidRPr="0048789E">
        <w:rPr>
          <w:rFonts w:ascii="Times New Roman" w:hAnsi="Times New Roman" w:cs="Times New Roman"/>
          <w:i/>
        </w:rPr>
        <w:t xml:space="preserve">Science </w:t>
      </w:r>
      <w:r w:rsidRPr="0048789E">
        <w:rPr>
          <w:rFonts w:ascii="Times New Roman" w:hAnsi="Times New Roman" w:cs="Times New Roman"/>
        </w:rPr>
        <w:t>and Kirk R. Smith (2014) ‘In praise of power</w:t>
      </w:r>
      <w:r>
        <w:rPr>
          <w:rFonts w:ascii="Times New Roman" w:hAnsi="Times New Roman" w:cs="Times New Roman"/>
        </w:rPr>
        <w:t>’</w:t>
      </w:r>
      <w:r w:rsidRPr="0048789E">
        <w:rPr>
          <w:rFonts w:ascii="Times New Roman" w:hAnsi="Times New Roman" w:cs="Times New Roman"/>
        </w:rPr>
        <w:t xml:space="preserve"> </w:t>
      </w:r>
      <w:r w:rsidRPr="0048789E">
        <w:rPr>
          <w:rFonts w:ascii="Times New Roman" w:hAnsi="Times New Roman" w:cs="Times New Roman"/>
          <w:i/>
        </w:rPr>
        <w:t>Science</w:t>
      </w:r>
      <w:r w:rsidRPr="0048789E">
        <w:rPr>
          <w:rFonts w:ascii="Times New Roman" w:hAnsi="Times New Roman" w:cs="Times New Roman"/>
          <w:iCs/>
        </w:rPr>
        <w:t>.</w:t>
      </w:r>
    </w:p>
  </w:footnote>
  <w:footnote w:id="2">
    <w:p w14:paraId="66DF766C" w14:textId="3308B02D" w:rsidR="00D955A1" w:rsidRPr="00C82286" w:rsidRDefault="00D955A1">
      <w:pPr>
        <w:pStyle w:val="FootnoteText"/>
        <w:rPr>
          <w:rFonts w:ascii="Times New Roman" w:hAnsi="Times New Roman" w:cs="Times New Roman"/>
          <w:sz w:val="22"/>
          <w:szCs w:val="22"/>
        </w:rPr>
      </w:pPr>
      <w:r w:rsidRPr="00C82286">
        <w:rPr>
          <w:rStyle w:val="FootnoteReference"/>
          <w:rFonts w:ascii="Times New Roman" w:hAnsi="Times New Roman" w:cs="Times New Roman"/>
          <w:sz w:val="22"/>
          <w:szCs w:val="22"/>
        </w:rPr>
        <w:footnoteRef/>
      </w:r>
      <w:r w:rsidRPr="00C82286">
        <w:rPr>
          <w:rFonts w:ascii="Times New Roman" w:hAnsi="Times New Roman" w:cs="Times New Roman"/>
          <w:sz w:val="22"/>
          <w:szCs w:val="22"/>
        </w:rPr>
        <w:t xml:space="preserve"> Reported estimates come from personal correspondence from Dr. Matthew </w:t>
      </w:r>
      <w:proofErr w:type="spellStart"/>
      <w:r w:rsidRPr="00C82286">
        <w:rPr>
          <w:rFonts w:ascii="Times New Roman" w:hAnsi="Times New Roman" w:cs="Times New Roman"/>
          <w:sz w:val="22"/>
          <w:szCs w:val="22"/>
        </w:rPr>
        <w:t>Shupler</w:t>
      </w:r>
      <w:proofErr w:type="spellEnd"/>
      <w:r w:rsidRPr="00C82286">
        <w:rPr>
          <w:rFonts w:ascii="Times New Roman" w:hAnsi="Times New Roman" w:cs="Times New Roman"/>
          <w:sz w:val="22"/>
          <w:szCs w:val="22"/>
        </w:rPr>
        <w:t xml:space="preserve">, who clarified that the cited preprint was out of date. Dr. </w:t>
      </w:r>
      <w:proofErr w:type="spellStart"/>
      <w:r w:rsidRPr="00C82286">
        <w:rPr>
          <w:rFonts w:ascii="Times New Roman" w:hAnsi="Times New Roman" w:cs="Times New Roman"/>
          <w:sz w:val="22"/>
          <w:szCs w:val="22"/>
        </w:rPr>
        <w:t>Shupler</w:t>
      </w:r>
      <w:proofErr w:type="spellEnd"/>
      <w:r w:rsidRPr="00C82286">
        <w:rPr>
          <w:rFonts w:ascii="Times New Roman" w:hAnsi="Times New Roman" w:cs="Times New Roman"/>
          <w:sz w:val="22"/>
          <w:szCs w:val="22"/>
        </w:rPr>
        <w:t xml:space="preserve"> provided these referenced numbers.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E3D8945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42980881"/>
    <w:multiLevelType w:val="hybridMultilevel"/>
    <w:tmpl w:val="E19A4F80"/>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46073068"/>
    <w:multiLevelType w:val="hybridMultilevel"/>
    <w:tmpl w:val="5FEE8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65239"/>
    <w:multiLevelType w:val="hybridMultilevel"/>
    <w:tmpl w:val="256CECA4"/>
    <w:lvl w:ilvl="0" w:tplc="FB0C7EA2">
      <w:start w:val="1"/>
      <w:numFmt w:val="decimal"/>
      <w:lvlText w:val="%1."/>
      <w:lvlJc w:val="left"/>
      <w:pPr>
        <w:ind w:left="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D6E406">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E8A94">
      <w:start w:val="1"/>
      <w:numFmt w:val="lowerRoman"/>
      <w:lvlText w:val="%3"/>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F6626A">
      <w:start w:val="1"/>
      <w:numFmt w:val="decimal"/>
      <w:lvlText w:val="%4"/>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0C7D70">
      <w:start w:val="1"/>
      <w:numFmt w:val="lowerLetter"/>
      <w:lvlText w:val="%5"/>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F6088C">
      <w:start w:val="1"/>
      <w:numFmt w:val="lowerRoman"/>
      <w:lvlText w:val="%6"/>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188CEC">
      <w:start w:val="1"/>
      <w:numFmt w:val="decimal"/>
      <w:lvlText w:val="%7"/>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AE2436">
      <w:start w:val="1"/>
      <w:numFmt w:val="lowerLetter"/>
      <w:lvlText w:val="%8"/>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44F85C">
      <w:start w:val="1"/>
      <w:numFmt w:val="lowerRoman"/>
      <w:lvlText w:val="%9"/>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2A085C"/>
    <w:multiLevelType w:val="hybridMultilevel"/>
    <w:tmpl w:val="CFEAC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366267">
    <w:abstractNumId w:val="3"/>
  </w:num>
  <w:num w:numId="2" w16cid:durableId="504132708">
    <w:abstractNumId w:val="2"/>
  </w:num>
  <w:num w:numId="3" w16cid:durableId="1164054695">
    <w:abstractNumId w:val="4"/>
  </w:num>
  <w:num w:numId="4" w16cid:durableId="86119702">
    <w:abstractNumId w:val="0"/>
  </w:num>
  <w:num w:numId="5" w16cid:durableId="116694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88"/>
    <w:rsid w:val="00005956"/>
    <w:rsid w:val="0001064D"/>
    <w:rsid w:val="00013C33"/>
    <w:rsid w:val="0002028B"/>
    <w:rsid w:val="00020362"/>
    <w:rsid w:val="000203C0"/>
    <w:rsid w:val="000227A7"/>
    <w:rsid w:val="00022ED6"/>
    <w:rsid w:val="00022EF2"/>
    <w:rsid w:val="00024591"/>
    <w:rsid w:val="000255C3"/>
    <w:rsid w:val="00026EAB"/>
    <w:rsid w:val="00027A68"/>
    <w:rsid w:val="00030048"/>
    <w:rsid w:val="00030091"/>
    <w:rsid w:val="000302A7"/>
    <w:rsid w:val="0003084D"/>
    <w:rsid w:val="000357B9"/>
    <w:rsid w:val="00040769"/>
    <w:rsid w:val="00041B09"/>
    <w:rsid w:val="0004321C"/>
    <w:rsid w:val="0004783E"/>
    <w:rsid w:val="00047EF8"/>
    <w:rsid w:val="00047FD2"/>
    <w:rsid w:val="00050315"/>
    <w:rsid w:val="00050F24"/>
    <w:rsid w:val="000525EB"/>
    <w:rsid w:val="0005383B"/>
    <w:rsid w:val="00061BAC"/>
    <w:rsid w:val="000622ED"/>
    <w:rsid w:val="0006590F"/>
    <w:rsid w:val="00066544"/>
    <w:rsid w:val="00073F29"/>
    <w:rsid w:val="00077171"/>
    <w:rsid w:val="0007737E"/>
    <w:rsid w:val="00084E82"/>
    <w:rsid w:val="00086569"/>
    <w:rsid w:val="000911FA"/>
    <w:rsid w:val="000914D7"/>
    <w:rsid w:val="00092AA7"/>
    <w:rsid w:val="000969B7"/>
    <w:rsid w:val="000979FF"/>
    <w:rsid w:val="000A1E54"/>
    <w:rsid w:val="000A2C2E"/>
    <w:rsid w:val="000A497D"/>
    <w:rsid w:val="000A60AB"/>
    <w:rsid w:val="000B11DB"/>
    <w:rsid w:val="000B18D5"/>
    <w:rsid w:val="000B26EE"/>
    <w:rsid w:val="000B41A5"/>
    <w:rsid w:val="000B5A33"/>
    <w:rsid w:val="000B5D1A"/>
    <w:rsid w:val="000B6092"/>
    <w:rsid w:val="000B6658"/>
    <w:rsid w:val="000B6FD0"/>
    <w:rsid w:val="000D0DBE"/>
    <w:rsid w:val="000D5131"/>
    <w:rsid w:val="000D5988"/>
    <w:rsid w:val="000D6E49"/>
    <w:rsid w:val="000E1581"/>
    <w:rsid w:val="000E3D4C"/>
    <w:rsid w:val="000E5033"/>
    <w:rsid w:val="000E5493"/>
    <w:rsid w:val="000E5F74"/>
    <w:rsid w:val="000F1259"/>
    <w:rsid w:val="000F1453"/>
    <w:rsid w:val="000F2162"/>
    <w:rsid w:val="000F2703"/>
    <w:rsid w:val="0010270B"/>
    <w:rsid w:val="001109D2"/>
    <w:rsid w:val="00112EE2"/>
    <w:rsid w:val="001138E8"/>
    <w:rsid w:val="00113983"/>
    <w:rsid w:val="00114751"/>
    <w:rsid w:val="00116F77"/>
    <w:rsid w:val="00117A54"/>
    <w:rsid w:val="00124196"/>
    <w:rsid w:val="0012654A"/>
    <w:rsid w:val="00126BC5"/>
    <w:rsid w:val="00127443"/>
    <w:rsid w:val="001327D2"/>
    <w:rsid w:val="00133D8E"/>
    <w:rsid w:val="001368A5"/>
    <w:rsid w:val="00141704"/>
    <w:rsid w:val="00141A58"/>
    <w:rsid w:val="00146D2B"/>
    <w:rsid w:val="0015139B"/>
    <w:rsid w:val="001549CA"/>
    <w:rsid w:val="001558E7"/>
    <w:rsid w:val="00166E94"/>
    <w:rsid w:val="00167ABF"/>
    <w:rsid w:val="001706BE"/>
    <w:rsid w:val="00170CF6"/>
    <w:rsid w:val="001726CD"/>
    <w:rsid w:val="00172AD9"/>
    <w:rsid w:val="001730B1"/>
    <w:rsid w:val="00173CF7"/>
    <w:rsid w:val="00174662"/>
    <w:rsid w:val="00182471"/>
    <w:rsid w:val="0018309D"/>
    <w:rsid w:val="00184061"/>
    <w:rsid w:val="001900E2"/>
    <w:rsid w:val="00190E22"/>
    <w:rsid w:val="00191CC2"/>
    <w:rsid w:val="00193A4A"/>
    <w:rsid w:val="00195143"/>
    <w:rsid w:val="0019516A"/>
    <w:rsid w:val="00196A8B"/>
    <w:rsid w:val="001A4052"/>
    <w:rsid w:val="001B06F4"/>
    <w:rsid w:val="001B48D2"/>
    <w:rsid w:val="001B50C7"/>
    <w:rsid w:val="001B7548"/>
    <w:rsid w:val="001B7FC1"/>
    <w:rsid w:val="001C1EBA"/>
    <w:rsid w:val="001C33DB"/>
    <w:rsid w:val="001C42F0"/>
    <w:rsid w:val="001C65AA"/>
    <w:rsid w:val="001D204C"/>
    <w:rsid w:val="001D33A7"/>
    <w:rsid w:val="001D50E2"/>
    <w:rsid w:val="001D61DB"/>
    <w:rsid w:val="001D729E"/>
    <w:rsid w:val="001E2340"/>
    <w:rsid w:val="001E4222"/>
    <w:rsid w:val="001F29C2"/>
    <w:rsid w:val="001F399B"/>
    <w:rsid w:val="001F4899"/>
    <w:rsid w:val="001F6E1A"/>
    <w:rsid w:val="00200207"/>
    <w:rsid w:val="00200BF9"/>
    <w:rsid w:val="002010E1"/>
    <w:rsid w:val="00202582"/>
    <w:rsid w:val="002041CE"/>
    <w:rsid w:val="00206567"/>
    <w:rsid w:val="00207758"/>
    <w:rsid w:val="00207FA9"/>
    <w:rsid w:val="0021101C"/>
    <w:rsid w:val="00211148"/>
    <w:rsid w:val="002171DC"/>
    <w:rsid w:val="002210E0"/>
    <w:rsid w:val="00222189"/>
    <w:rsid w:val="00225DAA"/>
    <w:rsid w:val="00226339"/>
    <w:rsid w:val="00226569"/>
    <w:rsid w:val="002301D5"/>
    <w:rsid w:val="00230971"/>
    <w:rsid w:val="00232B68"/>
    <w:rsid w:val="002347D9"/>
    <w:rsid w:val="00237B1F"/>
    <w:rsid w:val="00237C3C"/>
    <w:rsid w:val="00241054"/>
    <w:rsid w:val="00241293"/>
    <w:rsid w:val="0024152C"/>
    <w:rsid w:val="00241ABB"/>
    <w:rsid w:val="00243278"/>
    <w:rsid w:val="00244551"/>
    <w:rsid w:val="002509E2"/>
    <w:rsid w:val="00250AF9"/>
    <w:rsid w:val="00251326"/>
    <w:rsid w:val="00252BC5"/>
    <w:rsid w:val="002535C2"/>
    <w:rsid w:val="00254974"/>
    <w:rsid w:val="00254EE6"/>
    <w:rsid w:val="00255D23"/>
    <w:rsid w:val="0026014C"/>
    <w:rsid w:val="0026332F"/>
    <w:rsid w:val="00265EFD"/>
    <w:rsid w:val="00267030"/>
    <w:rsid w:val="00275142"/>
    <w:rsid w:val="0027566D"/>
    <w:rsid w:val="002757F1"/>
    <w:rsid w:val="00276D59"/>
    <w:rsid w:val="00277B48"/>
    <w:rsid w:val="002812DB"/>
    <w:rsid w:val="002817D2"/>
    <w:rsid w:val="00281DBE"/>
    <w:rsid w:val="00283C5B"/>
    <w:rsid w:val="00284030"/>
    <w:rsid w:val="00285C2F"/>
    <w:rsid w:val="00286096"/>
    <w:rsid w:val="002908F3"/>
    <w:rsid w:val="00291C44"/>
    <w:rsid w:val="00291D0F"/>
    <w:rsid w:val="00292242"/>
    <w:rsid w:val="00293140"/>
    <w:rsid w:val="00293BB6"/>
    <w:rsid w:val="00294B72"/>
    <w:rsid w:val="00294F0C"/>
    <w:rsid w:val="00295150"/>
    <w:rsid w:val="002975F6"/>
    <w:rsid w:val="00297E47"/>
    <w:rsid w:val="002A0300"/>
    <w:rsid w:val="002A6889"/>
    <w:rsid w:val="002A7689"/>
    <w:rsid w:val="002B0C2A"/>
    <w:rsid w:val="002B1D73"/>
    <w:rsid w:val="002B3739"/>
    <w:rsid w:val="002B502B"/>
    <w:rsid w:val="002B6BBE"/>
    <w:rsid w:val="002B7886"/>
    <w:rsid w:val="002C0E5E"/>
    <w:rsid w:val="002C1825"/>
    <w:rsid w:val="002C5855"/>
    <w:rsid w:val="002C64DF"/>
    <w:rsid w:val="002D154D"/>
    <w:rsid w:val="002E3C1E"/>
    <w:rsid w:val="002E54AB"/>
    <w:rsid w:val="002F2B77"/>
    <w:rsid w:val="002F4045"/>
    <w:rsid w:val="003009C1"/>
    <w:rsid w:val="00302198"/>
    <w:rsid w:val="00303A12"/>
    <w:rsid w:val="0030606E"/>
    <w:rsid w:val="003113DA"/>
    <w:rsid w:val="00312583"/>
    <w:rsid w:val="0031289F"/>
    <w:rsid w:val="00312D1C"/>
    <w:rsid w:val="00317DEA"/>
    <w:rsid w:val="00317FE3"/>
    <w:rsid w:val="00323430"/>
    <w:rsid w:val="00323512"/>
    <w:rsid w:val="00323EB3"/>
    <w:rsid w:val="003254A8"/>
    <w:rsid w:val="003303DA"/>
    <w:rsid w:val="00330CEA"/>
    <w:rsid w:val="00331519"/>
    <w:rsid w:val="0033165F"/>
    <w:rsid w:val="00332B7A"/>
    <w:rsid w:val="003342CE"/>
    <w:rsid w:val="00336769"/>
    <w:rsid w:val="00337A89"/>
    <w:rsid w:val="0034066A"/>
    <w:rsid w:val="0034083B"/>
    <w:rsid w:val="00344979"/>
    <w:rsid w:val="00344AC6"/>
    <w:rsid w:val="00346296"/>
    <w:rsid w:val="00346D34"/>
    <w:rsid w:val="0035142E"/>
    <w:rsid w:val="00353088"/>
    <w:rsid w:val="00353203"/>
    <w:rsid w:val="00356215"/>
    <w:rsid w:val="003578DE"/>
    <w:rsid w:val="00360066"/>
    <w:rsid w:val="00361BC0"/>
    <w:rsid w:val="00371FA4"/>
    <w:rsid w:val="003721D2"/>
    <w:rsid w:val="00372398"/>
    <w:rsid w:val="0037668E"/>
    <w:rsid w:val="00377E8C"/>
    <w:rsid w:val="00380F99"/>
    <w:rsid w:val="00385EC7"/>
    <w:rsid w:val="003871D4"/>
    <w:rsid w:val="003878C8"/>
    <w:rsid w:val="00387A71"/>
    <w:rsid w:val="00390B19"/>
    <w:rsid w:val="0039152A"/>
    <w:rsid w:val="00392E26"/>
    <w:rsid w:val="00393507"/>
    <w:rsid w:val="00393A6E"/>
    <w:rsid w:val="003946DF"/>
    <w:rsid w:val="00396C7C"/>
    <w:rsid w:val="003A110A"/>
    <w:rsid w:val="003A34F3"/>
    <w:rsid w:val="003B1EAA"/>
    <w:rsid w:val="003B3519"/>
    <w:rsid w:val="003C24B4"/>
    <w:rsid w:val="003C48E3"/>
    <w:rsid w:val="003C6C77"/>
    <w:rsid w:val="003C7706"/>
    <w:rsid w:val="003C7713"/>
    <w:rsid w:val="003D0017"/>
    <w:rsid w:val="003D2C3C"/>
    <w:rsid w:val="003D330D"/>
    <w:rsid w:val="003D394D"/>
    <w:rsid w:val="003D3AAE"/>
    <w:rsid w:val="003D5F9D"/>
    <w:rsid w:val="003D6389"/>
    <w:rsid w:val="003D6ECF"/>
    <w:rsid w:val="003E08D1"/>
    <w:rsid w:val="003E1F88"/>
    <w:rsid w:val="003E3903"/>
    <w:rsid w:val="003E5154"/>
    <w:rsid w:val="003E546D"/>
    <w:rsid w:val="003F1529"/>
    <w:rsid w:val="003F4E68"/>
    <w:rsid w:val="00403DC2"/>
    <w:rsid w:val="00404A18"/>
    <w:rsid w:val="00404C92"/>
    <w:rsid w:val="00406694"/>
    <w:rsid w:val="0040702F"/>
    <w:rsid w:val="0041037D"/>
    <w:rsid w:val="00411637"/>
    <w:rsid w:val="00420625"/>
    <w:rsid w:val="00424452"/>
    <w:rsid w:val="00431B69"/>
    <w:rsid w:val="0043264A"/>
    <w:rsid w:val="00432879"/>
    <w:rsid w:val="00433559"/>
    <w:rsid w:val="00433CB4"/>
    <w:rsid w:val="00434323"/>
    <w:rsid w:val="00434327"/>
    <w:rsid w:val="00435452"/>
    <w:rsid w:val="004377CD"/>
    <w:rsid w:val="00441110"/>
    <w:rsid w:val="0044336D"/>
    <w:rsid w:val="004445D5"/>
    <w:rsid w:val="00447B1B"/>
    <w:rsid w:val="00451615"/>
    <w:rsid w:val="0045363A"/>
    <w:rsid w:val="00454A20"/>
    <w:rsid w:val="004553AB"/>
    <w:rsid w:val="00457B7B"/>
    <w:rsid w:val="004606A9"/>
    <w:rsid w:val="00460FDB"/>
    <w:rsid w:val="00461409"/>
    <w:rsid w:val="00464FFC"/>
    <w:rsid w:val="004655B7"/>
    <w:rsid w:val="004658A8"/>
    <w:rsid w:val="00466903"/>
    <w:rsid w:val="00470370"/>
    <w:rsid w:val="00473290"/>
    <w:rsid w:val="004732F8"/>
    <w:rsid w:val="00475468"/>
    <w:rsid w:val="004761BD"/>
    <w:rsid w:val="004767F4"/>
    <w:rsid w:val="0047787E"/>
    <w:rsid w:val="00485B78"/>
    <w:rsid w:val="00485FE3"/>
    <w:rsid w:val="004918A5"/>
    <w:rsid w:val="0049305F"/>
    <w:rsid w:val="004930CD"/>
    <w:rsid w:val="004931BD"/>
    <w:rsid w:val="004942FE"/>
    <w:rsid w:val="004946DC"/>
    <w:rsid w:val="004A01D6"/>
    <w:rsid w:val="004A01D7"/>
    <w:rsid w:val="004A359D"/>
    <w:rsid w:val="004A3C96"/>
    <w:rsid w:val="004B6D09"/>
    <w:rsid w:val="004C2EF8"/>
    <w:rsid w:val="004C51B4"/>
    <w:rsid w:val="004C7848"/>
    <w:rsid w:val="004C7ADD"/>
    <w:rsid w:val="004D180D"/>
    <w:rsid w:val="004D22C0"/>
    <w:rsid w:val="004D4B9B"/>
    <w:rsid w:val="004D63B4"/>
    <w:rsid w:val="004E09B1"/>
    <w:rsid w:val="004E272C"/>
    <w:rsid w:val="004E2F51"/>
    <w:rsid w:val="004E33CC"/>
    <w:rsid w:val="004F3924"/>
    <w:rsid w:val="004F52D4"/>
    <w:rsid w:val="00501362"/>
    <w:rsid w:val="005021E4"/>
    <w:rsid w:val="00503877"/>
    <w:rsid w:val="0050758C"/>
    <w:rsid w:val="005100F9"/>
    <w:rsid w:val="005102EE"/>
    <w:rsid w:val="005127BB"/>
    <w:rsid w:val="00512AAF"/>
    <w:rsid w:val="00514A3B"/>
    <w:rsid w:val="00514E3E"/>
    <w:rsid w:val="00515F74"/>
    <w:rsid w:val="005162B6"/>
    <w:rsid w:val="00521E33"/>
    <w:rsid w:val="00523F96"/>
    <w:rsid w:val="00525CE1"/>
    <w:rsid w:val="0053035E"/>
    <w:rsid w:val="00541F0E"/>
    <w:rsid w:val="00542762"/>
    <w:rsid w:val="00543A7F"/>
    <w:rsid w:val="00546619"/>
    <w:rsid w:val="005579F0"/>
    <w:rsid w:val="00560316"/>
    <w:rsid w:val="00560524"/>
    <w:rsid w:val="00564F69"/>
    <w:rsid w:val="00566331"/>
    <w:rsid w:val="0056720A"/>
    <w:rsid w:val="00567E27"/>
    <w:rsid w:val="0057029A"/>
    <w:rsid w:val="00571169"/>
    <w:rsid w:val="00571570"/>
    <w:rsid w:val="0057170B"/>
    <w:rsid w:val="00571F89"/>
    <w:rsid w:val="00573727"/>
    <w:rsid w:val="00573E24"/>
    <w:rsid w:val="00577371"/>
    <w:rsid w:val="005808FD"/>
    <w:rsid w:val="005837BB"/>
    <w:rsid w:val="005918EF"/>
    <w:rsid w:val="005932C0"/>
    <w:rsid w:val="005A4280"/>
    <w:rsid w:val="005A4358"/>
    <w:rsid w:val="005A5A63"/>
    <w:rsid w:val="005A6961"/>
    <w:rsid w:val="005A7AFE"/>
    <w:rsid w:val="005A7DA0"/>
    <w:rsid w:val="005B0566"/>
    <w:rsid w:val="005B1EA2"/>
    <w:rsid w:val="005B2867"/>
    <w:rsid w:val="005B35D2"/>
    <w:rsid w:val="005B3ADA"/>
    <w:rsid w:val="005B4BAE"/>
    <w:rsid w:val="005B6056"/>
    <w:rsid w:val="005B7C7B"/>
    <w:rsid w:val="005B7FB3"/>
    <w:rsid w:val="005C2537"/>
    <w:rsid w:val="005C557D"/>
    <w:rsid w:val="005C6629"/>
    <w:rsid w:val="005D0AA1"/>
    <w:rsid w:val="005D19C2"/>
    <w:rsid w:val="005D331A"/>
    <w:rsid w:val="005D3F85"/>
    <w:rsid w:val="005D52C7"/>
    <w:rsid w:val="005D6C68"/>
    <w:rsid w:val="005D7983"/>
    <w:rsid w:val="005E000C"/>
    <w:rsid w:val="005E111B"/>
    <w:rsid w:val="005F0832"/>
    <w:rsid w:val="005F759A"/>
    <w:rsid w:val="00600187"/>
    <w:rsid w:val="006006E0"/>
    <w:rsid w:val="006068CC"/>
    <w:rsid w:val="006074CE"/>
    <w:rsid w:val="0061096B"/>
    <w:rsid w:val="00615133"/>
    <w:rsid w:val="00616BC2"/>
    <w:rsid w:val="00616CE5"/>
    <w:rsid w:val="00623383"/>
    <w:rsid w:val="00623AF8"/>
    <w:rsid w:val="006254FB"/>
    <w:rsid w:val="00625B16"/>
    <w:rsid w:val="00625DE3"/>
    <w:rsid w:val="00626E0B"/>
    <w:rsid w:val="006274C4"/>
    <w:rsid w:val="006309F3"/>
    <w:rsid w:val="00631D96"/>
    <w:rsid w:val="006322BE"/>
    <w:rsid w:val="00632B61"/>
    <w:rsid w:val="0063602C"/>
    <w:rsid w:val="006365A5"/>
    <w:rsid w:val="00640F32"/>
    <w:rsid w:val="0064103D"/>
    <w:rsid w:val="0064330A"/>
    <w:rsid w:val="006444C7"/>
    <w:rsid w:val="0065052D"/>
    <w:rsid w:val="00651DA1"/>
    <w:rsid w:val="006526EB"/>
    <w:rsid w:val="00653E18"/>
    <w:rsid w:val="00656469"/>
    <w:rsid w:val="00656FF8"/>
    <w:rsid w:val="006600D1"/>
    <w:rsid w:val="006602E4"/>
    <w:rsid w:val="00661260"/>
    <w:rsid w:val="00663290"/>
    <w:rsid w:val="00663E74"/>
    <w:rsid w:val="006657AD"/>
    <w:rsid w:val="0066757C"/>
    <w:rsid w:val="00670270"/>
    <w:rsid w:val="006708C0"/>
    <w:rsid w:val="006720E0"/>
    <w:rsid w:val="006748F4"/>
    <w:rsid w:val="00675F98"/>
    <w:rsid w:val="0067645B"/>
    <w:rsid w:val="00681C35"/>
    <w:rsid w:val="00682D9D"/>
    <w:rsid w:val="006915EC"/>
    <w:rsid w:val="0069308C"/>
    <w:rsid w:val="006943E5"/>
    <w:rsid w:val="006963F0"/>
    <w:rsid w:val="0069646E"/>
    <w:rsid w:val="006A0854"/>
    <w:rsid w:val="006A320D"/>
    <w:rsid w:val="006A3C58"/>
    <w:rsid w:val="006A546D"/>
    <w:rsid w:val="006B1FF8"/>
    <w:rsid w:val="006B2ADD"/>
    <w:rsid w:val="006B2D27"/>
    <w:rsid w:val="006B52C8"/>
    <w:rsid w:val="006B628A"/>
    <w:rsid w:val="006B7FEB"/>
    <w:rsid w:val="006C0C75"/>
    <w:rsid w:val="006C1CA8"/>
    <w:rsid w:val="006C358F"/>
    <w:rsid w:val="006C3B40"/>
    <w:rsid w:val="006C5B31"/>
    <w:rsid w:val="006C61FF"/>
    <w:rsid w:val="006C7B19"/>
    <w:rsid w:val="006D1C05"/>
    <w:rsid w:val="006D1D5A"/>
    <w:rsid w:val="006D68AE"/>
    <w:rsid w:val="006D6B4D"/>
    <w:rsid w:val="006D7528"/>
    <w:rsid w:val="006E3B20"/>
    <w:rsid w:val="006E4466"/>
    <w:rsid w:val="006E4DB1"/>
    <w:rsid w:val="006E4ECA"/>
    <w:rsid w:val="006E5FFA"/>
    <w:rsid w:val="006E7C77"/>
    <w:rsid w:val="006F0D49"/>
    <w:rsid w:val="006F4275"/>
    <w:rsid w:val="006F4DB6"/>
    <w:rsid w:val="006F5483"/>
    <w:rsid w:val="006F59E2"/>
    <w:rsid w:val="007016DB"/>
    <w:rsid w:val="00703006"/>
    <w:rsid w:val="0070445E"/>
    <w:rsid w:val="00705579"/>
    <w:rsid w:val="00705BFE"/>
    <w:rsid w:val="00707BB3"/>
    <w:rsid w:val="00710392"/>
    <w:rsid w:val="007115CD"/>
    <w:rsid w:val="0071234E"/>
    <w:rsid w:val="00716136"/>
    <w:rsid w:val="00716FCD"/>
    <w:rsid w:val="0072107D"/>
    <w:rsid w:val="00721105"/>
    <w:rsid w:val="00726DFE"/>
    <w:rsid w:val="00731786"/>
    <w:rsid w:val="00732605"/>
    <w:rsid w:val="0073442E"/>
    <w:rsid w:val="00735A40"/>
    <w:rsid w:val="0073644E"/>
    <w:rsid w:val="007421A9"/>
    <w:rsid w:val="007423C0"/>
    <w:rsid w:val="00743DBB"/>
    <w:rsid w:val="007465F4"/>
    <w:rsid w:val="007470A7"/>
    <w:rsid w:val="0075205D"/>
    <w:rsid w:val="00752226"/>
    <w:rsid w:val="00753A6B"/>
    <w:rsid w:val="007562E0"/>
    <w:rsid w:val="0075769B"/>
    <w:rsid w:val="0075772A"/>
    <w:rsid w:val="00760427"/>
    <w:rsid w:val="0076119F"/>
    <w:rsid w:val="00762A6A"/>
    <w:rsid w:val="00764D99"/>
    <w:rsid w:val="007653BA"/>
    <w:rsid w:val="00767D6C"/>
    <w:rsid w:val="0077415C"/>
    <w:rsid w:val="00780C97"/>
    <w:rsid w:val="00784836"/>
    <w:rsid w:val="00784C85"/>
    <w:rsid w:val="00787803"/>
    <w:rsid w:val="00787DC0"/>
    <w:rsid w:val="00790444"/>
    <w:rsid w:val="00793715"/>
    <w:rsid w:val="0079527A"/>
    <w:rsid w:val="00795632"/>
    <w:rsid w:val="00795E65"/>
    <w:rsid w:val="007A3C25"/>
    <w:rsid w:val="007A58AB"/>
    <w:rsid w:val="007A5ECB"/>
    <w:rsid w:val="007A713C"/>
    <w:rsid w:val="007B0C59"/>
    <w:rsid w:val="007B706E"/>
    <w:rsid w:val="007C063F"/>
    <w:rsid w:val="007C6969"/>
    <w:rsid w:val="007C7985"/>
    <w:rsid w:val="007C7996"/>
    <w:rsid w:val="007D2F81"/>
    <w:rsid w:val="007E0E52"/>
    <w:rsid w:val="007E1C73"/>
    <w:rsid w:val="007E2045"/>
    <w:rsid w:val="007E21A0"/>
    <w:rsid w:val="007E23B1"/>
    <w:rsid w:val="007E47F9"/>
    <w:rsid w:val="007E4BB3"/>
    <w:rsid w:val="007E5292"/>
    <w:rsid w:val="007E5CC4"/>
    <w:rsid w:val="007F0D49"/>
    <w:rsid w:val="007F3321"/>
    <w:rsid w:val="007F45FA"/>
    <w:rsid w:val="007F4DBF"/>
    <w:rsid w:val="007F6B7F"/>
    <w:rsid w:val="007F7568"/>
    <w:rsid w:val="00800E2E"/>
    <w:rsid w:val="00803987"/>
    <w:rsid w:val="008041E9"/>
    <w:rsid w:val="00805F1A"/>
    <w:rsid w:val="00806F11"/>
    <w:rsid w:val="00813153"/>
    <w:rsid w:val="008153F5"/>
    <w:rsid w:val="00815C51"/>
    <w:rsid w:val="00815E57"/>
    <w:rsid w:val="008165CC"/>
    <w:rsid w:val="0081761D"/>
    <w:rsid w:val="00820D38"/>
    <w:rsid w:val="00821478"/>
    <w:rsid w:val="0082268E"/>
    <w:rsid w:val="00822758"/>
    <w:rsid w:val="00823FE9"/>
    <w:rsid w:val="00824717"/>
    <w:rsid w:val="00826600"/>
    <w:rsid w:val="00832495"/>
    <w:rsid w:val="00833D97"/>
    <w:rsid w:val="008345A1"/>
    <w:rsid w:val="00844A16"/>
    <w:rsid w:val="008468E4"/>
    <w:rsid w:val="00847130"/>
    <w:rsid w:val="00852EE7"/>
    <w:rsid w:val="00865FA7"/>
    <w:rsid w:val="00866206"/>
    <w:rsid w:val="00866D93"/>
    <w:rsid w:val="00866FD7"/>
    <w:rsid w:val="00870990"/>
    <w:rsid w:val="00870F99"/>
    <w:rsid w:val="008720BE"/>
    <w:rsid w:val="00873B7F"/>
    <w:rsid w:val="00890866"/>
    <w:rsid w:val="00892590"/>
    <w:rsid w:val="0089456F"/>
    <w:rsid w:val="00895149"/>
    <w:rsid w:val="00895A11"/>
    <w:rsid w:val="008A058F"/>
    <w:rsid w:val="008A1E6B"/>
    <w:rsid w:val="008A29CD"/>
    <w:rsid w:val="008A3659"/>
    <w:rsid w:val="008A4EB1"/>
    <w:rsid w:val="008A5F07"/>
    <w:rsid w:val="008A6EF4"/>
    <w:rsid w:val="008B075F"/>
    <w:rsid w:val="008B1633"/>
    <w:rsid w:val="008B24C4"/>
    <w:rsid w:val="008C3899"/>
    <w:rsid w:val="008C41BE"/>
    <w:rsid w:val="008C6173"/>
    <w:rsid w:val="008C626D"/>
    <w:rsid w:val="008C642D"/>
    <w:rsid w:val="008D43B2"/>
    <w:rsid w:val="008D4F91"/>
    <w:rsid w:val="008D7395"/>
    <w:rsid w:val="008D7AF2"/>
    <w:rsid w:val="008E0875"/>
    <w:rsid w:val="008E160D"/>
    <w:rsid w:val="008E22AE"/>
    <w:rsid w:val="008E4D99"/>
    <w:rsid w:val="008E76EA"/>
    <w:rsid w:val="008F04E5"/>
    <w:rsid w:val="008F0B0C"/>
    <w:rsid w:val="008F21FA"/>
    <w:rsid w:val="008F2EFE"/>
    <w:rsid w:val="008F30C1"/>
    <w:rsid w:val="008F3100"/>
    <w:rsid w:val="008F348E"/>
    <w:rsid w:val="008F7D4C"/>
    <w:rsid w:val="009009E8"/>
    <w:rsid w:val="00901693"/>
    <w:rsid w:val="00901CFB"/>
    <w:rsid w:val="0090339F"/>
    <w:rsid w:val="00903719"/>
    <w:rsid w:val="00904795"/>
    <w:rsid w:val="00904C8B"/>
    <w:rsid w:val="009135F2"/>
    <w:rsid w:val="00914213"/>
    <w:rsid w:val="009162A4"/>
    <w:rsid w:val="00917802"/>
    <w:rsid w:val="009213D7"/>
    <w:rsid w:val="00923033"/>
    <w:rsid w:val="00923C63"/>
    <w:rsid w:val="009256FD"/>
    <w:rsid w:val="0092621F"/>
    <w:rsid w:val="009270D5"/>
    <w:rsid w:val="00927D04"/>
    <w:rsid w:val="0093267A"/>
    <w:rsid w:val="0093383B"/>
    <w:rsid w:val="00933B9D"/>
    <w:rsid w:val="00936DD0"/>
    <w:rsid w:val="009378DF"/>
    <w:rsid w:val="00942463"/>
    <w:rsid w:val="00944C20"/>
    <w:rsid w:val="009465C5"/>
    <w:rsid w:val="00946DDB"/>
    <w:rsid w:val="00947A0C"/>
    <w:rsid w:val="00950E7B"/>
    <w:rsid w:val="009510BF"/>
    <w:rsid w:val="009530BC"/>
    <w:rsid w:val="009531BF"/>
    <w:rsid w:val="00953E2F"/>
    <w:rsid w:val="009559A3"/>
    <w:rsid w:val="00956EA2"/>
    <w:rsid w:val="00957486"/>
    <w:rsid w:val="00960FA8"/>
    <w:rsid w:val="00964CF6"/>
    <w:rsid w:val="00965038"/>
    <w:rsid w:val="00966209"/>
    <w:rsid w:val="0096765C"/>
    <w:rsid w:val="00971141"/>
    <w:rsid w:val="00971F58"/>
    <w:rsid w:val="009725E0"/>
    <w:rsid w:val="0097266D"/>
    <w:rsid w:val="009735C4"/>
    <w:rsid w:val="0097364F"/>
    <w:rsid w:val="00975EBA"/>
    <w:rsid w:val="00977393"/>
    <w:rsid w:val="00983072"/>
    <w:rsid w:val="00984D10"/>
    <w:rsid w:val="00987E36"/>
    <w:rsid w:val="009915EB"/>
    <w:rsid w:val="00991713"/>
    <w:rsid w:val="00991E58"/>
    <w:rsid w:val="0099343B"/>
    <w:rsid w:val="00994148"/>
    <w:rsid w:val="0099682E"/>
    <w:rsid w:val="00997C34"/>
    <w:rsid w:val="00997F56"/>
    <w:rsid w:val="009A05D1"/>
    <w:rsid w:val="009A131A"/>
    <w:rsid w:val="009A33DB"/>
    <w:rsid w:val="009A4D9A"/>
    <w:rsid w:val="009A5C14"/>
    <w:rsid w:val="009A728B"/>
    <w:rsid w:val="009B15C6"/>
    <w:rsid w:val="009B18F9"/>
    <w:rsid w:val="009B203E"/>
    <w:rsid w:val="009B30EB"/>
    <w:rsid w:val="009B432F"/>
    <w:rsid w:val="009B48F9"/>
    <w:rsid w:val="009B71E7"/>
    <w:rsid w:val="009B7A8E"/>
    <w:rsid w:val="009C0966"/>
    <w:rsid w:val="009C0A3B"/>
    <w:rsid w:val="009C34F0"/>
    <w:rsid w:val="009C3EC7"/>
    <w:rsid w:val="009C6073"/>
    <w:rsid w:val="009C751B"/>
    <w:rsid w:val="009C77FC"/>
    <w:rsid w:val="009D0463"/>
    <w:rsid w:val="009D28A4"/>
    <w:rsid w:val="009D351D"/>
    <w:rsid w:val="009D79BF"/>
    <w:rsid w:val="009E1E4B"/>
    <w:rsid w:val="009E3A02"/>
    <w:rsid w:val="009E6C2C"/>
    <w:rsid w:val="009F08C0"/>
    <w:rsid w:val="009F2456"/>
    <w:rsid w:val="009F3F65"/>
    <w:rsid w:val="009F4686"/>
    <w:rsid w:val="009F4CA2"/>
    <w:rsid w:val="009F4D0A"/>
    <w:rsid w:val="009F4E31"/>
    <w:rsid w:val="009F5095"/>
    <w:rsid w:val="009F6FB9"/>
    <w:rsid w:val="009F79B5"/>
    <w:rsid w:val="00A02D8F"/>
    <w:rsid w:val="00A039C4"/>
    <w:rsid w:val="00A03FEF"/>
    <w:rsid w:val="00A04358"/>
    <w:rsid w:val="00A07DA5"/>
    <w:rsid w:val="00A10551"/>
    <w:rsid w:val="00A108BE"/>
    <w:rsid w:val="00A13233"/>
    <w:rsid w:val="00A143AF"/>
    <w:rsid w:val="00A1461C"/>
    <w:rsid w:val="00A14DF8"/>
    <w:rsid w:val="00A2087B"/>
    <w:rsid w:val="00A22106"/>
    <w:rsid w:val="00A27DD6"/>
    <w:rsid w:val="00A319C8"/>
    <w:rsid w:val="00A3222C"/>
    <w:rsid w:val="00A32A18"/>
    <w:rsid w:val="00A32CCD"/>
    <w:rsid w:val="00A338C2"/>
    <w:rsid w:val="00A33D04"/>
    <w:rsid w:val="00A355C6"/>
    <w:rsid w:val="00A36E5F"/>
    <w:rsid w:val="00A37C72"/>
    <w:rsid w:val="00A41010"/>
    <w:rsid w:val="00A414FF"/>
    <w:rsid w:val="00A449E6"/>
    <w:rsid w:val="00A46B34"/>
    <w:rsid w:val="00A51AA0"/>
    <w:rsid w:val="00A51BF8"/>
    <w:rsid w:val="00A55CEB"/>
    <w:rsid w:val="00A61755"/>
    <w:rsid w:val="00A61AA0"/>
    <w:rsid w:val="00A61B0B"/>
    <w:rsid w:val="00A62295"/>
    <w:rsid w:val="00A63616"/>
    <w:rsid w:val="00A70737"/>
    <w:rsid w:val="00A719B8"/>
    <w:rsid w:val="00A72A3D"/>
    <w:rsid w:val="00A754E8"/>
    <w:rsid w:val="00A76FC7"/>
    <w:rsid w:val="00A803E7"/>
    <w:rsid w:val="00A814DB"/>
    <w:rsid w:val="00A85E94"/>
    <w:rsid w:val="00AA10AC"/>
    <w:rsid w:val="00AA1B4B"/>
    <w:rsid w:val="00AA7373"/>
    <w:rsid w:val="00AB18E3"/>
    <w:rsid w:val="00AB35C1"/>
    <w:rsid w:val="00AB4E1B"/>
    <w:rsid w:val="00AB555F"/>
    <w:rsid w:val="00AB6745"/>
    <w:rsid w:val="00AC109F"/>
    <w:rsid w:val="00AC29BA"/>
    <w:rsid w:val="00AC33A8"/>
    <w:rsid w:val="00AC48EF"/>
    <w:rsid w:val="00AD15A5"/>
    <w:rsid w:val="00AD396F"/>
    <w:rsid w:val="00AD711C"/>
    <w:rsid w:val="00AE1C7A"/>
    <w:rsid w:val="00AE6135"/>
    <w:rsid w:val="00AE7507"/>
    <w:rsid w:val="00AF0922"/>
    <w:rsid w:val="00AF11FE"/>
    <w:rsid w:val="00AF5508"/>
    <w:rsid w:val="00AF5EDA"/>
    <w:rsid w:val="00AF6029"/>
    <w:rsid w:val="00B00C6B"/>
    <w:rsid w:val="00B04CF2"/>
    <w:rsid w:val="00B04DF7"/>
    <w:rsid w:val="00B054AE"/>
    <w:rsid w:val="00B07B90"/>
    <w:rsid w:val="00B1092D"/>
    <w:rsid w:val="00B14F23"/>
    <w:rsid w:val="00B17182"/>
    <w:rsid w:val="00B204B8"/>
    <w:rsid w:val="00B223F9"/>
    <w:rsid w:val="00B24A88"/>
    <w:rsid w:val="00B24B0A"/>
    <w:rsid w:val="00B27BB3"/>
    <w:rsid w:val="00B27C53"/>
    <w:rsid w:val="00B326C0"/>
    <w:rsid w:val="00B33651"/>
    <w:rsid w:val="00B36526"/>
    <w:rsid w:val="00B36BFE"/>
    <w:rsid w:val="00B37E05"/>
    <w:rsid w:val="00B40337"/>
    <w:rsid w:val="00B42011"/>
    <w:rsid w:val="00B42B8E"/>
    <w:rsid w:val="00B44AB4"/>
    <w:rsid w:val="00B52624"/>
    <w:rsid w:val="00B52698"/>
    <w:rsid w:val="00B53188"/>
    <w:rsid w:val="00B533E6"/>
    <w:rsid w:val="00B5355A"/>
    <w:rsid w:val="00B62438"/>
    <w:rsid w:val="00B652D1"/>
    <w:rsid w:val="00B66A98"/>
    <w:rsid w:val="00B66E9F"/>
    <w:rsid w:val="00B67F28"/>
    <w:rsid w:val="00B70E18"/>
    <w:rsid w:val="00B7102E"/>
    <w:rsid w:val="00B740B2"/>
    <w:rsid w:val="00B754AC"/>
    <w:rsid w:val="00B80875"/>
    <w:rsid w:val="00B86DCF"/>
    <w:rsid w:val="00B87073"/>
    <w:rsid w:val="00B91B21"/>
    <w:rsid w:val="00B9554B"/>
    <w:rsid w:val="00B9786F"/>
    <w:rsid w:val="00B97B2B"/>
    <w:rsid w:val="00BA0167"/>
    <w:rsid w:val="00BA0A75"/>
    <w:rsid w:val="00BA0E5C"/>
    <w:rsid w:val="00BA232F"/>
    <w:rsid w:val="00BA24E2"/>
    <w:rsid w:val="00BA3FF3"/>
    <w:rsid w:val="00BA6B62"/>
    <w:rsid w:val="00BB0ECF"/>
    <w:rsid w:val="00BB3F75"/>
    <w:rsid w:val="00BB4B17"/>
    <w:rsid w:val="00BB4C24"/>
    <w:rsid w:val="00BB5987"/>
    <w:rsid w:val="00BB7F16"/>
    <w:rsid w:val="00BC048A"/>
    <w:rsid w:val="00BC19DC"/>
    <w:rsid w:val="00BC2285"/>
    <w:rsid w:val="00BC3354"/>
    <w:rsid w:val="00BC7E86"/>
    <w:rsid w:val="00BC7F10"/>
    <w:rsid w:val="00BD12DE"/>
    <w:rsid w:val="00BD1C09"/>
    <w:rsid w:val="00BD4528"/>
    <w:rsid w:val="00BD6DD8"/>
    <w:rsid w:val="00BD77CC"/>
    <w:rsid w:val="00BE05C3"/>
    <w:rsid w:val="00BE12FE"/>
    <w:rsid w:val="00BE1DB2"/>
    <w:rsid w:val="00BE22DA"/>
    <w:rsid w:val="00BE7259"/>
    <w:rsid w:val="00BF09E7"/>
    <w:rsid w:val="00BF324E"/>
    <w:rsid w:val="00BF4EFA"/>
    <w:rsid w:val="00BF5F67"/>
    <w:rsid w:val="00BF62C9"/>
    <w:rsid w:val="00BF6950"/>
    <w:rsid w:val="00BF6C39"/>
    <w:rsid w:val="00C01ECE"/>
    <w:rsid w:val="00C02AEC"/>
    <w:rsid w:val="00C036C1"/>
    <w:rsid w:val="00C0593D"/>
    <w:rsid w:val="00C061B7"/>
    <w:rsid w:val="00C06E9C"/>
    <w:rsid w:val="00C07A18"/>
    <w:rsid w:val="00C12F6A"/>
    <w:rsid w:val="00C130C9"/>
    <w:rsid w:val="00C13327"/>
    <w:rsid w:val="00C1388B"/>
    <w:rsid w:val="00C15AD8"/>
    <w:rsid w:val="00C1684E"/>
    <w:rsid w:val="00C204FA"/>
    <w:rsid w:val="00C20BBD"/>
    <w:rsid w:val="00C2274C"/>
    <w:rsid w:val="00C22E68"/>
    <w:rsid w:val="00C2480D"/>
    <w:rsid w:val="00C25F7E"/>
    <w:rsid w:val="00C27322"/>
    <w:rsid w:val="00C27459"/>
    <w:rsid w:val="00C32657"/>
    <w:rsid w:val="00C32F12"/>
    <w:rsid w:val="00C33F63"/>
    <w:rsid w:val="00C34094"/>
    <w:rsid w:val="00C353AC"/>
    <w:rsid w:val="00C36F75"/>
    <w:rsid w:val="00C447A7"/>
    <w:rsid w:val="00C453A1"/>
    <w:rsid w:val="00C45E79"/>
    <w:rsid w:val="00C4771E"/>
    <w:rsid w:val="00C527B9"/>
    <w:rsid w:val="00C52FAD"/>
    <w:rsid w:val="00C5326D"/>
    <w:rsid w:val="00C53840"/>
    <w:rsid w:val="00C6068F"/>
    <w:rsid w:val="00C61353"/>
    <w:rsid w:val="00C61483"/>
    <w:rsid w:val="00C61D44"/>
    <w:rsid w:val="00C62520"/>
    <w:rsid w:val="00C66F5E"/>
    <w:rsid w:val="00C6738E"/>
    <w:rsid w:val="00C71246"/>
    <w:rsid w:val="00C748EA"/>
    <w:rsid w:val="00C75DC1"/>
    <w:rsid w:val="00C776CC"/>
    <w:rsid w:val="00C77A0F"/>
    <w:rsid w:val="00C81219"/>
    <w:rsid w:val="00C82286"/>
    <w:rsid w:val="00C82556"/>
    <w:rsid w:val="00C83B10"/>
    <w:rsid w:val="00C84440"/>
    <w:rsid w:val="00C84E5F"/>
    <w:rsid w:val="00C853D0"/>
    <w:rsid w:val="00C92197"/>
    <w:rsid w:val="00C92AA9"/>
    <w:rsid w:val="00C954F0"/>
    <w:rsid w:val="00C974EF"/>
    <w:rsid w:val="00CA0B07"/>
    <w:rsid w:val="00CA388B"/>
    <w:rsid w:val="00CA4143"/>
    <w:rsid w:val="00CA6F8F"/>
    <w:rsid w:val="00CB0D79"/>
    <w:rsid w:val="00CB55AA"/>
    <w:rsid w:val="00CB6676"/>
    <w:rsid w:val="00CB7359"/>
    <w:rsid w:val="00CB7463"/>
    <w:rsid w:val="00CC1EE5"/>
    <w:rsid w:val="00CC5E5B"/>
    <w:rsid w:val="00CD122F"/>
    <w:rsid w:val="00CD17C9"/>
    <w:rsid w:val="00CD19F0"/>
    <w:rsid w:val="00CD376D"/>
    <w:rsid w:val="00CD4487"/>
    <w:rsid w:val="00CD70FF"/>
    <w:rsid w:val="00CD7E0D"/>
    <w:rsid w:val="00CE455F"/>
    <w:rsid w:val="00CE4BC6"/>
    <w:rsid w:val="00CE6546"/>
    <w:rsid w:val="00CF1A82"/>
    <w:rsid w:val="00CF1EDD"/>
    <w:rsid w:val="00CF5A8B"/>
    <w:rsid w:val="00CF5BE8"/>
    <w:rsid w:val="00CF66D9"/>
    <w:rsid w:val="00CF6BF9"/>
    <w:rsid w:val="00CF6D83"/>
    <w:rsid w:val="00D02E6E"/>
    <w:rsid w:val="00D05476"/>
    <w:rsid w:val="00D06609"/>
    <w:rsid w:val="00D122A9"/>
    <w:rsid w:val="00D13D4F"/>
    <w:rsid w:val="00D14C99"/>
    <w:rsid w:val="00D15D7A"/>
    <w:rsid w:val="00D16678"/>
    <w:rsid w:val="00D22DE9"/>
    <w:rsid w:val="00D23D4F"/>
    <w:rsid w:val="00D25430"/>
    <w:rsid w:val="00D306D0"/>
    <w:rsid w:val="00D30820"/>
    <w:rsid w:val="00D31C21"/>
    <w:rsid w:val="00D31E76"/>
    <w:rsid w:val="00D35EDD"/>
    <w:rsid w:val="00D36E0E"/>
    <w:rsid w:val="00D403E4"/>
    <w:rsid w:val="00D43B8C"/>
    <w:rsid w:val="00D43F06"/>
    <w:rsid w:val="00D449E1"/>
    <w:rsid w:val="00D462DE"/>
    <w:rsid w:val="00D46C79"/>
    <w:rsid w:val="00D508D6"/>
    <w:rsid w:val="00D50DDC"/>
    <w:rsid w:val="00D519EF"/>
    <w:rsid w:val="00D51BCA"/>
    <w:rsid w:val="00D52015"/>
    <w:rsid w:val="00D537B9"/>
    <w:rsid w:val="00D54182"/>
    <w:rsid w:val="00D56B85"/>
    <w:rsid w:val="00D611E9"/>
    <w:rsid w:val="00D65709"/>
    <w:rsid w:val="00D6607A"/>
    <w:rsid w:val="00D676D5"/>
    <w:rsid w:val="00D67CAE"/>
    <w:rsid w:val="00D713A1"/>
    <w:rsid w:val="00D72BBC"/>
    <w:rsid w:val="00D72FB5"/>
    <w:rsid w:val="00D740D9"/>
    <w:rsid w:val="00D759A1"/>
    <w:rsid w:val="00D76C23"/>
    <w:rsid w:val="00D77411"/>
    <w:rsid w:val="00D80E80"/>
    <w:rsid w:val="00D80EE4"/>
    <w:rsid w:val="00D82FC3"/>
    <w:rsid w:val="00D846E5"/>
    <w:rsid w:val="00D847CD"/>
    <w:rsid w:val="00D84A3A"/>
    <w:rsid w:val="00D859C4"/>
    <w:rsid w:val="00D86083"/>
    <w:rsid w:val="00D86210"/>
    <w:rsid w:val="00D86C69"/>
    <w:rsid w:val="00D91963"/>
    <w:rsid w:val="00D92E4E"/>
    <w:rsid w:val="00D955A1"/>
    <w:rsid w:val="00D95B11"/>
    <w:rsid w:val="00D96CAC"/>
    <w:rsid w:val="00DA019C"/>
    <w:rsid w:val="00DA090D"/>
    <w:rsid w:val="00DA34D3"/>
    <w:rsid w:val="00DA35E5"/>
    <w:rsid w:val="00DB0408"/>
    <w:rsid w:val="00DB3355"/>
    <w:rsid w:val="00DB5D2F"/>
    <w:rsid w:val="00DC443C"/>
    <w:rsid w:val="00DC4C59"/>
    <w:rsid w:val="00DC5123"/>
    <w:rsid w:val="00DC54D0"/>
    <w:rsid w:val="00DC7EDD"/>
    <w:rsid w:val="00DD463A"/>
    <w:rsid w:val="00DD4E36"/>
    <w:rsid w:val="00DE0A51"/>
    <w:rsid w:val="00DE1506"/>
    <w:rsid w:val="00DE2431"/>
    <w:rsid w:val="00DE58DB"/>
    <w:rsid w:val="00DE62C4"/>
    <w:rsid w:val="00DE7E7A"/>
    <w:rsid w:val="00DF0B37"/>
    <w:rsid w:val="00DF11EE"/>
    <w:rsid w:val="00DF3604"/>
    <w:rsid w:val="00E011C6"/>
    <w:rsid w:val="00E01D35"/>
    <w:rsid w:val="00E04530"/>
    <w:rsid w:val="00E056ED"/>
    <w:rsid w:val="00E05F6A"/>
    <w:rsid w:val="00E11618"/>
    <w:rsid w:val="00E11623"/>
    <w:rsid w:val="00E11CF6"/>
    <w:rsid w:val="00E11E5B"/>
    <w:rsid w:val="00E16DBD"/>
    <w:rsid w:val="00E1703E"/>
    <w:rsid w:val="00E22967"/>
    <w:rsid w:val="00E23B98"/>
    <w:rsid w:val="00E25316"/>
    <w:rsid w:val="00E26100"/>
    <w:rsid w:val="00E27E44"/>
    <w:rsid w:val="00E31547"/>
    <w:rsid w:val="00E3496D"/>
    <w:rsid w:val="00E34AC4"/>
    <w:rsid w:val="00E35239"/>
    <w:rsid w:val="00E45B5F"/>
    <w:rsid w:val="00E46136"/>
    <w:rsid w:val="00E46E61"/>
    <w:rsid w:val="00E520AE"/>
    <w:rsid w:val="00E52E97"/>
    <w:rsid w:val="00E52F77"/>
    <w:rsid w:val="00E54E97"/>
    <w:rsid w:val="00E5552D"/>
    <w:rsid w:val="00E60C7A"/>
    <w:rsid w:val="00E62AFF"/>
    <w:rsid w:val="00E62B0A"/>
    <w:rsid w:val="00E67F1D"/>
    <w:rsid w:val="00E73791"/>
    <w:rsid w:val="00E76893"/>
    <w:rsid w:val="00E805CC"/>
    <w:rsid w:val="00E80A2E"/>
    <w:rsid w:val="00E8288F"/>
    <w:rsid w:val="00E83B10"/>
    <w:rsid w:val="00E85922"/>
    <w:rsid w:val="00E8789F"/>
    <w:rsid w:val="00E90B45"/>
    <w:rsid w:val="00E918EE"/>
    <w:rsid w:val="00EA0DB6"/>
    <w:rsid w:val="00EA252B"/>
    <w:rsid w:val="00EA3BDD"/>
    <w:rsid w:val="00EA42A6"/>
    <w:rsid w:val="00EA51DD"/>
    <w:rsid w:val="00EB3B12"/>
    <w:rsid w:val="00EB42BE"/>
    <w:rsid w:val="00EB712F"/>
    <w:rsid w:val="00EC12A4"/>
    <w:rsid w:val="00EC1808"/>
    <w:rsid w:val="00EC1CBA"/>
    <w:rsid w:val="00EC2F2F"/>
    <w:rsid w:val="00EC38A7"/>
    <w:rsid w:val="00EC38E8"/>
    <w:rsid w:val="00EC452B"/>
    <w:rsid w:val="00EC45F0"/>
    <w:rsid w:val="00EC6554"/>
    <w:rsid w:val="00EC775D"/>
    <w:rsid w:val="00EC77C8"/>
    <w:rsid w:val="00ED0F91"/>
    <w:rsid w:val="00ED4057"/>
    <w:rsid w:val="00ED4D72"/>
    <w:rsid w:val="00ED713F"/>
    <w:rsid w:val="00ED72D6"/>
    <w:rsid w:val="00ED7F95"/>
    <w:rsid w:val="00EE2478"/>
    <w:rsid w:val="00EE3CE3"/>
    <w:rsid w:val="00EE51E0"/>
    <w:rsid w:val="00EE5E66"/>
    <w:rsid w:val="00EF21E5"/>
    <w:rsid w:val="00EF3790"/>
    <w:rsid w:val="00EF3ECB"/>
    <w:rsid w:val="00EF54EB"/>
    <w:rsid w:val="00EF5AB8"/>
    <w:rsid w:val="00EF5E37"/>
    <w:rsid w:val="00EF5EB5"/>
    <w:rsid w:val="00F07AEA"/>
    <w:rsid w:val="00F1188F"/>
    <w:rsid w:val="00F11B17"/>
    <w:rsid w:val="00F13315"/>
    <w:rsid w:val="00F151B7"/>
    <w:rsid w:val="00F1549B"/>
    <w:rsid w:val="00F20039"/>
    <w:rsid w:val="00F255CF"/>
    <w:rsid w:val="00F36620"/>
    <w:rsid w:val="00F453CA"/>
    <w:rsid w:val="00F4644F"/>
    <w:rsid w:val="00F47056"/>
    <w:rsid w:val="00F479C0"/>
    <w:rsid w:val="00F5263D"/>
    <w:rsid w:val="00F560B2"/>
    <w:rsid w:val="00F56EFB"/>
    <w:rsid w:val="00F60AE6"/>
    <w:rsid w:val="00F6284A"/>
    <w:rsid w:val="00F633B5"/>
    <w:rsid w:val="00F63918"/>
    <w:rsid w:val="00F71938"/>
    <w:rsid w:val="00F71CC1"/>
    <w:rsid w:val="00F7264F"/>
    <w:rsid w:val="00F7447D"/>
    <w:rsid w:val="00F7523E"/>
    <w:rsid w:val="00F76024"/>
    <w:rsid w:val="00F76CD0"/>
    <w:rsid w:val="00F770C1"/>
    <w:rsid w:val="00F8128A"/>
    <w:rsid w:val="00F81A61"/>
    <w:rsid w:val="00F840EF"/>
    <w:rsid w:val="00F84F16"/>
    <w:rsid w:val="00F86288"/>
    <w:rsid w:val="00F936FE"/>
    <w:rsid w:val="00F97E56"/>
    <w:rsid w:val="00FA022E"/>
    <w:rsid w:val="00FA5E77"/>
    <w:rsid w:val="00FA76C4"/>
    <w:rsid w:val="00FB1B1B"/>
    <w:rsid w:val="00FB3BCE"/>
    <w:rsid w:val="00FC0D06"/>
    <w:rsid w:val="00FC1A97"/>
    <w:rsid w:val="00FC6241"/>
    <w:rsid w:val="00FC6C03"/>
    <w:rsid w:val="00FD0A3D"/>
    <w:rsid w:val="00FD2934"/>
    <w:rsid w:val="00FD2E5F"/>
    <w:rsid w:val="00FD5BDB"/>
    <w:rsid w:val="00FD685E"/>
    <w:rsid w:val="00FE3836"/>
    <w:rsid w:val="00FE4A46"/>
    <w:rsid w:val="00FF02ED"/>
    <w:rsid w:val="00FF2305"/>
    <w:rsid w:val="00FF3BBF"/>
    <w:rsid w:val="00FF54B6"/>
    <w:rsid w:val="00FF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4055"/>
  <w15:docId w15:val="{457A5071-76D6-AE43-BDBA-97FE8C96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00" w:lineRule="auto"/>
      <w:ind w:left="197" w:right="93" w:hanging="10"/>
      <w:jc w:val="both"/>
    </w:pPr>
    <w:rPr>
      <w:rFonts w:ascii="Calibri" w:eastAsia="Calibri" w:hAnsi="Calibri" w:cs="Calibri"/>
      <w:color w:val="000000"/>
    </w:rPr>
  </w:style>
  <w:style w:type="paragraph" w:styleId="Heading1">
    <w:name w:val="heading 1"/>
    <w:basedOn w:val="Heading2"/>
    <w:next w:val="Normal"/>
    <w:link w:val="Heading1Char"/>
    <w:uiPriority w:val="9"/>
    <w:qFormat/>
    <w:rsid w:val="009B18F9"/>
    <w:pPr>
      <w:outlineLvl w:val="0"/>
    </w:pPr>
    <w:rPr>
      <w:b/>
      <w:bCs/>
    </w:rPr>
  </w:style>
  <w:style w:type="paragraph" w:styleId="Heading2">
    <w:name w:val="heading 2"/>
    <w:basedOn w:val="Normal"/>
    <w:next w:val="Normal"/>
    <w:link w:val="Heading2Char"/>
    <w:uiPriority w:val="9"/>
    <w:unhideWhenUsed/>
    <w:qFormat/>
    <w:rsid w:val="00DC5123"/>
    <w:pPr>
      <w:spacing w:after="0" w:line="480" w:lineRule="auto"/>
      <w:ind w:left="-5" w:right="172"/>
      <w:jc w:val="left"/>
      <w:outlineLvl w:val="1"/>
    </w:pPr>
    <w:rPr>
      <w:rFonts w:ascii="Times New Roman" w:hAnsi="Times New Roman" w:cs="Times New Roman"/>
      <w:u w:val="single"/>
    </w:rPr>
  </w:style>
  <w:style w:type="paragraph" w:styleId="Heading3">
    <w:name w:val="heading 3"/>
    <w:basedOn w:val="Normal"/>
    <w:next w:val="BodyText"/>
    <w:link w:val="Heading3Char"/>
    <w:uiPriority w:val="9"/>
    <w:unhideWhenUsed/>
    <w:qFormat/>
    <w:rsid w:val="00BD6DD8"/>
    <w:pPr>
      <w:keepNext/>
      <w:keepLines/>
      <w:spacing w:before="200" w:after="0" w:line="240" w:lineRule="auto"/>
      <w:ind w:left="0" w:right="0" w:firstLine="0"/>
      <w:jc w:val="left"/>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BodyText"/>
    <w:link w:val="Heading4Char"/>
    <w:uiPriority w:val="9"/>
    <w:unhideWhenUsed/>
    <w:qFormat/>
    <w:rsid w:val="00BD6DD8"/>
    <w:pPr>
      <w:keepNext/>
      <w:keepLines/>
      <w:spacing w:before="200" w:after="0" w:line="240" w:lineRule="auto"/>
      <w:ind w:left="0" w:right="0" w:firstLine="0"/>
      <w:jc w:val="left"/>
      <w:outlineLvl w:val="3"/>
    </w:pPr>
    <w:rPr>
      <w:rFonts w:asciiTheme="majorHAnsi" w:eastAsiaTheme="majorEastAsia" w:hAnsiTheme="majorHAnsi" w:cstheme="majorBidi"/>
      <w:bCs/>
      <w:i/>
      <w:color w:val="4472C4" w:themeColor="accent1"/>
      <w:kern w:val="0"/>
      <w14:ligatures w14:val="none"/>
    </w:rPr>
  </w:style>
  <w:style w:type="paragraph" w:styleId="Heading5">
    <w:name w:val="heading 5"/>
    <w:basedOn w:val="Normal"/>
    <w:next w:val="BodyText"/>
    <w:link w:val="Heading5Char"/>
    <w:uiPriority w:val="9"/>
    <w:unhideWhenUsed/>
    <w:qFormat/>
    <w:rsid w:val="00BD6DD8"/>
    <w:pPr>
      <w:keepNext/>
      <w:keepLines/>
      <w:spacing w:before="200" w:after="0" w:line="240" w:lineRule="auto"/>
      <w:ind w:left="0" w:right="0" w:firstLine="0"/>
      <w:jc w:val="left"/>
      <w:outlineLvl w:val="4"/>
    </w:pPr>
    <w:rPr>
      <w:rFonts w:asciiTheme="majorHAnsi" w:eastAsiaTheme="majorEastAsia" w:hAnsiTheme="majorHAnsi" w:cstheme="majorBidi"/>
      <w:iCs/>
      <w:color w:val="4472C4" w:themeColor="accent1"/>
      <w:kern w:val="0"/>
      <w14:ligatures w14:val="none"/>
    </w:rPr>
  </w:style>
  <w:style w:type="paragraph" w:styleId="Heading6">
    <w:name w:val="heading 6"/>
    <w:basedOn w:val="Normal"/>
    <w:next w:val="BodyText"/>
    <w:link w:val="Heading6Char"/>
    <w:uiPriority w:val="9"/>
    <w:unhideWhenUsed/>
    <w:qFormat/>
    <w:rsid w:val="00BD6DD8"/>
    <w:pPr>
      <w:keepNext/>
      <w:keepLines/>
      <w:spacing w:before="200" w:after="0" w:line="240" w:lineRule="auto"/>
      <w:ind w:left="0" w:right="0" w:firstLine="0"/>
      <w:jc w:val="left"/>
      <w:outlineLvl w:val="5"/>
    </w:pPr>
    <w:rPr>
      <w:rFonts w:asciiTheme="majorHAnsi" w:eastAsiaTheme="majorEastAsia" w:hAnsiTheme="majorHAnsi" w:cstheme="majorBidi"/>
      <w:color w:val="4472C4" w:themeColor="accent1"/>
      <w:kern w:val="0"/>
      <w14:ligatures w14:val="none"/>
    </w:rPr>
  </w:style>
  <w:style w:type="paragraph" w:styleId="Heading7">
    <w:name w:val="heading 7"/>
    <w:basedOn w:val="Normal"/>
    <w:next w:val="BodyText"/>
    <w:link w:val="Heading7Char"/>
    <w:uiPriority w:val="9"/>
    <w:unhideWhenUsed/>
    <w:qFormat/>
    <w:rsid w:val="00BD6DD8"/>
    <w:pPr>
      <w:keepNext/>
      <w:keepLines/>
      <w:spacing w:before="200" w:after="0" w:line="240" w:lineRule="auto"/>
      <w:ind w:left="0" w:right="0" w:firstLine="0"/>
      <w:jc w:val="left"/>
      <w:outlineLvl w:val="6"/>
    </w:pPr>
    <w:rPr>
      <w:rFonts w:asciiTheme="majorHAnsi" w:eastAsiaTheme="majorEastAsia" w:hAnsiTheme="majorHAnsi" w:cstheme="majorBidi"/>
      <w:color w:val="4472C4" w:themeColor="accent1"/>
      <w:kern w:val="0"/>
      <w14:ligatures w14:val="none"/>
    </w:rPr>
  </w:style>
  <w:style w:type="paragraph" w:styleId="Heading8">
    <w:name w:val="heading 8"/>
    <w:basedOn w:val="Normal"/>
    <w:next w:val="BodyText"/>
    <w:link w:val="Heading8Char"/>
    <w:uiPriority w:val="9"/>
    <w:unhideWhenUsed/>
    <w:qFormat/>
    <w:rsid w:val="00BD6DD8"/>
    <w:pPr>
      <w:keepNext/>
      <w:keepLines/>
      <w:spacing w:before="200" w:after="0" w:line="240" w:lineRule="auto"/>
      <w:ind w:left="0" w:right="0" w:firstLine="0"/>
      <w:jc w:val="left"/>
      <w:outlineLvl w:val="7"/>
    </w:pPr>
    <w:rPr>
      <w:rFonts w:asciiTheme="majorHAnsi" w:eastAsiaTheme="majorEastAsia" w:hAnsiTheme="majorHAnsi" w:cstheme="majorBidi"/>
      <w:color w:val="4472C4" w:themeColor="accent1"/>
      <w:kern w:val="0"/>
      <w14:ligatures w14:val="none"/>
    </w:rPr>
  </w:style>
  <w:style w:type="paragraph" w:styleId="Heading9">
    <w:name w:val="heading 9"/>
    <w:basedOn w:val="Normal"/>
    <w:next w:val="BodyText"/>
    <w:link w:val="Heading9Char"/>
    <w:uiPriority w:val="9"/>
    <w:unhideWhenUsed/>
    <w:qFormat/>
    <w:rsid w:val="00BD6DD8"/>
    <w:pPr>
      <w:keepNext/>
      <w:keepLines/>
      <w:spacing w:before="200" w:after="0" w:line="240" w:lineRule="auto"/>
      <w:ind w:left="0" w:right="0" w:firstLine="0"/>
      <w:jc w:val="left"/>
      <w:outlineLvl w:val="8"/>
    </w:pPr>
    <w:rPr>
      <w:rFonts w:asciiTheme="majorHAnsi" w:eastAsiaTheme="majorEastAsia" w:hAnsiTheme="majorHAnsi" w:cstheme="majorBidi"/>
      <w:color w:val="4472C4" w:themeColor="accen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C5123"/>
    <w:rPr>
      <w:rFonts w:ascii="Times New Roman" w:eastAsia="Calibri" w:hAnsi="Times New Roman" w:cs="Times New Roman"/>
      <w:color w:val="000000"/>
      <w:u w:val="single"/>
    </w:rPr>
  </w:style>
  <w:style w:type="character" w:customStyle="1" w:styleId="Heading1Char">
    <w:name w:val="Heading 1 Char"/>
    <w:link w:val="Heading1"/>
    <w:uiPriority w:val="9"/>
    <w:rsid w:val="009B18F9"/>
    <w:rPr>
      <w:rFonts w:ascii="Times New Roman" w:eastAsia="Calibri" w:hAnsi="Times New Roman" w:cs="Times New Roman"/>
      <w:b/>
      <w:bCs/>
      <w:color w:val="000000"/>
      <w:sz w:val="29"/>
    </w:rPr>
  </w:style>
  <w:style w:type="table" w:customStyle="1" w:styleId="TableGrid">
    <w:name w:val="TableGrid"/>
    <w:tblPr>
      <w:tblCellMar>
        <w:top w:w="0" w:type="dxa"/>
        <w:left w:w="0" w:type="dxa"/>
        <w:bottom w:w="0" w:type="dxa"/>
        <w:right w:w="0" w:type="dxa"/>
      </w:tblCellMar>
    </w:tblPr>
  </w:style>
  <w:style w:type="paragraph" w:customStyle="1" w:styleId="Paragraph">
    <w:name w:val="Paragraph"/>
    <w:basedOn w:val="Normal"/>
    <w:rsid w:val="00BD12DE"/>
    <w:pPr>
      <w:spacing w:before="120" w:after="0" w:line="240" w:lineRule="auto"/>
      <w:ind w:left="0" w:right="0" w:firstLine="720"/>
      <w:jc w:val="left"/>
    </w:pPr>
    <w:rPr>
      <w:rFonts w:ascii="Times New Roman" w:eastAsia="Times New Roman" w:hAnsi="Times New Roman" w:cs="Times New Roman"/>
      <w:color w:val="auto"/>
      <w:kern w:val="0"/>
      <w14:ligatures w14:val="none"/>
    </w:rPr>
  </w:style>
  <w:style w:type="character" w:styleId="CommentReference">
    <w:name w:val="annotation reference"/>
    <w:basedOn w:val="DefaultParagraphFont"/>
    <w:rsid w:val="00BD12DE"/>
    <w:rPr>
      <w:sz w:val="18"/>
      <w:szCs w:val="18"/>
    </w:rPr>
  </w:style>
  <w:style w:type="character" w:styleId="FootnoteReference">
    <w:name w:val="footnote reference"/>
    <w:basedOn w:val="DefaultParagraphFont"/>
    <w:rsid w:val="00BD12DE"/>
    <w:rPr>
      <w:vertAlign w:val="superscript"/>
    </w:rPr>
  </w:style>
  <w:style w:type="paragraph" w:customStyle="1" w:styleId="footnotedescription">
    <w:name w:val="footnote description"/>
    <w:next w:val="Normal"/>
    <w:link w:val="footnotedescriptionChar"/>
    <w:hidden/>
    <w:rsid w:val="00BD12DE"/>
    <w:pPr>
      <w:spacing w:after="9" w:line="259" w:lineRule="auto"/>
      <w:ind w:right="65"/>
    </w:pPr>
    <w:rPr>
      <w:rFonts w:ascii="Calibri" w:eastAsia="Calibri" w:hAnsi="Calibri" w:cs="Calibri"/>
      <w:color w:val="000000"/>
      <w:sz w:val="20"/>
    </w:rPr>
  </w:style>
  <w:style w:type="character" w:customStyle="1" w:styleId="footnotedescriptionChar">
    <w:name w:val="footnote description Char"/>
    <w:link w:val="footnotedescription"/>
    <w:rsid w:val="00BD12DE"/>
    <w:rPr>
      <w:rFonts w:ascii="Calibri" w:eastAsia="Calibri" w:hAnsi="Calibri" w:cs="Calibri"/>
      <w:color w:val="000000"/>
      <w:sz w:val="20"/>
    </w:rPr>
  </w:style>
  <w:style w:type="paragraph" w:styleId="Header">
    <w:name w:val="header"/>
    <w:basedOn w:val="Normal"/>
    <w:link w:val="HeaderChar"/>
    <w:uiPriority w:val="99"/>
    <w:unhideWhenUsed/>
    <w:rsid w:val="0002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C3"/>
    <w:rPr>
      <w:rFonts w:ascii="Calibri" w:eastAsia="Calibri" w:hAnsi="Calibri" w:cs="Calibri"/>
      <w:color w:val="000000"/>
    </w:rPr>
  </w:style>
  <w:style w:type="paragraph" w:styleId="CommentText">
    <w:name w:val="annotation text"/>
    <w:basedOn w:val="Normal"/>
    <w:link w:val="CommentTextChar"/>
    <w:uiPriority w:val="99"/>
    <w:semiHidden/>
    <w:unhideWhenUsed/>
    <w:rsid w:val="001C1EBA"/>
    <w:pPr>
      <w:spacing w:line="240" w:lineRule="auto"/>
    </w:pPr>
    <w:rPr>
      <w:sz w:val="20"/>
      <w:szCs w:val="20"/>
    </w:rPr>
  </w:style>
  <w:style w:type="character" w:customStyle="1" w:styleId="CommentTextChar">
    <w:name w:val="Comment Text Char"/>
    <w:basedOn w:val="DefaultParagraphFont"/>
    <w:link w:val="CommentText"/>
    <w:uiPriority w:val="99"/>
    <w:semiHidden/>
    <w:rsid w:val="001C1EB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C1EBA"/>
    <w:rPr>
      <w:b/>
      <w:bCs/>
    </w:rPr>
  </w:style>
  <w:style w:type="character" w:customStyle="1" w:styleId="CommentSubjectChar">
    <w:name w:val="Comment Subject Char"/>
    <w:basedOn w:val="CommentTextChar"/>
    <w:link w:val="CommentSubject"/>
    <w:uiPriority w:val="99"/>
    <w:semiHidden/>
    <w:rsid w:val="001C1EBA"/>
    <w:rPr>
      <w:rFonts w:ascii="Calibri" w:eastAsia="Calibri" w:hAnsi="Calibri" w:cs="Calibri"/>
      <w:b/>
      <w:bCs/>
      <w:color w:val="000000"/>
      <w:sz w:val="20"/>
      <w:szCs w:val="20"/>
    </w:rPr>
  </w:style>
  <w:style w:type="paragraph" w:styleId="ListParagraph">
    <w:name w:val="List Paragraph"/>
    <w:basedOn w:val="Normal"/>
    <w:uiPriority w:val="34"/>
    <w:qFormat/>
    <w:rsid w:val="0034066A"/>
    <w:pPr>
      <w:spacing w:after="0" w:line="240" w:lineRule="auto"/>
      <w:ind w:left="720" w:right="0" w:firstLine="0"/>
      <w:contextualSpacing/>
      <w:jc w:val="left"/>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11E5B"/>
    <w:rPr>
      <w:color w:val="0563C1" w:themeColor="hyperlink"/>
      <w:u w:val="single"/>
    </w:rPr>
  </w:style>
  <w:style w:type="character" w:styleId="UnresolvedMention">
    <w:name w:val="Unresolved Mention"/>
    <w:basedOn w:val="DefaultParagraphFont"/>
    <w:uiPriority w:val="99"/>
    <w:semiHidden/>
    <w:unhideWhenUsed/>
    <w:rsid w:val="00E11E5B"/>
    <w:rPr>
      <w:color w:val="605E5C"/>
      <w:shd w:val="clear" w:color="auto" w:fill="E1DFDD"/>
    </w:rPr>
  </w:style>
  <w:style w:type="character" w:customStyle="1" w:styleId="Heading3Char">
    <w:name w:val="Heading 3 Char"/>
    <w:basedOn w:val="DefaultParagraphFont"/>
    <w:link w:val="Heading3"/>
    <w:uiPriority w:val="9"/>
    <w:rsid w:val="00BD6DD8"/>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BD6DD8"/>
    <w:rPr>
      <w:rFonts w:asciiTheme="majorHAnsi" w:eastAsiaTheme="majorEastAsia" w:hAnsiTheme="majorHAnsi" w:cstheme="majorBidi"/>
      <w:bCs/>
      <w:i/>
      <w:color w:val="4472C4" w:themeColor="accent1"/>
      <w:kern w:val="0"/>
      <w14:ligatures w14:val="none"/>
    </w:rPr>
  </w:style>
  <w:style w:type="character" w:customStyle="1" w:styleId="Heading5Char">
    <w:name w:val="Heading 5 Char"/>
    <w:basedOn w:val="DefaultParagraphFont"/>
    <w:link w:val="Heading5"/>
    <w:uiPriority w:val="9"/>
    <w:rsid w:val="00BD6DD8"/>
    <w:rPr>
      <w:rFonts w:asciiTheme="majorHAnsi" w:eastAsiaTheme="majorEastAsia" w:hAnsiTheme="majorHAnsi" w:cstheme="majorBidi"/>
      <w:iCs/>
      <w:color w:val="4472C4" w:themeColor="accent1"/>
      <w:kern w:val="0"/>
      <w14:ligatures w14:val="none"/>
    </w:rPr>
  </w:style>
  <w:style w:type="character" w:customStyle="1" w:styleId="Heading6Char">
    <w:name w:val="Heading 6 Char"/>
    <w:basedOn w:val="DefaultParagraphFont"/>
    <w:link w:val="Heading6"/>
    <w:uiPriority w:val="9"/>
    <w:rsid w:val="00BD6DD8"/>
    <w:rPr>
      <w:rFonts w:asciiTheme="majorHAnsi" w:eastAsiaTheme="majorEastAsia" w:hAnsiTheme="majorHAnsi" w:cstheme="majorBidi"/>
      <w:color w:val="4472C4" w:themeColor="accent1"/>
      <w:kern w:val="0"/>
      <w14:ligatures w14:val="none"/>
    </w:rPr>
  </w:style>
  <w:style w:type="character" w:customStyle="1" w:styleId="Heading7Char">
    <w:name w:val="Heading 7 Char"/>
    <w:basedOn w:val="DefaultParagraphFont"/>
    <w:link w:val="Heading7"/>
    <w:uiPriority w:val="9"/>
    <w:rsid w:val="00BD6DD8"/>
    <w:rPr>
      <w:rFonts w:asciiTheme="majorHAnsi" w:eastAsiaTheme="majorEastAsia" w:hAnsiTheme="majorHAnsi" w:cstheme="majorBidi"/>
      <w:color w:val="4472C4" w:themeColor="accent1"/>
      <w:kern w:val="0"/>
      <w14:ligatures w14:val="none"/>
    </w:rPr>
  </w:style>
  <w:style w:type="character" w:customStyle="1" w:styleId="Heading8Char">
    <w:name w:val="Heading 8 Char"/>
    <w:basedOn w:val="DefaultParagraphFont"/>
    <w:link w:val="Heading8"/>
    <w:uiPriority w:val="9"/>
    <w:rsid w:val="00BD6DD8"/>
    <w:rPr>
      <w:rFonts w:asciiTheme="majorHAnsi" w:eastAsiaTheme="majorEastAsia" w:hAnsiTheme="majorHAnsi" w:cstheme="majorBidi"/>
      <w:color w:val="4472C4" w:themeColor="accent1"/>
      <w:kern w:val="0"/>
      <w14:ligatures w14:val="none"/>
    </w:rPr>
  </w:style>
  <w:style w:type="character" w:customStyle="1" w:styleId="Heading9Char">
    <w:name w:val="Heading 9 Char"/>
    <w:basedOn w:val="DefaultParagraphFont"/>
    <w:link w:val="Heading9"/>
    <w:uiPriority w:val="9"/>
    <w:rsid w:val="00BD6DD8"/>
    <w:rPr>
      <w:rFonts w:asciiTheme="majorHAnsi" w:eastAsiaTheme="majorEastAsia" w:hAnsiTheme="majorHAnsi" w:cstheme="majorBidi"/>
      <w:color w:val="4472C4" w:themeColor="accent1"/>
      <w:kern w:val="0"/>
      <w14:ligatures w14:val="none"/>
    </w:rPr>
  </w:style>
  <w:style w:type="table" w:styleId="TableGrid0">
    <w:name w:val="Table Grid"/>
    <w:basedOn w:val="TableNormal"/>
    <w:uiPriority w:val="39"/>
    <w:rsid w:val="00BD6DD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D6DD8"/>
    <w:pPr>
      <w:spacing w:before="180" w:after="180" w:line="240" w:lineRule="auto"/>
      <w:ind w:left="0" w:right="0" w:firstLine="0"/>
      <w:jc w:val="left"/>
    </w:pPr>
    <w:rPr>
      <w:rFonts w:asciiTheme="minorHAnsi" w:eastAsiaTheme="minorHAnsi" w:hAnsiTheme="minorHAnsi" w:cstheme="minorBidi"/>
      <w:color w:val="auto"/>
      <w:kern w:val="0"/>
      <w14:ligatures w14:val="none"/>
    </w:rPr>
  </w:style>
  <w:style w:type="character" w:customStyle="1" w:styleId="BodyTextChar">
    <w:name w:val="Body Text Char"/>
    <w:basedOn w:val="DefaultParagraphFont"/>
    <w:link w:val="BodyText"/>
    <w:rsid w:val="00BD6DD8"/>
    <w:rPr>
      <w:rFonts w:eastAsiaTheme="minorHAnsi"/>
      <w:kern w:val="0"/>
      <w14:ligatures w14:val="none"/>
    </w:rPr>
  </w:style>
  <w:style w:type="paragraph" w:customStyle="1" w:styleId="FirstParagraph">
    <w:name w:val="First Paragraph"/>
    <w:basedOn w:val="BodyText"/>
    <w:next w:val="BodyText"/>
    <w:qFormat/>
    <w:rsid w:val="00BD6DD8"/>
  </w:style>
  <w:style w:type="paragraph" w:customStyle="1" w:styleId="Compact">
    <w:name w:val="Compact"/>
    <w:basedOn w:val="BodyText"/>
    <w:qFormat/>
    <w:rsid w:val="00BD6DD8"/>
    <w:pPr>
      <w:spacing w:before="36" w:after="36"/>
    </w:pPr>
  </w:style>
  <w:style w:type="paragraph" w:styleId="Title">
    <w:name w:val="Title"/>
    <w:basedOn w:val="Normal"/>
    <w:next w:val="BodyText"/>
    <w:link w:val="TitleChar"/>
    <w:qFormat/>
    <w:rsid w:val="00BD6DD8"/>
    <w:pPr>
      <w:keepNext/>
      <w:keepLines/>
      <w:spacing w:before="480" w:after="240" w:line="240" w:lineRule="auto"/>
      <w:ind w:left="0" w:right="0" w:firstLine="0"/>
      <w:jc w:val="center"/>
    </w:pPr>
    <w:rPr>
      <w:rFonts w:asciiTheme="majorHAnsi" w:eastAsiaTheme="majorEastAsia" w:hAnsiTheme="majorHAnsi" w:cstheme="majorBidi"/>
      <w:b/>
      <w:bCs/>
      <w:color w:val="2D4F8E" w:themeColor="accent1" w:themeShade="B5"/>
      <w:kern w:val="0"/>
      <w:sz w:val="36"/>
      <w:szCs w:val="36"/>
      <w14:ligatures w14:val="none"/>
    </w:rPr>
  </w:style>
  <w:style w:type="character" w:customStyle="1" w:styleId="TitleChar">
    <w:name w:val="Title Char"/>
    <w:basedOn w:val="DefaultParagraphFont"/>
    <w:link w:val="Title"/>
    <w:rsid w:val="00BD6DD8"/>
    <w:rPr>
      <w:rFonts w:asciiTheme="majorHAnsi" w:eastAsiaTheme="majorEastAsia" w:hAnsiTheme="majorHAnsi" w:cstheme="majorBidi"/>
      <w:b/>
      <w:bCs/>
      <w:color w:val="2D4F8E" w:themeColor="accent1" w:themeShade="B5"/>
      <w:kern w:val="0"/>
      <w:sz w:val="36"/>
      <w:szCs w:val="36"/>
      <w14:ligatures w14:val="none"/>
    </w:rPr>
  </w:style>
  <w:style w:type="paragraph" w:styleId="Subtitle">
    <w:name w:val="Subtitle"/>
    <w:basedOn w:val="Title"/>
    <w:next w:val="BodyText"/>
    <w:link w:val="SubtitleChar"/>
    <w:qFormat/>
    <w:rsid w:val="00BD6DD8"/>
    <w:pPr>
      <w:spacing w:before="240"/>
    </w:pPr>
    <w:rPr>
      <w:sz w:val="30"/>
      <w:szCs w:val="30"/>
    </w:rPr>
  </w:style>
  <w:style w:type="character" w:customStyle="1" w:styleId="SubtitleChar">
    <w:name w:val="Subtitle Char"/>
    <w:basedOn w:val="DefaultParagraphFont"/>
    <w:link w:val="Subtitle"/>
    <w:rsid w:val="00BD6DD8"/>
    <w:rPr>
      <w:rFonts w:asciiTheme="majorHAnsi" w:eastAsiaTheme="majorEastAsia" w:hAnsiTheme="majorHAnsi" w:cstheme="majorBidi"/>
      <w:b/>
      <w:bCs/>
      <w:color w:val="2D4F8E" w:themeColor="accent1" w:themeShade="B5"/>
      <w:kern w:val="0"/>
      <w:sz w:val="30"/>
      <w:szCs w:val="30"/>
      <w14:ligatures w14:val="none"/>
    </w:rPr>
  </w:style>
  <w:style w:type="paragraph" w:customStyle="1" w:styleId="Author">
    <w:name w:val="Author"/>
    <w:next w:val="BodyText"/>
    <w:qFormat/>
    <w:rsid w:val="00BD6DD8"/>
    <w:pPr>
      <w:keepNext/>
      <w:keepLines/>
      <w:spacing w:after="200"/>
      <w:jc w:val="center"/>
    </w:pPr>
    <w:rPr>
      <w:rFonts w:eastAsiaTheme="minorHAnsi"/>
      <w:kern w:val="0"/>
      <w14:ligatures w14:val="none"/>
    </w:rPr>
  </w:style>
  <w:style w:type="paragraph" w:styleId="Date">
    <w:name w:val="Date"/>
    <w:next w:val="BodyText"/>
    <w:link w:val="DateChar"/>
    <w:qFormat/>
    <w:rsid w:val="00BD6DD8"/>
    <w:pPr>
      <w:keepNext/>
      <w:keepLines/>
      <w:spacing w:after="200"/>
      <w:jc w:val="center"/>
    </w:pPr>
    <w:rPr>
      <w:rFonts w:eastAsiaTheme="minorHAnsi"/>
      <w:kern w:val="0"/>
      <w14:ligatures w14:val="none"/>
    </w:rPr>
  </w:style>
  <w:style w:type="character" w:customStyle="1" w:styleId="DateChar">
    <w:name w:val="Date Char"/>
    <w:basedOn w:val="DefaultParagraphFont"/>
    <w:link w:val="Date"/>
    <w:rsid w:val="00BD6DD8"/>
    <w:rPr>
      <w:rFonts w:eastAsiaTheme="minorHAnsi"/>
      <w:kern w:val="0"/>
      <w14:ligatures w14:val="none"/>
    </w:rPr>
  </w:style>
  <w:style w:type="paragraph" w:customStyle="1" w:styleId="AbstractTitle">
    <w:name w:val="Abstract Title"/>
    <w:basedOn w:val="Normal"/>
    <w:next w:val="Abstract"/>
    <w:qFormat/>
    <w:rsid w:val="00BD6DD8"/>
    <w:pPr>
      <w:keepNext/>
      <w:keepLines/>
      <w:spacing w:before="300" w:after="0" w:line="240" w:lineRule="auto"/>
      <w:ind w:left="0" w:right="0" w:firstLine="0"/>
      <w:jc w:val="center"/>
    </w:pPr>
    <w:rPr>
      <w:rFonts w:asciiTheme="minorHAnsi" w:eastAsiaTheme="minorHAnsi" w:hAnsiTheme="minorHAnsi" w:cstheme="minorBidi"/>
      <w:b/>
      <w:color w:val="345A8A"/>
      <w:kern w:val="0"/>
      <w:sz w:val="20"/>
      <w:szCs w:val="20"/>
      <w14:ligatures w14:val="none"/>
    </w:rPr>
  </w:style>
  <w:style w:type="paragraph" w:customStyle="1" w:styleId="Abstract">
    <w:name w:val="Abstract"/>
    <w:basedOn w:val="Normal"/>
    <w:next w:val="BodyText"/>
    <w:qFormat/>
    <w:rsid w:val="00BD6DD8"/>
    <w:pPr>
      <w:keepNext/>
      <w:keepLines/>
      <w:spacing w:before="100" w:after="300" w:line="240" w:lineRule="auto"/>
      <w:ind w:left="0" w:right="0" w:firstLine="0"/>
      <w:jc w:val="left"/>
    </w:pPr>
    <w:rPr>
      <w:rFonts w:asciiTheme="minorHAnsi" w:eastAsiaTheme="minorHAnsi" w:hAnsiTheme="minorHAnsi" w:cstheme="minorBidi"/>
      <w:color w:val="auto"/>
      <w:kern w:val="0"/>
      <w:sz w:val="20"/>
      <w:szCs w:val="20"/>
      <w14:ligatures w14:val="none"/>
    </w:rPr>
  </w:style>
  <w:style w:type="paragraph" w:styleId="Bibliography">
    <w:name w:val="Bibliography"/>
    <w:basedOn w:val="Normal"/>
    <w:qFormat/>
    <w:rsid w:val="00BD6DD8"/>
    <w:pPr>
      <w:tabs>
        <w:tab w:val="left" w:pos="500"/>
      </w:tabs>
      <w:spacing w:after="240" w:line="240" w:lineRule="auto"/>
      <w:ind w:left="504" w:right="0" w:hanging="504"/>
      <w:jc w:val="left"/>
    </w:pPr>
    <w:rPr>
      <w:rFonts w:asciiTheme="minorHAnsi" w:eastAsiaTheme="minorHAnsi" w:hAnsiTheme="minorHAnsi" w:cstheme="minorBidi"/>
      <w:color w:val="auto"/>
      <w:kern w:val="0"/>
      <w14:ligatures w14:val="none"/>
    </w:rPr>
  </w:style>
  <w:style w:type="paragraph" w:styleId="BlockText">
    <w:name w:val="Block Text"/>
    <w:basedOn w:val="BodyText"/>
    <w:next w:val="BodyText"/>
    <w:uiPriority w:val="9"/>
    <w:unhideWhenUsed/>
    <w:qFormat/>
    <w:rsid w:val="00BD6DD8"/>
    <w:pPr>
      <w:spacing w:before="100" w:after="100"/>
      <w:ind w:left="480" w:right="480"/>
    </w:pPr>
  </w:style>
  <w:style w:type="paragraph" w:styleId="FootnoteText">
    <w:name w:val="footnote text"/>
    <w:basedOn w:val="Normal"/>
    <w:link w:val="FootnoteTextChar"/>
    <w:uiPriority w:val="9"/>
    <w:unhideWhenUsed/>
    <w:qFormat/>
    <w:rsid w:val="00BD6DD8"/>
    <w:pPr>
      <w:spacing w:after="200" w:line="240" w:lineRule="auto"/>
      <w:ind w:left="0" w:right="0" w:firstLine="0"/>
      <w:jc w:val="left"/>
    </w:pPr>
    <w:rPr>
      <w:rFonts w:asciiTheme="minorHAnsi" w:eastAsiaTheme="minorHAnsi" w:hAnsiTheme="minorHAnsi" w:cstheme="minorBidi"/>
      <w:color w:val="auto"/>
      <w:kern w:val="0"/>
      <w14:ligatures w14:val="none"/>
    </w:rPr>
  </w:style>
  <w:style w:type="character" w:customStyle="1" w:styleId="FootnoteTextChar">
    <w:name w:val="Footnote Text Char"/>
    <w:basedOn w:val="DefaultParagraphFont"/>
    <w:link w:val="FootnoteText"/>
    <w:uiPriority w:val="9"/>
    <w:rsid w:val="00BD6DD8"/>
    <w:rPr>
      <w:rFonts w:eastAsiaTheme="minorHAnsi"/>
      <w:kern w:val="0"/>
      <w14:ligatures w14:val="none"/>
    </w:rPr>
  </w:style>
  <w:style w:type="table" w:customStyle="1" w:styleId="Table">
    <w:name w:val="Table"/>
    <w:semiHidden/>
    <w:unhideWhenUsed/>
    <w:qFormat/>
    <w:rsid w:val="00BD6DD8"/>
    <w:pPr>
      <w:spacing w:after="200"/>
    </w:pPr>
    <w:rPr>
      <w:rFonts w:eastAsiaTheme="minorHAnsi"/>
      <w:kern w:val="0"/>
      <w:sz w:val="20"/>
      <w:szCs w:val="20"/>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BD6DD8"/>
    <w:pPr>
      <w:keepNext/>
      <w:keepLines/>
      <w:spacing w:after="0" w:line="240" w:lineRule="auto"/>
      <w:ind w:left="0" w:right="0" w:firstLine="0"/>
      <w:jc w:val="left"/>
    </w:pPr>
    <w:rPr>
      <w:rFonts w:asciiTheme="minorHAnsi" w:eastAsiaTheme="minorHAnsi" w:hAnsiTheme="minorHAnsi" w:cstheme="minorBidi"/>
      <w:b/>
      <w:color w:val="auto"/>
      <w:kern w:val="0"/>
      <w14:ligatures w14:val="none"/>
    </w:rPr>
  </w:style>
  <w:style w:type="paragraph" w:customStyle="1" w:styleId="Definition">
    <w:name w:val="Definition"/>
    <w:basedOn w:val="Normal"/>
    <w:rsid w:val="00BD6DD8"/>
    <w:pPr>
      <w:spacing w:after="200" w:line="240" w:lineRule="auto"/>
      <w:ind w:left="0" w:right="0" w:firstLine="0"/>
      <w:jc w:val="left"/>
    </w:pPr>
    <w:rPr>
      <w:rFonts w:asciiTheme="minorHAnsi" w:eastAsiaTheme="minorHAnsi" w:hAnsiTheme="minorHAnsi" w:cstheme="minorBidi"/>
      <w:color w:val="auto"/>
      <w:kern w:val="0"/>
      <w14:ligatures w14:val="none"/>
    </w:rPr>
  </w:style>
  <w:style w:type="paragraph" w:styleId="Caption">
    <w:name w:val="caption"/>
    <w:basedOn w:val="Normal"/>
    <w:link w:val="CaptionChar"/>
    <w:rsid w:val="00BD6DD8"/>
    <w:pPr>
      <w:spacing w:after="120" w:line="240" w:lineRule="auto"/>
      <w:ind w:left="0" w:right="0" w:firstLine="0"/>
      <w:jc w:val="left"/>
    </w:pPr>
    <w:rPr>
      <w:rFonts w:asciiTheme="minorHAnsi" w:eastAsiaTheme="minorHAnsi" w:hAnsiTheme="minorHAnsi" w:cstheme="minorBidi"/>
      <w:i/>
      <w:color w:val="auto"/>
      <w:kern w:val="0"/>
      <w14:ligatures w14:val="none"/>
    </w:rPr>
  </w:style>
  <w:style w:type="paragraph" w:customStyle="1" w:styleId="TableCaption">
    <w:name w:val="Table Caption"/>
    <w:basedOn w:val="Caption"/>
    <w:rsid w:val="00BD6DD8"/>
    <w:pPr>
      <w:keepNext/>
    </w:pPr>
  </w:style>
  <w:style w:type="paragraph" w:customStyle="1" w:styleId="ImageCaption">
    <w:name w:val="Image Caption"/>
    <w:basedOn w:val="Caption"/>
    <w:rsid w:val="00BD6DD8"/>
  </w:style>
  <w:style w:type="paragraph" w:customStyle="1" w:styleId="Figure">
    <w:name w:val="Figure"/>
    <w:basedOn w:val="Normal"/>
    <w:rsid w:val="00BD6DD8"/>
    <w:pPr>
      <w:spacing w:after="200" w:line="240" w:lineRule="auto"/>
      <w:ind w:left="0" w:right="0" w:firstLine="0"/>
      <w:jc w:val="left"/>
    </w:pPr>
    <w:rPr>
      <w:rFonts w:asciiTheme="minorHAnsi" w:eastAsiaTheme="minorHAnsi" w:hAnsiTheme="minorHAnsi" w:cstheme="minorBidi"/>
      <w:color w:val="auto"/>
      <w:kern w:val="0"/>
      <w14:ligatures w14:val="none"/>
    </w:rPr>
  </w:style>
  <w:style w:type="paragraph" w:customStyle="1" w:styleId="CaptionedFigure">
    <w:name w:val="Captioned Figure"/>
    <w:basedOn w:val="Figure"/>
    <w:rsid w:val="00BD6DD8"/>
    <w:pPr>
      <w:keepNext/>
    </w:pPr>
  </w:style>
  <w:style w:type="character" w:customStyle="1" w:styleId="CaptionChar">
    <w:name w:val="Caption Char"/>
    <w:basedOn w:val="DefaultParagraphFont"/>
    <w:link w:val="Caption"/>
    <w:rsid w:val="00BD6DD8"/>
    <w:rPr>
      <w:rFonts w:eastAsiaTheme="minorHAnsi"/>
      <w:i/>
      <w:kern w:val="0"/>
      <w14:ligatures w14:val="none"/>
    </w:rPr>
  </w:style>
  <w:style w:type="character" w:customStyle="1" w:styleId="VerbatimChar">
    <w:name w:val="Verbatim Char"/>
    <w:basedOn w:val="CaptionChar"/>
    <w:link w:val="SourceCode"/>
    <w:rsid w:val="00BD6DD8"/>
    <w:rPr>
      <w:rFonts w:ascii="Consolas" w:eastAsiaTheme="minorHAnsi" w:hAnsi="Consolas"/>
      <w:i/>
      <w:kern w:val="0"/>
      <w:sz w:val="22"/>
      <w:shd w:val="clear" w:color="auto" w:fill="F8F8F8"/>
      <w14:ligatures w14:val="none"/>
    </w:rPr>
  </w:style>
  <w:style w:type="character" w:customStyle="1" w:styleId="SectionNumber">
    <w:name w:val="Section Number"/>
    <w:basedOn w:val="CaptionChar"/>
    <w:rsid w:val="00BD6DD8"/>
    <w:rPr>
      <w:rFonts w:eastAsiaTheme="minorHAnsi"/>
      <w:i/>
      <w:kern w:val="0"/>
      <w14:ligatures w14:val="none"/>
    </w:rPr>
  </w:style>
  <w:style w:type="paragraph" w:styleId="TOCHeading">
    <w:name w:val="TOC Heading"/>
    <w:basedOn w:val="Heading1"/>
    <w:next w:val="BodyText"/>
    <w:uiPriority w:val="39"/>
    <w:unhideWhenUsed/>
    <w:qFormat/>
    <w:rsid w:val="00BD6DD8"/>
    <w:pPr>
      <w:spacing w:before="24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customStyle="1" w:styleId="SourceCode">
    <w:name w:val="Source Code"/>
    <w:basedOn w:val="Normal"/>
    <w:link w:val="VerbatimChar"/>
    <w:rsid w:val="00BD6DD8"/>
    <w:pPr>
      <w:shd w:val="clear" w:color="auto" w:fill="F8F8F8"/>
      <w:wordWrap w:val="0"/>
      <w:spacing w:after="200" w:line="240" w:lineRule="auto"/>
      <w:ind w:left="0" w:right="0" w:firstLine="0"/>
      <w:jc w:val="left"/>
    </w:pPr>
    <w:rPr>
      <w:rFonts w:ascii="Consolas" w:eastAsiaTheme="minorHAnsi" w:hAnsi="Consolas" w:cstheme="minorBidi"/>
      <w:i/>
      <w:color w:val="auto"/>
      <w:kern w:val="0"/>
      <w:sz w:val="22"/>
      <w14:ligatures w14:val="none"/>
    </w:rPr>
  </w:style>
  <w:style w:type="character" w:customStyle="1" w:styleId="KeywordTok">
    <w:name w:val="KeywordTok"/>
    <w:basedOn w:val="VerbatimChar"/>
    <w:rsid w:val="00BD6DD8"/>
    <w:rPr>
      <w:rFonts w:ascii="Consolas" w:eastAsiaTheme="minorHAnsi" w:hAnsi="Consolas"/>
      <w:b/>
      <w:i/>
      <w:color w:val="204A87"/>
      <w:kern w:val="0"/>
      <w:sz w:val="22"/>
      <w:shd w:val="clear" w:color="auto" w:fill="F8F8F8"/>
      <w14:ligatures w14:val="none"/>
    </w:rPr>
  </w:style>
  <w:style w:type="character" w:customStyle="1" w:styleId="DataTypeTok">
    <w:name w:val="DataTypeTok"/>
    <w:basedOn w:val="VerbatimChar"/>
    <w:rsid w:val="00BD6DD8"/>
    <w:rPr>
      <w:rFonts w:ascii="Consolas" w:eastAsiaTheme="minorHAnsi" w:hAnsi="Consolas"/>
      <w:i/>
      <w:color w:val="204A87"/>
      <w:kern w:val="0"/>
      <w:sz w:val="22"/>
      <w:shd w:val="clear" w:color="auto" w:fill="F8F8F8"/>
      <w14:ligatures w14:val="none"/>
    </w:rPr>
  </w:style>
  <w:style w:type="character" w:customStyle="1" w:styleId="DecValTok">
    <w:name w:val="DecValTok"/>
    <w:basedOn w:val="VerbatimChar"/>
    <w:rsid w:val="00BD6DD8"/>
    <w:rPr>
      <w:rFonts w:ascii="Consolas" w:eastAsiaTheme="minorHAnsi" w:hAnsi="Consolas"/>
      <w:i/>
      <w:color w:val="0000CF"/>
      <w:kern w:val="0"/>
      <w:sz w:val="22"/>
      <w:shd w:val="clear" w:color="auto" w:fill="F8F8F8"/>
      <w14:ligatures w14:val="none"/>
    </w:rPr>
  </w:style>
  <w:style w:type="character" w:customStyle="1" w:styleId="BaseNTok">
    <w:name w:val="BaseNTok"/>
    <w:basedOn w:val="VerbatimChar"/>
    <w:rsid w:val="00BD6DD8"/>
    <w:rPr>
      <w:rFonts w:ascii="Consolas" w:eastAsiaTheme="minorHAnsi" w:hAnsi="Consolas"/>
      <w:i/>
      <w:color w:val="0000CF"/>
      <w:kern w:val="0"/>
      <w:sz w:val="22"/>
      <w:shd w:val="clear" w:color="auto" w:fill="F8F8F8"/>
      <w14:ligatures w14:val="none"/>
    </w:rPr>
  </w:style>
  <w:style w:type="character" w:customStyle="1" w:styleId="FloatTok">
    <w:name w:val="FloatTok"/>
    <w:basedOn w:val="VerbatimChar"/>
    <w:rsid w:val="00BD6DD8"/>
    <w:rPr>
      <w:rFonts w:ascii="Consolas" w:eastAsiaTheme="minorHAnsi" w:hAnsi="Consolas"/>
      <w:i/>
      <w:color w:val="0000CF"/>
      <w:kern w:val="0"/>
      <w:sz w:val="22"/>
      <w:shd w:val="clear" w:color="auto" w:fill="F8F8F8"/>
      <w14:ligatures w14:val="none"/>
    </w:rPr>
  </w:style>
  <w:style w:type="character" w:customStyle="1" w:styleId="ConstantTok">
    <w:name w:val="ConstantTok"/>
    <w:basedOn w:val="VerbatimChar"/>
    <w:rsid w:val="00BD6DD8"/>
    <w:rPr>
      <w:rFonts w:ascii="Consolas" w:eastAsiaTheme="minorHAnsi" w:hAnsi="Consolas"/>
      <w:i/>
      <w:color w:val="8F5902"/>
      <w:kern w:val="0"/>
      <w:sz w:val="22"/>
      <w:shd w:val="clear" w:color="auto" w:fill="F8F8F8"/>
      <w14:ligatures w14:val="none"/>
    </w:rPr>
  </w:style>
  <w:style w:type="character" w:customStyle="1" w:styleId="CharTok">
    <w:name w:val="CharTok"/>
    <w:basedOn w:val="VerbatimChar"/>
    <w:rsid w:val="00BD6DD8"/>
    <w:rPr>
      <w:rFonts w:ascii="Consolas" w:eastAsiaTheme="minorHAnsi" w:hAnsi="Consolas"/>
      <w:i/>
      <w:color w:val="4E9A06"/>
      <w:kern w:val="0"/>
      <w:sz w:val="22"/>
      <w:shd w:val="clear" w:color="auto" w:fill="F8F8F8"/>
      <w14:ligatures w14:val="none"/>
    </w:rPr>
  </w:style>
  <w:style w:type="character" w:customStyle="1" w:styleId="SpecialCharTok">
    <w:name w:val="SpecialCharTok"/>
    <w:basedOn w:val="VerbatimChar"/>
    <w:rsid w:val="00BD6DD8"/>
    <w:rPr>
      <w:rFonts w:ascii="Consolas" w:eastAsiaTheme="minorHAnsi" w:hAnsi="Consolas"/>
      <w:b/>
      <w:i/>
      <w:color w:val="CE5C00"/>
      <w:kern w:val="0"/>
      <w:sz w:val="22"/>
      <w:shd w:val="clear" w:color="auto" w:fill="F8F8F8"/>
      <w14:ligatures w14:val="none"/>
    </w:rPr>
  </w:style>
  <w:style w:type="character" w:customStyle="1" w:styleId="StringTok">
    <w:name w:val="StringTok"/>
    <w:basedOn w:val="VerbatimChar"/>
    <w:rsid w:val="00BD6DD8"/>
    <w:rPr>
      <w:rFonts w:ascii="Consolas" w:eastAsiaTheme="minorHAnsi" w:hAnsi="Consolas"/>
      <w:i/>
      <w:color w:val="4E9A06"/>
      <w:kern w:val="0"/>
      <w:sz w:val="22"/>
      <w:shd w:val="clear" w:color="auto" w:fill="F8F8F8"/>
      <w14:ligatures w14:val="none"/>
    </w:rPr>
  </w:style>
  <w:style w:type="character" w:customStyle="1" w:styleId="VerbatimStringTok">
    <w:name w:val="VerbatimStringTok"/>
    <w:basedOn w:val="VerbatimChar"/>
    <w:rsid w:val="00BD6DD8"/>
    <w:rPr>
      <w:rFonts w:ascii="Consolas" w:eastAsiaTheme="minorHAnsi" w:hAnsi="Consolas"/>
      <w:i/>
      <w:color w:val="4E9A06"/>
      <w:kern w:val="0"/>
      <w:sz w:val="22"/>
      <w:shd w:val="clear" w:color="auto" w:fill="F8F8F8"/>
      <w14:ligatures w14:val="none"/>
    </w:rPr>
  </w:style>
  <w:style w:type="character" w:customStyle="1" w:styleId="SpecialStringTok">
    <w:name w:val="SpecialStringTok"/>
    <w:basedOn w:val="VerbatimChar"/>
    <w:rsid w:val="00BD6DD8"/>
    <w:rPr>
      <w:rFonts w:ascii="Consolas" w:eastAsiaTheme="minorHAnsi" w:hAnsi="Consolas"/>
      <w:i/>
      <w:color w:val="4E9A06"/>
      <w:kern w:val="0"/>
      <w:sz w:val="22"/>
      <w:shd w:val="clear" w:color="auto" w:fill="F8F8F8"/>
      <w14:ligatures w14:val="none"/>
    </w:rPr>
  </w:style>
  <w:style w:type="character" w:customStyle="1" w:styleId="ImportTok">
    <w:name w:val="ImportTok"/>
    <w:basedOn w:val="VerbatimChar"/>
    <w:rsid w:val="00BD6DD8"/>
    <w:rPr>
      <w:rFonts w:ascii="Consolas" w:eastAsiaTheme="minorHAnsi" w:hAnsi="Consolas"/>
      <w:i/>
      <w:kern w:val="0"/>
      <w:sz w:val="22"/>
      <w:shd w:val="clear" w:color="auto" w:fill="F8F8F8"/>
      <w14:ligatures w14:val="none"/>
    </w:rPr>
  </w:style>
  <w:style w:type="character" w:customStyle="1" w:styleId="CommentTok">
    <w:name w:val="CommentTok"/>
    <w:basedOn w:val="VerbatimChar"/>
    <w:rsid w:val="00BD6DD8"/>
    <w:rPr>
      <w:rFonts w:ascii="Consolas" w:eastAsiaTheme="minorHAnsi" w:hAnsi="Consolas"/>
      <w:i w:val="0"/>
      <w:color w:val="8F5902"/>
      <w:kern w:val="0"/>
      <w:sz w:val="22"/>
      <w:shd w:val="clear" w:color="auto" w:fill="F8F8F8"/>
      <w14:ligatures w14:val="none"/>
    </w:rPr>
  </w:style>
  <w:style w:type="character" w:customStyle="1" w:styleId="DocumentationTok">
    <w:name w:val="DocumentationTok"/>
    <w:basedOn w:val="VerbatimChar"/>
    <w:rsid w:val="00BD6DD8"/>
    <w:rPr>
      <w:rFonts w:ascii="Consolas" w:eastAsiaTheme="minorHAnsi" w:hAnsi="Consolas"/>
      <w:b/>
      <w:i w:val="0"/>
      <w:color w:val="8F5902"/>
      <w:kern w:val="0"/>
      <w:sz w:val="22"/>
      <w:shd w:val="clear" w:color="auto" w:fill="F8F8F8"/>
      <w14:ligatures w14:val="none"/>
    </w:rPr>
  </w:style>
  <w:style w:type="character" w:customStyle="1" w:styleId="AnnotationTok">
    <w:name w:val="AnnotationTok"/>
    <w:basedOn w:val="VerbatimChar"/>
    <w:rsid w:val="00BD6DD8"/>
    <w:rPr>
      <w:rFonts w:ascii="Consolas" w:eastAsiaTheme="minorHAnsi" w:hAnsi="Consolas"/>
      <w:b/>
      <w:i w:val="0"/>
      <w:color w:val="8F5902"/>
      <w:kern w:val="0"/>
      <w:sz w:val="22"/>
      <w:shd w:val="clear" w:color="auto" w:fill="F8F8F8"/>
      <w14:ligatures w14:val="none"/>
    </w:rPr>
  </w:style>
  <w:style w:type="character" w:customStyle="1" w:styleId="CommentVarTok">
    <w:name w:val="CommentVarTok"/>
    <w:basedOn w:val="VerbatimChar"/>
    <w:rsid w:val="00BD6DD8"/>
    <w:rPr>
      <w:rFonts w:ascii="Consolas" w:eastAsiaTheme="minorHAnsi" w:hAnsi="Consolas"/>
      <w:b/>
      <w:i w:val="0"/>
      <w:color w:val="8F5902"/>
      <w:kern w:val="0"/>
      <w:sz w:val="22"/>
      <w:shd w:val="clear" w:color="auto" w:fill="F8F8F8"/>
      <w14:ligatures w14:val="none"/>
    </w:rPr>
  </w:style>
  <w:style w:type="character" w:customStyle="1" w:styleId="OtherTok">
    <w:name w:val="OtherTok"/>
    <w:basedOn w:val="VerbatimChar"/>
    <w:rsid w:val="00BD6DD8"/>
    <w:rPr>
      <w:rFonts w:ascii="Consolas" w:eastAsiaTheme="minorHAnsi" w:hAnsi="Consolas"/>
      <w:i/>
      <w:color w:val="8F5902"/>
      <w:kern w:val="0"/>
      <w:sz w:val="22"/>
      <w:shd w:val="clear" w:color="auto" w:fill="F8F8F8"/>
      <w14:ligatures w14:val="none"/>
    </w:rPr>
  </w:style>
  <w:style w:type="character" w:customStyle="1" w:styleId="FunctionTok">
    <w:name w:val="FunctionTok"/>
    <w:basedOn w:val="VerbatimChar"/>
    <w:rsid w:val="00BD6DD8"/>
    <w:rPr>
      <w:rFonts w:ascii="Consolas" w:eastAsiaTheme="minorHAnsi" w:hAnsi="Consolas"/>
      <w:b/>
      <w:i/>
      <w:color w:val="204A87"/>
      <w:kern w:val="0"/>
      <w:sz w:val="22"/>
      <w:shd w:val="clear" w:color="auto" w:fill="F8F8F8"/>
      <w14:ligatures w14:val="none"/>
    </w:rPr>
  </w:style>
  <w:style w:type="character" w:customStyle="1" w:styleId="VariableTok">
    <w:name w:val="VariableTok"/>
    <w:basedOn w:val="VerbatimChar"/>
    <w:rsid w:val="00BD6DD8"/>
    <w:rPr>
      <w:rFonts w:ascii="Consolas" w:eastAsiaTheme="minorHAnsi" w:hAnsi="Consolas"/>
      <w:i/>
      <w:color w:val="000000"/>
      <w:kern w:val="0"/>
      <w:sz w:val="22"/>
      <w:shd w:val="clear" w:color="auto" w:fill="F8F8F8"/>
      <w14:ligatures w14:val="none"/>
    </w:rPr>
  </w:style>
  <w:style w:type="character" w:customStyle="1" w:styleId="ControlFlowTok">
    <w:name w:val="ControlFlowTok"/>
    <w:basedOn w:val="VerbatimChar"/>
    <w:rsid w:val="00BD6DD8"/>
    <w:rPr>
      <w:rFonts w:ascii="Consolas" w:eastAsiaTheme="minorHAnsi" w:hAnsi="Consolas"/>
      <w:b/>
      <w:i/>
      <w:color w:val="204A87"/>
      <w:kern w:val="0"/>
      <w:sz w:val="22"/>
      <w:shd w:val="clear" w:color="auto" w:fill="F8F8F8"/>
      <w14:ligatures w14:val="none"/>
    </w:rPr>
  </w:style>
  <w:style w:type="character" w:customStyle="1" w:styleId="OperatorTok">
    <w:name w:val="OperatorTok"/>
    <w:basedOn w:val="VerbatimChar"/>
    <w:rsid w:val="00BD6DD8"/>
    <w:rPr>
      <w:rFonts w:ascii="Consolas" w:eastAsiaTheme="minorHAnsi" w:hAnsi="Consolas"/>
      <w:b/>
      <w:i/>
      <w:color w:val="CE5C00"/>
      <w:kern w:val="0"/>
      <w:sz w:val="22"/>
      <w:shd w:val="clear" w:color="auto" w:fill="F8F8F8"/>
      <w14:ligatures w14:val="none"/>
    </w:rPr>
  </w:style>
  <w:style w:type="character" w:customStyle="1" w:styleId="BuiltInTok">
    <w:name w:val="BuiltInTok"/>
    <w:basedOn w:val="VerbatimChar"/>
    <w:rsid w:val="00BD6DD8"/>
    <w:rPr>
      <w:rFonts w:ascii="Consolas" w:eastAsiaTheme="minorHAnsi" w:hAnsi="Consolas"/>
      <w:i/>
      <w:kern w:val="0"/>
      <w:sz w:val="22"/>
      <w:shd w:val="clear" w:color="auto" w:fill="F8F8F8"/>
      <w14:ligatures w14:val="none"/>
    </w:rPr>
  </w:style>
  <w:style w:type="character" w:customStyle="1" w:styleId="ExtensionTok">
    <w:name w:val="ExtensionTok"/>
    <w:basedOn w:val="VerbatimChar"/>
    <w:rsid w:val="00BD6DD8"/>
    <w:rPr>
      <w:rFonts w:ascii="Consolas" w:eastAsiaTheme="minorHAnsi" w:hAnsi="Consolas"/>
      <w:i/>
      <w:kern w:val="0"/>
      <w:sz w:val="22"/>
      <w:shd w:val="clear" w:color="auto" w:fill="F8F8F8"/>
      <w14:ligatures w14:val="none"/>
    </w:rPr>
  </w:style>
  <w:style w:type="character" w:customStyle="1" w:styleId="PreprocessorTok">
    <w:name w:val="PreprocessorTok"/>
    <w:basedOn w:val="VerbatimChar"/>
    <w:rsid w:val="00BD6DD8"/>
    <w:rPr>
      <w:rFonts w:ascii="Consolas" w:eastAsiaTheme="minorHAnsi" w:hAnsi="Consolas"/>
      <w:i w:val="0"/>
      <w:color w:val="8F5902"/>
      <w:kern w:val="0"/>
      <w:sz w:val="22"/>
      <w:shd w:val="clear" w:color="auto" w:fill="F8F8F8"/>
      <w14:ligatures w14:val="none"/>
    </w:rPr>
  </w:style>
  <w:style w:type="character" w:customStyle="1" w:styleId="AttributeTok">
    <w:name w:val="AttributeTok"/>
    <w:basedOn w:val="VerbatimChar"/>
    <w:rsid w:val="00BD6DD8"/>
    <w:rPr>
      <w:rFonts w:ascii="Consolas" w:eastAsiaTheme="minorHAnsi" w:hAnsi="Consolas"/>
      <w:i/>
      <w:color w:val="204A87"/>
      <w:kern w:val="0"/>
      <w:sz w:val="22"/>
      <w:shd w:val="clear" w:color="auto" w:fill="F8F8F8"/>
      <w14:ligatures w14:val="none"/>
    </w:rPr>
  </w:style>
  <w:style w:type="character" w:customStyle="1" w:styleId="RegionMarkerTok">
    <w:name w:val="RegionMarkerTok"/>
    <w:basedOn w:val="VerbatimChar"/>
    <w:rsid w:val="00BD6DD8"/>
    <w:rPr>
      <w:rFonts w:ascii="Consolas" w:eastAsiaTheme="minorHAnsi" w:hAnsi="Consolas"/>
      <w:i/>
      <w:kern w:val="0"/>
      <w:sz w:val="22"/>
      <w:shd w:val="clear" w:color="auto" w:fill="F8F8F8"/>
      <w14:ligatures w14:val="none"/>
    </w:rPr>
  </w:style>
  <w:style w:type="character" w:customStyle="1" w:styleId="InformationTok">
    <w:name w:val="InformationTok"/>
    <w:basedOn w:val="VerbatimChar"/>
    <w:rsid w:val="00BD6DD8"/>
    <w:rPr>
      <w:rFonts w:ascii="Consolas" w:eastAsiaTheme="minorHAnsi" w:hAnsi="Consolas"/>
      <w:b/>
      <w:i w:val="0"/>
      <w:color w:val="8F5902"/>
      <w:kern w:val="0"/>
      <w:sz w:val="22"/>
      <w:shd w:val="clear" w:color="auto" w:fill="F8F8F8"/>
      <w14:ligatures w14:val="none"/>
    </w:rPr>
  </w:style>
  <w:style w:type="character" w:customStyle="1" w:styleId="WarningTok">
    <w:name w:val="WarningTok"/>
    <w:basedOn w:val="VerbatimChar"/>
    <w:rsid w:val="00BD6DD8"/>
    <w:rPr>
      <w:rFonts w:ascii="Consolas" w:eastAsiaTheme="minorHAnsi" w:hAnsi="Consolas"/>
      <w:b/>
      <w:i w:val="0"/>
      <w:color w:val="8F5902"/>
      <w:kern w:val="0"/>
      <w:sz w:val="22"/>
      <w:shd w:val="clear" w:color="auto" w:fill="F8F8F8"/>
      <w14:ligatures w14:val="none"/>
    </w:rPr>
  </w:style>
  <w:style w:type="character" w:customStyle="1" w:styleId="AlertTok">
    <w:name w:val="AlertTok"/>
    <w:basedOn w:val="VerbatimChar"/>
    <w:rsid w:val="00BD6DD8"/>
    <w:rPr>
      <w:rFonts w:ascii="Consolas" w:eastAsiaTheme="minorHAnsi" w:hAnsi="Consolas"/>
      <w:i/>
      <w:color w:val="EF2929"/>
      <w:kern w:val="0"/>
      <w:sz w:val="22"/>
      <w:shd w:val="clear" w:color="auto" w:fill="F8F8F8"/>
      <w14:ligatures w14:val="none"/>
    </w:rPr>
  </w:style>
  <w:style w:type="character" w:customStyle="1" w:styleId="ErrorTok">
    <w:name w:val="ErrorTok"/>
    <w:basedOn w:val="VerbatimChar"/>
    <w:rsid w:val="00BD6DD8"/>
    <w:rPr>
      <w:rFonts w:ascii="Consolas" w:eastAsiaTheme="minorHAnsi" w:hAnsi="Consolas"/>
      <w:b/>
      <w:i/>
      <w:color w:val="A40000"/>
      <w:kern w:val="0"/>
      <w:sz w:val="22"/>
      <w:shd w:val="clear" w:color="auto" w:fill="F8F8F8"/>
      <w14:ligatures w14:val="none"/>
    </w:rPr>
  </w:style>
  <w:style w:type="character" w:customStyle="1" w:styleId="NormalTok">
    <w:name w:val="NormalTok"/>
    <w:basedOn w:val="VerbatimChar"/>
    <w:rsid w:val="00BD6DD8"/>
    <w:rPr>
      <w:rFonts w:ascii="Consolas" w:eastAsiaTheme="minorHAnsi" w:hAnsi="Consolas"/>
      <w:i/>
      <w:kern w:val="0"/>
      <w:sz w:val="22"/>
      <w:shd w:val="clear" w:color="auto" w:fill="F8F8F8"/>
      <w14:ligatures w14:val="none"/>
    </w:rPr>
  </w:style>
  <w:style w:type="character" w:styleId="EndnoteReference">
    <w:name w:val="endnote reference"/>
    <w:basedOn w:val="DefaultParagraphFont"/>
    <w:uiPriority w:val="99"/>
    <w:semiHidden/>
    <w:unhideWhenUsed/>
    <w:rsid w:val="0012654A"/>
    <w:rPr>
      <w:vertAlign w:val="superscript"/>
    </w:rPr>
  </w:style>
  <w:style w:type="paragraph" w:styleId="Index1">
    <w:name w:val="index 1"/>
    <w:basedOn w:val="Normal"/>
    <w:next w:val="Normal"/>
    <w:autoRedefine/>
    <w:uiPriority w:val="99"/>
    <w:unhideWhenUsed/>
    <w:rsid w:val="00411637"/>
    <w:pPr>
      <w:spacing w:after="0"/>
      <w:ind w:left="240" w:hanging="240"/>
      <w:jc w:val="left"/>
    </w:pPr>
    <w:rPr>
      <w:rFonts w:asciiTheme="minorHAnsi" w:hAnsiTheme="minorHAnsi" w:cstheme="minorHAnsi"/>
      <w:sz w:val="20"/>
      <w:szCs w:val="20"/>
    </w:rPr>
  </w:style>
  <w:style w:type="paragraph" w:styleId="Index2">
    <w:name w:val="index 2"/>
    <w:basedOn w:val="Normal"/>
    <w:next w:val="Normal"/>
    <w:autoRedefine/>
    <w:uiPriority w:val="99"/>
    <w:unhideWhenUsed/>
    <w:rsid w:val="00411637"/>
    <w:pPr>
      <w:spacing w:after="0"/>
      <w:ind w:left="480" w:hanging="240"/>
      <w:jc w:val="left"/>
    </w:pPr>
    <w:rPr>
      <w:rFonts w:asciiTheme="minorHAnsi" w:hAnsiTheme="minorHAnsi" w:cstheme="minorHAnsi"/>
      <w:sz w:val="20"/>
      <w:szCs w:val="20"/>
    </w:rPr>
  </w:style>
  <w:style w:type="paragraph" w:styleId="Index3">
    <w:name w:val="index 3"/>
    <w:basedOn w:val="Normal"/>
    <w:next w:val="Normal"/>
    <w:autoRedefine/>
    <w:uiPriority w:val="99"/>
    <w:unhideWhenUsed/>
    <w:rsid w:val="00411637"/>
    <w:pPr>
      <w:spacing w:after="0"/>
      <w:ind w:left="720" w:hanging="240"/>
      <w:jc w:val="left"/>
    </w:pPr>
    <w:rPr>
      <w:rFonts w:asciiTheme="minorHAnsi" w:hAnsiTheme="minorHAnsi" w:cstheme="minorHAnsi"/>
      <w:sz w:val="20"/>
      <w:szCs w:val="20"/>
    </w:rPr>
  </w:style>
  <w:style w:type="paragraph" w:styleId="Index4">
    <w:name w:val="index 4"/>
    <w:basedOn w:val="Normal"/>
    <w:next w:val="Normal"/>
    <w:autoRedefine/>
    <w:uiPriority w:val="99"/>
    <w:unhideWhenUsed/>
    <w:rsid w:val="00411637"/>
    <w:pPr>
      <w:spacing w:after="0"/>
      <w:ind w:left="960" w:hanging="240"/>
      <w:jc w:val="left"/>
    </w:pPr>
    <w:rPr>
      <w:rFonts w:asciiTheme="minorHAnsi" w:hAnsiTheme="minorHAnsi" w:cstheme="minorHAnsi"/>
      <w:sz w:val="20"/>
      <w:szCs w:val="20"/>
    </w:rPr>
  </w:style>
  <w:style w:type="paragraph" w:styleId="Index5">
    <w:name w:val="index 5"/>
    <w:basedOn w:val="Normal"/>
    <w:next w:val="Normal"/>
    <w:autoRedefine/>
    <w:uiPriority w:val="99"/>
    <w:unhideWhenUsed/>
    <w:rsid w:val="00411637"/>
    <w:pPr>
      <w:spacing w:after="0"/>
      <w:ind w:left="1200" w:hanging="240"/>
      <w:jc w:val="left"/>
    </w:pPr>
    <w:rPr>
      <w:rFonts w:asciiTheme="minorHAnsi" w:hAnsiTheme="minorHAnsi" w:cstheme="minorHAnsi"/>
      <w:sz w:val="20"/>
      <w:szCs w:val="20"/>
    </w:rPr>
  </w:style>
  <w:style w:type="paragraph" w:styleId="Index6">
    <w:name w:val="index 6"/>
    <w:basedOn w:val="Normal"/>
    <w:next w:val="Normal"/>
    <w:autoRedefine/>
    <w:uiPriority w:val="99"/>
    <w:unhideWhenUsed/>
    <w:rsid w:val="00411637"/>
    <w:pPr>
      <w:spacing w:after="0"/>
      <w:ind w:left="1440" w:hanging="240"/>
      <w:jc w:val="left"/>
    </w:pPr>
    <w:rPr>
      <w:rFonts w:asciiTheme="minorHAnsi" w:hAnsiTheme="minorHAnsi" w:cstheme="minorHAnsi"/>
      <w:sz w:val="20"/>
      <w:szCs w:val="20"/>
    </w:rPr>
  </w:style>
  <w:style w:type="paragraph" w:styleId="Index7">
    <w:name w:val="index 7"/>
    <w:basedOn w:val="Normal"/>
    <w:next w:val="Normal"/>
    <w:autoRedefine/>
    <w:uiPriority w:val="99"/>
    <w:unhideWhenUsed/>
    <w:rsid w:val="00411637"/>
    <w:pPr>
      <w:spacing w:after="0"/>
      <w:ind w:left="1680" w:hanging="240"/>
      <w:jc w:val="left"/>
    </w:pPr>
    <w:rPr>
      <w:rFonts w:asciiTheme="minorHAnsi" w:hAnsiTheme="minorHAnsi" w:cstheme="minorHAnsi"/>
      <w:sz w:val="20"/>
      <w:szCs w:val="20"/>
    </w:rPr>
  </w:style>
  <w:style w:type="paragraph" w:styleId="Index8">
    <w:name w:val="index 8"/>
    <w:basedOn w:val="Normal"/>
    <w:next w:val="Normal"/>
    <w:autoRedefine/>
    <w:uiPriority w:val="99"/>
    <w:unhideWhenUsed/>
    <w:rsid w:val="00411637"/>
    <w:pPr>
      <w:spacing w:after="0"/>
      <w:ind w:left="1920" w:hanging="240"/>
      <w:jc w:val="left"/>
    </w:pPr>
    <w:rPr>
      <w:rFonts w:asciiTheme="minorHAnsi" w:hAnsiTheme="minorHAnsi" w:cstheme="minorHAnsi"/>
      <w:sz w:val="20"/>
      <w:szCs w:val="20"/>
    </w:rPr>
  </w:style>
  <w:style w:type="paragraph" w:styleId="Index9">
    <w:name w:val="index 9"/>
    <w:basedOn w:val="Normal"/>
    <w:next w:val="Normal"/>
    <w:autoRedefine/>
    <w:uiPriority w:val="99"/>
    <w:unhideWhenUsed/>
    <w:rsid w:val="00411637"/>
    <w:pPr>
      <w:spacing w:after="0"/>
      <w:ind w:left="2160" w:hanging="240"/>
      <w:jc w:val="left"/>
    </w:pPr>
    <w:rPr>
      <w:rFonts w:asciiTheme="minorHAnsi" w:hAnsiTheme="minorHAnsi" w:cstheme="minorHAnsi"/>
      <w:sz w:val="20"/>
      <w:szCs w:val="20"/>
    </w:rPr>
  </w:style>
  <w:style w:type="paragraph" w:styleId="IndexHeading">
    <w:name w:val="index heading"/>
    <w:basedOn w:val="Normal"/>
    <w:next w:val="Index1"/>
    <w:uiPriority w:val="99"/>
    <w:unhideWhenUsed/>
    <w:rsid w:val="00411637"/>
    <w:pPr>
      <w:spacing w:after="0"/>
      <w:jc w:val="left"/>
    </w:pPr>
    <w:rPr>
      <w:rFonts w:asciiTheme="minorHAnsi" w:hAnsiTheme="minorHAnsi" w:cstheme="minorHAnsi"/>
      <w:sz w:val="20"/>
      <w:szCs w:val="20"/>
    </w:rPr>
  </w:style>
  <w:style w:type="paragraph" w:styleId="TOC1">
    <w:name w:val="toc 1"/>
    <w:basedOn w:val="Normal"/>
    <w:next w:val="Normal"/>
    <w:autoRedefine/>
    <w:uiPriority w:val="39"/>
    <w:unhideWhenUsed/>
    <w:rsid w:val="0099343B"/>
    <w:pPr>
      <w:spacing w:before="120" w:after="0"/>
      <w:ind w:left="0"/>
      <w:jc w:val="left"/>
    </w:pPr>
    <w:rPr>
      <w:rFonts w:asciiTheme="minorHAnsi" w:hAnsiTheme="minorHAnsi" w:cstheme="minorHAnsi"/>
      <w:b/>
      <w:bCs/>
      <w:i/>
      <w:iCs/>
    </w:rPr>
  </w:style>
  <w:style w:type="paragraph" w:styleId="TOC2">
    <w:name w:val="toc 2"/>
    <w:basedOn w:val="Normal"/>
    <w:next w:val="Normal"/>
    <w:autoRedefine/>
    <w:uiPriority w:val="39"/>
    <w:unhideWhenUsed/>
    <w:rsid w:val="0099343B"/>
    <w:pPr>
      <w:spacing w:before="120" w:after="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9343B"/>
    <w:pPr>
      <w:spacing w:after="0"/>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9343B"/>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9343B"/>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9343B"/>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9343B"/>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9343B"/>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9343B"/>
    <w:pPr>
      <w:spacing w:after="0"/>
      <w:ind w:left="1920"/>
      <w:jc w:val="left"/>
    </w:pPr>
    <w:rPr>
      <w:rFonts w:asciiTheme="minorHAnsi" w:hAnsiTheme="minorHAnsi" w:cstheme="minorHAnsi"/>
      <w:sz w:val="20"/>
      <w:szCs w:val="20"/>
    </w:rPr>
  </w:style>
  <w:style w:type="character" w:customStyle="1" w:styleId="apple-converted-space">
    <w:name w:val="apple-converted-space"/>
    <w:basedOn w:val="DefaultParagraphFont"/>
    <w:rsid w:val="00FF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tenido.bce.fin.ec/documentos/MercadosInternacionales/Cotizaciones/tipoCambio.xls" TargetMode="External"/><Relationship Id="rId18" Type="http://schemas.openxmlformats.org/officeDocument/2006/relationships/hyperlink" Target="https://population.un.org/wpp/Graphs/DemographicProfiles/Line/21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pulation.un.org/wpp/Graphs/DemographicProfiles/Line/218" TargetMode="External"/><Relationship Id="rId7" Type="http://schemas.openxmlformats.org/officeDocument/2006/relationships/endnotes" Target="endnotes.xml"/><Relationship Id="rId12" Type="http://schemas.openxmlformats.org/officeDocument/2006/relationships/hyperlink" Target="https://www.eppetroecuador.ec/wp-content/uploads/downloads/2015/03/40-A%C3%B1os-Construyendo-el-Desarrollo-del-Pa%C3%ADs.pdf" TargetMode="External"/><Relationship Id="rId17" Type="http://schemas.openxmlformats.org/officeDocument/2006/relationships/hyperlink" Target="https://fred.stlouisfed.org/graph/?id=APROPANEMBTX"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eia.gov/dnav/pet/hist/LeafHandler.ashx?n=pet&amp;s=ema_epllpa_pwg_nus_dpg&amp;f=a" TargetMode="External"/><Relationship Id="rId20" Type="http://schemas.openxmlformats.org/officeDocument/2006/relationships/hyperlink" Target="https://www.goodreturns.in/lpg-pri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petroecuador.ec/wp-content/uploads/downloads/2015/03/40-A%C3%B1os-Construyendo-el-Desarrollo-del-Pa%C3%ADs.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ata.worldbank.org/indicator/NY.GDP.MKTP.CD"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scroll.in/article/1043498/modis-lpg-subsidy-programme-is-not-as-big-a-success-as-the-finance-minister-suggest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ls.gov/data/inflation_calculator.htm" TargetMode="External"/><Relationship Id="rId22" Type="http://schemas.openxmlformats.org/officeDocument/2006/relationships/hyperlink" Target="https://population.un.org/wpp/Graphs/DemographicProfiles/Line/21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AF982-DD49-9B41-A3F9-39EACD77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14358</Words>
  <Characters>81843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Gould</dc:creator>
  <cp:keywords/>
  <cp:lastModifiedBy>Carlos Gould</cp:lastModifiedBy>
  <cp:revision>51</cp:revision>
  <dcterms:created xsi:type="dcterms:W3CDTF">2023-12-01T21:49:00Z</dcterms:created>
  <dcterms:modified xsi:type="dcterms:W3CDTF">2024-03-13T18:08:00Z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id="EqExLxc6"/&gt;&lt;style id="http://www.zotero.org/styles/science-without-titles" hasBibliography="1" bibliographyStyleHasBeenSet="1"/&gt;&lt;prefs&gt;&lt;pref name="fieldType" value="Field"/&gt;&lt;/prefs&gt;&lt;/data&gt;</vt:lpwstr>
  </property>
</Properties>
</file>