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3B454" w14:textId="2E8B99FE" w:rsidR="00E55C60" w:rsidRDefault="00E55C60" w:rsidP="000F70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5D25BB" w14:textId="77777777" w:rsidR="00E55C60" w:rsidRDefault="00E55C60" w:rsidP="00E55C60">
      <w:pPr>
        <w:widowControl/>
        <w:jc w:val="center"/>
        <w:rPr>
          <w:rFonts w:ascii="Times New Roman" w:eastAsia="宋体" w:hAnsi="Times New Roman" w:cs="Times New Roman"/>
          <w:kern w:val="0"/>
          <w:sz w:val="36"/>
          <w:szCs w:val="36"/>
          <w:lang w:eastAsia="en-US"/>
        </w:rPr>
      </w:pPr>
    </w:p>
    <w:p w14:paraId="6F0D7AF3" w14:textId="0E27C27E" w:rsidR="000F7050" w:rsidRPr="00E55C60" w:rsidRDefault="00E55C60" w:rsidP="00E55C60">
      <w:pPr>
        <w:widowControl/>
        <w:jc w:val="center"/>
        <w:rPr>
          <w:rFonts w:ascii="Times New Roman" w:eastAsia="宋体" w:hAnsi="Times New Roman" w:cs="Times New Roman"/>
          <w:kern w:val="0"/>
          <w:sz w:val="36"/>
          <w:szCs w:val="36"/>
          <w:lang w:eastAsia="en-US"/>
        </w:rPr>
      </w:pPr>
      <w:r w:rsidRPr="00E55C60">
        <w:rPr>
          <w:rFonts w:ascii="Times New Roman" w:eastAsia="宋体" w:hAnsi="Times New Roman" w:cs="Times New Roman"/>
          <w:kern w:val="0"/>
          <w:sz w:val="36"/>
          <w:szCs w:val="36"/>
          <w:lang w:eastAsia="en-US"/>
        </w:rPr>
        <w:t>Supplementary Materials for</w:t>
      </w:r>
    </w:p>
    <w:p w14:paraId="471E8DDD" w14:textId="1B6F0C82" w:rsidR="000F7050" w:rsidRPr="00E55C60" w:rsidRDefault="000F7050" w:rsidP="000F705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5C60">
        <w:rPr>
          <w:rFonts w:ascii="Times New Roman" w:hAnsi="Times New Roman" w:cs="Times New Roman"/>
          <w:b/>
          <w:bCs/>
          <w:sz w:val="28"/>
          <w:szCs w:val="28"/>
        </w:rPr>
        <w:t xml:space="preserve">Enhancer RNA transcriptomics-wide association study reveals an atlas of pan-cancer susceptibility </w:t>
      </w:r>
      <w:proofErr w:type="spellStart"/>
      <w:r w:rsidRPr="00E55C60">
        <w:rPr>
          <w:rFonts w:ascii="Times New Roman" w:hAnsi="Times New Roman" w:cs="Times New Roman"/>
          <w:b/>
          <w:bCs/>
          <w:sz w:val="28"/>
          <w:szCs w:val="28"/>
        </w:rPr>
        <w:t>eRNAs</w:t>
      </w:r>
      <w:proofErr w:type="spellEnd"/>
    </w:p>
    <w:p w14:paraId="7A352B20" w14:textId="690B2B32" w:rsidR="000F7050" w:rsidRPr="00B53A38" w:rsidRDefault="000F7050" w:rsidP="000F7050">
      <w:pPr>
        <w:jc w:val="center"/>
        <w:rPr>
          <w:rFonts w:ascii="Times New Roman" w:hAnsi="Times New Roman" w:cs="Times New Roman"/>
          <w:sz w:val="24"/>
          <w:szCs w:val="24"/>
        </w:rPr>
      </w:pPr>
      <w:r w:rsidRPr="00B53A38">
        <w:rPr>
          <w:rFonts w:ascii="Times New Roman" w:hAnsi="Times New Roman" w:cs="Times New Roman"/>
          <w:sz w:val="24"/>
          <w:szCs w:val="24"/>
        </w:rPr>
        <w:t xml:space="preserve">Wenyan Chen </w:t>
      </w:r>
      <w:r w:rsidRPr="00B53A38">
        <w:rPr>
          <w:rFonts w:ascii="Times New Roman" w:hAnsi="Times New Roman" w:cs="Times New Roman"/>
          <w:i/>
          <w:iCs/>
          <w:sz w:val="24"/>
          <w:szCs w:val="24"/>
        </w:rPr>
        <w:t>et al.</w:t>
      </w:r>
    </w:p>
    <w:p w14:paraId="64C474A4" w14:textId="77777777" w:rsidR="000F7050" w:rsidRPr="00B53A38" w:rsidRDefault="000F7050" w:rsidP="000F70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AD8B4F" w14:textId="297B462B" w:rsidR="000F7050" w:rsidRPr="00B53A38" w:rsidRDefault="00E55C60" w:rsidP="000F7050">
      <w:pPr>
        <w:jc w:val="center"/>
        <w:rPr>
          <w:rFonts w:ascii="Times New Roman" w:hAnsi="Times New Roman" w:cs="Times New Roman"/>
          <w:sz w:val="24"/>
          <w:szCs w:val="24"/>
        </w:rPr>
      </w:pPr>
      <w:r w:rsidRPr="00E55C60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*Corresponding author. Email: </w:t>
      </w:r>
      <w:r w:rsidR="000F7050" w:rsidRPr="00E55C60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Lei Li, </w:t>
      </w:r>
      <w:hyperlink r:id="rId7" w:history="1">
        <w:r w:rsidR="00EB4CED" w:rsidRPr="001E785F">
          <w:rPr>
            <w:rStyle w:val="a8"/>
            <w:rFonts w:ascii="Times New Roman" w:eastAsia="宋体" w:hAnsi="Times New Roman" w:cs="Times New Roman"/>
            <w:kern w:val="0"/>
            <w:sz w:val="20"/>
            <w:szCs w:val="20"/>
            <w:lang w:eastAsia="en-US"/>
          </w:rPr>
          <w:t>lei.li@szbl.ac.cn</w:t>
        </w:r>
      </w:hyperlink>
      <w:r w:rsidR="000F7050" w:rsidRPr="00E55C60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>;</w:t>
      </w:r>
      <w:r w:rsidR="00EB4CED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 </w:t>
      </w:r>
      <w:r w:rsidR="00BC738E" w:rsidRPr="00BC738E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or </w:t>
      </w:r>
      <w:proofErr w:type="spellStart"/>
      <w:r w:rsidR="00BC738E" w:rsidRPr="00BC738E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>Yunbo</w:t>
      </w:r>
      <w:proofErr w:type="spellEnd"/>
      <w:r w:rsidR="00BC738E" w:rsidRPr="00BC738E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 Qiao (ybqiao@shsmu.edu.cn)</w:t>
      </w:r>
    </w:p>
    <w:p w14:paraId="1B08B73D" w14:textId="77777777" w:rsidR="0024641E" w:rsidRPr="00B53A38" w:rsidRDefault="002464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5E53630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D418CB3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DB8D565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563F5EE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DA4BB12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B1C8577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FBCE9A8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B1A0F11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219B2DB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A9E7038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07E2A2B" w14:textId="77777777" w:rsidR="00EF171E" w:rsidRPr="00B53A38" w:rsidRDefault="00EF171E">
      <w:pP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E1224D0" w14:textId="77777777" w:rsidR="00A018CE" w:rsidRPr="00A018CE" w:rsidRDefault="00A018CE" w:rsidP="00A018CE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</w:pPr>
      <w:r w:rsidRPr="00A018CE"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  <w:t>This PDF file includes:</w:t>
      </w:r>
    </w:p>
    <w:p w14:paraId="045FCA69" w14:textId="0DB31F0F" w:rsidR="00A018CE" w:rsidRDefault="00A018CE" w:rsidP="00A018CE">
      <w:pPr>
        <w:widowControl/>
        <w:ind w:left="720"/>
        <w:jc w:val="left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  <w:r w:rsidRPr="00A018CE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Figs. S1 to S</w:t>
      </w:r>
      <w:r w:rsidR="007A5353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7</w:t>
      </w:r>
    </w:p>
    <w:p w14:paraId="5609782C" w14:textId="15501774" w:rsidR="00A018CE" w:rsidRDefault="00A018CE" w:rsidP="00A018CE">
      <w:pPr>
        <w:widowControl/>
        <w:ind w:left="720"/>
        <w:jc w:val="left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  <w:r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br w:type="page"/>
      </w:r>
    </w:p>
    <w:p w14:paraId="3CA08599" w14:textId="77777777" w:rsidR="00A018CE" w:rsidRPr="00A018CE" w:rsidRDefault="00A018CE" w:rsidP="00A018CE">
      <w:pPr>
        <w:widowControl/>
        <w:ind w:left="720"/>
        <w:jc w:val="left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</w:p>
    <w:p w14:paraId="4D350220" w14:textId="77777777" w:rsidR="00874A73" w:rsidRPr="00B53A38" w:rsidRDefault="00874A73">
      <w:pPr>
        <w:rPr>
          <w:rFonts w:ascii="Times New Roman" w:hAnsi="Times New Roman" w:cs="Times New Roman"/>
          <w:sz w:val="24"/>
          <w:szCs w:val="24"/>
        </w:rPr>
      </w:pPr>
    </w:p>
    <w:p w14:paraId="4D0D5B0D" w14:textId="2C20F597" w:rsidR="0024641E" w:rsidRPr="00B53A38" w:rsidRDefault="00E376B8" w:rsidP="00A018C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3A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BAAC1E" wp14:editId="61888593">
            <wp:extent cx="3670300" cy="4140200"/>
            <wp:effectExtent l="0" t="0" r="0" b="0"/>
            <wp:docPr id="11386790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79082" name="图片 11386790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3F33" w14:textId="24A81D99" w:rsidR="008D737B" w:rsidRPr="00B53A38" w:rsidRDefault="00F83B91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Fig. S</w:t>
      </w:r>
      <w:r w:rsidR="008D737B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1. UMAP of expression colored according to tissue. </w:t>
      </w:r>
      <w:r w:rsidR="008D737B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UMAP plot showing clustering of </w:t>
      </w:r>
      <w:proofErr w:type="spellStart"/>
      <w:r w:rsidR="008D737B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eRNAs</w:t>
      </w:r>
      <w:proofErr w:type="spellEnd"/>
      <w:r w:rsidR="00B34F2C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and genes </w:t>
      </w:r>
      <w:r w:rsidR="008D737B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based on their expression in 17382 samples across 49 tissues. The color and shape of each dot refers to the tissue recorded in the </w:t>
      </w:r>
      <w:proofErr w:type="spellStart"/>
      <w:r w:rsidR="008D737B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GTEx</w:t>
      </w:r>
      <w:proofErr w:type="spellEnd"/>
      <w:r w:rsidR="008D737B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dataset.</w:t>
      </w:r>
    </w:p>
    <w:p w14:paraId="1F4E40E2" w14:textId="7F12E31F" w:rsidR="00A018CE" w:rsidRDefault="00A018CE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14:paraId="12A02635" w14:textId="77777777" w:rsidR="00A018CE" w:rsidRDefault="00A018CE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4086CB9" w14:textId="3EAD1D92" w:rsidR="0024641E" w:rsidRPr="00B53A38" w:rsidRDefault="00620EE3" w:rsidP="00AA2940">
      <w:pPr>
        <w:jc w:val="center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5447DA" wp14:editId="32C7270D">
            <wp:extent cx="5026338" cy="5232643"/>
            <wp:effectExtent l="0" t="0" r="3175" b="0"/>
            <wp:docPr id="2024554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54292" name="图片 20245542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48" cy="52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8CAB9" w14:textId="3274CBC8" w:rsidR="00A018CE" w:rsidRPr="002B2FD5" w:rsidRDefault="00F83B91" w:rsidP="00AB79D9">
      <w:pPr>
        <w:jc w:val="left"/>
        <w:rPr>
          <w:rStyle w:val="fontstyle11"/>
          <w:rFonts w:ascii="Times New Roman" w:hAnsi="Times New Roman" w:cs="Times New Roman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Fig. S</w:t>
      </w:r>
      <w:r w:rsidR="00842B08" w:rsidRPr="00B53A38">
        <w:rPr>
          <w:rStyle w:val="fontstyle11"/>
          <w:rFonts w:ascii="Times New Roman" w:hAnsi="Times New Roman" w:cs="Times New Roman"/>
          <w:sz w:val="24"/>
          <w:szCs w:val="24"/>
        </w:rPr>
        <w:t>2</w:t>
      </w:r>
      <w:r w:rsidR="00FC0547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. </w:t>
      </w:r>
      <w:r w:rsidR="002B2FD5" w:rsidRPr="00B53A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Functional Annotation of the </w:t>
      </w:r>
      <w:proofErr w:type="spellStart"/>
      <w:r w:rsidR="002B2FD5" w:rsidRPr="00B53A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eRNA</w:t>
      </w:r>
      <w:proofErr w:type="spellEnd"/>
      <w:r w:rsidR="002B2FD5" w:rsidRPr="00B53A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-QTL</w:t>
      </w:r>
      <w:r w:rsidR="0039688E" w:rsidRPr="00B53A38">
        <w:rPr>
          <w:rStyle w:val="fontstyle11"/>
          <w:rFonts w:ascii="Times New Roman" w:hAnsi="Times New Roman" w:cs="Times New Roman"/>
          <w:sz w:val="24"/>
          <w:szCs w:val="24"/>
        </w:rPr>
        <w:t>.</w:t>
      </w:r>
      <w:r w:rsidR="0039688E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E57F01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AB33E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9688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0547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The example of SNP rs72700813 is closely related to the </w:t>
      </w:r>
      <w:proofErr w:type="spellStart"/>
      <w:r w:rsidR="00FC0547" w:rsidRPr="00187C27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GOLPH3L</w:t>
      </w:r>
      <w:proofErr w:type="spellEnd"/>
      <w:r w:rsidR="00FC0547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="00FC0547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FC0547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proofErr w:type="spellStart"/>
      <w:r w:rsidR="00FC0547" w:rsidRPr="00187C27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GOLPH3Le</w:t>
      </w:r>
      <w:proofErr w:type="spellEnd"/>
      <w:r w:rsidR="00FC0547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) in the brain cortex. Each dot in the box plot represents the expression (RPM) of </w:t>
      </w:r>
      <w:r w:rsidR="00187C27" w:rsidRPr="00187C27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GOLPH3Le</w:t>
      </w:r>
      <w:r w:rsidR="00FC0547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in a particular individual (n = 184). Horizontal lines indicate the median values, and The boxes span the interquartile range between the 25th and 75th percentiles. The whiskers extend to 1.5× interquartile range (IQR)</w:t>
      </w:r>
      <w:r w:rsidR="00F510DB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57F01" w:rsidRPr="00B53A38">
        <w:rPr>
          <w:rStyle w:val="fontstyle11"/>
          <w:rFonts w:ascii="Times New Roman" w:hAnsi="Times New Roman" w:cs="Times New Roman"/>
          <w:sz w:val="24"/>
          <w:szCs w:val="24"/>
        </w:rPr>
        <w:t>B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622ED" w:rsidRPr="001622ED">
        <w:rPr>
          <w:rFonts w:ascii="Times New Roman" w:hAnsi="Times New Roman" w:cs="Times New Roman"/>
          <w:i/>
          <w:iCs/>
          <w:color w:val="000000"/>
          <w:sz w:val="24"/>
          <w:szCs w:val="24"/>
        </w:rPr>
        <w:t>BRCA1</w:t>
      </w:r>
      <w:proofErr w:type="spellEnd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>eRNA</w:t>
      </w:r>
      <w:proofErr w:type="spellEnd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1622ED" w:rsidRPr="001622ED">
        <w:rPr>
          <w:rFonts w:ascii="Times New Roman" w:hAnsi="Times New Roman" w:cs="Times New Roman"/>
          <w:i/>
          <w:iCs/>
          <w:color w:val="000000"/>
          <w:sz w:val="24"/>
          <w:szCs w:val="24"/>
        </w:rPr>
        <w:t>BRCA1e</w:t>
      </w:r>
      <w:proofErr w:type="spellEnd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 xml:space="preserve">), located upstream of the </w:t>
      </w:r>
      <w:bookmarkStart w:id="0" w:name="_Hlk150359922"/>
      <w:r w:rsidR="001622ED" w:rsidRPr="00E7286E">
        <w:rPr>
          <w:rFonts w:ascii="Times New Roman" w:hAnsi="Times New Roman" w:cs="Times New Roman"/>
          <w:i/>
          <w:iCs/>
          <w:color w:val="000000"/>
          <w:sz w:val="24"/>
          <w:szCs w:val="24"/>
        </w:rPr>
        <w:t>BRCA1</w:t>
      </w:r>
      <w:bookmarkEnd w:id="0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 xml:space="preserve"> gene, contains an independent </w:t>
      </w:r>
      <w:proofErr w:type="spellStart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>eRNA</w:t>
      </w:r>
      <w:proofErr w:type="spellEnd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 xml:space="preserve">-QTL </w:t>
      </w:r>
      <w:proofErr w:type="spellStart"/>
      <w:r w:rsidR="001622ED" w:rsidRPr="001622ED">
        <w:rPr>
          <w:rFonts w:ascii="Times New Roman" w:hAnsi="Times New Roman" w:cs="Times New Roman"/>
          <w:color w:val="000000"/>
          <w:sz w:val="24"/>
          <w:szCs w:val="24"/>
        </w:rPr>
        <w:t>rs11650272</w:t>
      </w:r>
      <w:proofErr w:type="spellEnd"/>
      <w:r w:rsidR="001622E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2B2F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0547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Locations of the </w:t>
      </w:r>
      <w:r w:rsidR="000C5E70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lead</w:t>
      </w:r>
      <w:r w:rsidR="00FC0547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0547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FC0547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-QTLs for </w:t>
      </w:r>
      <w:proofErr w:type="spellStart"/>
      <w:r w:rsidR="00FC0547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eRNAs</w:t>
      </w:r>
      <w:proofErr w:type="spellEnd"/>
      <w:r w:rsidR="00FC0547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x-axis represents a candidate region divided into multiple bins, as described. The y-axis indicates the count of lead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-QTLs within each bin, where each lead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-QTL corresponds to a specific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represents the most significant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-QTL. For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-QTLs that fall outside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eRNAs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they are assigned to bins based on their physical distance from the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eRNAs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To provide a comparison, the red line represents randomly selected positions within a ±1-Mb window surrounding each </w:t>
      </w:r>
      <w:proofErr w:type="spellStart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607326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264F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5217D">
        <w:rPr>
          <w:rFonts w:ascii="Times New Roman" w:hAnsi="Times New Roman" w:cs="Times New Roman"/>
          <w:color w:val="000000" w:themeColor="text1"/>
          <w:sz w:val="24"/>
          <w:szCs w:val="24"/>
        </w:rPr>
        <w:t>yellow</w:t>
      </w:r>
      <w:r w:rsidR="00E3264F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 in the figure represents the </w:t>
      </w:r>
      <w:proofErr w:type="spellStart"/>
      <w:r w:rsidR="00E3264F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>eRNA</w:t>
      </w:r>
      <w:proofErr w:type="spellEnd"/>
      <w:r w:rsidR="00E3264F" w:rsidRPr="00B5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region.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2B2F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77A3" w:rsidRPr="00ED77A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Overlap between </w:t>
      </w:r>
      <w:proofErr w:type="spellStart"/>
      <w:r w:rsidR="00ED77A3" w:rsidRPr="00ED77A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ED77A3" w:rsidRPr="00ED77A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-QTL and QTL</w:t>
      </w:r>
      <w:r w:rsidR="00ED77A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A018CE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14:paraId="281E7A35" w14:textId="77777777" w:rsidR="00995FFD" w:rsidRPr="00B53A38" w:rsidRDefault="00995FFD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CD60171" w14:textId="1879D3F7" w:rsidR="00FC0547" w:rsidRPr="00B53A38" w:rsidRDefault="00DF0222" w:rsidP="00AA2940">
      <w:pPr>
        <w:jc w:val="center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6405D1B9" wp14:editId="4552690B">
            <wp:extent cx="5274310" cy="5089525"/>
            <wp:effectExtent l="0" t="0" r="2540" b="0"/>
            <wp:docPr id="15941872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0D3F" w14:textId="6B12A50A" w:rsidR="00A018CE" w:rsidRDefault="00F83B91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Fig. S</w:t>
      </w:r>
      <w:r w:rsidR="00CC11A7">
        <w:rPr>
          <w:rStyle w:val="fontstyle11"/>
          <w:rFonts w:ascii="Times New Roman" w:hAnsi="Times New Roman" w:cs="Times New Roman"/>
          <w:sz w:val="24"/>
          <w:szCs w:val="24"/>
        </w:rPr>
        <w:t>3</w:t>
      </w:r>
      <w:r w:rsidR="006B0316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D15CF" w:rsidRPr="00B53A38">
        <w:rPr>
          <w:rStyle w:val="fontstyle11"/>
          <w:rFonts w:ascii="Times New Roman" w:hAnsi="Times New Roman" w:cs="Times New Roman"/>
          <w:sz w:val="24"/>
          <w:szCs w:val="24"/>
        </w:rPr>
        <w:t>eRNA</w:t>
      </w:r>
      <w:proofErr w:type="spellEnd"/>
      <w:r w:rsidR="001D15CF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-QTLs mainly affects gene expression through regulating </w:t>
      </w:r>
      <w:proofErr w:type="spellStart"/>
      <w:r w:rsidR="001D15CF" w:rsidRPr="00B53A38">
        <w:rPr>
          <w:rStyle w:val="fontstyle11"/>
          <w:rFonts w:ascii="Times New Roman" w:hAnsi="Times New Roman" w:cs="Times New Roman"/>
          <w:sz w:val="24"/>
          <w:szCs w:val="24"/>
        </w:rPr>
        <w:t>eRNA</w:t>
      </w:r>
      <w:proofErr w:type="spellEnd"/>
      <w:r w:rsidR="001D15CF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 expression.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21C6" w:rsidRPr="00B53A38">
        <w:rPr>
          <w:rFonts w:ascii="Times New Roman" w:hAnsi="Times New Roman" w:cs="Times New Roman"/>
          <w:color w:val="000000"/>
          <w:sz w:val="24"/>
          <w:szCs w:val="24"/>
        </w:rPr>
        <w:t>The three models tested using Bayesian Networks.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Frequency of inferred causal model among </w:t>
      </w:r>
      <w:proofErr w:type="spellStart"/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>eRNA</w:t>
      </w:r>
      <w:proofErr w:type="spellEnd"/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>-QTLs associated with gene expression.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Relative distances between three models (independent model, reactive model, and causal model) and their associated </w:t>
      </w:r>
      <w:proofErr w:type="spellStart"/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>eRNAs</w:t>
      </w:r>
      <w:proofErr w:type="spellEnd"/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>/genes</w:t>
      </w:r>
      <w:r w:rsidR="00485C6D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="00485C6D" w:rsidRPr="00B53A3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The enrichments of three models for histone mark </w:t>
      </w:r>
      <w:proofErr w:type="spellStart"/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>broadPeaks</w:t>
      </w:r>
      <w:proofErr w:type="spellEnd"/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and the active epigenomic marks from consolidated Roadmap Epigenomics consortium data. </w:t>
      </w:r>
      <w:r w:rsidR="00374CDD" w:rsidRPr="00B53A38">
        <w:rPr>
          <w:rFonts w:ascii="Times New Roman" w:hAnsi="Times New Roman" w:cs="Times New Roman"/>
          <w:color w:val="000000"/>
          <w:sz w:val="24"/>
          <w:szCs w:val="24"/>
        </w:rPr>
        <w:t>The dashed line represents the average p-value, which was used to assess the degree of enrichment for the three models across different histone marks and epigenomic marks.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0316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The enrichments of three models for histone mark </w:t>
      </w:r>
      <w:proofErr w:type="spellStart"/>
      <w:r w:rsidR="006B0316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broadPeaks</w:t>
      </w:r>
      <w:proofErr w:type="spellEnd"/>
      <w:r w:rsidR="006B0316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and the repressed epigenomic marks from consolidated Roadmap Epigenomics consortium data.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5CF" w:rsidRPr="00B53A38">
        <w:rPr>
          <w:rFonts w:ascii="Times New Roman" w:hAnsi="Times New Roman" w:cs="Times New Roman"/>
          <w:color w:val="000000"/>
          <w:sz w:val="24"/>
          <w:szCs w:val="24"/>
        </w:rPr>
        <w:t>The proportion of genes involved in the enhancer-promoter loop was analyzed in three different models.</w:t>
      </w:r>
      <w:r w:rsidR="00DF0222" w:rsidRPr="00DF0222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DF0222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DF02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H</w:t>
      </w:r>
      <w:r w:rsidR="00DF022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F0222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The proportion of genes involved in the </w:t>
      </w:r>
      <w:r w:rsidR="00DF0222" w:rsidRPr="00DF0222">
        <w:rPr>
          <w:rFonts w:ascii="Times New Roman" w:hAnsi="Times New Roman" w:cs="Times New Roman"/>
          <w:color w:val="000000"/>
          <w:sz w:val="24"/>
          <w:szCs w:val="24"/>
        </w:rPr>
        <w:t>chromatin remodeling process</w:t>
      </w:r>
      <w:r w:rsidR="00DF0222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was analyzed in three different models.</w:t>
      </w:r>
    </w:p>
    <w:p w14:paraId="08F0366D" w14:textId="77777777" w:rsidR="001D15CF" w:rsidRPr="00B53A38" w:rsidRDefault="001D15CF" w:rsidP="00AB79D9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34921FC9" w14:textId="63F0C22D" w:rsidR="001D15CF" w:rsidRPr="00B53A38" w:rsidRDefault="00312F5E" w:rsidP="00AA2940">
      <w:pPr>
        <w:jc w:val="center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3D9915" wp14:editId="52CBEA05">
            <wp:extent cx="5274310" cy="4925060"/>
            <wp:effectExtent l="0" t="0" r="2540" b="8890"/>
            <wp:docPr id="199605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4D38" w14:textId="02C946F8" w:rsidR="007C7B13" w:rsidRDefault="00F83B91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Fig. S</w:t>
      </w:r>
      <w:r w:rsidR="00617835">
        <w:rPr>
          <w:rStyle w:val="fontstyle11"/>
          <w:rFonts w:ascii="Times New Roman" w:hAnsi="Times New Roman" w:cs="Times New Roman"/>
          <w:sz w:val="24"/>
          <w:szCs w:val="24"/>
        </w:rPr>
        <w:t>4</w:t>
      </w:r>
      <w:r w:rsidR="005760D2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56547" w:rsidRPr="00B53A38">
        <w:rPr>
          <w:rStyle w:val="fontstyle11"/>
          <w:rFonts w:ascii="Times New Roman" w:hAnsi="Times New Roman" w:cs="Times New Roman"/>
          <w:sz w:val="24"/>
          <w:szCs w:val="24"/>
        </w:rPr>
        <w:t>eRNA</w:t>
      </w:r>
      <w:proofErr w:type="spellEnd"/>
      <w:r w:rsidR="00756547" w:rsidRPr="00B53A38">
        <w:rPr>
          <w:rStyle w:val="fontstyle11"/>
          <w:rFonts w:ascii="Times New Roman" w:hAnsi="Times New Roman" w:cs="Times New Roman"/>
          <w:sz w:val="24"/>
          <w:szCs w:val="24"/>
        </w:rPr>
        <w:t>-QTLs could alter transcription factor binding sites</w:t>
      </w:r>
      <w:r w:rsidR="008F4BCE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="008F4BCE" w:rsidRPr="008F4BCE">
        <w:rPr>
          <w:rStyle w:val="fontstyle11"/>
          <w:rFonts w:ascii="Times New Roman" w:hAnsi="Times New Roman" w:cs="Times New Roman"/>
          <w:sz w:val="24"/>
          <w:szCs w:val="24"/>
        </w:rPr>
        <w:t>(TFBSs)</w:t>
      </w:r>
      <w:r w:rsidR="00756547" w:rsidRPr="00B53A38">
        <w:rPr>
          <w:rStyle w:val="fontstyle11"/>
          <w:rFonts w:ascii="Times New Roman" w:hAnsi="Times New Roman" w:cs="Times New Roman"/>
          <w:sz w:val="24"/>
          <w:szCs w:val="24"/>
        </w:rPr>
        <w:t>.</w:t>
      </w:r>
      <w:r w:rsidR="00FE433E" w:rsidRPr="00FE433E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E433E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FE433E" w:rsidRPr="00B53A3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E433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B5793" w:rsidRPr="009B579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The enrichment of </w:t>
      </w:r>
      <w:proofErr w:type="spellStart"/>
      <w:r w:rsidR="009B5793" w:rsidRPr="009B579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9B5793" w:rsidRPr="009B579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-QTL within the top ten TFs across a range of tumor tissues is observed</w:t>
      </w:r>
      <w:r w:rsidR="0053214E" w:rsidRPr="0053214E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FD44A3" w:rsidRPr="00FD44A3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The enrichment values correspond to the maximum-likelihood estimated log (OR), and the whiskers on the plot indicate values that are below the significant false discovery rate (FDR) threshold of 0.05</w:t>
      </w:r>
      <w:r w:rsidR="0053214E" w:rsidRPr="0053214E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FE433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The example of SNP rs17776622 that contained the YY1-binding site is closely related to the </w:t>
      </w:r>
      <w:r w:rsidR="00CF6A77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expression of </w:t>
      </w:r>
      <w:proofErr w:type="spellStart"/>
      <w:r w:rsidR="00E26BC3" w:rsidRPr="00E26BC3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SOX7</w:t>
      </w:r>
      <w:proofErr w:type="spellEnd"/>
      <w:r w:rsidR="00E26BC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="00E26BC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E26BC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26BC3" w:rsidRPr="00E26BC3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SOX7</w:t>
      </w:r>
      <w:r w:rsidR="00E26BC3" w:rsidRPr="00187C27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e</w:t>
      </w:r>
      <w:r w:rsidR="00E26BC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FE433E">
        <w:rPr>
          <w:rStyle w:val="fontstyle11"/>
          <w:rFonts w:ascii="Times New Roman" w:hAnsi="Times New Roman" w:cs="Times New Roman"/>
          <w:sz w:val="24"/>
          <w:szCs w:val="24"/>
        </w:rPr>
        <w:t>C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The expression of </w:t>
      </w:r>
      <w:r w:rsidR="00E26BC3" w:rsidRPr="00E26BC3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SOX7</w:t>
      </w:r>
      <w:r w:rsidR="00E26BC3" w:rsidRPr="00187C27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e</w:t>
      </w:r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is tightly associated with </w:t>
      </w:r>
      <w:r w:rsidR="00A358AA" w:rsidRPr="00E2121D">
        <w:rPr>
          <w:rStyle w:val="fontstyle1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SOX7</w:t>
      </w:r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A13DDE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FE433E">
        <w:rPr>
          <w:rStyle w:val="fontstyle11"/>
          <w:rFonts w:ascii="Times New Roman" w:hAnsi="Times New Roman" w:cs="Times New Roman"/>
          <w:sz w:val="24"/>
          <w:szCs w:val="24"/>
        </w:rPr>
        <w:t>D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Biological process for TFs whose </w:t>
      </w:r>
      <w:proofErr w:type="spellStart"/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A358AA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-QTL were enriched.</w:t>
      </w:r>
      <w:r w:rsidR="00617835" w:rsidRPr="00617835">
        <w:t xml:space="preserve"> </w:t>
      </w:r>
      <w:r w:rsidR="0061783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FE433E">
        <w:rPr>
          <w:rStyle w:val="fontstyle11"/>
          <w:rFonts w:ascii="Times New Roman" w:hAnsi="Times New Roman" w:cs="Times New Roman"/>
          <w:sz w:val="24"/>
          <w:szCs w:val="24"/>
        </w:rPr>
        <w:t>E</w:t>
      </w:r>
      <w:r w:rsidR="0061783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17835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7835" w:rsidRPr="0061783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Schematic diagram of the establishment of the monoclonal cell line with expected </w:t>
      </w:r>
      <w:proofErr w:type="spellStart"/>
      <w:r w:rsidR="00617835" w:rsidRPr="0061783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617835" w:rsidRPr="0061783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point mutations. The </w:t>
      </w:r>
      <w:proofErr w:type="spellStart"/>
      <w:r w:rsidR="00617835" w:rsidRPr="0061783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617835" w:rsidRPr="0061783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-mutant bulk cells were diluted and seeded onto a 96-well plate for culture. Single-cell clones were genotyped by Sanger sequencing after culture for 12 days. The site of rs6703982 was edited by BE4max-NG.</w:t>
      </w:r>
    </w:p>
    <w:p w14:paraId="314616D1" w14:textId="5DD218EC" w:rsidR="00A018CE" w:rsidRDefault="00A018CE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14:paraId="6012F365" w14:textId="77777777" w:rsidR="00A018CE" w:rsidRPr="00B53A38" w:rsidRDefault="00A018CE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7C5E0B0" w14:textId="07552422" w:rsidR="00E60649" w:rsidRPr="00B53A38" w:rsidRDefault="00427E85" w:rsidP="00AA2940">
      <w:pPr>
        <w:jc w:val="center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857E1C6" wp14:editId="4C011C88">
            <wp:extent cx="5274310" cy="4752975"/>
            <wp:effectExtent l="0" t="0" r="0" b="0"/>
            <wp:docPr id="2011721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21689" name="图片 20117216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0C11" w14:textId="77777777" w:rsidR="00E60649" w:rsidRPr="00B53A38" w:rsidRDefault="00E60649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0D5257B" w14:textId="1CE146E8" w:rsidR="005E05EB" w:rsidRDefault="00F83B91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Fig. S</w:t>
      </w:r>
      <w:r w:rsidR="006E1338">
        <w:rPr>
          <w:rStyle w:val="fontstyle11"/>
          <w:rFonts w:ascii="Times New Roman" w:hAnsi="Times New Roman" w:cs="Times New Roman"/>
          <w:sz w:val="24"/>
          <w:szCs w:val="24"/>
        </w:rPr>
        <w:t>5</w:t>
      </w:r>
      <w:r w:rsidR="00D466CA" w:rsidRPr="00B53A38">
        <w:rPr>
          <w:rStyle w:val="fontstyle11"/>
          <w:rFonts w:ascii="Times New Roman" w:hAnsi="Times New Roman" w:cs="Times New Roman"/>
          <w:sz w:val="24"/>
          <w:szCs w:val="24"/>
        </w:rPr>
        <w:t>.</w:t>
      </w:r>
      <w:r w:rsidR="00D466CA" w:rsidRPr="00B53A38">
        <w:rPr>
          <w:rFonts w:ascii="Times New Roman" w:hAnsi="Times New Roman" w:cs="Times New Roman"/>
          <w:sz w:val="24"/>
          <w:szCs w:val="24"/>
        </w:rPr>
        <w:t xml:space="preserve"> </w:t>
      </w:r>
      <w:r w:rsidR="006E1338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The biological and clinical features of cancer susceptibility </w:t>
      </w:r>
      <w:proofErr w:type="spellStart"/>
      <w:r w:rsidR="006E1338" w:rsidRPr="00B53A38">
        <w:rPr>
          <w:rStyle w:val="fontstyle11"/>
          <w:rFonts w:ascii="Times New Roman" w:hAnsi="Times New Roman" w:cs="Times New Roman"/>
          <w:sz w:val="24"/>
          <w:szCs w:val="24"/>
        </w:rPr>
        <w:t>eRNA</w:t>
      </w:r>
      <w:proofErr w:type="spellEnd"/>
      <w:r w:rsidR="006E1338">
        <w:rPr>
          <w:rStyle w:val="fontstyle11"/>
          <w:rFonts w:ascii="Times New Roman" w:hAnsi="Times New Roman" w:cs="Times New Roman"/>
          <w:sz w:val="24"/>
          <w:szCs w:val="24"/>
        </w:rPr>
        <w:t>-link gene</w:t>
      </w:r>
      <w:r w:rsidR="006E1338" w:rsidRPr="00B53A38">
        <w:rPr>
          <w:rStyle w:val="fontstyle11"/>
          <w:rFonts w:ascii="Times New Roman" w:hAnsi="Times New Roman" w:cs="Times New Roman"/>
          <w:sz w:val="24"/>
          <w:szCs w:val="24"/>
        </w:rPr>
        <w:t>s</w:t>
      </w:r>
      <w:r w:rsidR="006E1338">
        <w:rPr>
          <w:rStyle w:val="fontstyle11"/>
          <w:rFonts w:ascii="Times New Roman" w:hAnsi="Times New Roman" w:cs="Times New Roman"/>
          <w:sz w:val="24"/>
          <w:szCs w:val="24"/>
        </w:rPr>
        <w:t>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E376B8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Shared </w:t>
      </w:r>
      <w:proofErr w:type="spellStart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>eRNA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>-QTL/</w:t>
      </w:r>
      <w:proofErr w:type="spellStart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>eQTL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 depict variants with regulation both on </w:t>
      </w:r>
      <w:proofErr w:type="spellStart"/>
      <w:r w:rsidR="000E44C1" w:rsidRPr="000E44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ZNF703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>eRNA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0E44C1" w:rsidRPr="000E44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ZNF703e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) and </w:t>
      </w:r>
      <w:proofErr w:type="spellStart"/>
      <w:r w:rsidR="000E44C1" w:rsidRPr="000E44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ZNF703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 mRNA level displayed by the significant SNP-</w:t>
      </w:r>
      <w:proofErr w:type="spellStart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>eRNA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 pair </w:t>
      </w:r>
      <w:proofErr w:type="spellStart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>rs56687477</w:t>
      </w:r>
      <w:proofErr w:type="spellEnd"/>
      <w:r w:rsidR="000E44C1" w:rsidRPr="000E44C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0E44C1" w:rsidRPr="000E44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ZNF703e</w:t>
      </w:r>
      <w:proofErr w:type="spellEnd"/>
      <w:r w:rsidR="00690F65" w:rsidRPr="00B53A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002E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2A7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The number of </w:t>
      </w:r>
      <w:proofErr w:type="spellStart"/>
      <w:r w:rsidR="00AA7478">
        <w:rPr>
          <w:rStyle w:val="fontstyle11"/>
          <w:rFonts w:ascii="Times New Roman" w:hAnsi="Times New Roman" w:cs="Times New Roman" w:hint="eastAsia"/>
          <w:b w:val="0"/>
          <w:bCs w:val="0"/>
          <w:sz w:val="24"/>
          <w:szCs w:val="24"/>
        </w:rPr>
        <w:t>e</w:t>
      </w:r>
      <w:r w:rsidR="00AA747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RNA</w:t>
      </w:r>
      <w:proofErr w:type="spellEnd"/>
      <w:r w:rsidR="00AA747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="00362A7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TWAS prediction models was highly correlated with the sample sizes of the reference panels. The color of each dot refers to the tissue recorded in the </w:t>
      </w:r>
      <w:proofErr w:type="spellStart"/>
      <w:r w:rsidR="00362A7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GTEx</w:t>
      </w:r>
      <w:proofErr w:type="spellEnd"/>
      <w:r w:rsidR="00362A73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dataset</w:t>
      </w:r>
      <w:r w:rsidR="00AC3DD6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AC3DD6">
        <w:rPr>
          <w:rStyle w:val="fontstyle11"/>
          <w:rFonts w:ascii="Times New Roman" w:hAnsi="Times New Roman" w:cs="Times New Roman" w:hint="eastAsia"/>
          <w:b w:val="0"/>
          <w:bCs w:val="0"/>
          <w:sz w:val="24"/>
          <w:szCs w:val="24"/>
        </w:rPr>
        <w:t>and</w:t>
      </w:r>
      <w:r w:rsidR="00AC3DD6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="00AC3DD6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TCGA</w:t>
      </w:r>
      <w:proofErr w:type="spellEnd"/>
      <w:r w:rsidR="00AC3DD6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dataset</w:t>
      </w:r>
      <w:r w:rsidR="00A13DDE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6E1338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6E1338">
        <w:rPr>
          <w:rStyle w:val="fontstyle11"/>
          <w:rFonts w:ascii="Times New Roman" w:hAnsi="Times New Roman" w:cs="Times New Roman"/>
          <w:sz w:val="24"/>
          <w:szCs w:val="24"/>
        </w:rPr>
        <w:t>C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3658F" w:rsidRPr="0023658F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343 cancer susceptibility </w:t>
      </w:r>
      <w:proofErr w:type="spellStart"/>
      <w:r w:rsidR="0023658F" w:rsidRPr="0023658F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23658F" w:rsidRPr="0023658F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-link genes are known to contribute to the set of cancer hallmarks.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6E1338">
        <w:rPr>
          <w:rStyle w:val="fontstyle11"/>
          <w:rFonts w:ascii="Times New Roman" w:hAnsi="Times New Roman" w:cs="Times New Roman"/>
          <w:sz w:val="24"/>
          <w:szCs w:val="24"/>
        </w:rPr>
        <w:t>D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E85" w:rsidRPr="00427E8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Cancer susceptibility </w:t>
      </w:r>
      <w:proofErr w:type="spellStart"/>
      <w:r w:rsidR="00427E85" w:rsidRPr="00427E8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</w:t>
      </w:r>
      <w:proofErr w:type="spellEnd"/>
      <w:r w:rsidR="00427E85" w:rsidRPr="00427E8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-link genes are enriched in the hallmarks of cancer, specifically in sustaining proliferative signaling and activating invasion motility. </w:t>
      </w:r>
      <w:r w:rsidR="00A018CE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14:paraId="2EF753B3" w14:textId="62B831FC" w:rsidR="00553511" w:rsidRPr="00C83935" w:rsidRDefault="00553511" w:rsidP="00AB79D9">
      <w:pPr>
        <w:jc w:val="left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2557B11A" w14:textId="655F2E7B" w:rsidR="00E73A2F" w:rsidRPr="00B53A38" w:rsidRDefault="00496AD6" w:rsidP="00AA2940">
      <w:pPr>
        <w:jc w:val="center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3C41DFE2" wp14:editId="38C6A1DD">
            <wp:extent cx="5083538" cy="4483594"/>
            <wp:effectExtent l="0" t="0" r="3175" b="0"/>
            <wp:docPr id="1032088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57" cy="44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5AF1" w14:textId="420C7F8A" w:rsidR="00E73A2F" w:rsidRPr="00B53A38" w:rsidRDefault="00F83B91" w:rsidP="00AB79D9">
      <w:pPr>
        <w:jc w:val="left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Fig. S</w:t>
      </w:r>
      <w:r w:rsidR="008A1636">
        <w:rPr>
          <w:rStyle w:val="fontstyle11"/>
          <w:rFonts w:ascii="Times New Roman" w:hAnsi="Times New Roman" w:cs="Times New Roman"/>
          <w:sz w:val="24"/>
          <w:szCs w:val="24"/>
        </w:rPr>
        <w:t>6</w:t>
      </w:r>
      <w:r w:rsidR="00E73A2F" w:rsidRPr="00B53A38">
        <w:rPr>
          <w:rStyle w:val="fontstyle1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73A2F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eRNA</w:t>
      </w:r>
      <w:proofErr w:type="spellEnd"/>
      <w:r w:rsidR="00E73A2F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-QTLs contribute to a range of human phenotypes by regulating gene expression in a cell type-specific manner.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2C4429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locus zoom plot of </w:t>
      </w:r>
      <w:r w:rsidR="006129A4" w:rsidRPr="00B53A3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nflammatory bowel disease </w:t>
      </w:r>
      <w:r w:rsidR="006129A4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(IBD) </w:t>
      </w:r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GWAS signal; Shading of the points represents the linkage disequilibrium (r2, based on the 1000 Genomes Project Europeans; gray indicates unknown LD) between each SNP and the top SNP rs9808651, indicated by purple shading. Second panel, </w:t>
      </w:r>
      <w:proofErr w:type="spellStart"/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>locusZoom</w:t>
      </w:r>
      <w:proofErr w:type="spellEnd"/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plot showing the association with </w:t>
      </w:r>
      <w:proofErr w:type="spellStart"/>
      <w:r w:rsidR="00635782" w:rsidRP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PSMG1</w:t>
      </w:r>
      <w:proofErr w:type="spellEnd"/>
      <w:r w:rsid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635782">
        <w:rPr>
          <w:rFonts w:ascii="Times New Roman" w:hAnsi="Times New Roman" w:cs="Times New Roman" w:hint="eastAsia"/>
          <w:color w:val="000000"/>
          <w:sz w:val="24"/>
          <w:szCs w:val="24"/>
        </w:rPr>
        <w:t>e</w:t>
      </w:r>
      <w:r w:rsidR="00635782">
        <w:rPr>
          <w:rFonts w:ascii="Times New Roman" w:hAnsi="Times New Roman" w:cs="Times New Roman"/>
          <w:color w:val="000000"/>
          <w:sz w:val="24"/>
          <w:szCs w:val="24"/>
        </w:rPr>
        <w:t>RNA</w:t>
      </w:r>
      <w:proofErr w:type="spellEnd"/>
      <w:r w:rsid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635782" w:rsidRPr="00635782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635782" w:rsidRP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PSMG1</w:t>
      </w:r>
      <w:r w:rsid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e</w:t>
      </w:r>
      <w:proofErr w:type="spellEnd"/>
      <w:r w:rsidR="00635782" w:rsidRPr="0063578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expression. Bottom panel, </w:t>
      </w:r>
      <w:proofErr w:type="spellStart"/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>locusZoom</w:t>
      </w:r>
      <w:proofErr w:type="spellEnd"/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plot showing the association with </w:t>
      </w:r>
      <w:r w:rsidR="00E73A2F" w:rsidRP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PSMG1</w:t>
      </w:r>
      <w:r w:rsidR="00E73A2F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expression.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2C4429" w:rsidRPr="00B53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The Manhattan plot displays the </w:t>
      </w:r>
      <w:proofErr w:type="spellStart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SMR</w:t>
      </w:r>
      <w:proofErr w:type="spellEnd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result of </w:t>
      </w:r>
      <w:proofErr w:type="spellStart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eRNAs</w:t>
      </w:r>
      <w:proofErr w:type="spellEnd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relevant to </w:t>
      </w:r>
      <w:r w:rsidR="006129A4" w:rsidRPr="00B53A38">
        <w:rPr>
          <w:rFonts w:ascii="Times New Roman" w:hAnsi="Times New Roman" w:cs="Times New Roman"/>
          <w:color w:val="000000"/>
          <w:sz w:val="24"/>
          <w:szCs w:val="24"/>
        </w:rPr>
        <w:t>IBD</w:t>
      </w:r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disesase</w:t>
      </w:r>
      <w:proofErr w:type="spellEnd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50854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T</w:t>
      </w:r>
      <w:r w:rsidR="00250854">
        <w:rPr>
          <w:rStyle w:val="fontstyle11"/>
          <w:rFonts w:ascii="Times New Roman" w:hAnsi="Times New Roman" w:cs="Times New Roman" w:hint="eastAsia"/>
          <w:b w:val="0"/>
          <w:bCs w:val="0"/>
          <w:sz w:val="24"/>
          <w:szCs w:val="24"/>
        </w:rPr>
        <w:t>he</w:t>
      </w:r>
      <w:r w:rsidR="00250854" w:rsidRPr="00250854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dashes </w:t>
      </w:r>
      <w:r w:rsidR="00B90238" w:rsidRPr="00250854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represent</w:t>
      </w:r>
      <w:r w:rsidR="00250854" w:rsidRPr="00250854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the significant threshold</w:t>
      </w:r>
      <w:r w:rsidR="00250854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AB33E5"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2C4429" w:rsidRPr="00B53A38">
        <w:rPr>
          <w:rStyle w:val="fontstyle11"/>
          <w:rFonts w:ascii="Times New Roman" w:hAnsi="Times New Roman" w:cs="Times New Roman"/>
          <w:sz w:val="24"/>
          <w:szCs w:val="24"/>
        </w:rPr>
        <w:t>C</w:t>
      </w:r>
      <w:r w:rsidR="00A13DD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13DDE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For the visualization at the single cell level, expression UMAP plots for </w:t>
      </w:r>
      <w:r w:rsidR="0039407F" w:rsidRP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PSMG1</w:t>
      </w:r>
      <w:r w:rsidR="0039407F">
        <w:rPr>
          <w:rFonts w:ascii="Times New Roman" w:hAnsi="Times New Roman" w:cs="Times New Roman"/>
          <w:i/>
          <w:iCs/>
          <w:color w:val="000000"/>
          <w:sz w:val="24"/>
          <w:szCs w:val="24"/>
        </w:rPr>
        <w:t>e</w:t>
      </w:r>
      <w:r w:rsidR="006129A4"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FD04B5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39407F" w:rsidRPr="006357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PSMG1</w:t>
      </w:r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were generated. </w:t>
      </w:r>
      <w:proofErr w:type="spellStart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Colour</w:t>
      </w:r>
      <w:proofErr w:type="spellEnd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bar indicates </w:t>
      </w:r>
      <w:proofErr w:type="spellStart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log2</w:t>
      </w:r>
      <w:proofErr w:type="spellEnd"/>
      <w:r w:rsidR="006129A4" w:rsidRPr="00B53A38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normalized expression.</w:t>
      </w:r>
    </w:p>
    <w:p w14:paraId="1315DB1A" w14:textId="00E9E6DA" w:rsidR="00872E15" w:rsidRPr="00B53A38" w:rsidRDefault="00872E15" w:rsidP="00AB79D9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0EB9B9F" w14:textId="66FD300C" w:rsidR="008A1636" w:rsidRDefault="00917AE0" w:rsidP="008A1636">
      <w:pPr>
        <w:jc w:val="center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6FCEF8" wp14:editId="316D6B22">
            <wp:extent cx="5274310" cy="5843905"/>
            <wp:effectExtent l="0" t="0" r="2540" b="4445"/>
            <wp:docPr id="421846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D543" w14:textId="780914EF" w:rsidR="008A1636" w:rsidRDefault="008A1636" w:rsidP="008A1636">
      <w:pPr>
        <w:jc w:val="left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Fig. S7</w:t>
      </w:r>
      <w:r w:rsidRPr="00B53A38">
        <w:rPr>
          <w:rStyle w:val="fontstyle11"/>
          <w:rFonts w:ascii="Times New Roman" w:hAnsi="Times New Roman" w:cs="Times New Roman"/>
          <w:sz w:val="24"/>
          <w:szCs w:val="24"/>
        </w:rPr>
        <w:t>.</w:t>
      </w:r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The web interface of </w:t>
      </w:r>
      <w:proofErr w:type="spellStart"/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eRNA</w:t>
      </w:r>
      <w:proofErr w:type="spellEnd"/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-QTL atlas.</w:t>
      </w:r>
      <w:r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eRNA</w:t>
      </w:r>
      <w:proofErr w:type="spellEnd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-QTLs query interface and result visualization.</w:t>
      </w:r>
      <w:r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An example of the genome browser view shows the </w:t>
      </w:r>
      <w:proofErr w:type="spellStart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eRNA</w:t>
      </w:r>
      <w:proofErr w:type="spellEnd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-QTLs in adipose subcutaneous tissue for ENSR00000253886 at the upstream of adjacent gene </w:t>
      </w:r>
      <w:r w:rsidRPr="00C83935">
        <w:rPr>
          <w:rFonts w:ascii="Times New Roman" w:eastAsia="等线" w:hAnsi="Times New Roman" w:cs="Times New Roman"/>
          <w:i/>
          <w:iCs/>
          <w:color w:val="000000"/>
          <w:sz w:val="24"/>
          <w:szCs w:val="24"/>
        </w:rPr>
        <w:t>TBX15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r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The interface of the ‘GWAS </w:t>
      </w:r>
      <w:proofErr w:type="spellStart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eRNA</w:t>
      </w:r>
      <w:proofErr w:type="spellEnd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-QTLs Colocalization’ and an example of the </w:t>
      </w:r>
      <w:proofErr w:type="spellStart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LocusCompare</w:t>
      </w:r>
      <w:proofErr w:type="spellEnd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plot at the region of enhancer ENSR00000089936 with GWAS </w:t>
      </w:r>
      <w:r w:rsidRPr="00C83935">
        <w:rPr>
          <w:rFonts w:ascii="Times New Roman" w:eastAsia="等线" w:hAnsi="Times New Roman" w:cs="Times New Roman"/>
          <w:i/>
          <w:iCs/>
          <w:color w:val="000000"/>
          <w:sz w:val="24"/>
          <w:szCs w:val="24"/>
        </w:rPr>
        <w:t>p-value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eRNA</w:t>
      </w:r>
      <w:proofErr w:type="spellEnd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-QTL </w:t>
      </w:r>
      <w:r w:rsidRPr="00C83935">
        <w:rPr>
          <w:rFonts w:ascii="Times New Roman" w:eastAsia="等线" w:hAnsi="Times New Roman" w:cs="Times New Roman"/>
          <w:i/>
          <w:iCs/>
          <w:color w:val="000000"/>
          <w:sz w:val="24"/>
          <w:szCs w:val="24"/>
        </w:rPr>
        <w:t>p-value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in stomach tissue.</w:t>
      </w:r>
      <w:r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The interface of the ‘Traits/Diseases’ and an example of the </w:t>
      </w:r>
      <w:proofErr w:type="spellStart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eRNA</w:t>
      </w:r>
      <w:proofErr w:type="spellEnd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-QTLs with telomere length in adipose subcutaneous tissue.</w:t>
      </w:r>
      <w:r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Data download.</w:t>
      </w:r>
      <w:r w:rsidRPr="00AB33E5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C8393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3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A detailed help page is provided to serve as a guide for users in understanding the usage of </w:t>
      </w:r>
      <w:proofErr w:type="spellStart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eRNA</w:t>
      </w:r>
      <w:proofErr w:type="spellEnd"/>
      <w:r w:rsidRPr="00C83935">
        <w:rPr>
          <w:rFonts w:ascii="Times New Roman" w:eastAsia="等线" w:hAnsi="Times New Roman" w:cs="Times New Roman"/>
          <w:color w:val="000000"/>
          <w:sz w:val="24"/>
          <w:szCs w:val="24"/>
        </w:rPr>
        <w:t>-QTL Atlas and interpreting the output data.</w:t>
      </w:r>
    </w:p>
    <w:p w14:paraId="4036E7E3" w14:textId="77777777" w:rsidR="003C4BFD" w:rsidRPr="008A1636" w:rsidRDefault="003C4BFD" w:rsidP="00AB79D9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3C4BFD" w:rsidRPr="008A1636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BF8DF" w14:textId="77777777" w:rsidR="003F41B3" w:rsidRDefault="003F41B3" w:rsidP="0024641E">
      <w:r>
        <w:separator/>
      </w:r>
    </w:p>
  </w:endnote>
  <w:endnote w:type="continuationSeparator" w:id="0">
    <w:p w14:paraId="3FC69F4C" w14:textId="77777777" w:rsidR="003F41B3" w:rsidRDefault="003F41B3" w:rsidP="0024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Bold">
    <w:altName w:val="Cambria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412761"/>
      <w:docPartObj>
        <w:docPartGallery w:val="Page Numbers (Bottom of Page)"/>
        <w:docPartUnique/>
      </w:docPartObj>
    </w:sdtPr>
    <w:sdtContent>
      <w:p w14:paraId="229A2E90" w14:textId="60662672" w:rsidR="00575FBE" w:rsidRDefault="00575FB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9C6CF45" w14:textId="77777777" w:rsidR="00575FBE" w:rsidRDefault="00575F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62A56" w14:textId="77777777" w:rsidR="003F41B3" w:rsidRDefault="003F41B3" w:rsidP="0024641E">
      <w:r>
        <w:separator/>
      </w:r>
    </w:p>
  </w:footnote>
  <w:footnote w:type="continuationSeparator" w:id="0">
    <w:p w14:paraId="05B11CD6" w14:textId="77777777" w:rsidR="003F41B3" w:rsidRDefault="003F41B3" w:rsidP="00246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B4"/>
    <w:rsid w:val="00002EF8"/>
    <w:rsid w:val="000030E9"/>
    <w:rsid w:val="0001004E"/>
    <w:rsid w:val="00013C18"/>
    <w:rsid w:val="00017C67"/>
    <w:rsid w:val="00045D11"/>
    <w:rsid w:val="000560A0"/>
    <w:rsid w:val="000600DB"/>
    <w:rsid w:val="00066779"/>
    <w:rsid w:val="000801B7"/>
    <w:rsid w:val="00095ACE"/>
    <w:rsid w:val="000A69A6"/>
    <w:rsid w:val="000C1562"/>
    <w:rsid w:val="000C1DAF"/>
    <w:rsid w:val="000C3D02"/>
    <w:rsid w:val="000C5E70"/>
    <w:rsid w:val="000E44C1"/>
    <w:rsid w:val="000F7050"/>
    <w:rsid w:val="00101406"/>
    <w:rsid w:val="001022B6"/>
    <w:rsid w:val="00107252"/>
    <w:rsid w:val="00111919"/>
    <w:rsid w:val="00113742"/>
    <w:rsid w:val="001151E4"/>
    <w:rsid w:val="00145BB3"/>
    <w:rsid w:val="001622ED"/>
    <w:rsid w:val="00177A17"/>
    <w:rsid w:val="00180439"/>
    <w:rsid w:val="001861B5"/>
    <w:rsid w:val="00187C27"/>
    <w:rsid w:val="001B0713"/>
    <w:rsid w:val="001B736A"/>
    <w:rsid w:val="001C394D"/>
    <w:rsid w:val="001D15CF"/>
    <w:rsid w:val="001F1B7A"/>
    <w:rsid w:val="001F3A51"/>
    <w:rsid w:val="001F3B33"/>
    <w:rsid w:val="0023658F"/>
    <w:rsid w:val="00242655"/>
    <w:rsid w:val="0024641E"/>
    <w:rsid w:val="00250854"/>
    <w:rsid w:val="00254133"/>
    <w:rsid w:val="002637CC"/>
    <w:rsid w:val="00273914"/>
    <w:rsid w:val="00273A89"/>
    <w:rsid w:val="002840E6"/>
    <w:rsid w:val="002B2FD5"/>
    <w:rsid w:val="002B510A"/>
    <w:rsid w:val="002B516F"/>
    <w:rsid w:val="002C3DBA"/>
    <w:rsid w:val="002C4429"/>
    <w:rsid w:val="002C5664"/>
    <w:rsid w:val="002D1312"/>
    <w:rsid w:val="003045D8"/>
    <w:rsid w:val="00305E96"/>
    <w:rsid w:val="003114B6"/>
    <w:rsid w:val="00312F5E"/>
    <w:rsid w:val="00352DCD"/>
    <w:rsid w:val="00354C79"/>
    <w:rsid w:val="00361604"/>
    <w:rsid w:val="00362A73"/>
    <w:rsid w:val="00374CDD"/>
    <w:rsid w:val="00392D9B"/>
    <w:rsid w:val="0039407F"/>
    <w:rsid w:val="0039688E"/>
    <w:rsid w:val="003B0173"/>
    <w:rsid w:val="003C4BFD"/>
    <w:rsid w:val="003D4E71"/>
    <w:rsid w:val="003E4568"/>
    <w:rsid w:val="003E535E"/>
    <w:rsid w:val="003F41B3"/>
    <w:rsid w:val="003F5570"/>
    <w:rsid w:val="003F5F0F"/>
    <w:rsid w:val="004037F8"/>
    <w:rsid w:val="00413A70"/>
    <w:rsid w:val="00427E85"/>
    <w:rsid w:val="00453458"/>
    <w:rsid w:val="004559E9"/>
    <w:rsid w:val="004761D5"/>
    <w:rsid w:val="004819D1"/>
    <w:rsid w:val="00485C6D"/>
    <w:rsid w:val="00496AD6"/>
    <w:rsid w:val="004A2EB3"/>
    <w:rsid w:val="00507F42"/>
    <w:rsid w:val="0053214E"/>
    <w:rsid w:val="00532B2C"/>
    <w:rsid w:val="005466D8"/>
    <w:rsid w:val="0055217D"/>
    <w:rsid w:val="00553511"/>
    <w:rsid w:val="0056324F"/>
    <w:rsid w:val="005645E0"/>
    <w:rsid w:val="00574661"/>
    <w:rsid w:val="0057495B"/>
    <w:rsid w:val="00575FBE"/>
    <w:rsid w:val="005760D2"/>
    <w:rsid w:val="005A1C47"/>
    <w:rsid w:val="005B09A8"/>
    <w:rsid w:val="005B379D"/>
    <w:rsid w:val="005B38AF"/>
    <w:rsid w:val="005B78C6"/>
    <w:rsid w:val="005E05EB"/>
    <w:rsid w:val="00607326"/>
    <w:rsid w:val="006129A4"/>
    <w:rsid w:val="006175E3"/>
    <w:rsid w:val="00617835"/>
    <w:rsid w:val="00620EE3"/>
    <w:rsid w:val="00623FF1"/>
    <w:rsid w:val="00635549"/>
    <w:rsid w:val="00635782"/>
    <w:rsid w:val="00651917"/>
    <w:rsid w:val="0066178E"/>
    <w:rsid w:val="00666989"/>
    <w:rsid w:val="006806AA"/>
    <w:rsid w:val="006810BA"/>
    <w:rsid w:val="00690F65"/>
    <w:rsid w:val="006A213F"/>
    <w:rsid w:val="006A4D06"/>
    <w:rsid w:val="006A4F2A"/>
    <w:rsid w:val="006B0316"/>
    <w:rsid w:val="006B0510"/>
    <w:rsid w:val="006C1ECA"/>
    <w:rsid w:val="006D0ACF"/>
    <w:rsid w:val="006E1338"/>
    <w:rsid w:val="006E502C"/>
    <w:rsid w:val="00710269"/>
    <w:rsid w:val="00721508"/>
    <w:rsid w:val="00724713"/>
    <w:rsid w:val="00756547"/>
    <w:rsid w:val="007640B4"/>
    <w:rsid w:val="0076690F"/>
    <w:rsid w:val="00767E8F"/>
    <w:rsid w:val="007A5353"/>
    <w:rsid w:val="007A6874"/>
    <w:rsid w:val="007B142A"/>
    <w:rsid w:val="007C467C"/>
    <w:rsid w:val="007C7981"/>
    <w:rsid w:val="007C7B13"/>
    <w:rsid w:val="00811E49"/>
    <w:rsid w:val="00815E4D"/>
    <w:rsid w:val="00822F74"/>
    <w:rsid w:val="008236A6"/>
    <w:rsid w:val="00827A84"/>
    <w:rsid w:val="008338CC"/>
    <w:rsid w:val="00836309"/>
    <w:rsid w:val="00842B08"/>
    <w:rsid w:val="0086615D"/>
    <w:rsid w:val="008729D2"/>
    <w:rsid w:val="00872E15"/>
    <w:rsid w:val="00874A73"/>
    <w:rsid w:val="00886559"/>
    <w:rsid w:val="008921C6"/>
    <w:rsid w:val="008A1636"/>
    <w:rsid w:val="008A7F74"/>
    <w:rsid w:val="008B4209"/>
    <w:rsid w:val="008B78E6"/>
    <w:rsid w:val="008B7C95"/>
    <w:rsid w:val="008D737B"/>
    <w:rsid w:val="008F4BCE"/>
    <w:rsid w:val="009112A1"/>
    <w:rsid w:val="00917AE0"/>
    <w:rsid w:val="00932233"/>
    <w:rsid w:val="009324B4"/>
    <w:rsid w:val="00936008"/>
    <w:rsid w:val="009545BD"/>
    <w:rsid w:val="00985EE9"/>
    <w:rsid w:val="00995FFD"/>
    <w:rsid w:val="009B45DC"/>
    <w:rsid w:val="009B5793"/>
    <w:rsid w:val="009B6C00"/>
    <w:rsid w:val="009C2FA8"/>
    <w:rsid w:val="009C4DBE"/>
    <w:rsid w:val="009C5C68"/>
    <w:rsid w:val="009D7B7F"/>
    <w:rsid w:val="009F07EE"/>
    <w:rsid w:val="009F353A"/>
    <w:rsid w:val="00A018CE"/>
    <w:rsid w:val="00A13DDE"/>
    <w:rsid w:val="00A21442"/>
    <w:rsid w:val="00A22E75"/>
    <w:rsid w:val="00A33015"/>
    <w:rsid w:val="00A358AA"/>
    <w:rsid w:val="00A57722"/>
    <w:rsid w:val="00A72EAA"/>
    <w:rsid w:val="00A80813"/>
    <w:rsid w:val="00A962A9"/>
    <w:rsid w:val="00AA2940"/>
    <w:rsid w:val="00AA7478"/>
    <w:rsid w:val="00AB06DA"/>
    <w:rsid w:val="00AB33E5"/>
    <w:rsid w:val="00AB79D9"/>
    <w:rsid w:val="00AC3DD6"/>
    <w:rsid w:val="00B056F4"/>
    <w:rsid w:val="00B24BB3"/>
    <w:rsid w:val="00B3415F"/>
    <w:rsid w:val="00B34F2C"/>
    <w:rsid w:val="00B53A38"/>
    <w:rsid w:val="00B60F03"/>
    <w:rsid w:val="00B70A16"/>
    <w:rsid w:val="00B81356"/>
    <w:rsid w:val="00B81593"/>
    <w:rsid w:val="00B90238"/>
    <w:rsid w:val="00BC1756"/>
    <w:rsid w:val="00BC738E"/>
    <w:rsid w:val="00BD1132"/>
    <w:rsid w:val="00BF47DF"/>
    <w:rsid w:val="00C02825"/>
    <w:rsid w:val="00C216A1"/>
    <w:rsid w:val="00C24970"/>
    <w:rsid w:val="00C24DEE"/>
    <w:rsid w:val="00C27D99"/>
    <w:rsid w:val="00C44E2C"/>
    <w:rsid w:val="00C47B47"/>
    <w:rsid w:val="00C524BD"/>
    <w:rsid w:val="00C7363C"/>
    <w:rsid w:val="00C83935"/>
    <w:rsid w:val="00CA247C"/>
    <w:rsid w:val="00CA2EDA"/>
    <w:rsid w:val="00CA4AAD"/>
    <w:rsid w:val="00CB6DBA"/>
    <w:rsid w:val="00CC11A7"/>
    <w:rsid w:val="00CC55F5"/>
    <w:rsid w:val="00CD19A4"/>
    <w:rsid w:val="00CF14C4"/>
    <w:rsid w:val="00CF2649"/>
    <w:rsid w:val="00CF2D7A"/>
    <w:rsid w:val="00CF6A77"/>
    <w:rsid w:val="00CF7DF8"/>
    <w:rsid w:val="00D06B70"/>
    <w:rsid w:val="00D126B2"/>
    <w:rsid w:val="00D27924"/>
    <w:rsid w:val="00D466CA"/>
    <w:rsid w:val="00D503D6"/>
    <w:rsid w:val="00D55C24"/>
    <w:rsid w:val="00D55C4C"/>
    <w:rsid w:val="00D716A0"/>
    <w:rsid w:val="00D857D7"/>
    <w:rsid w:val="00DB09AF"/>
    <w:rsid w:val="00DB2F35"/>
    <w:rsid w:val="00DD2E9E"/>
    <w:rsid w:val="00DE3E5A"/>
    <w:rsid w:val="00DF0222"/>
    <w:rsid w:val="00DF2B70"/>
    <w:rsid w:val="00E0399B"/>
    <w:rsid w:val="00E0636C"/>
    <w:rsid w:val="00E2121D"/>
    <w:rsid w:val="00E22E5D"/>
    <w:rsid w:val="00E26BC3"/>
    <w:rsid w:val="00E3264F"/>
    <w:rsid w:val="00E32D73"/>
    <w:rsid w:val="00E376B8"/>
    <w:rsid w:val="00E50A60"/>
    <w:rsid w:val="00E55C60"/>
    <w:rsid w:val="00E57F01"/>
    <w:rsid w:val="00E60649"/>
    <w:rsid w:val="00E7286E"/>
    <w:rsid w:val="00E73A2F"/>
    <w:rsid w:val="00E7694B"/>
    <w:rsid w:val="00E80018"/>
    <w:rsid w:val="00E82B40"/>
    <w:rsid w:val="00E82C88"/>
    <w:rsid w:val="00E92CDB"/>
    <w:rsid w:val="00E972D7"/>
    <w:rsid w:val="00EA7002"/>
    <w:rsid w:val="00EB33A0"/>
    <w:rsid w:val="00EB4CED"/>
    <w:rsid w:val="00ED2F37"/>
    <w:rsid w:val="00ED465A"/>
    <w:rsid w:val="00ED77A3"/>
    <w:rsid w:val="00EF171E"/>
    <w:rsid w:val="00F0762F"/>
    <w:rsid w:val="00F1378E"/>
    <w:rsid w:val="00F163B1"/>
    <w:rsid w:val="00F17921"/>
    <w:rsid w:val="00F423C1"/>
    <w:rsid w:val="00F50D2D"/>
    <w:rsid w:val="00F510DB"/>
    <w:rsid w:val="00F74634"/>
    <w:rsid w:val="00F83B91"/>
    <w:rsid w:val="00FA4276"/>
    <w:rsid w:val="00FA7847"/>
    <w:rsid w:val="00FB238E"/>
    <w:rsid w:val="00FC0547"/>
    <w:rsid w:val="00FC1BDA"/>
    <w:rsid w:val="00FC1C12"/>
    <w:rsid w:val="00FC1D3F"/>
    <w:rsid w:val="00FD04B5"/>
    <w:rsid w:val="00FD3309"/>
    <w:rsid w:val="00FD43BE"/>
    <w:rsid w:val="00FD44A3"/>
    <w:rsid w:val="00FE0443"/>
    <w:rsid w:val="00FE2F4B"/>
    <w:rsid w:val="00FE433E"/>
    <w:rsid w:val="00FF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55583"/>
  <w15:chartTrackingRefBased/>
  <w15:docId w15:val="{5C85AA4C-5CE8-4738-BA85-AA932BFF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6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style11"/>
    <w:basedOn w:val="a0"/>
    <w:qFormat/>
    <w:rsid w:val="009324B4"/>
    <w:rPr>
      <w:rFonts w:ascii="MinionPro-Bold" w:hAnsi="MinionPro-Bold" w:hint="default"/>
      <w:b/>
      <w:bCs/>
      <w:color w:val="00000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246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64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6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641E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24641E"/>
    <w:rPr>
      <w:rFonts w:asciiTheme="majorHAnsi" w:eastAsia="黑体" w:hAnsiTheme="majorHAnsi" w:cstheme="majorBidi"/>
      <w:sz w:val="20"/>
      <w:szCs w:val="20"/>
    </w:rPr>
  </w:style>
  <w:style w:type="character" w:styleId="a8">
    <w:name w:val="Hyperlink"/>
    <w:basedOn w:val="a0"/>
    <w:uiPriority w:val="99"/>
    <w:unhideWhenUsed/>
    <w:rsid w:val="00EB4CE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B4C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ei.li@szbl.ac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CC251-6C10-854C-8946-EACBC4A78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3136</TotalTime>
  <Pages>8</Pages>
  <Words>917</Words>
  <Characters>5231</Characters>
  <Application>Microsoft Office Word</Application>
  <DocSecurity>0</DocSecurity>
  <Lines>43</Lines>
  <Paragraphs>12</Paragraphs>
  <ScaleCrop>false</ScaleCrop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Wenyan</dc:creator>
  <cp:keywords/>
  <dc:description/>
  <cp:lastModifiedBy>Wenyan Chen</cp:lastModifiedBy>
  <cp:revision>219</cp:revision>
  <dcterms:created xsi:type="dcterms:W3CDTF">2023-02-17T08:42:00Z</dcterms:created>
  <dcterms:modified xsi:type="dcterms:W3CDTF">2024-02-29T10:33:00Z</dcterms:modified>
</cp:coreProperties>
</file>