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FE" w:rsidRDefault="003760FE" w:rsidP="003760FE">
      <w:pPr>
        <w:spacing w:after="120" w:line="360" w:lineRule="auto"/>
        <w:contextualSpacing/>
        <w:jc w:val="both"/>
        <w:rPr>
          <w:b/>
          <w:sz w:val="24"/>
          <w:szCs w:val="24"/>
        </w:rPr>
      </w:pPr>
      <w:r w:rsidRPr="006A74FB">
        <w:rPr>
          <w:b/>
          <w:sz w:val="24"/>
          <w:szCs w:val="24"/>
        </w:rPr>
        <w:t>Supplementary</w:t>
      </w:r>
      <w:r>
        <w:rPr>
          <w:b/>
          <w:sz w:val="24"/>
          <w:szCs w:val="24"/>
        </w:rPr>
        <w:t xml:space="preserve"> File 3: Droplet digital PCR for variant phasing</w:t>
      </w:r>
    </w:p>
    <w:p w:rsidR="003760FE" w:rsidRDefault="003760FE" w:rsidP="003760FE">
      <w:pPr>
        <w:spacing w:after="120" w:line="360" w:lineRule="auto"/>
        <w:contextualSpacing/>
        <w:jc w:val="both"/>
        <w:rPr>
          <w:sz w:val="24"/>
          <w:szCs w:val="24"/>
        </w:rPr>
      </w:pPr>
      <w:r>
        <w:rPr>
          <w:sz w:val="24"/>
          <w:szCs w:val="24"/>
        </w:rPr>
        <w:t xml:space="preserve">Case 2 was recruited to the study as a singleton and therefore parental samples could not be used to phase the two nonsense variants in </w:t>
      </w:r>
      <w:r>
        <w:rPr>
          <w:i/>
          <w:sz w:val="24"/>
          <w:szCs w:val="24"/>
        </w:rPr>
        <w:t>DNAH5</w:t>
      </w:r>
      <w:r>
        <w:rPr>
          <w:sz w:val="24"/>
          <w:szCs w:val="24"/>
        </w:rPr>
        <w:t xml:space="preserve">, which lie 26kb apart. The variants were phased using the ddPCR-based assay drop-phase </w:t>
      </w:r>
      <w:r w:rsidR="003C3419">
        <w:rPr>
          <w:sz w:val="24"/>
          <w:szCs w:val="24"/>
        </w:rPr>
        <w:fldChar w:fldCharType="begin">
          <w:fldData xml:space="preserve">PEVuZE5vdGU+PENpdGU+PEF1dGhvcj5SZWdhbjwvQXV0aG9yPjxZZWFyPjIwMTU8L1llYXI+PFJl
Y051bT4zMDwvUmVjTnVtPjxEaXNwbGF5VGV4dD5bMV08L0Rpc3BsYXlUZXh0PjxyZWNvcmQ+PHJl
Yy1udW1iZXI+MzA8L3JlYy1udW1iZXI+PGZvcmVpZ24ta2V5cz48a2V5IGFwcD0iRU4iIGRiLWlk
PSJwMnJzejB2eGZ3MHR4bGV3MmQ5cDBzOXdkcDJzZXZlc2UyMjkiIHRpbWVzdGFtcD0iMTU3NTM4
MTAyOCI+MzA8L2tleT48L2ZvcmVpZ24ta2V5cz48cmVmLXR5cGUgbmFtZT0iSm91cm5hbCBBcnRp
Y2xlIj4xNzwvcmVmLXR5cGU+PGNvbnRyaWJ1dG9ycz48YXV0aG9ycz48YXV0aG9yPlJlZ2FuLCBK
LiBGLjwvYXV0aG9yPjxhdXRob3I+S2FtaXRha2ksIE4uPC9hdXRob3I+PGF1dGhvcj5MZWdsZXIs
IFQuPC9hdXRob3I+PGF1dGhvcj5Db29wZXIsIFMuPC9hdXRob3I+PGF1dGhvcj5LbGl0Z29yZCwg
Ti48L2F1dGhvcj48YXV0aG9yPkthcmxpbi1OZXVtYW5uLCBHLjwvYXV0aG9yPjxhdXRob3I+V29u
ZywgQy48L2F1dGhvcj48YXV0aG9yPkhvZGdlcywgUy48L2F1dGhvcj48YXV0aG9yPktvZWhsZXIs
IFIuPC9hdXRob3I+PGF1dGhvcj5Uem9uZXYsIFMuPC9hdXRob3I+PGF1dGhvcj5NY0NhcnJvbGws
IFMuIEEuPC9hdXRob3I+PC9hdXRob3JzPjwvY29udHJpYnV0b3JzPjxhdXRoLWFkZHJlc3M+RGln
aXRhbCBCaW9sb2d5IENlbnRlciwgQmlvLVJhZCBMYWJvcmF0b3JpZXMsIFBsZWFzYW50b24sIENh
bGlmb3JuaWEsIFVuaXRlZCBTdGF0ZXMgb2YgQW1lcmljYS4mI3hEO0RlcGFydG1lbnQgb2YgR2Vu
ZXRpY3MsIEhhcnZhcmQgTWVkaWNhbCBTY2hvb2wsIEJvc3RvbiwgTWFzc2FjaHVzZXR0cywgVW5p
dGVkIFN0YXRlcyBvZiBBbWVyaWNhOyBQcm9ncmFtIGluIE1lZGljYWwgYW5kIFBvcHVsYXRpb24g
R2VuZXRpY3MgYW5kIFN0YW5sZXkgQ2VudGVyIGZvciBQc3ljaGlhdHJpYyBSZXNlYXJjaCwgQ2Ft
YnJpZGdlLCBNYXNzYWNodXNldHRzLCBVbml0ZWQgU3RhdGVzIG9mIEFtZXJpY2EuJiN4RDtEZXBh
cnRtZW50IG9mIEdlbmV0aWNzLCBIYXJ2YXJkIE1lZGljYWwgU2Nob29sLCBCb3N0b24sIE1hc3Nh
Y2h1c2V0dHMsIFVuaXRlZCBTdGF0ZXMgb2YgQW1lcmljYS48L2F1dGgtYWRkcmVzcz48dGl0bGVz
Pjx0aXRsZT5BIHJhcGlkIG1vbGVjdWxhciBhcHByb2FjaCBmb3IgY2hyb21vc29tYWwgcGhhc2lu
ZzwvdGl0bGU+PHNlY29uZGFyeS10aXRsZT5QTG9TIE9uZTwvc2Vjb25kYXJ5LXRpdGxlPjwvdGl0
bGVzPjxwZXJpb2RpY2FsPjxmdWxsLXRpdGxlPlBMb1MgT25lPC9mdWxsLXRpdGxlPjwvcGVyaW9k
aWNhbD48cGFnZXM+ZTAxMTgyNzA8L3BhZ2VzPjx2b2x1bWU+MTA8L3ZvbHVtZT48bnVtYmVyPjM8
L251bWJlcj48ZWRpdGlvbj4yMDE1LzAzLzA1PC9lZGl0aW9uPjxrZXl3b3Jkcz48a2V5d29yZD4q
QWxnb3JpdGhtczwva2V5d29yZD48a2V5d29yZD5DZWxsIExpbmU8L2tleXdvcmQ+PGtleXdvcmQ+
Q2hyb21vc29tZXMvKmdlbmV0aWNzPC9rZXl3b3JkPjxrZXl3b3JkPkdlbm9taWNzLyptZXRob2Rz
PC9rZXl3b3JkPjxrZXl3b3JkPkh1bWFuczwva2V5d29yZD48a2V5d29yZD5Qb2x5bW9ycGhpc20s
IFNpbmdsZSBOdWNsZW90aWRlPC9rZXl3b3JkPjxrZXl3b3JkPlNlcXVlbmNlIEFuYWx5c2lzLCBE
TkE8L2tleXdvcmQ+PGtleXdvcmQ+VGltZSBGYWN0b3JzPC9rZXl3b3JkPjwva2V5d29yZHM+PGRh
dGVzPjx5ZWFyPjIwMTU8L3llYXI+PC9kYXRlcz48aXNibj4xOTMyLTYyMDMgKEVsZWN0cm9uaWMp
JiN4RDsxOTMyLTYyMDMgKExpbmtpbmcpPC9pc2JuPjxhY2Nlc3Npb24tbnVtPjI1NzM5MDk5PC9h
Y2Nlc3Npb24tbnVtPjx1cmxzPjxyZWxhdGVkLXVybHM+PHVybD5odHRwczovL3d3dy5uY2JpLm5s
bS5uaWguZ292L3B1Ym1lZC8yNTczOTA5OTwvdXJsPjwvcmVsYXRlZC11cmxzPjwvdXJscz48Y3Vz
dG9tMj5QTUM0MzQ5NjM2PC9jdXN0b20yPjxlbGVjdHJvbmljLXJlc291cmNlLW51bT4xMC4xMzcx
L2pvdXJuYWwucG9uZS4wMTE4MjcwPC9lbGVjdHJvbmljLXJlc291cmNlLW51bT48L3JlY29yZD48
L0NpdGU+PC9FbmROb3RlPn==
</w:fldData>
        </w:fldChar>
      </w:r>
      <w:r w:rsidR="00F10AB4">
        <w:rPr>
          <w:sz w:val="24"/>
          <w:szCs w:val="24"/>
        </w:rPr>
        <w:instrText xml:space="preserve"> ADDIN EN.CITE </w:instrText>
      </w:r>
      <w:r w:rsidR="003C3419">
        <w:rPr>
          <w:sz w:val="24"/>
          <w:szCs w:val="24"/>
        </w:rPr>
        <w:fldChar w:fldCharType="begin">
          <w:fldData xml:space="preserve">PEVuZE5vdGU+PENpdGU+PEF1dGhvcj5SZWdhbjwvQXV0aG9yPjxZZWFyPjIwMTU8L1llYXI+PFJl
Y051bT4zMDwvUmVjTnVtPjxEaXNwbGF5VGV4dD5bMV08L0Rpc3BsYXlUZXh0PjxyZWNvcmQ+PHJl
Yy1udW1iZXI+MzA8L3JlYy1udW1iZXI+PGZvcmVpZ24ta2V5cz48a2V5IGFwcD0iRU4iIGRiLWlk
PSJwMnJzejB2eGZ3MHR4bGV3MmQ5cDBzOXdkcDJzZXZlc2UyMjkiIHRpbWVzdGFtcD0iMTU3NTM4
MTAyOCI+MzA8L2tleT48L2ZvcmVpZ24ta2V5cz48cmVmLXR5cGUgbmFtZT0iSm91cm5hbCBBcnRp
Y2xlIj4xNzwvcmVmLXR5cGU+PGNvbnRyaWJ1dG9ycz48YXV0aG9ycz48YXV0aG9yPlJlZ2FuLCBK
LiBGLjwvYXV0aG9yPjxhdXRob3I+S2FtaXRha2ksIE4uPC9hdXRob3I+PGF1dGhvcj5MZWdsZXIs
IFQuPC9hdXRob3I+PGF1dGhvcj5Db29wZXIsIFMuPC9hdXRob3I+PGF1dGhvcj5LbGl0Z29yZCwg
Ti48L2F1dGhvcj48YXV0aG9yPkthcmxpbi1OZXVtYW5uLCBHLjwvYXV0aG9yPjxhdXRob3I+V29u
ZywgQy48L2F1dGhvcj48YXV0aG9yPkhvZGdlcywgUy48L2F1dGhvcj48YXV0aG9yPktvZWhsZXIs
IFIuPC9hdXRob3I+PGF1dGhvcj5Uem9uZXYsIFMuPC9hdXRob3I+PGF1dGhvcj5NY0NhcnJvbGws
IFMuIEEuPC9hdXRob3I+PC9hdXRob3JzPjwvY29udHJpYnV0b3JzPjxhdXRoLWFkZHJlc3M+RGln
aXRhbCBCaW9sb2d5IENlbnRlciwgQmlvLVJhZCBMYWJvcmF0b3JpZXMsIFBsZWFzYW50b24sIENh
bGlmb3JuaWEsIFVuaXRlZCBTdGF0ZXMgb2YgQW1lcmljYS4mI3hEO0RlcGFydG1lbnQgb2YgR2Vu
ZXRpY3MsIEhhcnZhcmQgTWVkaWNhbCBTY2hvb2wsIEJvc3RvbiwgTWFzc2FjaHVzZXR0cywgVW5p
dGVkIFN0YXRlcyBvZiBBbWVyaWNhOyBQcm9ncmFtIGluIE1lZGljYWwgYW5kIFBvcHVsYXRpb24g
R2VuZXRpY3MgYW5kIFN0YW5sZXkgQ2VudGVyIGZvciBQc3ljaGlhdHJpYyBSZXNlYXJjaCwgQ2Ft
YnJpZGdlLCBNYXNzYWNodXNldHRzLCBVbml0ZWQgU3RhdGVzIG9mIEFtZXJpY2EuJiN4RDtEZXBh
cnRtZW50IG9mIEdlbmV0aWNzLCBIYXJ2YXJkIE1lZGljYWwgU2Nob29sLCBCb3N0b24sIE1hc3Nh
Y2h1c2V0dHMsIFVuaXRlZCBTdGF0ZXMgb2YgQW1lcmljYS48L2F1dGgtYWRkcmVzcz48dGl0bGVz
Pjx0aXRsZT5BIHJhcGlkIG1vbGVjdWxhciBhcHByb2FjaCBmb3IgY2hyb21vc29tYWwgcGhhc2lu
ZzwvdGl0bGU+PHNlY29uZGFyeS10aXRsZT5QTG9TIE9uZTwvc2Vjb25kYXJ5LXRpdGxlPjwvdGl0
bGVzPjxwZXJpb2RpY2FsPjxmdWxsLXRpdGxlPlBMb1MgT25lPC9mdWxsLXRpdGxlPjwvcGVyaW9k
aWNhbD48cGFnZXM+ZTAxMTgyNzA8L3BhZ2VzPjx2b2x1bWU+MTA8L3ZvbHVtZT48bnVtYmVyPjM8
L251bWJlcj48ZWRpdGlvbj4yMDE1LzAzLzA1PC9lZGl0aW9uPjxrZXl3b3Jkcz48a2V5d29yZD4q
QWxnb3JpdGhtczwva2V5d29yZD48a2V5d29yZD5DZWxsIExpbmU8L2tleXdvcmQ+PGtleXdvcmQ+
Q2hyb21vc29tZXMvKmdlbmV0aWNzPC9rZXl3b3JkPjxrZXl3b3JkPkdlbm9taWNzLyptZXRob2Rz
PC9rZXl3b3JkPjxrZXl3b3JkPkh1bWFuczwva2V5d29yZD48a2V5d29yZD5Qb2x5bW9ycGhpc20s
IFNpbmdsZSBOdWNsZW90aWRlPC9rZXl3b3JkPjxrZXl3b3JkPlNlcXVlbmNlIEFuYWx5c2lzLCBE
TkE8L2tleXdvcmQ+PGtleXdvcmQ+VGltZSBGYWN0b3JzPC9rZXl3b3JkPjwva2V5d29yZHM+PGRh
dGVzPjx5ZWFyPjIwMTU8L3llYXI+PC9kYXRlcz48aXNibj4xOTMyLTYyMDMgKEVsZWN0cm9uaWMp
JiN4RDsxOTMyLTYyMDMgKExpbmtpbmcpPC9pc2JuPjxhY2Nlc3Npb24tbnVtPjI1NzM5MDk5PC9h
Y2Nlc3Npb24tbnVtPjx1cmxzPjxyZWxhdGVkLXVybHM+PHVybD5odHRwczovL3d3dy5uY2JpLm5s
bS5uaWguZ292L3B1Ym1lZC8yNTczOTA5OTwvdXJsPjwvcmVsYXRlZC11cmxzPjwvdXJscz48Y3Vz
dG9tMj5QTUM0MzQ5NjM2PC9jdXN0b20yPjxlbGVjdHJvbmljLXJlc291cmNlLW51bT4xMC4xMzcx
L2pvdXJuYWwucG9uZS4wMTE4MjcwPC9lbGVjdHJvbmljLXJlc291cmNlLW51bT48L3JlY29yZD48
L0NpdGU+PC9FbmROb3RlPn==
</w:fldData>
        </w:fldChar>
      </w:r>
      <w:r w:rsidR="00F10AB4">
        <w:rPr>
          <w:sz w:val="24"/>
          <w:szCs w:val="24"/>
        </w:rPr>
        <w:instrText xml:space="preserve"> ADDIN EN.CITE.DATA </w:instrText>
      </w:r>
      <w:r w:rsidR="003C3419">
        <w:rPr>
          <w:sz w:val="24"/>
          <w:szCs w:val="24"/>
        </w:rPr>
      </w:r>
      <w:r w:rsidR="003C3419">
        <w:rPr>
          <w:sz w:val="24"/>
          <w:szCs w:val="24"/>
        </w:rPr>
        <w:fldChar w:fldCharType="end"/>
      </w:r>
      <w:r w:rsidR="003C3419">
        <w:rPr>
          <w:sz w:val="24"/>
          <w:szCs w:val="24"/>
        </w:rPr>
      </w:r>
      <w:r w:rsidR="003C3419">
        <w:rPr>
          <w:sz w:val="24"/>
          <w:szCs w:val="24"/>
        </w:rPr>
        <w:fldChar w:fldCharType="separate"/>
      </w:r>
      <w:r w:rsidR="00F10AB4">
        <w:rPr>
          <w:noProof/>
          <w:sz w:val="24"/>
          <w:szCs w:val="24"/>
        </w:rPr>
        <w:t>[1]</w:t>
      </w:r>
      <w:r w:rsidR="003C3419">
        <w:rPr>
          <w:sz w:val="24"/>
          <w:szCs w:val="24"/>
        </w:rPr>
        <w:fldChar w:fldCharType="end"/>
      </w:r>
      <w:r>
        <w:rPr>
          <w:sz w:val="24"/>
          <w:szCs w:val="24"/>
        </w:rPr>
        <w:t xml:space="preserve">. This takes advantage of the emulsion PCR system of ddPCR, which ensures each droplet contains only a single target molecule, and the </w:t>
      </w:r>
      <w:r w:rsidRPr="00085081">
        <w:rPr>
          <w:sz w:val="24"/>
          <w:szCs w:val="24"/>
        </w:rPr>
        <w:t>use of two different fluorescently-labelled allele-specific probes, to the two variants of interest, to determine the alleles</w:t>
      </w:r>
      <w:r>
        <w:rPr>
          <w:sz w:val="24"/>
          <w:szCs w:val="24"/>
        </w:rPr>
        <w:t xml:space="preserve"> at each variant position</w:t>
      </w:r>
      <w:r w:rsidRPr="00085081">
        <w:rPr>
          <w:sz w:val="24"/>
          <w:szCs w:val="24"/>
        </w:rPr>
        <w:t xml:space="preserve"> that are located on the same target molecule (i.e. are in </w:t>
      </w:r>
      <w:r w:rsidRPr="000443DC">
        <w:rPr>
          <w:iCs/>
          <w:sz w:val="24"/>
          <w:szCs w:val="24"/>
        </w:rPr>
        <w:t>cis</w:t>
      </w:r>
      <w:r w:rsidRPr="00085081">
        <w:rPr>
          <w:sz w:val="24"/>
          <w:szCs w:val="24"/>
        </w:rPr>
        <w:t xml:space="preserve">). Alleles on the same haplotype should be on the same DNA molecule and occur in the same droplet, whereas alleles on different haplotypes should be on different DNA molecules and therefore occur in different droplets. </w:t>
      </w:r>
    </w:p>
    <w:p w:rsidR="003760FE" w:rsidRDefault="003760FE" w:rsidP="003760FE">
      <w:pPr>
        <w:spacing w:after="120" w:line="360" w:lineRule="auto"/>
        <w:contextualSpacing/>
        <w:jc w:val="both"/>
        <w:rPr>
          <w:sz w:val="24"/>
          <w:szCs w:val="24"/>
        </w:rPr>
      </w:pPr>
    </w:p>
    <w:p w:rsidR="003760FE" w:rsidRDefault="003760FE" w:rsidP="003760FE">
      <w:pPr>
        <w:spacing w:after="120" w:line="360" w:lineRule="auto"/>
        <w:contextualSpacing/>
        <w:jc w:val="both"/>
        <w:rPr>
          <w:sz w:val="24"/>
          <w:szCs w:val="24"/>
        </w:rPr>
      </w:pPr>
      <w:r w:rsidRPr="00085081">
        <w:rPr>
          <w:sz w:val="24"/>
          <w:szCs w:val="24"/>
        </w:rPr>
        <w:t xml:space="preserve">Primers pairs were designed to amplify the </w:t>
      </w:r>
      <w:r w:rsidRPr="00085081">
        <w:rPr>
          <w:i/>
          <w:sz w:val="24"/>
          <w:szCs w:val="24"/>
        </w:rPr>
        <w:t>DNAH5</w:t>
      </w:r>
      <w:r w:rsidRPr="00085081">
        <w:rPr>
          <w:sz w:val="24"/>
          <w:szCs w:val="24"/>
        </w:rPr>
        <w:t xml:space="preserve"> c.3949C&gt;T and c.5281C&gt;T variants</w:t>
      </w:r>
      <w:r w:rsidRPr="006A74FB">
        <w:rPr>
          <w:sz w:val="24"/>
          <w:szCs w:val="24"/>
        </w:rPr>
        <w:t xml:space="preserve">. FAM-labelled allele-specific probes were designed for c.3949C and c.3949T, whilst HEX-labelled probes were designed for c.5281C and c.5281T. Iowa Black quenched probes were </w:t>
      </w:r>
      <w:r>
        <w:rPr>
          <w:sz w:val="24"/>
          <w:szCs w:val="24"/>
        </w:rPr>
        <w:t>used</w:t>
      </w:r>
      <w:r w:rsidRPr="006A74FB">
        <w:rPr>
          <w:sz w:val="24"/>
          <w:szCs w:val="24"/>
        </w:rPr>
        <w:t xml:space="preserve"> to reduce binding of the fluorescently labelled probes with the non-target allele.</w:t>
      </w:r>
      <w:r>
        <w:rPr>
          <w:sz w:val="24"/>
          <w:szCs w:val="24"/>
        </w:rPr>
        <w:t xml:space="preserve"> Each reaction contained: 1x ddPCR </w:t>
      </w:r>
      <w:proofErr w:type="spellStart"/>
      <w:r>
        <w:rPr>
          <w:sz w:val="24"/>
          <w:szCs w:val="24"/>
        </w:rPr>
        <w:t>supermix</w:t>
      </w:r>
      <w:proofErr w:type="spellEnd"/>
      <w:r>
        <w:rPr>
          <w:sz w:val="24"/>
          <w:szCs w:val="24"/>
        </w:rPr>
        <w:t xml:space="preserve"> for probes (no </w:t>
      </w:r>
      <w:proofErr w:type="spellStart"/>
      <w:r>
        <w:rPr>
          <w:sz w:val="24"/>
          <w:szCs w:val="24"/>
        </w:rPr>
        <w:t>dUTP</w:t>
      </w:r>
      <w:proofErr w:type="spellEnd"/>
      <w:r>
        <w:rPr>
          <w:sz w:val="24"/>
          <w:szCs w:val="24"/>
        </w:rPr>
        <w:t>) (Bio-Rad); 1µM primers for the c.5281 locus; 0.9µM primers for the c.3949 locus; 330nM c.5281 probe; 250nM c.3949 probe; 1µM quencher probes; and 17ng DNA.</w:t>
      </w:r>
    </w:p>
    <w:p w:rsidR="003760FE" w:rsidRPr="00085081" w:rsidRDefault="003760FE" w:rsidP="003760FE">
      <w:pPr>
        <w:spacing w:after="120" w:line="360" w:lineRule="auto"/>
        <w:contextualSpacing/>
        <w:jc w:val="both"/>
        <w:rPr>
          <w:sz w:val="24"/>
          <w:szCs w:val="24"/>
        </w:rPr>
      </w:pPr>
    </w:p>
    <w:p w:rsidR="003760FE" w:rsidRDefault="003760FE" w:rsidP="003760FE">
      <w:pPr>
        <w:spacing w:after="120" w:line="360" w:lineRule="auto"/>
        <w:contextualSpacing/>
        <w:jc w:val="both"/>
        <w:rPr>
          <w:sz w:val="24"/>
          <w:szCs w:val="24"/>
        </w:rPr>
      </w:pPr>
      <w:r w:rsidRPr="00085081">
        <w:rPr>
          <w:sz w:val="24"/>
          <w:szCs w:val="24"/>
        </w:rPr>
        <w:t xml:space="preserve">Droplets were generated using the </w:t>
      </w:r>
      <w:r>
        <w:rPr>
          <w:sz w:val="24"/>
          <w:szCs w:val="24"/>
        </w:rPr>
        <w:t xml:space="preserve">QX200 automated droplet generator (Bio-Rad). The TX100 thermal cycler was used for PCR, before droplets were read on the QX200 droplet reader (Bio-Rad). </w:t>
      </w:r>
      <w:proofErr w:type="spellStart"/>
      <w:r w:rsidRPr="00085081">
        <w:rPr>
          <w:sz w:val="24"/>
          <w:szCs w:val="24"/>
        </w:rPr>
        <w:t>QuantaSoft</w:t>
      </w:r>
      <w:proofErr w:type="spellEnd"/>
      <w:r w:rsidRPr="00085081">
        <w:rPr>
          <w:sz w:val="24"/>
          <w:szCs w:val="24"/>
        </w:rPr>
        <w:t xml:space="preserve"> (v1.7.4) </w:t>
      </w:r>
      <w:r w:rsidR="003C3419">
        <w:rPr>
          <w:sz w:val="24"/>
          <w:szCs w:val="24"/>
        </w:rPr>
        <w:fldChar w:fldCharType="begin"/>
      </w:r>
      <w:r w:rsidR="00F10AB4">
        <w:rPr>
          <w:sz w:val="24"/>
          <w:szCs w:val="24"/>
        </w:rPr>
        <w:instrText xml:space="preserve"> ADDIN EN.CITE &lt;EndNote&gt;&lt;Cite&gt;&lt;Author&gt;Bio-Rad Laboratories&lt;/Author&gt;&lt;Year&gt;2014&lt;/Year&gt;&lt;RecNum&gt;31&lt;/RecNum&gt;&lt;DisplayText&gt;[2]&lt;/DisplayText&gt;&lt;record&gt;&lt;rec-number&gt;31&lt;/rec-number&gt;&lt;foreign-keys&gt;&lt;key app="EN" db-id="p2rsz0vxfw0txlew2d9p0s9wdp2sevese229" timestamp="1575387359"&gt;31&lt;/key&gt;&lt;/foreign-keys&gt;&lt;ref-type name="Computer Program"&gt;9&lt;/ref-type&gt;&lt;contributors&gt;&lt;authors&gt;&lt;author&gt;Bio-Rad Laboratories,&lt;/author&gt;&lt;/authors&gt;&lt;/contributors&gt;&lt;titles&gt;&lt;title&gt;QuantaSoft&lt;/title&gt;&lt;/titles&gt;&lt;edition&gt;1.7.4&lt;/edition&gt;&lt;dates&gt;&lt;year&gt;2014&lt;/year&gt;&lt;/dates&gt;&lt;urls&gt;&lt;/urls&gt;&lt;/record&gt;&lt;/Cite&gt;&lt;/EndNote&gt;</w:instrText>
      </w:r>
      <w:r w:rsidR="003C3419">
        <w:rPr>
          <w:sz w:val="24"/>
          <w:szCs w:val="24"/>
        </w:rPr>
        <w:fldChar w:fldCharType="separate"/>
      </w:r>
      <w:r w:rsidR="00F10AB4">
        <w:rPr>
          <w:noProof/>
          <w:sz w:val="24"/>
          <w:szCs w:val="24"/>
        </w:rPr>
        <w:t>[2]</w:t>
      </w:r>
      <w:r w:rsidR="003C3419">
        <w:rPr>
          <w:sz w:val="24"/>
          <w:szCs w:val="24"/>
        </w:rPr>
        <w:fldChar w:fldCharType="end"/>
      </w:r>
      <w:r>
        <w:rPr>
          <w:sz w:val="24"/>
          <w:szCs w:val="24"/>
        </w:rPr>
        <w:t xml:space="preserve"> </w:t>
      </w:r>
      <w:r w:rsidRPr="00085081">
        <w:rPr>
          <w:sz w:val="24"/>
          <w:szCs w:val="24"/>
        </w:rPr>
        <w:t>was used to analyse the data and calculate the % linkage (i.e. the percentage of molecules</w:t>
      </w:r>
      <w:r>
        <w:rPr>
          <w:sz w:val="24"/>
          <w:szCs w:val="24"/>
        </w:rPr>
        <w:t xml:space="preserve"> showing linkage for</w:t>
      </w:r>
      <w:r w:rsidRPr="00085081">
        <w:rPr>
          <w:sz w:val="24"/>
          <w:szCs w:val="24"/>
        </w:rPr>
        <w:t xml:space="preserve"> the two alleles being tested</w:t>
      </w:r>
      <w:r>
        <w:rPr>
          <w:sz w:val="24"/>
          <w:szCs w:val="24"/>
        </w:rPr>
        <w:t>).</w:t>
      </w:r>
    </w:p>
    <w:p w:rsidR="003760FE" w:rsidRDefault="003760FE" w:rsidP="003760FE">
      <w:pPr>
        <w:spacing w:after="120" w:line="360" w:lineRule="auto"/>
        <w:contextualSpacing/>
        <w:jc w:val="both"/>
        <w:rPr>
          <w:sz w:val="24"/>
          <w:szCs w:val="24"/>
        </w:rPr>
      </w:pPr>
    </w:p>
    <w:p w:rsidR="003760FE" w:rsidRDefault="003760FE" w:rsidP="003760FE">
      <w:pPr>
        <w:spacing w:after="120" w:line="360" w:lineRule="auto"/>
        <w:contextualSpacing/>
        <w:jc w:val="both"/>
        <w:rPr>
          <w:sz w:val="24"/>
          <w:szCs w:val="24"/>
        </w:rPr>
      </w:pPr>
      <w:r>
        <w:rPr>
          <w:sz w:val="24"/>
          <w:szCs w:val="24"/>
        </w:rPr>
        <w:t xml:space="preserve">Four assays were set up in triplicate, with each assay testing one of the four possible allele combinations. </w:t>
      </w:r>
      <w:r w:rsidRPr="00085081">
        <w:rPr>
          <w:sz w:val="24"/>
          <w:szCs w:val="24"/>
        </w:rPr>
        <w:t xml:space="preserve">As an additional control, </w:t>
      </w:r>
      <w:proofErr w:type="spellStart"/>
      <w:r w:rsidRPr="00085081">
        <w:rPr>
          <w:i/>
          <w:sz w:val="24"/>
          <w:szCs w:val="24"/>
        </w:rPr>
        <w:t>Pac</w:t>
      </w:r>
      <w:r w:rsidRPr="00085081">
        <w:rPr>
          <w:sz w:val="24"/>
          <w:szCs w:val="24"/>
        </w:rPr>
        <w:t>I</w:t>
      </w:r>
      <w:proofErr w:type="spellEnd"/>
      <w:r w:rsidRPr="00085081">
        <w:rPr>
          <w:sz w:val="24"/>
          <w:szCs w:val="24"/>
        </w:rPr>
        <w:t>-digested genomic DNA from the proband was tested with all four allele combinations</w:t>
      </w:r>
      <w:r>
        <w:rPr>
          <w:sz w:val="24"/>
          <w:szCs w:val="24"/>
        </w:rPr>
        <w:t xml:space="preserve"> in triplicate.</w:t>
      </w:r>
      <w:r w:rsidRPr="00085081">
        <w:rPr>
          <w:sz w:val="24"/>
          <w:szCs w:val="24"/>
        </w:rPr>
        <w:t xml:space="preserve"> </w:t>
      </w:r>
      <w:proofErr w:type="spellStart"/>
      <w:r>
        <w:rPr>
          <w:i/>
          <w:iCs/>
          <w:sz w:val="24"/>
          <w:szCs w:val="24"/>
        </w:rPr>
        <w:t>Pac</w:t>
      </w:r>
      <w:r>
        <w:rPr>
          <w:sz w:val="24"/>
          <w:szCs w:val="24"/>
        </w:rPr>
        <w:t>I</w:t>
      </w:r>
      <w:proofErr w:type="spellEnd"/>
      <w:r w:rsidRPr="00085081">
        <w:rPr>
          <w:sz w:val="24"/>
          <w:szCs w:val="24"/>
        </w:rPr>
        <w:t xml:space="preserve"> cuts the DNA between the c.3949 and c.5281 variants, physically separating the alleles onto separate target molecules and therefore into separate droplets. </w:t>
      </w:r>
    </w:p>
    <w:p w:rsidR="003760FE" w:rsidRDefault="003760FE" w:rsidP="003760FE">
      <w:pPr>
        <w:spacing w:after="120" w:line="360" w:lineRule="auto"/>
        <w:contextualSpacing/>
        <w:jc w:val="both"/>
        <w:rPr>
          <w:sz w:val="24"/>
          <w:szCs w:val="24"/>
        </w:rPr>
      </w:pPr>
    </w:p>
    <w:p w:rsidR="003760FE" w:rsidRDefault="003760FE" w:rsidP="003760FE">
      <w:pPr>
        <w:spacing w:after="120" w:line="360" w:lineRule="auto"/>
        <w:contextualSpacing/>
        <w:jc w:val="both"/>
        <w:rPr>
          <w:sz w:val="24"/>
          <w:szCs w:val="24"/>
        </w:rPr>
      </w:pPr>
      <w:r>
        <w:rPr>
          <w:sz w:val="24"/>
          <w:szCs w:val="24"/>
        </w:rPr>
        <w:t xml:space="preserve">As shown in </w:t>
      </w:r>
      <w:r w:rsidRPr="00C91493">
        <w:rPr>
          <w:b/>
          <w:sz w:val="24"/>
          <w:szCs w:val="24"/>
        </w:rPr>
        <w:t xml:space="preserve">Supplementary Figure </w:t>
      </w:r>
      <w:r w:rsidR="00B54932">
        <w:rPr>
          <w:b/>
          <w:sz w:val="24"/>
          <w:szCs w:val="24"/>
        </w:rPr>
        <w:t>4</w:t>
      </w:r>
      <w:r>
        <w:rPr>
          <w:sz w:val="24"/>
          <w:szCs w:val="24"/>
        </w:rPr>
        <w:t xml:space="preserve">, the two nonsense </w:t>
      </w:r>
      <w:proofErr w:type="gramStart"/>
      <w:r>
        <w:rPr>
          <w:sz w:val="24"/>
          <w:szCs w:val="24"/>
        </w:rPr>
        <w:t>variant are</w:t>
      </w:r>
      <w:proofErr w:type="gramEnd"/>
      <w:r>
        <w:rPr>
          <w:sz w:val="24"/>
          <w:szCs w:val="24"/>
        </w:rPr>
        <w:t xml:space="preserve"> on different haplotypes. For the c.3949C/c.5281C and c.3949T/c.5281T variant combinations, the number of double-</w:t>
      </w:r>
      <w:r>
        <w:rPr>
          <w:sz w:val="24"/>
          <w:szCs w:val="24"/>
        </w:rPr>
        <w:lastRenderedPageBreak/>
        <w:t xml:space="preserve">positive droplets is low, highlighted by the lack of linkage (&lt;1%). However, for the c.3949C/c.5281T and c.3949T/c.5281C combinations, the number of double-positive droplets is higher and the linkage is approximately 17%. This linkage is lost when </w:t>
      </w:r>
      <w:proofErr w:type="spellStart"/>
      <w:r>
        <w:rPr>
          <w:i/>
          <w:iCs/>
          <w:sz w:val="24"/>
          <w:szCs w:val="24"/>
        </w:rPr>
        <w:t>Pac</w:t>
      </w:r>
      <w:r>
        <w:rPr>
          <w:sz w:val="24"/>
          <w:szCs w:val="24"/>
        </w:rPr>
        <w:t>I</w:t>
      </w:r>
      <w:proofErr w:type="spellEnd"/>
      <w:r>
        <w:rPr>
          <w:sz w:val="24"/>
          <w:szCs w:val="24"/>
        </w:rPr>
        <w:t xml:space="preserve">-digested DNA is used as the input. This indicates that the two nonsense variants, c.3949T and c.5281T, are in trans and therefore there is biallelic loss of </w:t>
      </w:r>
      <w:r>
        <w:rPr>
          <w:i/>
          <w:iCs/>
          <w:sz w:val="24"/>
          <w:szCs w:val="24"/>
        </w:rPr>
        <w:t>DNAH5</w:t>
      </w:r>
      <w:r>
        <w:rPr>
          <w:sz w:val="24"/>
          <w:szCs w:val="24"/>
        </w:rPr>
        <w:t xml:space="preserve"> for Case 2. </w:t>
      </w:r>
    </w:p>
    <w:p w:rsidR="00F10AB4" w:rsidRDefault="00F10AB4"/>
    <w:p w:rsidR="00F10AB4" w:rsidRPr="00F10AB4" w:rsidRDefault="00F10AB4">
      <w:pPr>
        <w:rPr>
          <w:b/>
          <w:bCs/>
        </w:rPr>
      </w:pPr>
      <w:r w:rsidRPr="00F10AB4">
        <w:rPr>
          <w:b/>
          <w:bCs/>
        </w:rPr>
        <w:t>References</w:t>
      </w:r>
    </w:p>
    <w:p w:rsidR="00F10AB4" w:rsidRPr="00F10AB4" w:rsidRDefault="003C3419" w:rsidP="00F10AB4">
      <w:pPr>
        <w:pStyle w:val="EndNoteBibliography"/>
        <w:spacing w:after="0"/>
        <w:ind w:left="720" w:hanging="720"/>
      </w:pPr>
      <w:r w:rsidRPr="003C3419">
        <w:fldChar w:fldCharType="begin"/>
      </w:r>
      <w:r w:rsidR="00F10AB4">
        <w:instrText xml:space="preserve"> ADDIN EN.REFLIST </w:instrText>
      </w:r>
      <w:r w:rsidRPr="003C3419">
        <w:fldChar w:fldCharType="separate"/>
      </w:r>
      <w:r w:rsidR="00F10AB4" w:rsidRPr="00F10AB4">
        <w:t>1.</w:t>
      </w:r>
      <w:r w:rsidR="00F10AB4" w:rsidRPr="00F10AB4">
        <w:tab/>
        <w:t xml:space="preserve">Regan, J.F., et al., </w:t>
      </w:r>
      <w:r w:rsidR="00F10AB4" w:rsidRPr="00F10AB4">
        <w:rPr>
          <w:i/>
        </w:rPr>
        <w:t>A rapid molecular approach for chromosomal phasing.</w:t>
      </w:r>
      <w:r w:rsidR="00F10AB4" w:rsidRPr="00F10AB4">
        <w:t xml:space="preserve"> PLoS One, 2015. </w:t>
      </w:r>
      <w:r w:rsidR="00F10AB4" w:rsidRPr="00F10AB4">
        <w:rPr>
          <w:b/>
        </w:rPr>
        <w:t>10</w:t>
      </w:r>
      <w:r w:rsidR="00F10AB4" w:rsidRPr="00F10AB4">
        <w:t>(3): p. e0118270.</w:t>
      </w:r>
    </w:p>
    <w:p w:rsidR="00F10AB4" w:rsidRPr="00F10AB4" w:rsidRDefault="00F10AB4" w:rsidP="00F10AB4">
      <w:pPr>
        <w:pStyle w:val="EndNoteBibliography"/>
        <w:ind w:left="720" w:hanging="720"/>
      </w:pPr>
      <w:r w:rsidRPr="00F10AB4">
        <w:t>2.</w:t>
      </w:r>
      <w:r w:rsidRPr="00F10AB4">
        <w:tab/>
        <w:t xml:space="preserve">Bio-Rad Laboratories, </w:t>
      </w:r>
      <w:r w:rsidRPr="00F10AB4">
        <w:rPr>
          <w:i/>
        </w:rPr>
        <w:t>QuantaSoft</w:t>
      </w:r>
      <w:r w:rsidRPr="00F10AB4">
        <w:t>. 2014.</w:t>
      </w:r>
    </w:p>
    <w:p w:rsidR="00501524" w:rsidRDefault="003C3419">
      <w:r>
        <w:fldChar w:fldCharType="end"/>
      </w:r>
    </w:p>
    <w:sectPr w:rsidR="00501524" w:rsidSect="003C34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rsz0vxfw0txlew2d9p0s9wdp2sevese229&quot;&gt;My EndNote Library&lt;record-ids&gt;&lt;item&gt;30&lt;/item&gt;&lt;item&gt;31&lt;/item&gt;&lt;/record-ids&gt;&lt;/item&gt;&lt;/Libraries&gt;"/>
  </w:docVars>
  <w:rsids>
    <w:rsidRoot w:val="003760FE"/>
    <w:rsid w:val="003760FE"/>
    <w:rsid w:val="003C3419"/>
    <w:rsid w:val="00501524"/>
    <w:rsid w:val="00B54932"/>
    <w:rsid w:val="00F10A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10AB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10AB4"/>
    <w:rPr>
      <w:rFonts w:ascii="Calibri" w:hAnsi="Calibri" w:cs="Calibri"/>
      <w:noProof/>
      <w:lang w:val="en-US"/>
    </w:rPr>
  </w:style>
  <w:style w:type="paragraph" w:customStyle="1" w:styleId="EndNoteBibliography">
    <w:name w:val="EndNote Bibliography"/>
    <w:basedOn w:val="Normal"/>
    <w:link w:val="EndNoteBibliographyChar"/>
    <w:rsid w:val="00F10AB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10AB4"/>
    <w:rPr>
      <w:rFonts w:ascii="Calibri" w:hAnsi="Calibri" w:cs="Calibri"/>
      <w:noProof/>
      <w:lang w:val="en-US"/>
    </w:rPr>
  </w:style>
  <w:style w:type="paragraph" w:styleId="BalloonText">
    <w:name w:val="Balloon Text"/>
    <w:basedOn w:val="Normal"/>
    <w:link w:val="BalloonTextChar"/>
    <w:uiPriority w:val="99"/>
    <w:semiHidden/>
    <w:unhideWhenUsed/>
    <w:rsid w:val="00F1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Company>NHS Lothian</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Holly</dc:creator>
  <cp:lastModifiedBy>Holly Black</cp:lastModifiedBy>
  <cp:revision>2</cp:revision>
  <dcterms:created xsi:type="dcterms:W3CDTF">2020-07-09T08:55:00Z</dcterms:created>
  <dcterms:modified xsi:type="dcterms:W3CDTF">2020-07-09T08:55:00Z</dcterms:modified>
</cp:coreProperties>
</file>