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3682E" w14:textId="77777777" w:rsidR="00A6665E" w:rsidRPr="003B29CF" w:rsidRDefault="00A6665E" w:rsidP="00A6665E">
      <w:pPr>
        <w:jc w:val="center"/>
        <w:rPr>
          <w:rFonts w:cs="Arial"/>
          <w:b/>
          <w:bCs/>
        </w:rPr>
      </w:pPr>
    </w:p>
    <w:p w14:paraId="7CC7E20E" w14:textId="3EF58A0F" w:rsidR="00A6665E" w:rsidRPr="003B29CF" w:rsidRDefault="00AD1AC7" w:rsidP="00A6665E">
      <w:pPr>
        <w:spacing w:after="0" w:line="276" w:lineRule="auto"/>
        <w:jc w:val="center"/>
        <w:rPr>
          <w:rFonts w:cs="Arial"/>
          <w:b/>
          <w:bCs/>
        </w:rPr>
      </w:pPr>
      <w:r w:rsidRPr="003B29CF">
        <w:rPr>
          <w:rFonts w:cs="Arial"/>
          <w:b/>
          <w:bCs/>
        </w:rPr>
        <w:t xml:space="preserve">Positive Airway Pressure Therapy Predicts Lower Mortality and Major Adverse Cardiovascular Events Incidence in Medicare Beneficiaries with Obstructive Sleep </w:t>
      </w:r>
      <w:r w:rsidR="00467EEF" w:rsidRPr="003B29CF">
        <w:rPr>
          <w:rFonts w:cs="Arial"/>
          <w:b/>
          <w:bCs/>
        </w:rPr>
        <w:t>Apnea</w:t>
      </w:r>
    </w:p>
    <w:p w14:paraId="22ECBDE1" w14:textId="77777777" w:rsidR="00AD1AC7" w:rsidRPr="003B29CF" w:rsidRDefault="00AD1AC7" w:rsidP="00A6665E">
      <w:pPr>
        <w:spacing w:after="0" w:line="276" w:lineRule="auto"/>
        <w:jc w:val="center"/>
        <w:rPr>
          <w:rFonts w:cs="Arial"/>
          <w:b/>
          <w:bCs/>
        </w:rPr>
      </w:pPr>
    </w:p>
    <w:p w14:paraId="10B88670" w14:textId="4B5DA682" w:rsidR="00E04841" w:rsidRPr="003B29CF" w:rsidRDefault="00E04841" w:rsidP="00E04841">
      <w:pPr>
        <w:spacing w:after="0" w:line="276" w:lineRule="auto"/>
        <w:jc w:val="both"/>
        <w:rPr>
          <w:rFonts w:cs="Arial"/>
        </w:rPr>
      </w:pPr>
      <w:r w:rsidRPr="003B29CF">
        <w:rPr>
          <w:rFonts w:cs="Arial"/>
        </w:rPr>
        <w:t>Diego R Mazzotti, Ph.D., Lemuel R. Waitman, Ph.D., Jennifer Miller,</w:t>
      </w:r>
      <w:r w:rsidR="00BA1B26" w:rsidRPr="003B29CF">
        <w:rPr>
          <w:rFonts w:cs="Arial"/>
        </w:rPr>
        <w:t xml:space="preserve"> Ph.D., APRN-NP, ACNPC-AG,</w:t>
      </w:r>
      <w:r w:rsidRPr="003B29CF">
        <w:rPr>
          <w:rFonts w:cs="Arial"/>
        </w:rPr>
        <w:t xml:space="preserve"> Krishna </w:t>
      </w:r>
      <w:r w:rsidR="00BA1B26" w:rsidRPr="003B29CF">
        <w:rPr>
          <w:rFonts w:cs="Arial"/>
        </w:rPr>
        <w:t xml:space="preserve">M. </w:t>
      </w:r>
      <w:r w:rsidRPr="003B29CF">
        <w:rPr>
          <w:rFonts w:cs="Arial"/>
        </w:rPr>
        <w:t>Sundar,</w:t>
      </w:r>
      <w:r w:rsidR="00BA1B26" w:rsidRPr="003B29CF">
        <w:rPr>
          <w:rFonts w:cs="Arial"/>
        </w:rPr>
        <w:t xml:space="preserve"> M.D., </w:t>
      </w:r>
      <w:r w:rsidRPr="003B29CF">
        <w:rPr>
          <w:rFonts w:cs="Arial"/>
        </w:rPr>
        <w:t xml:space="preserve">Nancy </w:t>
      </w:r>
      <w:r w:rsidR="00BA1B26" w:rsidRPr="003B29CF">
        <w:rPr>
          <w:rFonts w:cs="Arial"/>
        </w:rPr>
        <w:t xml:space="preserve">H. </w:t>
      </w:r>
      <w:r w:rsidRPr="003B29CF">
        <w:rPr>
          <w:rFonts w:cs="Arial"/>
        </w:rPr>
        <w:t>Stewart,</w:t>
      </w:r>
      <w:r w:rsidR="00BA1B26" w:rsidRPr="003B29CF">
        <w:rPr>
          <w:rFonts w:cs="Arial"/>
        </w:rPr>
        <w:t xml:space="preserve"> D.O., M.S.,</w:t>
      </w:r>
      <w:r w:rsidRPr="003B29CF">
        <w:rPr>
          <w:rFonts w:cs="Arial"/>
        </w:rPr>
        <w:t xml:space="preserve"> David Gozal, </w:t>
      </w:r>
      <w:r w:rsidR="00171F29" w:rsidRPr="003B29CF">
        <w:rPr>
          <w:rFonts w:cs="Arial"/>
        </w:rPr>
        <w:t xml:space="preserve">M.D., M.B.A., Ph.D., </w:t>
      </w:r>
      <w:r w:rsidRPr="003B29CF">
        <w:rPr>
          <w:rFonts w:cs="Arial"/>
        </w:rPr>
        <w:t>Xing Song,</w:t>
      </w:r>
      <w:r w:rsidR="00171F29" w:rsidRPr="003B29CF">
        <w:rPr>
          <w:rFonts w:cs="Arial"/>
        </w:rPr>
        <w:t xml:space="preserve"> Ph.D.,</w:t>
      </w:r>
      <w:r w:rsidRPr="003B29CF">
        <w:rPr>
          <w:rFonts w:cs="Arial"/>
        </w:rPr>
        <w:t xml:space="preserve"> Greater Plains Collaborative</w:t>
      </w:r>
    </w:p>
    <w:p w14:paraId="3147B49C" w14:textId="77777777" w:rsidR="00A6665E" w:rsidRPr="003B29CF" w:rsidRDefault="00A6665E" w:rsidP="00A6665E">
      <w:pPr>
        <w:jc w:val="center"/>
        <w:rPr>
          <w:rFonts w:cs="Arial"/>
          <w:b/>
          <w:bCs/>
        </w:rPr>
      </w:pPr>
    </w:p>
    <w:p w14:paraId="29109A18" w14:textId="75008DAA" w:rsidR="00A6665E" w:rsidRPr="003B29CF" w:rsidRDefault="00A6665E" w:rsidP="00A6665E">
      <w:pPr>
        <w:jc w:val="center"/>
        <w:rPr>
          <w:rFonts w:cs="Arial"/>
          <w:b/>
          <w:bCs/>
        </w:rPr>
      </w:pPr>
      <w:r w:rsidRPr="003B29CF">
        <w:rPr>
          <w:rFonts w:cs="Arial"/>
          <w:b/>
          <w:bCs/>
        </w:rPr>
        <w:t>Supplemental Materials</w:t>
      </w:r>
      <w:r w:rsidRPr="003B29CF">
        <w:rPr>
          <w:rFonts w:cs="Arial"/>
          <w:b/>
          <w:bCs/>
        </w:rPr>
        <w:br w:type="page"/>
      </w:r>
    </w:p>
    <w:p w14:paraId="6AD9E6F6" w14:textId="77777777" w:rsidR="0006173D" w:rsidRPr="003B29CF" w:rsidRDefault="0006173D" w:rsidP="0006173D">
      <w:pPr>
        <w:spacing w:after="0" w:line="480" w:lineRule="auto"/>
        <w:rPr>
          <w:rFonts w:cs="Arial"/>
          <w:b/>
          <w:bCs/>
        </w:rPr>
      </w:pPr>
      <w:r w:rsidRPr="003B29CF">
        <w:rPr>
          <w:rFonts w:cs="Arial"/>
          <w:b/>
          <w:bCs/>
        </w:rPr>
        <w:lastRenderedPageBreak/>
        <w:t>Supplemental methods</w:t>
      </w:r>
    </w:p>
    <w:p w14:paraId="447E4E1F" w14:textId="77777777" w:rsidR="0006173D" w:rsidRPr="003B29CF" w:rsidRDefault="0006173D" w:rsidP="0006173D">
      <w:pPr>
        <w:spacing w:after="0" w:line="480" w:lineRule="auto"/>
        <w:jc w:val="both"/>
        <w:rPr>
          <w:rFonts w:cs="Arial"/>
          <w:i/>
          <w:iCs/>
        </w:rPr>
      </w:pPr>
      <w:r w:rsidRPr="003B29CF">
        <w:rPr>
          <w:rFonts w:cs="Arial"/>
          <w:i/>
          <w:iCs/>
        </w:rPr>
        <w:t>Study cohort</w:t>
      </w:r>
    </w:p>
    <w:p w14:paraId="3C87E4B0" w14:textId="6E39EFBD" w:rsidR="0006173D" w:rsidRPr="003B29CF" w:rsidRDefault="0006173D" w:rsidP="0006173D">
      <w:pPr>
        <w:spacing w:after="0" w:line="480" w:lineRule="auto"/>
        <w:ind w:firstLine="720"/>
        <w:jc w:val="both"/>
        <w:rPr>
          <w:rFonts w:cs="Arial"/>
        </w:rPr>
      </w:pPr>
      <w:r w:rsidRPr="003B29CF">
        <w:rPr>
          <w:rFonts w:cs="Arial"/>
        </w:rPr>
        <w:t xml:space="preserve">Medicare beneficiaries (&gt;65 years) </w:t>
      </w:r>
      <w:r w:rsidR="001708E9">
        <w:rPr>
          <w:rFonts w:cs="Arial"/>
        </w:rPr>
        <w:t xml:space="preserve">enrolled </w:t>
      </w:r>
      <w:r w:rsidRPr="003B29CF">
        <w:rPr>
          <w:rFonts w:cs="Arial"/>
        </w:rPr>
        <w:t xml:space="preserve">to part A and B, and ≥2 distinct </w:t>
      </w:r>
      <w:r w:rsidR="00467EEF">
        <w:rPr>
          <w:rFonts w:cs="Arial"/>
        </w:rPr>
        <w:t>obstructive sleep apnea (</w:t>
      </w:r>
      <w:r w:rsidRPr="003B29CF">
        <w:rPr>
          <w:rFonts w:cs="Arial"/>
        </w:rPr>
        <w:t>OSA</w:t>
      </w:r>
      <w:r w:rsidR="00467EEF">
        <w:rPr>
          <w:rFonts w:cs="Arial"/>
        </w:rPr>
        <w:t>)</w:t>
      </w:r>
      <w:r w:rsidRPr="003B29CF">
        <w:rPr>
          <w:rFonts w:cs="Arial"/>
        </w:rPr>
        <w:t xml:space="preserve"> claims were collected from multi-state, </w:t>
      </w:r>
      <w:r w:rsidR="00C50A66" w:rsidRPr="003B29CF">
        <w:rPr>
          <w:rFonts w:cs="Arial"/>
        </w:rPr>
        <w:t>state-wide</w:t>
      </w:r>
      <w:r w:rsidRPr="003B29CF">
        <w:rPr>
          <w:rFonts w:cs="Arial"/>
        </w:rPr>
        <w:t>, multi-year (2011-20</w:t>
      </w:r>
      <w:r w:rsidR="003B29CF" w:rsidRPr="003B29CF">
        <w:rPr>
          <w:rFonts w:cs="Arial"/>
        </w:rPr>
        <w:t>20</w:t>
      </w:r>
      <w:r w:rsidRPr="003B29CF">
        <w:rPr>
          <w:rFonts w:cs="Arial"/>
        </w:rPr>
        <w:t xml:space="preserve">) Medicare fee-for-service claims data. State-level Medicare claims data were originally obtained </w:t>
      </w:r>
      <w:bookmarkStart w:id="0" w:name="_Hlk141089518"/>
      <w:r w:rsidRPr="003B29CF">
        <w:rPr>
          <w:rFonts w:cs="Arial"/>
        </w:rPr>
        <w:t>as part of the Greater Plains Collaborative Reusable Observable Unified Study Environment (GROUSE)</w:t>
      </w:r>
      <w:bookmarkEnd w:id="0"/>
      <w:r w:rsidRPr="003B29CF">
        <w:rPr>
          <w:rFonts w:cs="Arial"/>
        </w:rPr>
        <w:fldChar w:fldCharType="begin">
          <w:fldData xml:space="preserve">PEVuZE5vdGU+PENpdGU+PEF1dGhvcj5XYWl0bWFuPC9BdXRob3I+PFllYXI+MjAyMTwvWWVhcj48
UmVjTnVtPjMwMzQ8L1JlY051bT48RGlzcGxheVRleHQ+PHN0eWxlIGZhY2U9InN1cGVyc2NyaXB0
Ij4xPC9zdHlsZT48L0Rpc3BsYXlUZXh0PjxyZWNvcmQ+PHJlYy1udW1iZXI+MzAzNDwvcmVjLW51
bWJlcj48Zm9yZWlnbi1rZXlzPjxrZXkgYXBwPSJFTiIgZGItaWQ9Inh3czB6ZXp2enB0ejBvZXRh
ZXJwZHN0czBkd3cwdjlkZnY1cyIgdGltZXN0YW1wPSIxNjQ2ODU2NTEyIj4zMDM0PC9rZXk+PC9m
b3JlaWduLWtleXM+PHJlZi10eXBlIG5hbWU9IkpvdXJuYWwgQXJ0aWNsZSI+MTc8L3JlZi10eXBl
Pjxjb250cmlidXRvcnM+PGF1dGhvcnM+PGF1dGhvcj5XYWl0bWFuLCBMLiBSLjwvYXV0aG9yPjxh
dXRob3I+U29uZywgWC48L2F1dGhvcj48YXV0aG9yPldhbHBpdGFnZSwgRC4gTC48L2F1dGhvcj48
YXV0aG9yPkNvbm5vbGx5LCBELiBDLjwvYXV0aG9yPjxhdXRob3I+UGF0ZWwsIEwuIFAuPC9hdXRo
b3I+PGF1dGhvcj5MaXUsIE0uPC9hdXRob3I+PGF1dGhvcj5TY2hyb2VkZXIsIE0uIEMuPC9hdXRo
b3I+PGF1dGhvcj5WYW5Xb3JtZXIsIEouIEouPC9hdXRob3I+PGF1dGhvcj5Nb3NhLCBBLiBTLjwv
YXV0aG9yPjxhdXRob3I+QW55ZSwgRS4gVC48L2F1dGhvcj48YXV0aG9yPkRhdmlzLCBBLiBNLjwv
YXV0aG9yPjwvYXV0aG9ycz48L2NvbnRyaWJ1dG9ycz48YXV0aC1hZGRyZXNzPkRlcGFydG1lbnQg
b2YgSGVhbHRoIEluZm9ybWF0aWNzLCBVbml2ZXJzaXR5IG9mIE1pc3NvdXJpIFNjaG9vbCBvZiBN
ZWRpY2luZSwgQ29sdW1iaWEsIE1pc3NvdXJpLCBVU0EuJiN4RDtEZXBhcnRtZW50IG9mIEludGVy
bmFsIE1lZGljaW5lLCBFbnRlcnByaXNlIEFuYWx5dGljcywgVW5pdmVyc2l0eSBvZiBLYW5zYXMg
TWVkaWNhbCBDZW50ZXIsIEthbnNhcyBDaXR5LCBLYW5zYXMsIFVTQS4mI3hEO0RpdmlzaW9uIG9m
IE1lZGljYWwgSW5mb3JtYXRpY3MsIERlcGFydG1lbnQgb2YgSW50ZXJuYWwgTWVkaWNpbmUsIFVu
aXZlcnNpdHkgb2YgS2Fuc2FzIE1lZGljYWwgQ2VudGVyLCBLYW5zYXMgQ2l0eSwgS2Fuc2FzLCBV
U0EuJiN4RDtEaXZpc2lvbiBvZiBIZWFsdGggU2VydmljZXMgUmVzZWFyY2gsIERlcGFydG1lbnQg
b2YgUGhhcm1hY3kgUHJhY3RpY2UgYW5kIFNjaWVuY2UsIFVuaXZlcnNpdHkgb2YgSW93YSwgSW93
YSBDaXR5LCBJb3dhLCBVU0EuJiN4RDtDZW50ZXIgZm9yIENsaW5pY2FsIEVwaWRlbWlvbG9neSAm
YW1wOyBQb3B1bGF0aW9uIEhlYWx0aCwgTWFyc2hmaWVsZCBDbGluaWMgUmVzZWFyY2ggSW5zdGl0
dXRlLCBNYXJzaGZpZWxkLCBXaXNjb25zaW4sIFVTQS4mI3hEO09mZmljZSBvZiBJbmZvcm1hdGlv
biBTZWN1cml0eSwgVW5pdmVyc2l0eSBvZiBNaXNzb3VyaSBIZWFsdGgsIENvbHVtYmlhLCBNaXNz
b3VyaSwgVVNBLiYjeEQ7RGVwYXJ0bWVudCBvZiBQZWRpYXRyaWNzLCBVbml2ZXJzaXR5IG9mIEth
bnNhcyBNZWRpY2FsIENlbnRlciwgS2Fuc2FzIENpdHksIEthbnNhcywgVVNBLiYjeEQ7Q2VudGVy
IGZvciBDaGlsZHJlbiZhcG9zO3MgSGVhbHRoeSBMaWZlc3R5bGVzICZhbXA7IE51dHJpdGlvbiwg
S2Fuc2FzIENpdHksIE1pc3NvdXJpLCBVU0EuPC9hdXRoLWFkZHJlc3M+PHRpdGxlcz48dGl0bGU+
RW5oYW5jaW5nIFBDT1JuZXQgQ2xpbmljYWwgUmVzZWFyY2ggTmV0d29yayBkYXRhIGNvbXBsZXRl
bmVzcyBieSBpbnRlZ3JhdGluZyBtdWx0aXN0YXRlIGluc3VyYW5jZSBjbGFpbXMgd2l0aCBlbGVj
dHJvbmljIGhlYWx0aCByZWNvcmRzIGluIGEgY2xvdWQgZW52aXJvbm1lbnQgYWxpZ25lZCB3aXRo
IENNUyBzZWN1cml0eSBhbmQgcHJpdmFjeSByZXF1aXJlbWVudHM8L3RpdGxlPjxzZWNvbmRhcnkt
dGl0bGU+SiBBbSBNZWQgSW5mb3JtIEFzc29jPC9zZWNvbmRhcnktdGl0bGU+PC90aXRsZXM+PHBl
cmlvZGljYWw+PGZ1bGwtdGl0bGU+SiBBbSBNZWQgSW5mb3JtIEFzc29jPC9mdWxsLXRpdGxlPjwv
cGVyaW9kaWNhbD48ZWRpdGlvbj4yMDIxLzEyLzE0PC9lZGl0aW9uPjxrZXl3b3Jkcz48a2V5d29y
ZD5BbWF6b24gV2ViIFNlcnZpY2VzIHByaXZhdGUgY2xvdWQ8L2tleXdvcmQ+PGtleXdvcmQ+Q2Vu
dGVycyBmb3IgTWVkaWNhcmUgYW5kIE1lZGljYWlkIFNlcnZpY2VzPC9rZXl3b3JkPjxrZXl3b3Jk
PlBDT1JuZXQ8L2tleXdvcmQ+PGtleXdvcmQ+UGF0aWVudC1DZW50ZXJlZCBPdXRjb21lcyBSZXNl
YXJjaCBJbnN0aXR1dGU8L2tleXdvcmQ+PGtleXdvcmQ+Y2xvdWQgY29tcHV0aW5nPC9rZXl3b3Jk
PjxrZXl3b3JkPmVsZWN0cm9uaWMgaGVhbHRoIHJlY29yZHM8L2tleXdvcmQ+PGtleXdvcmQ+b2Jl
c2l0eTwva2V5d29yZD48L2tleXdvcmRzPjxkYXRlcz48eWVhcj4yMDIxPC95ZWFyPjxwdWItZGF0
ZXM+PGRhdGU+RGVjIDEzPC9kYXRlPjwvcHViLWRhdGVzPjwvZGF0ZXM+PGlzYm4+MTUyNy05NzRY
IChFbGVjdHJvbmljKSYjeEQ7MTA2Ny01MDI3IChMaW5raW5nKTwvaXNibj48YWNjZXNzaW9uLW51
bT4zNDg5NzUwNjwvYWNjZXNzaW9uLW51bT48dXJscz48cmVsYXRlZC11cmxzPjx1cmw+aHR0cHM6
Ly93d3cubmNiaS5ubG0ubmloLmdvdi9wdWJtZWQvMzQ4OTc1MDY8L3VybD48L3JlbGF0ZWQtdXJs
cz48L3VybHM+PGVsZWN0cm9uaWMtcmVzb3VyY2UtbnVtPjEwLjEwOTMvamFtaWEvb2NhYjI2OTwv
ZWxlY3Ryb25pYy1yZXNvdXJjZS1udW0+PC9yZWNvcmQ+PC9DaXRlPjwvRW5kTm90ZT4A
</w:fldData>
        </w:fldChar>
      </w:r>
      <w:r w:rsidRPr="003B29CF">
        <w:rPr>
          <w:rFonts w:cs="Arial"/>
        </w:rPr>
        <w:instrText xml:space="preserve"> ADDIN EN.CITE </w:instrText>
      </w:r>
      <w:r w:rsidRPr="003B29CF">
        <w:rPr>
          <w:rFonts w:cs="Arial"/>
        </w:rPr>
        <w:fldChar w:fldCharType="begin">
          <w:fldData xml:space="preserve">PEVuZE5vdGU+PENpdGU+PEF1dGhvcj5XYWl0bWFuPC9BdXRob3I+PFllYXI+MjAyMTwvWWVhcj48
UmVjTnVtPjMwMzQ8L1JlY051bT48RGlzcGxheVRleHQ+PHN0eWxlIGZhY2U9InN1cGVyc2NyaXB0
Ij4xPC9zdHlsZT48L0Rpc3BsYXlUZXh0PjxyZWNvcmQ+PHJlYy1udW1iZXI+MzAzNDwvcmVjLW51
bWJlcj48Zm9yZWlnbi1rZXlzPjxrZXkgYXBwPSJFTiIgZGItaWQ9Inh3czB6ZXp2enB0ejBvZXRh
ZXJwZHN0czBkd3cwdjlkZnY1cyIgdGltZXN0YW1wPSIxNjQ2ODU2NTEyIj4zMDM0PC9rZXk+PC9m
b3JlaWduLWtleXM+PHJlZi10eXBlIG5hbWU9IkpvdXJuYWwgQXJ0aWNsZSI+MTc8L3JlZi10eXBl
Pjxjb250cmlidXRvcnM+PGF1dGhvcnM+PGF1dGhvcj5XYWl0bWFuLCBMLiBSLjwvYXV0aG9yPjxh
dXRob3I+U29uZywgWC48L2F1dGhvcj48YXV0aG9yPldhbHBpdGFnZSwgRC4gTC48L2F1dGhvcj48
YXV0aG9yPkNvbm5vbGx5LCBELiBDLjwvYXV0aG9yPjxhdXRob3I+UGF0ZWwsIEwuIFAuPC9hdXRo
b3I+PGF1dGhvcj5MaXUsIE0uPC9hdXRob3I+PGF1dGhvcj5TY2hyb2VkZXIsIE0uIEMuPC9hdXRo
b3I+PGF1dGhvcj5WYW5Xb3JtZXIsIEouIEouPC9hdXRob3I+PGF1dGhvcj5Nb3NhLCBBLiBTLjwv
YXV0aG9yPjxhdXRob3I+QW55ZSwgRS4gVC48L2F1dGhvcj48YXV0aG9yPkRhdmlzLCBBLiBNLjwv
YXV0aG9yPjwvYXV0aG9ycz48L2NvbnRyaWJ1dG9ycz48YXV0aC1hZGRyZXNzPkRlcGFydG1lbnQg
b2YgSGVhbHRoIEluZm9ybWF0aWNzLCBVbml2ZXJzaXR5IG9mIE1pc3NvdXJpIFNjaG9vbCBvZiBN
ZWRpY2luZSwgQ29sdW1iaWEsIE1pc3NvdXJpLCBVU0EuJiN4RDtEZXBhcnRtZW50IG9mIEludGVy
bmFsIE1lZGljaW5lLCBFbnRlcnByaXNlIEFuYWx5dGljcywgVW5pdmVyc2l0eSBvZiBLYW5zYXMg
TWVkaWNhbCBDZW50ZXIsIEthbnNhcyBDaXR5LCBLYW5zYXMsIFVTQS4mI3hEO0RpdmlzaW9uIG9m
IE1lZGljYWwgSW5mb3JtYXRpY3MsIERlcGFydG1lbnQgb2YgSW50ZXJuYWwgTWVkaWNpbmUsIFVu
aXZlcnNpdHkgb2YgS2Fuc2FzIE1lZGljYWwgQ2VudGVyLCBLYW5zYXMgQ2l0eSwgS2Fuc2FzLCBV
U0EuJiN4RDtEaXZpc2lvbiBvZiBIZWFsdGggU2VydmljZXMgUmVzZWFyY2gsIERlcGFydG1lbnQg
b2YgUGhhcm1hY3kgUHJhY3RpY2UgYW5kIFNjaWVuY2UsIFVuaXZlcnNpdHkgb2YgSW93YSwgSW93
YSBDaXR5LCBJb3dhLCBVU0EuJiN4RDtDZW50ZXIgZm9yIENsaW5pY2FsIEVwaWRlbWlvbG9neSAm
YW1wOyBQb3B1bGF0aW9uIEhlYWx0aCwgTWFyc2hmaWVsZCBDbGluaWMgUmVzZWFyY2ggSW5zdGl0
dXRlLCBNYXJzaGZpZWxkLCBXaXNjb25zaW4sIFVTQS4mI3hEO09mZmljZSBvZiBJbmZvcm1hdGlv
biBTZWN1cml0eSwgVW5pdmVyc2l0eSBvZiBNaXNzb3VyaSBIZWFsdGgsIENvbHVtYmlhLCBNaXNz
b3VyaSwgVVNBLiYjeEQ7RGVwYXJ0bWVudCBvZiBQZWRpYXRyaWNzLCBVbml2ZXJzaXR5IG9mIEth
bnNhcyBNZWRpY2FsIENlbnRlciwgS2Fuc2FzIENpdHksIEthbnNhcywgVVNBLiYjeEQ7Q2VudGVy
IGZvciBDaGlsZHJlbiZhcG9zO3MgSGVhbHRoeSBMaWZlc3R5bGVzICZhbXA7IE51dHJpdGlvbiwg
S2Fuc2FzIENpdHksIE1pc3NvdXJpLCBVU0EuPC9hdXRoLWFkZHJlc3M+PHRpdGxlcz48dGl0bGU+
RW5oYW5jaW5nIFBDT1JuZXQgQ2xpbmljYWwgUmVzZWFyY2ggTmV0d29yayBkYXRhIGNvbXBsZXRl
bmVzcyBieSBpbnRlZ3JhdGluZyBtdWx0aXN0YXRlIGluc3VyYW5jZSBjbGFpbXMgd2l0aCBlbGVj
dHJvbmljIGhlYWx0aCByZWNvcmRzIGluIGEgY2xvdWQgZW52aXJvbm1lbnQgYWxpZ25lZCB3aXRo
IENNUyBzZWN1cml0eSBhbmQgcHJpdmFjeSByZXF1aXJlbWVudHM8L3RpdGxlPjxzZWNvbmRhcnkt
dGl0bGU+SiBBbSBNZWQgSW5mb3JtIEFzc29jPC9zZWNvbmRhcnktdGl0bGU+PC90aXRsZXM+PHBl
cmlvZGljYWw+PGZ1bGwtdGl0bGU+SiBBbSBNZWQgSW5mb3JtIEFzc29jPC9mdWxsLXRpdGxlPjwv
cGVyaW9kaWNhbD48ZWRpdGlvbj4yMDIxLzEyLzE0PC9lZGl0aW9uPjxrZXl3b3Jkcz48a2V5d29y
ZD5BbWF6b24gV2ViIFNlcnZpY2VzIHByaXZhdGUgY2xvdWQ8L2tleXdvcmQ+PGtleXdvcmQ+Q2Vu
dGVycyBmb3IgTWVkaWNhcmUgYW5kIE1lZGljYWlkIFNlcnZpY2VzPC9rZXl3b3JkPjxrZXl3b3Jk
PlBDT1JuZXQ8L2tleXdvcmQ+PGtleXdvcmQ+UGF0aWVudC1DZW50ZXJlZCBPdXRjb21lcyBSZXNl
YXJjaCBJbnN0aXR1dGU8L2tleXdvcmQ+PGtleXdvcmQ+Y2xvdWQgY29tcHV0aW5nPC9rZXl3b3Jk
PjxrZXl3b3JkPmVsZWN0cm9uaWMgaGVhbHRoIHJlY29yZHM8L2tleXdvcmQ+PGtleXdvcmQ+b2Jl
c2l0eTwva2V5d29yZD48L2tleXdvcmRzPjxkYXRlcz48eWVhcj4yMDIxPC95ZWFyPjxwdWItZGF0
ZXM+PGRhdGU+RGVjIDEzPC9kYXRlPjwvcHViLWRhdGVzPjwvZGF0ZXM+PGlzYm4+MTUyNy05NzRY
IChFbGVjdHJvbmljKSYjeEQ7MTA2Ny01MDI3IChMaW5raW5nKTwvaXNibj48YWNjZXNzaW9uLW51
bT4zNDg5NzUwNjwvYWNjZXNzaW9uLW51bT48dXJscz48cmVsYXRlZC11cmxzPjx1cmw+aHR0cHM6
Ly93d3cubmNiaS5ubG0ubmloLmdvdi9wdWJtZWQvMzQ4OTc1MDY8L3VybD48L3JlbGF0ZWQtdXJs
cz48L3VybHM+PGVsZWN0cm9uaWMtcmVzb3VyY2UtbnVtPjEwLjEwOTMvamFtaWEvb2NhYjI2OTwv
ZWxlY3Ryb25pYy1yZXNvdXJjZS1udW0+PC9yZWNvcmQ+PC9DaXRlPjwvRW5kTm90ZT4A
</w:fldData>
        </w:fldChar>
      </w:r>
      <w:r w:rsidRPr="003B29CF">
        <w:rPr>
          <w:rFonts w:cs="Arial"/>
        </w:rPr>
        <w:instrText xml:space="preserve"> ADDIN EN.CITE.DATA </w:instrText>
      </w:r>
      <w:r w:rsidRPr="003B29CF">
        <w:rPr>
          <w:rFonts w:cs="Arial"/>
        </w:rPr>
      </w:r>
      <w:r w:rsidRPr="003B29CF">
        <w:rPr>
          <w:rFonts w:cs="Arial"/>
        </w:rPr>
        <w:fldChar w:fldCharType="end"/>
      </w:r>
      <w:r w:rsidRPr="003B29CF">
        <w:rPr>
          <w:rFonts w:cs="Arial"/>
        </w:rPr>
      </w:r>
      <w:r w:rsidRPr="003B29CF">
        <w:rPr>
          <w:rFonts w:cs="Arial"/>
        </w:rPr>
        <w:fldChar w:fldCharType="separate"/>
      </w:r>
      <w:r w:rsidRPr="003B29CF">
        <w:rPr>
          <w:rFonts w:cs="Arial"/>
          <w:noProof/>
          <w:vertAlign w:val="superscript"/>
        </w:rPr>
        <w:t>1</w:t>
      </w:r>
      <w:r w:rsidRPr="003B29CF">
        <w:rPr>
          <w:rFonts w:cs="Arial"/>
        </w:rPr>
        <w:fldChar w:fldCharType="end"/>
      </w:r>
      <w:r w:rsidRPr="003B29CF">
        <w:rPr>
          <w:rFonts w:cs="Arial"/>
        </w:rPr>
        <w:t xml:space="preserve"> and the study protocol has been approved by Institutional Review Boards at each participating institution. </w:t>
      </w:r>
      <w:bookmarkStart w:id="1" w:name="_Hlk141089529"/>
      <w:r w:rsidRPr="003B29CF">
        <w:rPr>
          <w:rFonts w:cs="Arial"/>
        </w:rPr>
        <w:t xml:space="preserve">The Greater Plains Collaborative (GPC) </w:t>
      </w:r>
      <w:r w:rsidRPr="003B29CF">
        <w:rPr>
          <w:rFonts w:cs="Arial"/>
        </w:rPr>
        <w:fldChar w:fldCharType="begin"/>
      </w:r>
      <w:r w:rsidRPr="003B29CF">
        <w:rPr>
          <w:rFonts w:cs="Arial"/>
        </w:rPr>
        <w:instrText xml:space="preserve"> ADDIN EN.CITE &lt;EndNote&gt;&lt;Cite&gt;&lt;Author&gt;Waitman&lt;/Author&gt;&lt;Year&gt;2014&lt;/Year&gt;&lt;RecNum&gt;3194&lt;/RecNum&gt;&lt;DisplayText&gt;&lt;style face="superscript"&gt;2&lt;/style&gt;&lt;/DisplayText&gt;&lt;record&gt;&lt;rec-number&gt;3194&lt;/rec-number&gt;&lt;foreign-keys&gt;&lt;key app="EN" db-id="xws0zezvzptz0oetaerpdsts0dww0v9dfv5s" timestamp="1665952345"&gt;3194&lt;/key&gt;&lt;/foreign-keys&gt;&lt;ref-type name="Journal Article"&gt;17&lt;/ref-type&gt;&lt;contributors&gt;&lt;authors&gt;&lt;author&gt;Waitman, L. R.&lt;/author&gt;&lt;author&gt;Aaronson, L. S.&lt;/author&gt;&lt;author&gt;Nadkarni, P. M.&lt;/author&gt;&lt;author&gt;Connolly, D. W.&lt;/author&gt;&lt;author&gt;Campbell, J. R.&lt;/author&gt;&lt;/authors&gt;&lt;/contributors&gt;&lt;titles&gt;&lt;title&gt;The Greater Plains Collaborative: a PCORnet Clinical Research Data Network&lt;/title&gt;&lt;secondary-title&gt;Journal of the American Medical Informatics Association&lt;/secondary-title&gt;&lt;/titles&gt;&lt;periodical&gt;&lt;full-title&gt;Journal of the American Medical Informatics Association&lt;/full-title&gt;&lt;/periodical&gt;&lt;pages&gt;637-641&lt;/pages&gt;&lt;volume&gt;21&lt;/volume&gt;&lt;number&gt;4&lt;/number&gt;&lt;section&gt;637&lt;/section&gt;&lt;dates&gt;&lt;year&gt;2014&lt;/year&gt;&lt;/dates&gt;&lt;isbn&gt;1067-5027&amp;#xD;1527-974X&lt;/isbn&gt;&lt;urls&gt;&lt;/urls&gt;&lt;electronic-resource-num&gt;10.1136/amiajnl-2014-002756&lt;/electronic-resource-num&gt;&lt;/record&gt;&lt;/Cite&gt;&lt;/EndNote&gt;</w:instrText>
      </w:r>
      <w:r w:rsidRPr="003B29CF">
        <w:rPr>
          <w:rFonts w:cs="Arial"/>
        </w:rPr>
        <w:fldChar w:fldCharType="separate"/>
      </w:r>
      <w:r w:rsidRPr="003B29CF">
        <w:rPr>
          <w:rFonts w:cs="Arial"/>
          <w:noProof/>
          <w:vertAlign w:val="superscript"/>
        </w:rPr>
        <w:t>2</w:t>
      </w:r>
      <w:r w:rsidRPr="003B29CF">
        <w:rPr>
          <w:rFonts w:cs="Arial"/>
        </w:rPr>
        <w:fldChar w:fldCharType="end"/>
      </w:r>
      <w:r w:rsidRPr="003B29CF">
        <w:rPr>
          <w:rFonts w:cs="Arial"/>
        </w:rPr>
        <w:t xml:space="preserve"> is a Patient Centered Outcome Research Network (PCORnet) Clinical Data Research Network including 13 healthcare systems with catchment area across 11 states in the Central U.S.: Kansas, Missouri, Iowa, Wisconsin, Nebraska, Minnesota, Texas, Utah, North Dakota, South Dakota and Indiana. </w:t>
      </w:r>
      <w:bookmarkEnd w:id="1"/>
      <w:r w:rsidRPr="003B29CF">
        <w:rPr>
          <w:rFonts w:cs="Arial"/>
        </w:rPr>
        <w:t xml:space="preserve">  </w:t>
      </w:r>
    </w:p>
    <w:p w14:paraId="445CFD38" w14:textId="7633CD7C" w:rsidR="0006173D" w:rsidRPr="003B29CF" w:rsidRDefault="0006173D" w:rsidP="0006173D">
      <w:pPr>
        <w:spacing w:after="0" w:line="480" w:lineRule="auto"/>
        <w:ind w:firstLine="720"/>
        <w:jc w:val="both"/>
        <w:rPr>
          <w:rFonts w:cs="Arial"/>
        </w:rPr>
      </w:pPr>
      <w:r w:rsidRPr="003B29CF">
        <w:rPr>
          <w:rFonts w:cs="Arial"/>
        </w:rPr>
        <w:t>We defined our study cohort based on a validated EHR algorithm to identify participants with OSA as described by Keenan et al. 2020</w:t>
      </w:r>
      <w:r w:rsidRPr="003B29CF">
        <w:rPr>
          <w:rFonts w:cs="Arial"/>
        </w:rPr>
        <w:fldChar w:fldCharType="begin">
          <w:fldData xml:space="preserve">PEVuZE5vdGU+PENpdGU+PEF1dGhvcj5LZWVuYW48L0F1dGhvcj48WWVhcj4yMDIwPC9ZZWFyPjxS
ZWNOdW0+Mjc5MTwvUmVjTnVtPjxEaXNwbGF5VGV4dD48c3R5bGUgZmFjZT0ic3VwZXJzY3JpcHQi
PjM8L3N0eWxlPjwvRGlzcGxheVRleHQ+PHJlY29yZD48cmVjLW51bWJlcj4yNzkxPC9yZWMtbnVt
YmVyPjxmb3JlaWduLWtleXM+PGtleSBhcHA9IkVOIiBkYi1pZD0ieHdzMHplenZ6cHR6MG9ldGFl
cnBkc3RzMGR3dzB2OWRmdjVzIiB0aW1lc3RhbXA9IjE2MDA4MTUwMTAiPjI3OTE8L2tleT48L2Zv
cmVpZ24ta2V5cz48cmVmLXR5cGUgbmFtZT0iSm91cm5hbCBBcnRpY2xlIj4xNzwvcmVmLXR5cGU+
PGNvbnRyaWJ1dG9ycz48YXV0aG9ycz48YXV0aG9yPktlZW5hbiwgQi4gVC48L2F1dGhvcj48YXV0
aG9yPktpcmNobmVyLCBILiBMLjwvYXV0aG9yPjxhdXRob3I+VmVhdGNoLCBPLiBKLjwvYXV0aG9y
PjxhdXRob3I+Qm9ydGh3aWNrLCBLLiBNLjwvYXV0aG9yPjxhdXRob3I+RGF2ZW5wb3J0LCBWLiBB
LjwvYXV0aG9yPjxhdXRob3I+RmVlbXN0ZXIsIEouIEMuPC9hdXRob3I+PGF1dGhvcj5HZW5keSwg
TS48L2F1dGhvcj48YXV0aG9yPkdvc3NhcmQsIFQuIFIuPC9hdXRob3I+PGF1dGhvcj5QYWNrLCBG
LiBNLjwvYXV0aG9yPjxhdXRob3I+U2lyaWt1bHZhZGhhbmEsIEwuPC9hdXRob3I+PGF1dGhvcj5U
ZWlnZW4sIEwuIE4uPC9hdXRob3I+PGF1dGhvcj5UaW1tLCBQLiBDLjwvYXV0aG9yPjxhdXRob3I+
TWFsb3csIEIuIEEuPC9hdXRob3I+PGF1dGhvcj5Nb3JnZW50aGFsZXIsIFQuIEkuPC9hdXRob3I+
PGF1dGhvcj5aZWUsIFAuIEMuPC9hdXRob3I+PGF1dGhvcj5QYWNrLCBBLiBJLjwvYXV0aG9yPjxh
dXRob3I+Um9iaXNoYXcsIEouIEQuPC9hdXRob3I+PGF1dGhvcj5EZXJvc2UsIFMuIEYuPC9hdXRo
b3I+PC9hdXRob3JzPjwvY29udHJpYnV0b3JzPjxhdXRoLWFkZHJlc3M+RGl2aXNpb24gb2YgU2xl
ZXAgTWVkaWNpbmUvRGVwYXJ0bWVudCBvZiBNZWRpY2luZSwgVW5pdmVyc2l0eSBvZiBQZW5uc3ls
dmFuaWEsIFBoaWxhZGVscGhpYSwgUGVubnN5bHZhbmlhLiYjeEQ7Q28tbGVhZCBhdXRob3JzLiYj
eEQ7QmlvbWVkaWNhbCBhbmQgVHJhbnNsYXRpb25hbCBJbmZvcm1hdGljcywgR2Vpc2luZ2VyLCBE
YW52aWxsZSwgUGVubnN5bHZhbmlhLiYjeEQ7U2xlZXAgRGlzb3JkZXJzIERpdmlzaW9uLCBWYW5k
ZXJiaWx0IFVuaXZlcnNpdHkgTWVkaWNhbCBDZW50ZXIsIE5hc2h2aWxsZSwgVGVubmVzc2VlLiYj
eEQ7Q2VudGVyIGZvciBTbGVlcCBNZWRpY2luZSwgTWF5byBDbGluaWMsIFJvY2hlc3RlciwgTWlu
bmVzb3RhLiYjeEQ7Q2VudGVyIGZvciBDaXJjYWRpYW4gYW5kIFNsZWVwIE1lZGljaW5lLCBGZWlu
YmVyZyBTY2hvb2wgb2YgTWVkaWNpbmUsIE5vcnRod2VzdGVybiBVbml2ZXJzaXR5LCBDaGljYWdv
LCBJbGxpbm9pcy4mI3hEO0RlcGFydG1lbnQgb2YgUmVzZWFyY2ggYW5kIEV2YWx1YXRpb24sIEth
aXNlciBQZXJtYW5lbnRlIFNvdXRoZXJuIENhbGlmb3JuaWEsIFBhc2FkZW5hLCBDYWxpZm9ybmlh
LiYjeEQ7Q2hhcmxlcyBFLiBTY2htaWR0IENvbGxlZ2Ugb2YgTWVkaWNpbmUsIEZsb3JpZGEgQXRs
YW50aWMgVW5pdmVyc2l0eSwgQm9jYSBSYXRvbiwgRmxvcmlkYS4mI3hEO0pvaW50IHNlbmlvciBh
dXRob3JzLjwvYXV0aC1hZGRyZXNzPjx0aXRsZXM+PHRpdGxlPk11bHRpc2l0ZSB2YWxpZGF0aW9u
IG9mIGEgc2ltcGxlIGVsZWN0cm9uaWMgaGVhbHRoIHJlY29yZCBhbGdvcml0aG0gZm9yIGlkZW50
aWZ5aW5nIGRpYWdub3NlZCBvYnN0cnVjdGl2ZSBzbGVlcCBhcG5lYTwvdGl0bGU+PHNlY29uZGFy
eS10aXRsZT5KIENsaW4gU2xlZXAgTWVkPC9zZWNvbmRhcnktdGl0bGU+PC90aXRsZXM+PHBlcmlv
ZGljYWw+PGZ1bGwtdGl0bGU+SiBDbGluIFNsZWVwIE1lZDwvZnVsbC10aXRsZT48L3BlcmlvZGlj
YWw+PHBhZ2VzPjE3NS0xODM8L3BhZ2VzPjx2b2x1bWU+MTY8L3ZvbHVtZT48bnVtYmVyPjI8L251
bWJlcj48ZWRpdGlvbj4yMDIwLzAxLzMwPC9lZGl0aW9uPjxrZXl3b3Jkcz48a2V5d29yZD4qY2Fz
ZS1pZGVudGlmaWNhdGlvbiBhbGdvcml0aG08L2tleXdvcmQ+PGtleXdvcmQ+KmRpYWdub3N0aWMg
Y29kZXM8L2tleXdvcmQ+PGtleXdvcmQ+KmVsZWN0cm9uaWMgaGVhbHRoIHJlY29yZDwva2V5d29y
ZD48a2V5d29yZD4qb2JzdHJ1Y3RpdmUgc2xlZXAgYXBuZWE8L2tleXdvcmQ+PGtleXdvcmQ+KnBo
ZW5vdHlwZTwva2V5d29yZD48L2tleXdvcmRzPjxkYXRlcz48eWVhcj4yMDIwPC95ZWFyPjxwdWIt
ZGF0ZXM+PGRhdGU+RmViIDE1PC9kYXRlPjwvcHViLWRhdGVzPjwvZGF0ZXM+PGlzYm4+MTU1MC05
Mzk3IChFbGVjdHJvbmljKSYjeEQ7MTU1MC05Mzg5IChMaW5raW5nKTwvaXNibj48YWNjZXNzaW9u
LW51bT4zMTk5MjQyOTwvYWNjZXNzaW9uLW51bT48dXJscz48cmVsYXRlZC11cmxzPjx1cmw+aHR0
cHM6Ly93d3cubmNiaS5ubG0ubmloLmdvdi9wdWJtZWQvMzE5OTI0Mjk8L3VybD48L3JlbGF0ZWQt
dXJscz48L3VybHM+PGN1c3RvbTI+UE1DNzA1MzAyMTwvY3VzdG9tMj48ZWxlY3Ryb25pYy1yZXNv
dXJjZS1udW0+MTAuNTY2NC9qY3NtLjgxNjA8L2VsZWN0cm9uaWMtcmVzb3VyY2UtbnVtPjwvcmVj
b3JkPjwvQ2l0ZT48L0VuZE5vdGU+AG==
</w:fldData>
        </w:fldChar>
      </w:r>
      <w:r w:rsidRPr="003B29CF">
        <w:rPr>
          <w:rFonts w:cs="Arial"/>
        </w:rPr>
        <w:instrText xml:space="preserve"> ADDIN EN.CITE </w:instrText>
      </w:r>
      <w:r w:rsidRPr="003B29CF">
        <w:rPr>
          <w:rFonts w:cs="Arial"/>
        </w:rPr>
        <w:fldChar w:fldCharType="begin">
          <w:fldData xml:space="preserve">PEVuZE5vdGU+PENpdGU+PEF1dGhvcj5LZWVuYW48L0F1dGhvcj48WWVhcj4yMDIwPC9ZZWFyPjxS
ZWNOdW0+Mjc5MTwvUmVjTnVtPjxEaXNwbGF5VGV4dD48c3R5bGUgZmFjZT0ic3VwZXJzY3JpcHQi
PjM8L3N0eWxlPjwvRGlzcGxheVRleHQ+PHJlY29yZD48cmVjLW51bWJlcj4yNzkxPC9yZWMtbnVt
YmVyPjxmb3JlaWduLWtleXM+PGtleSBhcHA9IkVOIiBkYi1pZD0ieHdzMHplenZ6cHR6MG9ldGFl
cnBkc3RzMGR3dzB2OWRmdjVzIiB0aW1lc3RhbXA9IjE2MDA4MTUwMTAiPjI3OTE8L2tleT48L2Zv
cmVpZ24ta2V5cz48cmVmLXR5cGUgbmFtZT0iSm91cm5hbCBBcnRpY2xlIj4xNzwvcmVmLXR5cGU+
PGNvbnRyaWJ1dG9ycz48YXV0aG9ycz48YXV0aG9yPktlZW5hbiwgQi4gVC48L2F1dGhvcj48YXV0
aG9yPktpcmNobmVyLCBILiBMLjwvYXV0aG9yPjxhdXRob3I+VmVhdGNoLCBPLiBKLjwvYXV0aG9y
PjxhdXRob3I+Qm9ydGh3aWNrLCBLLiBNLjwvYXV0aG9yPjxhdXRob3I+RGF2ZW5wb3J0LCBWLiBB
LjwvYXV0aG9yPjxhdXRob3I+RmVlbXN0ZXIsIEouIEMuPC9hdXRob3I+PGF1dGhvcj5HZW5keSwg
TS48L2F1dGhvcj48YXV0aG9yPkdvc3NhcmQsIFQuIFIuPC9hdXRob3I+PGF1dGhvcj5QYWNrLCBG
LiBNLjwvYXV0aG9yPjxhdXRob3I+U2lyaWt1bHZhZGhhbmEsIEwuPC9hdXRob3I+PGF1dGhvcj5U
ZWlnZW4sIEwuIE4uPC9hdXRob3I+PGF1dGhvcj5UaW1tLCBQLiBDLjwvYXV0aG9yPjxhdXRob3I+
TWFsb3csIEIuIEEuPC9hdXRob3I+PGF1dGhvcj5Nb3JnZW50aGFsZXIsIFQuIEkuPC9hdXRob3I+
PGF1dGhvcj5aZWUsIFAuIEMuPC9hdXRob3I+PGF1dGhvcj5QYWNrLCBBLiBJLjwvYXV0aG9yPjxh
dXRob3I+Um9iaXNoYXcsIEouIEQuPC9hdXRob3I+PGF1dGhvcj5EZXJvc2UsIFMuIEYuPC9hdXRo
b3I+PC9hdXRob3JzPjwvY29udHJpYnV0b3JzPjxhdXRoLWFkZHJlc3M+RGl2aXNpb24gb2YgU2xl
ZXAgTWVkaWNpbmUvRGVwYXJ0bWVudCBvZiBNZWRpY2luZSwgVW5pdmVyc2l0eSBvZiBQZW5uc3ls
dmFuaWEsIFBoaWxhZGVscGhpYSwgUGVubnN5bHZhbmlhLiYjeEQ7Q28tbGVhZCBhdXRob3JzLiYj
eEQ7QmlvbWVkaWNhbCBhbmQgVHJhbnNsYXRpb25hbCBJbmZvcm1hdGljcywgR2Vpc2luZ2VyLCBE
YW52aWxsZSwgUGVubnN5bHZhbmlhLiYjeEQ7U2xlZXAgRGlzb3JkZXJzIERpdmlzaW9uLCBWYW5k
ZXJiaWx0IFVuaXZlcnNpdHkgTWVkaWNhbCBDZW50ZXIsIE5hc2h2aWxsZSwgVGVubmVzc2VlLiYj
eEQ7Q2VudGVyIGZvciBTbGVlcCBNZWRpY2luZSwgTWF5byBDbGluaWMsIFJvY2hlc3RlciwgTWlu
bmVzb3RhLiYjeEQ7Q2VudGVyIGZvciBDaXJjYWRpYW4gYW5kIFNsZWVwIE1lZGljaW5lLCBGZWlu
YmVyZyBTY2hvb2wgb2YgTWVkaWNpbmUsIE5vcnRod2VzdGVybiBVbml2ZXJzaXR5LCBDaGljYWdv
LCBJbGxpbm9pcy4mI3hEO0RlcGFydG1lbnQgb2YgUmVzZWFyY2ggYW5kIEV2YWx1YXRpb24sIEth
aXNlciBQZXJtYW5lbnRlIFNvdXRoZXJuIENhbGlmb3JuaWEsIFBhc2FkZW5hLCBDYWxpZm9ybmlh
LiYjeEQ7Q2hhcmxlcyBFLiBTY2htaWR0IENvbGxlZ2Ugb2YgTWVkaWNpbmUsIEZsb3JpZGEgQXRs
YW50aWMgVW5pdmVyc2l0eSwgQm9jYSBSYXRvbiwgRmxvcmlkYS4mI3hEO0pvaW50IHNlbmlvciBh
dXRob3JzLjwvYXV0aC1hZGRyZXNzPjx0aXRsZXM+PHRpdGxlPk11bHRpc2l0ZSB2YWxpZGF0aW9u
IG9mIGEgc2ltcGxlIGVsZWN0cm9uaWMgaGVhbHRoIHJlY29yZCBhbGdvcml0aG0gZm9yIGlkZW50
aWZ5aW5nIGRpYWdub3NlZCBvYnN0cnVjdGl2ZSBzbGVlcCBhcG5lYTwvdGl0bGU+PHNlY29uZGFy
eS10aXRsZT5KIENsaW4gU2xlZXAgTWVkPC9zZWNvbmRhcnktdGl0bGU+PC90aXRsZXM+PHBlcmlv
ZGljYWw+PGZ1bGwtdGl0bGU+SiBDbGluIFNsZWVwIE1lZDwvZnVsbC10aXRsZT48L3BlcmlvZGlj
YWw+PHBhZ2VzPjE3NS0xODM8L3BhZ2VzPjx2b2x1bWU+MTY8L3ZvbHVtZT48bnVtYmVyPjI8L251
bWJlcj48ZWRpdGlvbj4yMDIwLzAxLzMwPC9lZGl0aW9uPjxrZXl3b3Jkcz48a2V5d29yZD4qY2Fz
ZS1pZGVudGlmaWNhdGlvbiBhbGdvcml0aG08L2tleXdvcmQ+PGtleXdvcmQ+KmRpYWdub3N0aWMg
Y29kZXM8L2tleXdvcmQ+PGtleXdvcmQ+KmVsZWN0cm9uaWMgaGVhbHRoIHJlY29yZDwva2V5d29y
ZD48a2V5d29yZD4qb2JzdHJ1Y3RpdmUgc2xlZXAgYXBuZWE8L2tleXdvcmQ+PGtleXdvcmQ+KnBo
ZW5vdHlwZTwva2V5d29yZD48L2tleXdvcmRzPjxkYXRlcz48eWVhcj4yMDIwPC95ZWFyPjxwdWIt
ZGF0ZXM+PGRhdGU+RmViIDE1PC9kYXRlPjwvcHViLWRhdGVzPjwvZGF0ZXM+PGlzYm4+MTU1MC05
Mzk3IChFbGVjdHJvbmljKSYjeEQ7MTU1MC05Mzg5IChMaW5raW5nKTwvaXNibj48YWNjZXNzaW9u
LW51bT4zMTk5MjQyOTwvYWNjZXNzaW9uLW51bT48dXJscz48cmVsYXRlZC11cmxzPjx1cmw+aHR0
cHM6Ly93d3cubmNiaS5ubG0ubmloLmdvdi9wdWJtZWQvMzE5OTI0Mjk8L3VybD48L3JlbGF0ZWQt
dXJscz48L3VybHM+PGN1c3RvbTI+UE1DNzA1MzAyMTwvY3VzdG9tMj48ZWxlY3Ryb25pYy1yZXNv
dXJjZS1udW0+MTAuNTY2NC9qY3NtLjgxNjA8L2VsZWN0cm9uaWMtcmVzb3VyY2UtbnVtPjwvcmVj
b3JkPjwvQ2l0ZT48L0VuZE5vdGU+AG==
</w:fldData>
        </w:fldChar>
      </w:r>
      <w:r w:rsidRPr="003B29CF">
        <w:rPr>
          <w:rFonts w:cs="Arial"/>
        </w:rPr>
        <w:instrText xml:space="preserve"> ADDIN EN.CITE.DATA </w:instrText>
      </w:r>
      <w:r w:rsidRPr="003B29CF">
        <w:rPr>
          <w:rFonts w:cs="Arial"/>
        </w:rPr>
      </w:r>
      <w:r w:rsidRPr="003B29CF">
        <w:rPr>
          <w:rFonts w:cs="Arial"/>
        </w:rPr>
        <w:fldChar w:fldCharType="end"/>
      </w:r>
      <w:r w:rsidRPr="003B29CF">
        <w:rPr>
          <w:rFonts w:cs="Arial"/>
        </w:rPr>
      </w:r>
      <w:r w:rsidRPr="003B29CF">
        <w:rPr>
          <w:rFonts w:cs="Arial"/>
        </w:rPr>
        <w:fldChar w:fldCharType="separate"/>
      </w:r>
      <w:r w:rsidRPr="003B29CF">
        <w:rPr>
          <w:rFonts w:cs="Arial"/>
          <w:noProof/>
          <w:vertAlign w:val="superscript"/>
        </w:rPr>
        <w:t>3</w:t>
      </w:r>
      <w:r w:rsidRPr="003B29CF">
        <w:rPr>
          <w:rFonts w:cs="Arial"/>
        </w:rPr>
        <w:fldChar w:fldCharType="end"/>
      </w:r>
      <w:r w:rsidRPr="003B29CF">
        <w:rPr>
          <w:rFonts w:cs="Arial"/>
        </w:rPr>
        <w:t xml:space="preserve">. Those with two or more claims with International Classification of Diseases (ICD)-9 or 10 codes for OSA at different dates were classified as having OSA (see </w:t>
      </w:r>
      <w:r w:rsidRPr="003B29CF">
        <w:rPr>
          <w:rFonts w:cs="Arial"/>
          <w:b/>
          <w:bCs/>
        </w:rPr>
        <w:t>Supplemental Table 1</w:t>
      </w:r>
      <w:r w:rsidRPr="003B29CF">
        <w:rPr>
          <w:rFonts w:cs="Arial"/>
        </w:rPr>
        <w:t>). This algorithm presented optimal predictive performance across six health systems in the U.S., with overall positive predictive value (95%CI) of 97.1% (95.6, 98.2) and negative predictive value of 95.5% (93.5, 97.0)</w:t>
      </w:r>
      <w:r w:rsidRPr="003B29CF">
        <w:rPr>
          <w:rFonts w:cs="Arial"/>
        </w:rPr>
        <w:fldChar w:fldCharType="begin">
          <w:fldData xml:space="preserve">PEVuZE5vdGU+PENpdGU+PEF1dGhvcj5LZWVuYW48L0F1dGhvcj48WWVhcj4yMDIwPC9ZZWFyPjxS
ZWNOdW0+Mjc5MTwvUmVjTnVtPjxEaXNwbGF5VGV4dD48c3R5bGUgZmFjZT0ic3VwZXJzY3JpcHQi
PjM8L3N0eWxlPjwvRGlzcGxheVRleHQ+PHJlY29yZD48cmVjLW51bWJlcj4yNzkxPC9yZWMtbnVt
YmVyPjxmb3JlaWduLWtleXM+PGtleSBhcHA9IkVOIiBkYi1pZD0ieHdzMHplenZ6cHR6MG9ldGFl
cnBkc3RzMGR3dzB2OWRmdjVzIiB0aW1lc3RhbXA9IjE2MDA4MTUwMTAiPjI3OTE8L2tleT48L2Zv
cmVpZ24ta2V5cz48cmVmLXR5cGUgbmFtZT0iSm91cm5hbCBBcnRpY2xlIj4xNzwvcmVmLXR5cGU+
PGNvbnRyaWJ1dG9ycz48YXV0aG9ycz48YXV0aG9yPktlZW5hbiwgQi4gVC48L2F1dGhvcj48YXV0
aG9yPktpcmNobmVyLCBILiBMLjwvYXV0aG9yPjxhdXRob3I+VmVhdGNoLCBPLiBKLjwvYXV0aG9y
PjxhdXRob3I+Qm9ydGh3aWNrLCBLLiBNLjwvYXV0aG9yPjxhdXRob3I+RGF2ZW5wb3J0LCBWLiBB
LjwvYXV0aG9yPjxhdXRob3I+RmVlbXN0ZXIsIEouIEMuPC9hdXRob3I+PGF1dGhvcj5HZW5keSwg
TS48L2F1dGhvcj48YXV0aG9yPkdvc3NhcmQsIFQuIFIuPC9hdXRob3I+PGF1dGhvcj5QYWNrLCBG
LiBNLjwvYXV0aG9yPjxhdXRob3I+U2lyaWt1bHZhZGhhbmEsIEwuPC9hdXRob3I+PGF1dGhvcj5U
ZWlnZW4sIEwuIE4uPC9hdXRob3I+PGF1dGhvcj5UaW1tLCBQLiBDLjwvYXV0aG9yPjxhdXRob3I+
TWFsb3csIEIuIEEuPC9hdXRob3I+PGF1dGhvcj5Nb3JnZW50aGFsZXIsIFQuIEkuPC9hdXRob3I+
PGF1dGhvcj5aZWUsIFAuIEMuPC9hdXRob3I+PGF1dGhvcj5QYWNrLCBBLiBJLjwvYXV0aG9yPjxh
dXRob3I+Um9iaXNoYXcsIEouIEQuPC9hdXRob3I+PGF1dGhvcj5EZXJvc2UsIFMuIEYuPC9hdXRo
b3I+PC9hdXRob3JzPjwvY29udHJpYnV0b3JzPjxhdXRoLWFkZHJlc3M+RGl2aXNpb24gb2YgU2xl
ZXAgTWVkaWNpbmUvRGVwYXJ0bWVudCBvZiBNZWRpY2luZSwgVW5pdmVyc2l0eSBvZiBQZW5uc3ls
dmFuaWEsIFBoaWxhZGVscGhpYSwgUGVubnN5bHZhbmlhLiYjeEQ7Q28tbGVhZCBhdXRob3JzLiYj
eEQ7QmlvbWVkaWNhbCBhbmQgVHJhbnNsYXRpb25hbCBJbmZvcm1hdGljcywgR2Vpc2luZ2VyLCBE
YW52aWxsZSwgUGVubnN5bHZhbmlhLiYjeEQ7U2xlZXAgRGlzb3JkZXJzIERpdmlzaW9uLCBWYW5k
ZXJiaWx0IFVuaXZlcnNpdHkgTWVkaWNhbCBDZW50ZXIsIE5hc2h2aWxsZSwgVGVubmVzc2VlLiYj
eEQ7Q2VudGVyIGZvciBTbGVlcCBNZWRpY2luZSwgTWF5byBDbGluaWMsIFJvY2hlc3RlciwgTWlu
bmVzb3RhLiYjeEQ7Q2VudGVyIGZvciBDaXJjYWRpYW4gYW5kIFNsZWVwIE1lZGljaW5lLCBGZWlu
YmVyZyBTY2hvb2wgb2YgTWVkaWNpbmUsIE5vcnRod2VzdGVybiBVbml2ZXJzaXR5LCBDaGljYWdv
LCBJbGxpbm9pcy4mI3hEO0RlcGFydG1lbnQgb2YgUmVzZWFyY2ggYW5kIEV2YWx1YXRpb24sIEth
aXNlciBQZXJtYW5lbnRlIFNvdXRoZXJuIENhbGlmb3JuaWEsIFBhc2FkZW5hLCBDYWxpZm9ybmlh
LiYjeEQ7Q2hhcmxlcyBFLiBTY2htaWR0IENvbGxlZ2Ugb2YgTWVkaWNpbmUsIEZsb3JpZGEgQXRs
YW50aWMgVW5pdmVyc2l0eSwgQm9jYSBSYXRvbiwgRmxvcmlkYS4mI3hEO0pvaW50IHNlbmlvciBh
dXRob3JzLjwvYXV0aC1hZGRyZXNzPjx0aXRsZXM+PHRpdGxlPk11bHRpc2l0ZSB2YWxpZGF0aW9u
IG9mIGEgc2ltcGxlIGVsZWN0cm9uaWMgaGVhbHRoIHJlY29yZCBhbGdvcml0aG0gZm9yIGlkZW50
aWZ5aW5nIGRpYWdub3NlZCBvYnN0cnVjdGl2ZSBzbGVlcCBhcG5lYTwvdGl0bGU+PHNlY29uZGFy
eS10aXRsZT5KIENsaW4gU2xlZXAgTWVkPC9zZWNvbmRhcnktdGl0bGU+PC90aXRsZXM+PHBlcmlv
ZGljYWw+PGZ1bGwtdGl0bGU+SiBDbGluIFNsZWVwIE1lZDwvZnVsbC10aXRsZT48L3BlcmlvZGlj
YWw+PHBhZ2VzPjE3NS0xODM8L3BhZ2VzPjx2b2x1bWU+MTY8L3ZvbHVtZT48bnVtYmVyPjI8L251
bWJlcj48ZWRpdGlvbj4yMDIwLzAxLzMwPC9lZGl0aW9uPjxrZXl3b3Jkcz48a2V5d29yZD4qY2Fz
ZS1pZGVudGlmaWNhdGlvbiBhbGdvcml0aG08L2tleXdvcmQ+PGtleXdvcmQ+KmRpYWdub3N0aWMg
Y29kZXM8L2tleXdvcmQ+PGtleXdvcmQ+KmVsZWN0cm9uaWMgaGVhbHRoIHJlY29yZDwva2V5d29y
ZD48a2V5d29yZD4qb2JzdHJ1Y3RpdmUgc2xlZXAgYXBuZWE8L2tleXdvcmQ+PGtleXdvcmQ+KnBo
ZW5vdHlwZTwva2V5d29yZD48L2tleXdvcmRzPjxkYXRlcz48eWVhcj4yMDIwPC95ZWFyPjxwdWIt
ZGF0ZXM+PGRhdGU+RmViIDE1PC9kYXRlPjwvcHViLWRhdGVzPjwvZGF0ZXM+PGlzYm4+MTU1MC05
Mzk3IChFbGVjdHJvbmljKSYjeEQ7MTU1MC05Mzg5IChMaW5raW5nKTwvaXNibj48YWNjZXNzaW9u
LW51bT4zMTk5MjQyOTwvYWNjZXNzaW9uLW51bT48dXJscz48cmVsYXRlZC11cmxzPjx1cmw+aHR0
cHM6Ly93d3cubmNiaS5ubG0ubmloLmdvdi9wdWJtZWQvMzE5OTI0Mjk8L3VybD48L3JlbGF0ZWQt
dXJscz48L3VybHM+PGN1c3RvbTI+UE1DNzA1MzAyMTwvY3VzdG9tMj48ZWxlY3Ryb25pYy1yZXNv
dXJjZS1udW0+MTAuNTY2NC9qY3NtLjgxNjA8L2VsZWN0cm9uaWMtcmVzb3VyY2UtbnVtPjwvcmVj
b3JkPjwvQ2l0ZT48L0VuZE5vdGU+AG==
</w:fldData>
        </w:fldChar>
      </w:r>
      <w:r w:rsidRPr="003B29CF">
        <w:rPr>
          <w:rFonts w:cs="Arial"/>
        </w:rPr>
        <w:instrText xml:space="preserve"> ADDIN EN.CITE </w:instrText>
      </w:r>
      <w:r w:rsidRPr="003B29CF">
        <w:rPr>
          <w:rFonts w:cs="Arial"/>
        </w:rPr>
        <w:fldChar w:fldCharType="begin">
          <w:fldData xml:space="preserve">PEVuZE5vdGU+PENpdGU+PEF1dGhvcj5LZWVuYW48L0F1dGhvcj48WWVhcj4yMDIwPC9ZZWFyPjxS
ZWNOdW0+Mjc5MTwvUmVjTnVtPjxEaXNwbGF5VGV4dD48c3R5bGUgZmFjZT0ic3VwZXJzY3JpcHQi
PjM8L3N0eWxlPjwvRGlzcGxheVRleHQ+PHJlY29yZD48cmVjLW51bWJlcj4yNzkxPC9yZWMtbnVt
YmVyPjxmb3JlaWduLWtleXM+PGtleSBhcHA9IkVOIiBkYi1pZD0ieHdzMHplenZ6cHR6MG9ldGFl
cnBkc3RzMGR3dzB2OWRmdjVzIiB0aW1lc3RhbXA9IjE2MDA4MTUwMTAiPjI3OTE8L2tleT48L2Zv
cmVpZ24ta2V5cz48cmVmLXR5cGUgbmFtZT0iSm91cm5hbCBBcnRpY2xlIj4xNzwvcmVmLXR5cGU+
PGNvbnRyaWJ1dG9ycz48YXV0aG9ycz48YXV0aG9yPktlZW5hbiwgQi4gVC48L2F1dGhvcj48YXV0
aG9yPktpcmNobmVyLCBILiBMLjwvYXV0aG9yPjxhdXRob3I+VmVhdGNoLCBPLiBKLjwvYXV0aG9y
PjxhdXRob3I+Qm9ydGh3aWNrLCBLLiBNLjwvYXV0aG9yPjxhdXRob3I+RGF2ZW5wb3J0LCBWLiBB
LjwvYXV0aG9yPjxhdXRob3I+RmVlbXN0ZXIsIEouIEMuPC9hdXRob3I+PGF1dGhvcj5HZW5keSwg
TS48L2F1dGhvcj48YXV0aG9yPkdvc3NhcmQsIFQuIFIuPC9hdXRob3I+PGF1dGhvcj5QYWNrLCBG
LiBNLjwvYXV0aG9yPjxhdXRob3I+U2lyaWt1bHZhZGhhbmEsIEwuPC9hdXRob3I+PGF1dGhvcj5U
ZWlnZW4sIEwuIE4uPC9hdXRob3I+PGF1dGhvcj5UaW1tLCBQLiBDLjwvYXV0aG9yPjxhdXRob3I+
TWFsb3csIEIuIEEuPC9hdXRob3I+PGF1dGhvcj5Nb3JnZW50aGFsZXIsIFQuIEkuPC9hdXRob3I+
PGF1dGhvcj5aZWUsIFAuIEMuPC9hdXRob3I+PGF1dGhvcj5QYWNrLCBBLiBJLjwvYXV0aG9yPjxh
dXRob3I+Um9iaXNoYXcsIEouIEQuPC9hdXRob3I+PGF1dGhvcj5EZXJvc2UsIFMuIEYuPC9hdXRo
b3I+PC9hdXRob3JzPjwvY29udHJpYnV0b3JzPjxhdXRoLWFkZHJlc3M+RGl2aXNpb24gb2YgU2xl
ZXAgTWVkaWNpbmUvRGVwYXJ0bWVudCBvZiBNZWRpY2luZSwgVW5pdmVyc2l0eSBvZiBQZW5uc3ls
dmFuaWEsIFBoaWxhZGVscGhpYSwgUGVubnN5bHZhbmlhLiYjeEQ7Q28tbGVhZCBhdXRob3JzLiYj
eEQ7QmlvbWVkaWNhbCBhbmQgVHJhbnNsYXRpb25hbCBJbmZvcm1hdGljcywgR2Vpc2luZ2VyLCBE
YW52aWxsZSwgUGVubnN5bHZhbmlhLiYjeEQ7U2xlZXAgRGlzb3JkZXJzIERpdmlzaW9uLCBWYW5k
ZXJiaWx0IFVuaXZlcnNpdHkgTWVkaWNhbCBDZW50ZXIsIE5hc2h2aWxsZSwgVGVubmVzc2VlLiYj
eEQ7Q2VudGVyIGZvciBTbGVlcCBNZWRpY2luZSwgTWF5byBDbGluaWMsIFJvY2hlc3RlciwgTWlu
bmVzb3RhLiYjeEQ7Q2VudGVyIGZvciBDaXJjYWRpYW4gYW5kIFNsZWVwIE1lZGljaW5lLCBGZWlu
YmVyZyBTY2hvb2wgb2YgTWVkaWNpbmUsIE5vcnRod2VzdGVybiBVbml2ZXJzaXR5LCBDaGljYWdv
LCBJbGxpbm9pcy4mI3hEO0RlcGFydG1lbnQgb2YgUmVzZWFyY2ggYW5kIEV2YWx1YXRpb24sIEth
aXNlciBQZXJtYW5lbnRlIFNvdXRoZXJuIENhbGlmb3JuaWEsIFBhc2FkZW5hLCBDYWxpZm9ybmlh
LiYjeEQ7Q2hhcmxlcyBFLiBTY2htaWR0IENvbGxlZ2Ugb2YgTWVkaWNpbmUsIEZsb3JpZGEgQXRs
YW50aWMgVW5pdmVyc2l0eSwgQm9jYSBSYXRvbiwgRmxvcmlkYS4mI3hEO0pvaW50IHNlbmlvciBh
dXRob3JzLjwvYXV0aC1hZGRyZXNzPjx0aXRsZXM+PHRpdGxlPk11bHRpc2l0ZSB2YWxpZGF0aW9u
IG9mIGEgc2ltcGxlIGVsZWN0cm9uaWMgaGVhbHRoIHJlY29yZCBhbGdvcml0aG0gZm9yIGlkZW50
aWZ5aW5nIGRpYWdub3NlZCBvYnN0cnVjdGl2ZSBzbGVlcCBhcG5lYTwvdGl0bGU+PHNlY29uZGFy
eS10aXRsZT5KIENsaW4gU2xlZXAgTWVkPC9zZWNvbmRhcnktdGl0bGU+PC90aXRsZXM+PHBlcmlv
ZGljYWw+PGZ1bGwtdGl0bGU+SiBDbGluIFNsZWVwIE1lZDwvZnVsbC10aXRsZT48L3BlcmlvZGlj
YWw+PHBhZ2VzPjE3NS0xODM8L3BhZ2VzPjx2b2x1bWU+MTY8L3ZvbHVtZT48bnVtYmVyPjI8L251
bWJlcj48ZWRpdGlvbj4yMDIwLzAxLzMwPC9lZGl0aW9uPjxrZXl3b3Jkcz48a2V5d29yZD4qY2Fz
ZS1pZGVudGlmaWNhdGlvbiBhbGdvcml0aG08L2tleXdvcmQ+PGtleXdvcmQ+KmRpYWdub3N0aWMg
Y29kZXM8L2tleXdvcmQ+PGtleXdvcmQ+KmVsZWN0cm9uaWMgaGVhbHRoIHJlY29yZDwva2V5d29y
ZD48a2V5d29yZD4qb2JzdHJ1Y3RpdmUgc2xlZXAgYXBuZWE8L2tleXdvcmQ+PGtleXdvcmQ+KnBo
ZW5vdHlwZTwva2V5d29yZD48L2tleXdvcmRzPjxkYXRlcz48eWVhcj4yMDIwPC95ZWFyPjxwdWIt
ZGF0ZXM+PGRhdGU+RmViIDE1PC9kYXRlPjwvcHViLWRhdGVzPjwvZGF0ZXM+PGlzYm4+MTU1MC05
Mzk3IChFbGVjdHJvbmljKSYjeEQ7MTU1MC05Mzg5IChMaW5raW5nKTwvaXNibj48YWNjZXNzaW9u
LW51bT4zMTk5MjQyOTwvYWNjZXNzaW9uLW51bT48dXJscz48cmVsYXRlZC11cmxzPjx1cmw+aHR0
cHM6Ly93d3cubmNiaS5ubG0ubmloLmdvdi9wdWJtZWQvMzE5OTI0Mjk8L3VybD48L3JlbGF0ZWQt
dXJscz48L3VybHM+PGN1c3RvbTI+UE1DNzA1MzAyMTwvY3VzdG9tMj48ZWxlY3Ryb25pYy1yZXNv
dXJjZS1udW0+MTAuNTY2NC9qY3NtLjgxNjA8L2VsZWN0cm9uaWMtcmVzb3VyY2UtbnVtPjwvcmVj
b3JkPjwvQ2l0ZT48L0VuZE5vdGU+AG==
</w:fldData>
        </w:fldChar>
      </w:r>
      <w:r w:rsidRPr="003B29CF">
        <w:rPr>
          <w:rFonts w:cs="Arial"/>
        </w:rPr>
        <w:instrText xml:space="preserve"> ADDIN EN.CITE.DATA </w:instrText>
      </w:r>
      <w:r w:rsidRPr="003B29CF">
        <w:rPr>
          <w:rFonts w:cs="Arial"/>
        </w:rPr>
      </w:r>
      <w:r w:rsidRPr="003B29CF">
        <w:rPr>
          <w:rFonts w:cs="Arial"/>
        </w:rPr>
        <w:fldChar w:fldCharType="end"/>
      </w:r>
      <w:r w:rsidRPr="003B29CF">
        <w:rPr>
          <w:rFonts w:cs="Arial"/>
        </w:rPr>
      </w:r>
      <w:r w:rsidRPr="003B29CF">
        <w:rPr>
          <w:rFonts w:cs="Arial"/>
        </w:rPr>
        <w:fldChar w:fldCharType="separate"/>
      </w:r>
      <w:r w:rsidRPr="003B29CF">
        <w:rPr>
          <w:rFonts w:cs="Arial"/>
          <w:noProof/>
          <w:vertAlign w:val="superscript"/>
        </w:rPr>
        <w:t>3</w:t>
      </w:r>
      <w:r w:rsidRPr="003B29CF">
        <w:rPr>
          <w:rFonts w:cs="Arial"/>
        </w:rPr>
        <w:fldChar w:fldCharType="end"/>
      </w:r>
      <w:r w:rsidRPr="003B29CF">
        <w:rPr>
          <w:rFonts w:cs="Arial"/>
        </w:rPr>
        <w:t xml:space="preserve">. We further required at least 1-year </w:t>
      </w:r>
      <w:r w:rsidR="00C50A66" w:rsidRPr="003B29CF">
        <w:rPr>
          <w:rFonts w:cs="Arial"/>
        </w:rPr>
        <w:t>enrolment</w:t>
      </w:r>
      <w:r w:rsidRPr="003B29CF">
        <w:rPr>
          <w:rFonts w:cs="Arial"/>
        </w:rPr>
        <w:t xml:space="preserve"> with Medicare before their first OSA claim, to better capture beneficiaries that were newly diagnosed with OSA and with complete PAP </w:t>
      </w:r>
      <w:r w:rsidR="003B29CF" w:rsidRPr="003B29CF">
        <w:rPr>
          <w:rFonts w:cs="Arial"/>
        </w:rPr>
        <w:t>utilization</w:t>
      </w:r>
      <w:r w:rsidRPr="003B29CF">
        <w:rPr>
          <w:rFonts w:cs="Arial"/>
        </w:rPr>
        <w:t xml:space="preserve"> history since OSA onset. For the analysis of incident MACE, we further excluded beneficiaries with history of any MACE prior to their initial OSA diagnosis date (see </w:t>
      </w:r>
      <w:r w:rsidRPr="003B29CF">
        <w:rPr>
          <w:rFonts w:cs="Arial"/>
          <w:i/>
          <w:iCs/>
        </w:rPr>
        <w:t>Study Outcomes</w:t>
      </w:r>
      <w:r w:rsidRPr="003B29CF">
        <w:rPr>
          <w:rFonts w:cs="Arial"/>
        </w:rPr>
        <w:t xml:space="preserve"> for MACE definitions).</w:t>
      </w:r>
    </w:p>
    <w:p w14:paraId="3E6B198C" w14:textId="77777777" w:rsidR="0006173D" w:rsidRPr="003B29CF" w:rsidRDefault="0006173D" w:rsidP="0006173D">
      <w:pPr>
        <w:spacing w:after="0" w:line="480" w:lineRule="auto"/>
        <w:jc w:val="both"/>
        <w:rPr>
          <w:rFonts w:cs="Arial"/>
          <w:i/>
          <w:iCs/>
        </w:rPr>
      </w:pPr>
    </w:p>
    <w:p w14:paraId="2DBFDF49" w14:textId="77777777" w:rsidR="0006173D" w:rsidRPr="003B29CF" w:rsidRDefault="0006173D" w:rsidP="0006173D">
      <w:pPr>
        <w:spacing w:after="0" w:line="480" w:lineRule="auto"/>
        <w:jc w:val="both"/>
        <w:rPr>
          <w:rFonts w:cs="Arial"/>
          <w:i/>
          <w:iCs/>
        </w:rPr>
      </w:pPr>
      <w:r w:rsidRPr="003B29CF">
        <w:rPr>
          <w:rFonts w:cs="Arial"/>
          <w:i/>
          <w:iCs/>
        </w:rPr>
        <w:t>Overview of study design</w:t>
      </w:r>
    </w:p>
    <w:p w14:paraId="34E5BBAD" w14:textId="11B0BA1B" w:rsidR="0006173D" w:rsidRPr="003B29CF" w:rsidRDefault="0006173D" w:rsidP="0006173D">
      <w:pPr>
        <w:spacing w:after="0" w:line="480" w:lineRule="auto"/>
        <w:ind w:firstLine="720"/>
        <w:jc w:val="both"/>
      </w:pPr>
      <w:r w:rsidRPr="003B29CF">
        <w:rPr>
          <w:rFonts w:cs="Arial"/>
        </w:rPr>
        <w:t xml:space="preserve">This is an observational, retrospective analysis of </w:t>
      </w:r>
      <w:r w:rsidR="00C50A66" w:rsidRPr="003B29CF">
        <w:rPr>
          <w:rFonts w:cs="Arial"/>
        </w:rPr>
        <w:t>state-wide</w:t>
      </w:r>
      <w:r w:rsidRPr="003B29CF">
        <w:rPr>
          <w:rFonts w:cs="Arial"/>
        </w:rPr>
        <w:t xml:space="preserve"> Medicare claims data. Due to its observational nature, we proposed two complementary causal inference designs to estimate the average treatment effect (ATE) of PAP initiation (</w:t>
      </w:r>
      <w:r w:rsidRPr="003B29CF">
        <w:rPr>
          <w:rFonts w:cs="Arial"/>
          <w:b/>
          <w:bCs/>
        </w:rPr>
        <w:t>Figure 1</w:t>
      </w:r>
      <w:r w:rsidRPr="003B29CF">
        <w:rPr>
          <w:rFonts w:cs="Arial"/>
        </w:rPr>
        <w:t xml:space="preserve">) and PAP </w:t>
      </w:r>
      <w:r w:rsidR="003B29CF" w:rsidRPr="003B29CF">
        <w:rPr>
          <w:rFonts w:cs="Arial"/>
        </w:rPr>
        <w:t>utilization</w:t>
      </w:r>
      <w:r w:rsidRPr="003B29CF">
        <w:rPr>
          <w:rFonts w:cs="Arial"/>
        </w:rPr>
        <w:t xml:space="preserve"> exposure groups based on</w:t>
      </w:r>
      <w:r w:rsidRPr="003B29CF">
        <w:t xml:space="preserve"> counts of PAP claims in the first year since initiation </w:t>
      </w:r>
      <w:r w:rsidRPr="003B29CF">
        <w:rPr>
          <w:rFonts w:cs="Arial"/>
        </w:rPr>
        <w:t>(</w:t>
      </w:r>
      <w:r w:rsidRPr="003B29CF">
        <w:rPr>
          <w:rFonts w:cs="Arial"/>
          <w:b/>
          <w:bCs/>
        </w:rPr>
        <w:t>Figure 2</w:t>
      </w:r>
      <w:r w:rsidRPr="003B29CF">
        <w:rPr>
          <w:rFonts w:cs="Arial"/>
        </w:rPr>
        <w:t>)</w:t>
      </w:r>
      <w:r w:rsidRPr="003B29CF">
        <w:t>.</w:t>
      </w:r>
    </w:p>
    <w:p w14:paraId="6C5DB29D" w14:textId="59D6D7A6" w:rsidR="0006173D" w:rsidRPr="003B29CF" w:rsidRDefault="0006173D" w:rsidP="0006173D">
      <w:pPr>
        <w:spacing w:after="0" w:line="480" w:lineRule="auto"/>
        <w:ind w:firstLine="720"/>
        <w:jc w:val="both"/>
      </w:pPr>
      <w:r w:rsidRPr="003B29CF">
        <w:t>While patients diagnosed with OSA have confirmed their exposure to the deleterious effects of OSA at the date of their diagnosis, there is variability on when they start PAP therapy when prescribed. Therefore, during the time window between OSA diagnosis (</w:t>
      </w:r>
      <w:r w:rsidRPr="003B29CF">
        <w:rPr>
          <w:i/>
          <w:iCs/>
        </w:rPr>
        <w:t>index T</w:t>
      </w:r>
      <w:r w:rsidRPr="003B29CF">
        <w:t xml:space="preserve">, </w:t>
      </w:r>
      <w:r w:rsidRPr="003B29CF">
        <w:rPr>
          <w:b/>
          <w:bCs/>
        </w:rPr>
        <w:t>Figure 1</w:t>
      </w:r>
      <w:r w:rsidRPr="003B29CF">
        <w:t xml:space="preserve">) and PAP initiation for those that initiated therapy </w:t>
      </w:r>
      <w:r w:rsidRPr="003B29CF">
        <w:lastRenderedPageBreak/>
        <w:t>(</w:t>
      </w:r>
      <w:r w:rsidRPr="003B29CF">
        <w:rPr>
          <w:i/>
          <w:iCs/>
        </w:rPr>
        <w:t>landmark T</w:t>
      </w:r>
      <w:r w:rsidRPr="003B29CF">
        <w:t xml:space="preserve">, </w:t>
      </w:r>
      <w:r w:rsidRPr="003B29CF">
        <w:rPr>
          <w:b/>
          <w:bCs/>
        </w:rPr>
        <w:t>Figure 1</w:t>
      </w:r>
      <w:r w:rsidRPr="003B29CF">
        <w:t>), these patients share the same exposure than those that never initiated PAP. This misclassification of time intervals between exposure groups may lead to immortal time bias and misestimation of treatment effects</w:t>
      </w:r>
      <w:r w:rsidRPr="003B29CF">
        <w:fldChar w:fldCharType="begin"/>
      </w:r>
      <w:r w:rsidRPr="003B29CF">
        <w:instrText xml:space="preserve"> ADDIN EN.CITE &lt;EndNote&gt;&lt;Cite&gt;&lt;Author&gt;Yadav&lt;/Author&gt;&lt;Year&gt;2021&lt;/Year&gt;&lt;RecNum&gt;3326&lt;/RecNum&gt;&lt;DisplayText&gt;&lt;style face="superscript"&gt;4&lt;/style&gt;&lt;/DisplayText&gt;&lt;record&gt;&lt;rec-number&gt;3326&lt;/rec-number&gt;&lt;foreign-keys&gt;&lt;key app="EN" db-id="xws0zezvzptz0oetaerpdsts0dww0v9dfv5s" timestamp="1681402813"&gt;3326&lt;/key&gt;&lt;/foreign-keys&gt;&lt;ref-type name="Journal Article"&gt;17&lt;/ref-type&gt;&lt;contributors&gt;&lt;authors&gt;&lt;author&gt;Yadav, Kabir&lt;/author&gt;&lt;author&gt;Lewis, Roger J.&lt;/author&gt;&lt;/authors&gt;&lt;/contributors&gt;&lt;titles&gt;&lt;title&gt;Immortal Time Bias in Observational Studies&lt;/title&gt;&lt;secondary-title&gt;Jama&lt;/secondary-title&gt;&lt;/titles&gt;&lt;periodical&gt;&lt;full-title&gt;JAMA&lt;/full-title&gt;&lt;/periodical&gt;&lt;volume&gt;325&lt;/volume&gt;&lt;number&gt;7&lt;/number&gt;&lt;section&gt;686&lt;/section&gt;&lt;dates&gt;&lt;year&gt;2021&lt;/year&gt;&lt;/dates&gt;&lt;isbn&gt;0098-7484&lt;/isbn&gt;&lt;urls&gt;&lt;/urls&gt;&lt;electronic-resource-num&gt;10.1001/jama.2020.9151&lt;/electronic-resource-num&gt;&lt;/record&gt;&lt;/Cite&gt;&lt;/EndNote&gt;</w:instrText>
      </w:r>
      <w:r w:rsidRPr="003B29CF">
        <w:fldChar w:fldCharType="separate"/>
      </w:r>
      <w:r w:rsidRPr="003B29CF">
        <w:rPr>
          <w:noProof/>
          <w:vertAlign w:val="superscript"/>
        </w:rPr>
        <w:t>4</w:t>
      </w:r>
      <w:r w:rsidRPr="003B29CF">
        <w:fldChar w:fldCharType="end"/>
      </w:r>
      <w:r w:rsidRPr="003B29CF">
        <w:t>. To control for this bias, we used the prescription time-distribution matching method</w:t>
      </w:r>
      <w:r w:rsidRPr="003B29CF">
        <w:fldChar w:fldCharType="begin"/>
      </w:r>
      <w:r w:rsidRPr="003B29CF">
        <w:instrText xml:space="preserve"> ADDIN EN.CITE &lt;EndNote&gt;&lt;Cite&gt;&lt;Author&gt;Zhou&lt;/Author&gt;&lt;Year&gt;2005&lt;/Year&gt;&lt;RecNum&gt;3321&lt;/RecNum&gt;&lt;DisplayText&gt;&lt;style face="superscript"&gt;5&lt;/style&gt;&lt;/DisplayText&gt;&lt;record&gt;&lt;rec-number&gt;3321&lt;/rec-number&gt;&lt;foreign-keys&gt;&lt;key app="EN" db-id="xws0zezvzptz0oetaerpdsts0dww0v9dfv5s" timestamp="1679343143"&gt;3321&lt;/key&gt;&lt;/foreign-keys&gt;&lt;ref-type name="Journal Article"&gt;17&lt;/ref-type&gt;&lt;contributors&gt;&lt;authors&gt;&lt;author&gt;Zhou, Zheng&lt;/author&gt;&lt;author&gt;Rahme, Elham&lt;/author&gt;&lt;author&gt;Abrahamowicz, Michal&lt;/author&gt;&lt;author&gt;Pilote, Louise&lt;/author&gt;&lt;/authors&gt;&lt;/contributors&gt;&lt;titles&gt;&lt;title&gt;Survival Bias Associated with Time-to-Treatment Initiation in Drug Effectiveness Evaluation: A Comparison of Methods&lt;/title&gt;&lt;secondary-title&gt;American Journal of Epidemiology&lt;/secondary-title&gt;&lt;/titles&gt;&lt;periodical&gt;&lt;full-title&gt;American Journal of Epidemiology&lt;/full-title&gt;&lt;/periodical&gt;&lt;pages&gt;1016-1023&lt;/pages&gt;&lt;volume&gt;162&lt;/volume&gt;&lt;number&gt;10&lt;/number&gt;&lt;section&gt;1016&lt;/section&gt;&lt;dates&gt;&lt;year&gt;2005&lt;/year&gt;&lt;/dates&gt;&lt;isbn&gt;1476-6256&amp;#xD;0002-9262&lt;/isbn&gt;&lt;urls&gt;&lt;/urls&gt;&lt;electronic-resource-num&gt;10.1093/aje/kwi307&lt;/electronic-resource-num&gt;&lt;/record&gt;&lt;/Cite&gt;&lt;/EndNote&gt;</w:instrText>
      </w:r>
      <w:r w:rsidRPr="003B29CF">
        <w:fldChar w:fldCharType="separate"/>
      </w:r>
      <w:r w:rsidRPr="003B29CF">
        <w:rPr>
          <w:noProof/>
          <w:vertAlign w:val="superscript"/>
        </w:rPr>
        <w:t>5</w:t>
      </w:r>
      <w:r w:rsidRPr="003B29CF">
        <w:fldChar w:fldCharType="end"/>
      </w:r>
      <w:r w:rsidRPr="003B29CF">
        <w:t>. In this method, the definition of “time zero” (exposure assignment, covariate determination, and start of follow-up) for the PAP initiation group is the corresponding PAP initiation date for each participant (</w:t>
      </w:r>
      <w:bookmarkStart w:id="2" w:name="_Hlk141096433"/>
      <w:r w:rsidRPr="003B29CF">
        <w:rPr>
          <w:i/>
          <w:iCs/>
        </w:rPr>
        <w:t>landmark T</w:t>
      </w:r>
      <w:r w:rsidRPr="003B29CF">
        <w:t xml:space="preserve">, </w:t>
      </w:r>
      <w:r w:rsidRPr="003B29CF">
        <w:rPr>
          <w:b/>
          <w:bCs/>
        </w:rPr>
        <w:t>Figure 1</w:t>
      </w:r>
      <w:bookmarkEnd w:id="2"/>
      <w:r w:rsidRPr="003B29CF">
        <w:t xml:space="preserve">). The distribution of number of days from OSA diagnosis to PAP initiation in this group is then used to randomly select and match a time zero for each member of the non-exposed group </w:t>
      </w:r>
      <w:bookmarkStart w:id="3" w:name="_Hlk141096421"/>
      <w:r w:rsidRPr="003B29CF">
        <w:t>(</w:t>
      </w:r>
      <w:r w:rsidRPr="003B29CF">
        <w:rPr>
          <w:i/>
          <w:iCs/>
        </w:rPr>
        <w:t>pseudo landmark date</w:t>
      </w:r>
      <w:r w:rsidRPr="003B29CF">
        <w:t xml:space="preserve">, </w:t>
      </w:r>
      <w:r w:rsidRPr="003B29CF">
        <w:rPr>
          <w:b/>
          <w:bCs/>
        </w:rPr>
        <w:t>Figure 1</w:t>
      </w:r>
      <w:r w:rsidRPr="003B29CF">
        <w:t>)</w:t>
      </w:r>
      <w:bookmarkEnd w:id="3"/>
      <w:r w:rsidRPr="003B29CF">
        <w:t xml:space="preserve">. If participants in the non-exposure group have events prior to their pseudo landmark date, they are not included in the analysis, as they would not meet inclusion criteria. </w:t>
      </w:r>
    </w:p>
    <w:p w14:paraId="619A17E9" w14:textId="02CD72E1" w:rsidR="0006173D" w:rsidRPr="003B29CF" w:rsidRDefault="0006173D" w:rsidP="0006173D">
      <w:pPr>
        <w:spacing w:after="0" w:line="480" w:lineRule="auto"/>
        <w:ind w:firstLine="720"/>
        <w:jc w:val="both"/>
      </w:pPr>
      <w:r w:rsidRPr="003B29CF">
        <w:t xml:space="preserve">For the analysis of </w:t>
      </w:r>
      <w:r w:rsidRPr="003B29CF">
        <w:rPr>
          <w:rFonts w:cs="Arial"/>
        </w:rPr>
        <w:t xml:space="preserve">PAP </w:t>
      </w:r>
      <w:r w:rsidR="003B29CF" w:rsidRPr="003B29CF">
        <w:rPr>
          <w:rFonts w:cs="Arial"/>
        </w:rPr>
        <w:t>utilization</w:t>
      </w:r>
      <w:r w:rsidRPr="003B29CF">
        <w:rPr>
          <w:rFonts w:cs="Arial"/>
        </w:rPr>
        <w:t xml:space="preserve"> exposure groups</w:t>
      </w:r>
      <w:r w:rsidRPr="003B29CF">
        <w:t>, we only included beneficiaries that have been enrolled and have not experienced events at the 1-year mark (</w:t>
      </w:r>
      <w:r w:rsidRPr="003B29CF">
        <w:rPr>
          <w:i/>
          <w:iCs/>
        </w:rPr>
        <w:t>landmark T</w:t>
      </w:r>
      <w:r w:rsidRPr="003B29CF">
        <w:t xml:space="preserve">, </w:t>
      </w:r>
      <w:r w:rsidRPr="003B29CF">
        <w:rPr>
          <w:b/>
          <w:bCs/>
        </w:rPr>
        <w:t>Figure 2</w:t>
      </w:r>
      <w:r w:rsidRPr="003B29CF">
        <w:t xml:space="preserve">) since their PAP initiation date. Exposure groups were defined based on the distribution of claim counts during this first year of PAP </w:t>
      </w:r>
      <w:r w:rsidR="003B29CF" w:rsidRPr="003B29CF">
        <w:t>utilization</w:t>
      </w:r>
      <w:r w:rsidRPr="003B29CF">
        <w:t xml:space="preserve"> (see </w:t>
      </w:r>
      <w:r w:rsidRPr="003B29CF">
        <w:rPr>
          <w:i/>
          <w:iCs/>
        </w:rPr>
        <w:t xml:space="preserve">PAP </w:t>
      </w:r>
      <w:r w:rsidR="003B29CF" w:rsidRPr="003B29CF">
        <w:rPr>
          <w:i/>
          <w:iCs/>
        </w:rPr>
        <w:t>utilization</w:t>
      </w:r>
      <w:r w:rsidRPr="003B29CF">
        <w:rPr>
          <w:i/>
          <w:iCs/>
        </w:rPr>
        <w:t xml:space="preserve"> definitions</w:t>
      </w:r>
      <w:r w:rsidRPr="003B29CF">
        <w:t>). Therefore, the “time zero” for each participant was the date of the first anniversary of PAP initiation.</w:t>
      </w:r>
    </w:p>
    <w:p w14:paraId="6F942E9E" w14:textId="77777777" w:rsidR="0006173D" w:rsidRPr="003B29CF" w:rsidRDefault="0006173D" w:rsidP="0006173D">
      <w:pPr>
        <w:spacing w:after="0" w:line="480" w:lineRule="auto"/>
        <w:jc w:val="both"/>
        <w:rPr>
          <w:rFonts w:cs="Arial"/>
          <w:i/>
          <w:iCs/>
        </w:rPr>
      </w:pPr>
    </w:p>
    <w:p w14:paraId="22CD4F99" w14:textId="69F2882E" w:rsidR="0006173D" w:rsidRPr="003B29CF" w:rsidRDefault="0006173D" w:rsidP="0006173D">
      <w:pPr>
        <w:spacing w:after="0" w:line="480" w:lineRule="auto"/>
        <w:jc w:val="both"/>
        <w:rPr>
          <w:rFonts w:cs="Arial"/>
          <w:i/>
          <w:iCs/>
        </w:rPr>
      </w:pPr>
      <w:r w:rsidRPr="003B29CF">
        <w:rPr>
          <w:rFonts w:cs="Arial"/>
          <w:i/>
          <w:iCs/>
        </w:rPr>
        <w:t xml:space="preserve">PAP </w:t>
      </w:r>
      <w:r w:rsidR="003B29CF" w:rsidRPr="003B29CF">
        <w:rPr>
          <w:rFonts w:cs="Arial"/>
          <w:i/>
          <w:iCs/>
        </w:rPr>
        <w:t>utilization</w:t>
      </w:r>
      <w:r w:rsidRPr="003B29CF">
        <w:rPr>
          <w:rFonts w:cs="Arial"/>
          <w:i/>
          <w:iCs/>
        </w:rPr>
        <w:t xml:space="preserve"> definitions</w:t>
      </w:r>
    </w:p>
    <w:p w14:paraId="39735F26" w14:textId="435D2A96" w:rsidR="0006173D" w:rsidRPr="003B29CF" w:rsidRDefault="0006173D" w:rsidP="0006173D">
      <w:pPr>
        <w:spacing w:after="0" w:line="480" w:lineRule="auto"/>
        <w:ind w:firstLine="720"/>
        <w:jc w:val="both"/>
        <w:rPr>
          <w:rFonts w:cs="Arial"/>
        </w:rPr>
      </w:pPr>
      <w:r w:rsidRPr="003B29CF">
        <w:rPr>
          <w:rFonts w:cs="Arial"/>
        </w:rPr>
        <w:t xml:space="preserve">Evidence of PAP initiation was determined based on the first PAP initiation claim after OSA diagnosis. We used the </w:t>
      </w:r>
      <w:r w:rsidR="00D260D6">
        <w:rPr>
          <w:rFonts w:cs="Arial"/>
        </w:rPr>
        <w:t xml:space="preserve">Current Procedural Terminology 4 and </w:t>
      </w:r>
      <w:r w:rsidRPr="003B29CF">
        <w:rPr>
          <w:rFonts w:cs="Arial"/>
        </w:rPr>
        <w:t>Healthcare Common Procedure Coding System codes to identify PAP claims</w:t>
      </w:r>
      <w:r w:rsidR="00D260D6">
        <w:rPr>
          <w:rFonts w:cs="Arial"/>
        </w:rPr>
        <w:t xml:space="preserve"> (see</w:t>
      </w:r>
      <w:r w:rsidRPr="003B29CF">
        <w:rPr>
          <w:rFonts w:cs="Arial"/>
        </w:rPr>
        <w:t xml:space="preserve"> </w:t>
      </w:r>
      <w:r w:rsidR="00D260D6" w:rsidRPr="003B29CF">
        <w:rPr>
          <w:rFonts w:cs="Arial"/>
          <w:b/>
          <w:bCs/>
        </w:rPr>
        <w:t xml:space="preserve">Supplemental Table </w:t>
      </w:r>
      <w:r w:rsidR="00D260D6" w:rsidRPr="00D260D6">
        <w:rPr>
          <w:rFonts w:cs="Arial"/>
          <w:b/>
          <w:bCs/>
        </w:rPr>
        <w:t>1</w:t>
      </w:r>
      <w:r w:rsidR="00D260D6">
        <w:rPr>
          <w:rFonts w:cs="Arial"/>
        </w:rPr>
        <w:t xml:space="preserve">). </w:t>
      </w:r>
      <w:r w:rsidRPr="00D260D6">
        <w:rPr>
          <w:rFonts w:cs="Arial"/>
        </w:rPr>
        <w:t>PAP</w:t>
      </w:r>
      <w:r w:rsidRPr="003B29CF">
        <w:rPr>
          <w:rFonts w:cs="Arial"/>
        </w:rPr>
        <w:t xml:space="preserve"> initiation claims were mostly available in the DME claims files and participants were classified as exposed (PAP initiation) and non-exposed (no evidence of PAP initiation throughout the exposure period).</w:t>
      </w:r>
    </w:p>
    <w:p w14:paraId="1A1601FC" w14:textId="125230BE" w:rsidR="0006173D" w:rsidRPr="003B29CF" w:rsidRDefault="0006173D" w:rsidP="0006173D">
      <w:pPr>
        <w:spacing w:after="0" w:line="480" w:lineRule="auto"/>
        <w:ind w:firstLine="720"/>
        <w:jc w:val="both"/>
        <w:rPr>
          <w:rFonts w:cs="Arial"/>
        </w:rPr>
      </w:pPr>
      <w:r w:rsidRPr="003B29CF">
        <w:rPr>
          <w:rFonts w:cs="Arial"/>
        </w:rPr>
        <w:t xml:space="preserve">PAP </w:t>
      </w:r>
      <w:r w:rsidR="00D260D6" w:rsidRPr="003B29CF">
        <w:rPr>
          <w:rFonts w:cs="Arial"/>
        </w:rPr>
        <w:t>utilization</w:t>
      </w:r>
      <w:r w:rsidRPr="003B29CF">
        <w:rPr>
          <w:rFonts w:cs="Arial"/>
        </w:rPr>
        <w:t xml:space="preserve"> exposure groups are used as surrogate measures of PAP adherence. Conventional definitions of PAP adherence are based on device usage hours and days used and are often used to make reimbursement decisions</w:t>
      </w:r>
      <w:r w:rsidRPr="003B29CF">
        <w:rPr>
          <w:rFonts w:cs="Arial"/>
        </w:rPr>
        <w:fldChar w:fldCharType="begin">
          <w:fldData xml:space="preserve">PEVuZE5vdGU+PENpdGU+PEF1dGhvcj5TY2h3YWI8L0F1dGhvcj48WWVhcj4yMDEzPC9ZZWFyPjxS
ZWNOdW0+Mjc4OTwvUmVjTnVtPjxEaXNwbGF5VGV4dD48c3R5bGUgZmFjZT0ic3VwZXJzY3JpcHQi
PjY8L3N0eWxlPjwvRGlzcGxheVRleHQ+PHJlY29yZD48cmVjLW51bWJlcj4yNzg5PC9yZWMtbnVt
YmVyPjxmb3JlaWduLWtleXM+PGtleSBhcHA9IkVOIiBkYi1pZD0ieHdzMHplenZ6cHR6MG9ldGFl
cnBkc3RzMGR3dzB2OWRmdjVzIiB0aW1lc3RhbXA9IjE2MDA4MTA0MDQiPjI3ODk8L2tleT48L2Zv
cmVpZ24ta2V5cz48cmVmLXR5cGUgbmFtZT0iSm91cm5hbCBBcnRpY2xlIj4xNzwvcmVmLXR5cGU+
PGNvbnRyaWJ1dG9ycz48YXV0aG9ycz48YXV0aG9yPlNjaHdhYiwgUi4gSi48L2F1dGhvcj48YXV0
aG9yPkJhZHIsIFMuIE0uPC9hdXRob3I+PGF1dGhvcj5FcHN0ZWluLCBMLiBKLjwvYXV0aG9yPjxh
dXRob3I+R2F5LCBQLiBDLjwvYXV0aG9yPjxhdXRob3I+R296YWwsIEQuPC9hdXRob3I+PGF1dGhv
cj5Lb2hsZXIsIE0uPC9hdXRob3I+PGF1dGhvcj5MZXZ5LCBQLjwvYXV0aG9yPjxhdXRob3I+TWFs
aG90cmEsIEEuPC9hdXRob3I+PGF1dGhvcj5QaGlsbGlwcywgQi4gQS48L2F1dGhvcj48YXV0aG9y
PlJvc2VuLCBJLiBNLjwvYXV0aG9yPjxhdXRob3I+U3Ryb2hsLCBLLiBQLjwvYXV0aG9yPjxhdXRo
b3I+U3Ryb2xsbywgUC4gSi48L2F1dGhvcj48YXV0aG9yPldlYXZlciwgRS4gTS48L2F1dGhvcj48
YXV0aG9yPldlYXZlciwgVC4gRS48L2F1dGhvcj48YXV0aG9yPkEuIFQuIFMuIFN1YmNvbW1pdHRl
ZSBvbiBDUEFQIEFkaGVyZW5jZSBUcmFja2luZyBTeXN0ZW1zPC9hdXRob3I+PC9hdXRob3JzPjwv
Y29udHJpYnV0b3JzPjx0aXRsZXM+PHRpdGxlPkFuIG9mZmljaWFsIEFtZXJpY2FuIFRob3JhY2lj
IFNvY2lldHkgc3RhdGVtZW50OiBjb250aW51b3VzIHBvc2l0aXZlIGFpcndheSBwcmVzc3VyZSBh
ZGhlcmVuY2UgdHJhY2tpbmcgc3lzdGVtcy4gVGhlIG9wdGltYWwgbW9uaXRvcmluZyBzdHJhdGVn
aWVzIGFuZCBvdXRjb21lIG1lYXN1cmVzIGluIGFkdWx0czwvdGl0bGU+PHNlY29uZGFyeS10aXRs
ZT5BbSBKIFJlc3BpciBDcml0IENhcmUgTWVkPC9zZWNvbmRhcnktdGl0bGU+PHNob3J0LXRpdGxl
PkFuIG9mZmljaWFsIEFtZXJpY2FuIFRob3JhY2ljIFNvY2lldHkgc3RhdGVtZW50PC9zaG9ydC10
aXRsZT48L3RpdGxlcz48cGVyaW9kaWNhbD48ZnVsbC10aXRsZT5BbSBKIFJlc3BpciBDcml0IENh
cmUgTWVkPC9mdWxsLXRpdGxlPjwvcGVyaW9kaWNhbD48cGFnZXM+NjEzLTIwPC9wYWdlcz48dm9s
dW1lPjE4ODwvdm9sdW1lPjxudW1iZXI+NTwvbnVtYmVyPjxlZGl0aW9uPjIwMTMvMDkvMDM8L2Vk
aXRpb24+PGtleXdvcmRzPjxrZXl3b3JkPkFsZ29yaXRobXM8L2tleXdvcmQ+PGtleXdvcmQ+KkNv
bnRpbnVvdXMgUG9zaXRpdmUgQWlyd2F5IFByZXNzdXJlL2luc3RydW1lbnRhdGlvbi9zdGFuZGFy
ZHMvc3RhdGlzdGljcyAmYW1wOzwva2V5d29yZD48a2V5d29yZD5udW1lcmljYWwgZGF0YTwva2V5
d29yZD48a2V5d29yZD5IdW1hbnM8L2tleXdvcmQ+PGtleXdvcmQ+KlBhdGllbnQgQ29tcGxpYW5j
ZS9zdGF0aXN0aWNzICZhbXA7IG51bWVyaWNhbCBkYXRhPC9rZXl3b3JkPjxrZXl3b3JkPlNsZWVw
IEFwbmVhLCBPYnN0cnVjdGl2ZS90aGVyYXB5PC9rZXl3b3JkPjxrZXl3b3JkPlRyZWF0bWVudCBP
dXRjb21lPC9rZXl3b3JkPjwva2V5d29yZHM+PGRhdGVzPjx5ZWFyPjIwMTM8L3llYXI+PHB1Yi1k
YXRlcz48ZGF0ZT5TZXAgMTwvZGF0ZT48L3B1Yi1kYXRlcz48L2RhdGVzPjxpc2JuPjE1MzUtNDk3
MCAoRWxlY3Ryb25pYykmI3hEOzEwNzMtNDQ5WCAoTGlua2luZyk8L2lzYm4+PGFjY2Vzc2lvbi1u
dW0+MjM5OTI1ODg8L2FjY2Vzc2lvbi1udW0+PHVybHM+PHJlbGF0ZWQtdXJscz48dXJsPmh0dHBz
Oi8vd3d3Lm5jYmkubmxtLm5paC5nb3YvcHVibWVkLzIzOTkyNTg4PC91cmw+PC9yZWxhdGVkLXVy
bHM+PC91cmxzPjxjdXN0b20yPlBNQzU0NDcyOTY8L2N1c3RvbTI+PGVsZWN0cm9uaWMtcmVzb3Vy
Y2UtbnVtPjEwLjExNjQvcmNjbS4yMDEzMDctMTI4MlNUPC9lbGVjdHJvbmljLXJlc291cmNlLW51
bT48cmVtb3RlLWRhdGFiYXNlLW5hbWU+UHViTWVkPC9yZW1vdGUtZGF0YWJhc2UtbmFtZT48bGFu
Z3VhZ2U+ZW5nPC9sYW5ndWFnZT48L3JlY29yZD48L0NpdGU+PC9FbmROb3RlPn==
</w:fldData>
        </w:fldChar>
      </w:r>
      <w:r w:rsidRPr="003B29CF">
        <w:rPr>
          <w:rFonts w:cs="Arial"/>
        </w:rPr>
        <w:instrText xml:space="preserve"> ADDIN EN.CITE </w:instrText>
      </w:r>
      <w:r w:rsidRPr="003B29CF">
        <w:rPr>
          <w:rFonts w:cs="Arial"/>
        </w:rPr>
        <w:fldChar w:fldCharType="begin">
          <w:fldData xml:space="preserve">PEVuZE5vdGU+PENpdGU+PEF1dGhvcj5TY2h3YWI8L0F1dGhvcj48WWVhcj4yMDEzPC9ZZWFyPjxS
ZWNOdW0+Mjc4OTwvUmVjTnVtPjxEaXNwbGF5VGV4dD48c3R5bGUgZmFjZT0ic3VwZXJzY3JpcHQi
PjY8L3N0eWxlPjwvRGlzcGxheVRleHQ+PHJlY29yZD48cmVjLW51bWJlcj4yNzg5PC9yZWMtbnVt
YmVyPjxmb3JlaWduLWtleXM+PGtleSBhcHA9IkVOIiBkYi1pZD0ieHdzMHplenZ6cHR6MG9ldGFl
cnBkc3RzMGR3dzB2OWRmdjVzIiB0aW1lc3RhbXA9IjE2MDA4MTA0MDQiPjI3ODk8L2tleT48L2Zv
cmVpZ24ta2V5cz48cmVmLXR5cGUgbmFtZT0iSm91cm5hbCBBcnRpY2xlIj4xNzwvcmVmLXR5cGU+
PGNvbnRyaWJ1dG9ycz48YXV0aG9ycz48YXV0aG9yPlNjaHdhYiwgUi4gSi48L2F1dGhvcj48YXV0
aG9yPkJhZHIsIFMuIE0uPC9hdXRob3I+PGF1dGhvcj5FcHN0ZWluLCBMLiBKLjwvYXV0aG9yPjxh
dXRob3I+R2F5LCBQLiBDLjwvYXV0aG9yPjxhdXRob3I+R296YWwsIEQuPC9hdXRob3I+PGF1dGhv
cj5Lb2hsZXIsIE0uPC9hdXRob3I+PGF1dGhvcj5MZXZ5LCBQLjwvYXV0aG9yPjxhdXRob3I+TWFs
aG90cmEsIEEuPC9hdXRob3I+PGF1dGhvcj5QaGlsbGlwcywgQi4gQS48L2F1dGhvcj48YXV0aG9y
PlJvc2VuLCBJLiBNLjwvYXV0aG9yPjxhdXRob3I+U3Ryb2hsLCBLLiBQLjwvYXV0aG9yPjxhdXRo
b3I+U3Ryb2xsbywgUC4gSi48L2F1dGhvcj48YXV0aG9yPldlYXZlciwgRS4gTS48L2F1dGhvcj48
YXV0aG9yPldlYXZlciwgVC4gRS48L2F1dGhvcj48YXV0aG9yPkEuIFQuIFMuIFN1YmNvbW1pdHRl
ZSBvbiBDUEFQIEFkaGVyZW5jZSBUcmFja2luZyBTeXN0ZW1zPC9hdXRob3I+PC9hdXRob3JzPjwv
Y29udHJpYnV0b3JzPjx0aXRsZXM+PHRpdGxlPkFuIG9mZmljaWFsIEFtZXJpY2FuIFRob3JhY2lj
IFNvY2lldHkgc3RhdGVtZW50OiBjb250aW51b3VzIHBvc2l0aXZlIGFpcndheSBwcmVzc3VyZSBh
ZGhlcmVuY2UgdHJhY2tpbmcgc3lzdGVtcy4gVGhlIG9wdGltYWwgbW9uaXRvcmluZyBzdHJhdGVn
aWVzIGFuZCBvdXRjb21lIG1lYXN1cmVzIGluIGFkdWx0czwvdGl0bGU+PHNlY29uZGFyeS10aXRs
ZT5BbSBKIFJlc3BpciBDcml0IENhcmUgTWVkPC9zZWNvbmRhcnktdGl0bGU+PHNob3J0LXRpdGxl
PkFuIG9mZmljaWFsIEFtZXJpY2FuIFRob3JhY2ljIFNvY2lldHkgc3RhdGVtZW50PC9zaG9ydC10
aXRsZT48L3RpdGxlcz48cGVyaW9kaWNhbD48ZnVsbC10aXRsZT5BbSBKIFJlc3BpciBDcml0IENh
cmUgTWVkPC9mdWxsLXRpdGxlPjwvcGVyaW9kaWNhbD48cGFnZXM+NjEzLTIwPC9wYWdlcz48dm9s
dW1lPjE4ODwvdm9sdW1lPjxudW1iZXI+NTwvbnVtYmVyPjxlZGl0aW9uPjIwMTMvMDkvMDM8L2Vk
aXRpb24+PGtleXdvcmRzPjxrZXl3b3JkPkFsZ29yaXRobXM8L2tleXdvcmQ+PGtleXdvcmQ+KkNv
bnRpbnVvdXMgUG9zaXRpdmUgQWlyd2F5IFByZXNzdXJlL2luc3RydW1lbnRhdGlvbi9zdGFuZGFy
ZHMvc3RhdGlzdGljcyAmYW1wOzwva2V5d29yZD48a2V5d29yZD5udW1lcmljYWwgZGF0YTwva2V5
d29yZD48a2V5d29yZD5IdW1hbnM8L2tleXdvcmQ+PGtleXdvcmQ+KlBhdGllbnQgQ29tcGxpYW5j
ZS9zdGF0aXN0aWNzICZhbXA7IG51bWVyaWNhbCBkYXRhPC9rZXl3b3JkPjxrZXl3b3JkPlNsZWVw
IEFwbmVhLCBPYnN0cnVjdGl2ZS90aGVyYXB5PC9rZXl3b3JkPjxrZXl3b3JkPlRyZWF0bWVudCBP
dXRjb21lPC9rZXl3b3JkPjwva2V5d29yZHM+PGRhdGVzPjx5ZWFyPjIwMTM8L3llYXI+PHB1Yi1k
YXRlcz48ZGF0ZT5TZXAgMTwvZGF0ZT48L3B1Yi1kYXRlcz48L2RhdGVzPjxpc2JuPjE1MzUtNDk3
MCAoRWxlY3Ryb25pYykmI3hEOzEwNzMtNDQ5WCAoTGlua2luZyk8L2lzYm4+PGFjY2Vzc2lvbi1u
dW0+MjM5OTI1ODg8L2FjY2Vzc2lvbi1udW0+PHVybHM+PHJlbGF0ZWQtdXJscz48dXJsPmh0dHBz
Oi8vd3d3Lm5jYmkubmxtLm5paC5nb3YvcHVibWVkLzIzOTkyNTg4PC91cmw+PC9yZWxhdGVkLXVy
bHM+PC91cmxzPjxjdXN0b20yPlBNQzU0NDcyOTY8L2N1c3RvbTI+PGVsZWN0cm9uaWMtcmVzb3Vy
Y2UtbnVtPjEwLjExNjQvcmNjbS4yMDEzMDctMTI4MlNUPC9lbGVjdHJvbmljLXJlc291cmNlLW51
bT48cmVtb3RlLWRhdGFiYXNlLW5hbWU+UHViTWVkPC9yZW1vdGUtZGF0YWJhc2UtbmFtZT48bGFu
Z3VhZ2U+ZW5nPC9sYW5ndWFnZT48L3JlY29yZD48L0NpdGU+PC9FbmROb3RlPn==
</w:fldData>
        </w:fldChar>
      </w:r>
      <w:r w:rsidRPr="003B29CF">
        <w:rPr>
          <w:rFonts w:cs="Arial"/>
        </w:rPr>
        <w:instrText xml:space="preserve"> ADDIN EN.CITE.DATA </w:instrText>
      </w:r>
      <w:r w:rsidRPr="003B29CF">
        <w:rPr>
          <w:rFonts w:cs="Arial"/>
        </w:rPr>
      </w:r>
      <w:r w:rsidRPr="003B29CF">
        <w:rPr>
          <w:rFonts w:cs="Arial"/>
        </w:rPr>
        <w:fldChar w:fldCharType="end"/>
      </w:r>
      <w:r w:rsidRPr="003B29CF">
        <w:rPr>
          <w:rFonts w:cs="Arial"/>
        </w:rPr>
      </w:r>
      <w:r w:rsidRPr="003B29CF">
        <w:rPr>
          <w:rFonts w:cs="Arial"/>
        </w:rPr>
        <w:fldChar w:fldCharType="separate"/>
      </w:r>
      <w:r w:rsidRPr="003B29CF">
        <w:rPr>
          <w:rFonts w:cs="Arial"/>
          <w:noProof/>
          <w:vertAlign w:val="superscript"/>
        </w:rPr>
        <w:t>6</w:t>
      </w:r>
      <w:r w:rsidRPr="003B29CF">
        <w:rPr>
          <w:rFonts w:cs="Arial"/>
        </w:rPr>
        <w:fldChar w:fldCharType="end"/>
      </w:r>
      <w:r w:rsidRPr="003B29CF">
        <w:rPr>
          <w:rFonts w:cs="Arial"/>
        </w:rPr>
        <w:t xml:space="preserve">. Because objective measures of adherence (e.g.,  hours of PAP use) are not available in Medicare claims databases, we explored different surrogates based on the total count of PAP claims during first year of </w:t>
      </w:r>
      <w:r w:rsidR="00D260D6" w:rsidRPr="003B29CF">
        <w:rPr>
          <w:rFonts w:cs="Arial"/>
        </w:rPr>
        <w:t>utilization</w:t>
      </w:r>
      <w:r w:rsidRPr="003B29CF">
        <w:rPr>
          <w:rFonts w:cs="Arial"/>
        </w:rPr>
        <w:t xml:space="preserve">: a) </w:t>
      </w:r>
      <w:r w:rsidRPr="003B29CF">
        <w:rPr>
          <w:rFonts w:cs="Arial"/>
          <w:i/>
          <w:iCs/>
          <w:u w:val="single"/>
        </w:rPr>
        <w:t>Rule-based</w:t>
      </w:r>
      <w:r w:rsidRPr="003B29CF">
        <w:rPr>
          <w:rFonts w:cs="Arial"/>
        </w:rPr>
        <w:t xml:space="preserve"> definition proposed by </w:t>
      </w:r>
      <w:proofErr w:type="spellStart"/>
      <w:r w:rsidRPr="003B29CF">
        <w:rPr>
          <w:rFonts w:cs="Arial"/>
        </w:rPr>
        <w:t>Wickwire</w:t>
      </w:r>
      <w:proofErr w:type="spellEnd"/>
      <w:r w:rsidRPr="003B29CF">
        <w:rPr>
          <w:rFonts w:cs="Arial"/>
        </w:rPr>
        <w:t xml:space="preserve"> et al</w:t>
      </w:r>
      <w:r w:rsidRPr="003B29CF">
        <w:rPr>
          <w:rFonts w:cs="Arial"/>
        </w:rPr>
        <w:fldChar w:fldCharType="begin"/>
      </w:r>
      <w:r w:rsidRPr="003B29CF">
        <w:rPr>
          <w:rFonts w:cs="Arial"/>
        </w:rPr>
        <w:instrText xml:space="preserve"> ADDIN EN.CITE &lt;EndNote&gt;&lt;Cite&gt;&lt;Author&gt;Wickwire&lt;/Author&gt;&lt;Year&gt;2022&lt;/Year&gt;&lt;RecNum&gt;3328&lt;/RecNum&gt;&lt;DisplayText&gt;&lt;style face="superscript"&gt;7&lt;/style&gt;&lt;/DisplayText&gt;&lt;record&gt;&lt;rec-number&gt;3328&lt;/rec-number&gt;&lt;foreign-keys&gt;&lt;key app="EN" db-id="xws0zezvzptz0oetaerpdsts0dww0v9dfv5s" timestamp="1681405349"&gt;3328&lt;/key&gt;&lt;/foreign-keys&gt;&lt;ref-type name="Journal Article"&gt;17&lt;/ref-type&gt;&lt;contributors&gt;&lt;authors&gt;&lt;author&gt;Wickwire, Emerson M.&lt;/author&gt;&lt;author&gt;Bailey, M. Doyinsola&lt;/author&gt;&lt;author&gt;Somers, Virend K.&lt;/author&gt;&lt;author&gt;Oldstone, Liesl M.&lt;/author&gt;&lt;author&gt;Srivastava, Mukta C.&lt;/author&gt;&lt;author&gt;Johnson, Abree M.&lt;/author&gt;&lt;author&gt;Scharf, Steven M.&lt;/author&gt;&lt;author&gt;Albrecht, Jennifer S.&lt;/author&gt;&lt;/authors&gt;&lt;/contributors&gt;&lt;titles&gt;&lt;title&gt;CPAP adherence is associated with reduced inpatient utilization among older adult Medicare beneficiaries with pre-existing cardiovascular disease&lt;/title&gt;&lt;secondary-title&gt;Journal of Clinical Sleep Medicine&lt;/secondary-title&gt;&lt;/titles&gt;&lt;periodical&gt;&lt;full-title&gt;Journal of Clinical Sleep Medicine&lt;/full-title&gt;&lt;/periodical&gt;&lt;pages&gt;39-45&lt;/pages&gt;&lt;volume&gt;18&lt;/volume&gt;&lt;number&gt;1&lt;/number&gt;&lt;section&gt;39&lt;/section&gt;&lt;dates&gt;&lt;year&gt;2022&lt;/year&gt;&lt;/dates&gt;&lt;isbn&gt;1550-9389&amp;#xD;1550-9397&lt;/isbn&gt;&lt;urls&gt;&lt;/urls&gt;&lt;electronic-resource-num&gt;10.5664/jcsm.9478&lt;/electronic-resource-num&gt;&lt;/record&gt;&lt;/Cite&gt;&lt;/EndNote&gt;</w:instrText>
      </w:r>
      <w:r w:rsidRPr="003B29CF">
        <w:rPr>
          <w:rFonts w:cs="Arial"/>
        </w:rPr>
        <w:fldChar w:fldCharType="separate"/>
      </w:r>
      <w:r w:rsidRPr="003B29CF">
        <w:rPr>
          <w:rFonts w:cs="Arial"/>
          <w:noProof/>
          <w:vertAlign w:val="superscript"/>
        </w:rPr>
        <w:t>7</w:t>
      </w:r>
      <w:r w:rsidRPr="003B29CF">
        <w:rPr>
          <w:rFonts w:cs="Arial"/>
        </w:rPr>
        <w:fldChar w:fldCharType="end"/>
      </w:r>
      <w:r w:rsidRPr="003B29CF">
        <w:rPr>
          <w:rFonts w:cs="Arial"/>
        </w:rPr>
        <w:t xml:space="preserve"> as: low adherers with &lt; 4 charges, partial adherers with 4-12 charges, and high adherers with &gt;12 charges; b) </w:t>
      </w:r>
      <w:r w:rsidRPr="003B29CF">
        <w:rPr>
          <w:rFonts w:cs="Arial"/>
          <w:i/>
          <w:iCs/>
          <w:u w:val="single"/>
        </w:rPr>
        <w:t>Quantile-based</w:t>
      </w:r>
      <w:r w:rsidRPr="003B29CF">
        <w:rPr>
          <w:rFonts w:cs="Arial"/>
        </w:rPr>
        <w:t xml:space="preserve">, which segments PAP claim counts based on median, terciles or quartiles; c) </w:t>
      </w:r>
      <w:r w:rsidRPr="003B29CF">
        <w:rPr>
          <w:rFonts w:cs="Arial"/>
          <w:i/>
          <w:iCs/>
          <w:u w:val="single"/>
        </w:rPr>
        <w:t>Equally spaced</w:t>
      </w:r>
      <w:r w:rsidRPr="003B29CF">
        <w:rPr>
          <w:rFonts w:cs="Arial"/>
        </w:rPr>
        <w:t xml:space="preserve">, which divides PAP claim counts </w:t>
      </w:r>
      <w:r w:rsidRPr="003B29CF">
        <w:rPr>
          <w:rFonts w:cs="Arial"/>
        </w:rPr>
        <w:lastRenderedPageBreak/>
        <w:t xml:space="preserve">based on incremental number of claims (e.g., 4 or 8 claim increments); d) </w:t>
      </w:r>
      <w:r w:rsidRPr="003B29CF">
        <w:rPr>
          <w:rFonts w:cs="Arial"/>
          <w:i/>
          <w:iCs/>
          <w:u w:val="single"/>
        </w:rPr>
        <w:t>Empirical</w:t>
      </w:r>
      <w:r w:rsidRPr="003B29CF">
        <w:rPr>
          <w:rFonts w:cs="Arial"/>
        </w:rPr>
        <w:t xml:space="preserve">, by estimating cut-points in the distribution of PAP claim counts using a tree-based </w:t>
      </w:r>
      <w:r w:rsidR="00D260D6" w:rsidRPr="003B29CF">
        <w:rPr>
          <w:rFonts w:cs="Arial"/>
        </w:rPr>
        <w:t>discretization</w:t>
      </w:r>
      <w:r w:rsidRPr="003B29CF">
        <w:rPr>
          <w:rFonts w:cs="Arial"/>
        </w:rPr>
        <w:t xml:space="preserve"> algorithm (i.e., a greedy algorithm to iteratively identify the most discriminant cut point for each outcome); and e) </w:t>
      </w:r>
      <w:r w:rsidRPr="003B29CF">
        <w:rPr>
          <w:rFonts w:cs="Arial"/>
          <w:i/>
          <w:iCs/>
          <w:u w:val="single"/>
        </w:rPr>
        <w:t>Raw claim counts</w:t>
      </w:r>
      <w:r w:rsidRPr="003B29CF">
        <w:rPr>
          <w:rFonts w:cs="Arial"/>
        </w:rPr>
        <w:t>, representing the numerical PAP claim counts in the first year. Prior studies have suggested that a greater number of DME claims, such as mask refills, correlates with objective adherence based on hours of use</w:t>
      </w:r>
      <w:r w:rsidRPr="003B29CF">
        <w:rPr>
          <w:rFonts w:cs="Arial"/>
        </w:rPr>
        <w:fldChar w:fldCharType="begin"/>
      </w:r>
      <w:r w:rsidRPr="003B29CF">
        <w:rPr>
          <w:rFonts w:cs="Arial"/>
        </w:rPr>
        <w:instrText xml:space="preserve"> ADDIN EN.CITE &lt;EndNote&gt;&lt;Cite&gt;&lt;Author&gt;Scharf&lt;/Author&gt;&lt;Year&gt;2017&lt;/Year&gt;&lt;RecNum&gt;3371&lt;/RecNum&gt;&lt;DisplayText&gt;&lt;style face="superscript"&gt;8&lt;/style&gt;&lt;/DisplayText&gt;&lt;record&gt;&lt;rec-number&gt;3371&lt;/rec-number&gt;&lt;foreign-keys&gt;&lt;key app="EN" db-id="xws0zezvzptz0oetaerpdsts0dww0v9dfv5s" timestamp="1687440952"&gt;3371&lt;/key&gt;&lt;/foreign-keys&gt;&lt;ref-type name="Journal Article"&gt;17&lt;/ref-type&gt;&lt;contributors&gt;&lt;authors&gt;&lt;author&gt;Scharf, Matthew T.&lt;/author&gt;&lt;author&gt;Keenan, Brendan T.&lt;/author&gt;&lt;author&gt;Pack, Allan I.&lt;/author&gt;&lt;author&gt;Kuna, Samuel T.&lt;/author&gt;&lt;/authors&gt;&lt;/contributors&gt;&lt;titles&gt;&lt;title&gt;Mask Refills as a Measure of PAP Adherence&lt;/title&gt;&lt;secondary-title&gt;Journal of Clinical Sleep Medicine&lt;/secondary-title&gt;&lt;/titles&gt;&lt;periodical&gt;&lt;full-title&gt;Journal of Clinical Sleep Medicine&lt;/full-title&gt;&lt;/periodical&gt;&lt;pages&gt;1337-1344&lt;/pages&gt;&lt;volume&gt;13&lt;/volume&gt;&lt;number&gt;11&lt;/number&gt;&lt;section&gt;1337&lt;/section&gt;&lt;dates&gt;&lt;year&gt;2017&lt;/year&gt;&lt;/dates&gt;&lt;isbn&gt;1550-9389&amp;#xD;1550-9397&lt;/isbn&gt;&lt;urls&gt;&lt;/urls&gt;&lt;electronic-resource-num&gt;10.5664/jcsm.6810&lt;/electronic-resource-num&gt;&lt;/record&gt;&lt;/Cite&gt;&lt;/EndNote&gt;</w:instrText>
      </w:r>
      <w:r w:rsidRPr="003B29CF">
        <w:rPr>
          <w:rFonts w:cs="Arial"/>
        </w:rPr>
        <w:fldChar w:fldCharType="separate"/>
      </w:r>
      <w:r w:rsidRPr="003B29CF">
        <w:rPr>
          <w:rFonts w:cs="Arial"/>
          <w:noProof/>
          <w:vertAlign w:val="superscript"/>
        </w:rPr>
        <w:t>8</w:t>
      </w:r>
      <w:r w:rsidRPr="003B29CF">
        <w:rPr>
          <w:rFonts w:cs="Arial"/>
        </w:rPr>
        <w:fldChar w:fldCharType="end"/>
      </w:r>
      <w:r w:rsidRPr="003B29CF">
        <w:rPr>
          <w:rFonts w:cs="Arial"/>
        </w:rPr>
        <w:t xml:space="preserve">. A comprehensive comparison of all methods is presented in the online supplement and informed the selection of the quartile-based PAP </w:t>
      </w:r>
      <w:r w:rsidR="00160087" w:rsidRPr="003B29CF">
        <w:rPr>
          <w:rFonts w:cs="Arial"/>
        </w:rPr>
        <w:t>utilization</w:t>
      </w:r>
      <w:r w:rsidRPr="003B29CF">
        <w:rPr>
          <w:rFonts w:cs="Arial"/>
        </w:rPr>
        <w:t xml:space="preserve"> exposure group definition, which was then used in our primary analysis.</w:t>
      </w:r>
    </w:p>
    <w:p w14:paraId="5956D778" w14:textId="77777777" w:rsidR="0006173D" w:rsidRPr="003B29CF" w:rsidRDefault="0006173D" w:rsidP="0006173D">
      <w:pPr>
        <w:spacing w:after="0" w:line="480" w:lineRule="auto"/>
        <w:jc w:val="both"/>
        <w:rPr>
          <w:rFonts w:cs="Arial"/>
        </w:rPr>
      </w:pPr>
    </w:p>
    <w:p w14:paraId="7394F5E6" w14:textId="77777777" w:rsidR="0006173D" w:rsidRPr="003B29CF" w:rsidRDefault="0006173D" w:rsidP="0006173D">
      <w:pPr>
        <w:spacing w:after="0" w:line="480" w:lineRule="auto"/>
        <w:jc w:val="both"/>
        <w:rPr>
          <w:rFonts w:cs="Arial"/>
          <w:i/>
          <w:iCs/>
        </w:rPr>
      </w:pPr>
      <w:r w:rsidRPr="003B29CF">
        <w:rPr>
          <w:rFonts w:cs="Arial"/>
          <w:i/>
          <w:iCs/>
        </w:rPr>
        <w:t>Study Outcomes</w:t>
      </w:r>
    </w:p>
    <w:p w14:paraId="34AA7A8E" w14:textId="201AE839" w:rsidR="0006173D" w:rsidRPr="003B29CF" w:rsidRDefault="0006173D" w:rsidP="0006173D">
      <w:pPr>
        <w:spacing w:after="0" w:line="480" w:lineRule="auto"/>
        <w:ind w:firstLine="720"/>
        <w:jc w:val="both"/>
        <w:rPr>
          <w:rFonts w:cs="Arial"/>
        </w:rPr>
      </w:pPr>
      <w:r w:rsidRPr="003B29CF">
        <w:rPr>
          <w:rFonts w:cs="Arial"/>
        </w:rPr>
        <w:t>We assessed two primary outcomes: all-cause mortality and incidence of MACE. All-cause mortality was obtained by identifying date of death provided in the Medicare beneficiary summary file. The main sources of death information CMS uses are: Social Security Death Master File, Medicare Common Working File and Online date of death submitted by family members</w:t>
      </w:r>
      <w:r w:rsidRPr="003B29CF">
        <w:rPr>
          <w:rFonts w:cs="Arial"/>
        </w:rPr>
        <w:fldChar w:fldCharType="begin"/>
      </w:r>
      <w:r w:rsidRPr="003B29CF">
        <w:rPr>
          <w:rFonts w:cs="Arial"/>
        </w:rPr>
        <w:instrText xml:space="preserve"> ADDIN EN.CITE &lt;EndNote&gt;&lt;Cite&gt;&lt;Author&gt;Jarosek&lt;/Author&gt;&lt;Year&gt;2022&lt;/Year&gt;&lt;RecNum&gt;3329&lt;/RecNum&gt;&lt;DisplayText&gt;&lt;style face="superscript"&gt;9&lt;/style&gt;&lt;/DisplayText&gt;&lt;record&gt;&lt;rec-number&gt;3329&lt;/rec-number&gt;&lt;foreign-keys&gt;&lt;key app="EN" db-id="xws0zezvzptz0oetaerpdsts0dww0v9dfv5s" timestamp="1681406504"&gt;3329&lt;/key&gt;&lt;/foreign-keys&gt;&lt;ref-type name="Web Page"&gt;12&lt;/ref-type&gt;&lt;contributors&gt;&lt;authors&gt;&lt;author&gt;Stephanie Jarosek&lt;/author&gt;&lt;/authors&gt;&lt;/contributors&gt;&lt;titles&gt;&lt;title&gt;Death Information in the Research Identifiable Medicare Data&lt;/title&gt;&lt;/titles&gt;&lt;volume&gt;2022&lt;/volume&gt;&lt;dates&gt;&lt;year&gt;2022&lt;/year&gt;&lt;pub-dates&gt;&lt;date&gt;11/09/2022&lt;/date&gt;&lt;/pub-dates&gt;&lt;/dates&gt;&lt;publisher&gt;Research Data Assistance Center&lt;/publisher&gt;&lt;urls&gt;&lt;related-urls&gt;&lt;url&gt;https://resdac.org/articles/death-information-research-identifiable-medicare-data&lt;/url&gt;&lt;/related-urls&gt;&lt;/urls&gt;&lt;/record&gt;&lt;/Cite&gt;&lt;/EndNote&gt;</w:instrText>
      </w:r>
      <w:r w:rsidRPr="003B29CF">
        <w:rPr>
          <w:rFonts w:cs="Arial"/>
        </w:rPr>
        <w:fldChar w:fldCharType="separate"/>
      </w:r>
      <w:r w:rsidRPr="003B29CF">
        <w:rPr>
          <w:rFonts w:cs="Arial"/>
          <w:noProof/>
          <w:vertAlign w:val="superscript"/>
        </w:rPr>
        <w:t>9</w:t>
      </w:r>
      <w:r w:rsidRPr="003B29CF">
        <w:rPr>
          <w:rFonts w:cs="Arial"/>
        </w:rPr>
        <w:fldChar w:fldCharType="end"/>
      </w:r>
      <w:r w:rsidRPr="003B29CF">
        <w:rPr>
          <w:rFonts w:cs="Arial"/>
        </w:rPr>
        <w:t xml:space="preserve">. MACE was defined as a composite outcome defined as the first occurrence of </w:t>
      </w:r>
      <w:bookmarkStart w:id="4" w:name="_Hlk126843025"/>
      <w:r w:rsidRPr="003B29CF">
        <w:rPr>
          <w:rFonts w:cs="Arial"/>
        </w:rPr>
        <w:t xml:space="preserve">myocardial infarction (MI), heart failure (HF), stroke or coronary </w:t>
      </w:r>
      <w:bookmarkEnd w:id="4"/>
      <w:r w:rsidR="00160087" w:rsidRPr="003B29CF">
        <w:rPr>
          <w:rFonts w:cs="Arial"/>
        </w:rPr>
        <w:t>revascularization</w:t>
      </w:r>
      <w:r w:rsidRPr="003B29CF">
        <w:rPr>
          <w:rFonts w:cs="Arial"/>
        </w:rPr>
        <w:t xml:space="preserve">, identified by diagnostic and procedure code claims, as specified in </w:t>
      </w:r>
      <w:r w:rsidRPr="003B29CF">
        <w:rPr>
          <w:rFonts w:cs="Arial"/>
          <w:b/>
          <w:bCs/>
        </w:rPr>
        <w:t>Supplemental Table 1</w:t>
      </w:r>
      <w:r w:rsidRPr="003B29CF">
        <w:rPr>
          <w:rFonts w:cs="Arial"/>
          <w:i/>
          <w:iCs/>
        </w:rPr>
        <w:t xml:space="preserve">. </w:t>
      </w:r>
      <w:r w:rsidRPr="003B29CF">
        <w:rPr>
          <w:rFonts w:cs="Arial"/>
        </w:rPr>
        <w:t>In analyses using MACE as the outcome, we excluded participants with evidence of MACE prior to the index date. Secondary analyses using each individual component of MACE as outcomes were also presented.</w:t>
      </w:r>
    </w:p>
    <w:p w14:paraId="0B2C7920" w14:textId="77777777" w:rsidR="0006173D" w:rsidRPr="003B29CF" w:rsidRDefault="0006173D" w:rsidP="0006173D">
      <w:pPr>
        <w:spacing w:after="0" w:line="480" w:lineRule="auto"/>
        <w:jc w:val="both"/>
        <w:rPr>
          <w:rFonts w:cs="Arial"/>
        </w:rPr>
      </w:pPr>
    </w:p>
    <w:p w14:paraId="442F6471" w14:textId="77777777" w:rsidR="0006173D" w:rsidRPr="003B29CF" w:rsidRDefault="0006173D" w:rsidP="0006173D">
      <w:pPr>
        <w:spacing w:after="0" w:line="480" w:lineRule="auto"/>
        <w:jc w:val="both"/>
        <w:rPr>
          <w:rFonts w:cs="Arial"/>
          <w:i/>
          <w:iCs/>
        </w:rPr>
      </w:pPr>
      <w:r w:rsidRPr="003B29CF">
        <w:rPr>
          <w:rFonts w:cs="Arial"/>
          <w:i/>
          <w:iCs/>
        </w:rPr>
        <w:t>Covariates</w:t>
      </w:r>
    </w:p>
    <w:p w14:paraId="692D1625" w14:textId="6CDD92E5" w:rsidR="0006173D" w:rsidRPr="003B29CF" w:rsidRDefault="0006173D" w:rsidP="0006173D">
      <w:pPr>
        <w:spacing w:after="0" w:line="480" w:lineRule="auto"/>
        <w:ind w:firstLine="720"/>
        <w:jc w:val="both"/>
        <w:rPr>
          <w:rFonts w:cs="Arial"/>
        </w:rPr>
      </w:pPr>
      <w:r w:rsidRPr="003B29CF">
        <w:rPr>
          <w:rFonts w:cs="Arial"/>
        </w:rPr>
        <w:t xml:space="preserve">We included the following covariates of interest: age at the first OSA diagnosis, sex, race (White, Black, American Indian, Asian, Other), low-income subsidy or dual-eligibility indicator (determined as the patient being eligible for dual </w:t>
      </w:r>
      <w:r w:rsidR="00C50A66" w:rsidRPr="003B29CF">
        <w:rPr>
          <w:rFonts w:cs="Arial"/>
        </w:rPr>
        <w:t>enrolment</w:t>
      </w:r>
      <w:r w:rsidRPr="003B29CF">
        <w:rPr>
          <w:rFonts w:cs="Arial"/>
        </w:rPr>
        <w:t xml:space="preserve"> to Medicaid or Low Income Subsidy for at least 1 month during their </w:t>
      </w:r>
      <w:r w:rsidR="00C50A66" w:rsidRPr="003B29CF">
        <w:rPr>
          <w:rFonts w:cs="Arial"/>
        </w:rPr>
        <w:t>enrolment</w:t>
      </w:r>
      <w:r w:rsidRPr="003B29CF">
        <w:rPr>
          <w:rFonts w:cs="Arial"/>
        </w:rPr>
        <w:t xml:space="preserve"> period) representing proxies of socioeconomic status, </w:t>
      </w:r>
      <w:r w:rsidR="00160087" w:rsidRPr="00BB18A8">
        <w:rPr>
          <w:rFonts w:cs="Arial"/>
        </w:rPr>
        <w:t xml:space="preserve">prior history of type 2 diabetes, hypertension, obesity, </w:t>
      </w:r>
      <w:bookmarkStart w:id="5" w:name="_Hlk158370980"/>
      <w:r w:rsidR="00160087">
        <w:rPr>
          <w:rFonts w:cs="Arial"/>
        </w:rPr>
        <w:t>a</w:t>
      </w:r>
      <w:r w:rsidR="00160087" w:rsidRPr="00EA5FEC">
        <w:rPr>
          <w:rFonts w:cs="Arial"/>
        </w:rPr>
        <w:t xml:space="preserve">trial </w:t>
      </w:r>
      <w:r w:rsidR="00160087">
        <w:rPr>
          <w:rFonts w:cs="Arial"/>
        </w:rPr>
        <w:t>f</w:t>
      </w:r>
      <w:r w:rsidR="00160087" w:rsidRPr="00EA5FEC">
        <w:rPr>
          <w:rFonts w:cs="Arial"/>
        </w:rPr>
        <w:t>ibrillation</w:t>
      </w:r>
      <w:bookmarkEnd w:id="5"/>
      <w:r w:rsidR="00160087">
        <w:rPr>
          <w:rFonts w:cs="Arial"/>
        </w:rPr>
        <w:t xml:space="preserve">, </w:t>
      </w:r>
      <w:r w:rsidR="00160087" w:rsidRPr="00EA5FEC">
        <w:rPr>
          <w:rFonts w:cs="Arial"/>
        </w:rPr>
        <w:t xml:space="preserve"> </w:t>
      </w:r>
      <w:r w:rsidR="00160087" w:rsidRPr="00BB18A8">
        <w:rPr>
          <w:rFonts w:cs="Arial"/>
        </w:rPr>
        <w:t>MACE (only in models assessing all-cause mortality), chronic obstructive pulmonary disease (COPD),</w:t>
      </w:r>
      <w:r w:rsidR="00873DF5">
        <w:rPr>
          <w:rFonts w:cs="Arial"/>
        </w:rPr>
        <w:t xml:space="preserve"> </w:t>
      </w:r>
      <w:bookmarkStart w:id="6" w:name="_Hlk157599149"/>
      <w:r w:rsidR="00873DF5">
        <w:rPr>
          <w:rFonts w:cs="Arial"/>
        </w:rPr>
        <w:t>chronic kidney disease (CKD)</w:t>
      </w:r>
      <w:bookmarkEnd w:id="6"/>
      <w:r w:rsidR="00873DF5">
        <w:rPr>
          <w:rFonts w:cs="Arial"/>
        </w:rPr>
        <w:t>,</w:t>
      </w:r>
      <w:r w:rsidR="00160087" w:rsidRPr="00BB18A8">
        <w:rPr>
          <w:rFonts w:cs="Arial"/>
        </w:rPr>
        <w:t xml:space="preserve"> </w:t>
      </w:r>
      <w:bookmarkStart w:id="7" w:name="_Hlk158371026"/>
      <w:r w:rsidR="00160087">
        <w:rPr>
          <w:rFonts w:cs="Arial"/>
        </w:rPr>
        <w:t xml:space="preserve">anxiety disorder, </w:t>
      </w:r>
      <w:r w:rsidR="00160087" w:rsidRPr="00BB18A8">
        <w:rPr>
          <w:rFonts w:cs="Arial"/>
        </w:rPr>
        <w:t>hypersomnia, insomnia</w:t>
      </w:r>
      <w:r w:rsidR="00160087">
        <w:rPr>
          <w:rFonts w:cs="Arial"/>
        </w:rPr>
        <w:t xml:space="preserve">, </w:t>
      </w:r>
      <w:proofErr w:type="spellStart"/>
      <w:r w:rsidR="00160087">
        <w:rPr>
          <w:rFonts w:cs="Arial"/>
        </w:rPr>
        <w:t>Charlson</w:t>
      </w:r>
      <w:proofErr w:type="spellEnd"/>
      <w:r w:rsidR="00160087">
        <w:rPr>
          <w:rFonts w:cs="Arial"/>
        </w:rPr>
        <w:t xml:space="preserve"> comorbidity index (CCI</w:t>
      </w:r>
      <w:r w:rsidR="00CF76D4">
        <w:rPr>
          <w:rFonts w:cs="Arial"/>
        </w:rPr>
        <w:t>, categorized as 0, 1-2, 3-4 or 5+ comorbidities</w:t>
      </w:r>
      <w:r w:rsidR="00160087">
        <w:rPr>
          <w:rFonts w:cs="Arial"/>
        </w:rPr>
        <w:t>)</w:t>
      </w:r>
      <w:r w:rsidR="00160087">
        <w:rPr>
          <w:rFonts w:cs="Arial"/>
        </w:rPr>
        <w:fldChar w:fldCharType="begin">
          <w:fldData xml:space="preserve">PEVuZE5vdGU+PENpdGU+PEF1dGhvcj5kZSBHcm9vdDwvQXV0aG9yPjxZZWFyPjIwMDM8L1llYXI+
PFJlY051bT4yOTY2PC9SZWNOdW0+PERpc3BsYXlUZXh0PjxzdHlsZSBmYWNlPSJzdXBlcnNjcmlw
dCI+MTAsMTE8L3N0eWxlPjwvRGlzcGxheVRleHQ+PHJlY29yZD48cmVjLW51bWJlcj4yOTY2PC9y
ZWMtbnVtYmVyPjxmb3JlaWduLWtleXM+PGtleSBhcHA9IkVOIiBkYi1pZD0ieHdzMHplenZ6cHR6
MG9ldGFlcnBkc3RzMGR3dzB2OWRmdjVzIiB0aW1lc3RhbXA9IjE2Mjc1OTIwNzMiPjI5NjY8L2tl
eT48L2ZvcmVpZ24ta2V5cz48cmVmLXR5cGUgbmFtZT0iSm91cm5hbCBBcnRpY2xlIj4xNzwvcmVm
LXR5cGU+PGNvbnRyaWJ1dG9ycz48YXV0aG9ycz48YXV0aG9yPmRlIEdyb290LCBWLjwvYXV0aG9y
PjxhdXRob3I+QmVja2VybWFuLCBILjwvYXV0aG9yPjxhdXRob3I+TGFua2hvcnN0LCBHLiBKLjwv
YXV0aG9yPjxhdXRob3I+Qm91dGVyLCBMLiBNLjwvYXV0aG9yPjwvYXV0aG9ycz48L2NvbnRyaWJ1
dG9ycz48YXV0aC1hZGRyZXNzPkRlcGFydG1lbnQgb2YgUmVoYWJpbGl0YXRpb24gTWVkaWNpbmUs
IFZVIFVuaXZlcnNpdHkgTWVkaWNhbCBDZW50ZXIsIFAuTy4gQm94IDcwNTcsIDEwMDcgTUIgQW1z
dGVyZGFtLCBUaGUgTmV0aGVybGFuZHMuIHYuZGVncm9vdEB2dW1jLm5sPC9hdXRoLWFkZHJlc3M+
PHRpdGxlcz48dGl0bGU+SG93IHRvIG1lYXN1cmUgY29tb3JiaWRpdHkuIGEgY3JpdGljYWwgcmV2
aWV3IG9mIGF2YWlsYWJsZSBtZXRob2RzPC90aXRsZT48c2Vjb25kYXJ5LXRpdGxlPkogQ2xpbiBF
cGlkZW1pb2w8L3NlY29uZGFyeS10aXRsZT48L3RpdGxlcz48cGVyaW9kaWNhbD48ZnVsbC10aXRs
ZT5KIENsaW4gRXBpZGVtaW9sPC9mdWxsLXRpdGxlPjwvcGVyaW9kaWNhbD48cGFnZXM+MjIxLTk8
L3BhZ2VzPjx2b2x1bWU+NTY8L3ZvbHVtZT48bnVtYmVyPjM8L251bWJlcj48ZWRpdGlvbj4yMDAz
LzA1LzAzPC9lZGl0aW9uPjxrZXl3b3Jkcz48a2V5d29yZD4qQ29tb3JiaWRpdHk8L2tleXdvcmQ+
PGtleXdvcmQ+KkVwaWRlbWlvbG9naWMgTWV0aG9kczwva2V5d29yZD48a2V5d29yZD5IZWFsdGgg
U3RhdHVzIEluZGljYXRvcnM8L2tleXdvcmQ+PGtleXdvcmQ+SHVtYW5zPC9rZXl3b3JkPjxrZXl3
b3JkPlByb2dub3Npczwva2V5d29yZD48a2V5d29yZD5SYW5kb21pemVkIENvbnRyb2xsZWQgVHJp
YWxzIGFzIFRvcGljPC9rZXl3b3JkPjxrZXl3b3JkPlJlcHJvZHVjaWJpbGl0eSBvZiBSZXN1bHRz
PC9rZXl3b3JkPjxrZXl3b3JkPlNldmVyaXR5IG9mIElsbG5lc3MgSW5kZXg8L2tleXdvcmQ+PC9r
ZXl3b3Jkcz48ZGF0ZXM+PHllYXI+MjAwMzwveWVhcj48cHViLWRhdGVzPjxkYXRlPk1hcjwvZGF0
ZT48L3B1Yi1kYXRlcz48L2RhdGVzPjxpc2JuPjA4OTUtNDM1NiAoUHJpbnQpJiN4RDswODk1LTQz
NTYgKExpbmtpbmcpPC9pc2JuPjxhY2Nlc3Npb24tbnVtPjEyNzI1ODc2PC9hY2Nlc3Npb24tbnVt
Pjx1cmxzPjxyZWxhdGVkLXVybHM+PHVybD5odHRwczovL3d3dy5uY2JpLm5sbS5uaWguZ292L3B1
Ym1lZC8xMjcyNTg3NjwvdXJsPjwvcmVsYXRlZC11cmxzPjwvdXJscz48ZWxlY3Ryb25pYy1yZXNv
dXJjZS1udW0+MTAuMTAxNi9zMDg5NS00MzU2KDAyKTAwNTg1LTE8L2VsZWN0cm9uaWMtcmVzb3Vy
Y2UtbnVtPjwvcmVjb3JkPjwvQ2l0ZT48Q2l0ZT48QXV0aG9yPkNoYXJsc29uPC9BdXRob3I+PFll
YXI+MTk4NzwvWWVhcj48UmVjTnVtPjI5NjU8L1JlY051bT48cmVjb3JkPjxyZWMtbnVtYmVyPjI5
NjU8L3JlYy1udW1iZXI+PGZvcmVpZ24ta2V5cz48a2V5IGFwcD0iRU4iIGRiLWlkPSJ4d3MwemV6
dnpwdHowb2V0YWVycGRzdHMwZHd3MHY5ZGZ2NXMiIHRpbWVzdGFtcD0iMTYyNzU5MjA2MSI+Mjk2
NTwva2V5PjwvZm9yZWlnbi1rZXlzPjxyZWYtdHlwZSBuYW1lPSJKb3VybmFsIEFydGljbGUiPjE3
PC9yZWYtdHlwZT48Y29udHJpYnV0b3JzPjxhdXRob3JzPjxhdXRob3I+Q2hhcmxzb24sIE0uIEUu
PC9hdXRob3I+PGF1dGhvcj5Qb21wZWksIFAuPC9hdXRob3I+PGF1dGhvcj5BbGVzLCBLLiBMLjwv
YXV0aG9yPjxhdXRob3I+TWFjS2VuemllLCBDLiBSLjwvYXV0aG9yPjwvYXV0aG9ycz48L2NvbnRy
aWJ1dG9ycz48dGl0bGVzPjx0aXRsZT5BIG5ldyBtZXRob2Qgb2YgY2xhc3NpZnlpbmcgcHJvZ25v
c3RpYyBjb21vcmJpZGl0eSBpbiBsb25naXR1ZGluYWwgc3R1ZGllczogZGV2ZWxvcG1lbnQgYW5k
IHZhbGlkYXRpb248L3RpdGxlPjxzZWNvbmRhcnktdGl0bGU+SiBDaHJvbmljIERpczwvc2Vjb25k
YXJ5LXRpdGxlPjwvdGl0bGVzPjxwZXJpb2RpY2FsPjxmdWxsLXRpdGxlPkogQ2hyb25pYyBEaXM8
L2Z1bGwtdGl0bGU+PC9wZXJpb2RpY2FsPjxwYWdlcz4zNzMtODM8L3BhZ2VzPjx2b2x1bWU+NDA8
L3ZvbHVtZT48bnVtYmVyPjU8L251bWJlcj48ZWRpdGlvbj4xOTg3LzAxLzAxPC9lZGl0aW9uPjxr
ZXl3b3Jkcz48a2V5d29yZD5BY3R1YXJpYWwgQW5hbHlzaXM8L2tleXdvcmQ+PGtleXdvcmQ+QWdl
IEZhY3RvcnM8L2tleXdvcmQ+PGtleXdvcmQ+QnJlYXN0IE5lb3BsYXNtcy9lcGlkZW1pb2xvZ3k8
L2tleXdvcmQ+PGtleXdvcmQ+KkVwaWRlbWlvbG9naWMgTWV0aG9kczwva2V5d29yZD48a2V5d29y
ZD5GZW1hbGU8L2tleXdvcmQ+PGtleXdvcmQ+Rm9sbG93LVVwIFN0dWRpZXM8L2tleXdvcmQ+PGtl
eXdvcmQ+SHVtYW5zPC9rZXl3b3JkPjxrZXl3b3JkPipMb25naXR1ZGluYWwgU3R1ZGllczwva2V5
d29yZD48a2V5d29yZD4qTW9yYmlkaXR5PC9rZXl3b3JkPjxrZXl3b3JkPk5ldyBZb3JrIENpdHk8
L2tleXdvcmQ+PGtleXdvcmQ+UHJvZ25vc2lzPC9rZXl3b3JkPjxrZXl3b3JkPlByb3NwZWN0aXZl
IFN0dWRpZXM8L2tleXdvcmQ+PGtleXdvcmQ+Umlzazwva2V5d29yZD48L2tleXdvcmRzPjxkYXRl
cz48eWVhcj4xOTg3PC95ZWFyPjwvZGF0ZXM+PGlzYm4+MDAyMS05NjgxIChQcmludCkmI3hEOzAw
MjEtOTY4MSAoTGlua2luZyk8L2lzYm4+PGFjY2Vzc2lvbi1udW0+MzU1ODcxNjwvYWNjZXNzaW9u
LW51bT48dXJscz48cmVsYXRlZC11cmxzPjx1cmw+aHR0cHM6Ly93d3cubmNiaS5ubG0ubmloLmdv
di9wdWJtZWQvMzU1ODcxNjwvdXJsPjwvcmVsYXRlZC11cmxzPjwvdXJscz48ZWxlY3Ryb25pYy1y
ZXNvdXJjZS1udW0+MTAuMTAxNi8wMDIxLTk2ODEoODcpOTAxNzEtODwvZWxlY3Ryb25pYy1yZXNv
dXJjZS1udW0+PC9yZWNvcmQ+PC9DaXRlPjwvRW5kTm90ZT4A
</w:fldData>
        </w:fldChar>
      </w:r>
      <w:r w:rsidR="00160087">
        <w:rPr>
          <w:rFonts w:cs="Arial"/>
        </w:rPr>
        <w:instrText xml:space="preserve"> ADDIN EN.CITE </w:instrText>
      </w:r>
      <w:r w:rsidR="00160087">
        <w:rPr>
          <w:rFonts w:cs="Arial"/>
        </w:rPr>
        <w:fldChar w:fldCharType="begin">
          <w:fldData xml:space="preserve">PEVuZE5vdGU+PENpdGU+PEF1dGhvcj5kZSBHcm9vdDwvQXV0aG9yPjxZZWFyPjIwMDM8L1llYXI+
PFJlY051bT4yOTY2PC9SZWNOdW0+PERpc3BsYXlUZXh0PjxzdHlsZSBmYWNlPSJzdXBlcnNjcmlw
dCI+MTAsMTE8L3N0eWxlPjwvRGlzcGxheVRleHQ+PHJlY29yZD48cmVjLW51bWJlcj4yOTY2PC9y
ZWMtbnVtYmVyPjxmb3JlaWduLWtleXM+PGtleSBhcHA9IkVOIiBkYi1pZD0ieHdzMHplenZ6cHR6
MG9ldGFlcnBkc3RzMGR3dzB2OWRmdjVzIiB0aW1lc3RhbXA9IjE2Mjc1OTIwNzMiPjI5NjY8L2tl
eT48L2ZvcmVpZ24ta2V5cz48cmVmLXR5cGUgbmFtZT0iSm91cm5hbCBBcnRpY2xlIj4xNzwvcmVm
LXR5cGU+PGNvbnRyaWJ1dG9ycz48YXV0aG9ycz48YXV0aG9yPmRlIEdyb290LCBWLjwvYXV0aG9y
PjxhdXRob3I+QmVja2VybWFuLCBILjwvYXV0aG9yPjxhdXRob3I+TGFua2hvcnN0LCBHLiBKLjwv
YXV0aG9yPjxhdXRob3I+Qm91dGVyLCBMLiBNLjwvYXV0aG9yPjwvYXV0aG9ycz48L2NvbnRyaWJ1
dG9ycz48YXV0aC1hZGRyZXNzPkRlcGFydG1lbnQgb2YgUmVoYWJpbGl0YXRpb24gTWVkaWNpbmUs
IFZVIFVuaXZlcnNpdHkgTWVkaWNhbCBDZW50ZXIsIFAuTy4gQm94IDcwNTcsIDEwMDcgTUIgQW1z
dGVyZGFtLCBUaGUgTmV0aGVybGFuZHMuIHYuZGVncm9vdEB2dW1jLm5sPC9hdXRoLWFkZHJlc3M+
PHRpdGxlcz48dGl0bGU+SG93IHRvIG1lYXN1cmUgY29tb3JiaWRpdHkuIGEgY3JpdGljYWwgcmV2
aWV3IG9mIGF2YWlsYWJsZSBtZXRob2RzPC90aXRsZT48c2Vjb25kYXJ5LXRpdGxlPkogQ2xpbiBF
cGlkZW1pb2w8L3NlY29uZGFyeS10aXRsZT48L3RpdGxlcz48cGVyaW9kaWNhbD48ZnVsbC10aXRs
ZT5KIENsaW4gRXBpZGVtaW9sPC9mdWxsLXRpdGxlPjwvcGVyaW9kaWNhbD48cGFnZXM+MjIxLTk8
L3BhZ2VzPjx2b2x1bWU+NTY8L3ZvbHVtZT48bnVtYmVyPjM8L251bWJlcj48ZWRpdGlvbj4yMDAz
LzA1LzAzPC9lZGl0aW9uPjxrZXl3b3Jkcz48a2V5d29yZD4qQ29tb3JiaWRpdHk8L2tleXdvcmQ+
PGtleXdvcmQ+KkVwaWRlbWlvbG9naWMgTWV0aG9kczwva2V5d29yZD48a2V5d29yZD5IZWFsdGgg
U3RhdHVzIEluZGljYXRvcnM8L2tleXdvcmQ+PGtleXdvcmQ+SHVtYW5zPC9rZXl3b3JkPjxrZXl3
b3JkPlByb2dub3Npczwva2V5d29yZD48a2V5d29yZD5SYW5kb21pemVkIENvbnRyb2xsZWQgVHJp
YWxzIGFzIFRvcGljPC9rZXl3b3JkPjxrZXl3b3JkPlJlcHJvZHVjaWJpbGl0eSBvZiBSZXN1bHRz
PC9rZXl3b3JkPjxrZXl3b3JkPlNldmVyaXR5IG9mIElsbG5lc3MgSW5kZXg8L2tleXdvcmQ+PC9r
ZXl3b3Jkcz48ZGF0ZXM+PHllYXI+MjAwMzwveWVhcj48cHViLWRhdGVzPjxkYXRlPk1hcjwvZGF0
ZT48L3B1Yi1kYXRlcz48L2RhdGVzPjxpc2JuPjA4OTUtNDM1NiAoUHJpbnQpJiN4RDswODk1LTQz
NTYgKExpbmtpbmcpPC9pc2JuPjxhY2Nlc3Npb24tbnVtPjEyNzI1ODc2PC9hY2Nlc3Npb24tbnVt
Pjx1cmxzPjxyZWxhdGVkLXVybHM+PHVybD5odHRwczovL3d3dy5uY2JpLm5sbS5uaWguZ292L3B1
Ym1lZC8xMjcyNTg3NjwvdXJsPjwvcmVsYXRlZC11cmxzPjwvdXJscz48ZWxlY3Ryb25pYy1yZXNv
dXJjZS1udW0+MTAuMTAxNi9zMDg5NS00MzU2KDAyKTAwNTg1LTE8L2VsZWN0cm9uaWMtcmVzb3Vy
Y2UtbnVtPjwvcmVjb3JkPjwvQ2l0ZT48Q2l0ZT48QXV0aG9yPkNoYXJsc29uPC9BdXRob3I+PFll
YXI+MTk4NzwvWWVhcj48UmVjTnVtPjI5NjU8L1JlY051bT48cmVjb3JkPjxyZWMtbnVtYmVyPjI5
NjU8L3JlYy1udW1iZXI+PGZvcmVpZ24ta2V5cz48a2V5IGFwcD0iRU4iIGRiLWlkPSJ4d3MwemV6
dnpwdHowb2V0YWVycGRzdHMwZHd3MHY5ZGZ2NXMiIHRpbWVzdGFtcD0iMTYyNzU5MjA2MSI+Mjk2
NTwva2V5PjwvZm9yZWlnbi1rZXlzPjxyZWYtdHlwZSBuYW1lPSJKb3VybmFsIEFydGljbGUiPjE3
PC9yZWYtdHlwZT48Y29udHJpYnV0b3JzPjxhdXRob3JzPjxhdXRob3I+Q2hhcmxzb24sIE0uIEUu
PC9hdXRob3I+PGF1dGhvcj5Qb21wZWksIFAuPC9hdXRob3I+PGF1dGhvcj5BbGVzLCBLLiBMLjwv
YXV0aG9yPjxhdXRob3I+TWFjS2VuemllLCBDLiBSLjwvYXV0aG9yPjwvYXV0aG9ycz48L2NvbnRy
aWJ1dG9ycz48dGl0bGVzPjx0aXRsZT5BIG5ldyBtZXRob2Qgb2YgY2xhc3NpZnlpbmcgcHJvZ25v
c3RpYyBjb21vcmJpZGl0eSBpbiBsb25naXR1ZGluYWwgc3R1ZGllczogZGV2ZWxvcG1lbnQgYW5k
IHZhbGlkYXRpb248L3RpdGxlPjxzZWNvbmRhcnktdGl0bGU+SiBDaHJvbmljIERpczwvc2Vjb25k
YXJ5LXRpdGxlPjwvdGl0bGVzPjxwZXJpb2RpY2FsPjxmdWxsLXRpdGxlPkogQ2hyb25pYyBEaXM8
L2Z1bGwtdGl0bGU+PC9wZXJpb2RpY2FsPjxwYWdlcz4zNzMtODM8L3BhZ2VzPjx2b2x1bWU+NDA8
L3ZvbHVtZT48bnVtYmVyPjU8L251bWJlcj48ZWRpdGlvbj4xOTg3LzAxLzAxPC9lZGl0aW9uPjxr
ZXl3b3Jkcz48a2V5d29yZD5BY3R1YXJpYWwgQW5hbHlzaXM8L2tleXdvcmQ+PGtleXdvcmQ+QWdl
IEZhY3RvcnM8L2tleXdvcmQ+PGtleXdvcmQ+QnJlYXN0IE5lb3BsYXNtcy9lcGlkZW1pb2xvZ3k8
L2tleXdvcmQ+PGtleXdvcmQ+KkVwaWRlbWlvbG9naWMgTWV0aG9kczwva2V5d29yZD48a2V5d29y
ZD5GZW1hbGU8L2tleXdvcmQ+PGtleXdvcmQ+Rm9sbG93LVVwIFN0dWRpZXM8L2tleXdvcmQ+PGtl
eXdvcmQ+SHVtYW5zPC9rZXl3b3JkPjxrZXl3b3JkPipMb25naXR1ZGluYWwgU3R1ZGllczwva2V5
d29yZD48a2V5d29yZD4qTW9yYmlkaXR5PC9rZXl3b3JkPjxrZXl3b3JkPk5ldyBZb3JrIENpdHk8
L2tleXdvcmQ+PGtleXdvcmQ+UHJvZ25vc2lzPC9rZXl3b3JkPjxrZXl3b3JkPlByb3NwZWN0aXZl
IFN0dWRpZXM8L2tleXdvcmQ+PGtleXdvcmQ+Umlzazwva2V5d29yZD48L2tleXdvcmRzPjxkYXRl
cz48eWVhcj4xOTg3PC95ZWFyPjwvZGF0ZXM+PGlzYm4+MDAyMS05NjgxIChQcmludCkmI3hEOzAw
MjEtOTY4MSAoTGlua2luZyk8L2lzYm4+PGFjY2Vzc2lvbi1udW0+MzU1ODcxNjwvYWNjZXNzaW9u
LW51bT48dXJscz48cmVsYXRlZC11cmxzPjx1cmw+aHR0cHM6Ly93d3cubmNiaS5ubG0ubmloLmdv
di9wdWJtZWQvMzU1ODcxNjwvdXJsPjwvcmVsYXRlZC11cmxzPjwvdXJscz48ZWxlY3Ryb25pYy1y
ZXNvdXJjZS1udW0+MTAuMTAxNi8wMDIxLTk2ODEoODcpOTAxNzEtODwvZWxlY3Ryb25pYy1yZXNv
dXJjZS1udW0+PC9yZWNvcmQ+PC9DaXRlPjwvRW5kTm90ZT4A
</w:fldData>
        </w:fldChar>
      </w:r>
      <w:r w:rsidR="00160087">
        <w:rPr>
          <w:rFonts w:cs="Arial"/>
        </w:rPr>
        <w:instrText xml:space="preserve"> ADDIN EN.CITE.DATA </w:instrText>
      </w:r>
      <w:r w:rsidR="00160087">
        <w:rPr>
          <w:rFonts w:cs="Arial"/>
        </w:rPr>
      </w:r>
      <w:r w:rsidR="00160087">
        <w:rPr>
          <w:rFonts w:cs="Arial"/>
        </w:rPr>
        <w:fldChar w:fldCharType="end"/>
      </w:r>
      <w:r w:rsidR="00160087">
        <w:rPr>
          <w:rFonts w:cs="Arial"/>
        </w:rPr>
      </w:r>
      <w:r w:rsidR="00160087">
        <w:rPr>
          <w:rFonts w:cs="Arial"/>
        </w:rPr>
        <w:fldChar w:fldCharType="separate"/>
      </w:r>
      <w:r w:rsidR="00160087" w:rsidRPr="00160087">
        <w:rPr>
          <w:rFonts w:cs="Arial"/>
          <w:noProof/>
          <w:vertAlign w:val="superscript"/>
        </w:rPr>
        <w:t>10,11</w:t>
      </w:r>
      <w:r w:rsidR="00160087">
        <w:rPr>
          <w:rFonts w:cs="Arial"/>
        </w:rPr>
        <w:fldChar w:fldCharType="end"/>
      </w:r>
      <w:r w:rsidR="00160087">
        <w:rPr>
          <w:rFonts w:cs="Arial"/>
        </w:rPr>
        <w:t>, prescriptions of anticoagulants, antihypertensives, antilipidemic agents and blood glucose regulators</w:t>
      </w:r>
      <w:bookmarkEnd w:id="7"/>
      <w:r w:rsidRPr="003B29CF">
        <w:rPr>
          <w:rFonts w:cs="Arial"/>
        </w:rPr>
        <w:t xml:space="preserve">. </w:t>
      </w:r>
      <w:r w:rsidRPr="003B29CF">
        <w:rPr>
          <w:rFonts w:cs="Arial"/>
          <w:b/>
          <w:bCs/>
        </w:rPr>
        <w:t>Supplemental Table 1</w:t>
      </w:r>
      <w:r w:rsidRPr="003B29CF">
        <w:rPr>
          <w:rFonts w:cs="Arial"/>
        </w:rPr>
        <w:t xml:space="preserve"> describes specific diagnosis and procedure codes </w:t>
      </w:r>
      <w:r w:rsidR="00160087" w:rsidRPr="003B29CF">
        <w:rPr>
          <w:rFonts w:cs="Arial"/>
        </w:rPr>
        <w:t>utilized</w:t>
      </w:r>
      <w:r w:rsidRPr="003B29CF">
        <w:rPr>
          <w:rFonts w:cs="Arial"/>
        </w:rPr>
        <w:t xml:space="preserve"> to define each computable phenotype above used as covariates.</w:t>
      </w:r>
    </w:p>
    <w:p w14:paraId="01B77425" w14:textId="77777777" w:rsidR="0006173D" w:rsidRPr="003B29CF" w:rsidRDefault="0006173D" w:rsidP="0006173D">
      <w:pPr>
        <w:spacing w:after="0" w:line="480" w:lineRule="auto"/>
        <w:jc w:val="both"/>
        <w:rPr>
          <w:rFonts w:cs="Arial"/>
        </w:rPr>
      </w:pPr>
    </w:p>
    <w:p w14:paraId="75EF55BA" w14:textId="77777777" w:rsidR="0006173D" w:rsidRPr="003B29CF" w:rsidRDefault="0006173D" w:rsidP="0006173D">
      <w:pPr>
        <w:spacing w:after="0" w:line="480" w:lineRule="auto"/>
        <w:jc w:val="both"/>
        <w:rPr>
          <w:rFonts w:cs="Arial"/>
          <w:i/>
          <w:iCs/>
        </w:rPr>
      </w:pPr>
      <w:r w:rsidRPr="003B29CF">
        <w:rPr>
          <w:rFonts w:cs="Arial"/>
          <w:i/>
          <w:iCs/>
        </w:rPr>
        <w:t>Statistical analyses</w:t>
      </w:r>
    </w:p>
    <w:p w14:paraId="18705F39" w14:textId="52F93497" w:rsidR="0006173D" w:rsidRPr="003B29CF" w:rsidRDefault="00160087" w:rsidP="00160087">
      <w:pPr>
        <w:spacing w:after="0" w:line="480" w:lineRule="auto"/>
        <w:ind w:firstLine="720"/>
        <w:rPr>
          <w:rFonts w:cs="Arial"/>
          <w:b/>
          <w:bCs/>
        </w:rPr>
      </w:pPr>
      <w:r>
        <w:rPr>
          <w:rFonts w:cs="Arial"/>
        </w:rPr>
        <w:t>Sociod</w:t>
      </w:r>
      <w:r w:rsidR="0006173D" w:rsidRPr="003B29CF">
        <w:rPr>
          <w:rFonts w:cs="Arial"/>
        </w:rPr>
        <w:t xml:space="preserve">emographic characteristics and clinical history were described between PAP initiation exposure groups using counts and percentages for categorical data and median and interquartile range for continuous data. Univariate associations between demographic and clinical history variables with PAP initiation exposure groups were performed using chi-squared tests. We used Kaplan-Meier survival analyses and log-rank tests to compare survival curves between PAP initiation exposure groups for MACE and all-cause mortality. We assessed the proportional hazards assumption by assessing scaled Schoenfeld residuals, which did not find strong evidence of violation of the proportionality assumption. We implemented a causal inference framework to determine the effect of PAP initiation or PAP </w:t>
      </w:r>
      <w:r w:rsidR="00F067D2" w:rsidRPr="003B29CF">
        <w:rPr>
          <w:rFonts w:cs="Arial"/>
        </w:rPr>
        <w:t>utilization</w:t>
      </w:r>
      <w:r w:rsidR="0006173D" w:rsidRPr="003B29CF">
        <w:rPr>
          <w:rFonts w:cs="Arial"/>
        </w:rPr>
        <w:t xml:space="preserve"> exposure groups on the outcomes of interest (all-cause mortality and MACE). A detailed theoretical framework of causal inference in the context of PAP exposures groups can be found elsewhere</w:t>
      </w:r>
      <w:r w:rsidR="0006173D" w:rsidRPr="003B29CF">
        <w:rPr>
          <w:rFonts w:cs="Arial"/>
        </w:rPr>
        <w:fldChar w:fldCharType="begin"/>
      </w:r>
      <w:r>
        <w:rPr>
          <w:rFonts w:cs="Arial"/>
        </w:rPr>
        <w:instrText xml:space="preserve"> ADDIN EN.CITE &lt;EndNote&gt;&lt;Cite&gt;&lt;Author&gt;Bettega&lt;/Author&gt;&lt;Year&gt;2022&lt;/Year&gt;&lt;RecNum&gt;3314&lt;/RecNum&gt;&lt;DisplayText&gt;&lt;style face="superscript"&gt;12&lt;/style&gt;&lt;/DisplayText&gt;&lt;record&gt;&lt;rec-number&gt;3314&lt;/rec-number&gt;&lt;foreign-keys&gt;&lt;key app="EN" db-id="xws0zezvzptz0oetaerpdsts0dww0v9dfv5s" timestamp="1677184810"&gt;3314&lt;/key&gt;&lt;/foreign-keys&gt;&lt;ref-type name="Journal Article"&gt;17&lt;/ref-type&gt;&lt;contributors&gt;&lt;authors&gt;&lt;author&gt;Bettega, François&lt;/author&gt;&lt;author&gt;Leyrat, Clémence&lt;/author&gt;&lt;author&gt;Tamisier, Renaud&lt;/author&gt;&lt;author&gt;Mendelson, Monique&lt;/author&gt;&lt;author&gt;Grillet, Yves&lt;/author&gt;&lt;author&gt;Sapène, Marc&lt;/author&gt;&lt;author&gt;Bonsignore, Maria R.&lt;/author&gt;&lt;author&gt;Pépin, Jean Louis&lt;/author&gt;&lt;author&gt;Kattan, Michael W.&lt;/author&gt;&lt;author&gt;Bailly, Sébastien&lt;/author&gt;&lt;/authors&gt;&lt;/contributors&gt;&lt;titles&gt;&lt;title&gt;Application of Inverse-Probability-of-Treatment Weighting to Estimate the Effect of Daytime Sleepiness in Patients with Obstructive Sleep Apnea&lt;/title&gt;&lt;secondary-title&gt;Annals of the American Thoracic Society&lt;/secondary-title&gt;&lt;/titles&gt;&lt;periodical&gt;&lt;full-title&gt;Annals of the American Thoracic Society&lt;/full-title&gt;&lt;/periodical&gt;&lt;pages&gt;1570-1580&lt;/pages&gt;&lt;volume&gt;19&lt;/volume&gt;&lt;number&gt;9&lt;/number&gt;&lt;section&gt;1570&lt;/section&gt;&lt;dates&gt;&lt;year&gt;2022&lt;/year&gt;&lt;/dates&gt;&lt;isbn&gt;2329-6933&amp;#xD;2325-6621&lt;/isbn&gt;&lt;urls&gt;&lt;/urls&gt;&lt;electronic-resource-num&gt;10.1513/AnnalsATS.202109-1036OC&lt;/electronic-resource-num&gt;&lt;/record&gt;&lt;/Cite&gt;&lt;/EndNote&gt;</w:instrText>
      </w:r>
      <w:r w:rsidR="0006173D" w:rsidRPr="003B29CF">
        <w:rPr>
          <w:rFonts w:cs="Arial"/>
        </w:rPr>
        <w:fldChar w:fldCharType="separate"/>
      </w:r>
      <w:r w:rsidRPr="00160087">
        <w:rPr>
          <w:rFonts w:cs="Arial"/>
          <w:noProof/>
          <w:vertAlign w:val="superscript"/>
        </w:rPr>
        <w:t>12</w:t>
      </w:r>
      <w:r w:rsidR="0006173D" w:rsidRPr="003B29CF">
        <w:rPr>
          <w:rFonts w:cs="Arial"/>
        </w:rPr>
        <w:fldChar w:fldCharType="end"/>
      </w:r>
      <w:r w:rsidR="0006173D" w:rsidRPr="003B29CF">
        <w:rPr>
          <w:rFonts w:cs="Arial"/>
        </w:rPr>
        <w:t xml:space="preserve">. First, we derived propensity scores (PS) from </w:t>
      </w:r>
      <w:r w:rsidR="00F067D2" w:rsidRPr="003B29CF">
        <w:rPr>
          <w:rFonts w:cs="Arial"/>
        </w:rPr>
        <w:t>regularized</w:t>
      </w:r>
      <w:r w:rsidR="0006173D" w:rsidRPr="003B29CF">
        <w:rPr>
          <w:rFonts w:cs="Arial"/>
        </w:rPr>
        <w:t xml:space="preserve"> </w:t>
      </w:r>
      <w:r w:rsidR="00F067D2" w:rsidRPr="003B29CF">
        <w:rPr>
          <w:rFonts w:cs="Arial"/>
        </w:rPr>
        <w:t>generalized</w:t>
      </w:r>
      <w:r w:rsidR="0006173D" w:rsidRPr="003B29CF">
        <w:rPr>
          <w:rFonts w:cs="Arial"/>
        </w:rPr>
        <w:t xml:space="preserve"> regression models using either PAP initiation (logistic) or PAP </w:t>
      </w:r>
      <w:r w:rsidR="00F067D2" w:rsidRPr="003B29CF">
        <w:rPr>
          <w:rFonts w:cs="Arial"/>
        </w:rPr>
        <w:t>utilization</w:t>
      </w:r>
      <w:r w:rsidR="0006173D" w:rsidRPr="003B29CF">
        <w:rPr>
          <w:rFonts w:cs="Arial"/>
        </w:rPr>
        <w:t xml:space="preserve"> exposure groups (Poisson or ordinal, depending on definition) as the outcome with a </w:t>
      </w:r>
      <w:r w:rsidR="00F067D2" w:rsidRPr="003B29CF">
        <w:rPr>
          <w:rFonts w:cs="Arial"/>
        </w:rPr>
        <w:t>penalizing</w:t>
      </w:r>
      <w:r w:rsidR="0006173D" w:rsidRPr="003B29CF">
        <w:rPr>
          <w:rFonts w:cs="Arial"/>
        </w:rPr>
        <w:t xml:space="preserve"> term tuned using 5-fold cross-validation. Next, we calculated weights based on PS for individuals in each exposure group as 1/PS for the exposed group and 1/(1-PS) for the non-exposed group. These weights were used in fully adjusted weighted Cox regression models assessing the effect of PAP initiation or PAP </w:t>
      </w:r>
      <w:r w:rsidR="00F067D2" w:rsidRPr="003B29CF">
        <w:rPr>
          <w:rFonts w:cs="Arial"/>
        </w:rPr>
        <w:t>utilization</w:t>
      </w:r>
      <w:r w:rsidR="0006173D" w:rsidRPr="003B29CF">
        <w:rPr>
          <w:rFonts w:cs="Arial"/>
        </w:rPr>
        <w:t xml:space="preserve"> exposure groups on the outcomes of interest, representing causal estimate of the ATE derived from a doubly robust estimator. This framework was applied to our primary analyses, as well as to secondary analyses assessing individual components of MACE. </w:t>
      </w:r>
      <w:r w:rsidR="001708E9">
        <w:rPr>
          <w:rFonts w:cs="Arial"/>
        </w:rPr>
        <w:t xml:space="preserve">Competing risk analyses using the Fine-Gray models were also assessed and results were not different from Cox proportional hazards model. </w:t>
      </w:r>
      <w:r w:rsidR="0006173D" w:rsidRPr="003B29CF">
        <w:rPr>
          <w:rFonts w:cs="Arial"/>
        </w:rPr>
        <w:t xml:space="preserve">Results of analysis stratified by age groups (65-69, 70-74, 75-79, 80+ years), sex, race, low-income subsidy or dual-eligibility, </w:t>
      </w:r>
      <w:r w:rsidR="00F067D2" w:rsidRPr="00BB18A8">
        <w:rPr>
          <w:rFonts w:cs="Arial"/>
        </w:rPr>
        <w:t xml:space="preserve">type 2 diabetes, hypertension, obesity, </w:t>
      </w:r>
      <w:r w:rsidR="00F067D2">
        <w:rPr>
          <w:rFonts w:cs="Arial"/>
        </w:rPr>
        <w:t>a</w:t>
      </w:r>
      <w:r w:rsidR="00F067D2" w:rsidRPr="00EA5FEC">
        <w:rPr>
          <w:rFonts w:cs="Arial"/>
        </w:rPr>
        <w:t xml:space="preserve">trial </w:t>
      </w:r>
      <w:r w:rsidR="00F067D2">
        <w:rPr>
          <w:rFonts w:cs="Arial"/>
        </w:rPr>
        <w:t>f</w:t>
      </w:r>
      <w:r w:rsidR="00F067D2" w:rsidRPr="00EA5FEC">
        <w:rPr>
          <w:rFonts w:cs="Arial"/>
        </w:rPr>
        <w:t>ibrillation</w:t>
      </w:r>
      <w:r w:rsidR="00F067D2">
        <w:rPr>
          <w:rFonts w:cs="Arial"/>
        </w:rPr>
        <w:t>,</w:t>
      </w:r>
      <w:r w:rsidR="00F067D2" w:rsidRPr="00EA5FEC">
        <w:rPr>
          <w:rFonts w:cs="Arial"/>
        </w:rPr>
        <w:t xml:space="preserve"> </w:t>
      </w:r>
      <w:r w:rsidR="00F067D2" w:rsidRPr="00BB18A8">
        <w:rPr>
          <w:rFonts w:cs="Arial"/>
        </w:rPr>
        <w:t>MACE (</w:t>
      </w:r>
      <w:r w:rsidR="00F067D2">
        <w:rPr>
          <w:rFonts w:cs="Arial"/>
        </w:rPr>
        <w:t xml:space="preserve">for </w:t>
      </w:r>
      <w:r w:rsidR="00F067D2" w:rsidRPr="00BB18A8">
        <w:rPr>
          <w:rFonts w:cs="Arial"/>
        </w:rPr>
        <w:t xml:space="preserve">all-cause mortality), COPD, </w:t>
      </w:r>
      <w:r w:rsidR="00873DF5">
        <w:rPr>
          <w:rFonts w:cs="Arial"/>
        </w:rPr>
        <w:t xml:space="preserve">CKD, </w:t>
      </w:r>
      <w:r w:rsidR="00F067D2">
        <w:rPr>
          <w:rFonts w:cs="Arial"/>
        </w:rPr>
        <w:t xml:space="preserve">anxiety disorder, </w:t>
      </w:r>
      <w:r w:rsidR="00F067D2" w:rsidRPr="00BB18A8">
        <w:rPr>
          <w:rFonts w:cs="Arial"/>
        </w:rPr>
        <w:t>hypersomnia, insomnia</w:t>
      </w:r>
      <w:r w:rsidR="00F067D2">
        <w:rPr>
          <w:rFonts w:cs="Arial"/>
        </w:rPr>
        <w:t xml:space="preserve">, CCI </w:t>
      </w:r>
      <w:r w:rsidR="00CF76D4">
        <w:rPr>
          <w:rFonts w:cs="Arial"/>
        </w:rPr>
        <w:t>categories</w:t>
      </w:r>
      <w:r w:rsidR="00F067D2">
        <w:rPr>
          <w:rFonts w:cs="Arial"/>
        </w:rPr>
        <w:t>, prescriptions of anticoagulants, antihypertensives, antilipidemic agents, and blood glucose regulators</w:t>
      </w:r>
      <w:r w:rsidR="0006173D" w:rsidRPr="003B29CF">
        <w:rPr>
          <w:rFonts w:cs="Arial"/>
        </w:rPr>
        <w:t xml:space="preserve"> are also presented. Spline extrapolation analyses were used to represent hazard ratios as a function of total PAP claim counts during first year. We determined statistical significance based on Bonferroni-corrected thresholds of p&lt;0.025 (2 primary outcomes). To determine the strength of association a potential unmeasured confounder would need to express with both the exposure and the outcome that could explain away the observed associations, we </w:t>
      </w:r>
      <w:r w:rsidR="0006173D" w:rsidRPr="003B29CF">
        <w:rPr>
          <w:rFonts w:cs="Arial"/>
        </w:rPr>
        <w:lastRenderedPageBreak/>
        <w:t xml:space="preserve">calculated E-values relative to effect estimates of our primary and secondary outcomes, as reported by </w:t>
      </w:r>
      <w:proofErr w:type="spellStart"/>
      <w:r w:rsidR="0006173D" w:rsidRPr="003B29CF">
        <w:rPr>
          <w:rFonts w:cs="Arial"/>
        </w:rPr>
        <w:t>WanderWeele</w:t>
      </w:r>
      <w:proofErr w:type="spellEnd"/>
      <w:r w:rsidR="0006173D" w:rsidRPr="003B29CF">
        <w:rPr>
          <w:rFonts w:cs="Arial"/>
        </w:rPr>
        <w:t xml:space="preserve"> and Ding</w:t>
      </w:r>
      <w:r w:rsidR="0006173D" w:rsidRPr="003B29CF">
        <w:rPr>
          <w:rFonts w:cs="Arial"/>
        </w:rPr>
        <w:fldChar w:fldCharType="begin"/>
      </w:r>
      <w:r>
        <w:rPr>
          <w:rFonts w:cs="Arial"/>
        </w:rPr>
        <w:instrText xml:space="preserve"> ADDIN EN.CITE &lt;EndNote&gt;&lt;Cite&gt;&lt;Author&gt;VanderWeele&lt;/Author&gt;&lt;Year&gt;2017&lt;/Year&gt;&lt;RecNum&gt;2869&lt;/RecNum&gt;&lt;DisplayText&gt;&lt;style face="superscript"&gt;13&lt;/style&gt;&lt;/DisplayText&gt;&lt;record&gt;&lt;rec-number&gt;2869&lt;/rec-number&gt;&lt;foreign-keys&gt;&lt;key app="EN" db-id="xws0zezvzptz0oetaerpdsts0dww0v9dfv5s" timestamp="1613664965"&gt;2869&lt;/key&gt;&lt;/foreign-keys&gt;&lt;ref-type name="Journal Article"&gt;17&lt;/ref-type&gt;&lt;contributors&gt;&lt;authors&gt;&lt;author&gt;VanderWeele, Tyler J.&lt;/author&gt;&lt;author&gt;Ding, Peng&lt;/author&gt;&lt;/authors&gt;&lt;/contributors&gt;&lt;titles&gt;&lt;title&gt;Sensitivity Analysis in Observational Research: Introducing the E-Value&lt;/title&gt;&lt;secondary-title&gt;Annals of Internal Medicine&lt;/secondary-title&gt;&lt;/titles&gt;&lt;periodical&gt;&lt;full-title&gt;Annals of Internal Medicine&lt;/full-title&gt;&lt;/periodical&gt;&lt;volume&gt;167&lt;/volume&gt;&lt;number&gt;4&lt;/number&gt;&lt;section&gt;268&lt;/section&gt;&lt;dates&gt;&lt;year&gt;2017&lt;/year&gt;&lt;/dates&gt;&lt;isbn&gt;0003-4819&lt;/isbn&gt;&lt;urls&gt;&lt;/urls&gt;&lt;electronic-resource-num&gt;10.7326/m16-2607&lt;/electronic-resource-num&gt;&lt;/record&gt;&lt;/Cite&gt;&lt;/EndNote&gt;</w:instrText>
      </w:r>
      <w:r w:rsidR="0006173D" w:rsidRPr="003B29CF">
        <w:rPr>
          <w:rFonts w:cs="Arial"/>
        </w:rPr>
        <w:fldChar w:fldCharType="separate"/>
      </w:r>
      <w:r w:rsidRPr="00160087">
        <w:rPr>
          <w:rFonts w:cs="Arial"/>
          <w:noProof/>
          <w:vertAlign w:val="superscript"/>
        </w:rPr>
        <w:t>13</w:t>
      </w:r>
      <w:r w:rsidR="0006173D" w:rsidRPr="003B29CF">
        <w:rPr>
          <w:rFonts w:cs="Arial"/>
        </w:rPr>
        <w:fldChar w:fldCharType="end"/>
      </w:r>
      <w:r w:rsidR="0006173D" w:rsidRPr="003B29CF">
        <w:rPr>
          <w:rFonts w:cs="Arial"/>
        </w:rPr>
        <w:t>, using the web application available from Mathur et al.</w:t>
      </w:r>
      <w:r w:rsidR="0006173D" w:rsidRPr="003B29CF">
        <w:rPr>
          <w:rFonts w:cs="Arial"/>
        </w:rPr>
        <w:fldChar w:fldCharType="begin"/>
      </w:r>
      <w:r>
        <w:rPr>
          <w:rFonts w:cs="Arial"/>
        </w:rPr>
        <w:instrText xml:space="preserve"> ADDIN EN.CITE &lt;EndNote&gt;&lt;Cite&gt;&lt;Author&gt;Mathur&lt;/Author&gt;&lt;Year&gt;2018&lt;/Year&gt;&lt;RecNum&gt;3332&lt;/RecNum&gt;&lt;DisplayText&gt;&lt;style face="superscript"&gt;14&lt;/style&gt;&lt;/DisplayText&gt;&lt;record&gt;&lt;rec-number&gt;3332&lt;/rec-number&gt;&lt;foreign-keys&gt;&lt;key app="EN" db-id="xws0zezvzptz0oetaerpdsts0dww0v9dfv5s" timestamp="1681408801"&gt;3332&lt;/key&gt;&lt;/foreign-keys&gt;&lt;ref-type name="Journal Article"&gt;17&lt;/ref-type&gt;&lt;contributors&gt;&lt;authors&gt;&lt;author&gt;Mathur, M. B.&lt;/author&gt;&lt;author&gt;Ding, P.&lt;/author&gt;&lt;author&gt;Riddell, C. A.&lt;/author&gt;&lt;author&gt;VanderWeele, T. J.&lt;/author&gt;&lt;/authors&gt;&lt;/contributors&gt;&lt;auth-address&gt;Department of Biostatistics, Harvard T. H. Chan School of Public Health, Boston, MA Quantitative Sciences Unit, Stanford University, Palo Alto, CA, mmathur@stanford.edu Department of Statistics, University of California at Berkeley, Berkeley, CA Department of Epidemiology, Biostatistics, and Occupational Health, McGill University, Montreal, Quebec, CA Department of Biostatistics, Harvard T. H. Chan School of Public Health, Boston, MA Department of Epidemiology, Harvard T. H. Chan School of Public Health, Boston, MA.&lt;/auth-address&gt;&lt;titles&gt;&lt;title&gt;Web Site and R Package for Computing E-values&lt;/title&gt;&lt;secondary-title&gt;Epidemiology&lt;/secondary-title&gt;&lt;/titles&gt;&lt;periodical&gt;&lt;full-title&gt;Epidemiology&lt;/full-title&gt;&lt;/periodical&gt;&lt;pages&gt;e45-e47&lt;/pages&gt;&lt;volume&gt;29&lt;/volume&gt;&lt;number&gt;5&lt;/number&gt;&lt;edition&gt;2018/06/19&lt;/edition&gt;&lt;keywords&gt;&lt;keyword&gt;*Causality&lt;/keyword&gt;&lt;keyword&gt;Data Interpretation, Statistical&lt;/keyword&gt;&lt;keyword&gt;Humans&lt;/keyword&gt;&lt;keyword&gt;Internet&lt;/keyword&gt;&lt;keyword&gt;Observational Studies as Topic/methods&lt;/keyword&gt;&lt;keyword&gt;*Statistics as Topic/methods&lt;/keyword&gt;&lt;/keywords&gt;&lt;dates&gt;&lt;year&gt;2018&lt;/year&gt;&lt;pub-dates&gt;&lt;date&gt;Sep&lt;/date&gt;&lt;/pub-dates&gt;&lt;/dates&gt;&lt;isbn&gt;1531-5487 (Electronic)&amp;#xD;1044-3983 (Print)&amp;#xD;1044-3983 (Linking)&lt;/isbn&gt;&lt;accession-num&gt;29912013&lt;/accession-num&gt;&lt;urls&gt;&lt;related-urls&gt;&lt;url&gt;https://www.ncbi.nlm.nih.gov/pubmed/29912013&lt;/url&gt;&lt;/related-urls&gt;&lt;/urls&gt;&lt;custom2&gt;PMC6066405&lt;/custom2&gt;&lt;electronic-resource-num&gt;10.1097/EDE.0000000000000864&lt;/electronic-resource-num&gt;&lt;/record&gt;&lt;/Cite&gt;&lt;/EndNote&gt;</w:instrText>
      </w:r>
      <w:r w:rsidR="0006173D" w:rsidRPr="003B29CF">
        <w:rPr>
          <w:rFonts w:cs="Arial"/>
        </w:rPr>
        <w:fldChar w:fldCharType="separate"/>
      </w:r>
      <w:r w:rsidRPr="00160087">
        <w:rPr>
          <w:rFonts w:cs="Arial"/>
          <w:noProof/>
          <w:vertAlign w:val="superscript"/>
        </w:rPr>
        <w:t>14</w:t>
      </w:r>
      <w:r w:rsidR="0006173D" w:rsidRPr="003B29CF">
        <w:rPr>
          <w:rFonts w:cs="Arial"/>
        </w:rPr>
        <w:fldChar w:fldCharType="end"/>
      </w:r>
      <w:r w:rsidR="0006173D" w:rsidRPr="003B29CF">
        <w:rPr>
          <w:rFonts w:cs="Arial"/>
        </w:rPr>
        <w:t>. All data extraction, processing and analyses were conducted using Snowflake SQL and R (version 4.3.0).</w:t>
      </w:r>
      <w:r w:rsidR="0006173D" w:rsidRPr="003B29CF">
        <w:rPr>
          <w:rFonts w:cs="Arial"/>
          <w:b/>
          <w:bCs/>
        </w:rPr>
        <w:br w:type="page"/>
      </w:r>
    </w:p>
    <w:p w14:paraId="6C575347" w14:textId="04084818" w:rsidR="00FB4900" w:rsidRPr="003B29CF" w:rsidRDefault="00FB4900" w:rsidP="00FB4900">
      <w:pPr>
        <w:rPr>
          <w:rFonts w:cs="Arial"/>
        </w:rPr>
      </w:pPr>
      <w:r w:rsidRPr="003B29CF">
        <w:rPr>
          <w:rFonts w:cs="Arial"/>
          <w:b/>
          <w:bCs/>
        </w:rPr>
        <w:lastRenderedPageBreak/>
        <w:t>Supplemental Table 1:</w:t>
      </w:r>
      <w:r w:rsidRPr="003B29CF">
        <w:rPr>
          <w:rFonts w:cs="Arial"/>
        </w:rPr>
        <w:t xml:space="preserve"> Definitions of computable phenotypes used for study </w:t>
      </w:r>
      <w:r w:rsidR="003B29CF">
        <w:rPr>
          <w:rFonts w:cs="Arial"/>
        </w:rPr>
        <w:t xml:space="preserve">exposure, </w:t>
      </w:r>
      <w:r w:rsidRPr="003B29CF">
        <w:rPr>
          <w:rFonts w:cs="Arial"/>
        </w:rPr>
        <w:t>outcomes</w:t>
      </w:r>
      <w:r w:rsidR="003B29CF">
        <w:rPr>
          <w:rFonts w:cs="Arial"/>
        </w:rPr>
        <w:t>,</w:t>
      </w:r>
      <w:r w:rsidRPr="003B29CF">
        <w:rPr>
          <w:rFonts w:cs="Arial"/>
        </w:rPr>
        <w:t xml:space="preserve"> and covariates.</w:t>
      </w:r>
    </w:p>
    <w:tbl>
      <w:tblPr>
        <w:tblW w:w="10908" w:type="dxa"/>
        <w:tblLook w:val="04A0" w:firstRow="1" w:lastRow="0" w:firstColumn="1" w:lastColumn="0" w:noHBand="0" w:noVBand="1"/>
      </w:tblPr>
      <w:tblGrid>
        <w:gridCol w:w="2610"/>
        <w:gridCol w:w="8298"/>
      </w:tblGrid>
      <w:tr w:rsidR="00FB4900" w:rsidRPr="00E96BC9" w14:paraId="7737BE26" w14:textId="77777777" w:rsidTr="00FB4900">
        <w:trPr>
          <w:trHeight w:val="20"/>
        </w:trPr>
        <w:tc>
          <w:tcPr>
            <w:tcW w:w="2610" w:type="dxa"/>
            <w:tcBorders>
              <w:top w:val="single" w:sz="4" w:space="0" w:color="auto"/>
              <w:left w:val="nil"/>
              <w:bottom w:val="single" w:sz="4" w:space="0" w:color="auto"/>
              <w:right w:val="nil"/>
            </w:tcBorders>
            <w:shd w:val="clear" w:color="auto" w:fill="auto"/>
            <w:noWrap/>
            <w:vAlign w:val="center"/>
            <w:hideMark/>
          </w:tcPr>
          <w:p w14:paraId="6D22CE97" w14:textId="77777777" w:rsidR="00FB4900" w:rsidRPr="00E96BC9" w:rsidRDefault="00FB4900" w:rsidP="00B52D55">
            <w:pPr>
              <w:spacing w:after="0" w:line="240" w:lineRule="auto"/>
              <w:rPr>
                <w:rFonts w:eastAsia="Times New Roman" w:cs="Arial"/>
                <w:b/>
                <w:bCs/>
                <w:color w:val="000000"/>
                <w:sz w:val="20"/>
                <w:szCs w:val="20"/>
              </w:rPr>
            </w:pPr>
            <w:r w:rsidRPr="00E96BC9">
              <w:rPr>
                <w:rFonts w:eastAsia="Times New Roman" w:cs="Arial"/>
                <w:b/>
                <w:bCs/>
                <w:color w:val="000000"/>
                <w:sz w:val="20"/>
                <w:szCs w:val="20"/>
              </w:rPr>
              <w:t>Computable phenotype</w:t>
            </w:r>
          </w:p>
        </w:tc>
        <w:tc>
          <w:tcPr>
            <w:tcW w:w="8298" w:type="dxa"/>
            <w:tcBorders>
              <w:top w:val="single" w:sz="4" w:space="0" w:color="auto"/>
              <w:left w:val="nil"/>
              <w:bottom w:val="nil"/>
              <w:right w:val="nil"/>
            </w:tcBorders>
            <w:shd w:val="clear" w:color="auto" w:fill="auto"/>
            <w:noWrap/>
            <w:vAlign w:val="center"/>
            <w:hideMark/>
          </w:tcPr>
          <w:p w14:paraId="6B5C642C" w14:textId="77777777" w:rsidR="00FB4900" w:rsidRPr="00E96BC9" w:rsidRDefault="00FB4900" w:rsidP="00B52D55">
            <w:pPr>
              <w:spacing w:after="0" w:line="240" w:lineRule="auto"/>
              <w:rPr>
                <w:rFonts w:eastAsia="Times New Roman" w:cs="Arial"/>
                <w:b/>
                <w:bCs/>
                <w:color w:val="000000"/>
                <w:sz w:val="20"/>
                <w:szCs w:val="20"/>
              </w:rPr>
            </w:pPr>
            <w:r w:rsidRPr="00E96BC9">
              <w:rPr>
                <w:rFonts w:eastAsia="Times New Roman" w:cs="Arial"/>
                <w:b/>
                <w:bCs/>
                <w:color w:val="000000"/>
                <w:sz w:val="20"/>
                <w:szCs w:val="20"/>
              </w:rPr>
              <w:t>Definition</w:t>
            </w:r>
          </w:p>
        </w:tc>
      </w:tr>
      <w:tr w:rsidR="00FB4900" w:rsidRPr="00E96BC9" w14:paraId="1A889FD9" w14:textId="77777777" w:rsidTr="00FB4900">
        <w:trPr>
          <w:trHeight w:val="20"/>
        </w:trPr>
        <w:tc>
          <w:tcPr>
            <w:tcW w:w="2610" w:type="dxa"/>
            <w:tcBorders>
              <w:top w:val="nil"/>
              <w:left w:val="nil"/>
              <w:bottom w:val="nil"/>
              <w:right w:val="nil"/>
            </w:tcBorders>
            <w:shd w:val="clear" w:color="auto" w:fill="auto"/>
            <w:noWrap/>
            <w:vAlign w:val="center"/>
            <w:hideMark/>
          </w:tcPr>
          <w:p w14:paraId="30869D8F" w14:textId="5DAAF469"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xml:space="preserve">Obstructive sleep </w:t>
            </w:r>
            <w:r w:rsidR="003B29CF" w:rsidRPr="00E96BC9">
              <w:rPr>
                <w:rFonts w:eastAsia="Times New Roman" w:cs="Arial"/>
                <w:color w:val="000000"/>
                <w:sz w:val="20"/>
                <w:szCs w:val="20"/>
              </w:rPr>
              <w:t>apnea</w:t>
            </w:r>
          </w:p>
        </w:tc>
        <w:tc>
          <w:tcPr>
            <w:tcW w:w="8298" w:type="dxa"/>
            <w:tcBorders>
              <w:top w:val="single" w:sz="4" w:space="0" w:color="auto"/>
              <w:left w:val="nil"/>
              <w:bottom w:val="nil"/>
              <w:right w:val="nil"/>
            </w:tcBorders>
            <w:shd w:val="clear" w:color="auto" w:fill="auto"/>
            <w:noWrap/>
            <w:vAlign w:val="center"/>
            <w:hideMark/>
          </w:tcPr>
          <w:p w14:paraId="37574433"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327.20, 327.23, 327.29, 780.51, 780.53, 780.57</w:t>
            </w:r>
          </w:p>
        </w:tc>
      </w:tr>
      <w:tr w:rsidR="00FB4900" w:rsidRPr="00E96BC9" w14:paraId="3051F206" w14:textId="77777777" w:rsidTr="00FB4900">
        <w:trPr>
          <w:trHeight w:val="20"/>
        </w:trPr>
        <w:tc>
          <w:tcPr>
            <w:tcW w:w="2610" w:type="dxa"/>
            <w:tcBorders>
              <w:top w:val="nil"/>
              <w:left w:val="nil"/>
              <w:bottom w:val="nil"/>
              <w:right w:val="nil"/>
            </w:tcBorders>
            <w:shd w:val="clear" w:color="auto" w:fill="auto"/>
            <w:noWrap/>
            <w:vAlign w:val="center"/>
            <w:hideMark/>
          </w:tcPr>
          <w:p w14:paraId="0668FD7C"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04D133A0"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G47.30, G47.33, G47.39</w:t>
            </w:r>
          </w:p>
        </w:tc>
      </w:tr>
      <w:tr w:rsidR="00FB4900" w:rsidRPr="00E96BC9" w14:paraId="1560C2CF"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52BEA8E5"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7762356D"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two or more instances at different dates, first instance used to define onset</w:t>
            </w:r>
          </w:p>
        </w:tc>
      </w:tr>
      <w:tr w:rsidR="003B29CF" w:rsidRPr="00CF76D4" w14:paraId="58009E3C"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6B9D7879" w14:textId="6B391B8E"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PAP initiation</w:t>
            </w:r>
          </w:p>
        </w:tc>
        <w:tc>
          <w:tcPr>
            <w:tcW w:w="8298" w:type="dxa"/>
            <w:tcBorders>
              <w:top w:val="nil"/>
              <w:left w:val="nil"/>
              <w:bottom w:val="single" w:sz="4" w:space="0" w:color="auto"/>
              <w:right w:val="nil"/>
            </w:tcBorders>
            <w:shd w:val="clear" w:color="auto" w:fill="auto"/>
            <w:noWrap/>
            <w:vAlign w:val="center"/>
          </w:tcPr>
          <w:p w14:paraId="14964709" w14:textId="77777777" w:rsidR="003B29CF" w:rsidRPr="00E96BC9" w:rsidRDefault="003B29CF" w:rsidP="003B29CF">
            <w:pPr>
              <w:spacing w:after="0" w:line="240" w:lineRule="auto"/>
              <w:rPr>
                <w:rFonts w:eastAsia="Times New Roman" w:cs="Arial"/>
                <w:color w:val="000000"/>
                <w:sz w:val="20"/>
                <w:szCs w:val="20"/>
                <w:lang w:val="pt-BR"/>
              </w:rPr>
            </w:pPr>
            <w:r w:rsidRPr="00E96BC9">
              <w:rPr>
                <w:rFonts w:eastAsia="Times New Roman" w:cs="Arial"/>
                <w:color w:val="000000"/>
                <w:sz w:val="20"/>
                <w:szCs w:val="20"/>
                <w:lang w:val="pt-BR"/>
              </w:rPr>
              <w:t>CPT-4: 94660</w:t>
            </w:r>
          </w:p>
          <w:p w14:paraId="13239B11" w14:textId="375BB228" w:rsidR="003B29CF" w:rsidRPr="00E96BC9" w:rsidRDefault="003B29CF" w:rsidP="003B29CF">
            <w:pPr>
              <w:spacing w:after="0" w:line="240" w:lineRule="auto"/>
              <w:rPr>
                <w:rFonts w:eastAsia="Times New Roman" w:cs="Arial"/>
                <w:color w:val="000000"/>
                <w:sz w:val="20"/>
                <w:szCs w:val="20"/>
                <w:lang w:val="pt-BR"/>
              </w:rPr>
            </w:pPr>
            <w:r w:rsidRPr="00E96BC9">
              <w:rPr>
                <w:rFonts w:eastAsia="Times New Roman" w:cs="Arial"/>
                <w:color w:val="000000"/>
                <w:sz w:val="20"/>
                <w:szCs w:val="20"/>
                <w:lang w:val="pt-BR"/>
              </w:rPr>
              <w:t>HCPCS: E0601, E0470, E0471</w:t>
            </w:r>
          </w:p>
        </w:tc>
      </w:tr>
      <w:tr w:rsidR="003B29CF" w:rsidRPr="00E96BC9" w14:paraId="375ABED4"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21C1B830" w14:textId="1F15AF02"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PAP utilization</w:t>
            </w:r>
          </w:p>
        </w:tc>
        <w:tc>
          <w:tcPr>
            <w:tcW w:w="8298" w:type="dxa"/>
            <w:tcBorders>
              <w:top w:val="nil"/>
              <w:left w:val="nil"/>
              <w:bottom w:val="single" w:sz="4" w:space="0" w:color="auto"/>
              <w:right w:val="nil"/>
            </w:tcBorders>
            <w:shd w:val="clear" w:color="auto" w:fill="auto"/>
            <w:noWrap/>
            <w:vAlign w:val="center"/>
          </w:tcPr>
          <w:p w14:paraId="66B8FF97" w14:textId="77777777" w:rsidR="003B29CF" w:rsidRPr="001708E9" w:rsidRDefault="003B29CF"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CPT-4: 94660</w:t>
            </w:r>
          </w:p>
          <w:p w14:paraId="467F7BEA" w14:textId="202F5354" w:rsidR="003B29CF" w:rsidRPr="00E96BC9" w:rsidRDefault="003B29CF" w:rsidP="003B29CF">
            <w:pPr>
              <w:spacing w:after="0" w:line="240" w:lineRule="auto"/>
              <w:rPr>
                <w:rFonts w:eastAsia="Times New Roman" w:cs="Arial"/>
                <w:color w:val="000000"/>
                <w:sz w:val="20"/>
                <w:szCs w:val="20"/>
                <w:lang w:val="pt-BR"/>
              </w:rPr>
            </w:pPr>
            <w:r w:rsidRPr="00E96BC9">
              <w:rPr>
                <w:rFonts w:eastAsia="Times New Roman" w:cs="Arial"/>
                <w:color w:val="000000"/>
                <w:sz w:val="20"/>
                <w:szCs w:val="20"/>
                <w:lang w:val="pt-BR"/>
              </w:rPr>
              <w:t>HCPCS: E0601, E0470, E0471, A4604, A7027, A7028, A7029, A7030, A7031, A7032, A7033, A7034, A7035, A7036, A7037, A7038, A7039, A7044, A7046, E0561, E0562</w:t>
            </w:r>
          </w:p>
          <w:p w14:paraId="1FC3D8A4" w14:textId="5E74EB9B" w:rsidR="003B29CF" w:rsidRPr="00E96BC9" w:rsidRDefault="003B29CF" w:rsidP="003B29CF">
            <w:pPr>
              <w:spacing w:after="0" w:line="240" w:lineRule="auto"/>
              <w:rPr>
                <w:rFonts w:eastAsia="Times New Roman" w:cs="Arial"/>
                <w:color w:val="000000"/>
                <w:sz w:val="20"/>
                <w:szCs w:val="20"/>
              </w:rPr>
            </w:pPr>
            <w:r w:rsidRPr="00E96BC9">
              <w:rPr>
                <w:rFonts w:eastAsia="Times New Roman" w:cs="Arial"/>
                <w:color w:val="000000"/>
                <w:sz w:val="20"/>
                <w:szCs w:val="20"/>
              </w:rPr>
              <w:t>Algorithm: count distribution used to determine PAP utilization groups</w:t>
            </w:r>
          </w:p>
        </w:tc>
      </w:tr>
      <w:tr w:rsidR="00FB4900" w:rsidRPr="00E96BC9" w14:paraId="70E237B4" w14:textId="77777777" w:rsidTr="00FB4900">
        <w:trPr>
          <w:trHeight w:val="20"/>
        </w:trPr>
        <w:tc>
          <w:tcPr>
            <w:tcW w:w="2610" w:type="dxa"/>
            <w:tcBorders>
              <w:top w:val="nil"/>
              <w:left w:val="nil"/>
              <w:bottom w:val="nil"/>
              <w:right w:val="nil"/>
            </w:tcBorders>
            <w:shd w:val="clear" w:color="auto" w:fill="auto"/>
            <w:noWrap/>
            <w:vAlign w:val="center"/>
            <w:hideMark/>
          </w:tcPr>
          <w:p w14:paraId="3C1E40FD"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Myocardial infarction</w:t>
            </w:r>
          </w:p>
        </w:tc>
        <w:tc>
          <w:tcPr>
            <w:tcW w:w="8298" w:type="dxa"/>
            <w:tcBorders>
              <w:top w:val="nil"/>
              <w:left w:val="nil"/>
              <w:bottom w:val="nil"/>
              <w:right w:val="nil"/>
            </w:tcBorders>
            <w:shd w:val="clear" w:color="auto" w:fill="auto"/>
            <w:noWrap/>
            <w:vAlign w:val="center"/>
            <w:hideMark/>
          </w:tcPr>
          <w:p w14:paraId="6FAFEFD1"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410.X, 412.X</w:t>
            </w:r>
          </w:p>
        </w:tc>
      </w:tr>
      <w:tr w:rsidR="00FB4900" w:rsidRPr="00CF76D4" w14:paraId="02CC90B2" w14:textId="77777777" w:rsidTr="00FB4900">
        <w:trPr>
          <w:trHeight w:val="20"/>
        </w:trPr>
        <w:tc>
          <w:tcPr>
            <w:tcW w:w="2610" w:type="dxa"/>
            <w:tcBorders>
              <w:top w:val="nil"/>
              <w:left w:val="nil"/>
              <w:bottom w:val="nil"/>
              <w:right w:val="nil"/>
            </w:tcBorders>
            <w:shd w:val="clear" w:color="auto" w:fill="auto"/>
            <w:noWrap/>
            <w:vAlign w:val="center"/>
            <w:hideMark/>
          </w:tcPr>
          <w:p w14:paraId="317FF86A"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1569D673"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ICD-10-CM: I21.X, I22.X, I23.X</w:t>
            </w:r>
          </w:p>
        </w:tc>
      </w:tr>
      <w:tr w:rsidR="00FB4900" w:rsidRPr="00E96BC9" w14:paraId="77A591A1"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7CD7AF03"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 </w:t>
            </w:r>
          </w:p>
        </w:tc>
        <w:tc>
          <w:tcPr>
            <w:tcW w:w="8298" w:type="dxa"/>
            <w:tcBorders>
              <w:top w:val="nil"/>
              <w:left w:val="nil"/>
              <w:bottom w:val="single" w:sz="4" w:space="0" w:color="auto"/>
              <w:right w:val="nil"/>
            </w:tcBorders>
            <w:shd w:val="clear" w:color="auto" w:fill="auto"/>
            <w:noWrap/>
            <w:vAlign w:val="center"/>
            <w:hideMark/>
          </w:tcPr>
          <w:p w14:paraId="796208B0" w14:textId="407898F8"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first instance after time zero</w:t>
            </w:r>
          </w:p>
        </w:tc>
      </w:tr>
      <w:tr w:rsidR="00FB4900" w:rsidRPr="00E96BC9" w14:paraId="7054AE28" w14:textId="77777777" w:rsidTr="00FB4900">
        <w:trPr>
          <w:trHeight w:val="20"/>
        </w:trPr>
        <w:tc>
          <w:tcPr>
            <w:tcW w:w="2610" w:type="dxa"/>
            <w:tcBorders>
              <w:top w:val="nil"/>
              <w:left w:val="nil"/>
              <w:bottom w:val="nil"/>
              <w:right w:val="nil"/>
            </w:tcBorders>
            <w:shd w:val="clear" w:color="auto" w:fill="auto"/>
            <w:noWrap/>
            <w:vAlign w:val="center"/>
            <w:hideMark/>
          </w:tcPr>
          <w:p w14:paraId="25D0D5DC"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Stroke</w:t>
            </w:r>
          </w:p>
        </w:tc>
        <w:tc>
          <w:tcPr>
            <w:tcW w:w="8298" w:type="dxa"/>
            <w:tcBorders>
              <w:top w:val="nil"/>
              <w:left w:val="nil"/>
              <w:bottom w:val="nil"/>
              <w:right w:val="nil"/>
            </w:tcBorders>
            <w:shd w:val="clear" w:color="auto" w:fill="auto"/>
            <w:noWrap/>
            <w:vAlign w:val="center"/>
            <w:hideMark/>
          </w:tcPr>
          <w:p w14:paraId="57A922E0"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431.X, 434.X</w:t>
            </w:r>
          </w:p>
        </w:tc>
      </w:tr>
      <w:tr w:rsidR="00FB4900" w:rsidRPr="00CF76D4" w14:paraId="0ABA2C6B" w14:textId="77777777" w:rsidTr="00FB4900">
        <w:trPr>
          <w:trHeight w:val="20"/>
        </w:trPr>
        <w:tc>
          <w:tcPr>
            <w:tcW w:w="2610" w:type="dxa"/>
            <w:tcBorders>
              <w:top w:val="nil"/>
              <w:left w:val="nil"/>
              <w:bottom w:val="nil"/>
              <w:right w:val="nil"/>
            </w:tcBorders>
            <w:shd w:val="clear" w:color="auto" w:fill="auto"/>
            <w:noWrap/>
            <w:vAlign w:val="center"/>
            <w:hideMark/>
          </w:tcPr>
          <w:p w14:paraId="7BAA266B"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4990DAAB"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ICD-10-CM: I61.X, I62.X, I64.X</w:t>
            </w:r>
          </w:p>
        </w:tc>
      </w:tr>
      <w:tr w:rsidR="00FB4900" w:rsidRPr="00E96BC9" w14:paraId="46E0C37F"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2346BA99"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 </w:t>
            </w:r>
          </w:p>
        </w:tc>
        <w:tc>
          <w:tcPr>
            <w:tcW w:w="8298" w:type="dxa"/>
            <w:tcBorders>
              <w:top w:val="nil"/>
              <w:left w:val="nil"/>
              <w:bottom w:val="single" w:sz="4" w:space="0" w:color="auto"/>
              <w:right w:val="nil"/>
            </w:tcBorders>
            <w:shd w:val="clear" w:color="auto" w:fill="auto"/>
            <w:noWrap/>
            <w:vAlign w:val="center"/>
            <w:hideMark/>
          </w:tcPr>
          <w:p w14:paraId="6B713C1F" w14:textId="1095FF8C"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first instance after time zero</w:t>
            </w:r>
          </w:p>
        </w:tc>
      </w:tr>
      <w:tr w:rsidR="00FB4900" w:rsidRPr="00E96BC9" w14:paraId="54E42EF8" w14:textId="77777777" w:rsidTr="00FB4900">
        <w:trPr>
          <w:trHeight w:val="20"/>
        </w:trPr>
        <w:tc>
          <w:tcPr>
            <w:tcW w:w="2610" w:type="dxa"/>
            <w:tcBorders>
              <w:top w:val="nil"/>
              <w:left w:val="nil"/>
              <w:bottom w:val="nil"/>
              <w:right w:val="nil"/>
            </w:tcBorders>
            <w:shd w:val="clear" w:color="auto" w:fill="auto"/>
            <w:noWrap/>
            <w:vAlign w:val="center"/>
            <w:hideMark/>
          </w:tcPr>
          <w:p w14:paraId="37B8BB60"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Heart failure</w:t>
            </w:r>
          </w:p>
        </w:tc>
        <w:tc>
          <w:tcPr>
            <w:tcW w:w="8298" w:type="dxa"/>
            <w:tcBorders>
              <w:top w:val="nil"/>
              <w:left w:val="nil"/>
              <w:bottom w:val="nil"/>
              <w:right w:val="nil"/>
            </w:tcBorders>
            <w:shd w:val="clear" w:color="auto" w:fill="auto"/>
            <w:noWrap/>
            <w:vAlign w:val="center"/>
            <w:hideMark/>
          </w:tcPr>
          <w:p w14:paraId="44F91C5B"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428.X</w:t>
            </w:r>
          </w:p>
        </w:tc>
      </w:tr>
      <w:tr w:rsidR="00FB4900" w:rsidRPr="00E96BC9" w14:paraId="56221D74" w14:textId="77777777" w:rsidTr="00FB4900">
        <w:trPr>
          <w:trHeight w:val="20"/>
        </w:trPr>
        <w:tc>
          <w:tcPr>
            <w:tcW w:w="2610" w:type="dxa"/>
            <w:tcBorders>
              <w:top w:val="nil"/>
              <w:left w:val="nil"/>
              <w:bottom w:val="nil"/>
              <w:right w:val="nil"/>
            </w:tcBorders>
            <w:shd w:val="clear" w:color="auto" w:fill="auto"/>
            <w:noWrap/>
            <w:vAlign w:val="center"/>
            <w:hideMark/>
          </w:tcPr>
          <w:p w14:paraId="50EAD49B"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5BEB2974"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I50.X</w:t>
            </w:r>
          </w:p>
        </w:tc>
      </w:tr>
      <w:tr w:rsidR="00FB4900" w:rsidRPr="00E96BC9" w14:paraId="0CE46762"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75D0C32E"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64DCA5F5" w14:textId="7ADE9A2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first instance after time zero</w:t>
            </w:r>
          </w:p>
        </w:tc>
      </w:tr>
      <w:tr w:rsidR="003B29CF" w:rsidRPr="00E96BC9" w14:paraId="2F46BB10" w14:textId="77777777" w:rsidTr="0044259E">
        <w:trPr>
          <w:trHeight w:val="20"/>
        </w:trPr>
        <w:tc>
          <w:tcPr>
            <w:tcW w:w="2610" w:type="dxa"/>
            <w:vMerge w:val="restart"/>
            <w:tcBorders>
              <w:top w:val="nil"/>
              <w:left w:val="nil"/>
              <w:right w:val="nil"/>
            </w:tcBorders>
            <w:shd w:val="clear" w:color="auto" w:fill="auto"/>
            <w:noWrap/>
            <w:vAlign w:val="center"/>
            <w:hideMark/>
          </w:tcPr>
          <w:p w14:paraId="30A198F2" w14:textId="74112F7A"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Cardiac revascularization</w:t>
            </w:r>
          </w:p>
          <w:p w14:paraId="315EBFB1" w14:textId="4275444C"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nil"/>
              <w:right w:val="nil"/>
            </w:tcBorders>
            <w:shd w:val="clear" w:color="auto" w:fill="auto"/>
            <w:noWrap/>
            <w:vAlign w:val="center"/>
            <w:hideMark/>
          </w:tcPr>
          <w:p w14:paraId="1AECBFC5" w14:textId="77777777"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327.20, 327.23, 327.29, 780.51, 780.53, 780.57</w:t>
            </w:r>
          </w:p>
        </w:tc>
      </w:tr>
      <w:tr w:rsidR="003B29CF" w:rsidRPr="00E96BC9" w14:paraId="1A8D8FD0" w14:textId="77777777" w:rsidTr="0044259E">
        <w:trPr>
          <w:trHeight w:val="20"/>
        </w:trPr>
        <w:tc>
          <w:tcPr>
            <w:tcW w:w="2610" w:type="dxa"/>
            <w:vMerge/>
            <w:tcBorders>
              <w:left w:val="nil"/>
              <w:right w:val="nil"/>
            </w:tcBorders>
            <w:shd w:val="clear" w:color="auto" w:fill="auto"/>
            <w:noWrap/>
            <w:vAlign w:val="center"/>
            <w:hideMark/>
          </w:tcPr>
          <w:p w14:paraId="4783122E" w14:textId="3FBF8016" w:rsidR="003B29CF" w:rsidRPr="00E96BC9" w:rsidRDefault="003B29CF"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0A5D3F7D" w14:textId="77777777"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ICD-10-PCS: 021X, 027X</w:t>
            </w:r>
          </w:p>
        </w:tc>
      </w:tr>
      <w:tr w:rsidR="003B29CF" w:rsidRPr="00E96BC9" w14:paraId="5A53DB53" w14:textId="77777777" w:rsidTr="0044259E">
        <w:trPr>
          <w:trHeight w:val="20"/>
        </w:trPr>
        <w:tc>
          <w:tcPr>
            <w:tcW w:w="2610" w:type="dxa"/>
            <w:vMerge/>
            <w:tcBorders>
              <w:left w:val="nil"/>
              <w:right w:val="nil"/>
            </w:tcBorders>
            <w:shd w:val="clear" w:color="auto" w:fill="auto"/>
            <w:noWrap/>
            <w:vAlign w:val="center"/>
            <w:hideMark/>
          </w:tcPr>
          <w:p w14:paraId="43D2E5D2" w14:textId="67D45C82" w:rsidR="003B29CF" w:rsidRPr="00E96BC9" w:rsidRDefault="003B29CF" w:rsidP="00B52D55">
            <w:pPr>
              <w:spacing w:after="0" w:line="240" w:lineRule="auto"/>
              <w:rPr>
                <w:rFonts w:eastAsia="Times New Roman" w:cs="Arial"/>
                <w:sz w:val="20"/>
                <w:szCs w:val="20"/>
              </w:rPr>
            </w:pPr>
          </w:p>
        </w:tc>
        <w:tc>
          <w:tcPr>
            <w:tcW w:w="8298" w:type="dxa"/>
            <w:tcBorders>
              <w:top w:val="nil"/>
              <w:left w:val="nil"/>
              <w:bottom w:val="nil"/>
              <w:right w:val="nil"/>
            </w:tcBorders>
            <w:shd w:val="clear" w:color="auto" w:fill="auto"/>
            <w:noWrap/>
            <w:vAlign w:val="center"/>
            <w:hideMark/>
          </w:tcPr>
          <w:p w14:paraId="0CC7792B" w14:textId="77777777"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HCPCS: 92920-92944, 92973, 92974, 92975, 92980, 92981, 92982, 92984, 92995, 92996</w:t>
            </w:r>
          </w:p>
        </w:tc>
      </w:tr>
      <w:tr w:rsidR="003B29CF" w:rsidRPr="00E96BC9" w14:paraId="0036D201" w14:textId="77777777" w:rsidTr="0044259E">
        <w:trPr>
          <w:trHeight w:val="20"/>
        </w:trPr>
        <w:tc>
          <w:tcPr>
            <w:tcW w:w="2610" w:type="dxa"/>
            <w:vMerge/>
            <w:tcBorders>
              <w:left w:val="nil"/>
              <w:bottom w:val="single" w:sz="4" w:space="0" w:color="auto"/>
              <w:right w:val="nil"/>
            </w:tcBorders>
            <w:shd w:val="clear" w:color="auto" w:fill="auto"/>
            <w:noWrap/>
            <w:vAlign w:val="center"/>
            <w:hideMark/>
          </w:tcPr>
          <w:p w14:paraId="5E11E846" w14:textId="5DB59997" w:rsidR="003B29CF" w:rsidRPr="00E96BC9" w:rsidRDefault="003B29CF" w:rsidP="00B52D55">
            <w:pPr>
              <w:spacing w:after="0" w:line="240" w:lineRule="auto"/>
              <w:rPr>
                <w:rFonts w:eastAsia="Times New Roman" w:cs="Arial"/>
                <w:color w:val="000000"/>
                <w:sz w:val="20"/>
                <w:szCs w:val="20"/>
              </w:rPr>
            </w:pPr>
          </w:p>
        </w:tc>
        <w:tc>
          <w:tcPr>
            <w:tcW w:w="8298" w:type="dxa"/>
            <w:tcBorders>
              <w:top w:val="nil"/>
              <w:left w:val="nil"/>
              <w:bottom w:val="single" w:sz="4" w:space="0" w:color="auto"/>
              <w:right w:val="nil"/>
            </w:tcBorders>
            <w:shd w:val="clear" w:color="auto" w:fill="auto"/>
            <w:noWrap/>
            <w:vAlign w:val="center"/>
            <w:hideMark/>
          </w:tcPr>
          <w:p w14:paraId="7008BF8F" w14:textId="70DBCE85"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first instance after time zero</w:t>
            </w:r>
          </w:p>
        </w:tc>
      </w:tr>
      <w:tr w:rsidR="00FB4900" w:rsidRPr="00E96BC9" w14:paraId="19A3E719" w14:textId="77777777" w:rsidTr="00FB4900">
        <w:trPr>
          <w:trHeight w:val="20"/>
        </w:trPr>
        <w:tc>
          <w:tcPr>
            <w:tcW w:w="2610" w:type="dxa"/>
            <w:tcBorders>
              <w:top w:val="nil"/>
              <w:left w:val="nil"/>
              <w:bottom w:val="nil"/>
              <w:right w:val="nil"/>
            </w:tcBorders>
            <w:shd w:val="clear" w:color="auto" w:fill="auto"/>
            <w:noWrap/>
            <w:vAlign w:val="center"/>
            <w:hideMark/>
          </w:tcPr>
          <w:p w14:paraId="52232736"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Peripheral procedures</w:t>
            </w:r>
          </w:p>
        </w:tc>
        <w:tc>
          <w:tcPr>
            <w:tcW w:w="8298" w:type="dxa"/>
            <w:tcBorders>
              <w:top w:val="nil"/>
              <w:left w:val="nil"/>
              <w:bottom w:val="nil"/>
              <w:right w:val="nil"/>
            </w:tcBorders>
            <w:shd w:val="clear" w:color="auto" w:fill="auto"/>
            <w:noWrap/>
            <w:vAlign w:val="center"/>
            <w:hideMark/>
          </w:tcPr>
          <w:p w14:paraId="29A41AF6" w14:textId="3E556174"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00.4, 00.66</w:t>
            </w:r>
          </w:p>
        </w:tc>
      </w:tr>
      <w:tr w:rsidR="00FB4900" w:rsidRPr="00E96BC9" w14:paraId="47D50A9E" w14:textId="77777777" w:rsidTr="00FB4900">
        <w:trPr>
          <w:trHeight w:val="20"/>
        </w:trPr>
        <w:tc>
          <w:tcPr>
            <w:tcW w:w="2610" w:type="dxa"/>
            <w:tcBorders>
              <w:top w:val="nil"/>
              <w:left w:val="nil"/>
              <w:bottom w:val="nil"/>
              <w:right w:val="nil"/>
            </w:tcBorders>
            <w:shd w:val="clear" w:color="auto" w:fill="auto"/>
            <w:noWrap/>
            <w:vAlign w:val="center"/>
            <w:hideMark/>
          </w:tcPr>
          <w:p w14:paraId="3FE558D6"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5C8DF0C4"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HCPCS: 37220-37235, 37215-37218, 37236-37249, 37211-37214, 37184-37188</w:t>
            </w:r>
          </w:p>
        </w:tc>
      </w:tr>
      <w:tr w:rsidR="00FB4900" w:rsidRPr="00E96BC9" w14:paraId="15446CFC"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53053932"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0A701F4A" w14:textId="6B1981E6"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first instance after time zero</w:t>
            </w:r>
          </w:p>
        </w:tc>
      </w:tr>
      <w:tr w:rsidR="00FB4900" w:rsidRPr="00E96BC9" w14:paraId="18A422E7" w14:textId="77777777" w:rsidTr="00FB4900">
        <w:trPr>
          <w:trHeight w:val="20"/>
        </w:trPr>
        <w:tc>
          <w:tcPr>
            <w:tcW w:w="2610" w:type="dxa"/>
            <w:tcBorders>
              <w:top w:val="nil"/>
              <w:left w:val="nil"/>
              <w:bottom w:val="nil"/>
              <w:right w:val="nil"/>
            </w:tcBorders>
            <w:shd w:val="clear" w:color="auto" w:fill="auto"/>
            <w:noWrap/>
            <w:vAlign w:val="center"/>
            <w:hideMark/>
          </w:tcPr>
          <w:p w14:paraId="7D15B617"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Obesity</w:t>
            </w:r>
          </w:p>
        </w:tc>
        <w:tc>
          <w:tcPr>
            <w:tcW w:w="8298" w:type="dxa"/>
            <w:tcBorders>
              <w:top w:val="nil"/>
              <w:left w:val="nil"/>
              <w:bottom w:val="nil"/>
              <w:right w:val="nil"/>
            </w:tcBorders>
            <w:shd w:val="clear" w:color="auto" w:fill="auto"/>
            <w:noWrap/>
            <w:vAlign w:val="center"/>
            <w:hideMark/>
          </w:tcPr>
          <w:p w14:paraId="44F7998D"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278.00, 278.01, 278.03</w:t>
            </w:r>
          </w:p>
        </w:tc>
      </w:tr>
      <w:tr w:rsidR="00FB4900" w:rsidRPr="00E96BC9" w14:paraId="15DFABA8" w14:textId="77777777" w:rsidTr="00FB4900">
        <w:trPr>
          <w:trHeight w:val="20"/>
        </w:trPr>
        <w:tc>
          <w:tcPr>
            <w:tcW w:w="2610" w:type="dxa"/>
            <w:tcBorders>
              <w:top w:val="nil"/>
              <w:left w:val="nil"/>
              <w:bottom w:val="nil"/>
              <w:right w:val="nil"/>
            </w:tcBorders>
            <w:shd w:val="clear" w:color="auto" w:fill="auto"/>
            <w:noWrap/>
            <w:vAlign w:val="center"/>
            <w:hideMark/>
          </w:tcPr>
          <w:p w14:paraId="6BDBC89D"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69AC20ED"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E66.X, Z68.3, Z68.4</w:t>
            </w:r>
          </w:p>
        </w:tc>
      </w:tr>
      <w:tr w:rsidR="00FB4900" w:rsidRPr="00E96BC9" w14:paraId="363AD7C7"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40C8F910"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7907BB04" w14:textId="2C4AC25E"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FB4900" w:rsidRPr="00E96BC9" w14:paraId="13A3010E" w14:textId="77777777" w:rsidTr="00FB4900">
        <w:trPr>
          <w:trHeight w:val="20"/>
        </w:trPr>
        <w:tc>
          <w:tcPr>
            <w:tcW w:w="2610" w:type="dxa"/>
            <w:tcBorders>
              <w:top w:val="nil"/>
              <w:left w:val="nil"/>
              <w:bottom w:val="nil"/>
              <w:right w:val="nil"/>
            </w:tcBorders>
            <w:shd w:val="clear" w:color="auto" w:fill="auto"/>
            <w:noWrap/>
            <w:vAlign w:val="center"/>
            <w:hideMark/>
          </w:tcPr>
          <w:p w14:paraId="0A74BBF9"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Type 2 diabetes</w:t>
            </w:r>
          </w:p>
        </w:tc>
        <w:tc>
          <w:tcPr>
            <w:tcW w:w="8298" w:type="dxa"/>
            <w:tcBorders>
              <w:top w:val="nil"/>
              <w:left w:val="nil"/>
              <w:bottom w:val="nil"/>
              <w:right w:val="nil"/>
            </w:tcBorders>
            <w:shd w:val="clear" w:color="auto" w:fill="auto"/>
            <w:noWrap/>
            <w:vAlign w:val="center"/>
            <w:hideMark/>
          </w:tcPr>
          <w:p w14:paraId="3B5BE84B"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250.X, 357.2, 362.0</w:t>
            </w:r>
          </w:p>
        </w:tc>
      </w:tr>
      <w:tr w:rsidR="00FB4900" w:rsidRPr="00CF76D4" w14:paraId="11DB3B87" w14:textId="77777777" w:rsidTr="00FB4900">
        <w:trPr>
          <w:trHeight w:val="20"/>
        </w:trPr>
        <w:tc>
          <w:tcPr>
            <w:tcW w:w="2610" w:type="dxa"/>
            <w:tcBorders>
              <w:top w:val="nil"/>
              <w:left w:val="nil"/>
              <w:bottom w:val="nil"/>
              <w:right w:val="nil"/>
            </w:tcBorders>
            <w:shd w:val="clear" w:color="auto" w:fill="auto"/>
            <w:noWrap/>
            <w:vAlign w:val="center"/>
            <w:hideMark/>
          </w:tcPr>
          <w:p w14:paraId="6F6C3579"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254C566C"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ICD-10-CM: E10.X, E11.X, E08.42, Z13.42</w:t>
            </w:r>
          </w:p>
        </w:tc>
      </w:tr>
      <w:tr w:rsidR="00FB4900" w:rsidRPr="00E96BC9" w14:paraId="1DC5AFE7"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22875AD3"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 </w:t>
            </w:r>
          </w:p>
        </w:tc>
        <w:tc>
          <w:tcPr>
            <w:tcW w:w="8298" w:type="dxa"/>
            <w:tcBorders>
              <w:top w:val="nil"/>
              <w:left w:val="nil"/>
              <w:bottom w:val="single" w:sz="4" w:space="0" w:color="auto"/>
              <w:right w:val="nil"/>
            </w:tcBorders>
            <w:shd w:val="clear" w:color="auto" w:fill="auto"/>
            <w:noWrap/>
            <w:vAlign w:val="center"/>
            <w:hideMark/>
          </w:tcPr>
          <w:p w14:paraId="3DB40DA5"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index date</w:t>
            </w:r>
          </w:p>
        </w:tc>
      </w:tr>
      <w:tr w:rsidR="00FB4900" w:rsidRPr="00CF76D4" w14:paraId="76329315" w14:textId="77777777" w:rsidTr="00FB4900">
        <w:trPr>
          <w:trHeight w:val="20"/>
        </w:trPr>
        <w:tc>
          <w:tcPr>
            <w:tcW w:w="2610" w:type="dxa"/>
            <w:tcBorders>
              <w:top w:val="nil"/>
              <w:left w:val="nil"/>
              <w:bottom w:val="nil"/>
              <w:right w:val="nil"/>
            </w:tcBorders>
            <w:shd w:val="clear" w:color="auto" w:fill="auto"/>
            <w:noWrap/>
            <w:vAlign w:val="center"/>
            <w:hideMark/>
          </w:tcPr>
          <w:p w14:paraId="43F9E1FF"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Hypertension</w:t>
            </w:r>
          </w:p>
        </w:tc>
        <w:tc>
          <w:tcPr>
            <w:tcW w:w="8298" w:type="dxa"/>
            <w:tcBorders>
              <w:top w:val="nil"/>
              <w:left w:val="nil"/>
              <w:bottom w:val="nil"/>
              <w:right w:val="nil"/>
            </w:tcBorders>
            <w:shd w:val="clear" w:color="auto" w:fill="auto"/>
            <w:noWrap/>
            <w:vAlign w:val="center"/>
            <w:hideMark/>
          </w:tcPr>
          <w:p w14:paraId="645FCC80"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ICD-9-CM: 401.X, 402.X, 403.X, 404.X, 405.X</w:t>
            </w:r>
          </w:p>
        </w:tc>
      </w:tr>
      <w:tr w:rsidR="00FB4900" w:rsidRPr="00CF76D4" w14:paraId="76BBE10A" w14:textId="77777777" w:rsidTr="00FB4900">
        <w:trPr>
          <w:trHeight w:val="20"/>
        </w:trPr>
        <w:tc>
          <w:tcPr>
            <w:tcW w:w="2610" w:type="dxa"/>
            <w:tcBorders>
              <w:top w:val="nil"/>
              <w:left w:val="nil"/>
              <w:bottom w:val="nil"/>
              <w:right w:val="nil"/>
            </w:tcBorders>
            <w:shd w:val="clear" w:color="auto" w:fill="auto"/>
            <w:noWrap/>
            <w:vAlign w:val="center"/>
            <w:hideMark/>
          </w:tcPr>
          <w:p w14:paraId="0D417C5A" w14:textId="77777777" w:rsidR="00FB4900" w:rsidRPr="001708E9" w:rsidRDefault="00FB4900" w:rsidP="00B52D55">
            <w:pPr>
              <w:spacing w:after="0" w:line="240" w:lineRule="auto"/>
              <w:rPr>
                <w:rFonts w:eastAsia="Times New Roman" w:cs="Arial"/>
                <w:color w:val="000000"/>
                <w:sz w:val="20"/>
                <w:szCs w:val="20"/>
                <w:lang w:val="pt-BR"/>
              </w:rPr>
            </w:pPr>
          </w:p>
        </w:tc>
        <w:tc>
          <w:tcPr>
            <w:tcW w:w="8298" w:type="dxa"/>
            <w:tcBorders>
              <w:top w:val="nil"/>
              <w:left w:val="nil"/>
              <w:bottom w:val="nil"/>
              <w:right w:val="nil"/>
            </w:tcBorders>
            <w:shd w:val="clear" w:color="auto" w:fill="auto"/>
            <w:noWrap/>
            <w:vAlign w:val="center"/>
            <w:hideMark/>
          </w:tcPr>
          <w:p w14:paraId="244C3594"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ICD-10-CM: I10.X, I11.X, I12.X, I13.X, R03.X</w:t>
            </w:r>
          </w:p>
        </w:tc>
      </w:tr>
      <w:tr w:rsidR="00FB4900" w:rsidRPr="00E96BC9" w14:paraId="2BE29AF4"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20B5369E" w14:textId="77777777" w:rsidR="00FB4900" w:rsidRPr="001708E9" w:rsidRDefault="00FB4900" w:rsidP="00B52D55">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 </w:t>
            </w:r>
          </w:p>
        </w:tc>
        <w:tc>
          <w:tcPr>
            <w:tcW w:w="8298" w:type="dxa"/>
            <w:tcBorders>
              <w:top w:val="nil"/>
              <w:left w:val="nil"/>
              <w:bottom w:val="single" w:sz="4" w:space="0" w:color="auto"/>
              <w:right w:val="nil"/>
            </w:tcBorders>
            <w:shd w:val="clear" w:color="auto" w:fill="auto"/>
            <w:noWrap/>
            <w:vAlign w:val="center"/>
            <w:hideMark/>
          </w:tcPr>
          <w:p w14:paraId="62FD1A25" w14:textId="20F78491"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3B29CF" w:rsidRPr="00E96BC9" w14:paraId="57870C1A"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2251B14C" w14:textId="306A12FE"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Atrial fibrillation</w:t>
            </w:r>
          </w:p>
        </w:tc>
        <w:tc>
          <w:tcPr>
            <w:tcW w:w="8298" w:type="dxa"/>
            <w:tcBorders>
              <w:top w:val="nil"/>
              <w:left w:val="nil"/>
              <w:bottom w:val="single" w:sz="4" w:space="0" w:color="auto"/>
              <w:right w:val="nil"/>
            </w:tcBorders>
            <w:shd w:val="clear" w:color="auto" w:fill="auto"/>
            <w:noWrap/>
            <w:vAlign w:val="center"/>
          </w:tcPr>
          <w:p w14:paraId="6197D134" w14:textId="77777777" w:rsidR="00E96BC9" w:rsidRPr="00E96BC9" w:rsidRDefault="00E96BC9" w:rsidP="00E96BC9">
            <w:pPr>
              <w:spacing w:after="0" w:line="240" w:lineRule="auto"/>
              <w:rPr>
                <w:rFonts w:eastAsia="Times New Roman" w:cs="Arial"/>
                <w:color w:val="000000"/>
                <w:sz w:val="20"/>
                <w:szCs w:val="20"/>
              </w:rPr>
            </w:pPr>
            <w:r w:rsidRPr="00E96BC9">
              <w:rPr>
                <w:rFonts w:eastAsia="Times New Roman" w:cs="Arial"/>
                <w:color w:val="000000"/>
                <w:sz w:val="20"/>
                <w:szCs w:val="20"/>
              </w:rPr>
              <w:t>ICD-9-CM: 427.3</w:t>
            </w:r>
          </w:p>
          <w:p w14:paraId="4F927C34" w14:textId="184199AD" w:rsidR="003B29CF" w:rsidRPr="00E96BC9" w:rsidRDefault="00E96BC9" w:rsidP="00E96BC9">
            <w:pPr>
              <w:spacing w:after="0" w:line="240" w:lineRule="auto"/>
              <w:rPr>
                <w:rFonts w:eastAsia="Times New Roman" w:cs="Arial"/>
                <w:color w:val="000000"/>
                <w:sz w:val="20"/>
                <w:szCs w:val="20"/>
              </w:rPr>
            </w:pPr>
            <w:r w:rsidRPr="00E96BC9">
              <w:rPr>
                <w:rFonts w:eastAsia="Times New Roman" w:cs="Arial"/>
                <w:color w:val="000000"/>
                <w:sz w:val="20"/>
                <w:szCs w:val="20"/>
              </w:rPr>
              <w:t>ICD-10-CM: I48.X</w:t>
            </w:r>
          </w:p>
          <w:p w14:paraId="330B674F" w14:textId="1350AD6C"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3B29CF" w:rsidRPr="00E96BC9" w14:paraId="79468BF7"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07C281FF" w14:textId="35B92DEC" w:rsidR="003B29CF" w:rsidRPr="00E96BC9" w:rsidRDefault="003B29CF" w:rsidP="00B52D55">
            <w:pPr>
              <w:spacing w:after="0" w:line="240" w:lineRule="auto"/>
              <w:rPr>
                <w:rFonts w:eastAsia="Times New Roman" w:cs="Arial"/>
                <w:color w:val="000000"/>
                <w:sz w:val="20"/>
                <w:szCs w:val="20"/>
              </w:rPr>
            </w:pPr>
            <w:r w:rsidRPr="00E96BC9">
              <w:rPr>
                <w:rFonts w:eastAsia="Times New Roman" w:cs="Arial"/>
                <w:color w:val="000000"/>
                <w:sz w:val="20"/>
                <w:szCs w:val="20"/>
              </w:rPr>
              <w:t>Anxiety disorder</w:t>
            </w:r>
          </w:p>
        </w:tc>
        <w:tc>
          <w:tcPr>
            <w:tcW w:w="8298" w:type="dxa"/>
            <w:tcBorders>
              <w:top w:val="nil"/>
              <w:left w:val="nil"/>
              <w:bottom w:val="single" w:sz="4" w:space="0" w:color="auto"/>
              <w:right w:val="nil"/>
            </w:tcBorders>
            <w:shd w:val="clear" w:color="auto" w:fill="auto"/>
            <w:noWrap/>
            <w:vAlign w:val="center"/>
          </w:tcPr>
          <w:p w14:paraId="2FDD3692" w14:textId="77777777" w:rsidR="00E96BC9" w:rsidRPr="001708E9" w:rsidRDefault="00E96BC9" w:rsidP="00E96BC9">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ICD-9-CM: 300.X</w:t>
            </w:r>
          </w:p>
          <w:p w14:paraId="615E90EA" w14:textId="5F1837DA" w:rsidR="00E96BC9" w:rsidRPr="001708E9" w:rsidRDefault="00E96BC9" w:rsidP="00E96BC9">
            <w:pPr>
              <w:spacing w:after="0" w:line="240" w:lineRule="auto"/>
              <w:rPr>
                <w:rFonts w:eastAsia="Times New Roman" w:cs="Arial"/>
                <w:color w:val="000000"/>
                <w:sz w:val="20"/>
                <w:szCs w:val="20"/>
                <w:lang w:val="pt-BR"/>
              </w:rPr>
            </w:pPr>
            <w:r w:rsidRPr="001708E9">
              <w:rPr>
                <w:rFonts w:eastAsia="Times New Roman" w:cs="Arial"/>
                <w:color w:val="000000"/>
                <w:sz w:val="20"/>
                <w:szCs w:val="20"/>
                <w:lang w:val="pt-BR"/>
              </w:rPr>
              <w:t xml:space="preserve">ICD-10-CM: N18.X </w:t>
            </w:r>
          </w:p>
          <w:p w14:paraId="4C01B9ED" w14:textId="5AEAE9F2" w:rsidR="003B29CF" w:rsidRPr="00E96BC9" w:rsidRDefault="003B29CF" w:rsidP="003B29CF">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E96BC9" w:rsidRPr="00E96BC9" w14:paraId="6A468ABF"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59F269E5" w14:textId="09D5A702" w:rsidR="00E96BC9" w:rsidRPr="00E96BC9" w:rsidRDefault="00E96BC9" w:rsidP="00B52D55">
            <w:pPr>
              <w:spacing w:after="0" w:line="240" w:lineRule="auto"/>
              <w:rPr>
                <w:rFonts w:eastAsia="Times New Roman" w:cs="Arial"/>
                <w:color w:val="000000"/>
                <w:sz w:val="20"/>
                <w:szCs w:val="20"/>
              </w:rPr>
            </w:pPr>
            <w:r w:rsidRPr="00E96BC9">
              <w:rPr>
                <w:rFonts w:eastAsia="Times New Roman" w:cs="Arial"/>
                <w:color w:val="000000"/>
                <w:sz w:val="20"/>
                <w:szCs w:val="20"/>
              </w:rPr>
              <w:t>Chronic kidney disease</w:t>
            </w:r>
          </w:p>
        </w:tc>
        <w:tc>
          <w:tcPr>
            <w:tcW w:w="8298" w:type="dxa"/>
            <w:tcBorders>
              <w:top w:val="nil"/>
              <w:left w:val="nil"/>
              <w:bottom w:val="single" w:sz="4" w:space="0" w:color="auto"/>
              <w:right w:val="nil"/>
            </w:tcBorders>
            <w:shd w:val="clear" w:color="auto" w:fill="auto"/>
            <w:noWrap/>
            <w:vAlign w:val="center"/>
          </w:tcPr>
          <w:p w14:paraId="7B86E735" w14:textId="6C6ACAB0" w:rsidR="00E96BC9" w:rsidRPr="00E96BC9" w:rsidRDefault="00E96BC9" w:rsidP="00E96BC9">
            <w:pPr>
              <w:spacing w:after="0" w:line="240" w:lineRule="auto"/>
              <w:rPr>
                <w:rFonts w:eastAsia="Times New Roman" w:cs="Arial"/>
                <w:color w:val="000000"/>
                <w:sz w:val="20"/>
                <w:szCs w:val="20"/>
              </w:rPr>
            </w:pPr>
            <w:r w:rsidRPr="00E96BC9">
              <w:rPr>
                <w:rFonts w:eastAsia="Times New Roman" w:cs="Arial"/>
                <w:color w:val="000000"/>
                <w:sz w:val="20"/>
                <w:szCs w:val="20"/>
              </w:rPr>
              <w:t>ICD-9-CM: 585.X</w:t>
            </w:r>
          </w:p>
          <w:p w14:paraId="0160C3E2" w14:textId="77777777" w:rsidR="00E96BC9" w:rsidRPr="00E96BC9" w:rsidRDefault="00E96BC9" w:rsidP="00E96BC9">
            <w:pPr>
              <w:spacing w:after="0" w:line="240" w:lineRule="auto"/>
              <w:rPr>
                <w:rFonts w:eastAsia="Times New Roman" w:cs="Arial"/>
                <w:color w:val="000000"/>
                <w:sz w:val="20"/>
                <w:szCs w:val="20"/>
              </w:rPr>
            </w:pPr>
            <w:r w:rsidRPr="00E96BC9">
              <w:rPr>
                <w:rFonts w:eastAsia="Times New Roman" w:cs="Arial"/>
                <w:color w:val="000000"/>
                <w:sz w:val="20"/>
                <w:szCs w:val="20"/>
              </w:rPr>
              <w:t xml:space="preserve">ICD-10-CM: F40.X-F48.X </w:t>
            </w:r>
          </w:p>
          <w:p w14:paraId="43D555BA" w14:textId="784770AB" w:rsidR="00E96BC9" w:rsidRPr="00E96BC9" w:rsidRDefault="00E96BC9" w:rsidP="00E96BC9">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FB4900" w:rsidRPr="00E96BC9" w14:paraId="517F247E" w14:textId="77777777" w:rsidTr="00FB4900">
        <w:trPr>
          <w:trHeight w:val="20"/>
        </w:trPr>
        <w:tc>
          <w:tcPr>
            <w:tcW w:w="2610" w:type="dxa"/>
            <w:tcBorders>
              <w:top w:val="nil"/>
              <w:left w:val="nil"/>
              <w:bottom w:val="nil"/>
              <w:right w:val="nil"/>
            </w:tcBorders>
            <w:shd w:val="clear" w:color="auto" w:fill="auto"/>
            <w:noWrap/>
            <w:vAlign w:val="center"/>
            <w:hideMark/>
          </w:tcPr>
          <w:p w14:paraId="2F5F3FC9"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Hypersomnia</w:t>
            </w:r>
          </w:p>
        </w:tc>
        <w:tc>
          <w:tcPr>
            <w:tcW w:w="8298" w:type="dxa"/>
            <w:tcBorders>
              <w:top w:val="nil"/>
              <w:left w:val="nil"/>
              <w:bottom w:val="nil"/>
              <w:right w:val="nil"/>
            </w:tcBorders>
            <w:shd w:val="clear" w:color="auto" w:fill="auto"/>
            <w:noWrap/>
            <w:vAlign w:val="center"/>
            <w:hideMark/>
          </w:tcPr>
          <w:p w14:paraId="741EBDE2"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327.1</w:t>
            </w:r>
          </w:p>
        </w:tc>
      </w:tr>
      <w:tr w:rsidR="00FB4900" w:rsidRPr="00E96BC9" w14:paraId="5B9AB1AF" w14:textId="77777777" w:rsidTr="00FB4900">
        <w:trPr>
          <w:trHeight w:val="20"/>
        </w:trPr>
        <w:tc>
          <w:tcPr>
            <w:tcW w:w="2610" w:type="dxa"/>
            <w:tcBorders>
              <w:top w:val="nil"/>
              <w:left w:val="nil"/>
              <w:bottom w:val="nil"/>
              <w:right w:val="nil"/>
            </w:tcBorders>
            <w:shd w:val="clear" w:color="auto" w:fill="auto"/>
            <w:noWrap/>
            <w:vAlign w:val="center"/>
            <w:hideMark/>
          </w:tcPr>
          <w:p w14:paraId="15A7D589"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62B7A17D"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F51.1, G47.1</w:t>
            </w:r>
          </w:p>
        </w:tc>
      </w:tr>
      <w:tr w:rsidR="00FB4900" w:rsidRPr="00E96BC9" w14:paraId="071C0537"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589F6F06"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77731AF5" w14:textId="21BC0B83"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FB4900" w:rsidRPr="00E96BC9" w14:paraId="29B4841C" w14:textId="77777777" w:rsidTr="00FB4900">
        <w:trPr>
          <w:trHeight w:val="20"/>
        </w:trPr>
        <w:tc>
          <w:tcPr>
            <w:tcW w:w="2610" w:type="dxa"/>
            <w:tcBorders>
              <w:top w:val="nil"/>
              <w:left w:val="nil"/>
              <w:bottom w:val="nil"/>
              <w:right w:val="nil"/>
            </w:tcBorders>
            <w:shd w:val="clear" w:color="auto" w:fill="auto"/>
            <w:noWrap/>
            <w:vAlign w:val="center"/>
            <w:hideMark/>
          </w:tcPr>
          <w:p w14:paraId="5900B831"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Insomnia</w:t>
            </w:r>
          </w:p>
        </w:tc>
        <w:tc>
          <w:tcPr>
            <w:tcW w:w="8298" w:type="dxa"/>
            <w:tcBorders>
              <w:top w:val="nil"/>
              <w:left w:val="nil"/>
              <w:bottom w:val="nil"/>
              <w:right w:val="nil"/>
            </w:tcBorders>
            <w:shd w:val="clear" w:color="auto" w:fill="auto"/>
            <w:noWrap/>
            <w:vAlign w:val="center"/>
            <w:hideMark/>
          </w:tcPr>
          <w:p w14:paraId="0BA705E6"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327.0, 307.41, 307.42, 780.52</w:t>
            </w:r>
          </w:p>
        </w:tc>
      </w:tr>
      <w:tr w:rsidR="00FB4900" w:rsidRPr="00E96BC9" w14:paraId="2F1EB18A" w14:textId="77777777" w:rsidTr="00FB4900">
        <w:trPr>
          <w:trHeight w:val="20"/>
        </w:trPr>
        <w:tc>
          <w:tcPr>
            <w:tcW w:w="2610" w:type="dxa"/>
            <w:tcBorders>
              <w:top w:val="nil"/>
              <w:left w:val="nil"/>
              <w:bottom w:val="nil"/>
              <w:right w:val="nil"/>
            </w:tcBorders>
            <w:shd w:val="clear" w:color="auto" w:fill="auto"/>
            <w:noWrap/>
            <w:vAlign w:val="center"/>
            <w:hideMark/>
          </w:tcPr>
          <w:p w14:paraId="0D3CE1AB" w14:textId="77777777" w:rsidR="00FB4900" w:rsidRPr="00E96BC9" w:rsidRDefault="00FB4900" w:rsidP="00B52D55">
            <w:pPr>
              <w:spacing w:after="0" w:line="240" w:lineRule="auto"/>
              <w:rPr>
                <w:rFonts w:eastAsia="Times New Roman" w:cs="Arial"/>
                <w:color w:val="000000"/>
                <w:sz w:val="20"/>
                <w:szCs w:val="20"/>
              </w:rPr>
            </w:pPr>
          </w:p>
        </w:tc>
        <w:tc>
          <w:tcPr>
            <w:tcW w:w="8298" w:type="dxa"/>
            <w:tcBorders>
              <w:top w:val="nil"/>
              <w:left w:val="nil"/>
              <w:bottom w:val="nil"/>
              <w:right w:val="nil"/>
            </w:tcBorders>
            <w:shd w:val="clear" w:color="auto" w:fill="auto"/>
            <w:noWrap/>
            <w:vAlign w:val="center"/>
            <w:hideMark/>
          </w:tcPr>
          <w:p w14:paraId="73AA1923"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F51.01, F51.02, F51.09</w:t>
            </w:r>
          </w:p>
        </w:tc>
      </w:tr>
      <w:tr w:rsidR="00FB4900" w:rsidRPr="00E96BC9" w14:paraId="7FA588CB" w14:textId="77777777" w:rsidTr="00FB4900">
        <w:trPr>
          <w:trHeight w:val="20"/>
        </w:trPr>
        <w:tc>
          <w:tcPr>
            <w:tcW w:w="2610" w:type="dxa"/>
            <w:tcBorders>
              <w:top w:val="nil"/>
              <w:left w:val="nil"/>
              <w:bottom w:val="single" w:sz="4" w:space="0" w:color="auto"/>
              <w:right w:val="nil"/>
            </w:tcBorders>
            <w:shd w:val="clear" w:color="auto" w:fill="auto"/>
            <w:noWrap/>
            <w:vAlign w:val="center"/>
            <w:hideMark/>
          </w:tcPr>
          <w:p w14:paraId="478DCDB4" w14:textId="77777777"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 </w:t>
            </w:r>
          </w:p>
        </w:tc>
        <w:tc>
          <w:tcPr>
            <w:tcW w:w="8298" w:type="dxa"/>
            <w:tcBorders>
              <w:top w:val="nil"/>
              <w:left w:val="nil"/>
              <w:bottom w:val="single" w:sz="4" w:space="0" w:color="auto"/>
              <w:right w:val="nil"/>
            </w:tcBorders>
            <w:shd w:val="clear" w:color="auto" w:fill="auto"/>
            <w:noWrap/>
            <w:vAlign w:val="center"/>
            <w:hideMark/>
          </w:tcPr>
          <w:p w14:paraId="261952AD" w14:textId="33214574" w:rsidR="00FB4900" w:rsidRPr="00E96BC9" w:rsidRDefault="00FB4900"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D260D6" w:rsidRPr="00E96BC9" w14:paraId="2DBACD2A"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481D6F1E" w14:textId="7F4735EA" w:rsidR="00D260D6" w:rsidRPr="00E96BC9" w:rsidRDefault="00D260D6" w:rsidP="00D260D6">
            <w:pPr>
              <w:spacing w:after="0" w:line="240" w:lineRule="auto"/>
              <w:rPr>
                <w:rFonts w:eastAsia="Times New Roman" w:cs="Arial"/>
                <w:color w:val="000000"/>
                <w:sz w:val="20"/>
                <w:szCs w:val="20"/>
              </w:rPr>
            </w:pPr>
            <w:r w:rsidRPr="00E96BC9">
              <w:rPr>
                <w:rFonts w:eastAsia="Times New Roman" w:cs="Arial"/>
                <w:color w:val="000000"/>
                <w:sz w:val="20"/>
                <w:szCs w:val="20"/>
              </w:rPr>
              <w:t>Chronic obstructive pulmonary disease</w:t>
            </w:r>
          </w:p>
        </w:tc>
        <w:tc>
          <w:tcPr>
            <w:tcW w:w="8298" w:type="dxa"/>
            <w:tcBorders>
              <w:top w:val="nil"/>
              <w:left w:val="nil"/>
              <w:bottom w:val="single" w:sz="4" w:space="0" w:color="auto"/>
              <w:right w:val="nil"/>
            </w:tcBorders>
            <w:shd w:val="clear" w:color="auto" w:fill="auto"/>
            <w:noWrap/>
            <w:vAlign w:val="center"/>
          </w:tcPr>
          <w:p w14:paraId="5F1307DB" w14:textId="77777777" w:rsidR="00D260D6" w:rsidRDefault="00D260D6" w:rsidP="00B52D55">
            <w:pPr>
              <w:spacing w:after="0" w:line="240" w:lineRule="auto"/>
              <w:rPr>
                <w:rFonts w:eastAsia="Times New Roman" w:cs="Arial"/>
                <w:color w:val="000000"/>
                <w:sz w:val="20"/>
                <w:szCs w:val="20"/>
              </w:rPr>
            </w:pPr>
            <w:r w:rsidRPr="00E96BC9">
              <w:rPr>
                <w:rFonts w:eastAsia="Times New Roman" w:cs="Arial"/>
                <w:color w:val="000000"/>
                <w:sz w:val="20"/>
                <w:szCs w:val="20"/>
              </w:rPr>
              <w:t>ICD-9-CM: 496.X</w:t>
            </w:r>
          </w:p>
          <w:p w14:paraId="479ADACD" w14:textId="77777777" w:rsidR="00D260D6" w:rsidRDefault="00D260D6" w:rsidP="00B52D55">
            <w:pPr>
              <w:spacing w:after="0" w:line="240" w:lineRule="auto"/>
              <w:rPr>
                <w:rFonts w:eastAsia="Times New Roman" w:cs="Arial"/>
                <w:color w:val="000000"/>
                <w:sz w:val="20"/>
                <w:szCs w:val="20"/>
              </w:rPr>
            </w:pPr>
            <w:r w:rsidRPr="00E96BC9">
              <w:rPr>
                <w:rFonts w:eastAsia="Times New Roman" w:cs="Arial"/>
                <w:color w:val="000000"/>
                <w:sz w:val="20"/>
                <w:szCs w:val="20"/>
              </w:rPr>
              <w:t>ICD-10-CM: J44.X</w:t>
            </w:r>
          </w:p>
          <w:p w14:paraId="2C3CA60B" w14:textId="1AC8C297" w:rsidR="00D260D6" w:rsidRPr="00E96BC9" w:rsidRDefault="00D260D6" w:rsidP="00B52D55">
            <w:pPr>
              <w:spacing w:after="0" w:line="240" w:lineRule="auto"/>
              <w:rPr>
                <w:rFonts w:eastAsia="Times New Roman" w:cs="Arial"/>
                <w:color w:val="000000"/>
                <w:sz w:val="20"/>
                <w:szCs w:val="20"/>
              </w:rPr>
            </w:pPr>
            <w:r w:rsidRPr="00E96BC9">
              <w:rPr>
                <w:rFonts w:eastAsia="Times New Roman" w:cs="Arial"/>
                <w:color w:val="000000"/>
                <w:sz w:val="20"/>
                <w:szCs w:val="20"/>
              </w:rPr>
              <w:t>Algorithm: coded at or prior time zero</w:t>
            </w:r>
          </w:p>
        </w:tc>
      </w:tr>
      <w:tr w:rsidR="00D260D6" w:rsidRPr="00E96BC9" w14:paraId="2BDF2B3B" w14:textId="77777777" w:rsidTr="00FB4900">
        <w:trPr>
          <w:trHeight w:val="20"/>
        </w:trPr>
        <w:tc>
          <w:tcPr>
            <w:tcW w:w="2610" w:type="dxa"/>
            <w:tcBorders>
              <w:top w:val="nil"/>
              <w:left w:val="nil"/>
              <w:bottom w:val="single" w:sz="4" w:space="0" w:color="auto"/>
              <w:right w:val="nil"/>
            </w:tcBorders>
            <w:shd w:val="clear" w:color="auto" w:fill="auto"/>
            <w:noWrap/>
            <w:vAlign w:val="center"/>
          </w:tcPr>
          <w:p w14:paraId="3A77D8D5" w14:textId="72E13B7D" w:rsidR="00D260D6" w:rsidRPr="00E96BC9" w:rsidRDefault="00D260D6" w:rsidP="00B52D55">
            <w:pPr>
              <w:spacing w:after="0" w:line="240" w:lineRule="auto"/>
              <w:rPr>
                <w:rFonts w:eastAsia="Times New Roman" w:cs="Arial"/>
                <w:color w:val="000000"/>
                <w:sz w:val="20"/>
                <w:szCs w:val="20"/>
              </w:rPr>
            </w:pPr>
            <w:r>
              <w:rPr>
                <w:rFonts w:eastAsia="Times New Roman" w:cs="Arial"/>
                <w:color w:val="000000"/>
                <w:sz w:val="20"/>
                <w:szCs w:val="20"/>
              </w:rPr>
              <w:t>Medications</w:t>
            </w:r>
          </w:p>
        </w:tc>
        <w:tc>
          <w:tcPr>
            <w:tcW w:w="8298" w:type="dxa"/>
            <w:tcBorders>
              <w:top w:val="nil"/>
              <w:left w:val="nil"/>
              <w:bottom w:val="single" w:sz="4" w:space="0" w:color="auto"/>
              <w:right w:val="nil"/>
            </w:tcBorders>
            <w:shd w:val="clear" w:color="auto" w:fill="auto"/>
            <w:noWrap/>
            <w:vAlign w:val="center"/>
          </w:tcPr>
          <w:p w14:paraId="22C648AF" w14:textId="0E9473C2" w:rsidR="00D260D6" w:rsidRPr="00E96BC9" w:rsidRDefault="00D260D6" w:rsidP="00B52D55">
            <w:pPr>
              <w:spacing w:after="0" w:line="240" w:lineRule="auto"/>
              <w:rPr>
                <w:rFonts w:eastAsia="Times New Roman" w:cs="Arial"/>
                <w:color w:val="000000"/>
                <w:sz w:val="20"/>
                <w:szCs w:val="20"/>
              </w:rPr>
            </w:pPr>
            <w:r>
              <w:rPr>
                <w:rFonts w:eastAsia="Times New Roman" w:cs="Arial"/>
                <w:color w:val="000000"/>
                <w:sz w:val="20"/>
                <w:szCs w:val="20"/>
              </w:rPr>
              <w:t xml:space="preserve">See: </w:t>
            </w:r>
            <w:hyperlink r:id="rId10" w:history="1">
              <w:r w:rsidRPr="00CA19C7">
                <w:rPr>
                  <w:rStyle w:val="Hyperlink"/>
                  <w:rFonts w:eastAsia="Times New Roman" w:cs="Arial"/>
                  <w:sz w:val="20"/>
                  <w:szCs w:val="20"/>
                </w:rPr>
                <w:t>https://raw.githubusercontent.com/RWD2E/phecdm/main/res/valueset_autogen/ecqm-medication.json</w:t>
              </w:r>
            </w:hyperlink>
          </w:p>
        </w:tc>
      </w:tr>
    </w:tbl>
    <w:p w14:paraId="113D75C0" w14:textId="45A071FC" w:rsidR="00FB4900" w:rsidRPr="003B29CF" w:rsidRDefault="00FB4900" w:rsidP="00D260D6">
      <w:pPr>
        <w:spacing w:after="0" w:line="240" w:lineRule="auto"/>
        <w:rPr>
          <w:rFonts w:cs="Arial"/>
        </w:rPr>
      </w:pPr>
      <w:r w:rsidRPr="003B29CF">
        <w:rPr>
          <w:rFonts w:cs="Arial"/>
        </w:rPr>
        <w:t xml:space="preserve">Abbreviations: ICD: International Classification of Diseases; CM: Clinical Modification; </w:t>
      </w:r>
      <w:r w:rsidR="003B29CF">
        <w:rPr>
          <w:rFonts w:cs="Arial"/>
        </w:rPr>
        <w:t xml:space="preserve">CPT: Current Procedural Terminology; </w:t>
      </w:r>
      <w:r w:rsidRPr="003B29CF">
        <w:rPr>
          <w:rFonts w:cs="Arial"/>
        </w:rPr>
        <w:t>PCS: Procedure Coding System; HCPCS: Healthcare Common Procedure Coding System</w:t>
      </w:r>
    </w:p>
    <w:p w14:paraId="3885B9D0" w14:textId="77777777" w:rsidR="00FB4900" w:rsidRPr="003B29CF" w:rsidRDefault="00FB4900" w:rsidP="00FB4900">
      <w:pPr>
        <w:rPr>
          <w:rFonts w:cs="Arial"/>
        </w:rPr>
        <w:sectPr w:rsidR="00FB4900" w:rsidRPr="003B29CF" w:rsidSect="00FB4900">
          <w:pgSz w:w="12240" w:h="15840"/>
          <w:pgMar w:top="720" w:right="720" w:bottom="720" w:left="720" w:header="720" w:footer="720" w:gutter="0"/>
          <w:cols w:space="720"/>
          <w:docGrid w:linePitch="360"/>
        </w:sectPr>
      </w:pPr>
    </w:p>
    <w:p w14:paraId="05E75A6F" w14:textId="0DEC72E0" w:rsidR="00B85F55" w:rsidRPr="003B29CF" w:rsidRDefault="00BF3F97" w:rsidP="00DF6FD0">
      <w:pPr>
        <w:jc w:val="center"/>
        <w:rPr>
          <w:rFonts w:cs="Arial"/>
          <w:b/>
          <w:bCs/>
        </w:rPr>
      </w:pPr>
      <w:r>
        <w:rPr>
          <w:rFonts w:cs="Arial"/>
          <w:noProof/>
        </w:rPr>
        <w:lastRenderedPageBreak/>
        <w:drawing>
          <wp:inline distT="0" distB="0" distL="0" distR="0" wp14:anchorId="15019805" wp14:editId="77442FD8">
            <wp:extent cx="9135745" cy="398335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35745" cy="3983355"/>
                    </a:xfrm>
                    <a:prstGeom prst="rect">
                      <a:avLst/>
                    </a:prstGeom>
                    <a:noFill/>
                    <a:ln>
                      <a:noFill/>
                    </a:ln>
                  </pic:spPr>
                </pic:pic>
              </a:graphicData>
            </a:graphic>
          </wp:inline>
        </w:drawing>
      </w:r>
    </w:p>
    <w:p w14:paraId="2E7B89D0" w14:textId="61265C55" w:rsidR="00BF3F97" w:rsidRDefault="00BF3F97" w:rsidP="00BF3F97">
      <w:pPr>
        <w:spacing w:after="0" w:line="240" w:lineRule="auto"/>
        <w:jc w:val="both"/>
        <w:rPr>
          <w:rFonts w:cs="Arial"/>
        </w:rPr>
      </w:pPr>
      <w:r>
        <w:rPr>
          <w:rFonts w:cs="Arial"/>
          <w:b/>
          <w:bCs/>
        </w:rPr>
        <w:t>Supplemental Figure 1.</w:t>
      </w:r>
      <w:r w:rsidRPr="00BB18A8">
        <w:rPr>
          <w:rFonts w:cs="Arial"/>
          <w:b/>
          <w:bCs/>
        </w:rPr>
        <w:t xml:space="preserve"> </w:t>
      </w:r>
      <w:r w:rsidRPr="00BB18A8">
        <w:rPr>
          <w:rFonts w:cs="Arial"/>
        </w:rPr>
        <w:t xml:space="preserve">Summary of </w:t>
      </w:r>
      <w:r w:rsidR="00BE32D6" w:rsidRPr="003B29CF">
        <w:rPr>
          <w:rFonts w:cs="Arial"/>
        </w:rPr>
        <w:t xml:space="preserve">inverse probability of treatment weights </w:t>
      </w:r>
      <w:r w:rsidR="00BE32D6">
        <w:rPr>
          <w:rFonts w:cs="Arial"/>
        </w:rPr>
        <w:t>(</w:t>
      </w:r>
      <w:r w:rsidRPr="00BB18A8">
        <w:rPr>
          <w:rFonts w:cs="Arial"/>
        </w:rPr>
        <w:t>IPTW</w:t>
      </w:r>
      <w:r w:rsidR="00BE32D6">
        <w:rPr>
          <w:rFonts w:cs="Arial"/>
        </w:rPr>
        <w:t>)</w:t>
      </w:r>
      <w:r w:rsidRPr="00BB18A8">
        <w:rPr>
          <w:rFonts w:cs="Arial"/>
        </w:rPr>
        <w:t>-adjusted Cox proportional hazards models assessing the effect of PAP initiation on all-cause mortality (ACM) and MACE within categories of relevant sociodemographic and clinical characteristics</w:t>
      </w:r>
      <w:r>
        <w:rPr>
          <w:rFonts w:cs="Arial"/>
        </w:rPr>
        <w:t xml:space="preserve">. </w:t>
      </w:r>
      <w:r w:rsidRPr="00BB18A8">
        <w:rPr>
          <w:rFonts w:cs="Arial"/>
        </w:rPr>
        <w:t xml:space="preserve">Results were derived from IPTW-weighted Cox proportional hazards models adjusted for age, sex, race, low-income-subsidy or dual-eligibility indicator, type 2 diabetes, hypertension, obesity, </w:t>
      </w:r>
      <w:r>
        <w:rPr>
          <w:rFonts w:cs="Arial"/>
        </w:rPr>
        <w:t>a</w:t>
      </w:r>
      <w:r w:rsidRPr="00EA5FEC">
        <w:rPr>
          <w:rFonts w:cs="Arial"/>
        </w:rPr>
        <w:t xml:space="preserve">trial </w:t>
      </w:r>
      <w:r>
        <w:rPr>
          <w:rFonts w:cs="Arial"/>
        </w:rPr>
        <w:t>f</w:t>
      </w:r>
      <w:r w:rsidRPr="00EA5FEC">
        <w:rPr>
          <w:rFonts w:cs="Arial"/>
        </w:rPr>
        <w:t>ibrillation</w:t>
      </w:r>
      <w:r>
        <w:rPr>
          <w:rFonts w:cs="Arial"/>
        </w:rPr>
        <w:t xml:space="preserve">, </w:t>
      </w:r>
      <w:r w:rsidRPr="00BB18A8">
        <w:rPr>
          <w:rFonts w:cs="Arial"/>
        </w:rPr>
        <w:t xml:space="preserve">MACE (all-cause mortality only), COPD, </w:t>
      </w:r>
      <w:r>
        <w:rPr>
          <w:rFonts w:cs="Arial"/>
        </w:rPr>
        <w:t xml:space="preserve">CKD, </w:t>
      </w:r>
      <w:r w:rsidRPr="00BB18A8">
        <w:rPr>
          <w:rFonts w:cs="Arial"/>
        </w:rPr>
        <w:t>hypersomnia, and insomnia</w:t>
      </w:r>
      <w:r>
        <w:rPr>
          <w:rFonts w:cs="Arial"/>
        </w:rPr>
        <w:t xml:space="preserve">, anxiety disorder, </w:t>
      </w:r>
      <w:r w:rsidRPr="00BB18A8">
        <w:rPr>
          <w:rFonts w:cs="Arial"/>
        </w:rPr>
        <w:t>hypersomnia, insomnia</w:t>
      </w:r>
      <w:r>
        <w:rPr>
          <w:rFonts w:cs="Arial"/>
        </w:rPr>
        <w:t>, CCI, prescriptions of anticoagulants, antihypertensives, antilipidemic agents and blood glucose regulators</w:t>
      </w:r>
      <w:r w:rsidRPr="00BB18A8">
        <w:rPr>
          <w:rFonts w:cs="Arial"/>
        </w:rPr>
        <w:t>.</w:t>
      </w:r>
      <w:r>
        <w:rPr>
          <w:rFonts w:cs="Arial"/>
        </w:rPr>
        <w:t xml:space="preserve"> </w:t>
      </w:r>
      <w:r w:rsidRPr="00BB18A8">
        <w:rPr>
          <w:rFonts w:cs="Arial"/>
        </w:rPr>
        <w:t xml:space="preserve">Among stratified models, stratification variable was not included as a covariate in propensity score models nor in outcome models. Reference category is no evidence of PAP initiation. Abbreviations: ACM: all-cause mortality; COPD: chronic obstructive pulmonary disease; </w:t>
      </w:r>
      <w:r>
        <w:rPr>
          <w:rFonts w:cs="Arial"/>
        </w:rPr>
        <w:t xml:space="preserve">CKD: chronic kidney disease; CCI: </w:t>
      </w:r>
      <w:proofErr w:type="spellStart"/>
      <w:r>
        <w:rPr>
          <w:rFonts w:cs="Arial"/>
        </w:rPr>
        <w:t>Charlson</w:t>
      </w:r>
      <w:proofErr w:type="spellEnd"/>
      <w:r>
        <w:rPr>
          <w:rFonts w:cs="Arial"/>
        </w:rPr>
        <w:t xml:space="preserve"> comorbidity index; </w:t>
      </w:r>
      <w:r w:rsidRPr="00BB18A8">
        <w:rPr>
          <w:rFonts w:cs="Arial"/>
        </w:rPr>
        <w:t>PAP: positive airway pressure; HR: hazard ratio; CI: confidence interval; MACE: major adverse cardiovascular event; IPTW: inverse probability of treatment weights.</w:t>
      </w:r>
    </w:p>
    <w:p w14:paraId="4E6438B2" w14:textId="77777777" w:rsidR="00BF3F97" w:rsidRDefault="00BF3F97" w:rsidP="00A61B3C">
      <w:pPr>
        <w:spacing w:after="0" w:line="276" w:lineRule="auto"/>
        <w:jc w:val="both"/>
        <w:rPr>
          <w:rFonts w:cs="Arial"/>
          <w:b/>
          <w:bCs/>
        </w:rPr>
      </w:pPr>
    </w:p>
    <w:p w14:paraId="35FFB97C" w14:textId="77777777" w:rsidR="00BF3F97" w:rsidRDefault="00BF3F97">
      <w:pPr>
        <w:rPr>
          <w:rFonts w:cs="Arial"/>
          <w:b/>
          <w:bCs/>
        </w:rPr>
      </w:pPr>
      <w:r>
        <w:rPr>
          <w:rFonts w:cs="Arial"/>
          <w:b/>
          <w:bCs/>
        </w:rPr>
        <w:br w:type="page"/>
      </w:r>
    </w:p>
    <w:p w14:paraId="03792371" w14:textId="39760555" w:rsidR="00BF3F97" w:rsidRDefault="00BE32D6" w:rsidP="00DF6FD0">
      <w:pPr>
        <w:spacing w:after="0" w:line="276" w:lineRule="auto"/>
        <w:jc w:val="center"/>
        <w:rPr>
          <w:rFonts w:cs="Arial"/>
          <w:b/>
          <w:bCs/>
        </w:rPr>
      </w:pPr>
      <w:r>
        <w:rPr>
          <w:rFonts w:cs="Arial"/>
          <w:b/>
          <w:bCs/>
          <w:noProof/>
        </w:rPr>
        <w:lastRenderedPageBreak/>
        <w:drawing>
          <wp:inline distT="0" distB="0" distL="0" distR="0" wp14:anchorId="1A68B7DB" wp14:editId="0FA301BC">
            <wp:extent cx="6949440" cy="6373220"/>
            <wp:effectExtent l="0" t="0" r="381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55377" cy="6378664"/>
                    </a:xfrm>
                    <a:prstGeom prst="rect">
                      <a:avLst/>
                    </a:prstGeom>
                    <a:noFill/>
                    <a:ln>
                      <a:noFill/>
                    </a:ln>
                  </pic:spPr>
                </pic:pic>
              </a:graphicData>
            </a:graphic>
          </wp:inline>
        </w:drawing>
      </w:r>
    </w:p>
    <w:p w14:paraId="5985A90B" w14:textId="47B00E31" w:rsidR="00C77D6B" w:rsidRPr="003B29CF" w:rsidRDefault="000E6E27" w:rsidP="00A61B3C">
      <w:pPr>
        <w:spacing w:after="0" w:line="276" w:lineRule="auto"/>
        <w:jc w:val="both"/>
        <w:rPr>
          <w:rFonts w:cs="Arial"/>
        </w:rPr>
      </w:pPr>
      <w:r w:rsidRPr="003B29CF">
        <w:rPr>
          <w:rFonts w:cs="Arial"/>
          <w:b/>
          <w:bCs/>
        </w:rPr>
        <w:t xml:space="preserve">Supplemental Figure </w:t>
      </w:r>
      <w:r w:rsidR="00BF3F97">
        <w:rPr>
          <w:rFonts w:cs="Arial"/>
          <w:b/>
          <w:bCs/>
        </w:rPr>
        <w:t>2</w:t>
      </w:r>
      <w:r w:rsidRPr="003B29CF">
        <w:rPr>
          <w:rFonts w:cs="Arial"/>
          <w:b/>
          <w:bCs/>
        </w:rPr>
        <w:t>:</w:t>
      </w:r>
      <w:r w:rsidRPr="003B29CF">
        <w:rPr>
          <w:rFonts w:cs="Arial"/>
        </w:rPr>
        <w:t xml:space="preserve"> Summary of inverse probability of treatment weights (IPTW)-adjusted Cox proportional hazards models assessing the effect of PAP initiation on </w:t>
      </w:r>
      <w:bookmarkStart w:id="8" w:name="_Hlk158373837"/>
      <w:r w:rsidRPr="003B29CF">
        <w:rPr>
          <w:rFonts w:cs="Arial"/>
        </w:rPr>
        <w:t>myocardial infarction (MI), heart failure (HF), stroke</w:t>
      </w:r>
      <w:r w:rsidR="00F228D1" w:rsidRPr="003B29CF">
        <w:rPr>
          <w:rFonts w:cs="Arial"/>
        </w:rPr>
        <w:t xml:space="preserve"> (STROKE)</w:t>
      </w:r>
      <w:r w:rsidRPr="003B29CF">
        <w:rPr>
          <w:rFonts w:cs="Arial"/>
        </w:rPr>
        <w:t xml:space="preserve"> and coronary </w:t>
      </w:r>
      <w:r w:rsidR="00873DF5" w:rsidRPr="003B29CF">
        <w:rPr>
          <w:rFonts w:cs="Arial"/>
        </w:rPr>
        <w:t>revascularization</w:t>
      </w:r>
      <w:r w:rsidR="00AE01B7" w:rsidRPr="003B29CF">
        <w:rPr>
          <w:rFonts w:cs="Arial"/>
        </w:rPr>
        <w:t xml:space="preserve"> (REV</w:t>
      </w:r>
      <w:r w:rsidR="003F507C">
        <w:rPr>
          <w:rFonts w:cs="Arial"/>
        </w:rPr>
        <w:t>ASC</w:t>
      </w:r>
      <w:r w:rsidR="00AE01B7" w:rsidRPr="003B29CF">
        <w:rPr>
          <w:rFonts w:cs="Arial"/>
        </w:rPr>
        <w:t>)</w:t>
      </w:r>
      <w:r w:rsidRPr="003B29CF">
        <w:rPr>
          <w:rFonts w:cs="Arial"/>
        </w:rPr>
        <w:t xml:space="preserve"> </w:t>
      </w:r>
      <w:bookmarkEnd w:id="8"/>
      <w:r w:rsidRPr="003B29CF">
        <w:rPr>
          <w:rFonts w:cs="Arial"/>
        </w:rPr>
        <w:t xml:space="preserve">within categories of </w:t>
      </w:r>
      <w:r w:rsidRPr="003B29CF">
        <w:rPr>
          <w:rFonts w:cs="Arial"/>
        </w:rPr>
        <w:lastRenderedPageBreak/>
        <w:t xml:space="preserve">relevant sociodemographic and clinical characteristics. </w:t>
      </w:r>
      <w:r w:rsidR="00BE32D6" w:rsidRPr="00BB18A8">
        <w:rPr>
          <w:rFonts w:cs="Arial"/>
        </w:rPr>
        <w:t xml:space="preserve">Results were derived from IPTW-weighted Cox proportional hazards models adjusted for age, sex, race, low-income-subsidy or dual-eligibility indicator, type 2 diabetes, hypertension, obesity, </w:t>
      </w:r>
      <w:r w:rsidR="00BE32D6">
        <w:rPr>
          <w:rFonts w:cs="Arial"/>
        </w:rPr>
        <w:t>a</w:t>
      </w:r>
      <w:r w:rsidR="00BE32D6" w:rsidRPr="00EA5FEC">
        <w:rPr>
          <w:rFonts w:cs="Arial"/>
        </w:rPr>
        <w:t xml:space="preserve">trial </w:t>
      </w:r>
      <w:r w:rsidR="00BE32D6">
        <w:rPr>
          <w:rFonts w:cs="Arial"/>
        </w:rPr>
        <w:t>f</w:t>
      </w:r>
      <w:r w:rsidR="00BE32D6" w:rsidRPr="00EA5FEC">
        <w:rPr>
          <w:rFonts w:cs="Arial"/>
        </w:rPr>
        <w:t>ibrillation</w:t>
      </w:r>
      <w:r w:rsidR="00BE32D6">
        <w:rPr>
          <w:rFonts w:cs="Arial"/>
        </w:rPr>
        <w:t xml:space="preserve">, </w:t>
      </w:r>
      <w:r w:rsidR="00BE32D6" w:rsidRPr="00BB18A8">
        <w:rPr>
          <w:rFonts w:cs="Arial"/>
        </w:rPr>
        <w:t xml:space="preserve">MACE (all-cause mortality only), COPD, </w:t>
      </w:r>
      <w:r w:rsidR="00BE32D6">
        <w:rPr>
          <w:rFonts w:cs="Arial"/>
        </w:rPr>
        <w:t xml:space="preserve">CKD, </w:t>
      </w:r>
      <w:r w:rsidR="00BE32D6" w:rsidRPr="00BB18A8">
        <w:rPr>
          <w:rFonts w:cs="Arial"/>
        </w:rPr>
        <w:t>hypersomnia, and insomnia</w:t>
      </w:r>
      <w:r w:rsidR="00BE32D6">
        <w:rPr>
          <w:rFonts w:cs="Arial"/>
        </w:rPr>
        <w:t xml:space="preserve">, anxiety disorder, </w:t>
      </w:r>
      <w:r w:rsidR="00BE32D6" w:rsidRPr="00BB18A8">
        <w:rPr>
          <w:rFonts w:cs="Arial"/>
        </w:rPr>
        <w:t>hypersomnia, insomnia</w:t>
      </w:r>
      <w:r w:rsidR="00BE32D6">
        <w:rPr>
          <w:rFonts w:cs="Arial"/>
        </w:rPr>
        <w:t>, CCI, prescriptions of anticoagulants, antihypertensives, antilipidemic agents and blood glucose regulators</w:t>
      </w:r>
      <w:r w:rsidR="00BE32D6" w:rsidRPr="00BB18A8">
        <w:rPr>
          <w:rFonts w:cs="Arial"/>
        </w:rPr>
        <w:t>.</w:t>
      </w:r>
      <w:r w:rsidR="00BE32D6">
        <w:rPr>
          <w:rFonts w:cs="Arial"/>
        </w:rPr>
        <w:t xml:space="preserve"> </w:t>
      </w:r>
      <w:r w:rsidR="00BE32D6" w:rsidRPr="00BB18A8">
        <w:rPr>
          <w:rFonts w:cs="Arial"/>
        </w:rPr>
        <w:t xml:space="preserve">Among stratified models, stratification variable was not included as a covariate in propensity score models nor in outcome models. Reference category is no evidence of PAP initiation. Abbreviations: ACM: all-cause mortality; COPD: chronic obstructive pulmonary disease; </w:t>
      </w:r>
      <w:r w:rsidR="00BE32D6">
        <w:rPr>
          <w:rFonts w:cs="Arial"/>
        </w:rPr>
        <w:t xml:space="preserve">CKD: chronic kidney disease; CCI: </w:t>
      </w:r>
      <w:proofErr w:type="spellStart"/>
      <w:r w:rsidR="00BE32D6">
        <w:rPr>
          <w:rFonts w:cs="Arial"/>
        </w:rPr>
        <w:t>Charlson</w:t>
      </w:r>
      <w:proofErr w:type="spellEnd"/>
      <w:r w:rsidR="00BE32D6">
        <w:rPr>
          <w:rFonts w:cs="Arial"/>
        </w:rPr>
        <w:t xml:space="preserve"> comorbidity index; </w:t>
      </w:r>
      <w:r w:rsidR="00BE32D6" w:rsidRPr="00BB18A8">
        <w:rPr>
          <w:rFonts w:cs="Arial"/>
        </w:rPr>
        <w:t>PAP: positive airway pressure; HR: hazard ratio; CI: confidence interval; MACE: major adverse cardiovascular event; IPTW: inverse probability of treatment weights.</w:t>
      </w:r>
      <w:r w:rsidR="00C77D6B" w:rsidRPr="003B29CF">
        <w:rPr>
          <w:rFonts w:cs="Arial"/>
        </w:rPr>
        <w:br w:type="page"/>
      </w:r>
    </w:p>
    <w:p w14:paraId="2D5FD38F" w14:textId="5566B78B" w:rsidR="000E6E27" w:rsidRPr="003B29CF" w:rsidRDefault="003F507C" w:rsidP="000E6E27">
      <w:pPr>
        <w:rPr>
          <w:rFonts w:cs="Arial"/>
          <w:b/>
          <w:bCs/>
        </w:rPr>
      </w:pPr>
      <w:r>
        <w:rPr>
          <w:rFonts w:cs="Arial"/>
          <w:b/>
          <w:bCs/>
          <w:noProof/>
        </w:rPr>
        <w:lastRenderedPageBreak/>
        <w:drawing>
          <wp:inline distT="0" distB="0" distL="0" distR="0" wp14:anchorId="78E28DFF" wp14:editId="601309AA">
            <wp:extent cx="9144000" cy="3432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0" cy="3432175"/>
                    </a:xfrm>
                    <a:prstGeom prst="rect">
                      <a:avLst/>
                    </a:prstGeom>
                    <a:noFill/>
                    <a:ln>
                      <a:noFill/>
                    </a:ln>
                  </pic:spPr>
                </pic:pic>
              </a:graphicData>
            </a:graphic>
          </wp:inline>
        </w:drawing>
      </w:r>
    </w:p>
    <w:p w14:paraId="7CABB914" w14:textId="7B8FC515" w:rsidR="00C77D6B" w:rsidRPr="003B29CF" w:rsidRDefault="00A61B3C" w:rsidP="00A61B3C">
      <w:pPr>
        <w:pStyle w:val="Caption"/>
        <w:jc w:val="both"/>
        <w:rPr>
          <w:rFonts w:cs="Arial"/>
          <w:i w:val="0"/>
          <w:iCs w:val="0"/>
          <w:noProof/>
          <w:sz w:val="22"/>
          <w:szCs w:val="22"/>
        </w:rPr>
      </w:pPr>
      <w:bookmarkStart w:id="9" w:name="_Hlk133508978"/>
      <w:r w:rsidRPr="003B29CF">
        <w:rPr>
          <w:rFonts w:cs="Arial"/>
          <w:b/>
          <w:bCs/>
          <w:i w:val="0"/>
          <w:iCs w:val="0"/>
          <w:color w:val="auto"/>
          <w:sz w:val="22"/>
          <w:szCs w:val="22"/>
        </w:rPr>
        <w:t xml:space="preserve">Supplemental Figure </w:t>
      </w:r>
      <w:r w:rsidR="00C57D08">
        <w:rPr>
          <w:rFonts w:cs="Arial"/>
          <w:b/>
          <w:bCs/>
          <w:i w:val="0"/>
          <w:iCs w:val="0"/>
          <w:color w:val="auto"/>
          <w:sz w:val="22"/>
          <w:szCs w:val="22"/>
        </w:rPr>
        <w:t>3</w:t>
      </w:r>
      <w:r w:rsidR="00C77D6B" w:rsidRPr="003B29CF">
        <w:rPr>
          <w:rFonts w:cs="Arial"/>
          <w:b/>
          <w:bCs/>
          <w:i w:val="0"/>
          <w:iCs w:val="0"/>
          <w:color w:val="auto"/>
          <w:sz w:val="22"/>
          <w:szCs w:val="22"/>
        </w:rPr>
        <w:t>.</w:t>
      </w:r>
      <w:r w:rsidR="00C77D6B" w:rsidRPr="003B29CF">
        <w:rPr>
          <w:rFonts w:cs="Arial"/>
          <w:i w:val="0"/>
          <w:iCs w:val="0"/>
          <w:color w:val="auto"/>
          <w:sz w:val="22"/>
          <w:szCs w:val="22"/>
        </w:rPr>
        <w:t xml:space="preserve"> </w:t>
      </w:r>
      <w:r w:rsidRPr="003B29CF">
        <w:rPr>
          <w:rFonts w:cs="Arial"/>
          <w:i w:val="0"/>
          <w:iCs w:val="0"/>
          <w:color w:val="auto"/>
          <w:sz w:val="22"/>
          <w:szCs w:val="22"/>
        </w:rPr>
        <w:t xml:space="preserve">Distribution of total count of positive airway pressure (PAP) claims during the first year of PAP </w:t>
      </w:r>
      <w:r w:rsidR="00873DF5" w:rsidRPr="003B29CF">
        <w:rPr>
          <w:rFonts w:cs="Arial"/>
          <w:i w:val="0"/>
          <w:iCs w:val="0"/>
          <w:color w:val="auto"/>
          <w:sz w:val="22"/>
          <w:szCs w:val="22"/>
        </w:rPr>
        <w:t>utilization</w:t>
      </w:r>
      <w:r w:rsidRPr="003B29CF">
        <w:rPr>
          <w:rFonts w:cs="Arial"/>
          <w:i w:val="0"/>
          <w:iCs w:val="0"/>
          <w:color w:val="auto"/>
          <w:sz w:val="22"/>
          <w:szCs w:val="22"/>
        </w:rPr>
        <w:t>.</w:t>
      </w:r>
      <w:bookmarkEnd w:id="9"/>
    </w:p>
    <w:p w14:paraId="1E22ED40" w14:textId="4F8E4716" w:rsidR="00A61B3C" w:rsidRPr="003B29CF" w:rsidRDefault="00A61B3C">
      <w:pPr>
        <w:rPr>
          <w:rFonts w:cs="Arial"/>
          <w:b/>
          <w:bCs/>
        </w:rPr>
      </w:pPr>
      <w:r w:rsidRPr="003B29CF">
        <w:rPr>
          <w:rFonts w:cs="Arial"/>
          <w:b/>
          <w:bCs/>
        </w:rPr>
        <w:br w:type="page"/>
      </w:r>
    </w:p>
    <w:p w14:paraId="6D041F51" w14:textId="2039F114" w:rsidR="00A61B3C" w:rsidRPr="003B29CF" w:rsidRDefault="00CF76D4" w:rsidP="00A61B3C">
      <w:pPr>
        <w:spacing w:after="0" w:line="276" w:lineRule="auto"/>
        <w:rPr>
          <w:rFonts w:cs="Arial"/>
          <w:b/>
          <w:bCs/>
        </w:rPr>
      </w:pPr>
      <w:r>
        <w:rPr>
          <w:noProof/>
        </w:rPr>
        <w:lastRenderedPageBreak/>
        <w:drawing>
          <wp:inline distT="0" distB="0" distL="0" distR="0" wp14:anchorId="0B3FB6E7" wp14:editId="75E9AA5F">
            <wp:extent cx="9144000" cy="609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0" cy="6096000"/>
                    </a:xfrm>
                    <a:prstGeom prst="rect">
                      <a:avLst/>
                    </a:prstGeom>
                    <a:noFill/>
                    <a:ln>
                      <a:noFill/>
                    </a:ln>
                  </pic:spPr>
                </pic:pic>
              </a:graphicData>
            </a:graphic>
          </wp:inline>
        </w:drawing>
      </w:r>
    </w:p>
    <w:p w14:paraId="6597CB03" w14:textId="6C2654CE" w:rsidR="00BE16B9" w:rsidRPr="003B29CF" w:rsidRDefault="00A61B3C" w:rsidP="003F507C">
      <w:pPr>
        <w:spacing w:after="0" w:line="276" w:lineRule="auto"/>
        <w:rPr>
          <w:rFonts w:cs="Arial"/>
        </w:rPr>
      </w:pPr>
      <w:r w:rsidRPr="003B29CF">
        <w:rPr>
          <w:rFonts w:cs="Arial"/>
          <w:b/>
          <w:bCs/>
        </w:rPr>
        <w:t xml:space="preserve">Supplemental Figure </w:t>
      </w:r>
      <w:r w:rsidR="00C57D08">
        <w:rPr>
          <w:rFonts w:cs="Arial"/>
          <w:b/>
          <w:bCs/>
        </w:rPr>
        <w:t>4</w:t>
      </w:r>
      <w:r w:rsidRPr="003B29CF">
        <w:rPr>
          <w:rFonts w:cs="Arial"/>
          <w:b/>
          <w:bCs/>
        </w:rPr>
        <w:t>.</w:t>
      </w:r>
      <w:r w:rsidRPr="003B29CF">
        <w:rPr>
          <w:rFonts w:cs="Arial"/>
        </w:rPr>
        <w:t xml:space="preserve"> </w:t>
      </w:r>
      <w:r w:rsidR="00873DF5" w:rsidRPr="003B29CF">
        <w:rPr>
          <w:rFonts w:cs="Arial"/>
        </w:rPr>
        <w:t>Categorization</w:t>
      </w:r>
      <w:r w:rsidRPr="003B29CF">
        <w:rPr>
          <w:rFonts w:cs="Arial"/>
        </w:rPr>
        <w:t xml:space="preserve"> of positive airway pressure (PAP) claim counts distribution during first year of PAP </w:t>
      </w:r>
      <w:r w:rsidR="00873DF5" w:rsidRPr="003B29CF">
        <w:rPr>
          <w:rFonts w:cs="Arial"/>
        </w:rPr>
        <w:t>utilization</w:t>
      </w:r>
      <w:r w:rsidRPr="003B29CF">
        <w:rPr>
          <w:rFonts w:cs="Arial"/>
        </w:rPr>
        <w:t xml:space="preserve"> according to quantile-based definitions (</w:t>
      </w:r>
      <w:proofErr w:type="spellStart"/>
      <w:r w:rsidRPr="003B29CF">
        <w:rPr>
          <w:rFonts w:cs="Arial"/>
        </w:rPr>
        <w:t>Quantile_Median</w:t>
      </w:r>
      <w:proofErr w:type="spellEnd"/>
      <w:r w:rsidRPr="003B29CF">
        <w:rPr>
          <w:rFonts w:cs="Arial"/>
        </w:rPr>
        <w:t xml:space="preserve">, </w:t>
      </w:r>
      <w:proofErr w:type="spellStart"/>
      <w:r w:rsidRPr="003B29CF">
        <w:rPr>
          <w:rFonts w:cs="Arial"/>
        </w:rPr>
        <w:t>Quantile_Tertile</w:t>
      </w:r>
      <w:proofErr w:type="spellEnd"/>
      <w:r w:rsidRPr="003B29CF">
        <w:rPr>
          <w:rFonts w:cs="Arial"/>
        </w:rPr>
        <w:t xml:space="preserve">, </w:t>
      </w:r>
      <w:proofErr w:type="spellStart"/>
      <w:r w:rsidRPr="003B29CF">
        <w:rPr>
          <w:rFonts w:cs="Arial"/>
        </w:rPr>
        <w:t>Quantile_Quartile</w:t>
      </w:r>
      <w:proofErr w:type="spellEnd"/>
      <w:r w:rsidRPr="003B29CF">
        <w:rPr>
          <w:rFonts w:cs="Arial"/>
        </w:rPr>
        <w:t>), rule-based definitions (</w:t>
      </w:r>
      <w:proofErr w:type="spellStart"/>
      <w:r w:rsidRPr="003B29CF">
        <w:rPr>
          <w:rFonts w:cs="Arial"/>
        </w:rPr>
        <w:t>Rule_Based</w:t>
      </w:r>
      <w:proofErr w:type="spellEnd"/>
      <w:r w:rsidRPr="003B29CF">
        <w:rPr>
          <w:rFonts w:cs="Arial"/>
        </w:rPr>
        <w:t xml:space="preserve">), equal spaced (EqualSpaced_By4, EqualSpaced_By8) and based on an empirical method that identified the most discriminant cut point for </w:t>
      </w:r>
      <w:r w:rsidR="003F507C">
        <w:rPr>
          <w:rFonts w:cs="Arial"/>
        </w:rPr>
        <w:t xml:space="preserve">all-cause mortality </w:t>
      </w:r>
      <w:r w:rsidR="00CF76D4">
        <w:rPr>
          <w:rFonts w:cs="Arial"/>
        </w:rPr>
        <w:t xml:space="preserve">and MACE </w:t>
      </w:r>
      <w:r w:rsidRPr="003B29CF">
        <w:rPr>
          <w:rFonts w:cs="Arial"/>
        </w:rPr>
        <w:t>(</w:t>
      </w:r>
      <w:proofErr w:type="spellStart"/>
      <w:r w:rsidRPr="003B29CF">
        <w:rPr>
          <w:rFonts w:cs="Arial"/>
        </w:rPr>
        <w:t>Empirical_All</w:t>
      </w:r>
      <w:proofErr w:type="spellEnd"/>
      <w:r w:rsidRPr="003B29CF">
        <w:rPr>
          <w:rFonts w:cs="Arial"/>
        </w:rPr>
        <w:t>-case-Mortality</w:t>
      </w:r>
      <w:r w:rsidR="00CF76D4">
        <w:rPr>
          <w:rFonts w:cs="Arial"/>
        </w:rPr>
        <w:t xml:space="preserve">, </w:t>
      </w:r>
      <w:proofErr w:type="spellStart"/>
      <w:r w:rsidR="00CF76D4" w:rsidRPr="003B29CF">
        <w:rPr>
          <w:rFonts w:cs="Arial"/>
        </w:rPr>
        <w:t>Empirical_</w:t>
      </w:r>
      <w:r w:rsidR="00CF76D4">
        <w:rPr>
          <w:rFonts w:cs="Arial"/>
        </w:rPr>
        <w:t>MACE</w:t>
      </w:r>
      <w:proofErr w:type="spellEnd"/>
      <w:r w:rsidR="00CF76D4" w:rsidRPr="003B29CF">
        <w:rPr>
          <w:rFonts w:cs="Arial"/>
        </w:rPr>
        <w:t>-</w:t>
      </w:r>
      <w:r w:rsidR="00CF76D4">
        <w:rPr>
          <w:rFonts w:cs="Arial"/>
        </w:rPr>
        <w:t>composite</w:t>
      </w:r>
      <w:r w:rsidR="00BE5929" w:rsidRPr="003B29CF">
        <w:rPr>
          <w:rFonts w:cs="Arial"/>
        </w:rPr>
        <w:t>).</w:t>
      </w:r>
      <w:r w:rsidR="00FE76A6" w:rsidRPr="003B29CF">
        <w:rPr>
          <w:rFonts w:cs="Arial"/>
        </w:rPr>
        <w:t xml:space="preserve"> Vertical red dashed lines represent cut points for each definition.</w:t>
      </w:r>
      <w:r w:rsidR="00BE16B9" w:rsidRPr="003B29CF">
        <w:rPr>
          <w:rFonts w:cs="Arial"/>
        </w:rPr>
        <w:br w:type="page"/>
      </w:r>
    </w:p>
    <w:p w14:paraId="4CD897E9" w14:textId="0FFDC912" w:rsidR="00CF76D4" w:rsidRDefault="00CF76D4" w:rsidP="00A61B3C">
      <w:pPr>
        <w:spacing w:after="0" w:line="276" w:lineRule="auto"/>
        <w:jc w:val="both"/>
        <w:rPr>
          <w:rFonts w:cs="Arial"/>
        </w:rPr>
      </w:pPr>
      <w:r>
        <w:rPr>
          <w:noProof/>
        </w:rPr>
        <w:lastRenderedPageBreak/>
        <w:drawing>
          <wp:inline distT="0" distB="0" distL="0" distR="0" wp14:anchorId="0884B06E" wp14:editId="3C34BDCA">
            <wp:extent cx="9144000" cy="609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44000" cy="6096000"/>
                    </a:xfrm>
                    <a:prstGeom prst="rect">
                      <a:avLst/>
                    </a:prstGeom>
                    <a:noFill/>
                    <a:ln>
                      <a:noFill/>
                    </a:ln>
                  </pic:spPr>
                </pic:pic>
              </a:graphicData>
            </a:graphic>
          </wp:inline>
        </w:drawing>
      </w:r>
      <w:r w:rsidR="00BE16B9" w:rsidRPr="003B29CF">
        <w:rPr>
          <w:rFonts w:cs="Arial"/>
          <w:b/>
          <w:bCs/>
        </w:rPr>
        <w:t xml:space="preserve">Supplemental Figure </w:t>
      </w:r>
      <w:r w:rsidR="00C57D08">
        <w:rPr>
          <w:rFonts w:cs="Arial"/>
          <w:b/>
          <w:bCs/>
        </w:rPr>
        <w:t>5</w:t>
      </w:r>
      <w:r w:rsidR="00BE16B9" w:rsidRPr="003B29CF">
        <w:rPr>
          <w:rFonts w:cs="Arial"/>
          <w:b/>
          <w:bCs/>
        </w:rPr>
        <w:t>:</w:t>
      </w:r>
      <w:r w:rsidR="00BE16B9" w:rsidRPr="003B29CF">
        <w:rPr>
          <w:rFonts w:cs="Arial"/>
        </w:rPr>
        <w:t xml:space="preserve"> Summary of inverse probability of treatment weights (IPTW)-adjusted Cox proportional hazards models assessing the effect of different PAP exposure group definitions at first year of PAP </w:t>
      </w:r>
      <w:r w:rsidR="00873DF5" w:rsidRPr="003B29CF">
        <w:rPr>
          <w:rFonts w:cs="Arial"/>
        </w:rPr>
        <w:t>utilization</w:t>
      </w:r>
      <w:r w:rsidR="00BE16B9" w:rsidRPr="003B29CF">
        <w:rPr>
          <w:rFonts w:cs="Arial"/>
        </w:rPr>
        <w:t xml:space="preserve"> on primary outcomes</w:t>
      </w:r>
      <w:r w:rsidR="00FA631D" w:rsidRPr="003B29CF">
        <w:rPr>
          <w:rFonts w:cs="Arial"/>
        </w:rPr>
        <w:t xml:space="preserve">: </w:t>
      </w:r>
      <w:r w:rsidR="00BE16B9" w:rsidRPr="003B29CF">
        <w:rPr>
          <w:rFonts w:cs="Arial"/>
        </w:rPr>
        <w:t>all-cause mortality</w:t>
      </w:r>
      <w:r w:rsidR="00FA631D" w:rsidRPr="003B29CF">
        <w:rPr>
          <w:rFonts w:cs="Arial"/>
        </w:rPr>
        <w:t xml:space="preserve"> (ACM) </w:t>
      </w:r>
      <w:r w:rsidR="00BE16B9" w:rsidRPr="003B29CF">
        <w:rPr>
          <w:rFonts w:cs="Arial"/>
        </w:rPr>
        <w:t>and major adverse cardiovascular events</w:t>
      </w:r>
      <w:r w:rsidR="00FA631D" w:rsidRPr="003B29CF">
        <w:rPr>
          <w:rFonts w:cs="Arial"/>
        </w:rPr>
        <w:t xml:space="preserve"> (MACE</w:t>
      </w:r>
      <w:r w:rsidR="00BE16B9" w:rsidRPr="003B29CF">
        <w:rPr>
          <w:rFonts w:cs="Arial"/>
        </w:rPr>
        <w:t xml:space="preserve">). </w:t>
      </w:r>
    </w:p>
    <w:p w14:paraId="161774C2" w14:textId="77777777" w:rsidR="00CF76D4" w:rsidRDefault="00CF76D4">
      <w:pPr>
        <w:rPr>
          <w:rFonts w:cs="Arial"/>
        </w:rPr>
      </w:pPr>
      <w:r>
        <w:rPr>
          <w:rFonts w:cs="Arial"/>
        </w:rPr>
        <w:br w:type="page"/>
      </w:r>
    </w:p>
    <w:p w14:paraId="4D3BF39E" w14:textId="77777777" w:rsidR="00BE16B9" w:rsidRPr="003B29CF" w:rsidRDefault="00BE16B9" w:rsidP="00A61B3C">
      <w:pPr>
        <w:spacing w:after="0" w:line="276" w:lineRule="auto"/>
        <w:jc w:val="both"/>
        <w:rPr>
          <w:rFonts w:cs="Arial"/>
          <w:b/>
          <w:bCs/>
        </w:rPr>
      </w:pPr>
    </w:p>
    <w:p w14:paraId="510AF6A6" w14:textId="76EE1990" w:rsidR="00E25EA7" w:rsidRPr="003B29CF" w:rsidRDefault="00C57D08" w:rsidP="00A61B3C">
      <w:pPr>
        <w:spacing w:after="0" w:line="276" w:lineRule="auto"/>
        <w:jc w:val="both"/>
        <w:rPr>
          <w:rFonts w:cs="Arial"/>
          <w:b/>
          <w:bCs/>
        </w:rPr>
      </w:pPr>
      <w:r>
        <w:rPr>
          <w:noProof/>
        </w:rPr>
        <w:drawing>
          <wp:inline distT="0" distB="0" distL="0" distR="0" wp14:anchorId="583D7570" wp14:editId="48CE062E">
            <wp:extent cx="6825081" cy="5461077"/>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44573" cy="5476674"/>
                    </a:xfrm>
                    <a:prstGeom prst="rect">
                      <a:avLst/>
                    </a:prstGeom>
                    <a:noFill/>
                    <a:ln>
                      <a:noFill/>
                    </a:ln>
                  </pic:spPr>
                </pic:pic>
              </a:graphicData>
            </a:graphic>
          </wp:inline>
        </w:drawing>
      </w:r>
    </w:p>
    <w:p w14:paraId="5417DB10" w14:textId="0AD5E90F" w:rsidR="00E25EA7" w:rsidRPr="003B29CF" w:rsidRDefault="00E25EA7" w:rsidP="00A61B3C">
      <w:pPr>
        <w:spacing w:after="0" w:line="276" w:lineRule="auto"/>
        <w:jc w:val="both"/>
        <w:rPr>
          <w:rFonts w:cs="Arial"/>
          <w:b/>
          <w:bCs/>
        </w:rPr>
      </w:pPr>
    </w:p>
    <w:p w14:paraId="773772A2" w14:textId="5EC35CED" w:rsidR="00073254" w:rsidRPr="003B29CF" w:rsidRDefault="00073254" w:rsidP="00073254">
      <w:pPr>
        <w:spacing w:after="0" w:line="276" w:lineRule="auto"/>
        <w:jc w:val="both"/>
        <w:rPr>
          <w:rFonts w:cs="Arial"/>
        </w:rPr>
      </w:pPr>
      <w:r w:rsidRPr="003B29CF">
        <w:rPr>
          <w:rFonts w:cs="Arial"/>
          <w:b/>
          <w:bCs/>
        </w:rPr>
        <w:t>Supplemental Figure 6:</w:t>
      </w:r>
      <w:r w:rsidRPr="003B29CF">
        <w:rPr>
          <w:rFonts w:cs="Arial"/>
        </w:rPr>
        <w:t xml:space="preserve"> Spline extrapolation analyses representing estimated hazards ratio (HR) as a function of the total positive airway pressure (PAP) claim counts during first year of PAP </w:t>
      </w:r>
      <w:r w:rsidR="00873DF5" w:rsidRPr="003B29CF">
        <w:rPr>
          <w:rFonts w:cs="Arial"/>
        </w:rPr>
        <w:t>utilization</w:t>
      </w:r>
      <w:r w:rsidRPr="003B29CF">
        <w:rPr>
          <w:rFonts w:cs="Arial"/>
        </w:rPr>
        <w:t xml:space="preserve"> for each primary and secondary study outcome. Blue vertical dashed lines represent HR inflection points, with the corresponding count of PAP claims.</w:t>
      </w:r>
      <w:r w:rsidR="00873DF5">
        <w:rPr>
          <w:rFonts w:cs="Arial"/>
        </w:rPr>
        <w:t xml:space="preserve"> Number in black boxes represent the</w:t>
      </w:r>
      <w:r w:rsidR="00F74021">
        <w:rPr>
          <w:rFonts w:cs="Arial"/>
        </w:rPr>
        <w:t xml:space="preserve"> number of claims with</w:t>
      </w:r>
      <w:r w:rsidR="00873DF5">
        <w:rPr>
          <w:rFonts w:cs="Arial"/>
        </w:rPr>
        <w:t xml:space="preserve"> highest and lowest HR</w:t>
      </w:r>
      <w:r w:rsidR="00F74021">
        <w:rPr>
          <w:rFonts w:cs="Arial"/>
        </w:rPr>
        <w:t xml:space="preserve"> within each inflection.</w:t>
      </w:r>
      <w:r w:rsidRPr="003B29CF">
        <w:rPr>
          <w:rFonts w:cs="Arial"/>
        </w:rPr>
        <w:t xml:space="preserve"> </w:t>
      </w:r>
      <w:r w:rsidR="00F74021">
        <w:rPr>
          <w:rFonts w:cs="Arial"/>
        </w:rPr>
        <w:t xml:space="preserve">Numbers in red boxes represent the number of claims at the inflection. </w:t>
      </w:r>
      <w:r w:rsidRPr="003B29CF">
        <w:rPr>
          <w:rFonts w:cs="Arial"/>
        </w:rPr>
        <w:t>Red horizontal dashed lines represent the null (HR=1).</w:t>
      </w:r>
      <w:r w:rsidR="00873DF5">
        <w:rPr>
          <w:rFonts w:cs="Arial"/>
        </w:rPr>
        <w:t xml:space="preserve"> </w:t>
      </w:r>
    </w:p>
    <w:p w14:paraId="37F61337" w14:textId="77777777" w:rsidR="00215E0E" w:rsidRPr="003B29CF" w:rsidRDefault="00215E0E" w:rsidP="00073254">
      <w:pPr>
        <w:spacing w:after="0" w:line="276" w:lineRule="auto"/>
        <w:jc w:val="both"/>
        <w:rPr>
          <w:rFonts w:cs="Arial"/>
        </w:rPr>
      </w:pPr>
    </w:p>
    <w:p w14:paraId="62F537E6" w14:textId="77777777" w:rsidR="00912ED4" w:rsidRDefault="00912ED4">
      <w:pPr>
        <w:rPr>
          <w:rFonts w:cs="Arial"/>
          <w:b/>
          <w:bCs/>
        </w:rPr>
        <w:sectPr w:rsidR="00912ED4" w:rsidSect="00D54C7B">
          <w:pgSz w:w="15840" w:h="12240" w:orient="landscape"/>
          <w:pgMar w:top="720" w:right="720" w:bottom="720" w:left="720" w:header="720" w:footer="720" w:gutter="0"/>
          <w:cols w:space="720"/>
          <w:docGrid w:linePitch="360"/>
        </w:sectPr>
      </w:pPr>
    </w:p>
    <w:p w14:paraId="3B0C32FF" w14:textId="604B9750" w:rsidR="00912ED4" w:rsidRDefault="00912ED4">
      <w:pPr>
        <w:rPr>
          <w:rFonts w:cs="Arial"/>
          <w:b/>
          <w:bCs/>
        </w:rPr>
      </w:pPr>
      <w:r>
        <w:rPr>
          <w:rFonts w:cs="Arial"/>
          <w:b/>
          <w:bCs/>
          <w:noProof/>
        </w:rPr>
        <w:lastRenderedPageBreak/>
        <w:drawing>
          <wp:inline distT="0" distB="0" distL="0" distR="0" wp14:anchorId="31229BB6" wp14:editId="70141360">
            <wp:extent cx="6091757" cy="8325293"/>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540" b="4299"/>
                    <a:stretch/>
                  </pic:blipFill>
                  <pic:spPr bwMode="auto">
                    <a:xfrm>
                      <a:off x="0" y="0"/>
                      <a:ext cx="6092190" cy="8325885"/>
                    </a:xfrm>
                    <a:prstGeom prst="rect">
                      <a:avLst/>
                    </a:prstGeom>
                    <a:noFill/>
                    <a:ln>
                      <a:noFill/>
                    </a:ln>
                    <a:extLst>
                      <a:ext uri="{53640926-AAD7-44D8-BBD7-CCE9431645EC}">
                        <a14:shadowObscured xmlns:a14="http://schemas.microsoft.com/office/drawing/2010/main"/>
                      </a:ext>
                    </a:extLst>
                  </pic:spPr>
                </pic:pic>
              </a:graphicData>
            </a:graphic>
          </wp:inline>
        </w:drawing>
      </w:r>
    </w:p>
    <w:p w14:paraId="4EF8D4BE" w14:textId="77777777" w:rsidR="00912ED4" w:rsidRDefault="00912ED4">
      <w:pPr>
        <w:rPr>
          <w:rFonts w:cs="Arial"/>
          <w:b/>
          <w:bCs/>
        </w:rPr>
      </w:pPr>
      <w:r>
        <w:rPr>
          <w:rFonts w:cs="Arial"/>
          <w:b/>
          <w:bCs/>
        </w:rPr>
        <w:br w:type="page"/>
      </w:r>
    </w:p>
    <w:p w14:paraId="090001A4" w14:textId="071EF233" w:rsidR="00215E0E" w:rsidRPr="003B29CF" w:rsidRDefault="00912ED4">
      <w:pPr>
        <w:rPr>
          <w:rFonts w:cs="Arial"/>
          <w:b/>
          <w:bCs/>
        </w:rPr>
      </w:pPr>
      <w:r>
        <w:rPr>
          <w:rFonts w:cs="Arial"/>
          <w:b/>
          <w:bCs/>
        </w:rPr>
        <w:lastRenderedPageBreak/>
        <w:t>(continued)</w:t>
      </w:r>
      <w:r w:rsidRPr="00912ED4">
        <w:rPr>
          <w:rFonts w:cs="Arial"/>
          <w:b/>
          <w:bCs/>
          <w:noProof/>
        </w:rPr>
        <w:t xml:space="preserve"> </w:t>
      </w:r>
      <w:r>
        <w:rPr>
          <w:rFonts w:cs="Arial"/>
          <w:b/>
          <w:bCs/>
          <w:noProof/>
        </w:rPr>
        <w:drawing>
          <wp:inline distT="0" distB="0" distL="0" distR="0" wp14:anchorId="35B9CF54" wp14:editId="7530E6D3">
            <wp:extent cx="6092097" cy="837845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191" b="4071"/>
                    <a:stretch/>
                  </pic:blipFill>
                  <pic:spPr bwMode="auto">
                    <a:xfrm>
                      <a:off x="0" y="0"/>
                      <a:ext cx="6092097" cy="8378456"/>
                    </a:xfrm>
                    <a:prstGeom prst="rect">
                      <a:avLst/>
                    </a:prstGeom>
                    <a:noFill/>
                    <a:ln>
                      <a:noFill/>
                    </a:ln>
                    <a:extLst>
                      <a:ext uri="{53640926-AAD7-44D8-BBD7-CCE9431645EC}">
                        <a14:shadowObscured xmlns:a14="http://schemas.microsoft.com/office/drawing/2010/main"/>
                      </a:ext>
                    </a:extLst>
                  </pic:spPr>
                </pic:pic>
              </a:graphicData>
            </a:graphic>
          </wp:inline>
        </w:drawing>
      </w:r>
    </w:p>
    <w:p w14:paraId="385F350A" w14:textId="77777777" w:rsidR="00912ED4" w:rsidRDefault="00912ED4">
      <w:pPr>
        <w:rPr>
          <w:rFonts w:cs="Arial"/>
          <w:b/>
          <w:bCs/>
          <w:sz w:val="20"/>
          <w:szCs w:val="20"/>
        </w:rPr>
      </w:pPr>
      <w:r>
        <w:rPr>
          <w:rFonts w:cs="Arial"/>
          <w:b/>
          <w:bCs/>
          <w:sz w:val="20"/>
          <w:szCs w:val="20"/>
        </w:rPr>
        <w:br w:type="page"/>
      </w:r>
    </w:p>
    <w:p w14:paraId="409AD399" w14:textId="0EB45CF7" w:rsidR="00912ED4" w:rsidRDefault="00912ED4" w:rsidP="00912ED4">
      <w:pPr>
        <w:spacing w:after="0" w:line="276" w:lineRule="auto"/>
        <w:jc w:val="both"/>
        <w:rPr>
          <w:rFonts w:cs="Arial"/>
          <w:b/>
          <w:bCs/>
          <w:sz w:val="20"/>
          <w:szCs w:val="20"/>
        </w:rPr>
      </w:pPr>
      <w:r>
        <w:rPr>
          <w:rFonts w:cs="Arial"/>
          <w:b/>
          <w:bCs/>
          <w:sz w:val="20"/>
          <w:szCs w:val="20"/>
        </w:rPr>
        <w:lastRenderedPageBreak/>
        <w:t>(continued)</w:t>
      </w:r>
    </w:p>
    <w:p w14:paraId="626D4C93" w14:textId="524B0854" w:rsidR="00912ED4" w:rsidRDefault="00912ED4">
      <w:pPr>
        <w:rPr>
          <w:rFonts w:cs="Arial"/>
          <w:b/>
          <w:bCs/>
          <w:sz w:val="20"/>
          <w:szCs w:val="20"/>
        </w:rPr>
      </w:pPr>
      <w:r>
        <w:rPr>
          <w:rFonts w:cs="Arial"/>
          <w:b/>
          <w:bCs/>
          <w:noProof/>
        </w:rPr>
        <w:drawing>
          <wp:inline distT="0" distB="0" distL="0" distR="0" wp14:anchorId="238B7235" wp14:editId="77117E8D">
            <wp:extent cx="6091801" cy="7330966"/>
            <wp:effectExtent l="0" t="0" r="444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9839" b="9889"/>
                    <a:stretch/>
                  </pic:blipFill>
                  <pic:spPr bwMode="auto">
                    <a:xfrm>
                      <a:off x="0" y="0"/>
                      <a:ext cx="6092190" cy="7331434"/>
                    </a:xfrm>
                    <a:prstGeom prst="rect">
                      <a:avLst/>
                    </a:prstGeom>
                    <a:noFill/>
                    <a:ln>
                      <a:noFill/>
                    </a:ln>
                    <a:extLst>
                      <a:ext uri="{53640926-AAD7-44D8-BBD7-CCE9431645EC}">
                        <a14:shadowObscured xmlns:a14="http://schemas.microsoft.com/office/drawing/2010/main"/>
                      </a:ext>
                    </a:extLst>
                  </pic:spPr>
                </pic:pic>
              </a:graphicData>
            </a:graphic>
          </wp:inline>
        </w:drawing>
      </w:r>
    </w:p>
    <w:p w14:paraId="6B777C81" w14:textId="77777777" w:rsidR="00912ED4" w:rsidRDefault="00912ED4" w:rsidP="00912ED4">
      <w:pPr>
        <w:spacing w:after="0" w:line="276" w:lineRule="auto"/>
        <w:jc w:val="both"/>
        <w:rPr>
          <w:rFonts w:cs="Arial"/>
          <w:b/>
          <w:bCs/>
          <w:sz w:val="20"/>
          <w:szCs w:val="20"/>
        </w:rPr>
      </w:pPr>
    </w:p>
    <w:p w14:paraId="61F0487D" w14:textId="67F28A24" w:rsidR="00912ED4" w:rsidRPr="00912ED4" w:rsidRDefault="00912ED4" w:rsidP="00912ED4">
      <w:pPr>
        <w:spacing w:after="0" w:line="240" w:lineRule="auto"/>
        <w:jc w:val="both"/>
        <w:rPr>
          <w:rFonts w:cs="Arial"/>
        </w:rPr>
      </w:pPr>
      <w:r w:rsidRPr="00912ED4">
        <w:rPr>
          <w:rFonts w:cs="Arial"/>
          <w:b/>
          <w:bCs/>
        </w:rPr>
        <w:t>Supplemental Figure 7:</w:t>
      </w:r>
      <w:r w:rsidRPr="00912ED4">
        <w:rPr>
          <w:rFonts w:cs="Arial"/>
        </w:rPr>
        <w:t xml:space="preserve"> Summary of inverse probability of treatment weights (IPTW)-adjusted Cox proportional hazards models assessing the effect of PAP exposure groups based on quartiles of PAP utilization during first year on all-cause mortality (ACM) and MACE within categories of relevant sociodemographic and clinical characteristics. </w:t>
      </w:r>
      <w:bookmarkStart w:id="10" w:name="_Hlk133514442"/>
      <w:r w:rsidRPr="00912ED4">
        <w:rPr>
          <w:rFonts w:cs="Arial"/>
        </w:rPr>
        <w:t xml:space="preserve">PAP exposure groups were defined as follows: level 1 (reference): </w:t>
      </w:r>
      <w:bookmarkStart w:id="11" w:name="_Hlk158736507"/>
      <w:r w:rsidRPr="00912ED4">
        <w:rPr>
          <w:rFonts w:cs="Arial"/>
        </w:rPr>
        <w:t>1-7 claims; level 2: 8-12</w:t>
      </w:r>
      <w:r w:rsidR="002B35C7">
        <w:rPr>
          <w:rFonts w:cs="Arial"/>
        </w:rPr>
        <w:t xml:space="preserve"> </w:t>
      </w:r>
      <w:r w:rsidRPr="00912ED4">
        <w:rPr>
          <w:rFonts w:cs="Arial"/>
        </w:rPr>
        <w:t>claims; level 3: 13-15 claims; level 4: &gt;15 claims)</w:t>
      </w:r>
      <w:bookmarkEnd w:id="11"/>
      <w:r w:rsidRPr="00912ED4">
        <w:rPr>
          <w:rFonts w:cs="Arial"/>
        </w:rPr>
        <w:t>.</w:t>
      </w:r>
      <w:bookmarkEnd w:id="10"/>
      <w:r w:rsidR="002B35C7">
        <w:rPr>
          <w:rFonts w:cs="Arial"/>
        </w:rPr>
        <w:t xml:space="preserve"> </w:t>
      </w:r>
      <w:r w:rsidRPr="00912ED4">
        <w:rPr>
          <w:rFonts w:cs="Arial"/>
        </w:rPr>
        <w:t xml:space="preserve">Results were derived from IPTW-weighted Cox proportional hazards models adjusted for age, sex, race, low-income-subsidy or dual-eligibility indicator, type 2 diabetes, hypertension, obesity, atrial fibrillation, MACE (all-cause mortality only), COPD, CKD, hypersomnia, and insomnia, anxiety disorder, hypersomnia, insomnia, CCI, prescriptions of anticoagulants, antihypertensives, </w:t>
      </w:r>
      <w:r w:rsidRPr="00912ED4">
        <w:rPr>
          <w:rFonts w:cs="Arial"/>
        </w:rPr>
        <w:lastRenderedPageBreak/>
        <w:t xml:space="preserve">antilipidemic agents and blood glucose regulators. Among stratified models, stratification variable was not included as a covariate in propensity score models nor in outcome models. Reference category is no evidence of PAP initiation. Abbreviations: ACM: all-cause mortality; COPD: chronic obstructive pulmonary disease; CKD: chronic kidney disease; CCI: </w:t>
      </w:r>
      <w:proofErr w:type="spellStart"/>
      <w:r w:rsidRPr="00912ED4">
        <w:rPr>
          <w:rFonts w:cs="Arial"/>
        </w:rPr>
        <w:t>Charlson</w:t>
      </w:r>
      <w:proofErr w:type="spellEnd"/>
      <w:r w:rsidRPr="00912ED4">
        <w:rPr>
          <w:rFonts w:cs="Arial"/>
        </w:rPr>
        <w:t xml:space="preserve"> comorbidity index; PAP: positive airway pressure; HR: hazard ratio; CI: confidence interval; MACE: major adverse cardiovascular event</w:t>
      </w:r>
      <w:r w:rsidR="009E450C">
        <w:rPr>
          <w:rFonts w:cs="Arial"/>
        </w:rPr>
        <w:t>.</w:t>
      </w:r>
    </w:p>
    <w:p w14:paraId="0ACB8269" w14:textId="5A19C557" w:rsidR="00912ED4" w:rsidRDefault="00912ED4">
      <w:pPr>
        <w:rPr>
          <w:rFonts w:cs="Arial"/>
          <w:b/>
          <w:bCs/>
          <w:sz w:val="20"/>
          <w:szCs w:val="20"/>
        </w:rPr>
      </w:pPr>
    </w:p>
    <w:p w14:paraId="6ED78569" w14:textId="77777777" w:rsidR="00912ED4" w:rsidRDefault="00912ED4">
      <w:pPr>
        <w:rPr>
          <w:rFonts w:cs="Arial"/>
        </w:rPr>
        <w:sectPr w:rsidR="00912ED4" w:rsidSect="00912ED4">
          <w:pgSz w:w="12240" w:h="15840"/>
          <w:pgMar w:top="720" w:right="720" w:bottom="720" w:left="720" w:header="720" w:footer="720" w:gutter="0"/>
          <w:cols w:space="720"/>
          <w:docGrid w:linePitch="360"/>
        </w:sectPr>
      </w:pPr>
    </w:p>
    <w:p w14:paraId="43C04BE6" w14:textId="0935DFBF" w:rsidR="00912ED4" w:rsidRPr="00912ED4" w:rsidRDefault="00912ED4">
      <w:pPr>
        <w:rPr>
          <w:rFonts w:cs="Arial"/>
        </w:rPr>
      </w:pPr>
      <w:r>
        <w:rPr>
          <w:rFonts w:cs="Arial"/>
          <w:noProof/>
        </w:rPr>
        <w:lastRenderedPageBreak/>
        <w:drawing>
          <wp:inline distT="0" distB="0" distL="0" distR="0" wp14:anchorId="5566ADCB" wp14:editId="0C06AC6D">
            <wp:extent cx="6852172" cy="6353298"/>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159" b="3121"/>
                    <a:stretch/>
                  </pic:blipFill>
                  <pic:spPr bwMode="auto">
                    <a:xfrm>
                      <a:off x="0" y="0"/>
                      <a:ext cx="6852285" cy="6353402"/>
                    </a:xfrm>
                    <a:prstGeom prst="rect">
                      <a:avLst/>
                    </a:prstGeom>
                    <a:noFill/>
                    <a:ln>
                      <a:noFill/>
                    </a:ln>
                    <a:extLst>
                      <a:ext uri="{53640926-AAD7-44D8-BBD7-CCE9431645EC}">
                        <a14:shadowObscured xmlns:a14="http://schemas.microsoft.com/office/drawing/2010/main"/>
                      </a:ext>
                    </a:extLst>
                  </pic:spPr>
                </pic:pic>
              </a:graphicData>
            </a:graphic>
          </wp:inline>
        </w:drawing>
      </w:r>
    </w:p>
    <w:p w14:paraId="5B4CACEC" w14:textId="110CCA2F" w:rsidR="00912ED4" w:rsidRDefault="00912ED4">
      <w:pPr>
        <w:rPr>
          <w:rFonts w:cs="Arial"/>
          <w:b/>
          <w:bCs/>
        </w:rPr>
      </w:pPr>
      <w:r>
        <w:rPr>
          <w:rFonts w:cs="Arial"/>
          <w:b/>
          <w:bCs/>
        </w:rPr>
        <w:br w:type="page"/>
      </w:r>
    </w:p>
    <w:p w14:paraId="32B5153D" w14:textId="6DF631EA" w:rsidR="00215E0E" w:rsidRDefault="00912ED4" w:rsidP="00A61B3C">
      <w:pPr>
        <w:spacing w:after="0" w:line="276" w:lineRule="auto"/>
        <w:jc w:val="both"/>
        <w:rPr>
          <w:rFonts w:cs="Arial"/>
          <w:b/>
          <w:bCs/>
        </w:rPr>
      </w:pPr>
      <w:r>
        <w:rPr>
          <w:rFonts w:cs="Arial"/>
          <w:b/>
          <w:bCs/>
        </w:rPr>
        <w:lastRenderedPageBreak/>
        <w:t>(continued)</w:t>
      </w:r>
    </w:p>
    <w:p w14:paraId="41E45978" w14:textId="2D45F361" w:rsidR="00912ED4" w:rsidRPr="00912ED4" w:rsidRDefault="00912ED4" w:rsidP="00A61B3C">
      <w:pPr>
        <w:spacing w:after="0" w:line="276" w:lineRule="auto"/>
        <w:jc w:val="both"/>
        <w:rPr>
          <w:rFonts w:cs="Arial"/>
          <w:b/>
          <w:bCs/>
        </w:rPr>
      </w:pPr>
      <w:r>
        <w:rPr>
          <w:rFonts w:cs="Arial"/>
          <w:b/>
          <w:bCs/>
          <w:noProof/>
        </w:rPr>
        <w:drawing>
          <wp:inline distT="0" distB="0" distL="0" distR="0" wp14:anchorId="1B7FF304" wp14:editId="3370DE23">
            <wp:extent cx="6851773" cy="5533901"/>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705" b="9529"/>
                    <a:stretch/>
                  </pic:blipFill>
                  <pic:spPr bwMode="auto">
                    <a:xfrm>
                      <a:off x="0" y="0"/>
                      <a:ext cx="6852285" cy="5534314"/>
                    </a:xfrm>
                    <a:prstGeom prst="rect">
                      <a:avLst/>
                    </a:prstGeom>
                    <a:noFill/>
                    <a:ln>
                      <a:noFill/>
                    </a:ln>
                    <a:extLst>
                      <a:ext uri="{53640926-AAD7-44D8-BBD7-CCE9431645EC}">
                        <a14:shadowObscured xmlns:a14="http://schemas.microsoft.com/office/drawing/2010/main"/>
                      </a:ext>
                    </a:extLst>
                  </pic:spPr>
                </pic:pic>
              </a:graphicData>
            </a:graphic>
          </wp:inline>
        </w:drawing>
      </w:r>
    </w:p>
    <w:p w14:paraId="496750B5" w14:textId="7D58A63C" w:rsidR="00912ED4" w:rsidRDefault="00912ED4">
      <w:pPr>
        <w:rPr>
          <w:rFonts w:cs="Arial"/>
          <w:b/>
          <w:bCs/>
        </w:rPr>
      </w:pPr>
      <w:r>
        <w:rPr>
          <w:rFonts w:cs="Arial"/>
          <w:b/>
          <w:bCs/>
        </w:rPr>
        <w:br w:type="page"/>
      </w:r>
    </w:p>
    <w:p w14:paraId="4CEE4302" w14:textId="10E0D5E2" w:rsidR="00C77D6B" w:rsidRDefault="00912ED4" w:rsidP="00912ED4">
      <w:pPr>
        <w:spacing w:after="0" w:line="480" w:lineRule="auto"/>
        <w:rPr>
          <w:rFonts w:cs="Arial"/>
          <w:b/>
          <w:bCs/>
        </w:rPr>
      </w:pPr>
      <w:r>
        <w:rPr>
          <w:rFonts w:cs="Arial"/>
          <w:b/>
          <w:bCs/>
        </w:rPr>
        <w:lastRenderedPageBreak/>
        <w:t>(continued)</w:t>
      </w:r>
    </w:p>
    <w:p w14:paraId="0F5E724B" w14:textId="221D57F6" w:rsidR="00912ED4" w:rsidRPr="00912ED4" w:rsidRDefault="00912ED4" w:rsidP="00912ED4">
      <w:pPr>
        <w:spacing w:after="0" w:line="480" w:lineRule="auto"/>
        <w:rPr>
          <w:rFonts w:cs="Arial"/>
          <w:b/>
          <w:bCs/>
        </w:rPr>
      </w:pPr>
      <w:r>
        <w:rPr>
          <w:rFonts w:cs="Arial"/>
          <w:b/>
          <w:bCs/>
          <w:noProof/>
        </w:rPr>
        <w:drawing>
          <wp:inline distT="0" distB="0" distL="0" distR="0" wp14:anchorId="5C7F0046" wp14:editId="556F8C94">
            <wp:extent cx="6851773" cy="5510151"/>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705" b="9876"/>
                    <a:stretch/>
                  </pic:blipFill>
                  <pic:spPr bwMode="auto">
                    <a:xfrm>
                      <a:off x="0" y="0"/>
                      <a:ext cx="6852285" cy="5510562"/>
                    </a:xfrm>
                    <a:prstGeom prst="rect">
                      <a:avLst/>
                    </a:prstGeom>
                    <a:noFill/>
                    <a:ln>
                      <a:noFill/>
                    </a:ln>
                    <a:extLst>
                      <a:ext uri="{53640926-AAD7-44D8-BBD7-CCE9431645EC}">
                        <a14:shadowObscured xmlns:a14="http://schemas.microsoft.com/office/drawing/2010/main"/>
                      </a:ext>
                    </a:extLst>
                  </pic:spPr>
                </pic:pic>
              </a:graphicData>
            </a:graphic>
          </wp:inline>
        </w:drawing>
      </w:r>
    </w:p>
    <w:p w14:paraId="00169A00" w14:textId="27D6DD8D" w:rsidR="00912ED4" w:rsidRPr="00912ED4" w:rsidRDefault="007757FB" w:rsidP="00912ED4">
      <w:pPr>
        <w:spacing w:after="0" w:line="240" w:lineRule="auto"/>
        <w:jc w:val="both"/>
        <w:rPr>
          <w:rFonts w:cs="Arial"/>
        </w:rPr>
      </w:pPr>
      <w:r w:rsidRPr="00912ED4">
        <w:rPr>
          <w:rFonts w:cs="Arial"/>
          <w:b/>
          <w:bCs/>
        </w:rPr>
        <w:t>Supplemental Figure 8:</w:t>
      </w:r>
      <w:r w:rsidRPr="00912ED4">
        <w:rPr>
          <w:rFonts w:cs="Arial"/>
        </w:rPr>
        <w:t xml:space="preserve"> Summary of inverse probability of treatment weights (IPTW)-adjusted Cox proportional hazards models assessing the effect of PAP exposure groups based on quartiles of PAP </w:t>
      </w:r>
      <w:r w:rsidR="00F74021" w:rsidRPr="00912ED4">
        <w:rPr>
          <w:rFonts w:cs="Arial"/>
        </w:rPr>
        <w:t>utilization</w:t>
      </w:r>
      <w:r w:rsidRPr="00912ED4">
        <w:rPr>
          <w:rFonts w:cs="Arial"/>
        </w:rPr>
        <w:t xml:space="preserve"> during first year on myocardial infarction (MI), heart failure (HF), stroke</w:t>
      </w:r>
      <w:r w:rsidR="00930384" w:rsidRPr="00912ED4">
        <w:rPr>
          <w:rFonts w:cs="Arial"/>
        </w:rPr>
        <w:t xml:space="preserve"> (STROKE)</w:t>
      </w:r>
      <w:r w:rsidRPr="00912ED4">
        <w:rPr>
          <w:rFonts w:cs="Arial"/>
        </w:rPr>
        <w:t xml:space="preserve"> and coronary </w:t>
      </w:r>
      <w:r w:rsidR="00F74021" w:rsidRPr="00912ED4">
        <w:rPr>
          <w:rFonts w:cs="Arial"/>
        </w:rPr>
        <w:t>revascularization</w:t>
      </w:r>
      <w:r w:rsidR="00930384" w:rsidRPr="00912ED4">
        <w:rPr>
          <w:rFonts w:cs="Arial"/>
        </w:rPr>
        <w:t xml:space="preserve"> (REV</w:t>
      </w:r>
      <w:r w:rsidR="00912ED4" w:rsidRPr="00912ED4">
        <w:rPr>
          <w:rFonts w:cs="Arial"/>
        </w:rPr>
        <w:t>ASC</w:t>
      </w:r>
      <w:r w:rsidR="00930384" w:rsidRPr="00912ED4">
        <w:rPr>
          <w:rFonts w:cs="Arial"/>
        </w:rPr>
        <w:t>)</w:t>
      </w:r>
      <w:r w:rsidRPr="00912ED4">
        <w:rPr>
          <w:rFonts w:cs="Arial"/>
        </w:rPr>
        <w:t xml:space="preserve"> </w:t>
      </w:r>
      <w:r w:rsidR="00912ED4" w:rsidRPr="00912ED4">
        <w:rPr>
          <w:rFonts w:cs="Arial"/>
        </w:rPr>
        <w:t xml:space="preserve">within categories of relevant sociodemographic and clinical characteristics. PAP exposure groups were defined as follows: level 1 (reference): 1-7 claims; level 2: 8-12 claims; level 3: 13-15 claims; level 4: &gt;15 claims).Results were derived from IPTW-weighted Cox proportional hazards models adjusted for age, sex, race, low-income-subsidy or dual-eligibility indicator, type 2 diabetes, hypertension, obesity, </w:t>
      </w:r>
      <w:r w:rsidR="00912ED4" w:rsidRPr="00912ED4">
        <w:rPr>
          <w:rFonts w:cs="Arial"/>
        </w:rPr>
        <w:lastRenderedPageBreak/>
        <w:t xml:space="preserve">atrial fibrillation, COPD, CKD, hypersomnia, and insomnia, anxiety disorder, hypersomnia, insomnia, CCI, prescriptions of anticoagulants, antihypertensives, antilipidemic agents and blood glucose regulators. Among stratified models, stratification variable was not included as a covariate in propensity score models nor in outcome models. Reference category is no evidence of PAP initiation. Abbreviations: ACM: all-cause mortality; COPD: chronic obstructive pulmonary disease; CKD: chronic kidney disease; CCI: </w:t>
      </w:r>
      <w:proofErr w:type="spellStart"/>
      <w:r w:rsidR="00912ED4" w:rsidRPr="00912ED4">
        <w:rPr>
          <w:rFonts w:cs="Arial"/>
        </w:rPr>
        <w:t>Charlson</w:t>
      </w:r>
      <w:proofErr w:type="spellEnd"/>
      <w:r w:rsidR="00912ED4" w:rsidRPr="00912ED4">
        <w:rPr>
          <w:rFonts w:cs="Arial"/>
        </w:rPr>
        <w:t xml:space="preserve"> comorbidity index; PAP: positive airway pressure; HR: hazard ratio; CI: confidence interval.</w:t>
      </w:r>
    </w:p>
    <w:p w14:paraId="76603B88" w14:textId="77777777" w:rsidR="00912ED4" w:rsidRDefault="00912ED4" w:rsidP="007757FB">
      <w:pPr>
        <w:spacing w:after="0" w:line="276" w:lineRule="auto"/>
        <w:jc w:val="both"/>
        <w:rPr>
          <w:rFonts w:cs="Arial"/>
          <w:sz w:val="20"/>
          <w:szCs w:val="20"/>
        </w:rPr>
      </w:pPr>
    </w:p>
    <w:p w14:paraId="6C324924" w14:textId="77777777" w:rsidR="00912ED4" w:rsidRDefault="00912ED4" w:rsidP="007757FB">
      <w:pPr>
        <w:spacing w:after="0" w:line="276" w:lineRule="auto"/>
        <w:jc w:val="both"/>
        <w:rPr>
          <w:rFonts w:cs="Arial"/>
          <w:sz w:val="20"/>
          <w:szCs w:val="20"/>
        </w:rPr>
      </w:pPr>
    </w:p>
    <w:p w14:paraId="48AC4F55" w14:textId="77777777" w:rsidR="00F74021" w:rsidRDefault="00F74021" w:rsidP="00AD5ADD">
      <w:pPr>
        <w:spacing w:line="480" w:lineRule="auto"/>
        <w:rPr>
          <w:rFonts w:cs="Arial"/>
          <w:b/>
          <w:bCs/>
        </w:rPr>
        <w:sectPr w:rsidR="00F74021" w:rsidSect="00912ED4">
          <w:pgSz w:w="15840" w:h="12240" w:orient="landscape"/>
          <w:pgMar w:top="720" w:right="720" w:bottom="720" w:left="720" w:header="720" w:footer="720" w:gutter="0"/>
          <w:cols w:space="720"/>
          <w:docGrid w:linePitch="360"/>
        </w:sectPr>
      </w:pPr>
    </w:p>
    <w:p w14:paraId="5BDC0C9F" w14:textId="1C447263" w:rsidR="0006173D" w:rsidRPr="003B29CF" w:rsidRDefault="0006173D" w:rsidP="00AD5ADD">
      <w:pPr>
        <w:spacing w:line="480" w:lineRule="auto"/>
        <w:rPr>
          <w:rFonts w:cs="Arial"/>
          <w:b/>
          <w:bCs/>
        </w:rPr>
      </w:pPr>
      <w:r w:rsidRPr="003B29CF">
        <w:rPr>
          <w:rFonts w:cs="Arial"/>
          <w:b/>
          <w:bCs/>
        </w:rPr>
        <w:lastRenderedPageBreak/>
        <w:t>References</w:t>
      </w:r>
    </w:p>
    <w:p w14:paraId="6FC4EC0E" w14:textId="77777777" w:rsidR="00160087" w:rsidRPr="00160087" w:rsidRDefault="0006173D" w:rsidP="00160087">
      <w:pPr>
        <w:pStyle w:val="EndNoteBibliography"/>
        <w:spacing w:after="0"/>
        <w:ind w:left="720" w:hanging="720"/>
      </w:pPr>
      <w:r w:rsidRPr="003B29CF">
        <w:rPr>
          <w:b/>
          <w:bCs/>
        </w:rPr>
        <w:fldChar w:fldCharType="begin"/>
      </w:r>
      <w:r w:rsidRPr="003B29CF">
        <w:rPr>
          <w:b/>
          <w:bCs/>
        </w:rPr>
        <w:instrText xml:space="preserve"> ADDIN EN.REFLIST </w:instrText>
      </w:r>
      <w:r w:rsidRPr="003B29CF">
        <w:rPr>
          <w:b/>
          <w:bCs/>
        </w:rPr>
        <w:fldChar w:fldCharType="separate"/>
      </w:r>
      <w:r w:rsidR="00160087" w:rsidRPr="00160087">
        <w:t>1.</w:t>
      </w:r>
      <w:r w:rsidR="00160087" w:rsidRPr="00160087">
        <w:tab/>
        <w:t xml:space="preserve">Waitman LR, Song X, Walpitage DL, et al. Enhancing PCORnet Clinical Research Network data completeness by integrating multistate insurance claims with electronic health records in a cloud environment aligned with CMS security and privacy requirements. </w:t>
      </w:r>
      <w:r w:rsidR="00160087" w:rsidRPr="00160087">
        <w:rPr>
          <w:i/>
        </w:rPr>
        <w:t xml:space="preserve">J Am Med Inform Assoc. </w:t>
      </w:r>
      <w:r w:rsidR="00160087" w:rsidRPr="00160087">
        <w:t>2021.</w:t>
      </w:r>
    </w:p>
    <w:p w14:paraId="65096ADE" w14:textId="77777777" w:rsidR="00160087" w:rsidRPr="00160087" w:rsidRDefault="00160087" w:rsidP="00160087">
      <w:pPr>
        <w:pStyle w:val="EndNoteBibliography"/>
        <w:spacing w:after="0"/>
        <w:ind w:left="720" w:hanging="720"/>
      </w:pPr>
      <w:r w:rsidRPr="00160087">
        <w:t>2.</w:t>
      </w:r>
      <w:r w:rsidRPr="00160087">
        <w:tab/>
        <w:t xml:space="preserve">Waitman LR, Aaronson LS, Nadkarni PM, Connolly DW, Campbell JR. The Greater Plains Collaborative: a PCORnet Clinical Research Data Network. </w:t>
      </w:r>
      <w:r w:rsidRPr="00160087">
        <w:rPr>
          <w:i/>
        </w:rPr>
        <w:t xml:space="preserve">Journal of the American Medical Informatics Association. </w:t>
      </w:r>
      <w:r w:rsidRPr="00160087">
        <w:t>2014;21(4):637-641.</w:t>
      </w:r>
    </w:p>
    <w:p w14:paraId="40EAAE16" w14:textId="77777777" w:rsidR="00160087" w:rsidRPr="00160087" w:rsidRDefault="00160087" w:rsidP="00160087">
      <w:pPr>
        <w:pStyle w:val="EndNoteBibliography"/>
        <w:spacing w:after="0"/>
        <w:ind w:left="720" w:hanging="720"/>
      </w:pPr>
      <w:r w:rsidRPr="00160087">
        <w:t>3.</w:t>
      </w:r>
      <w:r w:rsidRPr="00160087">
        <w:tab/>
        <w:t xml:space="preserve">Keenan BT, Kirchner HL, Veatch OJ, et al. Multisite validation of a simple electronic health record algorithm for identifying diagnosed obstructive sleep apnea. </w:t>
      </w:r>
      <w:r w:rsidRPr="00160087">
        <w:rPr>
          <w:i/>
        </w:rPr>
        <w:t xml:space="preserve">J Clin Sleep Med. </w:t>
      </w:r>
      <w:r w:rsidRPr="00160087">
        <w:t>2020;16(2):175-183.</w:t>
      </w:r>
    </w:p>
    <w:p w14:paraId="52F63162" w14:textId="77777777" w:rsidR="00160087" w:rsidRPr="00160087" w:rsidRDefault="00160087" w:rsidP="00160087">
      <w:pPr>
        <w:pStyle w:val="EndNoteBibliography"/>
        <w:spacing w:after="0"/>
        <w:ind w:left="720" w:hanging="720"/>
      </w:pPr>
      <w:r w:rsidRPr="00160087">
        <w:t>4.</w:t>
      </w:r>
      <w:r w:rsidRPr="00160087">
        <w:tab/>
        <w:t xml:space="preserve">Yadav K, Lewis RJ. Immortal Time Bias in Observational Studies. </w:t>
      </w:r>
      <w:r w:rsidRPr="00160087">
        <w:rPr>
          <w:i/>
        </w:rPr>
        <w:t xml:space="preserve">Jama. </w:t>
      </w:r>
      <w:r w:rsidRPr="00160087">
        <w:t>2021;325(7).</w:t>
      </w:r>
    </w:p>
    <w:p w14:paraId="0007B20E" w14:textId="77777777" w:rsidR="00160087" w:rsidRPr="00160087" w:rsidRDefault="00160087" w:rsidP="00160087">
      <w:pPr>
        <w:pStyle w:val="EndNoteBibliography"/>
        <w:spacing w:after="0"/>
        <w:ind w:left="720" w:hanging="720"/>
      </w:pPr>
      <w:r w:rsidRPr="00160087">
        <w:t>5.</w:t>
      </w:r>
      <w:r w:rsidRPr="00160087">
        <w:tab/>
        <w:t xml:space="preserve">Zhou Z, Rahme E, Abrahamowicz M, Pilote L. Survival Bias Associated with Time-to-Treatment Initiation in Drug Effectiveness Evaluation: A Comparison of Methods. </w:t>
      </w:r>
      <w:r w:rsidRPr="00160087">
        <w:rPr>
          <w:i/>
        </w:rPr>
        <w:t xml:space="preserve">American Journal of Epidemiology. </w:t>
      </w:r>
      <w:r w:rsidRPr="00160087">
        <w:t>2005;162(10):1016-1023.</w:t>
      </w:r>
    </w:p>
    <w:p w14:paraId="1AA2BCEA" w14:textId="77777777" w:rsidR="00160087" w:rsidRPr="00160087" w:rsidRDefault="00160087" w:rsidP="00160087">
      <w:pPr>
        <w:pStyle w:val="EndNoteBibliography"/>
        <w:spacing w:after="0"/>
        <w:ind w:left="720" w:hanging="720"/>
      </w:pPr>
      <w:r w:rsidRPr="00160087">
        <w:t>6.</w:t>
      </w:r>
      <w:r w:rsidRPr="00160087">
        <w:tab/>
        <w:t xml:space="preserve">Schwab RJ, Badr SM, Epstein LJ, et al. An official American Thoracic Society statement: continuous positive airway pressure adherence tracking systems. The optimal monitoring strategies and outcome measures in adults. </w:t>
      </w:r>
      <w:r w:rsidRPr="00160087">
        <w:rPr>
          <w:i/>
        </w:rPr>
        <w:t xml:space="preserve">Am J Respir Crit Care Med. </w:t>
      </w:r>
      <w:r w:rsidRPr="00160087">
        <w:t>2013;188(5):613-620.</w:t>
      </w:r>
    </w:p>
    <w:p w14:paraId="678A5B0A" w14:textId="77777777" w:rsidR="00160087" w:rsidRPr="00160087" w:rsidRDefault="00160087" w:rsidP="00160087">
      <w:pPr>
        <w:pStyle w:val="EndNoteBibliography"/>
        <w:spacing w:after="0"/>
        <w:ind w:left="720" w:hanging="720"/>
      </w:pPr>
      <w:r w:rsidRPr="00160087">
        <w:t>7.</w:t>
      </w:r>
      <w:r w:rsidRPr="00160087">
        <w:tab/>
        <w:t xml:space="preserve">Wickwire EM, Bailey MD, Somers VK, et al. CPAP adherence is associated with reduced inpatient utilization among older adult Medicare beneficiaries with pre-existing cardiovascular disease. </w:t>
      </w:r>
      <w:r w:rsidRPr="00160087">
        <w:rPr>
          <w:i/>
        </w:rPr>
        <w:t xml:space="preserve">Journal of Clinical Sleep Medicine. </w:t>
      </w:r>
      <w:r w:rsidRPr="00160087">
        <w:t>2022;18(1):39-45.</w:t>
      </w:r>
    </w:p>
    <w:p w14:paraId="750DB0E5" w14:textId="77777777" w:rsidR="00160087" w:rsidRPr="00160087" w:rsidRDefault="00160087" w:rsidP="00160087">
      <w:pPr>
        <w:pStyle w:val="EndNoteBibliography"/>
        <w:spacing w:after="0"/>
        <w:ind w:left="720" w:hanging="720"/>
      </w:pPr>
      <w:r w:rsidRPr="00160087">
        <w:t>8.</w:t>
      </w:r>
      <w:r w:rsidRPr="00160087">
        <w:tab/>
        <w:t xml:space="preserve">Scharf MT, Keenan BT, Pack AI, Kuna ST. Mask Refills as a Measure of PAP Adherence. </w:t>
      </w:r>
      <w:r w:rsidRPr="00160087">
        <w:rPr>
          <w:i/>
        </w:rPr>
        <w:t xml:space="preserve">Journal of Clinical Sleep Medicine. </w:t>
      </w:r>
      <w:r w:rsidRPr="00160087">
        <w:t>2017;13(11):1337-1344.</w:t>
      </w:r>
    </w:p>
    <w:p w14:paraId="04D9A2E3" w14:textId="7EB813C8" w:rsidR="00160087" w:rsidRPr="00160087" w:rsidRDefault="00160087" w:rsidP="00160087">
      <w:pPr>
        <w:pStyle w:val="EndNoteBibliography"/>
        <w:spacing w:after="0"/>
        <w:ind w:left="720" w:hanging="720"/>
      </w:pPr>
      <w:r w:rsidRPr="00160087">
        <w:t>9.</w:t>
      </w:r>
      <w:r w:rsidRPr="00160087">
        <w:tab/>
        <w:t xml:space="preserve">Jarosek S. Death Information in the Research Identifiable Medicare Data. 2022; </w:t>
      </w:r>
      <w:hyperlink r:id="rId23" w:history="1">
        <w:r w:rsidRPr="00160087">
          <w:rPr>
            <w:rStyle w:val="Hyperlink"/>
          </w:rPr>
          <w:t>https://resdac.org/articles/death-information-research-identifiable-medicare-data</w:t>
        </w:r>
      </w:hyperlink>
      <w:r w:rsidRPr="00160087">
        <w:t>, 2022.</w:t>
      </w:r>
    </w:p>
    <w:p w14:paraId="444C1688" w14:textId="77777777" w:rsidR="00160087" w:rsidRPr="00160087" w:rsidRDefault="00160087" w:rsidP="00160087">
      <w:pPr>
        <w:pStyle w:val="EndNoteBibliography"/>
        <w:spacing w:after="0"/>
        <w:ind w:left="720" w:hanging="720"/>
      </w:pPr>
      <w:r w:rsidRPr="00160087">
        <w:t>10.</w:t>
      </w:r>
      <w:r w:rsidRPr="00160087">
        <w:tab/>
        <w:t xml:space="preserve">de Groot V, Beckerman H, Lankhorst GJ, Bouter LM. How to measure comorbidity. a critical review of available methods. </w:t>
      </w:r>
      <w:r w:rsidRPr="00160087">
        <w:rPr>
          <w:i/>
        </w:rPr>
        <w:t xml:space="preserve">J Clin Epidemiol. </w:t>
      </w:r>
      <w:r w:rsidRPr="00160087">
        <w:t>2003;56(3):221-229.</w:t>
      </w:r>
    </w:p>
    <w:p w14:paraId="3C326FB0" w14:textId="77777777" w:rsidR="00160087" w:rsidRPr="00160087" w:rsidRDefault="00160087" w:rsidP="00160087">
      <w:pPr>
        <w:pStyle w:val="EndNoteBibliography"/>
        <w:spacing w:after="0"/>
        <w:ind w:left="720" w:hanging="720"/>
      </w:pPr>
      <w:r w:rsidRPr="00160087">
        <w:t>11.</w:t>
      </w:r>
      <w:r w:rsidRPr="00160087">
        <w:tab/>
        <w:t xml:space="preserve">Charlson ME, Pompei P, Ales KL, MacKenzie CR. A new method of classifying prognostic comorbidity in longitudinal studies: development and validation. </w:t>
      </w:r>
      <w:r w:rsidRPr="00160087">
        <w:rPr>
          <w:i/>
        </w:rPr>
        <w:t xml:space="preserve">J Chronic Dis. </w:t>
      </w:r>
      <w:r w:rsidRPr="00160087">
        <w:t>1987;40(5):373-383.</w:t>
      </w:r>
    </w:p>
    <w:p w14:paraId="77493DDD" w14:textId="77777777" w:rsidR="00160087" w:rsidRPr="00160087" w:rsidRDefault="00160087" w:rsidP="00160087">
      <w:pPr>
        <w:pStyle w:val="EndNoteBibliography"/>
        <w:spacing w:after="0"/>
        <w:ind w:left="720" w:hanging="720"/>
      </w:pPr>
      <w:r w:rsidRPr="00160087">
        <w:t>12.</w:t>
      </w:r>
      <w:r w:rsidRPr="00160087">
        <w:tab/>
        <w:t xml:space="preserve">Bettega F, Leyrat C, Tamisier R, et al. Application of Inverse-Probability-of-Treatment Weighting to Estimate the Effect of Daytime Sleepiness in Patients with Obstructive Sleep Apnea. </w:t>
      </w:r>
      <w:r w:rsidRPr="00160087">
        <w:rPr>
          <w:i/>
        </w:rPr>
        <w:t xml:space="preserve">Annals of the American Thoracic Society. </w:t>
      </w:r>
      <w:r w:rsidRPr="00160087">
        <w:t>2022;19(9):1570-1580.</w:t>
      </w:r>
    </w:p>
    <w:p w14:paraId="7DF88627" w14:textId="77777777" w:rsidR="00160087" w:rsidRPr="00160087" w:rsidRDefault="00160087" w:rsidP="00160087">
      <w:pPr>
        <w:pStyle w:val="EndNoteBibliography"/>
        <w:spacing w:after="0"/>
        <w:ind w:left="720" w:hanging="720"/>
      </w:pPr>
      <w:r w:rsidRPr="00160087">
        <w:t>13.</w:t>
      </w:r>
      <w:r w:rsidRPr="00160087">
        <w:tab/>
        <w:t xml:space="preserve">VanderWeele TJ, Ding P. Sensitivity Analysis in Observational Research: Introducing the E-Value. </w:t>
      </w:r>
      <w:r w:rsidRPr="00160087">
        <w:rPr>
          <w:i/>
        </w:rPr>
        <w:t xml:space="preserve">Annals of Internal Medicine. </w:t>
      </w:r>
      <w:r w:rsidRPr="00160087">
        <w:t>2017;167(4).</w:t>
      </w:r>
    </w:p>
    <w:p w14:paraId="1B716C7C" w14:textId="77777777" w:rsidR="00160087" w:rsidRPr="00160087" w:rsidRDefault="00160087" w:rsidP="00160087">
      <w:pPr>
        <w:pStyle w:val="EndNoteBibliography"/>
        <w:ind w:left="720" w:hanging="720"/>
      </w:pPr>
      <w:r w:rsidRPr="00160087">
        <w:t>14.</w:t>
      </w:r>
      <w:r w:rsidRPr="00160087">
        <w:tab/>
        <w:t xml:space="preserve">Mathur MB, Ding P, Riddell CA, VanderWeele TJ. Web Site and R Package for Computing E-values. </w:t>
      </w:r>
      <w:r w:rsidRPr="00160087">
        <w:rPr>
          <w:i/>
        </w:rPr>
        <w:t xml:space="preserve">Epidemiology. </w:t>
      </w:r>
      <w:r w:rsidRPr="00160087">
        <w:t>2018;29(5):e45-e47.</w:t>
      </w:r>
    </w:p>
    <w:p w14:paraId="5506BE4D" w14:textId="3326B646" w:rsidR="007757FB" w:rsidRPr="003B29CF" w:rsidRDefault="0006173D" w:rsidP="00AD5ADD">
      <w:pPr>
        <w:spacing w:line="480" w:lineRule="auto"/>
        <w:rPr>
          <w:rFonts w:cs="Arial"/>
          <w:b/>
          <w:bCs/>
        </w:rPr>
      </w:pPr>
      <w:r w:rsidRPr="003B29CF">
        <w:rPr>
          <w:rFonts w:cs="Arial"/>
          <w:b/>
          <w:bCs/>
        </w:rPr>
        <w:fldChar w:fldCharType="end"/>
      </w:r>
    </w:p>
    <w:sectPr w:rsidR="007757FB" w:rsidRPr="003B29CF" w:rsidSect="00F7402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33F63" w14:textId="77777777" w:rsidR="00E17545" w:rsidRDefault="00E17545" w:rsidP="005B2F43">
      <w:pPr>
        <w:spacing w:after="0" w:line="240" w:lineRule="auto"/>
      </w:pPr>
      <w:r>
        <w:separator/>
      </w:r>
    </w:p>
  </w:endnote>
  <w:endnote w:type="continuationSeparator" w:id="0">
    <w:p w14:paraId="19AEAD10" w14:textId="77777777" w:rsidR="00E17545" w:rsidRDefault="00E17545" w:rsidP="005B2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A222D" w14:textId="77777777" w:rsidR="00E17545" w:rsidRDefault="00E17545" w:rsidP="005B2F43">
      <w:pPr>
        <w:spacing w:after="0" w:line="240" w:lineRule="auto"/>
      </w:pPr>
      <w:r>
        <w:separator/>
      </w:r>
    </w:p>
  </w:footnote>
  <w:footnote w:type="continuationSeparator" w:id="0">
    <w:p w14:paraId="0323104A" w14:textId="77777777" w:rsidR="00E17545" w:rsidRDefault="00E17545" w:rsidP="005B2F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0C1"/>
    <w:multiLevelType w:val="multilevel"/>
    <w:tmpl w:val="727A4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FE15B50"/>
    <w:multiLevelType w:val="multilevel"/>
    <w:tmpl w:val="A84A8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49414978">
    <w:abstractNumId w:val="1"/>
  </w:num>
  <w:num w:numId="2" w16cid:durableId="3109868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Chest&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ws0zezvzptz0oetaerpdsts0dww0v9dfv5s&quot;&gt;My EndNote Library&lt;record-ids&gt;&lt;item&gt;2789&lt;/item&gt;&lt;item&gt;2791&lt;/item&gt;&lt;item&gt;2869&lt;/item&gt;&lt;item&gt;2965&lt;/item&gt;&lt;item&gt;2966&lt;/item&gt;&lt;item&gt;3034&lt;/item&gt;&lt;item&gt;3194&lt;/item&gt;&lt;item&gt;3314&lt;/item&gt;&lt;item&gt;3321&lt;/item&gt;&lt;item&gt;3326&lt;/item&gt;&lt;item&gt;3328&lt;/item&gt;&lt;item&gt;3329&lt;/item&gt;&lt;item&gt;3332&lt;/item&gt;&lt;item&gt;3371&lt;/item&gt;&lt;/record-ids&gt;&lt;/item&gt;&lt;/Libraries&gt;"/>
  </w:docVars>
  <w:rsids>
    <w:rsidRoot w:val="00764F6A"/>
    <w:rsid w:val="0000016C"/>
    <w:rsid w:val="000031B3"/>
    <w:rsid w:val="00005179"/>
    <w:rsid w:val="00005918"/>
    <w:rsid w:val="00006B61"/>
    <w:rsid w:val="00011C4B"/>
    <w:rsid w:val="000125BF"/>
    <w:rsid w:val="00015296"/>
    <w:rsid w:val="00015F57"/>
    <w:rsid w:val="00020A35"/>
    <w:rsid w:val="00020CFA"/>
    <w:rsid w:val="00022DAF"/>
    <w:rsid w:val="00023E28"/>
    <w:rsid w:val="00024C5A"/>
    <w:rsid w:val="00036058"/>
    <w:rsid w:val="00041698"/>
    <w:rsid w:val="000464F5"/>
    <w:rsid w:val="00047620"/>
    <w:rsid w:val="00047F02"/>
    <w:rsid w:val="0005400D"/>
    <w:rsid w:val="00055E61"/>
    <w:rsid w:val="0006173D"/>
    <w:rsid w:val="00061935"/>
    <w:rsid w:val="00064448"/>
    <w:rsid w:val="000647DC"/>
    <w:rsid w:val="000656B2"/>
    <w:rsid w:val="00073254"/>
    <w:rsid w:val="000756CB"/>
    <w:rsid w:val="00085D09"/>
    <w:rsid w:val="00090376"/>
    <w:rsid w:val="00094D4C"/>
    <w:rsid w:val="00095782"/>
    <w:rsid w:val="000A1C2F"/>
    <w:rsid w:val="000A43D9"/>
    <w:rsid w:val="000A482D"/>
    <w:rsid w:val="000A5E39"/>
    <w:rsid w:val="000A7372"/>
    <w:rsid w:val="000B09CC"/>
    <w:rsid w:val="000B293F"/>
    <w:rsid w:val="000B5A97"/>
    <w:rsid w:val="000C265E"/>
    <w:rsid w:val="000D057D"/>
    <w:rsid w:val="000D1ABF"/>
    <w:rsid w:val="000D3E8E"/>
    <w:rsid w:val="000D5BB0"/>
    <w:rsid w:val="000E3A48"/>
    <w:rsid w:val="000E5382"/>
    <w:rsid w:val="000E599D"/>
    <w:rsid w:val="000E6E27"/>
    <w:rsid w:val="000F767D"/>
    <w:rsid w:val="001062B6"/>
    <w:rsid w:val="00107E0B"/>
    <w:rsid w:val="00116C76"/>
    <w:rsid w:val="001215D5"/>
    <w:rsid w:val="00131296"/>
    <w:rsid w:val="0013568A"/>
    <w:rsid w:val="00143A71"/>
    <w:rsid w:val="00144B84"/>
    <w:rsid w:val="00147252"/>
    <w:rsid w:val="00147910"/>
    <w:rsid w:val="0015419F"/>
    <w:rsid w:val="00156245"/>
    <w:rsid w:val="00160087"/>
    <w:rsid w:val="0016612D"/>
    <w:rsid w:val="0016682D"/>
    <w:rsid w:val="001708E9"/>
    <w:rsid w:val="00171AF0"/>
    <w:rsid w:val="00171F29"/>
    <w:rsid w:val="00173E8D"/>
    <w:rsid w:val="00175D74"/>
    <w:rsid w:val="00175FDE"/>
    <w:rsid w:val="00180AE5"/>
    <w:rsid w:val="0018531C"/>
    <w:rsid w:val="00192092"/>
    <w:rsid w:val="0019347E"/>
    <w:rsid w:val="00196F57"/>
    <w:rsid w:val="001B25A9"/>
    <w:rsid w:val="001B3465"/>
    <w:rsid w:val="001B72BC"/>
    <w:rsid w:val="001B7E3E"/>
    <w:rsid w:val="001C596D"/>
    <w:rsid w:val="001D1A34"/>
    <w:rsid w:val="001D6327"/>
    <w:rsid w:val="001E20E4"/>
    <w:rsid w:val="001F35C1"/>
    <w:rsid w:val="00201DD0"/>
    <w:rsid w:val="00204029"/>
    <w:rsid w:val="00211CBC"/>
    <w:rsid w:val="00215E0E"/>
    <w:rsid w:val="002219F5"/>
    <w:rsid w:val="002226F6"/>
    <w:rsid w:val="00222727"/>
    <w:rsid w:val="00224DCB"/>
    <w:rsid w:val="002262EE"/>
    <w:rsid w:val="00227D1F"/>
    <w:rsid w:val="0023021A"/>
    <w:rsid w:val="002342F4"/>
    <w:rsid w:val="00237BBD"/>
    <w:rsid w:val="00245ABD"/>
    <w:rsid w:val="002644D9"/>
    <w:rsid w:val="00265C82"/>
    <w:rsid w:val="00266632"/>
    <w:rsid w:val="002708E2"/>
    <w:rsid w:val="002736E5"/>
    <w:rsid w:val="00274954"/>
    <w:rsid w:val="00282CDE"/>
    <w:rsid w:val="00283317"/>
    <w:rsid w:val="002842E5"/>
    <w:rsid w:val="00293D55"/>
    <w:rsid w:val="002A6436"/>
    <w:rsid w:val="002A7897"/>
    <w:rsid w:val="002B20C8"/>
    <w:rsid w:val="002B35C7"/>
    <w:rsid w:val="002B603B"/>
    <w:rsid w:val="002C21DA"/>
    <w:rsid w:val="002C47AD"/>
    <w:rsid w:val="002D093A"/>
    <w:rsid w:val="002D168B"/>
    <w:rsid w:val="002D2DF5"/>
    <w:rsid w:val="002E20F1"/>
    <w:rsid w:val="002E4EE6"/>
    <w:rsid w:val="002F090E"/>
    <w:rsid w:val="002F22A5"/>
    <w:rsid w:val="003017F8"/>
    <w:rsid w:val="003076A7"/>
    <w:rsid w:val="00322A3A"/>
    <w:rsid w:val="00324B2B"/>
    <w:rsid w:val="003305CD"/>
    <w:rsid w:val="00330A96"/>
    <w:rsid w:val="003343EA"/>
    <w:rsid w:val="00334995"/>
    <w:rsid w:val="0033512D"/>
    <w:rsid w:val="0033727A"/>
    <w:rsid w:val="00344995"/>
    <w:rsid w:val="003462FA"/>
    <w:rsid w:val="003504B4"/>
    <w:rsid w:val="00350B59"/>
    <w:rsid w:val="00351444"/>
    <w:rsid w:val="003604F5"/>
    <w:rsid w:val="003613CC"/>
    <w:rsid w:val="0036146C"/>
    <w:rsid w:val="0036213F"/>
    <w:rsid w:val="0036546E"/>
    <w:rsid w:val="003718A8"/>
    <w:rsid w:val="00374E8B"/>
    <w:rsid w:val="00383085"/>
    <w:rsid w:val="00383A33"/>
    <w:rsid w:val="003857A8"/>
    <w:rsid w:val="00391EA4"/>
    <w:rsid w:val="003A130A"/>
    <w:rsid w:val="003A443F"/>
    <w:rsid w:val="003A5C75"/>
    <w:rsid w:val="003B1136"/>
    <w:rsid w:val="003B29CF"/>
    <w:rsid w:val="003B2B1A"/>
    <w:rsid w:val="003C465F"/>
    <w:rsid w:val="003C78BA"/>
    <w:rsid w:val="003D381E"/>
    <w:rsid w:val="003E2150"/>
    <w:rsid w:val="003E59E4"/>
    <w:rsid w:val="003F167B"/>
    <w:rsid w:val="003F284A"/>
    <w:rsid w:val="003F46E4"/>
    <w:rsid w:val="003F507C"/>
    <w:rsid w:val="00404D4C"/>
    <w:rsid w:val="00414DF5"/>
    <w:rsid w:val="00424186"/>
    <w:rsid w:val="004259AA"/>
    <w:rsid w:val="004271F8"/>
    <w:rsid w:val="00440B61"/>
    <w:rsid w:val="00442113"/>
    <w:rsid w:val="00450285"/>
    <w:rsid w:val="0045041C"/>
    <w:rsid w:val="00451F33"/>
    <w:rsid w:val="00452F00"/>
    <w:rsid w:val="004608B7"/>
    <w:rsid w:val="0046139A"/>
    <w:rsid w:val="004643D8"/>
    <w:rsid w:val="0046664B"/>
    <w:rsid w:val="004675AA"/>
    <w:rsid w:val="00467EEF"/>
    <w:rsid w:val="00473D45"/>
    <w:rsid w:val="0048140E"/>
    <w:rsid w:val="004828F8"/>
    <w:rsid w:val="00491F92"/>
    <w:rsid w:val="004960D9"/>
    <w:rsid w:val="004A74B1"/>
    <w:rsid w:val="004B6FDA"/>
    <w:rsid w:val="004C08B5"/>
    <w:rsid w:val="004C537C"/>
    <w:rsid w:val="004C7B6D"/>
    <w:rsid w:val="004D7C61"/>
    <w:rsid w:val="004E1FFE"/>
    <w:rsid w:val="004E2931"/>
    <w:rsid w:val="004F09CE"/>
    <w:rsid w:val="004F5C5A"/>
    <w:rsid w:val="00501424"/>
    <w:rsid w:val="00502BB1"/>
    <w:rsid w:val="005030C3"/>
    <w:rsid w:val="00522E14"/>
    <w:rsid w:val="00526D2E"/>
    <w:rsid w:val="00527DD6"/>
    <w:rsid w:val="00530420"/>
    <w:rsid w:val="00531EE4"/>
    <w:rsid w:val="0053546D"/>
    <w:rsid w:val="005356A8"/>
    <w:rsid w:val="00541367"/>
    <w:rsid w:val="00545762"/>
    <w:rsid w:val="0054683A"/>
    <w:rsid w:val="0055349A"/>
    <w:rsid w:val="00553B96"/>
    <w:rsid w:val="0056592E"/>
    <w:rsid w:val="00571F4F"/>
    <w:rsid w:val="00582565"/>
    <w:rsid w:val="00583180"/>
    <w:rsid w:val="00584829"/>
    <w:rsid w:val="005A5631"/>
    <w:rsid w:val="005A5D74"/>
    <w:rsid w:val="005B1536"/>
    <w:rsid w:val="005B2F43"/>
    <w:rsid w:val="005B3385"/>
    <w:rsid w:val="005B7643"/>
    <w:rsid w:val="005C4CD1"/>
    <w:rsid w:val="005D249A"/>
    <w:rsid w:val="005D44B7"/>
    <w:rsid w:val="005D7594"/>
    <w:rsid w:val="005E3553"/>
    <w:rsid w:val="005E36D0"/>
    <w:rsid w:val="005E4065"/>
    <w:rsid w:val="005E5ADD"/>
    <w:rsid w:val="005F2AA7"/>
    <w:rsid w:val="005F5076"/>
    <w:rsid w:val="005F534C"/>
    <w:rsid w:val="0060089B"/>
    <w:rsid w:val="00611325"/>
    <w:rsid w:val="00614CEF"/>
    <w:rsid w:val="00624086"/>
    <w:rsid w:val="00636974"/>
    <w:rsid w:val="0065184D"/>
    <w:rsid w:val="006522C4"/>
    <w:rsid w:val="00652400"/>
    <w:rsid w:val="006524EA"/>
    <w:rsid w:val="00654785"/>
    <w:rsid w:val="006647F0"/>
    <w:rsid w:val="00664BCD"/>
    <w:rsid w:val="0066607D"/>
    <w:rsid w:val="0067113B"/>
    <w:rsid w:val="006825B6"/>
    <w:rsid w:val="00687294"/>
    <w:rsid w:val="00692716"/>
    <w:rsid w:val="006928DD"/>
    <w:rsid w:val="00694522"/>
    <w:rsid w:val="00696347"/>
    <w:rsid w:val="006971B7"/>
    <w:rsid w:val="006A1CBB"/>
    <w:rsid w:val="006B3A0C"/>
    <w:rsid w:val="006B58D4"/>
    <w:rsid w:val="006B6EC2"/>
    <w:rsid w:val="006C1729"/>
    <w:rsid w:val="006D25E2"/>
    <w:rsid w:val="006D5533"/>
    <w:rsid w:val="006E02DD"/>
    <w:rsid w:val="006E209C"/>
    <w:rsid w:val="006E219A"/>
    <w:rsid w:val="006E39B8"/>
    <w:rsid w:val="006E4CD5"/>
    <w:rsid w:val="006E5651"/>
    <w:rsid w:val="00701CD7"/>
    <w:rsid w:val="0070780E"/>
    <w:rsid w:val="0071181D"/>
    <w:rsid w:val="00714279"/>
    <w:rsid w:val="007145C5"/>
    <w:rsid w:val="00714A97"/>
    <w:rsid w:val="0071644E"/>
    <w:rsid w:val="00717A9C"/>
    <w:rsid w:val="0073176C"/>
    <w:rsid w:val="00734917"/>
    <w:rsid w:val="0074217E"/>
    <w:rsid w:val="007429C0"/>
    <w:rsid w:val="00744102"/>
    <w:rsid w:val="00764520"/>
    <w:rsid w:val="00764F6A"/>
    <w:rsid w:val="00773265"/>
    <w:rsid w:val="007757FB"/>
    <w:rsid w:val="00777EC8"/>
    <w:rsid w:val="00780B38"/>
    <w:rsid w:val="0078297E"/>
    <w:rsid w:val="007912BD"/>
    <w:rsid w:val="0079584A"/>
    <w:rsid w:val="007A40A9"/>
    <w:rsid w:val="007A50A8"/>
    <w:rsid w:val="007A6FC9"/>
    <w:rsid w:val="007A74ED"/>
    <w:rsid w:val="007B1B87"/>
    <w:rsid w:val="007B77C4"/>
    <w:rsid w:val="007C0B15"/>
    <w:rsid w:val="007C5498"/>
    <w:rsid w:val="007C591D"/>
    <w:rsid w:val="007D35DE"/>
    <w:rsid w:val="007D3A72"/>
    <w:rsid w:val="007D3D92"/>
    <w:rsid w:val="007D4D02"/>
    <w:rsid w:val="007E4265"/>
    <w:rsid w:val="007E5B74"/>
    <w:rsid w:val="007E63DE"/>
    <w:rsid w:val="007F0B04"/>
    <w:rsid w:val="007F3A3A"/>
    <w:rsid w:val="007F6551"/>
    <w:rsid w:val="00802D8C"/>
    <w:rsid w:val="00815148"/>
    <w:rsid w:val="00826CC9"/>
    <w:rsid w:val="00832DFA"/>
    <w:rsid w:val="00841C3E"/>
    <w:rsid w:val="0084384C"/>
    <w:rsid w:val="00843EB4"/>
    <w:rsid w:val="00847CB4"/>
    <w:rsid w:val="008508FB"/>
    <w:rsid w:val="008603FC"/>
    <w:rsid w:val="00860CAA"/>
    <w:rsid w:val="00862FB1"/>
    <w:rsid w:val="00873DF5"/>
    <w:rsid w:val="00877928"/>
    <w:rsid w:val="008860C1"/>
    <w:rsid w:val="00886903"/>
    <w:rsid w:val="00887B48"/>
    <w:rsid w:val="00893E9B"/>
    <w:rsid w:val="008A1E1C"/>
    <w:rsid w:val="008A280D"/>
    <w:rsid w:val="008A2DF5"/>
    <w:rsid w:val="008A5FD0"/>
    <w:rsid w:val="008C19AB"/>
    <w:rsid w:val="008C2221"/>
    <w:rsid w:val="008C27B5"/>
    <w:rsid w:val="008C29BC"/>
    <w:rsid w:val="008C4D97"/>
    <w:rsid w:val="008C4EB0"/>
    <w:rsid w:val="008D0975"/>
    <w:rsid w:val="008D76D8"/>
    <w:rsid w:val="008F2ADF"/>
    <w:rsid w:val="008F64EE"/>
    <w:rsid w:val="008F6781"/>
    <w:rsid w:val="00900FD1"/>
    <w:rsid w:val="00901848"/>
    <w:rsid w:val="00901AD1"/>
    <w:rsid w:val="0090352A"/>
    <w:rsid w:val="00912ED4"/>
    <w:rsid w:val="00922060"/>
    <w:rsid w:val="009253F4"/>
    <w:rsid w:val="009261FC"/>
    <w:rsid w:val="00930384"/>
    <w:rsid w:val="00933A94"/>
    <w:rsid w:val="009349AC"/>
    <w:rsid w:val="00943E69"/>
    <w:rsid w:val="0095344B"/>
    <w:rsid w:val="0095633F"/>
    <w:rsid w:val="0096079D"/>
    <w:rsid w:val="0096142D"/>
    <w:rsid w:val="009635E5"/>
    <w:rsid w:val="00965776"/>
    <w:rsid w:val="00975678"/>
    <w:rsid w:val="00983277"/>
    <w:rsid w:val="00986E3E"/>
    <w:rsid w:val="009A29C1"/>
    <w:rsid w:val="009B0497"/>
    <w:rsid w:val="009B4633"/>
    <w:rsid w:val="009B46B8"/>
    <w:rsid w:val="009C5E34"/>
    <w:rsid w:val="009C6877"/>
    <w:rsid w:val="009D413F"/>
    <w:rsid w:val="009E0A3A"/>
    <w:rsid w:val="009E2974"/>
    <w:rsid w:val="009E450C"/>
    <w:rsid w:val="009E5716"/>
    <w:rsid w:val="009F5A92"/>
    <w:rsid w:val="00A01A18"/>
    <w:rsid w:val="00A04D70"/>
    <w:rsid w:val="00A0695D"/>
    <w:rsid w:val="00A112A5"/>
    <w:rsid w:val="00A121BA"/>
    <w:rsid w:val="00A1277A"/>
    <w:rsid w:val="00A130B5"/>
    <w:rsid w:val="00A14DBD"/>
    <w:rsid w:val="00A15762"/>
    <w:rsid w:val="00A15F62"/>
    <w:rsid w:val="00A23B07"/>
    <w:rsid w:val="00A24F49"/>
    <w:rsid w:val="00A37C21"/>
    <w:rsid w:val="00A43452"/>
    <w:rsid w:val="00A436E8"/>
    <w:rsid w:val="00A45456"/>
    <w:rsid w:val="00A51E35"/>
    <w:rsid w:val="00A5448B"/>
    <w:rsid w:val="00A54E67"/>
    <w:rsid w:val="00A615E3"/>
    <w:rsid w:val="00A61B3C"/>
    <w:rsid w:val="00A6665E"/>
    <w:rsid w:val="00A71197"/>
    <w:rsid w:val="00A71941"/>
    <w:rsid w:val="00A77179"/>
    <w:rsid w:val="00A824EB"/>
    <w:rsid w:val="00A835EC"/>
    <w:rsid w:val="00A90F45"/>
    <w:rsid w:val="00AA0FCE"/>
    <w:rsid w:val="00AA2996"/>
    <w:rsid w:val="00AB2589"/>
    <w:rsid w:val="00AB4305"/>
    <w:rsid w:val="00AB4B9D"/>
    <w:rsid w:val="00AB5ABD"/>
    <w:rsid w:val="00AC4B9D"/>
    <w:rsid w:val="00AC66ED"/>
    <w:rsid w:val="00AD1AC7"/>
    <w:rsid w:val="00AD3737"/>
    <w:rsid w:val="00AD5ADD"/>
    <w:rsid w:val="00AE01B7"/>
    <w:rsid w:val="00AF0C2C"/>
    <w:rsid w:val="00AF1777"/>
    <w:rsid w:val="00AF2B96"/>
    <w:rsid w:val="00B00546"/>
    <w:rsid w:val="00B13724"/>
    <w:rsid w:val="00B157D4"/>
    <w:rsid w:val="00B22DF3"/>
    <w:rsid w:val="00B3194C"/>
    <w:rsid w:val="00B343EA"/>
    <w:rsid w:val="00B3591D"/>
    <w:rsid w:val="00B43621"/>
    <w:rsid w:val="00B44419"/>
    <w:rsid w:val="00B52F27"/>
    <w:rsid w:val="00B61ADE"/>
    <w:rsid w:val="00B63D21"/>
    <w:rsid w:val="00B746B7"/>
    <w:rsid w:val="00B76EDC"/>
    <w:rsid w:val="00B81470"/>
    <w:rsid w:val="00B81D1C"/>
    <w:rsid w:val="00B85F55"/>
    <w:rsid w:val="00B87917"/>
    <w:rsid w:val="00B93221"/>
    <w:rsid w:val="00B96D5A"/>
    <w:rsid w:val="00BA04EB"/>
    <w:rsid w:val="00BA1B26"/>
    <w:rsid w:val="00BA4DD4"/>
    <w:rsid w:val="00BB3A73"/>
    <w:rsid w:val="00BB44CC"/>
    <w:rsid w:val="00BB57E7"/>
    <w:rsid w:val="00BC2111"/>
    <w:rsid w:val="00BC6223"/>
    <w:rsid w:val="00BD180D"/>
    <w:rsid w:val="00BD3C3F"/>
    <w:rsid w:val="00BE16B9"/>
    <w:rsid w:val="00BE32D6"/>
    <w:rsid w:val="00BE5929"/>
    <w:rsid w:val="00BF3F97"/>
    <w:rsid w:val="00BF64C6"/>
    <w:rsid w:val="00C01011"/>
    <w:rsid w:val="00C07888"/>
    <w:rsid w:val="00C10427"/>
    <w:rsid w:val="00C117E0"/>
    <w:rsid w:val="00C12606"/>
    <w:rsid w:val="00C16031"/>
    <w:rsid w:val="00C265D5"/>
    <w:rsid w:val="00C26FD5"/>
    <w:rsid w:val="00C37334"/>
    <w:rsid w:val="00C4149B"/>
    <w:rsid w:val="00C41BFC"/>
    <w:rsid w:val="00C45274"/>
    <w:rsid w:val="00C50A66"/>
    <w:rsid w:val="00C51A94"/>
    <w:rsid w:val="00C523BB"/>
    <w:rsid w:val="00C57D08"/>
    <w:rsid w:val="00C61ABD"/>
    <w:rsid w:val="00C62965"/>
    <w:rsid w:val="00C63880"/>
    <w:rsid w:val="00C719E4"/>
    <w:rsid w:val="00C72A98"/>
    <w:rsid w:val="00C73154"/>
    <w:rsid w:val="00C770D3"/>
    <w:rsid w:val="00C77D6B"/>
    <w:rsid w:val="00C85A10"/>
    <w:rsid w:val="00C8706C"/>
    <w:rsid w:val="00C92302"/>
    <w:rsid w:val="00C926D8"/>
    <w:rsid w:val="00CA2231"/>
    <w:rsid w:val="00CB0A74"/>
    <w:rsid w:val="00CB1412"/>
    <w:rsid w:val="00CD2833"/>
    <w:rsid w:val="00CE452F"/>
    <w:rsid w:val="00CE5440"/>
    <w:rsid w:val="00CE55E4"/>
    <w:rsid w:val="00CE7255"/>
    <w:rsid w:val="00CF0A6E"/>
    <w:rsid w:val="00CF22AC"/>
    <w:rsid w:val="00CF4FF8"/>
    <w:rsid w:val="00CF5CE6"/>
    <w:rsid w:val="00CF76D4"/>
    <w:rsid w:val="00D01670"/>
    <w:rsid w:val="00D06985"/>
    <w:rsid w:val="00D07910"/>
    <w:rsid w:val="00D10176"/>
    <w:rsid w:val="00D208CD"/>
    <w:rsid w:val="00D21C07"/>
    <w:rsid w:val="00D2372D"/>
    <w:rsid w:val="00D23B08"/>
    <w:rsid w:val="00D25406"/>
    <w:rsid w:val="00D260D6"/>
    <w:rsid w:val="00D26764"/>
    <w:rsid w:val="00D34652"/>
    <w:rsid w:val="00D41A47"/>
    <w:rsid w:val="00D43941"/>
    <w:rsid w:val="00D4781E"/>
    <w:rsid w:val="00D53721"/>
    <w:rsid w:val="00D54C7B"/>
    <w:rsid w:val="00D5572A"/>
    <w:rsid w:val="00D61297"/>
    <w:rsid w:val="00D719AC"/>
    <w:rsid w:val="00D75FB7"/>
    <w:rsid w:val="00D87538"/>
    <w:rsid w:val="00D97991"/>
    <w:rsid w:val="00DA006D"/>
    <w:rsid w:val="00DA0BEE"/>
    <w:rsid w:val="00DA53A6"/>
    <w:rsid w:val="00DA6DC2"/>
    <w:rsid w:val="00DB12A2"/>
    <w:rsid w:val="00DB6142"/>
    <w:rsid w:val="00DC4AC3"/>
    <w:rsid w:val="00DC622C"/>
    <w:rsid w:val="00DC745C"/>
    <w:rsid w:val="00DE1FE4"/>
    <w:rsid w:val="00DE23AD"/>
    <w:rsid w:val="00DE3A59"/>
    <w:rsid w:val="00DE54F5"/>
    <w:rsid w:val="00DF22FC"/>
    <w:rsid w:val="00DF269E"/>
    <w:rsid w:val="00DF2AA4"/>
    <w:rsid w:val="00DF52DD"/>
    <w:rsid w:val="00DF6FD0"/>
    <w:rsid w:val="00E003D8"/>
    <w:rsid w:val="00E04841"/>
    <w:rsid w:val="00E11E15"/>
    <w:rsid w:val="00E11F96"/>
    <w:rsid w:val="00E1329A"/>
    <w:rsid w:val="00E13A6A"/>
    <w:rsid w:val="00E144AA"/>
    <w:rsid w:val="00E17545"/>
    <w:rsid w:val="00E2260F"/>
    <w:rsid w:val="00E25548"/>
    <w:rsid w:val="00E255BA"/>
    <w:rsid w:val="00E25EA7"/>
    <w:rsid w:val="00E26C62"/>
    <w:rsid w:val="00E377FD"/>
    <w:rsid w:val="00E3786C"/>
    <w:rsid w:val="00E42437"/>
    <w:rsid w:val="00E46696"/>
    <w:rsid w:val="00E54348"/>
    <w:rsid w:val="00E60B06"/>
    <w:rsid w:val="00E62019"/>
    <w:rsid w:val="00E64CDB"/>
    <w:rsid w:val="00E71BB5"/>
    <w:rsid w:val="00E73AEF"/>
    <w:rsid w:val="00E7459F"/>
    <w:rsid w:val="00E816E1"/>
    <w:rsid w:val="00E82D67"/>
    <w:rsid w:val="00E86155"/>
    <w:rsid w:val="00E93B62"/>
    <w:rsid w:val="00E95A5D"/>
    <w:rsid w:val="00E96BC9"/>
    <w:rsid w:val="00E97BEC"/>
    <w:rsid w:val="00EA42EF"/>
    <w:rsid w:val="00EA4590"/>
    <w:rsid w:val="00EA561C"/>
    <w:rsid w:val="00EA5D96"/>
    <w:rsid w:val="00EA7B06"/>
    <w:rsid w:val="00EB1C4B"/>
    <w:rsid w:val="00EB3938"/>
    <w:rsid w:val="00EB414A"/>
    <w:rsid w:val="00EB73E7"/>
    <w:rsid w:val="00EC0025"/>
    <w:rsid w:val="00EE33E0"/>
    <w:rsid w:val="00EF034C"/>
    <w:rsid w:val="00EF49CA"/>
    <w:rsid w:val="00EF66C4"/>
    <w:rsid w:val="00EF74ED"/>
    <w:rsid w:val="00EF75E3"/>
    <w:rsid w:val="00F067D2"/>
    <w:rsid w:val="00F11AE8"/>
    <w:rsid w:val="00F16A15"/>
    <w:rsid w:val="00F228D1"/>
    <w:rsid w:val="00F24000"/>
    <w:rsid w:val="00F26B07"/>
    <w:rsid w:val="00F27C1A"/>
    <w:rsid w:val="00F31DB4"/>
    <w:rsid w:val="00F45FAB"/>
    <w:rsid w:val="00F532D2"/>
    <w:rsid w:val="00F55B64"/>
    <w:rsid w:val="00F57C99"/>
    <w:rsid w:val="00F74021"/>
    <w:rsid w:val="00F76BEA"/>
    <w:rsid w:val="00F80E50"/>
    <w:rsid w:val="00F85FCA"/>
    <w:rsid w:val="00F87CFE"/>
    <w:rsid w:val="00F942C3"/>
    <w:rsid w:val="00F954EA"/>
    <w:rsid w:val="00F95BED"/>
    <w:rsid w:val="00F960DA"/>
    <w:rsid w:val="00F96E37"/>
    <w:rsid w:val="00FA631D"/>
    <w:rsid w:val="00FB4900"/>
    <w:rsid w:val="00FB6B73"/>
    <w:rsid w:val="00FB7973"/>
    <w:rsid w:val="00FD4471"/>
    <w:rsid w:val="00FD53A8"/>
    <w:rsid w:val="00FD79C5"/>
    <w:rsid w:val="00FE0C46"/>
    <w:rsid w:val="00FE13CB"/>
    <w:rsid w:val="00FE205C"/>
    <w:rsid w:val="00FE34C0"/>
    <w:rsid w:val="00FE62F7"/>
    <w:rsid w:val="00FE76A6"/>
    <w:rsid w:val="00FF0585"/>
    <w:rsid w:val="00FF3F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5842C"/>
  <w15:chartTrackingRefBased/>
  <w15:docId w15:val="{1A42FE90-C8D2-45D2-A9CC-DAF0BDFF8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167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2F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2F43"/>
  </w:style>
  <w:style w:type="paragraph" w:styleId="Footer">
    <w:name w:val="footer"/>
    <w:basedOn w:val="Normal"/>
    <w:link w:val="FooterChar"/>
    <w:uiPriority w:val="99"/>
    <w:unhideWhenUsed/>
    <w:rsid w:val="005B2F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2F43"/>
  </w:style>
  <w:style w:type="table" w:styleId="PlainTable2">
    <w:name w:val="Plain Table 2"/>
    <w:basedOn w:val="TableNormal"/>
    <w:uiPriority w:val="42"/>
    <w:rsid w:val="007D3A7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EC0025"/>
    <w:rPr>
      <w:sz w:val="16"/>
      <w:szCs w:val="16"/>
    </w:rPr>
  </w:style>
  <w:style w:type="paragraph" w:styleId="CommentText">
    <w:name w:val="annotation text"/>
    <w:basedOn w:val="Normal"/>
    <w:link w:val="CommentTextChar"/>
    <w:uiPriority w:val="99"/>
    <w:unhideWhenUsed/>
    <w:rsid w:val="00EC0025"/>
    <w:pPr>
      <w:spacing w:line="240" w:lineRule="auto"/>
    </w:pPr>
    <w:rPr>
      <w:sz w:val="20"/>
      <w:szCs w:val="20"/>
    </w:rPr>
  </w:style>
  <w:style w:type="character" w:customStyle="1" w:styleId="CommentTextChar">
    <w:name w:val="Comment Text Char"/>
    <w:basedOn w:val="DefaultParagraphFont"/>
    <w:link w:val="CommentText"/>
    <w:uiPriority w:val="99"/>
    <w:rsid w:val="00EC0025"/>
    <w:rPr>
      <w:sz w:val="20"/>
      <w:szCs w:val="20"/>
    </w:rPr>
  </w:style>
  <w:style w:type="paragraph" w:styleId="CommentSubject">
    <w:name w:val="annotation subject"/>
    <w:basedOn w:val="CommentText"/>
    <w:next w:val="CommentText"/>
    <w:link w:val="CommentSubjectChar"/>
    <w:uiPriority w:val="99"/>
    <w:semiHidden/>
    <w:unhideWhenUsed/>
    <w:rsid w:val="00EC0025"/>
    <w:rPr>
      <w:b/>
      <w:bCs/>
    </w:rPr>
  </w:style>
  <w:style w:type="character" w:customStyle="1" w:styleId="CommentSubjectChar">
    <w:name w:val="Comment Subject Char"/>
    <w:basedOn w:val="CommentTextChar"/>
    <w:link w:val="CommentSubject"/>
    <w:uiPriority w:val="99"/>
    <w:semiHidden/>
    <w:rsid w:val="00EC0025"/>
    <w:rPr>
      <w:b/>
      <w:bCs/>
      <w:sz w:val="20"/>
      <w:szCs w:val="20"/>
    </w:rPr>
  </w:style>
  <w:style w:type="character" w:styleId="Strong">
    <w:name w:val="Strong"/>
    <w:basedOn w:val="DefaultParagraphFont"/>
    <w:uiPriority w:val="22"/>
    <w:qFormat/>
    <w:rsid w:val="00EA4590"/>
    <w:rPr>
      <w:b/>
      <w:bCs/>
    </w:rPr>
  </w:style>
  <w:style w:type="character" w:styleId="Hyperlink">
    <w:name w:val="Hyperlink"/>
    <w:basedOn w:val="DefaultParagraphFont"/>
    <w:uiPriority w:val="99"/>
    <w:unhideWhenUsed/>
    <w:rsid w:val="00B93221"/>
    <w:rPr>
      <w:color w:val="0563C1" w:themeColor="hyperlink"/>
      <w:u w:val="single"/>
    </w:rPr>
  </w:style>
  <w:style w:type="character" w:styleId="UnresolvedMention">
    <w:name w:val="Unresolved Mention"/>
    <w:basedOn w:val="DefaultParagraphFont"/>
    <w:uiPriority w:val="99"/>
    <w:semiHidden/>
    <w:unhideWhenUsed/>
    <w:rsid w:val="00B93221"/>
    <w:rPr>
      <w:color w:val="605E5C"/>
      <w:shd w:val="clear" w:color="auto" w:fill="E1DFDD"/>
    </w:rPr>
  </w:style>
  <w:style w:type="character" w:customStyle="1" w:styleId="id-label">
    <w:name w:val="id-label"/>
    <w:basedOn w:val="DefaultParagraphFont"/>
    <w:rsid w:val="006E4CD5"/>
  </w:style>
  <w:style w:type="character" w:styleId="FollowedHyperlink">
    <w:name w:val="FollowedHyperlink"/>
    <w:basedOn w:val="DefaultParagraphFont"/>
    <w:uiPriority w:val="99"/>
    <w:semiHidden/>
    <w:unhideWhenUsed/>
    <w:rsid w:val="00143A71"/>
    <w:rPr>
      <w:color w:val="954F72" w:themeColor="followedHyperlink"/>
      <w:u w:val="single"/>
    </w:rPr>
  </w:style>
  <w:style w:type="paragraph" w:styleId="Revision">
    <w:name w:val="Revision"/>
    <w:hidden/>
    <w:uiPriority w:val="99"/>
    <w:semiHidden/>
    <w:rsid w:val="003E59E4"/>
    <w:pPr>
      <w:spacing w:after="0" w:line="240" w:lineRule="auto"/>
    </w:pPr>
  </w:style>
  <w:style w:type="paragraph" w:styleId="Caption">
    <w:name w:val="caption"/>
    <w:basedOn w:val="Normal"/>
    <w:next w:val="Normal"/>
    <w:uiPriority w:val="35"/>
    <w:unhideWhenUsed/>
    <w:qFormat/>
    <w:rsid w:val="004608B7"/>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har"/>
    <w:rsid w:val="0006173D"/>
    <w:pPr>
      <w:spacing w:after="0"/>
      <w:jc w:val="center"/>
    </w:pPr>
    <w:rPr>
      <w:rFonts w:cs="Arial"/>
      <w:noProof/>
    </w:rPr>
  </w:style>
  <w:style w:type="character" w:customStyle="1" w:styleId="EndNoteBibliographyTitleChar">
    <w:name w:val="EndNote Bibliography Title Char"/>
    <w:basedOn w:val="DefaultParagraphFont"/>
    <w:link w:val="EndNoteBibliographyTitle"/>
    <w:rsid w:val="0006173D"/>
    <w:rPr>
      <w:rFonts w:ascii="Arial" w:hAnsi="Arial" w:cs="Arial"/>
      <w:noProof/>
    </w:rPr>
  </w:style>
  <w:style w:type="paragraph" w:customStyle="1" w:styleId="EndNoteBibliography">
    <w:name w:val="EndNote Bibliography"/>
    <w:basedOn w:val="Normal"/>
    <w:link w:val="EndNoteBibliographyChar"/>
    <w:rsid w:val="0006173D"/>
    <w:pPr>
      <w:spacing w:line="240" w:lineRule="auto"/>
    </w:pPr>
    <w:rPr>
      <w:rFonts w:cs="Arial"/>
      <w:noProof/>
    </w:rPr>
  </w:style>
  <w:style w:type="character" w:customStyle="1" w:styleId="EndNoteBibliographyChar">
    <w:name w:val="EndNote Bibliography Char"/>
    <w:basedOn w:val="DefaultParagraphFont"/>
    <w:link w:val="EndNoteBibliography"/>
    <w:rsid w:val="0006173D"/>
    <w:rPr>
      <w:rFonts w:ascii="Arial" w:hAnsi="Arial" w:cs="Arial"/>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776445">
      <w:bodyDiv w:val="1"/>
      <w:marLeft w:val="0"/>
      <w:marRight w:val="0"/>
      <w:marTop w:val="0"/>
      <w:marBottom w:val="0"/>
      <w:divBdr>
        <w:top w:val="none" w:sz="0" w:space="0" w:color="auto"/>
        <w:left w:val="none" w:sz="0" w:space="0" w:color="auto"/>
        <w:bottom w:val="none" w:sz="0" w:space="0" w:color="auto"/>
        <w:right w:val="none" w:sz="0" w:space="0" w:color="auto"/>
      </w:divBdr>
    </w:div>
    <w:div w:id="292635087">
      <w:bodyDiv w:val="1"/>
      <w:marLeft w:val="0"/>
      <w:marRight w:val="0"/>
      <w:marTop w:val="0"/>
      <w:marBottom w:val="0"/>
      <w:divBdr>
        <w:top w:val="none" w:sz="0" w:space="0" w:color="auto"/>
        <w:left w:val="none" w:sz="0" w:space="0" w:color="auto"/>
        <w:bottom w:val="none" w:sz="0" w:space="0" w:color="auto"/>
        <w:right w:val="none" w:sz="0" w:space="0" w:color="auto"/>
      </w:divBdr>
    </w:div>
    <w:div w:id="328561523">
      <w:marLeft w:val="0"/>
      <w:marRight w:val="0"/>
      <w:marTop w:val="0"/>
      <w:marBottom w:val="0"/>
      <w:divBdr>
        <w:top w:val="none" w:sz="0" w:space="0" w:color="auto"/>
        <w:left w:val="none" w:sz="0" w:space="0" w:color="auto"/>
        <w:bottom w:val="none" w:sz="0" w:space="0" w:color="auto"/>
        <w:right w:val="none" w:sz="0" w:space="0" w:color="auto"/>
      </w:divBdr>
    </w:div>
    <w:div w:id="390612991">
      <w:bodyDiv w:val="1"/>
      <w:marLeft w:val="0"/>
      <w:marRight w:val="0"/>
      <w:marTop w:val="0"/>
      <w:marBottom w:val="0"/>
      <w:divBdr>
        <w:top w:val="none" w:sz="0" w:space="0" w:color="auto"/>
        <w:left w:val="none" w:sz="0" w:space="0" w:color="auto"/>
        <w:bottom w:val="none" w:sz="0" w:space="0" w:color="auto"/>
        <w:right w:val="none" w:sz="0" w:space="0" w:color="auto"/>
      </w:divBdr>
    </w:div>
    <w:div w:id="647712018">
      <w:bodyDiv w:val="1"/>
      <w:marLeft w:val="0"/>
      <w:marRight w:val="0"/>
      <w:marTop w:val="0"/>
      <w:marBottom w:val="0"/>
      <w:divBdr>
        <w:top w:val="none" w:sz="0" w:space="0" w:color="auto"/>
        <w:left w:val="none" w:sz="0" w:space="0" w:color="auto"/>
        <w:bottom w:val="none" w:sz="0" w:space="0" w:color="auto"/>
        <w:right w:val="none" w:sz="0" w:space="0" w:color="auto"/>
      </w:divBdr>
    </w:div>
    <w:div w:id="664434444">
      <w:bodyDiv w:val="1"/>
      <w:marLeft w:val="0"/>
      <w:marRight w:val="0"/>
      <w:marTop w:val="0"/>
      <w:marBottom w:val="0"/>
      <w:divBdr>
        <w:top w:val="none" w:sz="0" w:space="0" w:color="auto"/>
        <w:left w:val="none" w:sz="0" w:space="0" w:color="auto"/>
        <w:bottom w:val="none" w:sz="0" w:space="0" w:color="auto"/>
        <w:right w:val="none" w:sz="0" w:space="0" w:color="auto"/>
      </w:divBdr>
    </w:div>
    <w:div w:id="1004938743">
      <w:bodyDiv w:val="1"/>
      <w:marLeft w:val="0"/>
      <w:marRight w:val="0"/>
      <w:marTop w:val="0"/>
      <w:marBottom w:val="0"/>
      <w:divBdr>
        <w:top w:val="none" w:sz="0" w:space="0" w:color="auto"/>
        <w:left w:val="none" w:sz="0" w:space="0" w:color="auto"/>
        <w:bottom w:val="none" w:sz="0" w:space="0" w:color="auto"/>
        <w:right w:val="none" w:sz="0" w:space="0" w:color="auto"/>
      </w:divBdr>
    </w:div>
    <w:div w:id="1274046577">
      <w:bodyDiv w:val="1"/>
      <w:marLeft w:val="0"/>
      <w:marRight w:val="0"/>
      <w:marTop w:val="0"/>
      <w:marBottom w:val="0"/>
      <w:divBdr>
        <w:top w:val="none" w:sz="0" w:space="0" w:color="auto"/>
        <w:left w:val="none" w:sz="0" w:space="0" w:color="auto"/>
        <w:bottom w:val="none" w:sz="0" w:space="0" w:color="auto"/>
        <w:right w:val="none" w:sz="0" w:space="0" w:color="auto"/>
      </w:divBdr>
    </w:div>
    <w:div w:id="1456679329">
      <w:bodyDiv w:val="1"/>
      <w:marLeft w:val="0"/>
      <w:marRight w:val="0"/>
      <w:marTop w:val="0"/>
      <w:marBottom w:val="0"/>
      <w:divBdr>
        <w:top w:val="none" w:sz="0" w:space="0" w:color="auto"/>
        <w:left w:val="none" w:sz="0" w:space="0" w:color="auto"/>
        <w:bottom w:val="none" w:sz="0" w:space="0" w:color="auto"/>
        <w:right w:val="none" w:sz="0" w:space="0" w:color="auto"/>
      </w:divBdr>
    </w:div>
    <w:div w:id="1477990770">
      <w:bodyDiv w:val="1"/>
      <w:marLeft w:val="0"/>
      <w:marRight w:val="0"/>
      <w:marTop w:val="0"/>
      <w:marBottom w:val="0"/>
      <w:divBdr>
        <w:top w:val="none" w:sz="0" w:space="0" w:color="auto"/>
        <w:left w:val="none" w:sz="0" w:space="0" w:color="auto"/>
        <w:bottom w:val="none" w:sz="0" w:space="0" w:color="auto"/>
        <w:right w:val="none" w:sz="0" w:space="0" w:color="auto"/>
      </w:divBdr>
    </w:div>
    <w:div w:id="1585143052">
      <w:bodyDiv w:val="1"/>
      <w:marLeft w:val="0"/>
      <w:marRight w:val="0"/>
      <w:marTop w:val="0"/>
      <w:marBottom w:val="0"/>
      <w:divBdr>
        <w:top w:val="none" w:sz="0" w:space="0" w:color="auto"/>
        <w:left w:val="none" w:sz="0" w:space="0" w:color="auto"/>
        <w:bottom w:val="none" w:sz="0" w:space="0" w:color="auto"/>
        <w:right w:val="none" w:sz="0" w:space="0" w:color="auto"/>
      </w:divBdr>
    </w:div>
    <w:div w:id="1616986047">
      <w:bodyDiv w:val="1"/>
      <w:marLeft w:val="0"/>
      <w:marRight w:val="0"/>
      <w:marTop w:val="0"/>
      <w:marBottom w:val="0"/>
      <w:divBdr>
        <w:top w:val="none" w:sz="0" w:space="0" w:color="auto"/>
        <w:left w:val="none" w:sz="0" w:space="0" w:color="auto"/>
        <w:bottom w:val="none" w:sz="0" w:space="0" w:color="auto"/>
        <w:right w:val="none" w:sz="0" w:space="0" w:color="auto"/>
      </w:divBdr>
    </w:div>
    <w:div w:id="1650867781">
      <w:bodyDiv w:val="1"/>
      <w:marLeft w:val="0"/>
      <w:marRight w:val="0"/>
      <w:marTop w:val="0"/>
      <w:marBottom w:val="0"/>
      <w:divBdr>
        <w:top w:val="none" w:sz="0" w:space="0" w:color="auto"/>
        <w:left w:val="none" w:sz="0" w:space="0" w:color="auto"/>
        <w:bottom w:val="none" w:sz="0" w:space="0" w:color="auto"/>
        <w:right w:val="none" w:sz="0" w:space="0" w:color="auto"/>
      </w:divBdr>
    </w:div>
    <w:div w:id="1865435607">
      <w:bodyDiv w:val="1"/>
      <w:marLeft w:val="0"/>
      <w:marRight w:val="0"/>
      <w:marTop w:val="0"/>
      <w:marBottom w:val="0"/>
      <w:divBdr>
        <w:top w:val="none" w:sz="0" w:space="0" w:color="auto"/>
        <w:left w:val="none" w:sz="0" w:space="0" w:color="auto"/>
        <w:bottom w:val="none" w:sz="0" w:space="0" w:color="auto"/>
        <w:right w:val="none" w:sz="0" w:space="0" w:color="auto"/>
      </w:divBdr>
    </w:div>
    <w:div w:id="1870336241">
      <w:bodyDiv w:val="1"/>
      <w:marLeft w:val="0"/>
      <w:marRight w:val="0"/>
      <w:marTop w:val="0"/>
      <w:marBottom w:val="0"/>
      <w:divBdr>
        <w:top w:val="none" w:sz="0" w:space="0" w:color="auto"/>
        <w:left w:val="none" w:sz="0" w:space="0" w:color="auto"/>
        <w:bottom w:val="none" w:sz="0" w:space="0" w:color="auto"/>
        <w:right w:val="none" w:sz="0" w:space="0" w:color="auto"/>
      </w:divBdr>
    </w:div>
    <w:div w:id="1949502797">
      <w:marLeft w:val="0"/>
      <w:marRight w:val="0"/>
      <w:marTop w:val="0"/>
      <w:marBottom w:val="0"/>
      <w:divBdr>
        <w:top w:val="none" w:sz="0" w:space="0" w:color="auto"/>
        <w:left w:val="none" w:sz="0" w:space="0" w:color="auto"/>
        <w:bottom w:val="none" w:sz="0" w:space="0" w:color="auto"/>
        <w:right w:val="none" w:sz="0" w:space="0" w:color="auto"/>
      </w:divBdr>
    </w:div>
    <w:div w:id="2072072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customXml" Target="../customXml/item3.xml"/><Relationship Id="rId21" Type="http://schemas.openxmlformats.org/officeDocument/2006/relationships/image" Target="media/image11.tiff"/><Relationship Id="rId7" Type="http://schemas.openxmlformats.org/officeDocument/2006/relationships/webSettings" Target="webSetting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tiff"/><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5.tiff"/><Relationship Id="rId23" Type="http://schemas.openxmlformats.org/officeDocument/2006/relationships/hyperlink" Target="https://resdac.org/articles/death-information-research-identifiable-medicare-data" TargetMode="External"/><Relationship Id="rId10" Type="http://schemas.openxmlformats.org/officeDocument/2006/relationships/hyperlink" Target="https://raw.githubusercontent.com/RWD2E/phecdm/main/res/valueset_autogen/ecqm-medication.json" TargetMode="External"/><Relationship Id="rId19" Type="http://schemas.openxmlformats.org/officeDocument/2006/relationships/image" Target="media/image9.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f"/><Relationship Id="rId22" Type="http://schemas.openxmlformats.org/officeDocument/2006/relationships/image" Target="media/image1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66C90EDBA55B24994D27E40D9B366FA" ma:contentTypeVersion="20" ma:contentTypeDescription="Create a new document." ma:contentTypeScope="" ma:versionID="d60bd7e8beab2b9268fd02eabda8f4fb">
  <xsd:schema xmlns:xsd="http://www.w3.org/2001/XMLSchema" xmlns:xs="http://www.w3.org/2001/XMLSchema" xmlns:p="http://schemas.microsoft.com/office/2006/metadata/properties" xmlns:ns1="http://schemas.microsoft.com/sharepoint/v3" xmlns:ns2="70e68cd6-7252-44ce-bf81-24cb873d0ea8" xmlns:ns3="9bd33661-7264-4633-9226-fba6aeef08ea" targetNamespace="http://schemas.microsoft.com/office/2006/metadata/properties" ma:root="true" ma:fieldsID="c4202949cbf0cf1ef38a66d11f7002ca" ns1:_="" ns2:_="" ns3:_="">
    <xsd:import namespace="http://schemas.microsoft.com/sharepoint/v3"/>
    <xsd:import namespace="70e68cd6-7252-44ce-bf81-24cb873d0ea8"/>
    <xsd:import namespace="9bd33661-7264-4633-9226-fba6aeef08e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1:_ip_UnifiedCompliancePolicyProperties" minOccurs="0"/>
                <xsd:element ref="ns1:_ip_UnifiedCompliancePolicyUIAction" minOccurs="0"/>
                <xsd:element ref="ns3:MediaLengthInSeconds" minOccurs="0"/>
                <xsd:element ref="ns3:lcf76f155ced4ddcb4097134ff3c332f" minOccurs="0"/>
                <xsd:element ref="ns2:TaxCatchAll" minOccurs="0"/>
                <xsd:element ref="ns3:Comm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e68cd6-7252-44ce-bf81-24cb873d0ea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0166685e-b8e2-41a1-9b4c-2fd07ae098fb}" ma:internalName="TaxCatchAll" ma:showField="CatchAllData" ma:web="70e68cd6-7252-44ce-bf81-24cb873d0ea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bd33661-7264-4633-9226-fba6aeef08e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3e20e570-3a27-4eff-9ea0-d3488a33fbf1" ma:termSetId="09814cd3-568e-fe90-9814-8d621ff8fb84" ma:anchorId="fba54fb3-c3e1-fe81-a776-ca4b69148c4d" ma:open="true" ma:isKeyword="false">
      <xsd:complexType>
        <xsd:sequence>
          <xsd:element ref="pc:Terms" minOccurs="0" maxOccurs="1"/>
        </xsd:sequence>
      </xsd:complexType>
    </xsd:element>
    <xsd:element name="Comment" ma:index="26" nillable="true" ma:displayName="Comment" ma:internalName="Commen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C42D45-52AA-4888-A825-91AEB553F768}">
  <ds:schemaRefs>
    <ds:schemaRef ds:uri="http://schemas.microsoft.com/sharepoint/v3/contenttype/forms"/>
  </ds:schemaRefs>
</ds:datastoreItem>
</file>

<file path=customXml/itemProps2.xml><?xml version="1.0" encoding="utf-8"?>
<ds:datastoreItem xmlns:ds="http://schemas.openxmlformats.org/officeDocument/2006/customXml" ds:itemID="{51308C32-7DC9-4D78-9E42-0A9BDB314A5B}">
  <ds:schemaRefs>
    <ds:schemaRef ds:uri="http://schemas.openxmlformats.org/officeDocument/2006/bibliography"/>
  </ds:schemaRefs>
</ds:datastoreItem>
</file>

<file path=customXml/itemProps3.xml><?xml version="1.0" encoding="utf-8"?>
<ds:datastoreItem xmlns:ds="http://schemas.openxmlformats.org/officeDocument/2006/customXml" ds:itemID="{3BD919F5-2AC7-404A-BAE6-11D78C94C7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0e68cd6-7252-44ce-bf81-24cb873d0ea8"/>
    <ds:schemaRef ds:uri="9bd33661-7264-4633-9226-fba6aeef08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23</Pages>
  <Words>5158</Words>
  <Characters>29406</Characters>
  <Application>Microsoft Office Word</Application>
  <DocSecurity>0</DocSecurity>
  <Lines>245</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Monsees</dc:creator>
  <cp:keywords/>
  <dc:description/>
  <cp:lastModifiedBy>Diego Mazzotti</cp:lastModifiedBy>
  <cp:revision>2</cp:revision>
  <dcterms:created xsi:type="dcterms:W3CDTF">2024-02-15T18:03:00Z</dcterms:created>
  <dcterms:modified xsi:type="dcterms:W3CDTF">2024-02-15T18:03:00Z</dcterms:modified>
</cp:coreProperties>
</file>