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9072" w:type="dxa"/>
        <w:tblLook w:val="04A0" w:firstRow="1" w:lastRow="0" w:firstColumn="1" w:lastColumn="0" w:noHBand="0" w:noVBand="1"/>
      </w:tblPr>
      <w:tblGrid>
        <w:gridCol w:w="1222"/>
        <w:gridCol w:w="3881"/>
        <w:gridCol w:w="3969"/>
      </w:tblGrid>
      <w:tr w:rsidR="002C3BA2" w:rsidRPr="000E4BD6" w14:paraId="438055F1" w14:textId="77777777" w:rsidTr="00C518F7">
        <w:trPr>
          <w:tblHeader/>
        </w:trPr>
        <w:tc>
          <w:tcPr>
            <w:tcW w:w="9072" w:type="dxa"/>
            <w:gridSpan w:val="3"/>
            <w:tcBorders>
              <w:top w:val="nil"/>
              <w:left w:val="nil"/>
              <w:right w:val="nil"/>
            </w:tcBorders>
          </w:tcPr>
          <w:p w14:paraId="137325DD" w14:textId="77777777" w:rsidR="002C3BA2" w:rsidRDefault="002C3BA2" w:rsidP="00C518F7">
            <w:pPr>
              <w:spacing w:line="360" w:lineRule="auto"/>
              <w:rPr>
                <w:rFonts w:ascii="Times" w:hAnsi="Times"/>
                <w:b/>
                <w:bCs/>
                <w:sz w:val="20"/>
                <w:szCs w:val="20"/>
              </w:rPr>
            </w:pPr>
            <w:r>
              <w:rPr>
                <w:rFonts w:ascii="Times" w:hAnsi="Times"/>
                <w:b/>
                <w:bCs/>
                <w:sz w:val="20"/>
                <w:szCs w:val="20"/>
              </w:rPr>
              <w:t xml:space="preserve">Supplementary Table S1. </w:t>
            </w:r>
            <w:r w:rsidRPr="00350645">
              <w:rPr>
                <w:rFonts w:ascii="Times" w:hAnsi="Times"/>
                <w:color w:val="000000" w:themeColor="text1"/>
                <w:sz w:val="20"/>
                <w:szCs w:val="20"/>
              </w:rPr>
              <w:t xml:space="preserve">Key design aspects of the </w:t>
            </w:r>
            <w:r>
              <w:rPr>
                <w:rFonts w:ascii="Times" w:hAnsi="Times"/>
                <w:color w:val="000000" w:themeColor="text1"/>
                <w:sz w:val="20"/>
                <w:szCs w:val="20"/>
              </w:rPr>
              <w:t>reference</w:t>
            </w:r>
            <w:r w:rsidRPr="00350645">
              <w:rPr>
                <w:rFonts w:ascii="Times" w:hAnsi="Times"/>
                <w:color w:val="000000" w:themeColor="text1"/>
                <w:sz w:val="20"/>
                <w:szCs w:val="20"/>
              </w:rPr>
              <w:t xml:space="preserve"> trial</w:t>
            </w:r>
            <w:r>
              <w:rPr>
                <w:rFonts w:ascii="Times" w:hAnsi="Times"/>
                <w:color w:val="000000" w:themeColor="text1"/>
                <w:sz w:val="20"/>
                <w:szCs w:val="20"/>
              </w:rPr>
              <w:t xml:space="preserve"> (ONTARGET) and the reference trial</w:t>
            </w:r>
            <w:r w:rsidRPr="00350645">
              <w:rPr>
                <w:rFonts w:ascii="Times" w:hAnsi="Times"/>
                <w:color w:val="000000" w:themeColor="text1"/>
                <w:sz w:val="20"/>
                <w:szCs w:val="20"/>
              </w:rPr>
              <w:t xml:space="preserve"> </w:t>
            </w:r>
            <w:r>
              <w:rPr>
                <w:rFonts w:ascii="Times" w:hAnsi="Times"/>
                <w:color w:val="000000" w:themeColor="text1"/>
                <w:sz w:val="20"/>
                <w:szCs w:val="20"/>
              </w:rPr>
              <w:t>emulation using</w:t>
            </w:r>
            <w:r w:rsidRPr="00350645">
              <w:rPr>
                <w:rFonts w:ascii="Times" w:hAnsi="Times"/>
                <w:color w:val="000000" w:themeColor="text1"/>
                <w:sz w:val="20"/>
                <w:szCs w:val="20"/>
              </w:rPr>
              <w:t xml:space="preserve"> CPRD </w:t>
            </w:r>
            <w:proofErr w:type="spellStart"/>
            <w:r w:rsidRPr="00350645">
              <w:rPr>
                <w:rFonts w:ascii="Times" w:hAnsi="Times"/>
                <w:color w:val="000000" w:themeColor="text1"/>
                <w:sz w:val="20"/>
                <w:szCs w:val="20"/>
              </w:rPr>
              <w:t>Aurum</w:t>
            </w:r>
            <w:proofErr w:type="spellEnd"/>
            <w:r w:rsidRPr="00350645">
              <w:rPr>
                <w:rFonts w:ascii="Times" w:hAnsi="Times"/>
                <w:color w:val="000000" w:themeColor="text1"/>
                <w:sz w:val="20"/>
                <w:szCs w:val="20"/>
              </w:rPr>
              <w:t xml:space="preserve"> data</w:t>
            </w:r>
          </w:p>
        </w:tc>
      </w:tr>
      <w:tr w:rsidR="002C3BA2" w:rsidRPr="000E4BD6" w14:paraId="799EA35B" w14:textId="77777777" w:rsidTr="00C518F7">
        <w:trPr>
          <w:tblHeader/>
        </w:trPr>
        <w:tc>
          <w:tcPr>
            <w:tcW w:w="1222" w:type="dxa"/>
          </w:tcPr>
          <w:p w14:paraId="2D6DE368" w14:textId="77777777" w:rsidR="002C3BA2" w:rsidRPr="000E4BD6" w:rsidRDefault="002C3BA2" w:rsidP="00C518F7">
            <w:pPr>
              <w:spacing w:line="360" w:lineRule="auto"/>
              <w:rPr>
                <w:rFonts w:ascii="Times" w:hAnsi="Times"/>
                <w:b/>
                <w:bCs/>
                <w:sz w:val="20"/>
                <w:szCs w:val="20"/>
              </w:rPr>
            </w:pPr>
            <w:r w:rsidRPr="000E4BD6">
              <w:rPr>
                <w:rFonts w:ascii="Times" w:hAnsi="Times"/>
                <w:b/>
                <w:bCs/>
                <w:sz w:val="20"/>
                <w:szCs w:val="20"/>
              </w:rPr>
              <w:t>Protocol component</w:t>
            </w:r>
          </w:p>
        </w:tc>
        <w:tc>
          <w:tcPr>
            <w:tcW w:w="3881" w:type="dxa"/>
          </w:tcPr>
          <w:p w14:paraId="6BB9D2FD" w14:textId="77777777" w:rsidR="002C3BA2" w:rsidRPr="000E4BD6" w:rsidRDefault="002C3BA2" w:rsidP="00C518F7">
            <w:pPr>
              <w:spacing w:line="360" w:lineRule="auto"/>
              <w:rPr>
                <w:rFonts w:ascii="Times" w:hAnsi="Times"/>
                <w:b/>
                <w:bCs/>
                <w:sz w:val="20"/>
                <w:szCs w:val="20"/>
              </w:rPr>
            </w:pPr>
            <w:r>
              <w:rPr>
                <w:rFonts w:ascii="Times" w:hAnsi="Times"/>
                <w:b/>
                <w:bCs/>
                <w:sz w:val="20"/>
                <w:szCs w:val="20"/>
              </w:rPr>
              <w:t>Reference trial (</w:t>
            </w:r>
            <w:r w:rsidRPr="000E4BD6">
              <w:rPr>
                <w:rFonts w:ascii="Times" w:hAnsi="Times"/>
                <w:b/>
                <w:bCs/>
                <w:sz w:val="20"/>
                <w:szCs w:val="20"/>
              </w:rPr>
              <w:t>ONTARGET</w:t>
            </w:r>
            <w:r>
              <w:rPr>
                <w:rFonts w:ascii="Times" w:hAnsi="Times"/>
                <w:b/>
                <w:bCs/>
                <w:sz w:val="20"/>
                <w:szCs w:val="20"/>
              </w:rPr>
              <w:t>)</w:t>
            </w:r>
          </w:p>
        </w:tc>
        <w:tc>
          <w:tcPr>
            <w:tcW w:w="3969" w:type="dxa"/>
          </w:tcPr>
          <w:p w14:paraId="52E01551" w14:textId="77777777" w:rsidR="002C3BA2" w:rsidRPr="000E4BD6" w:rsidRDefault="002C3BA2" w:rsidP="00C518F7">
            <w:pPr>
              <w:spacing w:line="360" w:lineRule="auto"/>
              <w:rPr>
                <w:rFonts w:ascii="Times" w:hAnsi="Times"/>
                <w:b/>
                <w:bCs/>
                <w:sz w:val="20"/>
                <w:szCs w:val="20"/>
              </w:rPr>
            </w:pPr>
            <w:r>
              <w:rPr>
                <w:rFonts w:ascii="Times" w:hAnsi="Times"/>
                <w:b/>
                <w:bCs/>
                <w:sz w:val="20"/>
                <w:szCs w:val="20"/>
              </w:rPr>
              <w:t xml:space="preserve">Emulation in CPRD </w:t>
            </w:r>
            <w:proofErr w:type="spellStart"/>
            <w:r>
              <w:rPr>
                <w:rFonts w:ascii="Times" w:hAnsi="Times"/>
                <w:b/>
                <w:bCs/>
                <w:sz w:val="20"/>
                <w:szCs w:val="20"/>
              </w:rPr>
              <w:t>Aurum</w:t>
            </w:r>
            <w:proofErr w:type="spellEnd"/>
          </w:p>
        </w:tc>
      </w:tr>
      <w:tr w:rsidR="002C3BA2" w:rsidRPr="000E4BD6" w14:paraId="2646E917" w14:textId="77777777" w:rsidTr="00C518F7">
        <w:tc>
          <w:tcPr>
            <w:tcW w:w="1222" w:type="dxa"/>
          </w:tcPr>
          <w:p w14:paraId="55EDDF94" w14:textId="77777777" w:rsidR="002C3BA2" w:rsidRPr="000E4BD6" w:rsidRDefault="002C3BA2" w:rsidP="00C518F7">
            <w:pPr>
              <w:spacing w:line="360" w:lineRule="auto"/>
              <w:rPr>
                <w:rFonts w:ascii="Times" w:hAnsi="Times"/>
                <w:sz w:val="20"/>
                <w:szCs w:val="20"/>
              </w:rPr>
            </w:pPr>
            <w:r w:rsidRPr="000E4BD6">
              <w:rPr>
                <w:rFonts w:ascii="Times" w:hAnsi="Times"/>
                <w:sz w:val="20"/>
                <w:szCs w:val="20"/>
              </w:rPr>
              <w:t>Eligibility criteria</w:t>
            </w:r>
          </w:p>
        </w:tc>
        <w:tc>
          <w:tcPr>
            <w:tcW w:w="3881" w:type="dxa"/>
          </w:tcPr>
          <w:p w14:paraId="21A724FB" w14:textId="77777777" w:rsidR="002C3BA2" w:rsidRPr="000E4BD6" w:rsidRDefault="002C3BA2" w:rsidP="00C518F7">
            <w:pPr>
              <w:spacing w:line="360" w:lineRule="auto"/>
              <w:rPr>
                <w:rFonts w:ascii="Times" w:hAnsi="Times"/>
                <w:sz w:val="20"/>
                <w:szCs w:val="20"/>
              </w:rPr>
            </w:pPr>
            <w:r w:rsidRPr="000E4BD6">
              <w:rPr>
                <w:rFonts w:ascii="Times" w:hAnsi="Times"/>
                <w:sz w:val="20"/>
                <w:szCs w:val="20"/>
              </w:rPr>
              <w:t xml:space="preserve">Patients aged </w:t>
            </w:r>
            <w:r w:rsidRPr="000E4BD6">
              <w:rPr>
                <w:rFonts w:ascii="Symbol" w:eastAsia="Symbol" w:hAnsi="Symbol" w:cs="Symbol"/>
                <w:sz w:val="20"/>
                <w:szCs w:val="20"/>
              </w:rPr>
              <w:t></w:t>
            </w:r>
            <w:r w:rsidRPr="000E4BD6">
              <w:rPr>
                <w:rFonts w:ascii="Times" w:hAnsi="Times"/>
                <w:sz w:val="20"/>
                <w:szCs w:val="20"/>
              </w:rPr>
              <w:t>55 years with coronary artery, peripheral artery or cerebrovascular disease or high-risk diabetes with end organ damage recruited up to 2004. No restriction on previous ACEi/ARB use except must be able to discontinue use.</w:t>
            </w:r>
          </w:p>
        </w:tc>
        <w:tc>
          <w:tcPr>
            <w:tcW w:w="3969" w:type="dxa"/>
          </w:tcPr>
          <w:p w14:paraId="24428076" w14:textId="77777777" w:rsidR="002C3BA2" w:rsidRPr="000E4BD6" w:rsidRDefault="002C3BA2" w:rsidP="00C518F7">
            <w:pPr>
              <w:spacing w:line="360" w:lineRule="auto"/>
              <w:rPr>
                <w:rFonts w:ascii="Times" w:hAnsi="Times"/>
                <w:sz w:val="20"/>
                <w:szCs w:val="20"/>
              </w:rPr>
            </w:pPr>
            <w:r>
              <w:rPr>
                <w:rFonts w:ascii="Times" w:hAnsi="Times"/>
                <w:sz w:val="20"/>
                <w:szCs w:val="20"/>
              </w:rPr>
              <w:t xml:space="preserve">Black, South </w:t>
            </w:r>
            <w:proofErr w:type="gramStart"/>
            <w:r>
              <w:rPr>
                <w:rFonts w:ascii="Times" w:hAnsi="Times"/>
                <w:sz w:val="20"/>
                <w:szCs w:val="20"/>
              </w:rPr>
              <w:t>Asian</w:t>
            </w:r>
            <w:proofErr w:type="gramEnd"/>
            <w:r>
              <w:rPr>
                <w:rFonts w:ascii="Times" w:hAnsi="Times"/>
                <w:sz w:val="20"/>
                <w:szCs w:val="20"/>
              </w:rPr>
              <w:t xml:space="preserve"> or White p</w:t>
            </w:r>
            <w:r w:rsidRPr="000E4BD6">
              <w:rPr>
                <w:rFonts w:ascii="Times" w:hAnsi="Times"/>
                <w:sz w:val="20"/>
                <w:szCs w:val="20"/>
              </w:rPr>
              <w:t>atients with a prescription for an ACE</w:t>
            </w:r>
            <w:r>
              <w:rPr>
                <w:rFonts w:ascii="Times" w:hAnsi="Times"/>
                <w:sz w:val="20"/>
                <w:szCs w:val="20"/>
              </w:rPr>
              <w:t xml:space="preserve">i </w:t>
            </w:r>
            <w:r w:rsidRPr="000E4BD6">
              <w:rPr>
                <w:rFonts w:ascii="Times" w:hAnsi="Times"/>
                <w:sz w:val="20"/>
                <w:szCs w:val="20"/>
              </w:rPr>
              <w:t xml:space="preserve">or ARB between </w:t>
            </w:r>
            <w:r>
              <w:rPr>
                <w:rFonts w:ascii="Times" w:hAnsi="Times"/>
                <w:sz w:val="20"/>
                <w:szCs w:val="20"/>
              </w:rPr>
              <w:t>2001-</w:t>
            </w:r>
            <w:r w:rsidRPr="000E4BD6">
              <w:rPr>
                <w:rFonts w:ascii="Times" w:hAnsi="Times"/>
                <w:sz w:val="20"/>
                <w:szCs w:val="20"/>
              </w:rPr>
              <w:t>01</w:t>
            </w:r>
            <w:r>
              <w:rPr>
                <w:rFonts w:ascii="Times" w:hAnsi="Times"/>
                <w:sz w:val="20"/>
                <w:szCs w:val="20"/>
              </w:rPr>
              <w:t>-</w:t>
            </w:r>
            <w:r w:rsidRPr="000E4BD6">
              <w:rPr>
                <w:rFonts w:ascii="Times" w:hAnsi="Times"/>
                <w:sz w:val="20"/>
                <w:szCs w:val="20"/>
              </w:rPr>
              <w:t xml:space="preserve">2001 to </w:t>
            </w:r>
            <w:r>
              <w:rPr>
                <w:rFonts w:ascii="Times" w:hAnsi="Times"/>
                <w:sz w:val="20"/>
                <w:szCs w:val="20"/>
              </w:rPr>
              <w:t>2019-07-</w:t>
            </w:r>
            <w:r w:rsidRPr="000E4BD6">
              <w:rPr>
                <w:rFonts w:ascii="Times" w:hAnsi="Times"/>
                <w:sz w:val="20"/>
                <w:szCs w:val="20"/>
              </w:rPr>
              <w:t>31, eligible for HES linkage, aged ≥55 years with coronary artery, peripheral vascular, or cerebrovascular disease or high-risk diabetes.</w:t>
            </w:r>
          </w:p>
        </w:tc>
      </w:tr>
      <w:tr w:rsidR="002C3BA2" w:rsidRPr="000E4BD6" w14:paraId="70D037C0" w14:textId="77777777" w:rsidTr="00C518F7">
        <w:tc>
          <w:tcPr>
            <w:tcW w:w="1222" w:type="dxa"/>
          </w:tcPr>
          <w:p w14:paraId="0968D001" w14:textId="77777777" w:rsidR="002C3BA2" w:rsidRPr="000E4BD6" w:rsidRDefault="002C3BA2" w:rsidP="00C518F7">
            <w:pPr>
              <w:spacing w:line="360" w:lineRule="auto"/>
              <w:rPr>
                <w:rFonts w:ascii="Times" w:hAnsi="Times"/>
                <w:sz w:val="20"/>
                <w:szCs w:val="20"/>
              </w:rPr>
            </w:pPr>
            <w:r w:rsidRPr="000E4BD6">
              <w:rPr>
                <w:rFonts w:ascii="Times" w:hAnsi="Times"/>
                <w:sz w:val="20"/>
                <w:szCs w:val="20"/>
              </w:rPr>
              <w:t>Treatment strategies</w:t>
            </w:r>
          </w:p>
        </w:tc>
        <w:tc>
          <w:tcPr>
            <w:tcW w:w="3881" w:type="dxa"/>
          </w:tcPr>
          <w:p w14:paraId="15007621" w14:textId="77777777" w:rsidR="002C3BA2" w:rsidRPr="000E4BD6" w:rsidRDefault="002C3BA2" w:rsidP="00C518F7">
            <w:pPr>
              <w:spacing w:line="360" w:lineRule="auto"/>
              <w:rPr>
                <w:rFonts w:ascii="Times" w:hAnsi="Times"/>
                <w:sz w:val="20"/>
                <w:szCs w:val="20"/>
              </w:rPr>
            </w:pPr>
            <w:r w:rsidRPr="000E4BD6">
              <w:rPr>
                <w:rFonts w:ascii="Times" w:hAnsi="Times"/>
                <w:sz w:val="20"/>
                <w:szCs w:val="20"/>
              </w:rPr>
              <w:t>Patients entered 3-week single blind run-in period to check compliance then randomised to one of three trial arms: ramipril 10 mg + telmisartan placebo, telmisartan 80 mg + ramipril placebo or ramipril 10 mg + telmisartan 80 mg.</w:t>
            </w:r>
          </w:p>
        </w:tc>
        <w:tc>
          <w:tcPr>
            <w:tcW w:w="3969" w:type="dxa"/>
          </w:tcPr>
          <w:p w14:paraId="4DC09991" w14:textId="77777777" w:rsidR="002C3BA2" w:rsidRPr="000E4BD6" w:rsidRDefault="002C3BA2" w:rsidP="00C518F7">
            <w:pPr>
              <w:spacing w:line="360" w:lineRule="auto"/>
              <w:rPr>
                <w:rFonts w:ascii="Times" w:hAnsi="Times"/>
                <w:sz w:val="20"/>
                <w:szCs w:val="20"/>
              </w:rPr>
            </w:pPr>
            <w:r>
              <w:rPr>
                <w:rFonts w:ascii="Times" w:hAnsi="Times"/>
                <w:sz w:val="20"/>
                <w:szCs w:val="20"/>
              </w:rPr>
              <w:t xml:space="preserve">Exposure groups defined by prescriptions for ARB or ACEi. Exposed periods will be continuous courses of therapy. </w:t>
            </w:r>
            <w:proofErr w:type="gramStart"/>
            <w:r>
              <w:rPr>
                <w:rFonts w:ascii="Times" w:hAnsi="Times"/>
                <w:sz w:val="20"/>
                <w:szCs w:val="20"/>
              </w:rPr>
              <w:t>A  new</w:t>
            </w:r>
            <w:proofErr w:type="gramEnd"/>
            <w:r>
              <w:rPr>
                <w:rFonts w:ascii="Times" w:hAnsi="Times"/>
                <w:sz w:val="20"/>
                <w:szCs w:val="20"/>
              </w:rPr>
              <w:t xml:space="preserve"> exposed period will begin when a prescription gap of &gt;90 days occurs. </w:t>
            </w:r>
          </w:p>
        </w:tc>
      </w:tr>
      <w:tr w:rsidR="002C3BA2" w:rsidRPr="000E4BD6" w14:paraId="38DD0785" w14:textId="77777777" w:rsidTr="00C518F7">
        <w:tc>
          <w:tcPr>
            <w:tcW w:w="1222" w:type="dxa"/>
          </w:tcPr>
          <w:p w14:paraId="7EF7A60D" w14:textId="77777777" w:rsidR="002C3BA2" w:rsidRPr="000E4BD6" w:rsidRDefault="002C3BA2" w:rsidP="00C518F7">
            <w:pPr>
              <w:spacing w:line="360" w:lineRule="auto"/>
              <w:rPr>
                <w:rFonts w:ascii="Times" w:hAnsi="Times"/>
                <w:sz w:val="20"/>
                <w:szCs w:val="20"/>
              </w:rPr>
            </w:pPr>
            <w:r w:rsidRPr="000E4BD6">
              <w:rPr>
                <w:rFonts w:ascii="Times" w:hAnsi="Times"/>
                <w:sz w:val="20"/>
                <w:szCs w:val="20"/>
              </w:rPr>
              <w:t>Assignment procedures</w:t>
            </w:r>
          </w:p>
        </w:tc>
        <w:tc>
          <w:tcPr>
            <w:tcW w:w="3881" w:type="dxa"/>
          </w:tcPr>
          <w:p w14:paraId="7DAA30BD" w14:textId="77777777" w:rsidR="002C3BA2" w:rsidRPr="000E4BD6" w:rsidRDefault="002C3BA2" w:rsidP="00C518F7">
            <w:pPr>
              <w:spacing w:line="360" w:lineRule="auto"/>
              <w:rPr>
                <w:rFonts w:ascii="Times" w:hAnsi="Times"/>
                <w:sz w:val="20"/>
                <w:szCs w:val="20"/>
              </w:rPr>
            </w:pPr>
            <w:r w:rsidRPr="000E4BD6">
              <w:rPr>
                <w:rFonts w:ascii="Times" w:hAnsi="Times"/>
                <w:sz w:val="20"/>
                <w:szCs w:val="20"/>
              </w:rPr>
              <w:t xml:space="preserve">Randomly assigned and received placebo for </w:t>
            </w:r>
            <w:proofErr w:type="gramStart"/>
            <w:r w:rsidRPr="000E4BD6">
              <w:rPr>
                <w:rFonts w:ascii="Times" w:hAnsi="Times"/>
                <w:sz w:val="20"/>
                <w:szCs w:val="20"/>
              </w:rPr>
              <w:t>other</w:t>
            </w:r>
            <w:proofErr w:type="gramEnd"/>
            <w:r w:rsidRPr="000E4BD6">
              <w:rPr>
                <w:rFonts w:ascii="Times" w:hAnsi="Times"/>
                <w:sz w:val="20"/>
                <w:szCs w:val="20"/>
              </w:rPr>
              <w:t xml:space="preserve"> drug so unaware which arm assigned to</w:t>
            </w:r>
          </w:p>
        </w:tc>
        <w:tc>
          <w:tcPr>
            <w:tcW w:w="3969" w:type="dxa"/>
          </w:tcPr>
          <w:p w14:paraId="051CB1C8" w14:textId="77777777" w:rsidR="002C3BA2" w:rsidRPr="000E4BD6" w:rsidRDefault="002C3BA2" w:rsidP="00C518F7">
            <w:pPr>
              <w:spacing w:line="360" w:lineRule="auto"/>
              <w:rPr>
                <w:rFonts w:ascii="Times" w:hAnsi="Times"/>
                <w:sz w:val="20"/>
                <w:szCs w:val="20"/>
              </w:rPr>
            </w:pPr>
            <w:r w:rsidRPr="000E4BD6">
              <w:rPr>
                <w:rFonts w:ascii="Times" w:hAnsi="Times"/>
                <w:sz w:val="20"/>
                <w:szCs w:val="20"/>
              </w:rPr>
              <w:t xml:space="preserve">Based on prescriptions received. Patient can contribute to </w:t>
            </w:r>
            <w:r>
              <w:rPr>
                <w:rFonts w:ascii="Times" w:hAnsi="Times"/>
                <w:sz w:val="20"/>
                <w:szCs w:val="20"/>
              </w:rPr>
              <w:t xml:space="preserve">both </w:t>
            </w:r>
            <w:r w:rsidRPr="000E4BD6">
              <w:rPr>
                <w:rFonts w:ascii="Times" w:hAnsi="Times"/>
                <w:sz w:val="20"/>
                <w:szCs w:val="20"/>
              </w:rPr>
              <w:t>exposure groups at different timepoints</w:t>
            </w:r>
          </w:p>
        </w:tc>
      </w:tr>
      <w:tr w:rsidR="002C3BA2" w:rsidRPr="000E4BD6" w14:paraId="52D9E84D" w14:textId="77777777" w:rsidTr="00C518F7">
        <w:tc>
          <w:tcPr>
            <w:tcW w:w="1222" w:type="dxa"/>
          </w:tcPr>
          <w:p w14:paraId="12764632" w14:textId="77777777" w:rsidR="002C3BA2" w:rsidRPr="000E4BD6" w:rsidRDefault="002C3BA2" w:rsidP="00C518F7">
            <w:pPr>
              <w:spacing w:line="360" w:lineRule="auto"/>
              <w:rPr>
                <w:rFonts w:ascii="Times" w:hAnsi="Times"/>
                <w:sz w:val="20"/>
                <w:szCs w:val="20"/>
              </w:rPr>
            </w:pPr>
            <w:r w:rsidRPr="000E4BD6">
              <w:rPr>
                <w:rFonts w:ascii="Times" w:hAnsi="Times"/>
                <w:sz w:val="20"/>
                <w:szCs w:val="20"/>
              </w:rPr>
              <w:t>Follow-up period</w:t>
            </w:r>
          </w:p>
        </w:tc>
        <w:tc>
          <w:tcPr>
            <w:tcW w:w="3881" w:type="dxa"/>
          </w:tcPr>
          <w:p w14:paraId="5E6FAD93" w14:textId="77777777" w:rsidR="002C3BA2" w:rsidRPr="000E4BD6" w:rsidRDefault="002C3BA2" w:rsidP="00C518F7">
            <w:pPr>
              <w:spacing w:line="360" w:lineRule="auto"/>
              <w:rPr>
                <w:rFonts w:ascii="Times" w:hAnsi="Times"/>
                <w:sz w:val="20"/>
                <w:szCs w:val="20"/>
              </w:rPr>
            </w:pPr>
            <w:r w:rsidRPr="000E4BD6">
              <w:rPr>
                <w:rFonts w:ascii="Times" w:hAnsi="Times"/>
                <w:sz w:val="20"/>
                <w:szCs w:val="20"/>
              </w:rPr>
              <w:t>Follow-up started at randomisation and ended at primary event, death, loss to follow-up or end of study. Close out was planned in July 2007.</w:t>
            </w:r>
          </w:p>
        </w:tc>
        <w:tc>
          <w:tcPr>
            <w:tcW w:w="3969" w:type="dxa"/>
          </w:tcPr>
          <w:p w14:paraId="7D62D031" w14:textId="77777777" w:rsidR="002C3BA2" w:rsidRPr="000E4BD6" w:rsidRDefault="002C3BA2" w:rsidP="00C518F7">
            <w:pPr>
              <w:spacing w:line="360" w:lineRule="auto"/>
              <w:rPr>
                <w:rFonts w:ascii="Times" w:hAnsi="Times"/>
                <w:sz w:val="20"/>
                <w:szCs w:val="20"/>
              </w:rPr>
            </w:pPr>
            <w:r w:rsidRPr="000E4BD6">
              <w:rPr>
                <w:rFonts w:ascii="Times" w:hAnsi="Times"/>
                <w:sz w:val="20"/>
                <w:szCs w:val="20"/>
              </w:rPr>
              <w:t xml:space="preserve">Follow-up starts at start of trial-eligible period where exposure period meets trial inclusion/exclusion criteria. Ends at the earliest </w:t>
            </w:r>
            <w:proofErr w:type="gramStart"/>
            <w:r w:rsidRPr="000E4BD6">
              <w:rPr>
                <w:rFonts w:ascii="Times" w:hAnsi="Times"/>
                <w:sz w:val="20"/>
                <w:szCs w:val="20"/>
              </w:rPr>
              <w:t>of:</w:t>
            </w:r>
            <w:proofErr w:type="gramEnd"/>
            <w:r w:rsidRPr="000E4BD6">
              <w:rPr>
                <w:rFonts w:ascii="Times" w:hAnsi="Times"/>
                <w:sz w:val="20"/>
                <w:szCs w:val="20"/>
              </w:rPr>
              <w:t xml:space="preserve"> outcome of interest, death, transferred out of practice date, or last data collection from the general practice. If these dates do not occur the patient will be censored after 5.5 years of follow-up</w:t>
            </w:r>
          </w:p>
        </w:tc>
      </w:tr>
      <w:tr w:rsidR="002C3BA2" w:rsidRPr="000E4BD6" w14:paraId="2702CC32" w14:textId="77777777" w:rsidTr="00C518F7">
        <w:tc>
          <w:tcPr>
            <w:tcW w:w="1222" w:type="dxa"/>
          </w:tcPr>
          <w:p w14:paraId="0CB1BF99" w14:textId="77777777" w:rsidR="002C3BA2" w:rsidRPr="000E4BD6" w:rsidRDefault="002C3BA2" w:rsidP="00C518F7">
            <w:pPr>
              <w:spacing w:line="360" w:lineRule="auto"/>
              <w:rPr>
                <w:rFonts w:ascii="Times" w:hAnsi="Times"/>
                <w:sz w:val="20"/>
                <w:szCs w:val="20"/>
              </w:rPr>
            </w:pPr>
            <w:r w:rsidRPr="000E4BD6">
              <w:rPr>
                <w:rFonts w:ascii="Times" w:hAnsi="Times"/>
                <w:sz w:val="20"/>
                <w:szCs w:val="20"/>
              </w:rPr>
              <w:t>Outcome</w:t>
            </w:r>
          </w:p>
        </w:tc>
        <w:tc>
          <w:tcPr>
            <w:tcW w:w="3881" w:type="dxa"/>
          </w:tcPr>
          <w:p w14:paraId="1A0FFA18" w14:textId="77777777" w:rsidR="002C3BA2" w:rsidRPr="000E4BD6" w:rsidRDefault="002C3BA2" w:rsidP="00C518F7">
            <w:pPr>
              <w:spacing w:line="360" w:lineRule="auto"/>
              <w:rPr>
                <w:rFonts w:ascii="Times" w:hAnsi="Times"/>
                <w:sz w:val="20"/>
                <w:szCs w:val="20"/>
              </w:rPr>
            </w:pPr>
            <w:r w:rsidRPr="000E4BD6">
              <w:rPr>
                <w:rFonts w:ascii="Times" w:hAnsi="Times"/>
                <w:sz w:val="20"/>
                <w:szCs w:val="20"/>
              </w:rPr>
              <w:t xml:space="preserve">Primary composite </w:t>
            </w:r>
            <w:proofErr w:type="gramStart"/>
            <w:r w:rsidRPr="000E4BD6">
              <w:rPr>
                <w:rFonts w:ascii="Times" w:hAnsi="Times"/>
                <w:sz w:val="20"/>
                <w:szCs w:val="20"/>
              </w:rPr>
              <w:t>of:</w:t>
            </w:r>
            <w:proofErr w:type="gramEnd"/>
            <w:r w:rsidRPr="000E4BD6">
              <w:rPr>
                <w:rFonts w:ascii="Times" w:hAnsi="Times"/>
                <w:sz w:val="20"/>
                <w:szCs w:val="20"/>
              </w:rPr>
              <w:t xml:space="preserve"> cardiovascular death, MI, stroke, hospitalisation for heart failure</w:t>
            </w:r>
          </w:p>
        </w:tc>
        <w:tc>
          <w:tcPr>
            <w:tcW w:w="3969" w:type="dxa"/>
          </w:tcPr>
          <w:p w14:paraId="71FA3652" w14:textId="77777777" w:rsidR="002C3BA2" w:rsidRPr="000E4BD6" w:rsidRDefault="002C3BA2" w:rsidP="00C518F7">
            <w:pPr>
              <w:spacing w:line="360" w:lineRule="auto"/>
              <w:rPr>
                <w:rFonts w:ascii="Times" w:hAnsi="Times"/>
                <w:sz w:val="20"/>
                <w:szCs w:val="20"/>
              </w:rPr>
            </w:pPr>
            <w:r>
              <w:rPr>
                <w:rFonts w:ascii="Times" w:hAnsi="Times"/>
                <w:sz w:val="20"/>
                <w:szCs w:val="20"/>
              </w:rPr>
              <w:t>As in ONTARGET, defined using ICD10, Read codes and death registries from ONS.</w:t>
            </w:r>
          </w:p>
        </w:tc>
      </w:tr>
      <w:tr w:rsidR="002C3BA2" w:rsidRPr="000E4BD6" w14:paraId="58B2C92B" w14:textId="77777777" w:rsidTr="00C518F7">
        <w:tc>
          <w:tcPr>
            <w:tcW w:w="1222" w:type="dxa"/>
          </w:tcPr>
          <w:p w14:paraId="31605CED" w14:textId="77777777" w:rsidR="002C3BA2" w:rsidRPr="000E4BD6" w:rsidRDefault="002C3BA2" w:rsidP="00C518F7">
            <w:pPr>
              <w:spacing w:line="360" w:lineRule="auto"/>
              <w:rPr>
                <w:rFonts w:ascii="Times" w:hAnsi="Times"/>
                <w:sz w:val="20"/>
                <w:szCs w:val="20"/>
              </w:rPr>
            </w:pPr>
            <w:r w:rsidRPr="000E4BD6">
              <w:rPr>
                <w:rFonts w:ascii="Times" w:hAnsi="Times"/>
                <w:sz w:val="20"/>
                <w:szCs w:val="20"/>
              </w:rPr>
              <w:t>Analysis plan</w:t>
            </w:r>
          </w:p>
        </w:tc>
        <w:tc>
          <w:tcPr>
            <w:tcW w:w="3881" w:type="dxa"/>
          </w:tcPr>
          <w:p w14:paraId="58D9C3DE" w14:textId="77777777" w:rsidR="002C3BA2" w:rsidRPr="000E4BD6" w:rsidRDefault="002C3BA2" w:rsidP="00C518F7">
            <w:pPr>
              <w:spacing w:line="360" w:lineRule="auto"/>
              <w:rPr>
                <w:rFonts w:ascii="Times" w:hAnsi="Times"/>
                <w:sz w:val="20"/>
                <w:szCs w:val="20"/>
              </w:rPr>
            </w:pPr>
            <w:r w:rsidRPr="000E4BD6">
              <w:rPr>
                <w:rFonts w:ascii="Times" w:hAnsi="Times"/>
                <w:sz w:val="20"/>
                <w:szCs w:val="20"/>
              </w:rPr>
              <w:t xml:space="preserve">Primary analysis under time-to-event counting first occurrence of any component of the composite outcome using Cox proportional hazards model. Intention-to-treat as main analysis </w:t>
            </w:r>
          </w:p>
        </w:tc>
        <w:tc>
          <w:tcPr>
            <w:tcW w:w="3969" w:type="dxa"/>
          </w:tcPr>
          <w:p w14:paraId="353BF856" w14:textId="77777777" w:rsidR="002C3BA2" w:rsidRPr="000E4BD6" w:rsidRDefault="002C3BA2" w:rsidP="00C518F7">
            <w:pPr>
              <w:spacing w:line="360" w:lineRule="auto"/>
              <w:rPr>
                <w:rFonts w:ascii="Times" w:hAnsi="Times"/>
                <w:sz w:val="20"/>
                <w:szCs w:val="20"/>
              </w:rPr>
            </w:pPr>
            <w:r w:rsidRPr="000E4BD6">
              <w:rPr>
                <w:rFonts w:ascii="Times" w:hAnsi="Times"/>
                <w:sz w:val="20"/>
                <w:szCs w:val="20"/>
              </w:rPr>
              <w:t>Analysis conducted on one randomly selected trial eligible period per patient. Balance of covariates obtained by propensity score weighting for probability of receiving an ACEi</w:t>
            </w:r>
            <w:r>
              <w:rPr>
                <w:rFonts w:ascii="Times" w:hAnsi="Times"/>
                <w:sz w:val="20"/>
                <w:szCs w:val="20"/>
              </w:rPr>
              <w:t xml:space="preserve">. Weighting as opposed to matching to increase sample size and diversity of cohort to enable inferences to be extended to underrepresented groups of Black and South Asian individuals. </w:t>
            </w:r>
            <w:r w:rsidRPr="000E4BD6">
              <w:rPr>
                <w:rFonts w:ascii="Times" w:hAnsi="Times"/>
                <w:sz w:val="20"/>
                <w:szCs w:val="20"/>
              </w:rPr>
              <w:t>Cox proportional hazards model used for primary analysis.</w:t>
            </w:r>
          </w:p>
        </w:tc>
      </w:tr>
      <w:tr w:rsidR="002C3BA2" w:rsidRPr="000E4BD6" w14:paraId="677D96BF" w14:textId="77777777" w:rsidTr="00C518F7">
        <w:tc>
          <w:tcPr>
            <w:tcW w:w="9072" w:type="dxa"/>
            <w:gridSpan w:val="3"/>
          </w:tcPr>
          <w:p w14:paraId="5DDC4CDD" w14:textId="77777777" w:rsidR="002C3BA2" w:rsidRPr="000E4BD6" w:rsidRDefault="002C3BA2" w:rsidP="00C518F7">
            <w:pPr>
              <w:spacing w:line="360" w:lineRule="auto"/>
              <w:rPr>
                <w:rFonts w:ascii="Times" w:hAnsi="Times"/>
                <w:sz w:val="20"/>
                <w:szCs w:val="20"/>
              </w:rPr>
            </w:pPr>
            <w:r>
              <w:rPr>
                <w:rFonts w:ascii="Times" w:hAnsi="Times"/>
                <w:sz w:val="20"/>
                <w:szCs w:val="20"/>
              </w:rPr>
              <w:lastRenderedPageBreak/>
              <w:t>*Restricted to those of Black, South Asian and White ethnicity as other and mixed ethnic group had insufficient numbers.</w:t>
            </w:r>
          </w:p>
        </w:tc>
      </w:tr>
    </w:tbl>
    <w:p w14:paraId="49D75EA9" w14:textId="77777777" w:rsidR="006547D8" w:rsidRDefault="006547D8"/>
    <w:sectPr w:rsidR="006547D8" w:rsidSect="000B7D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A2"/>
    <w:rsid w:val="00020E23"/>
    <w:rsid w:val="00031D3A"/>
    <w:rsid w:val="0003304F"/>
    <w:rsid w:val="00037FD6"/>
    <w:rsid w:val="00044CBC"/>
    <w:rsid w:val="00051B5D"/>
    <w:rsid w:val="0006125C"/>
    <w:rsid w:val="00077FD2"/>
    <w:rsid w:val="00082D3D"/>
    <w:rsid w:val="00086B1A"/>
    <w:rsid w:val="00090471"/>
    <w:rsid w:val="000954A9"/>
    <w:rsid w:val="000A09EC"/>
    <w:rsid w:val="000A1660"/>
    <w:rsid w:val="000A6A79"/>
    <w:rsid w:val="000A6CC0"/>
    <w:rsid w:val="000A7BDA"/>
    <w:rsid w:val="000B209D"/>
    <w:rsid w:val="000B7D10"/>
    <w:rsid w:val="000C5BEE"/>
    <w:rsid w:val="000D0258"/>
    <w:rsid w:val="000E5E8F"/>
    <w:rsid w:val="000F4116"/>
    <w:rsid w:val="001034FB"/>
    <w:rsid w:val="00103934"/>
    <w:rsid w:val="001252DF"/>
    <w:rsid w:val="00134DEB"/>
    <w:rsid w:val="001461DB"/>
    <w:rsid w:val="0014691A"/>
    <w:rsid w:val="001631B4"/>
    <w:rsid w:val="001631E4"/>
    <w:rsid w:val="001648BD"/>
    <w:rsid w:val="001657C1"/>
    <w:rsid w:val="00166FE8"/>
    <w:rsid w:val="00172004"/>
    <w:rsid w:val="00173407"/>
    <w:rsid w:val="001802D5"/>
    <w:rsid w:val="00183451"/>
    <w:rsid w:val="00192263"/>
    <w:rsid w:val="001A7164"/>
    <w:rsid w:val="001B23C4"/>
    <w:rsid w:val="001B5502"/>
    <w:rsid w:val="001C3A25"/>
    <w:rsid w:val="001D59F7"/>
    <w:rsid w:val="001D6CCE"/>
    <w:rsid w:val="001D6EEE"/>
    <w:rsid w:val="001E13E0"/>
    <w:rsid w:val="001F0B76"/>
    <w:rsid w:val="001F4233"/>
    <w:rsid w:val="00201CD7"/>
    <w:rsid w:val="002032FA"/>
    <w:rsid w:val="002066F7"/>
    <w:rsid w:val="00211881"/>
    <w:rsid w:val="00211999"/>
    <w:rsid w:val="00211EA9"/>
    <w:rsid w:val="0021665C"/>
    <w:rsid w:val="00220AEB"/>
    <w:rsid w:val="0022235A"/>
    <w:rsid w:val="0022271E"/>
    <w:rsid w:val="002253E8"/>
    <w:rsid w:val="00226A67"/>
    <w:rsid w:val="002441CE"/>
    <w:rsid w:val="00246208"/>
    <w:rsid w:val="00247E0B"/>
    <w:rsid w:val="00251955"/>
    <w:rsid w:val="002561CD"/>
    <w:rsid w:val="00257EFE"/>
    <w:rsid w:val="0027153D"/>
    <w:rsid w:val="00282933"/>
    <w:rsid w:val="002900A5"/>
    <w:rsid w:val="002935EF"/>
    <w:rsid w:val="002A1135"/>
    <w:rsid w:val="002A1EFC"/>
    <w:rsid w:val="002A7DF0"/>
    <w:rsid w:val="002B5E95"/>
    <w:rsid w:val="002C217F"/>
    <w:rsid w:val="002C322B"/>
    <w:rsid w:val="002C3BA2"/>
    <w:rsid w:val="002C62B0"/>
    <w:rsid w:val="002C6DD8"/>
    <w:rsid w:val="002D3965"/>
    <w:rsid w:val="002F0866"/>
    <w:rsid w:val="002F1FCA"/>
    <w:rsid w:val="002F4EE6"/>
    <w:rsid w:val="00300521"/>
    <w:rsid w:val="00304646"/>
    <w:rsid w:val="003171DE"/>
    <w:rsid w:val="00330D3C"/>
    <w:rsid w:val="00335535"/>
    <w:rsid w:val="00341E3B"/>
    <w:rsid w:val="0034567B"/>
    <w:rsid w:val="00347460"/>
    <w:rsid w:val="00353457"/>
    <w:rsid w:val="003564EE"/>
    <w:rsid w:val="00370E27"/>
    <w:rsid w:val="00371DD6"/>
    <w:rsid w:val="003730E1"/>
    <w:rsid w:val="00376D93"/>
    <w:rsid w:val="00381A7C"/>
    <w:rsid w:val="003866C1"/>
    <w:rsid w:val="00390780"/>
    <w:rsid w:val="0039441F"/>
    <w:rsid w:val="003A22A4"/>
    <w:rsid w:val="003A3D15"/>
    <w:rsid w:val="003A44A2"/>
    <w:rsid w:val="003D72D7"/>
    <w:rsid w:val="003F14A9"/>
    <w:rsid w:val="003F228A"/>
    <w:rsid w:val="003F2BB6"/>
    <w:rsid w:val="003F4DBC"/>
    <w:rsid w:val="00412DD0"/>
    <w:rsid w:val="00416501"/>
    <w:rsid w:val="004251CE"/>
    <w:rsid w:val="0043456E"/>
    <w:rsid w:val="00435BFD"/>
    <w:rsid w:val="00435EB3"/>
    <w:rsid w:val="004370CC"/>
    <w:rsid w:val="00437E72"/>
    <w:rsid w:val="00446FC8"/>
    <w:rsid w:val="00454DFE"/>
    <w:rsid w:val="00455470"/>
    <w:rsid w:val="004600FA"/>
    <w:rsid w:val="00470BD7"/>
    <w:rsid w:val="004725C7"/>
    <w:rsid w:val="0047301E"/>
    <w:rsid w:val="00482E0D"/>
    <w:rsid w:val="00491758"/>
    <w:rsid w:val="00495F32"/>
    <w:rsid w:val="00496F65"/>
    <w:rsid w:val="004A1943"/>
    <w:rsid w:val="004A2EFE"/>
    <w:rsid w:val="004A50F1"/>
    <w:rsid w:val="004A7D41"/>
    <w:rsid w:val="004B1B01"/>
    <w:rsid w:val="004B281A"/>
    <w:rsid w:val="004B547D"/>
    <w:rsid w:val="004C4709"/>
    <w:rsid w:val="004C4910"/>
    <w:rsid w:val="004C62E8"/>
    <w:rsid w:val="004D2E4E"/>
    <w:rsid w:val="004E0FE0"/>
    <w:rsid w:val="004F2D31"/>
    <w:rsid w:val="004F2F10"/>
    <w:rsid w:val="004F3C7D"/>
    <w:rsid w:val="004F6710"/>
    <w:rsid w:val="00500D5F"/>
    <w:rsid w:val="00507196"/>
    <w:rsid w:val="00510A4A"/>
    <w:rsid w:val="00512543"/>
    <w:rsid w:val="00522557"/>
    <w:rsid w:val="0052429A"/>
    <w:rsid w:val="0053013A"/>
    <w:rsid w:val="00533D7B"/>
    <w:rsid w:val="00542538"/>
    <w:rsid w:val="00546F39"/>
    <w:rsid w:val="005475C8"/>
    <w:rsid w:val="00547AED"/>
    <w:rsid w:val="00554B0A"/>
    <w:rsid w:val="00567046"/>
    <w:rsid w:val="005877A7"/>
    <w:rsid w:val="00595247"/>
    <w:rsid w:val="00597049"/>
    <w:rsid w:val="005A2DDF"/>
    <w:rsid w:val="005A322C"/>
    <w:rsid w:val="005A4644"/>
    <w:rsid w:val="005B0362"/>
    <w:rsid w:val="005B656F"/>
    <w:rsid w:val="005C1AAC"/>
    <w:rsid w:val="005C24D6"/>
    <w:rsid w:val="005D1CCB"/>
    <w:rsid w:val="005E124E"/>
    <w:rsid w:val="005E3CDF"/>
    <w:rsid w:val="005F3351"/>
    <w:rsid w:val="005F3ECA"/>
    <w:rsid w:val="005F4CDC"/>
    <w:rsid w:val="00604118"/>
    <w:rsid w:val="00604BAB"/>
    <w:rsid w:val="006050BE"/>
    <w:rsid w:val="00605AE6"/>
    <w:rsid w:val="00611E06"/>
    <w:rsid w:val="00624CA1"/>
    <w:rsid w:val="00624FC5"/>
    <w:rsid w:val="0062782A"/>
    <w:rsid w:val="00635DF4"/>
    <w:rsid w:val="006364EC"/>
    <w:rsid w:val="00642659"/>
    <w:rsid w:val="006526A1"/>
    <w:rsid w:val="006547D8"/>
    <w:rsid w:val="00670623"/>
    <w:rsid w:val="006727C9"/>
    <w:rsid w:val="006732E6"/>
    <w:rsid w:val="00673CAE"/>
    <w:rsid w:val="00676A5E"/>
    <w:rsid w:val="0067713C"/>
    <w:rsid w:val="006825FE"/>
    <w:rsid w:val="006845AF"/>
    <w:rsid w:val="00691EE3"/>
    <w:rsid w:val="00696D85"/>
    <w:rsid w:val="006A64C1"/>
    <w:rsid w:val="006A7483"/>
    <w:rsid w:val="006B7CB1"/>
    <w:rsid w:val="006C56AC"/>
    <w:rsid w:val="006C65E9"/>
    <w:rsid w:val="006D30D4"/>
    <w:rsid w:val="006E1CC5"/>
    <w:rsid w:val="006F075D"/>
    <w:rsid w:val="006F3DC0"/>
    <w:rsid w:val="006F4A26"/>
    <w:rsid w:val="007036E5"/>
    <w:rsid w:val="007151FE"/>
    <w:rsid w:val="007160BE"/>
    <w:rsid w:val="00716B1D"/>
    <w:rsid w:val="00717B89"/>
    <w:rsid w:val="0072176C"/>
    <w:rsid w:val="0072206A"/>
    <w:rsid w:val="00730896"/>
    <w:rsid w:val="007412BD"/>
    <w:rsid w:val="00741C97"/>
    <w:rsid w:val="0074408B"/>
    <w:rsid w:val="0075106A"/>
    <w:rsid w:val="0075736D"/>
    <w:rsid w:val="0076137E"/>
    <w:rsid w:val="00771E87"/>
    <w:rsid w:val="00777F2B"/>
    <w:rsid w:val="00780BA9"/>
    <w:rsid w:val="00783733"/>
    <w:rsid w:val="00786064"/>
    <w:rsid w:val="007A3DDC"/>
    <w:rsid w:val="007B12D2"/>
    <w:rsid w:val="007B5E8D"/>
    <w:rsid w:val="007C00D8"/>
    <w:rsid w:val="007C3BEF"/>
    <w:rsid w:val="007C483E"/>
    <w:rsid w:val="007E14EA"/>
    <w:rsid w:val="007F1DE9"/>
    <w:rsid w:val="007F700B"/>
    <w:rsid w:val="00800C15"/>
    <w:rsid w:val="008037E8"/>
    <w:rsid w:val="00804A6E"/>
    <w:rsid w:val="00804DAB"/>
    <w:rsid w:val="008077EA"/>
    <w:rsid w:val="00813BB3"/>
    <w:rsid w:val="0082083A"/>
    <w:rsid w:val="00820D24"/>
    <w:rsid w:val="00823753"/>
    <w:rsid w:val="00832402"/>
    <w:rsid w:val="0083360B"/>
    <w:rsid w:val="0083617C"/>
    <w:rsid w:val="00843DE9"/>
    <w:rsid w:val="00845437"/>
    <w:rsid w:val="00847307"/>
    <w:rsid w:val="0084794D"/>
    <w:rsid w:val="00851C2E"/>
    <w:rsid w:val="008601F1"/>
    <w:rsid w:val="008608E5"/>
    <w:rsid w:val="00877A98"/>
    <w:rsid w:val="00883BDF"/>
    <w:rsid w:val="008943D6"/>
    <w:rsid w:val="00895745"/>
    <w:rsid w:val="008A2820"/>
    <w:rsid w:val="008A3444"/>
    <w:rsid w:val="008A38C1"/>
    <w:rsid w:val="008A51BB"/>
    <w:rsid w:val="008A6A25"/>
    <w:rsid w:val="008A7A4D"/>
    <w:rsid w:val="008B4891"/>
    <w:rsid w:val="008B614D"/>
    <w:rsid w:val="008B6A3D"/>
    <w:rsid w:val="008C2ED5"/>
    <w:rsid w:val="008C4658"/>
    <w:rsid w:val="008D4E42"/>
    <w:rsid w:val="008E3E7F"/>
    <w:rsid w:val="008E3E80"/>
    <w:rsid w:val="008E6EAF"/>
    <w:rsid w:val="008F12B6"/>
    <w:rsid w:val="008F1646"/>
    <w:rsid w:val="008F16A8"/>
    <w:rsid w:val="009069DE"/>
    <w:rsid w:val="0091356B"/>
    <w:rsid w:val="0091657F"/>
    <w:rsid w:val="00920C7C"/>
    <w:rsid w:val="00921AF9"/>
    <w:rsid w:val="0092691B"/>
    <w:rsid w:val="00932FC0"/>
    <w:rsid w:val="00933B7D"/>
    <w:rsid w:val="00941961"/>
    <w:rsid w:val="00941FBF"/>
    <w:rsid w:val="00942E0B"/>
    <w:rsid w:val="009446FD"/>
    <w:rsid w:val="00945371"/>
    <w:rsid w:val="009470B2"/>
    <w:rsid w:val="009530BD"/>
    <w:rsid w:val="00954E7D"/>
    <w:rsid w:val="0095582E"/>
    <w:rsid w:val="0095666D"/>
    <w:rsid w:val="009601C3"/>
    <w:rsid w:val="00960539"/>
    <w:rsid w:val="00964E0A"/>
    <w:rsid w:val="00970683"/>
    <w:rsid w:val="00973ED3"/>
    <w:rsid w:val="0097446D"/>
    <w:rsid w:val="009806D3"/>
    <w:rsid w:val="00984623"/>
    <w:rsid w:val="00985CB8"/>
    <w:rsid w:val="00986D12"/>
    <w:rsid w:val="00992A2A"/>
    <w:rsid w:val="009A3829"/>
    <w:rsid w:val="009C360B"/>
    <w:rsid w:val="009C6B4C"/>
    <w:rsid w:val="009D11B0"/>
    <w:rsid w:val="009E0DCD"/>
    <w:rsid w:val="009E1233"/>
    <w:rsid w:val="009E1AF2"/>
    <w:rsid w:val="00A0479D"/>
    <w:rsid w:val="00A216B1"/>
    <w:rsid w:val="00A22C77"/>
    <w:rsid w:val="00A24930"/>
    <w:rsid w:val="00A264A2"/>
    <w:rsid w:val="00A27321"/>
    <w:rsid w:val="00A311E8"/>
    <w:rsid w:val="00A35FCA"/>
    <w:rsid w:val="00A41449"/>
    <w:rsid w:val="00A41DA4"/>
    <w:rsid w:val="00A45EA5"/>
    <w:rsid w:val="00A50405"/>
    <w:rsid w:val="00A57DDF"/>
    <w:rsid w:val="00A62088"/>
    <w:rsid w:val="00A62318"/>
    <w:rsid w:val="00A63846"/>
    <w:rsid w:val="00A6645D"/>
    <w:rsid w:val="00A70879"/>
    <w:rsid w:val="00A71318"/>
    <w:rsid w:val="00A83AB7"/>
    <w:rsid w:val="00AA00EF"/>
    <w:rsid w:val="00AA2694"/>
    <w:rsid w:val="00AB6EDA"/>
    <w:rsid w:val="00AC026B"/>
    <w:rsid w:val="00AC410F"/>
    <w:rsid w:val="00AC42DD"/>
    <w:rsid w:val="00AC43DF"/>
    <w:rsid w:val="00AC4AE9"/>
    <w:rsid w:val="00AC705B"/>
    <w:rsid w:val="00AE3DB7"/>
    <w:rsid w:val="00AF2158"/>
    <w:rsid w:val="00B02975"/>
    <w:rsid w:val="00B043C4"/>
    <w:rsid w:val="00B15399"/>
    <w:rsid w:val="00B24092"/>
    <w:rsid w:val="00B249CE"/>
    <w:rsid w:val="00B3278E"/>
    <w:rsid w:val="00B34DDE"/>
    <w:rsid w:val="00B41034"/>
    <w:rsid w:val="00B4430B"/>
    <w:rsid w:val="00B4534D"/>
    <w:rsid w:val="00B464BC"/>
    <w:rsid w:val="00B53800"/>
    <w:rsid w:val="00B754E5"/>
    <w:rsid w:val="00B909F8"/>
    <w:rsid w:val="00B93F07"/>
    <w:rsid w:val="00B957D2"/>
    <w:rsid w:val="00BA02DC"/>
    <w:rsid w:val="00BA0DAC"/>
    <w:rsid w:val="00BA3847"/>
    <w:rsid w:val="00BB4E79"/>
    <w:rsid w:val="00BC089B"/>
    <w:rsid w:val="00BC0F06"/>
    <w:rsid w:val="00BC2E6D"/>
    <w:rsid w:val="00BC4590"/>
    <w:rsid w:val="00BC45E4"/>
    <w:rsid w:val="00BC54C4"/>
    <w:rsid w:val="00BC7525"/>
    <w:rsid w:val="00BD7A1F"/>
    <w:rsid w:val="00BE4ED1"/>
    <w:rsid w:val="00BF0B8C"/>
    <w:rsid w:val="00BF1ABC"/>
    <w:rsid w:val="00BF37AC"/>
    <w:rsid w:val="00BF76DC"/>
    <w:rsid w:val="00C02854"/>
    <w:rsid w:val="00C0490B"/>
    <w:rsid w:val="00C04FC3"/>
    <w:rsid w:val="00C0501F"/>
    <w:rsid w:val="00C135C3"/>
    <w:rsid w:val="00C14263"/>
    <w:rsid w:val="00C15D25"/>
    <w:rsid w:val="00C23FC3"/>
    <w:rsid w:val="00C246FA"/>
    <w:rsid w:val="00C30F7C"/>
    <w:rsid w:val="00C33015"/>
    <w:rsid w:val="00C43767"/>
    <w:rsid w:val="00C56B17"/>
    <w:rsid w:val="00C855C1"/>
    <w:rsid w:val="00C862FA"/>
    <w:rsid w:val="00C87D6C"/>
    <w:rsid w:val="00C87DF0"/>
    <w:rsid w:val="00C91188"/>
    <w:rsid w:val="00C91389"/>
    <w:rsid w:val="00C942FE"/>
    <w:rsid w:val="00C948B4"/>
    <w:rsid w:val="00C94ECA"/>
    <w:rsid w:val="00CA2E95"/>
    <w:rsid w:val="00CA4BC9"/>
    <w:rsid w:val="00CB1A65"/>
    <w:rsid w:val="00CC09E7"/>
    <w:rsid w:val="00CC792D"/>
    <w:rsid w:val="00CD674E"/>
    <w:rsid w:val="00CD7516"/>
    <w:rsid w:val="00CF0A3A"/>
    <w:rsid w:val="00CF7525"/>
    <w:rsid w:val="00D06DCA"/>
    <w:rsid w:val="00D113CA"/>
    <w:rsid w:val="00D117BA"/>
    <w:rsid w:val="00D141FC"/>
    <w:rsid w:val="00D17412"/>
    <w:rsid w:val="00D27A81"/>
    <w:rsid w:val="00D3003F"/>
    <w:rsid w:val="00D34A33"/>
    <w:rsid w:val="00D353F0"/>
    <w:rsid w:val="00D35DC6"/>
    <w:rsid w:val="00D409FA"/>
    <w:rsid w:val="00D41479"/>
    <w:rsid w:val="00D41CC5"/>
    <w:rsid w:val="00D41D22"/>
    <w:rsid w:val="00D4639E"/>
    <w:rsid w:val="00D84E24"/>
    <w:rsid w:val="00D85AEB"/>
    <w:rsid w:val="00D871CD"/>
    <w:rsid w:val="00D97ABF"/>
    <w:rsid w:val="00DA6A10"/>
    <w:rsid w:val="00DA73A1"/>
    <w:rsid w:val="00DB1508"/>
    <w:rsid w:val="00DB523E"/>
    <w:rsid w:val="00DC03D8"/>
    <w:rsid w:val="00DD4C05"/>
    <w:rsid w:val="00DE202E"/>
    <w:rsid w:val="00DF2D5C"/>
    <w:rsid w:val="00DF70B5"/>
    <w:rsid w:val="00E00237"/>
    <w:rsid w:val="00E03E13"/>
    <w:rsid w:val="00E056D0"/>
    <w:rsid w:val="00E0711C"/>
    <w:rsid w:val="00E15972"/>
    <w:rsid w:val="00E32082"/>
    <w:rsid w:val="00E32DB6"/>
    <w:rsid w:val="00E352EE"/>
    <w:rsid w:val="00E41CB2"/>
    <w:rsid w:val="00E442CD"/>
    <w:rsid w:val="00E45A49"/>
    <w:rsid w:val="00E463A5"/>
    <w:rsid w:val="00E56222"/>
    <w:rsid w:val="00E5737E"/>
    <w:rsid w:val="00E6263C"/>
    <w:rsid w:val="00E63AAB"/>
    <w:rsid w:val="00E71A6E"/>
    <w:rsid w:val="00E725DA"/>
    <w:rsid w:val="00E74C86"/>
    <w:rsid w:val="00E7592B"/>
    <w:rsid w:val="00E80159"/>
    <w:rsid w:val="00E84A0D"/>
    <w:rsid w:val="00E84E29"/>
    <w:rsid w:val="00E93D05"/>
    <w:rsid w:val="00E94A74"/>
    <w:rsid w:val="00E95E3C"/>
    <w:rsid w:val="00E979D9"/>
    <w:rsid w:val="00EA022D"/>
    <w:rsid w:val="00EB063F"/>
    <w:rsid w:val="00EB4F6D"/>
    <w:rsid w:val="00EB6FD4"/>
    <w:rsid w:val="00EC42AC"/>
    <w:rsid w:val="00EC615C"/>
    <w:rsid w:val="00ED05F9"/>
    <w:rsid w:val="00ED4321"/>
    <w:rsid w:val="00EE3FCA"/>
    <w:rsid w:val="00EF4D36"/>
    <w:rsid w:val="00F00AB9"/>
    <w:rsid w:val="00F00F24"/>
    <w:rsid w:val="00F01255"/>
    <w:rsid w:val="00F04196"/>
    <w:rsid w:val="00F05AC7"/>
    <w:rsid w:val="00F10B63"/>
    <w:rsid w:val="00F1465D"/>
    <w:rsid w:val="00F15FD4"/>
    <w:rsid w:val="00F165FC"/>
    <w:rsid w:val="00F211B8"/>
    <w:rsid w:val="00F21D2C"/>
    <w:rsid w:val="00F22674"/>
    <w:rsid w:val="00F333A2"/>
    <w:rsid w:val="00F3539E"/>
    <w:rsid w:val="00F402FC"/>
    <w:rsid w:val="00F41280"/>
    <w:rsid w:val="00F46C63"/>
    <w:rsid w:val="00F5211A"/>
    <w:rsid w:val="00F544D7"/>
    <w:rsid w:val="00F56061"/>
    <w:rsid w:val="00F6204E"/>
    <w:rsid w:val="00F62BA6"/>
    <w:rsid w:val="00F632EE"/>
    <w:rsid w:val="00F74D3D"/>
    <w:rsid w:val="00F75582"/>
    <w:rsid w:val="00F8536D"/>
    <w:rsid w:val="00F8619A"/>
    <w:rsid w:val="00F90945"/>
    <w:rsid w:val="00F90F55"/>
    <w:rsid w:val="00F913EE"/>
    <w:rsid w:val="00F93FD3"/>
    <w:rsid w:val="00FB0495"/>
    <w:rsid w:val="00FB165B"/>
    <w:rsid w:val="00FB6792"/>
    <w:rsid w:val="00FC4D38"/>
    <w:rsid w:val="00FC67DA"/>
    <w:rsid w:val="00FD17B3"/>
    <w:rsid w:val="00FE4911"/>
    <w:rsid w:val="00FE6532"/>
    <w:rsid w:val="00FF158B"/>
    <w:rsid w:val="00FF222D"/>
    <w:rsid w:val="00FF6454"/>
    <w:rsid w:val="00FF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D58347"/>
  <w15:chartTrackingRefBased/>
  <w15:docId w15:val="{062495F3-4218-5246-A65E-8089161A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BA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Baptiste</dc:creator>
  <cp:keywords/>
  <dc:description/>
  <cp:lastModifiedBy>Paris Baptiste</cp:lastModifiedBy>
  <cp:revision>1</cp:revision>
  <dcterms:created xsi:type="dcterms:W3CDTF">2024-01-17T20:17:00Z</dcterms:created>
  <dcterms:modified xsi:type="dcterms:W3CDTF">2024-01-17T20:17:00Z</dcterms:modified>
</cp:coreProperties>
</file>