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EA8B4C" w14:textId="753054C1" w:rsidR="003268BF" w:rsidRDefault="004404D2">
      <w:pPr>
        <w:rPr>
          <w:rFonts w:ascii="Calibri" w:hAnsi="Calibri" w:cs="Calibri"/>
          <w:b/>
          <w:bCs/>
          <w:color w:val="000000"/>
          <w:shd w:val="clear" w:color="auto" w:fill="FFFFFF"/>
        </w:rPr>
      </w:pPr>
      <w:proofErr w:type="spellStart"/>
      <w:r>
        <w:rPr>
          <w:lang w:val="et-EE"/>
        </w:rPr>
        <w:t>Supplementary</w:t>
      </w:r>
      <w:proofErr w:type="spellEnd"/>
      <w:r>
        <w:rPr>
          <w:lang w:val="et-EE"/>
        </w:rPr>
        <w:t xml:space="preserve"> </w:t>
      </w:r>
      <w:proofErr w:type="spellStart"/>
      <w:r>
        <w:rPr>
          <w:lang w:val="et-EE"/>
        </w:rPr>
        <w:t>Figure</w:t>
      </w:r>
      <w:proofErr w:type="spellEnd"/>
      <w:r>
        <w:rPr>
          <w:lang w:val="et-EE"/>
        </w:rPr>
        <w:t xml:space="preserve"> 1. </w:t>
      </w:r>
      <w:r>
        <w:rPr>
          <w:rFonts w:ascii="Calibri" w:hAnsi="Calibri" w:cs="Calibri"/>
          <w:b/>
          <w:bCs/>
          <w:color w:val="000000"/>
        </w:rPr>
        <w:t xml:space="preserve">Genome-wide gene association analysis of our GWAS dataset using ‘Multi-marker Analysis of </w:t>
      </w:r>
      <w:proofErr w:type="spellStart"/>
      <w:r>
        <w:rPr>
          <w:rFonts w:ascii="Calibri" w:hAnsi="Calibri" w:cs="Calibri"/>
          <w:b/>
          <w:bCs/>
          <w:color w:val="000000"/>
        </w:rPr>
        <w:t>GenoMic</w:t>
      </w:r>
      <w:proofErr w:type="spellEnd"/>
      <w:r>
        <w:rPr>
          <w:rFonts w:ascii="Calibri" w:hAnsi="Calibri" w:cs="Calibri"/>
          <w:b/>
          <w:bCs/>
          <w:color w:val="000000"/>
        </w:rPr>
        <w:t xml:space="preserve"> Annotation (MAGMA) wherein</w:t>
      </w:r>
      <w:r>
        <w:rPr>
          <w:rFonts w:ascii="Calibri" w:hAnsi="Calibri" w:cs="Calibri"/>
          <w:b/>
          <w:bCs/>
          <w:color w:val="000000"/>
          <w:shd w:val="clear" w:color="auto" w:fill="FFFFFF"/>
        </w:rPr>
        <w:t xml:space="preserve"> input SNPs were mapped to 18895 protein-coding genes.</w:t>
      </w:r>
    </w:p>
    <w:p w14:paraId="0FB080D5" w14:textId="3E3D4225" w:rsidR="004404D2" w:rsidRDefault="004404D2">
      <w:pPr>
        <w:rPr>
          <w:lang w:val="et-EE"/>
        </w:rPr>
      </w:pPr>
      <w:r>
        <w:rPr>
          <w:noProof/>
          <w:lang w:val="et-EE"/>
        </w:rPr>
        <w:drawing>
          <wp:anchor distT="0" distB="0" distL="114300" distR="114300" simplePos="0" relativeHeight="251658240" behindDoc="1" locked="0" layoutInCell="1" allowOverlap="1" wp14:anchorId="7FDE57C6" wp14:editId="35236383">
            <wp:simplePos x="0" y="0"/>
            <wp:positionH relativeFrom="column">
              <wp:posOffset>69657</wp:posOffset>
            </wp:positionH>
            <wp:positionV relativeFrom="paragraph">
              <wp:posOffset>424595</wp:posOffset>
            </wp:positionV>
            <wp:extent cx="5167657" cy="2232953"/>
            <wp:effectExtent l="0" t="0" r="0" b="0"/>
            <wp:wrapTight wrapText="bothSides">
              <wp:wrapPolygon edited="0">
                <wp:start x="0" y="0"/>
                <wp:lineTo x="0" y="21379"/>
                <wp:lineTo x="21499" y="21379"/>
                <wp:lineTo x="21499" y="0"/>
                <wp:lineTo x="0" y="0"/>
              </wp:wrapPolygon>
            </wp:wrapTight>
            <wp:docPr id="54609486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7657" cy="223295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2FCC123" w14:textId="77777777" w:rsidR="00133228" w:rsidRPr="00133228" w:rsidRDefault="00133228" w:rsidP="00133228">
      <w:pPr>
        <w:rPr>
          <w:lang w:val="et-EE"/>
        </w:rPr>
      </w:pPr>
    </w:p>
    <w:p w14:paraId="62D0A718" w14:textId="77777777" w:rsidR="00133228" w:rsidRPr="00133228" w:rsidRDefault="00133228" w:rsidP="00133228">
      <w:pPr>
        <w:rPr>
          <w:lang w:val="et-EE"/>
        </w:rPr>
      </w:pPr>
    </w:p>
    <w:p w14:paraId="1D4ACFEC" w14:textId="77777777" w:rsidR="00133228" w:rsidRPr="00133228" w:rsidRDefault="00133228" w:rsidP="00133228">
      <w:pPr>
        <w:rPr>
          <w:lang w:val="et-EE"/>
        </w:rPr>
      </w:pPr>
    </w:p>
    <w:p w14:paraId="4C583DFE" w14:textId="77777777" w:rsidR="00133228" w:rsidRPr="00133228" w:rsidRDefault="00133228" w:rsidP="00133228">
      <w:pPr>
        <w:rPr>
          <w:lang w:val="et-EE"/>
        </w:rPr>
      </w:pPr>
    </w:p>
    <w:p w14:paraId="249191BA" w14:textId="77777777" w:rsidR="00133228" w:rsidRPr="00133228" w:rsidRDefault="00133228" w:rsidP="00133228">
      <w:pPr>
        <w:rPr>
          <w:lang w:val="et-EE"/>
        </w:rPr>
      </w:pPr>
    </w:p>
    <w:p w14:paraId="5E62C218" w14:textId="77777777" w:rsidR="00133228" w:rsidRPr="00133228" w:rsidRDefault="00133228" w:rsidP="00133228">
      <w:pPr>
        <w:rPr>
          <w:lang w:val="et-EE"/>
        </w:rPr>
      </w:pPr>
    </w:p>
    <w:p w14:paraId="28554760" w14:textId="77777777" w:rsidR="00133228" w:rsidRPr="00133228" w:rsidRDefault="00133228" w:rsidP="00133228">
      <w:pPr>
        <w:rPr>
          <w:lang w:val="et-EE"/>
        </w:rPr>
      </w:pPr>
    </w:p>
    <w:p w14:paraId="15F92450" w14:textId="77777777" w:rsidR="00133228" w:rsidRPr="00133228" w:rsidRDefault="00133228" w:rsidP="00133228">
      <w:pPr>
        <w:rPr>
          <w:lang w:val="et-EE"/>
        </w:rPr>
      </w:pPr>
    </w:p>
    <w:p w14:paraId="2C8F8F98" w14:textId="77777777" w:rsidR="00133228" w:rsidRDefault="00133228" w:rsidP="00133228">
      <w:pPr>
        <w:rPr>
          <w:lang w:val="et-EE"/>
        </w:rPr>
      </w:pPr>
    </w:p>
    <w:p w14:paraId="6F1FEDE5" w14:textId="77777777" w:rsidR="00133228" w:rsidRDefault="00133228" w:rsidP="00133228">
      <w:pPr>
        <w:pStyle w:val="NormalWeb"/>
        <w:spacing w:before="0" w:beforeAutospacing="0" w:after="0" w:afterAutospacing="0"/>
        <w:jc w:val="both"/>
      </w:pPr>
      <w:r>
        <w:rPr>
          <w:rFonts w:ascii="Calibri" w:hAnsi="Calibri" w:cs="Calibri"/>
          <w:color w:val="000000"/>
          <w:sz w:val="22"/>
          <w:szCs w:val="22"/>
        </w:rPr>
        <w:t>On the Manhattan plot, the y-axis represents −log10(P-values) for the association of variants identified in polyps of the female genital tract. The horizontal red dashed line represents the genome-wide significance threshold (P &lt; 5 × 10</w:t>
      </w:r>
      <w:r w:rsidRPr="00ED66AE">
        <w:rPr>
          <w:rFonts w:ascii="Calibri" w:hAnsi="Calibri" w:cs="Calibri"/>
          <w:color w:val="000000"/>
          <w:sz w:val="18"/>
          <w:szCs w:val="18"/>
          <w:vertAlign w:val="superscript"/>
        </w:rPr>
        <w:t>−8</w:t>
      </w:r>
      <w:r>
        <w:rPr>
          <w:rFonts w:ascii="Calibri" w:hAnsi="Calibri" w:cs="Calibri"/>
          <w:color w:val="000000"/>
          <w:sz w:val="22"/>
          <w:szCs w:val="22"/>
        </w:rPr>
        <w:t>) and prioritised genes for each locus are shown. Genes associated with exonic missense variants are denoted in red text. </w:t>
      </w:r>
    </w:p>
    <w:p w14:paraId="6AAC9B11" w14:textId="77777777" w:rsidR="00133228" w:rsidRPr="00133228" w:rsidRDefault="00133228" w:rsidP="00133228"/>
    <w:sectPr w:rsidR="00133228" w:rsidRPr="00133228" w:rsidSect="003B2A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04D2"/>
    <w:rsid w:val="00002026"/>
    <w:rsid w:val="00133228"/>
    <w:rsid w:val="003268BF"/>
    <w:rsid w:val="003270A3"/>
    <w:rsid w:val="003B2A6A"/>
    <w:rsid w:val="004404D2"/>
    <w:rsid w:val="00813CD3"/>
    <w:rsid w:val="008163DD"/>
    <w:rsid w:val="00853F71"/>
    <w:rsid w:val="00B302D0"/>
    <w:rsid w:val="00ED66AE"/>
    <w:rsid w:val="00F82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43B38B"/>
  <w15:chartTrackingRefBased/>
  <w15:docId w15:val="{60A03ECD-9323-4994-B152-538DE3D3A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404D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404D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404D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404D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404D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404D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404D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404D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404D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404D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404D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404D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404D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404D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404D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404D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404D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404D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404D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404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404D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404D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404D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404D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404D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404D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404D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404D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404D2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1332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723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83</Words>
  <Characters>493</Characters>
  <Application>Microsoft Office Word</Application>
  <DocSecurity>0</DocSecurity>
  <Lines>9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Amruta Pathare</dc:creator>
  <cp:keywords/>
  <dc:description/>
  <cp:lastModifiedBy>Amruta Pathare</cp:lastModifiedBy>
  <cp:revision>2</cp:revision>
  <dcterms:created xsi:type="dcterms:W3CDTF">2024-01-10T09:19:00Z</dcterms:created>
  <dcterms:modified xsi:type="dcterms:W3CDTF">2024-01-23T08:13:00Z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5e8f295c-18f3-4398-99bd-9cc14a0e9192</vt:lpwstr>
  </property>
</Properties>
</file>