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36" w:type="dxa"/>
        <w:tblLook w:val="04A0" w:firstRow="1" w:lastRow="0" w:firstColumn="1" w:lastColumn="0" w:noHBand="0" w:noVBand="1"/>
      </w:tblPr>
      <w:tblGrid>
        <w:gridCol w:w="2552"/>
        <w:gridCol w:w="1843"/>
        <w:gridCol w:w="1701"/>
        <w:gridCol w:w="1559"/>
        <w:gridCol w:w="1581"/>
      </w:tblGrid>
      <w:tr w:rsidR="0001037C" w:rsidRPr="00326540" w14:paraId="42A4E3E4" w14:textId="77777777" w:rsidTr="00C518F7">
        <w:trPr>
          <w:trHeight w:val="339"/>
        </w:trPr>
        <w:tc>
          <w:tcPr>
            <w:tcW w:w="9236" w:type="dxa"/>
            <w:gridSpan w:val="5"/>
            <w:tcBorders>
              <w:top w:val="nil"/>
              <w:left w:val="nil"/>
              <w:right w:val="nil"/>
            </w:tcBorders>
          </w:tcPr>
          <w:p w14:paraId="530D5C90" w14:textId="77777777" w:rsidR="0001037C" w:rsidRPr="00EF77FC" w:rsidRDefault="0001037C" w:rsidP="00C518F7">
            <w:pPr>
              <w:pStyle w:val="Caption"/>
              <w:keepNext/>
              <w:rPr>
                <w:rFonts w:ascii="Times" w:hAnsi="Times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930E15">
              <w:rPr>
                <w:rFonts w:ascii="Times" w:hAnsi="Time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Supplementary Table S</w:t>
            </w:r>
            <w:r>
              <w:rPr>
                <w:rFonts w:ascii="Times" w:hAnsi="Time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9</w:t>
            </w:r>
            <w:r w:rsidRPr="00930E15">
              <w:rPr>
                <w:rFonts w:ascii="Times" w:hAnsi="Times"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" w:hAnsi="Times"/>
                <w:i w:val="0"/>
                <w:iCs w:val="0"/>
                <w:color w:val="000000" w:themeColor="text1"/>
                <w:sz w:val="20"/>
                <w:szCs w:val="20"/>
              </w:rPr>
              <w:t>Comparative effectiveness of ARB vs ACEi</w:t>
            </w:r>
            <w:r w:rsidRPr="00930E15">
              <w:rPr>
                <w:rFonts w:ascii="Times" w:hAnsi="Times"/>
                <w:i w:val="0"/>
                <w:iCs w:val="0"/>
                <w:color w:val="000000" w:themeColor="text1"/>
                <w:sz w:val="20"/>
                <w:szCs w:val="20"/>
              </w:rPr>
              <w:t xml:space="preserve"> for the primary and secondary outcomes </w:t>
            </w:r>
            <w:r>
              <w:rPr>
                <w:rFonts w:ascii="Times" w:hAnsi="Times"/>
                <w:i w:val="0"/>
                <w:iCs w:val="0"/>
                <w:color w:val="000000" w:themeColor="text1"/>
                <w:sz w:val="20"/>
                <w:szCs w:val="20"/>
              </w:rPr>
              <w:t xml:space="preserve">overall and </w:t>
            </w:r>
            <w:r w:rsidRPr="00930E15">
              <w:rPr>
                <w:rFonts w:ascii="Times" w:hAnsi="Times"/>
                <w:i w:val="0"/>
                <w:iCs w:val="0"/>
                <w:color w:val="000000" w:themeColor="text1"/>
                <w:sz w:val="20"/>
                <w:szCs w:val="20"/>
              </w:rPr>
              <w:t>by ethnicity</w:t>
            </w:r>
            <w:r>
              <w:rPr>
                <w:rFonts w:ascii="Times" w:hAnsi="Times"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930E15">
              <w:rPr>
                <w:rFonts w:ascii="Times" w:hAnsi="Times"/>
                <w:i w:val="0"/>
                <w:iCs w:val="0"/>
                <w:color w:val="000000" w:themeColor="text1"/>
                <w:sz w:val="20"/>
                <w:szCs w:val="20"/>
              </w:rPr>
              <w:t xml:space="preserve">using a propensity-score—weighted analysis of trial-eligible patients in CPRD </w:t>
            </w:r>
            <w:proofErr w:type="spellStart"/>
            <w:r w:rsidRPr="00930E15">
              <w:rPr>
                <w:rFonts w:ascii="Times" w:hAnsi="Times"/>
                <w:i w:val="0"/>
                <w:iCs w:val="0"/>
                <w:color w:val="000000" w:themeColor="text1"/>
                <w:sz w:val="20"/>
                <w:szCs w:val="20"/>
              </w:rPr>
              <w:t>Aurum</w:t>
            </w:r>
            <w:proofErr w:type="spellEnd"/>
            <w:r w:rsidRPr="00930E15">
              <w:rPr>
                <w:rFonts w:ascii="Times" w:hAnsi="Times"/>
                <w:i w:val="0"/>
                <w:iCs w:val="0"/>
                <w:color w:val="000000" w:themeColor="text1"/>
                <w:sz w:val="20"/>
                <w:szCs w:val="20"/>
              </w:rPr>
              <w:t xml:space="preserve"> with </w:t>
            </w:r>
            <w:r>
              <w:rPr>
                <w:rFonts w:ascii="Times" w:hAnsi="Times"/>
                <w:i w:val="0"/>
                <w:iCs w:val="0"/>
                <w:color w:val="000000" w:themeColor="text1"/>
                <w:sz w:val="20"/>
                <w:szCs w:val="20"/>
              </w:rPr>
              <w:t>after multiple imputation of missing values</w:t>
            </w:r>
            <w:r w:rsidRPr="00930E15">
              <w:rPr>
                <w:rFonts w:ascii="Times" w:hAnsi="Times"/>
                <w:i w:val="0"/>
                <w:iCs w:val="0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" w:hAnsi="Times"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1037C" w:rsidRPr="00326540" w14:paraId="119E88F3" w14:textId="77777777" w:rsidTr="00C518F7">
        <w:trPr>
          <w:trHeight w:val="339"/>
        </w:trPr>
        <w:tc>
          <w:tcPr>
            <w:tcW w:w="2552" w:type="dxa"/>
            <w:vMerge w:val="restart"/>
          </w:tcPr>
          <w:p w14:paraId="4AC78B07" w14:textId="77777777" w:rsidR="0001037C" w:rsidRPr="00326540" w:rsidRDefault="0001037C" w:rsidP="00C518F7">
            <w:pPr>
              <w:spacing w:line="360" w:lineRule="auto"/>
              <w:rPr>
                <w:rFonts w:ascii="Times" w:hAnsi="Times" w:cstheme="minorHAnsi"/>
                <w:b/>
                <w:bCs/>
                <w:sz w:val="20"/>
                <w:szCs w:val="20"/>
              </w:rPr>
            </w:pPr>
            <w:r w:rsidRPr="00326540">
              <w:rPr>
                <w:rFonts w:ascii="Times" w:hAnsi="Times" w:cstheme="minorHAnsi"/>
                <w:b/>
                <w:bCs/>
                <w:sz w:val="20"/>
                <w:szCs w:val="20"/>
              </w:rPr>
              <w:t>Outcome</w:t>
            </w:r>
          </w:p>
        </w:tc>
        <w:tc>
          <w:tcPr>
            <w:tcW w:w="1843" w:type="dxa"/>
            <w:vMerge w:val="restart"/>
          </w:tcPr>
          <w:p w14:paraId="642D6647" w14:textId="77777777" w:rsidR="0001037C" w:rsidRDefault="0001037C" w:rsidP="00C518F7">
            <w:pPr>
              <w:spacing w:line="360" w:lineRule="auto"/>
              <w:jc w:val="center"/>
              <w:rPr>
                <w:rFonts w:ascii="Times" w:hAnsi="Times" w:cstheme="minorHAnsi"/>
                <w:b/>
                <w:bCs/>
                <w:sz w:val="20"/>
                <w:szCs w:val="20"/>
              </w:rPr>
            </w:pPr>
            <w:r>
              <w:rPr>
                <w:rFonts w:ascii="Times" w:hAnsi="Times" w:cstheme="minorHAnsi"/>
                <w:b/>
                <w:bCs/>
                <w:sz w:val="20"/>
                <w:szCs w:val="20"/>
              </w:rPr>
              <w:t>Overall</w:t>
            </w:r>
          </w:p>
          <w:p w14:paraId="3CB9B0B9" w14:textId="77777777" w:rsidR="0001037C" w:rsidRPr="0042309F" w:rsidRDefault="0001037C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 w:rsidRPr="0042309F">
              <w:rPr>
                <w:rFonts w:ascii="Times" w:hAnsi="Times" w:cstheme="minorHAnsi"/>
                <w:sz w:val="20"/>
                <w:szCs w:val="20"/>
              </w:rPr>
              <w:t>(N=690,</w:t>
            </w:r>
            <w:r>
              <w:rPr>
                <w:rFonts w:ascii="Times" w:hAnsi="Times" w:cstheme="minorHAnsi"/>
                <w:sz w:val="20"/>
                <w:szCs w:val="20"/>
              </w:rPr>
              <w:t>166</w:t>
            </w:r>
            <w:r w:rsidRPr="0042309F">
              <w:rPr>
                <w:rFonts w:ascii="Times" w:hAnsi="Times" w:cstheme="minorHAnsi"/>
                <w:sz w:val="20"/>
                <w:szCs w:val="20"/>
              </w:rPr>
              <w:t>)</w:t>
            </w:r>
          </w:p>
        </w:tc>
        <w:tc>
          <w:tcPr>
            <w:tcW w:w="4841" w:type="dxa"/>
            <w:gridSpan w:val="3"/>
          </w:tcPr>
          <w:p w14:paraId="3ABD7782" w14:textId="77777777" w:rsidR="0001037C" w:rsidRPr="00326540" w:rsidRDefault="0001037C" w:rsidP="00C518F7">
            <w:pPr>
              <w:spacing w:line="360" w:lineRule="auto"/>
              <w:jc w:val="center"/>
              <w:rPr>
                <w:rFonts w:ascii="Times" w:hAnsi="Times" w:cstheme="minorHAnsi"/>
                <w:b/>
                <w:bCs/>
                <w:sz w:val="20"/>
                <w:szCs w:val="20"/>
              </w:rPr>
            </w:pPr>
            <w:r>
              <w:rPr>
                <w:rFonts w:ascii="Times" w:hAnsi="Times" w:cstheme="minorHAnsi"/>
                <w:b/>
                <w:bCs/>
                <w:sz w:val="20"/>
                <w:szCs w:val="20"/>
              </w:rPr>
              <w:t>By e</w:t>
            </w:r>
            <w:r w:rsidRPr="00326540">
              <w:rPr>
                <w:rFonts w:ascii="Times" w:hAnsi="Times" w:cstheme="minorHAnsi"/>
                <w:b/>
                <w:bCs/>
                <w:sz w:val="20"/>
                <w:szCs w:val="20"/>
              </w:rPr>
              <w:t>thnic group</w:t>
            </w:r>
          </w:p>
        </w:tc>
      </w:tr>
      <w:tr w:rsidR="0001037C" w:rsidRPr="00326540" w14:paraId="17947DC8" w14:textId="77777777" w:rsidTr="00C518F7">
        <w:trPr>
          <w:trHeight w:val="715"/>
        </w:trPr>
        <w:tc>
          <w:tcPr>
            <w:tcW w:w="2552" w:type="dxa"/>
            <w:vMerge/>
          </w:tcPr>
          <w:p w14:paraId="09F89A23" w14:textId="77777777" w:rsidR="0001037C" w:rsidRPr="00326540" w:rsidRDefault="0001037C" w:rsidP="00C518F7">
            <w:pPr>
              <w:spacing w:line="360" w:lineRule="auto"/>
              <w:rPr>
                <w:rFonts w:ascii="Times" w:hAnsi="Times"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13DEB9C" w14:textId="77777777" w:rsidR="0001037C" w:rsidRPr="00621917" w:rsidRDefault="0001037C" w:rsidP="00C518F7">
            <w:pPr>
              <w:spacing w:line="360" w:lineRule="auto"/>
              <w:jc w:val="center"/>
              <w:rPr>
                <w:rFonts w:ascii="Times" w:hAnsi="Time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8490AB" w14:textId="77777777" w:rsidR="0001037C" w:rsidRPr="00621917" w:rsidRDefault="0001037C" w:rsidP="00C518F7">
            <w:pPr>
              <w:spacing w:line="360" w:lineRule="auto"/>
              <w:jc w:val="center"/>
              <w:rPr>
                <w:rFonts w:ascii="Times" w:hAnsi="Times" w:cstheme="minorHAnsi"/>
                <w:b/>
                <w:bCs/>
                <w:sz w:val="20"/>
                <w:szCs w:val="20"/>
              </w:rPr>
            </w:pPr>
            <w:r w:rsidRPr="00621917">
              <w:rPr>
                <w:rFonts w:ascii="Times" w:hAnsi="Times" w:cstheme="minorHAnsi"/>
                <w:b/>
                <w:bCs/>
                <w:sz w:val="20"/>
                <w:szCs w:val="20"/>
              </w:rPr>
              <w:t>Black</w:t>
            </w:r>
          </w:p>
          <w:p w14:paraId="7BAED785" w14:textId="77777777" w:rsidR="0001037C" w:rsidRPr="00326540" w:rsidRDefault="0001037C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 w:rsidRPr="00621917">
              <w:rPr>
                <w:rFonts w:ascii="Times" w:hAnsi="Times" w:cstheme="minorHAnsi"/>
                <w:sz w:val="20"/>
                <w:szCs w:val="20"/>
              </w:rPr>
              <w:t>(N=</w:t>
            </w:r>
            <w:r>
              <w:rPr>
                <w:rFonts w:ascii="Times" w:hAnsi="Times" w:cstheme="minorHAnsi"/>
                <w:sz w:val="20"/>
                <w:szCs w:val="20"/>
              </w:rPr>
              <w:t>21,015)</w:t>
            </w:r>
          </w:p>
        </w:tc>
        <w:tc>
          <w:tcPr>
            <w:tcW w:w="1559" w:type="dxa"/>
          </w:tcPr>
          <w:p w14:paraId="7D8EFCA1" w14:textId="77777777" w:rsidR="0001037C" w:rsidRPr="00621917" w:rsidRDefault="0001037C" w:rsidP="00C518F7">
            <w:pPr>
              <w:spacing w:line="360" w:lineRule="auto"/>
              <w:jc w:val="center"/>
              <w:rPr>
                <w:rFonts w:ascii="Times" w:hAnsi="Times" w:cstheme="minorHAnsi"/>
                <w:b/>
                <w:bCs/>
                <w:sz w:val="20"/>
                <w:szCs w:val="20"/>
              </w:rPr>
            </w:pPr>
            <w:r w:rsidRPr="00621917">
              <w:rPr>
                <w:rFonts w:ascii="Times" w:hAnsi="Times" w:cstheme="minorHAnsi"/>
                <w:b/>
                <w:bCs/>
                <w:sz w:val="20"/>
                <w:szCs w:val="20"/>
              </w:rPr>
              <w:t>South Asian</w:t>
            </w:r>
          </w:p>
          <w:p w14:paraId="717E9B4E" w14:textId="77777777" w:rsidR="0001037C" w:rsidRPr="00326540" w:rsidRDefault="0001037C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 w:rsidRPr="00621917">
              <w:rPr>
                <w:rFonts w:ascii="Times" w:hAnsi="Times" w:cstheme="minorHAnsi"/>
                <w:sz w:val="20"/>
                <w:szCs w:val="20"/>
              </w:rPr>
              <w:t>(N=</w:t>
            </w:r>
            <w:r>
              <w:rPr>
                <w:rFonts w:ascii="Times" w:hAnsi="Times" w:cstheme="minorHAnsi"/>
                <w:sz w:val="20"/>
                <w:szCs w:val="20"/>
              </w:rPr>
              <w:t>37,240</w:t>
            </w:r>
            <w:r w:rsidRPr="00621917">
              <w:rPr>
                <w:rFonts w:ascii="Times" w:hAnsi="Times" w:cstheme="minorHAnsi"/>
                <w:sz w:val="20"/>
                <w:szCs w:val="20"/>
              </w:rPr>
              <w:t>)</w:t>
            </w:r>
          </w:p>
        </w:tc>
        <w:tc>
          <w:tcPr>
            <w:tcW w:w="1581" w:type="dxa"/>
          </w:tcPr>
          <w:p w14:paraId="2118F20E" w14:textId="77777777" w:rsidR="0001037C" w:rsidRPr="00621917" w:rsidRDefault="0001037C" w:rsidP="00C518F7">
            <w:pPr>
              <w:spacing w:line="360" w:lineRule="auto"/>
              <w:jc w:val="center"/>
              <w:rPr>
                <w:rFonts w:ascii="Times" w:hAnsi="Times" w:cstheme="minorHAnsi"/>
                <w:b/>
                <w:bCs/>
                <w:sz w:val="20"/>
                <w:szCs w:val="20"/>
              </w:rPr>
            </w:pPr>
            <w:r w:rsidRPr="00621917">
              <w:rPr>
                <w:rFonts w:ascii="Times" w:hAnsi="Times" w:cstheme="minorHAnsi"/>
                <w:b/>
                <w:bCs/>
                <w:sz w:val="20"/>
                <w:szCs w:val="20"/>
              </w:rPr>
              <w:t>White</w:t>
            </w:r>
          </w:p>
          <w:p w14:paraId="550ABA28" w14:textId="77777777" w:rsidR="0001037C" w:rsidRPr="00326540" w:rsidRDefault="0001037C" w:rsidP="00C518F7">
            <w:pPr>
              <w:spacing w:line="360" w:lineRule="auto"/>
              <w:jc w:val="center"/>
              <w:rPr>
                <w:rFonts w:ascii="Times" w:hAnsi="Times" w:cstheme="minorHAnsi"/>
                <w:b/>
                <w:bCs/>
                <w:sz w:val="20"/>
                <w:szCs w:val="20"/>
              </w:rPr>
            </w:pPr>
            <w:r w:rsidRPr="00621917">
              <w:rPr>
                <w:rFonts w:ascii="Times" w:hAnsi="Times" w:cstheme="minorHAnsi"/>
                <w:sz w:val="20"/>
                <w:szCs w:val="20"/>
              </w:rPr>
              <w:t>(N=</w:t>
            </w:r>
            <w:r>
              <w:rPr>
                <w:rFonts w:ascii="Times" w:hAnsi="Times" w:cstheme="minorHAnsi"/>
                <w:sz w:val="20"/>
                <w:szCs w:val="20"/>
              </w:rPr>
              <w:t>631,911</w:t>
            </w:r>
            <w:r w:rsidRPr="00621917">
              <w:rPr>
                <w:rFonts w:ascii="Times" w:hAnsi="Times" w:cstheme="minorHAnsi"/>
                <w:sz w:val="20"/>
                <w:szCs w:val="20"/>
              </w:rPr>
              <w:t>)</w:t>
            </w:r>
          </w:p>
        </w:tc>
      </w:tr>
      <w:tr w:rsidR="0001037C" w:rsidRPr="00326540" w14:paraId="35AFABF9" w14:textId="77777777" w:rsidTr="00C518F7">
        <w:trPr>
          <w:trHeight w:val="357"/>
        </w:trPr>
        <w:tc>
          <w:tcPr>
            <w:tcW w:w="2552" w:type="dxa"/>
            <w:vMerge/>
          </w:tcPr>
          <w:p w14:paraId="36AA0EB0" w14:textId="77777777" w:rsidR="0001037C" w:rsidRPr="00326540" w:rsidRDefault="0001037C" w:rsidP="00C518F7">
            <w:pPr>
              <w:spacing w:line="360" w:lineRule="auto"/>
              <w:rPr>
                <w:rFonts w:ascii="Times" w:hAnsi="Times" w:cstheme="minorHAnsi"/>
                <w:sz w:val="20"/>
                <w:szCs w:val="20"/>
              </w:rPr>
            </w:pPr>
          </w:p>
        </w:tc>
        <w:tc>
          <w:tcPr>
            <w:tcW w:w="6684" w:type="dxa"/>
            <w:gridSpan w:val="4"/>
          </w:tcPr>
          <w:p w14:paraId="35025625" w14:textId="77777777" w:rsidR="0001037C" w:rsidRPr="00326540" w:rsidRDefault="0001037C" w:rsidP="00C518F7">
            <w:pPr>
              <w:spacing w:line="360" w:lineRule="auto"/>
              <w:jc w:val="center"/>
              <w:rPr>
                <w:rFonts w:ascii="Times" w:hAnsi="Times" w:cstheme="minorHAnsi"/>
                <w:i/>
                <w:iCs/>
                <w:sz w:val="20"/>
                <w:szCs w:val="20"/>
              </w:rPr>
            </w:pPr>
            <w:r w:rsidRPr="00326540">
              <w:rPr>
                <w:rFonts w:ascii="Times" w:hAnsi="Times" w:cstheme="minorHAnsi"/>
                <w:i/>
                <w:iCs/>
                <w:sz w:val="20"/>
                <w:szCs w:val="20"/>
              </w:rPr>
              <w:t>Hazard ratio (95% CI)</w:t>
            </w:r>
          </w:p>
        </w:tc>
      </w:tr>
      <w:tr w:rsidR="0001037C" w:rsidRPr="00326540" w14:paraId="18738C59" w14:textId="77777777" w:rsidTr="00C518F7">
        <w:trPr>
          <w:trHeight w:val="361"/>
        </w:trPr>
        <w:tc>
          <w:tcPr>
            <w:tcW w:w="2552" w:type="dxa"/>
          </w:tcPr>
          <w:p w14:paraId="2F6543D4" w14:textId="77777777" w:rsidR="0001037C" w:rsidRPr="00326540" w:rsidRDefault="0001037C" w:rsidP="00C518F7">
            <w:pPr>
              <w:spacing w:line="360" w:lineRule="auto"/>
              <w:rPr>
                <w:rFonts w:ascii="Times" w:hAnsi="Times" w:cstheme="minorHAnsi"/>
                <w:sz w:val="20"/>
                <w:szCs w:val="20"/>
              </w:rPr>
            </w:pPr>
            <w:r w:rsidRPr="00326540">
              <w:rPr>
                <w:rFonts w:ascii="Times" w:hAnsi="Times"/>
                <w:sz w:val="20"/>
                <w:szCs w:val="20"/>
              </w:rPr>
              <w:t>Primary composite</w:t>
            </w:r>
          </w:p>
        </w:tc>
        <w:tc>
          <w:tcPr>
            <w:tcW w:w="1843" w:type="dxa"/>
          </w:tcPr>
          <w:p w14:paraId="5AE7E3B8" w14:textId="77777777" w:rsidR="0001037C" w:rsidRDefault="0001037C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0.95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 xml:space="preserve"> (0.9</w:t>
            </w:r>
            <w:r>
              <w:rPr>
                <w:rFonts w:ascii="Times" w:hAnsi="Times" w:cstheme="minorHAnsi"/>
                <w:sz w:val="20"/>
                <w:szCs w:val="20"/>
              </w:rPr>
              <w:t>4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 xml:space="preserve">, </w:t>
            </w:r>
            <w:r>
              <w:rPr>
                <w:rFonts w:ascii="Times" w:hAnsi="Times" w:cstheme="minorHAnsi"/>
                <w:sz w:val="20"/>
                <w:szCs w:val="20"/>
              </w:rPr>
              <w:t>0.97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D180388" w14:textId="77777777" w:rsidR="0001037C" w:rsidRPr="002B5003" w:rsidRDefault="0001037C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 w:rsidRPr="00621917">
              <w:rPr>
                <w:rFonts w:ascii="Times" w:hAnsi="Times" w:cstheme="minorHAnsi"/>
                <w:sz w:val="20"/>
                <w:szCs w:val="20"/>
              </w:rPr>
              <w:t>1.0</w:t>
            </w:r>
            <w:r>
              <w:rPr>
                <w:rFonts w:ascii="Times" w:hAnsi="Times" w:cstheme="minorHAnsi"/>
                <w:sz w:val="20"/>
                <w:szCs w:val="20"/>
              </w:rPr>
              <w:t>2</w:t>
            </w:r>
            <w:r w:rsidRPr="00621917">
              <w:rPr>
                <w:rFonts w:ascii="Times" w:hAnsi="Times" w:cstheme="minorHAnsi"/>
                <w:sz w:val="20"/>
                <w:szCs w:val="20"/>
              </w:rPr>
              <w:t xml:space="preserve"> (0.9</w:t>
            </w:r>
            <w:r>
              <w:rPr>
                <w:rFonts w:ascii="Times" w:hAnsi="Times" w:cstheme="minorHAnsi"/>
                <w:sz w:val="20"/>
                <w:szCs w:val="20"/>
              </w:rPr>
              <w:t>4</w:t>
            </w:r>
            <w:r w:rsidRPr="00621917">
              <w:rPr>
                <w:rFonts w:ascii="Times" w:hAnsi="Times" w:cstheme="minorHAnsi"/>
                <w:sz w:val="20"/>
                <w:szCs w:val="20"/>
              </w:rPr>
              <w:t>, 1.1</w:t>
            </w:r>
            <w:r>
              <w:rPr>
                <w:rFonts w:ascii="Times" w:hAnsi="Times" w:cstheme="minorHAnsi"/>
                <w:sz w:val="20"/>
                <w:szCs w:val="20"/>
              </w:rPr>
              <w:t>1</w:t>
            </w:r>
            <w:r w:rsidRPr="00621917">
              <w:rPr>
                <w:rFonts w:ascii="Times" w:hAnsi="Times" w:cstheme="minorHAnsi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6D4C2B48" w14:textId="77777777" w:rsidR="0001037C" w:rsidRPr="002B5003" w:rsidRDefault="0001037C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 w:rsidRPr="00621917">
              <w:rPr>
                <w:rFonts w:ascii="Times" w:hAnsi="Times" w:cstheme="minorHAnsi"/>
                <w:sz w:val="20"/>
                <w:szCs w:val="20"/>
              </w:rPr>
              <w:t>0.9</w:t>
            </w:r>
            <w:r>
              <w:rPr>
                <w:rFonts w:ascii="Times" w:hAnsi="Times" w:cstheme="minorHAnsi"/>
                <w:sz w:val="20"/>
                <w:szCs w:val="20"/>
              </w:rPr>
              <w:t>9</w:t>
            </w:r>
            <w:r w:rsidRPr="00621917">
              <w:rPr>
                <w:rFonts w:ascii="Times" w:hAnsi="Times" w:cstheme="minorHAnsi"/>
                <w:sz w:val="20"/>
                <w:szCs w:val="20"/>
              </w:rPr>
              <w:t xml:space="preserve"> (0.</w:t>
            </w:r>
            <w:r>
              <w:rPr>
                <w:rFonts w:ascii="Times" w:hAnsi="Times" w:cstheme="minorHAnsi"/>
                <w:sz w:val="20"/>
                <w:szCs w:val="20"/>
              </w:rPr>
              <w:t>93</w:t>
            </w:r>
            <w:r w:rsidRPr="00621917">
              <w:rPr>
                <w:rFonts w:ascii="Times" w:hAnsi="Times" w:cstheme="minorHAnsi"/>
                <w:sz w:val="20"/>
                <w:szCs w:val="20"/>
              </w:rPr>
              <w:t>, 1.0</w:t>
            </w:r>
            <w:r>
              <w:rPr>
                <w:rFonts w:ascii="Times" w:hAnsi="Times" w:cstheme="minorHAnsi"/>
                <w:sz w:val="20"/>
                <w:szCs w:val="20"/>
              </w:rPr>
              <w:t>4</w:t>
            </w:r>
            <w:r w:rsidRPr="00621917">
              <w:rPr>
                <w:rFonts w:ascii="Times" w:hAnsi="Times" w:cstheme="minorHAnsi"/>
                <w:sz w:val="20"/>
                <w:szCs w:val="20"/>
              </w:rPr>
              <w:t>)</w:t>
            </w:r>
          </w:p>
        </w:tc>
        <w:tc>
          <w:tcPr>
            <w:tcW w:w="1581" w:type="dxa"/>
          </w:tcPr>
          <w:p w14:paraId="1E254FCF" w14:textId="77777777" w:rsidR="0001037C" w:rsidRPr="002B5003" w:rsidRDefault="0001037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21917">
              <w:rPr>
                <w:rFonts w:ascii="Times" w:hAnsi="Times"/>
                <w:sz w:val="20"/>
                <w:szCs w:val="20"/>
              </w:rPr>
              <w:t>0.9</w:t>
            </w:r>
            <w:r>
              <w:rPr>
                <w:rFonts w:ascii="Times" w:hAnsi="Times"/>
                <w:sz w:val="20"/>
                <w:szCs w:val="20"/>
              </w:rPr>
              <w:t>5</w:t>
            </w:r>
            <w:r w:rsidRPr="00621917">
              <w:rPr>
                <w:rFonts w:ascii="Times" w:hAnsi="Times"/>
                <w:sz w:val="20"/>
                <w:szCs w:val="20"/>
              </w:rPr>
              <w:t xml:space="preserve"> (0.</w:t>
            </w:r>
            <w:r>
              <w:rPr>
                <w:rFonts w:ascii="Times" w:hAnsi="Times"/>
                <w:sz w:val="20"/>
                <w:szCs w:val="20"/>
              </w:rPr>
              <w:t>93</w:t>
            </w:r>
            <w:r w:rsidRPr="00621917">
              <w:rPr>
                <w:rFonts w:ascii="Times" w:hAnsi="Times"/>
                <w:sz w:val="20"/>
                <w:szCs w:val="20"/>
              </w:rPr>
              <w:t>, 0.9</w:t>
            </w:r>
            <w:r>
              <w:rPr>
                <w:rFonts w:ascii="Times" w:hAnsi="Times"/>
                <w:sz w:val="20"/>
                <w:szCs w:val="20"/>
              </w:rPr>
              <w:t>6</w:t>
            </w:r>
            <w:r w:rsidRPr="00621917">
              <w:rPr>
                <w:rFonts w:ascii="Times" w:hAnsi="Times"/>
                <w:sz w:val="20"/>
                <w:szCs w:val="20"/>
              </w:rPr>
              <w:t>)</w:t>
            </w:r>
          </w:p>
        </w:tc>
      </w:tr>
      <w:tr w:rsidR="0001037C" w:rsidRPr="00326540" w14:paraId="42D03F5B" w14:textId="77777777" w:rsidTr="00C518F7">
        <w:trPr>
          <w:trHeight w:val="409"/>
        </w:trPr>
        <w:tc>
          <w:tcPr>
            <w:tcW w:w="2552" w:type="dxa"/>
          </w:tcPr>
          <w:p w14:paraId="23DBE523" w14:textId="77777777" w:rsidR="0001037C" w:rsidRPr="00326540" w:rsidRDefault="0001037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326540">
              <w:rPr>
                <w:rFonts w:ascii="Times" w:hAnsi="Times"/>
                <w:sz w:val="20"/>
                <w:szCs w:val="20"/>
              </w:rPr>
              <w:t>Main secondary outcome</w:t>
            </w:r>
          </w:p>
        </w:tc>
        <w:tc>
          <w:tcPr>
            <w:tcW w:w="1843" w:type="dxa"/>
          </w:tcPr>
          <w:p w14:paraId="45F22909" w14:textId="77777777" w:rsidR="0001037C" w:rsidRDefault="0001037C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0.93 (0.91, 0.94)</w:t>
            </w:r>
          </w:p>
        </w:tc>
        <w:tc>
          <w:tcPr>
            <w:tcW w:w="1701" w:type="dxa"/>
          </w:tcPr>
          <w:p w14:paraId="761D1662" w14:textId="77777777" w:rsidR="0001037C" w:rsidRPr="002B5003" w:rsidRDefault="0001037C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1.01 (0.92, 1.12)</w:t>
            </w:r>
          </w:p>
        </w:tc>
        <w:tc>
          <w:tcPr>
            <w:tcW w:w="1559" w:type="dxa"/>
          </w:tcPr>
          <w:p w14:paraId="54F09ED1" w14:textId="77777777" w:rsidR="0001037C" w:rsidRPr="002B5003" w:rsidRDefault="0001037C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1.00 (0.94, 1.06)</w:t>
            </w:r>
          </w:p>
        </w:tc>
        <w:tc>
          <w:tcPr>
            <w:tcW w:w="1581" w:type="dxa"/>
          </w:tcPr>
          <w:p w14:paraId="2E09A373" w14:textId="77777777" w:rsidR="0001037C" w:rsidRPr="002B5003" w:rsidRDefault="0001037C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0.92 (0.91, 0.94)</w:t>
            </w:r>
          </w:p>
        </w:tc>
      </w:tr>
      <w:tr w:rsidR="0001037C" w:rsidRPr="00326540" w14:paraId="0D280857" w14:textId="77777777" w:rsidTr="00C518F7">
        <w:trPr>
          <w:trHeight w:val="420"/>
        </w:trPr>
        <w:tc>
          <w:tcPr>
            <w:tcW w:w="2552" w:type="dxa"/>
          </w:tcPr>
          <w:p w14:paraId="4A1B51F6" w14:textId="77777777" w:rsidR="0001037C" w:rsidRPr="00326540" w:rsidRDefault="0001037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326540">
              <w:rPr>
                <w:rFonts w:ascii="Times" w:hAnsi="Times"/>
                <w:sz w:val="20"/>
                <w:szCs w:val="20"/>
              </w:rPr>
              <w:t>Myocardial infarction</w:t>
            </w:r>
          </w:p>
        </w:tc>
        <w:tc>
          <w:tcPr>
            <w:tcW w:w="1843" w:type="dxa"/>
          </w:tcPr>
          <w:p w14:paraId="15242449" w14:textId="77777777" w:rsidR="0001037C" w:rsidRDefault="0001037C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0.95 (0.92, 0.97)</w:t>
            </w:r>
          </w:p>
        </w:tc>
        <w:tc>
          <w:tcPr>
            <w:tcW w:w="1701" w:type="dxa"/>
          </w:tcPr>
          <w:p w14:paraId="2690B6CC" w14:textId="77777777" w:rsidR="0001037C" w:rsidRPr="002B5003" w:rsidRDefault="0001037C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1.08 (0.92, 1.27)</w:t>
            </w:r>
          </w:p>
        </w:tc>
        <w:tc>
          <w:tcPr>
            <w:tcW w:w="1559" w:type="dxa"/>
          </w:tcPr>
          <w:p w14:paraId="18C18561" w14:textId="77777777" w:rsidR="0001037C" w:rsidRPr="002B5003" w:rsidRDefault="0001037C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1.00 (0.91, 1.09)</w:t>
            </w:r>
          </w:p>
        </w:tc>
        <w:tc>
          <w:tcPr>
            <w:tcW w:w="1581" w:type="dxa"/>
          </w:tcPr>
          <w:p w14:paraId="5326A8D6" w14:textId="77777777" w:rsidR="0001037C" w:rsidRPr="002B5003" w:rsidRDefault="0001037C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0.94 (0.92, 0.97)</w:t>
            </w:r>
          </w:p>
        </w:tc>
      </w:tr>
      <w:tr w:rsidR="0001037C" w:rsidRPr="00326540" w14:paraId="607FCC94" w14:textId="77777777" w:rsidTr="00C518F7">
        <w:trPr>
          <w:trHeight w:val="339"/>
        </w:trPr>
        <w:tc>
          <w:tcPr>
            <w:tcW w:w="2552" w:type="dxa"/>
          </w:tcPr>
          <w:p w14:paraId="53D4A8FA" w14:textId="77777777" w:rsidR="0001037C" w:rsidRPr="00326540" w:rsidRDefault="0001037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326540">
              <w:rPr>
                <w:rFonts w:ascii="Times" w:hAnsi="Times"/>
                <w:sz w:val="20"/>
                <w:szCs w:val="20"/>
              </w:rPr>
              <w:t>Stroke</w:t>
            </w:r>
          </w:p>
        </w:tc>
        <w:tc>
          <w:tcPr>
            <w:tcW w:w="1843" w:type="dxa"/>
          </w:tcPr>
          <w:p w14:paraId="20636194" w14:textId="77777777" w:rsidR="0001037C" w:rsidRDefault="0001037C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0.95 (0.93, 0.98)</w:t>
            </w:r>
          </w:p>
        </w:tc>
        <w:tc>
          <w:tcPr>
            <w:tcW w:w="1701" w:type="dxa"/>
          </w:tcPr>
          <w:p w14:paraId="1FA32DAE" w14:textId="77777777" w:rsidR="0001037C" w:rsidRPr="002B5003" w:rsidRDefault="0001037C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1.02 (0.88, 1.17)</w:t>
            </w:r>
          </w:p>
        </w:tc>
        <w:tc>
          <w:tcPr>
            <w:tcW w:w="1559" w:type="dxa"/>
          </w:tcPr>
          <w:p w14:paraId="521C278E" w14:textId="77777777" w:rsidR="0001037C" w:rsidRPr="002B5003" w:rsidRDefault="0001037C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0.98 (0.87, 1.10)</w:t>
            </w:r>
          </w:p>
        </w:tc>
        <w:tc>
          <w:tcPr>
            <w:tcW w:w="1581" w:type="dxa"/>
          </w:tcPr>
          <w:p w14:paraId="1D264708" w14:textId="77777777" w:rsidR="0001037C" w:rsidRPr="002B5003" w:rsidRDefault="0001037C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0.95 (0.92, 0.98)</w:t>
            </w:r>
          </w:p>
        </w:tc>
      </w:tr>
      <w:tr w:rsidR="0001037C" w:rsidRPr="00326540" w14:paraId="20D81AD5" w14:textId="77777777" w:rsidTr="00C518F7">
        <w:trPr>
          <w:trHeight w:val="411"/>
        </w:trPr>
        <w:tc>
          <w:tcPr>
            <w:tcW w:w="2552" w:type="dxa"/>
          </w:tcPr>
          <w:p w14:paraId="21D83F55" w14:textId="77777777" w:rsidR="0001037C" w:rsidRPr="00326540" w:rsidRDefault="0001037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326540">
              <w:rPr>
                <w:rFonts w:ascii="Times" w:hAnsi="Times"/>
                <w:sz w:val="20"/>
                <w:szCs w:val="20"/>
              </w:rPr>
              <w:t>Hospitalisation for heart failure</w:t>
            </w:r>
          </w:p>
        </w:tc>
        <w:tc>
          <w:tcPr>
            <w:tcW w:w="1843" w:type="dxa"/>
          </w:tcPr>
          <w:p w14:paraId="00025322" w14:textId="77777777" w:rsidR="0001037C" w:rsidRDefault="0001037C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1.03 (1.01, 1.06)</w:t>
            </w:r>
          </w:p>
        </w:tc>
        <w:tc>
          <w:tcPr>
            <w:tcW w:w="1701" w:type="dxa"/>
          </w:tcPr>
          <w:p w14:paraId="743BFC1E" w14:textId="77777777" w:rsidR="0001037C" w:rsidRPr="002B5003" w:rsidRDefault="0001037C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1.01 (0.89, 1.15)</w:t>
            </w:r>
          </w:p>
        </w:tc>
        <w:tc>
          <w:tcPr>
            <w:tcW w:w="1559" w:type="dxa"/>
          </w:tcPr>
          <w:p w14:paraId="3C43F0A7" w14:textId="77777777" w:rsidR="0001037C" w:rsidRPr="002B5003" w:rsidRDefault="0001037C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1.00 (0.91, 1.10)</w:t>
            </w:r>
          </w:p>
        </w:tc>
        <w:tc>
          <w:tcPr>
            <w:tcW w:w="1581" w:type="dxa"/>
          </w:tcPr>
          <w:p w14:paraId="157411B5" w14:textId="77777777" w:rsidR="0001037C" w:rsidRPr="002B5003" w:rsidRDefault="0001037C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1.03 (1.01, 1.06)</w:t>
            </w:r>
          </w:p>
        </w:tc>
      </w:tr>
      <w:tr w:rsidR="0001037C" w:rsidRPr="00326540" w14:paraId="318874D7" w14:textId="77777777" w:rsidTr="00C518F7">
        <w:trPr>
          <w:trHeight w:val="411"/>
        </w:trPr>
        <w:tc>
          <w:tcPr>
            <w:tcW w:w="2552" w:type="dxa"/>
          </w:tcPr>
          <w:p w14:paraId="1D8A1B32" w14:textId="77777777" w:rsidR="0001037C" w:rsidRPr="00B16D46" w:rsidRDefault="0001037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B16D46">
              <w:rPr>
                <w:rFonts w:ascii="Times" w:hAnsi="Times"/>
                <w:sz w:val="20"/>
                <w:szCs w:val="20"/>
              </w:rPr>
              <w:t>Death from cardiovascular causes</w:t>
            </w:r>
          </w:p>
        </w:tc>
        <w:tc>
          <w:tcPr>
            <w:tcW w:w="1843" w:type="dxa"/>
          </w:tcPr>
          <w:p w14:paraId="56422162" w14:textId="77777777" w:rsidR="0001037C" w:rsidRPr="00B16D46" w:rsidRDefault="0001037C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0.90 (0.88, 0.93)</w:t>
            </w:r>
          </w:p>
        </w:tc>
        <w:tc>
          <w:tcPr>
            <w:tcW w:w="1701" w:type="dxa"/>
          </w:tcPr>
          <w:p w14:paraId="42078CBC" w14:textId="77777777" w:rsidR="0001037C" w:rsidRPr="00B16D46" w:rsidRDefault="0001037C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 w:rsidRPr="00B16D46">
              <w:rPr>
                <w:rFonts w:ascii="Times" w:hAnsi="Times" w:cstheme="minorHAnsi"/>
                <w:sz w:val="20"/>
                <w:szCs w:val="20"/>
              </w:rPr>
              <w:t>1.1</w:t>
            </w:r>
            <w:r>
              <w:rPr>
                <w:rFonts w:ascii="Times" w:hAnsi="Times" w:cstheme="minorHAnsi"/>
                <w:sz w:val="20"/>
                <w:szCs w:val="20"/>
              </w:rPr>
              <w:t>3</w:t>
            </w:r>
            <w:r w:rsidRPr="00B16D46">
              <w:rPr>
                <w:rFonts w:ascii="Times" w:hAnsi="Times" w:cstheme="minorHAnsi"/>
                <w:sz w:val="20"/>
                <w:szCs w:val="20"/>
              </w:rPr>
              <w:t xml:space="preserve"> (0.97, 1.3</w:t>
            </w:r>
            <w:r>
              <w:rPr>
                <w:rFonts w:ascii="Times" w:hAnsi="Times" w:cstheme="minorHAnsi"/>
                <w:sz w:val="20"/>
                <w:szCs w:val="20"/>
              </w:rPr>
              <w:t>1</w:t>
            </w:r>
            <w:r w:rsidRPr="00B16D46">
              <w:rPr>
                <w:rFonts w:ascii="Times" w:hAnsi="Times" w:cstheme="minorHAnsi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36AEE3DC" w14:textId="77777777" w:rsidR="0001037C" w:rsidRPr="00B16D46" w:rsidRDefault="0001037C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0.99</w:t>
            </w:r>
            <w:r w:rsidRPr="00B16D46">
              <w:rPr>
                <w:rFonts w:ascii="Times" w:hAnsi="Times" w:cstheme="minorHAnsi"/>
                <w:sz w:val="20"/>
                <w:szCs w:val="20"/>
              </w:rPr>
              <w:t xml:space="preserve"> (0.</w:t>
            </w:r>
            <w:r>
              <w:rPr>
                <w:rFonts w:ascii="Times" w:hAnsi="Times" w:cstheme="minorHAnsi"/>
                <w:sz w:val="20"/>
                <w:szCs w:val="20"/>
              </w:rPr>
              <w:t>89</w:t>
            </w:r>
            <w:r w:rsidRPr="00B16D46">
              <w:rPr>
                <w:rFonts w:ascii="Times" w:hAnsi="Times" w:cstheme="minorHAnsi"/>
                <w:sz w:val="20"/>
                <w:szCs w:val="20"/>
              </w:rPr>
              <w:t>, 1.</w:t>
            </w:r>
            <w:r>
              <w:rPr>
                <w:rFonts w:ascii="Times" w:hAnsi="Times" w:cstheme="minorHAnsi"/>
                <w:sz w:val="20"/>
                <w:szCs w:val="20"/>
              </w:rPr>
              <w:t>11</w:t>
            </w:r>
            <w:r w:rsidRPr="00B16D46">
              <w:rPr>
                <w:rFonts w:ascii="Times" w:hAnsi="Times" w:cstheme="minorHAnsi"/>
                <w:sz w:val="20"/>
                <w:szCs w:val="20"/>
              </w:rPr>
              <w:t>)</w:t>
            </w:r>
          </w:p>
        </w:tc>
        <w:tc>
          <w:tcPr>
            <w:tcW w:w="1581" w:type="dxa"/>
          </w:tcPr>
          <w:p w14:paraId="6E684769" w14:textId="77777777" w:rsidR="0001037C" w:rsidRPr="00B16D46" w:rsidRDefault="0001037C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 w:rsidRPr="00B16D46">
              <w:rPr>
                <w:rFonts w:ascii="Times" w:hAnsi="Times" w:cstheme="minorHAnsi"/>
                <w:sz w:val="20"/>
                <w:szCs w:val="20"/>
              </w:rPr>
              <w:t>0.89 (0.87, 0.92)</w:t>
            </w:r>
          </w:p>
        </w:tc>
      </w:tr>
      <w:tr w:rsidR="0001037C" w:rsidRPr="00326540" w14:paraId="6C5840C7" w14:textId="77777777" w:rsidTr="00C518F7">
        <w:trPr>
          <w:trHeight w:val="416"/>
        </w:trPr>
        <w:tc>
          <w:tcPr>
            <w:tcW w:w="2552" w:type="dxa"/>
          </w:tcPr>
          <w:p w14:paraId="5AF732F2" w14:textId="77777777" w:rsidR="0001037C" w:rsidRPr="00326540" w:rsidRDefault="0001037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326540">
              <w:rPr>
                <w:rFonts w:ascii="Times" w:hAnsi="Times"/>
                <w:sz w:val="20"/>
                <w:szCs w:val="20"/>
              </w:rPr>
              <w:t>Death from non-cardiovascular causes</w:t>
            </w:r>
          </w:p>
        </w:tc>
        <w:tc>
          <w:tcPr>
            <w:tcW w:w="1843" w:type="dxa"/>
          </w:tcPr>
          <w:p w14:paraId="586A5BC2" w14:textId="77777777" w:rsidR="0001037C" w:rsidRDefault="0001037C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0.91 (0.89, 0.93)</w:t>
            </w:r>
          </w:p>
        </w:tc>
        <w:tc>
          <w:tcPr>
            <w:tcW w:w="1701" w:type="dxa"/>
          </w:tcPr>
          <w:p w14:paraId="034F0642" w14:textId="77777777" w:rsidR="0001037C" w:rsidRPr="002B5003" w:rsidRDefault="0001037C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0.93 (0.82, 1.06)</w:t>
            </w:r>
          </w:p>
        </w:tc>
        <w:tc>
          <w:tcPr>
            <w:tcW w:w="1559" w:type="dxa"/>
          </w:tcPr>
          <w:p w14:paraId="09AFD138" w14:textId="77777777" w:rsidR="0001037C" w:rsidRPr="002B5003" w:rsidRDefault="0001037C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0.94 (0.85, 1.03)</w:t>
            </w:r>
          </w:p>
        </w:tc>
        <w:tc>
          <w:tcPr>
            <w:tcW w:w="1581" w:type="dxa"/>
          </w:tcPr>
          <w:p w14:paraId="38FA1083" w14:textId="77777777" w:rsidR="0001037C" w:rsidRPr="002B5003" w:rsidRDefault="0001037C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0.90 (0.89, 0.92)</w:t>
            </w:r>
          </w:p>
        </w:tc>
      </w:tr>
      <w:tr w:rsidR="0001037C" w:rsidRPr="00326540" w14:paraId="45D91ED1" w14:textId="77777777" w:rsidTr="00C518F7">
        <w:trPr>
          <w:trHeight w:val="422"/>
        </w:trPr>
        <w:tc>
          <w:tcPr>
            <w:tcW w:w="2552" w:type="dxa"/>
          </w:tcPr>
          <w:p w14:paraId="10BA02FD" w14:textId="77777777" w:rsidR="0001037C" w:rsidRPr="00326540" w:rsidRDefault="0001037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326540">
              <w:rPr>
                <w:rFonts w:ascii="Times" w:hAnsi="Times"/>
                <w:sz w:val="20"/>
                <w:szCs w:val="20"/>
              </w:rPr>
              <w:t>Death from any cause</w:t>
            </w:r>
          </w:p>
        </w:tc>
        <w:tc>
          <w:tcPr>
            <w:tcW w:w="1843" w:type="dxa"/>
          </w:tcPr>
          <w:p w14:paraId="4B115E94" w14:textId="77777777" w:rsidR="0001037C" w:rsidRPr="001B2B26" w:rsidRDefault="0001037C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0.91 (0.89, 0.92)</w:t>
            </w:r>
          </w:p>
        </w:tc>
        <w:tc>
          <w:tcPr>
            <w:tcW w:w="1701" w:type="dxa"/>
          </w:tcPr>
          <w:p w14:paraId="74663638" w14:textId="77777777" w:rsidR="0001037C" w:rsidRPr="001B2B26" w:rsidRDefault="0001037C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 w:rsidRPr="001B2B26">
              <w:rPr>
                <w:rFonts w:ascii="Times" w:hAnsi="Times" w:cstheme="minorHAnsi"/>
                <w:sz w:val="20"/>
                <w:szCs w:val="20"/>
              </w:rPr>
              <w:t>1.0</w:t>
            </w:r>
            <w:r>
              <w:rPr>
                <w:rFonts w:ascii="Times" w:hAnsi="Times" w:cstheme="minorHAnsi"/>
                <w:sz w:val="20"/>
                <w:szCs w:val="20"/>
              </w:rPr>
              <w:t>1</w:t>
            </w:r>
            <w:r w:rsidRPr="001B2B26">
              <w:rPr>
                <w:rFonts w:ascii="Times" w:hAnsi="Times" w:cstheme="minorHAnsi"/>
                <w:sz w:val="20"/>
                <w:szCs w:val="20"/>
              </w:rPr>
              <w:t xml:space="preserve"> (0.9</w:t>
            </w:r>
            <w:r>
              <w:rPr>
                <w:rFonts w:ascii="Times" w:hAnsi="Times" w:cstheme="minorHAnsi"/>
                <w:sz w:val="20"/>
                <w:szCs w:val="20"/>
              </w:rPr>
              <w:t>2</w:t>
            </w:r>
            <w:r w:rsidRPr="001B2B26">
              <w:rPr>
                <w:rFonts w:ascii="Times" w:hAnsi="Times" w:cstheme="minorHAnsi"/>
                <w:sz w:val="20"/>
                <w:szCs w:val="20"/>
              </w:rPr>
              <w:t>, 1.1</w:t>
            </w:r>
            <w:r>
              <w:rPr>
                <w:rFonts w:ascii="Times" w:hAnsi="Times" w:cstheme="minorHAnsi"/>
                <w:sz w:val="20"/>
                <w:szCs w:val="20"/>
              </w:rPr>
              <w:t>1</w:t>
            </w:r>
            <w:r w:rsidRPr="001B2B26">
              <w:rPr>
                <w:rFonts w:ascii="Times" w:hAnsi="Times" w:cstheme="minorHAnsi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03AF61C" w14:textId="77777777" w:rsidR="0001037C" w:rsidRPr="001B2B26" w:rsidRDefault="0001037C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 w:rsidRPr="001B2B26">
              <w:rPr>
                <w:rFonts w:ascii="Times" w:hAnsi="Times" w:cstheme="minorHAnsi"/>
                <w:sz w:val="20"/>
                <w:szCs w:val="20"/>
              </w:rPr>
              <w:t>0.9</w:t>
            </w:r>
            <w:r>
              <w:rPr>
                <w:rFonts w:ascii="Times" w:hAnsi="Times" w:cstheme="minorHAnsi"/>
                <w:sz w:val="20"/>
                <w:szCs w:val="20"/>
              </w:rPr>
              <w:t>6</w:t>
            </w:r>
            <w:r w:rsidRPr="001B2B26">
              <w:rPr>
                <w:rFonts w:ascii="Times" w:hAnsi="Times" w:cstheme="minorHAnsi"/>
                <w:sz w:val="20"/>
                <w:szCs w:val="20"/>
              </w:rPr>
              <w:t xml:space="preserve"> (0.</w:t>
            </w:r>
            <w:r>
              <w:rPr>
                <w:rFonts w:ascii="Times" w:hAnsi="Times" w:cstheme="minorHAnsi"/>
                <w:sz w:val="20"/>
                <w:szCs w:val="20"/>
              </w:rPr>
              <w:t>90</w:t>
            </w:r>
            <w:r w:rsidRPr="001B2B26">
              <w:rPr>
                <w:rFonts w:ascii="Times" w:hAnsi="Times" w:cstheme="minorHAnsi"/>
                <w:sz w:val="20"/>
                <w:szCs w:val="20"/>
              </w:rPr>
              <w:t>, 1.0</w:t>
            </w:r>
            <w:r>
              <w:rPr>
                <w:rFonts w:ascii="Times" w:hAnsi="Times" w:cstheme="minorHAnsi"/>
                <w:sz w:val="20"/>
                <w:szCs w:val="20"/>
              </w:rPr>
              <w:t>3</w:t>
            </w:r>
            <w:r w:rsidRPr="001B2B26">
              <w:rPr>
                <w:rFonts w:ascii="Times" w:hAnsi="Times" w:cstheme="minorHAnsi"/>
                <w:sz w:val="20"/>
                <w:szCs w:val="20"/>
              </w:rPr>
              <w:t>)</w:t>
            </w:r>
          </w:p>
        </w:tc>
        <w:tc>
          <w:tcPr>
            <w:tcW w:w="1581" w:type="dxa"/>
          </w:tcPr>
          <w:p w14:paraId="41005C13" w14:textId="77777777" w:rsidR="0001037C" w:rsidRPr="001B2B26" w:rsidRDefault="0001037C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 w:rsidRPr="001B2B26">
              <w:rPr>
                <w:rFonts w:ascii="Times" w:hAnsi="Times" w:cstheme="minorHAnsi"/>
                <w:sz w:val="20"/>
                <w:szCs w:val="20"/>
              </w:rPr>
              <w:t>0.90 (0.8</w:t>
            </w:r>
            <w:r>
              <w:rPr>
                <w:rFonts w:ascii="Times" w:hAnsi="Times" w:cstheme="minorHAnsi"/>
                <w:sz w:val="20"/>
                <w:szCs w:val="20"/>
              </w:rPr>
              <w:t>9</w:t>
            </w:r>
            <w:r w:rsidRPr="001B2B26">
              <w:rPr>
                <w:rFonts w:ascii="Times" w:hAnsi="Times" w:cstheme="minorHAnsi"/>
                <w:sz w:val="20"/>
                <w:szCs w:val="20"/>
              </w:rPr>
              <w:t>, 0.92)</w:t>
            </w:r>
          </w:p>
        </w:tc>
      </w:tr>
      <w:tr w:rsidR="0001037C" w:rsidRPr="00326540" w14:paraId="42CC28F4" w14:textId="77777777" w:rsidTr="00C518F7">
        <w:trPr>
          <w:trHeight w:val="422"/>
        </w:trPr>
        <w:tc>
          <w:tcPr>
            <w:tcW w:w="2552" w:type="dxa"/>
          </w:tcPr>
          <w:p w14:paraId="35801091" w14:textId="77777777" w:rsidR="0001037C" w:rsidRPr="00326540" w:rsidRDefault="0001037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Angioedema</w:t>
            </w:r>
          </w:p>
        </w:tc>
        <w:tc>
          <w:tcPr>
            <w:tcW w:w="1843" w:type="dxa"/>
          </w:tcPr>
          <w:p w14:paraId="0D085FF3" w14:textId="77777777" w:rsidR="0001037C" w:rsidRPr="001B2F43" w:rsidRDefault="0001037C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0.62 (0.50, 0.75)</w:t>
            </w:r>
          </w:p>
        </w:tc>
        <w:tc>
          <w:tcPr>
            <w:tcW w:w="1701" w:type="dxa"/>
          </w:tcPr>
          <w:p w14:paraId="15559584" w14:textId="77777777" w:rsidR="0001037C" w:rsidRPr="001B2F43" w:rsidRDefault="0001037C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0.37 (0.19, 0.72)</w:t>
            </w:r>
          </w:p>
        </w:tc>
        <w:tc>
          <w:tcPr>
            <w:tcW w:w="1559" w:type="dxa"/>
          </w:tcPr>
          <w:p w14:paraId="0F55B130" w14:textId="77777777" w:rsidR="0001037C" w:rsidRPr="001B2F43" w:rsidRDefault="0001037C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0.73 (0.34, 1.57)</w:t>
            </w:r>
          </w:p>
        </w:tc>
        <w:tc>
          <w:tcPr>
            <w:tcW w:w="1581" w:type="dxa"/>
          </w:tcPr>
          <w:p w14:paraId="657B35CF" w14:textId="77777777" w:rsidR="0001037C" w:rsidRPr="001B2F43" w:rsidRDefault="0001037C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0.65 (0.52, 0.81)</w:t>
            </w:r>
          </w:p>
        </w:tc>
      </w:tr>
      <w:tr w:rsidR="0001037C" w:rsidRPr="00326540" w14:paraId="5FA19B9A" w14:textId="77777777" w:rsidTr="00C518F7">
        <w:trPr>
          <w:trHeight w:val="416"/>
        </w:trPr>
        <w:tc>
          <w:tcPr>
            <w:tcW w:w="9236" w:type="dxa"/>
            <w:gridSpan w:val="5"/>
          </w:tcPr>
          <w:p w14:paraId="2D4C01EB" w14:textId="77777777" w:rsidR="0001037C" w:rsidRDefault="0001037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 xml:space="preserve">Primary composite outcome: death from cardiovascular causes, myocardial infarction, stroke, or hospitalisation for heart failure. Main secondary outcome: death from cardiovascular causes, myocardial infarction, or stroke. </w:t>
            </w:r>
            <w:r w:rsidRPr="00326540">
              <w:rPr>
                <w:rFonts w:ascii="Times" w:hAnsi="Times"/>
                <w:sz w:val="20"/>
                <w:szCs w:val="20"/>
              </w:rPr>
              <w:t xml:space="preserve">Loss of GFR or ESKD defined as: 50% reduction in estimated glomerular filtration ratio (eGFR), start of </w:t>
            </w:r>
            <w:r>
              <w:rPr>
                <w:rFonts w:ascii="Times" w:hAnsi="Times"/>
                <w:sz w:val="20"/>
                <w:szCs w:val="20"/>
              </w:rPr>
              <w:t>kidney</w:t>
            </w:r>
            <w:r w:rsidRPr="00326540">
              <w:rPr>
                <w:rFonts w:ascii="Times" w:hAnsi="Times"/>
                <w:sz w:val="20"/>
                <w:szCs w:val="20"/>
              </w:rPr>
              <w:t xml:space="preserve"> replacement therapy (</w:t>
            </w:r>
            <w:r>
              <w:rPr>
                <w:rFonts w:ascii="Times" w:hAnsi="Times"/>
                <w:sz w:val="20"/>
                <w:szCs w:val="20"/>
              </w:rPr>
              <w:t>K</w:t>
            </w:r>
            <w:r w:rsidRPr="00326540">
              <w:rPr>
                <w:rFonts w:ascii="Times" w:hAnsi="Times"/>
                <w:sz w:val="20"/>
                <w:szCs w:val="20"/>
              </w:rPr>
              <w:t>RT) or eGFR&lt;15</w:t>
            </w:r>
            <w:r>
              <w:rPr>
                <w:rFonts w:ascii="Times" w:hAnsi="Times"/>
                <w:sz w:val="20"/>
                <w:szCs w:val="20"/>
              </w:rPr>
              <w:t>ml/min/1.73m</w:t>
            </w:r>
            <w:r>
              <w:rPr>
                <w:rFonts w:ascii="Times" w:hAnsi="Times"/>
                <w:sz w:val="20"/>
                <w:szCs w:val="20"/>
                <w:vertAlign w:val="superscript"/>
              </w:rPr>
              <w:t>2</w:t>
            </w:r>
            <w:r w:rsidRPr="00326540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 xml:space="preserve"> </w:t>
            </w:r>
            <w:r w:rsidRPr="00326540">
              <w:rPr>
                <w:rFonts w:ascii="Times" w:hAnsi="Times"/>
                <w:sz w:val="20"/>
                <w:szCs w:val="20"/>
              </w:rPr>
              <w:t xml:space="preserve">ESKD defined as: start of </w:t>
            </w:r>
            <w:r>
              <w:rPr>
                <w:rFonts w:ascii="Times" w:hAnsi="Times"/>
                <w:sz w:val="20"/>
                <w:szCs w:val="20"/>
              </w:rPr>
              <w:t>K</w:t>
            </w:r>
            <w:r w:rsidRPr="00326540">
              <w:rPr>
                <w:rFonts w:ascii="Times" w:hAnsi="Times"/>
                <w:sz w:val="20"/>
                <w:szCs w:val="20"/>
              </w:rPr>
              <w:t>RT or eGFR&lt;15</w:t>
            </w:r>
            <w:r>
              <w:rPr>
                <w:rFonts w:ascii="Times" w:hAnsi="Times"/>
                <w:sz w:val="20"/>
                <w:szCs w:val="20"/>
              </w:rPr>
              <w:t>ml/min/1.73m</w:t>
            </w:r>
            <w:r>
              <w:rPr>
                <w:rFonts w:ascii="Times" w:hAnsi="Times"/>
                <w:sz w:val="20"/>
                <w:szCs w:val="20"/>
                <w:vertAlign w:val="superscript"/>
              </w:rPr>
              <w:t>2</w:t>
            </w:r>
            <w:r w:rsidRPr="00326540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 xml:space="preserve"> </w:t>
            </w:r>
          </w:p>
          <w:p w14:paraId="57F24FB7" w14:textId="77777777" w:rsidR="0001037C" w:rsidRPr="00326540" w:rsidRDefault="0001037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21917">
              <w:rPr>
                <w:rFonts w:ascii="Times" w:hAnsi="Times"/>
                <w:sz w:val="20"/>
                <w:szCs w:val="20"/>
              </w:rPr>
              <w:t>ESKD: end-stage kidney disease; GFR: glomerular filtration rate.</w:t>
            </w:r>
          </w:p>
          <w:p w14:paraId="05E8F3EE" w14:textId="77777777" w:rsidR="0001037C" w:rsidRPr="00326540" w:rsidRDefault="0001037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326540">
              <w:rPr>
                <w:rFonts w:ascii="Times" w:hAnsi="Times"/>
                <w:sz w:val="20"/>
                <w:szCs w:val="20"/>
              </w:rPr>
              <w:t xml:space="preserve">CPRD weighted analysis includes 1 randomly selected trial-eligible period per patient. Propensity-score—weighted with robust standard errors. </w:t>
            </w:r>
          </w:p>
          <w:p w14:paraId="54E299C5" w14:textId="77777777" w:rsidR="0001037C" w:rsidRPr="00326540" w:rsidRDefault="0001037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326540">
              <w:rPr>
                <w:rFonts w:ascii="Times" w:hAnsi="Times"/>
                <w:sz w:val="20"/>
                <w:szCs w:val="20"/>
              </w:rPr>
              <w:t>Myocardial infarction and stroke include both fatal and non-fatal events.</w:t>
            </w:r>
          </w:p>
          <w:p w14:paraId="14321022" w14:textId="77777777" w:rsidR="0001037C" w:rsidRPr="00326540" w:rsidRDefault="0001037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Multiple imputation of chained equations for missing systolic and diastolic blood pressure and serum creatinine at baseline.</w:t>
            </w:r>
          </w:p>
        </w:tc>
      </w:tr>
    </w:tbl>
    <w:p w14:paraId="49D75EA9" w14:textId="77777777" w:rsidR="006547D8" w:rsidRDefault="006547D8"/>
    <w:sectPr w:rsidR="006547D8" w:rsidSect="00B47EB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A2"/>
    <w:rsid w:val="0001037C"/>
    <w:rsid w:val="00020E23"/>
    <w:rsid w:val="00031D3A"/>
    <w:rsid w:val="0003304F"/>
    <w:rsid w:val="00037FD6"/>
    <w:rsid w:val="00044CBC"/>
    <w:rsid w:val="00051B5D"/>
    <w:rsid w:val="0006125C"/>
    <w:rsid w:val="00077FD2"/>
    <w:rsid w:val="00082D3D"/>
    <w:rsid w:val="00086B1A"/>
    <w:rsid w:val="00090471"/>
    <w:rsid w:val="000954A9"/>
    <w:rsid w:val="000A09EC"/>
    <w:rsid w:val="000A1660"/>
    <w:rsid w:val="000A6A79"/>
    <w:rsid w:val="000A6CC0"/>
    <w:rsid w:val="000A7BDA"/>
    <w:rsid w:val="000B209D"/>
    <w:rsid w:val="000C5BEE"/>
    <w:rsid w:val="000D0258"/>
    <w:rsid w:val="000D58DA"/>
    <w:rsid w:val="000E5E8F"/>
    <w:rsid w:val="000F4116"/>
    <w:rsid w:val="001034FB"/>
    <w:rsid w:val="00103934"/>
    <w:rsid w:val="001252DF"/>
    <w:rsid w:val="00134DEB"/>
    <w:rsid w:val="001461DB"/>
    <w:rsid w:val="0014691A"/>
    <w:rsid w:val="001631B4"/>
    <w:rsid w:val="001631E4"/>
    <w:rsid w:val="001648BD"/>
    <w:rsid w:val="001657C1"/>
    <w:rsid w:val="00166FE8"/>
    <w:rsid w:val="00172004"/>
    <w:rsid w:val="00173407"/>
    <w:rsid w:val="001802D5"/>
    <w:rsid w:val="00183451"/>
    <w:rsid w:val="00192263"/>
    <w:rsid w:val="001A7164"/>
    <w:rsid w:val="001B23C4"/>
    <w:rsid w:val="001B5502"/>
    <w:rsid w:val="001C3A25"/>
    <w:rsid w:val="001D59F7"/>
    <w:rsid w:val="001D6CCE"/>
    <w:rsid w:val="001D6EEE"/>
    <w:rsid w:val="001E13E0"/>
    <w:rsid w:val="001F0B76"/>
    <w:rsid w:val="001F4233"/>
    <w:rsid w:val="00201CD7"/>
    <w:rsid w:val="002032FA"/>
    <w:rsid w:val="002066F7"/>
    <w:rsid w:val="00211881"/>
    <w:rsid w:val="00211999"/>
    <w:rsid w:val="00211EA9"/>
    <w:rsid w:val="0021665C"/>
    <w:rsid w:val="00220AEB"/>
    <w:rsid w:val="0022235A"/>
    <w:rsid w:val="0022271E"/>
    <w:rsid w:val="002253E8"/>
    <w:rsid w:val="00226A67"/>
    <w:rsid w:val="002441CE"/>
    <w:rsid w:val="00246208"/>
    <w:rsid w:val="00247E0B"/>
    <w:rsid w:val="00251955"/>
    <w:rsid w:val="002561CD"/>
    <w:rsid w:val="00257EFE"/>
    <w:rsid w:val="0027153D"/>
    <w:rsid w:val="00282933"/>
    <w:rsid w:val="0028356C"/>
    <w:rsid w:val="002900A5"/>
    <w:rsid w:val="002935EF"/>
    <w:rsid w:val="002A1135"/>
    <w:rsid w:val="002A1EFC"/>
    <w:rsid w:val="002A7DF0"/>
    <w:rsid w:val="002B5E95"/>
    <w:rsid w:val="002C217F"/>
    <w:rsid w:val="002C322B"/>
    <w:rsid w:val="002C3BA2"/>
    <w:rsid w:val="002C62B0"/>
    <w:rsid w:val="002C6DD8"/>
    <w:rsid w:val="002D3965"/>
    <w:rsid w:val="002F0866"/>
    <w:rsid w:val="002F1FCA"/>
    <w:rsid w:val="002F4EE6"/>
    <w:rsid w:val="00300521"/>
    <w:rsid w:val="00304646"/>
    <w:rsid w:val="003171DE"/>
    <w:rsid w:val="00330D3C"/>
    <w:rsid w:val="00335535"/>
    <w:rsid w:val="00341E3B"/>
    <w:rsid w:val="0034567B"/>
    <w:rsid w:val="00347460"/>
    <w:rsid w:val="00353457"/>
    <w:rsid w:val="0035473A"/>
    <w:rsid w:val="003564EE"/>
    <w:rsid w:val="00370E27"/>
    <w:rsid w:val="00371DD6"/>
    <w:rsid w:val="003730E1"/>
    <w:rsid w:val="00376D93"/>
    <w:rsid w:val="00381A7C"/>
    <w:rsid w:val="003866C1"/>
    <w:rsid w:val="00390780"/>
    <w:rsid w:val="0039441F"/>
    <w:rsid w:val="003A22A4"/>
    <w:rsid w:val="003A3D15"/>
    <w:rsid w:val="003A44A2"/>
    <w:rsid w:val="003D72D7"/>
    <w:rsid w:val="003F14A9"/>
    <w:rsid w:val="003F228A"/>
    <w:rsid w:val="003F2BB6"/>
    <w:rsid w:val="003F4DBC"/>
    <w:rsid w:val="00412DD0"/>
    <w:rsid w:val="00416501"/>
    <w:rsid w:val="004251CE"/>
    <w:rsid w:val="0043456E"/>
    <w:rsid w:val="00435BFD"/>
    <w:rsid w:val="00435EB3"/>
    <w:rsid w:val="004370CC"/>
    <w:rsid w:val="00437E72"/>
    <w:rsid w:val="00446FC8"/>
    <w:rsid w:val="00454DFE"/>
    <w:rsid w:val="00455470"/>
    <w:rsid w:val="004600FA"/>
    <w:rsid w:val="00470BD7"/>
    <w:rsid w:val="004725C7"/>
    <w:rsid w:val="0047301E"/>
    <w:rsid w:val="00482E0D"/>
    <w:rsid w:val="00491758"/>
    <w:rsid w:val="00495F32"/>
    <w:rsid w:val="00496F65"/>
    <w:rsid w:val="004A1943"/>
    <w:rsid w:val="004A2EFE"/>
    <w:rsid w:val="004A50F1"/>
    <w:rsid w:val="004A7D41"/>
    <w:rsid w:val="004B1B01"/>
    <w:rsid w:val="004B281A"/>
    <w:rsid w:val="004B547D"/>
    <w:rsid w:val="004C4709"/>
    <w:rsid w:val="004C4910"/>
    <w:rsid w:val="004C62E8"/>
    <w:rsid w:val="004D2E4E"/>
    <w:rsid w:val="004E0C5E"/>
    <w:rsid w:val="004E0FE0"/>
    <w:rsid w:val="004F2D31"/>
    <w:rsid w:val="004F2F10"/>
    <w:rsid w:val="004F3C7D"/>
    <w:rsid w:val="004F6710"/>
    <w:rsid w:val="00500D5F"/>
    <w:rsid w:val="00507196"/>
    <w:rsid w:val="00510A4A"/>
    <w:rsid w:val="00512543"/>
    <w:rsid w:val="00522557"/>
    <w:rsid w:val="0052429A"/>
    <w:rsid w:val="0053013A"/>
    <w:rsid w:val="00533D7B"/>
    <w:rsid w:val="00542538"/>
    <w:rsid w:val="00546F39"/>
    <w:rsid w:val="005475C8"/>
    <w:rsid w:val="00547AED"/>
    <w:rsid w:val="00554B0A"/>
    <w:rsid w:val="00567046"/>
    <w:rsid w:val="005877A7"/>
    <w:rsid w:val="00595247"/>
    <w:rsid w:val="00597049"/>
    <w:rsid w:val="005A2DDF"/>
    <w:rsid w:val="005A322C"/>
    <w:rsid w:val="005A4644"/>
    <w:rsid w:val="005B0362"/>
    <w:rsid w:val="005B656F"/>
    <w:rsid w:val="005C1AAC"/>
    <w:rsid w:val="005C24D6"/>
    <w:rsid w:val="005D1CCB"/>
    <w:rsid w:val="005E124E"/>
    <w:rsid w:val="005E3CDF"/>
    <w:rsid w:val="005F3351"/>
    <w:rsid w:val="005F3ECA"/>
    <w:rsid w:val="005F4CDC"/>
    <w:rsid w:val="00604118"/>
    <w:rsid w:val="00604BAB"/>
    <w:rsid w:val="006050BE"/>
    <w:rsid w:val="00605AE6"/>
    <w:rsid w:val="00611E06"/>
    <w:rsid w:val="00624CA1"/>
    <w:rsid w:val="00624FC5"/>
    <w:rsid w:val="0062782A"/>
    <w:rsid w:val="00635DF4"/>
    <w:rsid w:val="006364EC"/>
    <w:rsid w:val="00642659"/>
    <w:rsid w:val="006526A1"/>
    <w:rsid w:val="006547D8"/>
    <w:rsid w:val="00670623"/>
    <w:rsid w:val="006727C9"/>
    <w:rsid w:val="006732E6"/>
    <w:rsid w:val="00673CAE"/>
    <w:rsid w:val="00676A5E"/>
    <w:rsid w:val="0067713C"/>
    <w:rsid w:val="006825FE"/>
    <w:rsid w:val="006845AF"/>
    <w:rsid w:val="00691EE3"/>
    <w:rsid w:val="00696D85"/>
    <w:rsid w:val="006A64C1"/>
    <w:rsid w:val="006A7483"/>
    <w:rsid w:val="006B7CB1"/>
    <w:rsid w:val="006C56AC"/>
    <w:rsid w:val="006C65E9"/>
    <w:rsid w:val="006D30D4"/>
    <w:rsid w:val="006E1CC5"/>
    <w:rsid w:val="006F075D"/>
    <w:rsid w:val="006F3DC0"/>
    <w:rsid w:val="006F4A26"/>
    <w:rsid w:val="007036E5"/>
    <w:rsid w:val="007151FE"/>
    <w:rsid w:val="007160BE"/>
    <w:rsid w:val="00716B1D"/>
    <w:rsid w:val="00717B89"/>
    <w:rsid w:val="0072176C"/>
    <w:rsid w:val="0072206A"/>
    <w:rsid w:val="00730896"/>
    <w:rsid w:val="007412BD"/>
    <w:rsid w:val="00741C97"/>
    <w:rsid w:val="0074408B"/>
    <w:rsid w:val="0075106A"/>
    <w:rsid w:val="0075736D"/>
    <w:rsid w:val="0076137E"/>
    <w:rsid w:val="00771E87"/>
    <w:rsid w:val="00777F2B"/>
    <w:rsid w:val="00780BA9"/>
    <w:rsid w:val="00783733"/>
    <w:rsid w:val="00786064"/>
    <w:rsid w:val="007A3DDC"/>
    <w:rsid w:val="007B12D2"/>
    <w:rsid w:val="007B5E8D"/>
    <w:rsid w:val="007C00D8"/>
    <w:rsid w:val="007C3BEF"/>
    <w:rsid w:val="007C483E"/>
    <w:rsid w:val="007E14EA"/>
    <w:rsid w:val="007F1DE9"/>
    <w:rsid w:val="007F700B"/>
    <w:rsid w:val="00800C15"/>
    <w:rsid w:val="008037E8"/>
    <w:rsid w:val="00804A6E"/>
    <w:rsid w:val="00804DAB"/>
    <w:rsid w:val="008077EA"/>
    <w:rsid w:val="00813BB3"/>
    <w:rsid w:val="0082083A"/>
    <w:rsid w:val="00820D24"/>
    <w:rsid w:val="00823753"/>
    <w:rsid w:val="00832402"/>
    <w:rsid w:val="0083360B"/>
    <w:rsid w:val="0083617C"/>
    <w:rsid w:val="00843DE9"/>
    <w:rsid w:val="00845437"/>
    <w:rsid w:val="00847307"/>
    <w:rsid w:val="0084794D"/>
    <w:rsid w:val="00851C2E"/>
    <w:rsid w:val="008601F1"/>
    <w:rsid w:val="008608E5"/>
    <w:rsid w:val="00877A98"/>
    <w:rsid w:val="00883BDF"/>
    <w:rsid w:val="008943D6"/>
    <w:rsid w:val="00895745"/>
    <w:rsid w:val="008A2820"/>
    <w:rsid w:val="008A3444"/>
    <w:rsid w:val="008A38C1"/>
    <w:rsid w:val="008A51BB"/>
    <w:rsid w:val="008A6A25"/>
    <w:rsid w:val="008A7A4D"/>
    <w:rsid w:val="008B4891"/>
    <w:rsid w:val="008B614D"/>
    <w:rsid w:val="008B6A3D"/>
    <w:rsid w:val="008C2ED5"/>
    <w:rsid w:val="008C4658"/>
    <w:rsid w:val="008D4E42"/>
    <w:rsid w:val="008E3E7F"/>
    <w:rsid w:val="008E3E80"/>
    <w:rsid w:val="008E6EAF"/>
    <w:rsid w:val="008F12B6"/>
    <w:rsid w:val="008F1646"/>
    <w:rsid w:val="008F16A8"/>
    <w:rsid w:val="009069DE"/>
    <w:rsid w:val="0091356B"/>
    <w:rsid w:val="0091657F"/>
    <w:rsid w:val="00920C7C"/>
    <w:rsid w:val="00921AF9"/>
    <w:rsid w:val="0092691B"/>
    <w:rsid w:val="00932FC0"/>
    <w:rsid w:val="00933B7D"/>
    <w:rsid w:val="00941961"/>
    <w:rsid w:val="00941FBF"/>
    <w:rsid w:val="00942E0B"/>
    <w:rsid w:val="009446FD"/>
    <w:rsid w:val="00945371"/>
    <w:rsid w:val="009470B2"/>
    <w:rsid w:val="009530BD"/>
    <w:rsid w:val="00954E7D"/>
    <w:rsid w:val="0095582E"/>
    <w:rsid w:val="0095666D"/>
    <w:rsid w:val="009601C3"/>
    <w:rsid w:val="00960539"/>
    <w:rsid w:val="00964E0A"/>
    <w:rsid w:val="00970683"/>
    <w:rsid w:val="00970C25"/>
    <w:rsid w:val="00973ED3"/>
    <w:rsid w:val="0097446D"/>
    <w:rsid w:val="009806D3"/>
    <w:rsid w:val="00984623"/>
    <w:rsid w:val="00985CB8"/>
    <w:rsid w:val="00986D12"/>
    <w:rsid w:val="00992A2A"/>
    <w:rsid w:val="009A3829"/>
    <w:rsid w:val="009C360B"/>
    <w:rsid w:val="009C6B4C"/>
    <w:rsid w:val="009D11B0"/>
    <w:rsid w:val="009E0DCD"/>
    <w:rsid w:val="009E1233"/>
    <w:rsid w:val="009E1AF2"/>
    <w:rsid w:val="00A0479D"/>
    <w:rsid w:val="00A216B1"/>
    <w:rsid w:val="00A22C77"/>
    <w:rsid w:val="00A24930"/>
    <w:rsid w:val="00A264A2"/>
    <w:rsid w:val="00A27321"/>
    <w:rsid w:val="00A311E8"/>
    <w:rsid w:val="00A35FCA"/>
    <w:rsid w:val="00A41449"/>
    <w:rsid w:val="00A41DA4"/>
    <w:rsid w:val="00A45EA5"/>
    <w:rsid w:val="00A50405"/>
    <w:rsid w:val="00A57DDF"/>
    <w:rsid w:val="00A62088"/>
    <w:rsid w:val="00A62318"/>
    <w:rsid w:val="00A63846"/>
    <w:rsid w:val="00A6645D"/>
    <w:rsid w:val="00A70879"/>
    <w:rsid w:val="00A71318"/>
    <w:rsid w:val="00A83AB7"/>
    <w:rsid w:val="00AA00EF"/>
    <w:rsid w:val="00AA2694"/>
    <w:rsid w:val="00AB6EDA"/>
    <w:rsid w:val="00AC026B"/>
    <w:rsid w:val="00AC410F"/>
    <w:rsid w:val="00AC42DD"/>
    <w:rsid w:val="00AC43DF"/>
    <w:rsid w:val="00AC4AE9"/>
    <w:rsid w:val="00AC705B"/>
    <w:rsid w:val="00AE3DB7"/>
    <w:rsid w:val="00AF2158"/>
    <w:rsid w:val="00B02975"/>
    <w:rsid w:val="00B043C4"/>
    <w:rsid w:val="00B15399"/>
    <w:rsid w:val="00B24092"/>
    <w:rsid w:val="00B249CE"/>
    <w:rsid w:val="00B3278E"/>
    <w:rsid w:val="00B34DDE"/>
    <w:rsid w:val="00B41034"/>
    <w:rsid w:val="00B4430B"/>
    <w:rsid w:val="00B4534D"/>
    <w:rsid w:val="00B464BC"/>
    <w:rsid w:val="00B47EBC"/>
    <w:rsid w:val="00B53800"/>
    <w:rsid w:val="00B754E5"/>
    <w:rsid w:val="00B909F8"/>
    <w:rsid w:val="00B93F07"/>
    <w:rsid w:val="00B957D2"/>
    <w:rsid w:val="00BA02DC"/>
    <w:rsid w:val="00BA0DAC"/>
    <w:rsid w:val="00BA3847"/>
    <w:rsid w:val="00BB4E79"/>
    <w:rsid w:val="00BC089B"/>
    <w:rsid w:val="00BC0F06"/>
    <w:rsid w:val="00BC2E6D"/>
    <w:rsid w:val="00BC4590"/>
    <w:rsid w:val="00BC45E4"/>
    <w:rsid w:val="00BC54C4"/>
    <w:rsid w:val="00BC7525"/>
    <w:rsid w:val="00BD7A1F"/>
    <w:rsid w:val="00BE4ED1"/>
    <w:rsid w:val="00BF0B8C"/>
    <w:rsid w:val="00BF1ABC"/>
    <w:rsid w:val="00BF37AC"/>
    <w:rsid w:val="00BF76DC"/>
    <w:rsid w:val="00C02854"/>
    <w:rsid w:val="00C0490B"/>
    <w:rsid w:val="00C04FC3"/>
    <w:rsid w:val="00C0501F"/>
    <w:rsid w:val="00C135C3"/>
    <w:rsid w:val="00C14263"/>
    <w:rsid w:val="00C15D25"/>
    <w:rsid w:val="00C23FC3"/>
    <w:rsid w:val="00C246FA"/>
    <w:rsid w:val="00C30F7C"/>
    <w:rsid w:val="00C33015"/>
    <w:rsid w:val="00C43767"/>
    <w:rsid w:val="00C56B17"/>
    <w:rsid w:val="00C855C1"/>
    <w:rsid w:val="00C862FA"/>
    <w:rsid w:val="00C87D6C"/>
    <w:rsid w:val="00C87DF0"/>
    <w:rsid w:val="00C91188"/>
    <w:rsid w:val="00C91389"/>
    <w:rsid w:val="00C942FE"/>
    <w:rsid w:val="00C948B4"/>
    <w:rsid w:val="00C94ECA"/>
    <w:rsid w:val="00CA2E95"/>
    <w:rsid w:val="00CA4BC9"/>
    <w:rsid w:val="00CB1A65"/>
    <w:rsid w:val="00CC09E7"/>
    <w:rsid w:val="00CC792D"/>
    <w:rsid w:val="00CD674E"/>
    <w:rsid w:val="00CD7516"/>
    <w:rsid w:val="00CF0A3A"/>
    <w:rsid w:val="00CF7525"/>
    <w:rsid w:val="00D06DCA"/>
    <w:rsid w:val="00D10E0D"/>
    <w:rsid w:val="00D113CA"/>
    <w:rsid w:val="00D117BA"/>
    <w:rsid w:val="00D141FC"/>
    <w:rsid w:val="00D17412"/>
    <w:rsid w:val="00D27A81"/>
    <w:rsid w:val="00D3003F"/>
    <w:rsid w:val="00D34A33"/>
    <w:rsid w:val="00D353F0"/>
    <w:rsid w:val="00D35DC6"/>
    <w:rsid w:val="00D409FA"/>
    <w:rsid w:val="00D41479"/>
    <w:rsid w:val="00D41CC5"/>
    <w:rsid w:val="00D41D22"/>
    <w:rsid w:val="00D4639E"/>
    <w:rsid w:val="00D84E24"/>
    <w:rsid w:val="00D85AEB"/>
    <w:rsid w:val="00D871CD"/>
    <w:rsid w:val="00D97ABF"/>
    <w:rsid w:val="00DA6A10"/>
    <w:rsid w:val="00DA73A1"/>
    <w:rsid w:val="00DB1508"/>
    <w:rsid w:val="00DB523E"/>
    <w:rsid w:val="00DC03D8"/>
    <w:rsid w:val="00DD4C05"/>
    <w:rsid w:val="00DE202E"/>
    <w:rsid w:val="00DF2D5C"/>
    <w:rsid w:val="00DF70B5"/>
    <w:rsid w:val="00E00237"/>
    <w:rsid w:val="00E03E13"/>
    <w:rsid w:val="00E056D0"/>
    <w:rsid w:val="00E0711C"/>
    <w:rsid w:val="00E15972"/>
    <w:rsid w:val="00E32082"/>
    <w:rsid w:val="00E32DB6"/>
    <w:rsid w:val="00E352EE"/>
    <w:rsid w:val="00E41CB2"/>
    <w:rsid w:val="00E442CD"/>
    <w:rsid w:val="00E45A49"/>
    <w:rsid w:val="00E463A5"/>
    <w:rsid w:val="00E56222"/>
    <w:rsid w:val="00E5737E"/>
    <w:rsid w:val="00E6263C"/>
    <w:rsid w:val="00E63AAB"/>
    <w:rsid w:val="00E71A6E"/>
    <w:rsid w:val="00E725DA"/>
    <w:rsid w:val="00E74C86"/>
    <w:rsid w:val="00E7592B"/>
    <w:rsid w:val="00E80159"/>
    <w:rsid w:val="00E84A0D"/>
    <w:rsid w:val="00E84E29"/>
    <w:rsid w:val="00E93D05"/>
    <w:rsid w:val="00E94A74"/>
    <w:rsid w:val="00E95E3C"/>
    <w:rsid w:val="00E979D9"/>
    <w:rsid w:val="00EA022D"/>
    <w:rsid w:val="00EB063F"/>
    <w:rsid w:val="00EB4F6D"/>
    <w:rsid w:val="00EB6FD4"/>
    <w:rsid w:val="00EC42AC"/>
    <w:rsid w:val="00EC615C"/>
    <w:rsid w:val="00ED05F9"/>
    <w:rsid w:val="00ED4321"/>
    <w:rsid w:val="00EE3FCA"/>
    <w:rsid w:val="00EF4D36"/>
    <w:rsid w:val="00F00AB9"/>
    <w:rsid w:val="00F00F24"/>
    <w:rsid w:val="00F01255"/>
    <w:rsid w:val="00F04196"/>
    <w:rsid w:val="00F05AC7"/>
    <w:rsid w:val="00F10B63"/>
    <w:rsid w:val="00F1465D"/>
    <w:rsid w:val="00F15FD4"/>
    <w:rsid w:val="00F165FC"/>
    <w:rsid w:val="00F211B8"/>
    <w:rsid w:val="00F21D2C"/>
    <w:rsid w:val="00F22674"/>
    <w:rsid w:val="00F333A2"/>
    <w:rsid w:val="00F3539E"/>
    <w:rsid w:val="00F402FC"/>
    <w:rsid w:val="00F41280"/>
    <w:rsid w:val="00F44BC3"/>
    <w:rsid w:val="00F46C63"/>
    <w:rsid w:val="00F5211A"/>
    <w:rsid w:val="00F544D7"/>
    <w:rsid w:val="00F56061"/>
    <w:rsid w:val="00F6204E"/>
    <w:rsid w:val="00F62BA6"/>
    <w:rsid w:val="00F632EE"/>
    <w:rsid w:val="00F74D3D"/>
    <w:rsid w:val="00F75582"/>
    <w:rsid w:val="00F8536D"/>
    <w:rsid w:val="00F8619A"/>
    <w:rsid w:val="00F90945"/>
    <w:rsid w:val="00F90F55"/>
    <w:rsid w:val="00F913EE"/>
    <w:rsid w:val="00F93FD3"/>
    <w:rsid w:val="00FB0495"/>
    <w:rsid w:val="00FB165B"/>
    <w:rsid w:val="00FB6792"/>
    <w:rsid w:val="00FC4D38"/>
    <w:rsid w:val="00FC67DA"/>
    <w:rsid w:val="00FD17B3"/>
    <w:rsid w:val="00FE4911"/>
    <w:rsid w:val="00FE6532"/>
    <w:rsid w:val="00FF158B"/>
    <w:rsid w:val="00FF222D"/>
    <w:rsid w:val="00FF6454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D58347"/>
  <w15:chartTrackingRefBased/>
  <w15:docId w15:val="{062495F3-4218-5246-A65E-8089161A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BA2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35473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35473A"/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 Baptiste</dc:creator>
  <cp:keywords/>
  <dc:description/>
  <cp:lastModifiedBy>Paris Baptiste</cp:lastModifiedBy>
  <cp:revision>2</cp:revision>
  <dcterms:created xsi:type="dcterms:W3CDTF">2024-01-17T20:20:00Z</dcterms:created>
  <dcterms:modified xsi:type="dcterms:W3CDTF">2024-01-17T20:20:00Z</dcterms:modified>
</cp:coreProperties>
</file>