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77"/>
        <w:gridCol w:w="1419"/>
        <w:gridCol w:w="1418"/>
        <w:gridCol w:w="1063"/>
      </w:tblGrid>
      <w:tr w:rsidR="000D58DA" w:rsidRPr="00EF77FC" w14:paraId="3DAEB4C1" w14:textId="77777777" w:rsidTr="00C518F7">
        <w:trPr>
          <w:trHeight w:val="270"/>
          <w:tblHeader/>
        </w:trPr>
        <w:tc>
          <w:tcPr>
            <w:tcW w:w="9000" w:type="dxa"/>
            <w:gridSpan w:val="6"/>
            <w:shd w:val="clear" w:color="auto" w:fill="auto"/>
          </w:tcPr>
          <w:p w14:paraId="60BFEB32" w14:textId="77777777" w:rsidR="000D58DA" w:rsidRPr="00EF77FC" w:rsidRDefault="000D58DA" w:rsidP="00C518F7">
            <w:pPr>
              <w:pStyle w:val="Caption"/>
              <w:keepNext/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Supplementary Table 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4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Baseline characteristics and standardised differences of trial-eligible 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Black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patients after applying trial criteria included in propensity-score—weighted analysis before and after weighting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for extending analysis to underrepresented groups</w:t>
            </w:r>
          </w:p>
        </w:tc>
      </w:tr>
      <w:tr w:rsidR="000D58DA" w:rsidRPr="00E91EF5" w14:paraId="0871309E" w14:textId="77777777" w:rsidTr="00C518F7">
        <w:trPr>
          <w:trHeight w:val="27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936EA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645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39C90F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Black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 ethnic group</w:t>
            </w:r>
          </w:p>
        </w:tc>
      </w:tr>
      <w:tr w:rsidR="000D58DA" w:rsidRPr="00E91EF5" w14:paraId="380BF309" w14:textId="77777777" w:rsidTr="00C518F7">
        <w:trPr>
          <w:trHeight w:val="270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C05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78AFA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Before weighting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CF682F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After weighting</w:t>
            </w:r>
          </w:p>
        </w:tc>
      </w:tr>
      <w:tr w:rsidR="000D58DA" w:rsidRPr="00E91EF5" w14:paraId="5037E3EF" w14:textId="77777777" w:rsidTr="00C518F7">
        <w:trPr>
          <w:trHeight w:val="823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72EA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24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1A46635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N=1</w:t>
            </w:r>
            <w:r>
              <w:rPr>
                <w:rFonts w:ascii="Times" w:hAnsi="Times"/>
                <w:sz w:val="20"/>
                <w:szCs w:val="20"/>
              </w:rPr>
              <w:t>1,646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6AA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562F802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5,947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9E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5878A62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N=1</w:t>
            </w:r>
            <w:r>
              <w:rPr>
                <w:rFonts w:ascii="Times" w:hAnsi="Times"/>
                <w:sz w:val="20"/>
                <w:szCs w:val="20"/>
              </w:rPr>
              <w:t>7,144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2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1A1EE35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17,371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09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SMD</w:t>
            </w:r>
          </w:p>
        </w:tc>
      </w:tr>
      <w:tr w:rsidR="000D58DA" w:rsidRPr="00E91EF5" w14:paraId="2338FB6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0265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year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3A806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68.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8.9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D229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68.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8.9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C04207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68.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5F595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68.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8.9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42B9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0D58DA" w:rsidRPr="00E91EF5" w14:paraId="3116BBF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4795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Systolic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5107C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144.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19.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53A2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144.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4B505F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19.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B1E0A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144.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4CC1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0D58DA" w:rsidRPr="00E91EF5" w14:paraId="2F7AF7A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5C753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Diastolic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2C97C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80.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10.8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7012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80.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10.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C845C4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80.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D42C0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80.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10.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B44C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03</w:t>
            </w:r>
          </w:p>
        </w:tc>
      </w:tr>
      <w:tr w:rsidR="000D58DA" w:rsidRPr="00E91EF5" w14:paraId="5E8920D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B049B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Body-mass index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6C605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30.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5.9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902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29.8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5.7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2DBDCC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30.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5.8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B138A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30.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806C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16</w:t>
            </w:r>
          </w:p>
        </w:tc>
      </w:tr>
      <w:tr w:rsidR="000D58DA" w:rsidRPr="00E91EF5" w14:paraId="2348379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A1F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Creatinine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E91EF5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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mol/l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57645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32.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1CDA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29.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42C3EC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98.2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71962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8.0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30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875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005</w:t>
            </w:r>
          </w:p>
        </w:tc>
      </w:tr>
      <w:tr w:rsidR="000D58DA" w:rsidRPr="00E91EF5" w14:paraId="2D582DD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A04F6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Female sex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ED081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3439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3E9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5982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C9BC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9247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708C8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9314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C57F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06</w:t>
            </w:r>
          </w:p>
        </w:tc>
      </w:tr>
      <w:tr w:rsidR="000D58DA" w:rsidRPr="00E91EF5" w14:paraId="5CFE072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2B1E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Clinical history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CE970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480F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3538D7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68030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7E3E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D58DA" w:rsidRPr="00E91EF5" w14:paraId="3358014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549E6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CAD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D0B12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3883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(65.3)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12A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7812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(67.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FBCDF8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11318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D7AA4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11511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A7F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0D58DA" w:rsidRPr="00E91EF5" w14:paraId="135E730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5EA84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Cerebrovascular disease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72AF1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586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80E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1169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AC17BD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1736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B8350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1738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270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04</w:t>
            </w:r>
          </w:p>
        </w:tc>
      </w:tr>
      <w:tr w:rsidR="000D58DA" w:rsidRPr="00E91EF5" w14:paraId="67CDFF3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F25C3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PAD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08845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551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5AB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1029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(8.8)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3071F8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1539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508FD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1550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A641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</w:tr>
      <w:tr w:rsidR="000D58DA" w:rsidRPr="00E91EF5" w14:paraId="5B123A9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605A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Diabetes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D2C0F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4623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2790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9114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(78.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42A20E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13397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3D985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13575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9E13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0D58DA" w:rsidRPr="00E91EF5" w14:paraId="0B3AD53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DE56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High-risk diabetes</w:t>
            </w: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27674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3537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(59.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1E70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6763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(58.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2FA033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10159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5B1E5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10249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8C28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0D58DA" w:rsidRPr="00E91EF5" w14:paraId="3ECFA3DD" w14:textId="77777777" w:rsidTr="00C518F7">
        <w:trPr>
          <w:trHeight w:val="347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463E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Smoking status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1D994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FA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6CF0EB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73FBF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5EDC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D58DA" w:rsidRPr="00E91EF5" w14:paraId="72A0ED5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E3472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Non-smoker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BEC71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2489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(41.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98B3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4789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68F659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7080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3A630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7165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5A3F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0D58DA" w:rsidRPr="00E91EF5" w14:paraId="5AF658D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DE093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Current 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5D234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186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ECE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709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(23.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E74184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3787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(22.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D4A0B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3858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(22.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600B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3</w:t>
            </w:r>
          </w:p>
        </w:tc>
      </w:tr>
      <w:tr w:rsidR="000D58DA" w:rsidRPr="00E91EF5" w14:paraId="091E8C4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A8985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Past smoker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3A784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272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0D4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148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21E81C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6277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65D4C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6349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(36.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1FAC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0D58DA" w:rsidRPr="00E91EF5" w14:paraId="7D315D6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8F794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Alcohol drinker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3EDCE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D78B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0FDB6F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5FEB9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D772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D58DA" w:rsidRPr="00E91EF5" w14:paraId="6BBCFB09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8F568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Yes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4B9197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2639 (44.4)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1C8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5361 (46.0)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8DC5C9C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7789 (45.4)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D97FE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7908 (45.5)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D63D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0.002</w:t>
            </w:r>
          </w:p>
        </w:tc>
      </w:tr>
      <w:tr w:rsidR="000D58DA" w:rsidRPr="00E91EF5" w14:paraId="155D54C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77BBC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2B1B0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2836 (47.7)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7975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5323 (45.7)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9F59563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7911 (46.1)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70B3F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8068 (46.4)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4924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0.006</w:t>
            </w:r>
          </w:p>
        </w:tc>
      </w:tr>
      <w:tr w:rsidR="000D58DA" w14:paraId="3909C32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A816E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Unknown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942DB5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472 (7.9)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3CF1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962 (8.3)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4F0A845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1444 (8.4)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7413D1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1395 (8.0)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90DF8" w14:textId="77777777" w:rsidR="000D58DA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0.014</w:t>
            </w:r>
          </w:p>
        </w:tc>
      </w:tr>
      <w:tr w:rsidR="000D58DA" w:rsidRPr="00E91EF5" w14:paraId="1D9F7EA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083C3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Medication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e 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1BAC7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3A51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FD18A7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B9138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F86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D58DA" w:rsidRPr="00E91EF5" w14:paraId="1A074FA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BFF5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Alpha-blocker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D5C8D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1090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(18.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816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1657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(14.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F1E0C3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2856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C7EA6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2799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9643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15</w:t>
            </w:r>
          </w:p>
        </w:tc>
      </w:tr>
      <w:tr w:rsidR="000D58DA" w:rsidRPr="00E91EF5" w14:paraId="10074010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87FAF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Oral anticoagulant agent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971C4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11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(3.6)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1F5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(3.4)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4D22C4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F8D05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E91A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0D58DA" w:rsidRPr="00E91EF5" w14:paraId="72AB81D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171B8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Antiplatelet agent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E4536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(5.6)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0225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630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D11F79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942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55089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974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8734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05</w:t>
            </w:r>
          </w:p>
        </w:tc>
      </w:tr>
      <w:tr w:rsidR="000D58DA" w:rsidRPr="00E91EF5" w14:paraId="3497EDC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142DD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Aspirin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8EFAD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1638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(27.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8F84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3167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(27.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19A435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4884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154DB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4843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71A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13</w:t>
            </w:r>
          </w:p>
        </w:tc>
      </w:tr>
      <w:tr w:rsidR="000D58DA" w:rsidRPr="00E91EF5" w14:paraId="36CA5C8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9BF4A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Beta-blocker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7C451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1329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(22.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2B1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2459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(21.1)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BA6357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3842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5D4EA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3789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00AC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14</w:t>
            </w:r>
          </w:p>
        </w:tc>
      </w:tr>
      <w:tr w:rsidR="000D58DA" w:rsidRPr="00E91EF5" w14:paraId="03AD2F5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C2732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Calcium-channel blocker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886A9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3029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(50.9)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D793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5616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ECF4D4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8783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D5709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8636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(49.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D471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30</w:t>
            </w:r>
          </w:p>
        </w:tc>
      </w:tr>
      <w:tr w:rsidR="000D58DA" w:rsidRPr="00E91EF5" w14:paraId="1C9BA42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D4132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Digoxin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BADDE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(1.1)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0A0D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114 (0.9)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4A88417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450DE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71A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11</w:t>
            </w:r>
          </w:p>
        </w:tc>
      </w:tr>
      <w:tr w:rsidR="000D58DA" w:rsidRPr="00E91EF5" w14:paraId="48A643D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54483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Diuretics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520EF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2470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(41.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B8A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4252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(36.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058E5A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6895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6F50E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6777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F4C7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25</w:t>
            </w:r>
          </w:p>
        </w:tc>
      </w:tr>
      <w:tr w:rsidR="000D58DA" w:rsidRPr="00E91EF5" w14:paraId="2FF4881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515DA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lastRenderedPageBreak/>
              <w:t xml:space="preserve">     Diabetic treatment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A40D0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2486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(41.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3E42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4992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1A3E77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7414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F35E0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7461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FDC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06</w:t>
            </w:r>
          </w:p>
        </w:tc>
      </w:tr>
      <w:tr w:rsidR="000D58DA" w:rsidRPr="00E91EF5" w14:paraId="6DAC3AB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597AF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Nitrates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68F50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D8EB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589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(5.1)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0A82B7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869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9938A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867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FE54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04</w:t>
            </w:r>
          </w:p>
        </w:tc>
      </w:tr>
      <w:tr w:rsidR="000D58DA" w:rsidRPr="00E91EF5" w14:paraId="636AA4E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CB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Statins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C5C39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2700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(45.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E0FF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5350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CE642F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8086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A4540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8067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(46.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856E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0.01</w:t>
            </w:r>
            <w:r>
              <w:rPr>
                <w:rFonts w:ascii="Times" w:hAnsi="Times"/>
                <w:sz w:val="20"/>
                <w:szCs w:val="20"/>
              </w:rPr>
              <w:t>5</w:t>
            </w:r>
          </w:p>
        </w:tc>
      </w:tr>
      <w:tr w:rsidR="000D58DA" w:rsidRPr="00E91EF5" w14:paraId="6A00F89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4E24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Time-related variables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A86AC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5DAC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F76760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9BE3A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857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D58DA" w:rsidRPr="00E91EF5" w14:paraId="26A2BB8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CAFF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Time since trial-eligible period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CE6D4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430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949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42CE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764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F7BF63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368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891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A129F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864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4D95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27</w:t>
            </w:r>
          </w:p>
        </w:tc>
      </w:tr>
      <w:tr w:rsidR="000D58DA" w:rsidRPr="00E91EF5" w14:paraId="3CB72E9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099C8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prior ARB eligible periods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187DE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.2 (2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2BE2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0.3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A653FE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5125B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071B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023</w:t>
            </w:r>
          </w:p>
        </w:tc>
      </w:tr>
      <w:tr w:rsidR="000D58DA" w:rsidRPr="00E91EF5" w14:paraId="74F5BEB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3C1D4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prior ACEi eligible periods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AFD3D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2.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E68D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7E917D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443FD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DF71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90</w:t>
            </w:r>
          </w:p>
        </w:tc>
      </w:tr>
      <w:tr w:rsidR="000D58DA" w:rsidRPr="00E91EF5" w14:paraId="380AE67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D244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Calendar year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0C2A4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201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5.3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EF31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2011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5.3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E8142A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2011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E7C7F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2011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EC51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02</w:t>
            </w:r>
          </w:p>
        </w:tc>
      </w:tr>
      <w:tr w:rsidR="000D58DA" w:rsidRPr="00E91EF5" w14:paraId="0B15388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7E2B5" w14:textId="77777777" w:rsidR="000D58DA" w:rsidRPr="00260B37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Healthcare utilisation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>f</w:t>
            </w:r>
            <w:r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– mean (SD)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01092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9F1D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450A86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59D189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8453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D58DA" w:rsidRPr="00E91EF5" w14:paraId="3A880C9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BD06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GP appointments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D17B4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7.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16F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12.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5DA0A04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10.4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32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3161E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0.7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340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010</w:t>
            </w:r>
          </w:p>
        </w:tc>
      </w:tr>
      <w:tr w:rsidR="000D58DA" w:rsidRPr="00E91EF5" w14:paraId="6DBF96C9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7372D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Number of hospital admissions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EC6FAB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.0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12.6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4E76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11.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6AE7D6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12.4)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0D1B6E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3.1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03F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0D58DA" w:rsidRPr="00E91EF5" w14:paraId="755162B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89EB8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Index of multiple deprivation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–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E91E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7BDE2D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AB5394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56483A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1BBCE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A5024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0D58DA" w:rsidRPr="00E91EF5" w14:paraId="226D053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3CE6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1 (least)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AE135A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150 (2.5)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1CD4D37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(2.7)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BC136C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433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5E384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444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(2.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84B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02</w:t>
            </w:r>
          </w:p>
        </w:tc>
      </w:tr>
      <w:tr w:rsidR="000D58DA" w:rsidRPr="00E91EF5" w14:paraId="40A7B9E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294D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5D65C8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(6.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BA82338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675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(5.8)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C5C116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989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158CF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1011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(5.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EB2A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</w:tr>
      <w:tr w:rsidR="000D58DA" w:rsidRPr="00E91EF5" w14:paraId="79A9F58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3D6F0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BA9B75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924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(15.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8EB4BB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735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(14.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5C46D6A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2609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A675B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2649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(1</w:t>
            </w:r>
            <w:r>
              <w:rPr>
                <w:rFonts w:ascii="Times" w:hAnsi="Times"/>
                <w:sz w:val="20"/>
                <w:szCs w:val="20"/>
              </w:rPr>
              <w:t>5.3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D12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1</w:t>
            </w:r>
          </w:p>
        </w:tc>
      </w:tr>
      <w:tr w:rsidR="000D58DA" w:rsidRPr="00E91EF5" w14:paraId="4440537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CC603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E851AB6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131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(35.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35E85BD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250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(36.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C3DAAC2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6228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CC9B23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6317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(36.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84C3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01</w:t>
            </w:r>
          </w:p>
        </w:tc>
      </w:tr>
      <w:tr w:rsidR="000D58DA" w:rsidRPr="00E91EF5" w14:paraId="6EEB381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EB745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     5 (most)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F59D75C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372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39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4A7EA05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4672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(40.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28C99690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6885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A1D67F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6950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40</w:t>
            </w:r>
            <w:r w:rsidRPr="00E91E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E91E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AB37" w14:textId="77777777" w:rsidR="000D58DA" w:rsidRPr="00E91EF5" w:rsidRDefault="000D58D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03</w:t>
            </w:r>
          </w:p>
        </w:tc>
      </w:tr>
      <w:tr w:rsidR="000D58DA" w:rsidRPr="00E91EF5" w14:paraId="3459C4B8" w14:textId="77777777" w:rsidTr="00C518F7"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C5C3" w14:textId="77777777" w:rsidR="000D58DA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 xml:space="preserve">N= number of patients; no. (%)=number (percent); </w:t>
            </w:r>
            <w:r>
              <w:rPr>
                <w:rFonts w:ascii="Times" w:hAnsi="Times"/>
                <w:sz w:val="20"/>
                <w:szCs w:val="20"/>
              </w:rPr>
              <w:t xml:space="preserve">SD= standard deviation; </w:t>
            </w:r>
            <w:r w:rsidRPr="00E91EF5">
              <w:rPr>
                <w:rFonts w:ascii="Times" w:hAnsi="Times"/>
                <w:sz w:val="20"/>
                <w:szCs w:val="20"/>
              </w:rPr>
              <w:t>SMD=standardised mean difference; BP= blood pressure; CAD=coronary artery disease; PAD=peripheral artery disease</w:t>
            </w:r>
          </w:p>
          <w:p w14:paraId="6756A9F9" w14:textId="77777777" w:rsidR="000D58DA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Post-weighting N displays weighted distribution of number of patients in the two exposure groups.</w:t>
            </w:r>
          </w:p>
          <w:p w14:paraId="02C39106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Propensity-score weights are unstabilized inverse probability weights.</w:t>
            </w:r>
          </w:p>
          <w:p w14:paraId="239F454F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</w:rPr>
              <w:t>One third of ONTARGET participants received both ramipril plus telmisartan.</w:t>
            </w:r>
          </w:p>
          <w:p w14:paraId="3032AF09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a </w:t>
            </w:r>
            <w:r w:rsidRPr="00E91EF5">
              <w:rPr>
                <w:rFonts w:ascii="Times" w:hAnsi="Times"/>
                <w:sz w:val="20"/>
                <w:szCs w:val="20"/>
              </w:rPr>
              <w:t>Includes diagnosis of: MI at least 2 days prior, angina at least 30 days prior, angioplasty at least 30 days prior, CABG at least 4 years prior</w:t>
            </w:r>
          </w:p>
          <w:p w14:paraId="2371B3C1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diagnosis of: stroke/TIA</w:t>
            </w:r>
          </w:p>
          <w:p w14:paraId="5C09B187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lastRenderedPageBreak/>
              <w:t>c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diagnosis of: limb bypass surgery, limb/foot amputation, intermittent claudication</w:t>
            </w:r>
          </w:p>
          <w:p w14:paraId="7AEC6DA4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  <w:r w:rsidRPr="00E91EF5">
              <w:rPr>
                <w:rFonts w:ascii="Times" w:hAnsi="Times"/>
                <w:sz w:val="20"/>
                <w:szCs w:val="20"/>
              </w:rPr>
              <w:t xml:space="preserve"> Includes DM with: retinopathy, neuropathy, chronic kidney disease, proteinuria or other complication</w:t>
            </w:r>
          </w:p>
          <w:p w14:paraId="5B373878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e </w:t>
            </w:r>
            <w:r w:rsidRPr="00E91EF5">
              <w:rPr>
                <w:rFonts w:ascii="Times" w:hAnsi="Times"/>
                <w:sz w:val="20"/>
                <w:szCs w:val="20"/>
              </w:rPr>
              <w:t>Within 3 months prior to eligible start date. Antiplatelet agent= clopidogrel/ticlopidine</w:t>
            </w:r>
          </w:p>
          <w:p w14:paraId="707E323A" w14:textId="77777777" w:rsidR="000D58DA" w:rsidRPr="00E91EF5" w:rsidRDefault="000D58D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E91EF5">
              <w:rPr>
                <w:rFonts w:ascii="Times" w:hAnsi="Times"/>
                <w:sz w:val="20"/>
                <w:szCs w:val="20"/>
                <w:vertAlign w:val="superscript"/>
              </w:rPr>
              <w:t xml:space="preserve">f </w:t>
            </w:r>
            <w:r w:rsidRPr="00E91EF5">
              <w:rPr>
                <w:rFonts w:ascii="Times" w:hAnsi="Times"/>
                <w:sz w:val="20"/>
                <w:szCs w:val="20"/>
              </w:rPr>
              <w:t>Within 6 months prior to eligible start date.</w:t>
            </w:r>
          </w:p>
        </w:tc>
      </w:tr>
    </w:tbl>
    <w:p w14:paraId="49D75EA9" w14:textId="77777777" w:rsidR="006547D8" w:rsidRDefault="006547D8"/>
    <w:sectPr w:rsidR="006547D8" w:rsidSect="001E7A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D58DA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E7AF5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2024-01-17T20:18:00Z</dcterms:created>
  <dcterms:modified xsi:type="dcterms:W3CDTF">2024-01-17T20:18:00Z</dcterms:modified>
</cp:coreProperties>
</file>