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5"/>
        <w:gridCol w:w="4505"/>
      </w:tblGrid>
      <w:tr w:rsidR="002F56C7" w:rsidRPr="00867F0E" w14:paraId="2FB4D249" w14:textId="77777777" w:rsidTr="00C518F7">
        <w:tc>
          <w:tcPr>
            <w:tcW w:w="9010" w:type="dxa"/>
            <w:gridSpan w:val="2"/>
            <w:tcBorders>
              <w:top w:val="nil"/>
              <w:left w:val="nil"/>
              <w:bottom w:val="nil"/>
              <w:right w:val="nil"/>
            </w:tcBorders>
          </w:tcPr>
          <w:p w14:paraId="659F6A10" w14:textId="77777777" w:rsidR="002F56C7" w:rsidRPr="00867F0E" w:rsidRDefault="002F56C7" w:rsidP="00C518F7">
            <w:pPr>
              <w:spacing w:line="480" w:lineRule="auto"/>
              <w:rPr>
                <w:rFonts w:ascii="Helvetica" w:hAnsi="Helvetica" w:cs="Arial"/>
              </w:rPr>
            </w:pPr>
          </w:p>
        </w:tc>
      </w:tr>
      <w:tr w:rsidR="002F56C7" w:rsidRPr="00867F0E" w14:paraId="1D61B7B9" w14:textId="77777777" w:rsidTr="00C518F7">
        <w:tc>
          <w:tcPr>
            <w:tcW w:w="9010" w:type="dxa"/>
            <w:gridSpan w:val="2"/>
            <w:tcBorders>
              <w:top w:val="nil"/>
              <w:left w:val="nil"/>
              <w:bottom w:val="single" w:sz="12" w:space="0" w:color="auto"/>
              <w:right w:val="nil"/>
            </w:tcBorders>
            <w:shd w:val="clear" w:color="auto" w:fill="auto"/>
          </w:tcPr>
          <w:p w14:paraId="46F418A1" w14:textId="77777777" w:rsidR="002F56C7" w:rsidRPr="00843227" w:rsidRDefault="002F56C7" w:rsidP="00C518F7">
            <w:pPr>
              <w:spacing w:line="480" w:lineRule="auto"/>
              <w:rPr>
                <w:rFonts w:ascii="Times" w:hAnsi="Times" w:cs="Arial"/>
                <w:b/>
                <w:sz w:val="20"/>
                <w:szCs w:val="20"/>
              </w:rPr>
            </w:pPr>
            <w:r w:rsidRPr="00843227">
              <w:rPr>
                <w:rFonts w:ascii="Times" w:hAnsi="Times" w:cs="Arial"/>
                <w:b/>
                <w:bCs/>
                <w:sz w:val="20"/>
                <w:szCs w:val="20"/>
              </w:rPr>
              <w:t xml:space="preserve">Supplementary Table </w:t>
            </w:r>
            <w:r w:rsidRPr="00843227">
              <w:rPr>
                <w:rFonts w:ascii="Times" w:hAnsi="Times" w:cstheme="minorHAnsi"/>
                <w:b/>
                <w:bCs/>
                <w:sz w:val="20"/>
                <w:szCs w:val="20"/>
              </w:rPr>
              <w:t>S</w:t>
            </w:r>
            <w:r>
              <w:rPr>
                <w:rFonts w:ascii="Times" w:hAnsi="Times" w:cstheme="minorHAnsi"/>
                <w:b/>
                <w:bCs/>
                <w:sz w:val="20"/>
                <w:szCs w:val="20"/>
              </w:rPr>
              <w:t>11</w:t>
            </w:r>
            <w:r w:rsidRPr="00843227">
              <w:rPr>
                <w:rFonts w:ascii="Times" w:hAnsi="Times" w:cstheme="minorHAnsi"/>
                <w:b/>
                <w:bCs/>
                <w:sz w:val="20"/>
                <w:szCs w:val="20"/>
              </w:rPr>
              <w:t>.</w:t>
            </w:r>
            <w:r w:rsidRPr="00843227">
              <w:rPr>
                <w:rFonts w:ascii="Times" w:hAnsi="Times" w:cstheme="minorHAnsi"/>
                <w:sz w:val="20"/>
                <w:szCs w:val="20"/>
              </w:rPr>
              <w:t xml:space="preserve"> Table of trial exclusion criteria and interpretation in CPRD.</w:t>
            </w:r>
          </w:p>
        </w:tc>
      </w:tr>
      <w:tr w:rsidR="002F56C7" w:rsidRPr="00867F0E" w14:paraId="1D9343D9" w14:textId="77777777" w:rsidTr="00C518F7">
        <w:tc>
          <w:tcPr>
            <w:tcW w:w="4505" w:type="dxa"/>
            <w:tcBorders>
              <w:bottom w:val="single" w:sz="12" w:space="0" w:color="auto"/>
            </w:tcBorders>
            <w:shd w:val="clear" w:color="auto" w:fill="D0CECE" w:themeFill="background2" w:themeFillShade="E6"/>
          </w:tcPr>
          <w:p w14:paraId="48D208E0" w14:textId="77777777" w:rsidR="002F56C7" w:rsidRPr="00843227" w:rsidRDefault="002F56C7" w:rsidP="00C518F7">
            <w:pPr>
              <w:spacing w:line="480" w:lineRule="auto"/>
              <w:rPr>
                <w:rFonts w:ascii="Times" w:hAnsi="Times" w:cs="Arial"/>
                <w:sz w:val="20"/>
                <w:szCs w:val="20"/>
              </w:rPr>
            </w:pPr>
            <w:r w:rsidRPr="00843227">
              <w:rPr>
                <w:rFonts w:ascii="Times" w:hAnsi="Times" w:cs="Arial"/>
                <w:b/>
                <w:sz w:val="20"/>
                <w:szCs w:val="20"/>
              </w:rPr>
              <w:t>ONTARGET/TRANSCEND exclusion criteria</w:t>
            </w:r>
          </w:p>
        </w:tc>
        <w:tc>
          <w:tcPr>
            <w:tcW w:w="4505" w:type="dxa"/>
            <w:tcBorders>
              <w:bottom w:val="single" w:sz="12" w:space="0" w:color="auto"/>
            </w:tcBorders>
            <w:shd w:val="clear" w:color="auto" w:fill="D0CECE" w:themeFill="background2" w:themeFillShade="E6"/>
          </w:tcPr>
          <w:p w14:paraId="3CAB5CF5" w14:textId="77777777" w:rsidR="002F56C7" w:rsidRPr="00843227" w:rsidRDefault="002F56C7" w:rsidP="00C518F7">
            <w:pPr>
              <w:spacing w:line="480" w:lineRule="auto"/>
              <w:rPr>
                <w:rFonts w:ascii="Times" w:hAnsi="Times" w:cs="Arial"/>
                <w:b/>
                <w:sz w:val="20"/>
                <w:szCs w:val="20"/>
              </w:rPr>
            </w:pPr>
            <w:r w:rsidRPr="00843227">
              <w:rPr>
                <w:rFonts w:ascii="Times" w:hAnsi="Times" w:cs="Arial"/>
                <w:b/>
                <w:sz w:val="20"/>
                <w:szCs w:val="20"/>
              </w:rPr>
              <w:t xml:space="preserve">CPRD </w:t>
            </w:r>
            <w:proofErr w:type="spellStart"/>
            <w:r w:rsidRPr="00843227">
              <w:rPr>
                <w:rFonts w:ascii="Times" w:hAnsi="Times" w:cs="Arial"/>
                <w:b/>
                <w:sz w:val="20"/>
                <w:szCs w:val="20"/>
              </w:rPr>
              <w:t>Aurum</w:t>
            </w:r>
            <w:proofErr w:type="spellEnd"/>
            <w:r w:rsidRPr="00843227">
              <w:rPr>
                <w:rFonts w:ascii="Times" w:hAnsi="Times" w:cs="Arial"/>
                <w:b/>
                <w:sz w:val="20"/>
                <w:szCs w:val="20"/>
              </w:rPr>
              <w:t xml:space="preserve"> (HES + ONS Linked)</w:t>
            </w:r>
          </w:p>
          <w:p w14:paraId="1519E5D8" w14:textId="77777777" w:rsidR="002F56C7" w:rsidRPr="00843227" w:rsidRDefault="002F56C7" w:rsidP="00C518F7">
            <w:pPr>
              <w:spacing w:line="480" w:lineRule="auto"/>
              <w:rPr>
                <w:rFonts w:ascii="Times" w:hAnsi="Times" w:cs="Arial"/>
                <w:sz w:val="20"/>
                <w:szCs w:val="20"/>
              </w:rPr>
            </w:pPr>
            <w:r w:rsidRPr="00843227">
              <w:rPr>
                <w:rFonts w:ascii="Times" w:hAnsi="Times" w:cs="Arial"/>
                <w:b/>
                <w:sz w:val="20"/>
                <w:szCs w:val="20"/>
              </w:rPr>
              <w:t>READ or ICD 10 code (prior to eligible for inclusion date, unless otherwise specified) for:</w:t>
            </w:r>
          </w:p>
        </w:tc>
      </w:tr>
      <w:tr w:rsidR="002F56C7" w:rsidRPr="00867F0E" w14:paraId="23645CC3" w14:textId="77777777" w:rsidTr="00C518F7">
        <w:tc>
          <w:tcPr>
            <w:tcW w:w="4505" w:type="dxa"/>
            <w:tcBorders>
              <w:top w:val="single" w:sz="12" w:space="0" w:color="auto"/>
            </w:tcBorders>
          </w:tcPr>
          <w:p w14:paraId="359E8E09" w14:textId="77777777" w:rsidR="002F56C7" w:rsidRPr="00843227" w:rsidRDefault="002F56C7" w:rsidP="00C518F7">
            <w:pPr>
              <w:spacing w:line="480" w:lineRule="auto"/>
              <w:rPr>
                <w:rFonts w:ascii="Times" w:hAnsi="Times" w:cs="Arial"/>
                <w:b/>
                <w:bCs/>
                <w:sz w:val="20"/>
                <w:szCs w:val="20"/>
              </w:rPr>
            </w:pPr>
            <w:r w:rsidRPr="00843227">
              <w:rPr>
                <w:rFonts w:ascii="Times" w:hAnsi="Times" w:cs="Arial"/>
                <w:sz w:val="20"/>
                <w:szCs w:val="20"/>
              </w:rPr>
              <w:t>Inability to discontinue ACE</w:t>
            </w:r>
            <w:r>
              <w:rPr>
                <w:rFonts w:ascii="Times" w:hAnsi="Times" w:cs="Arial"/>
                <w:sz w:val="20"/>
                <w:szCs w:val="20"/>
              </w:rPr>
              <w:t xml:space="preserve">i </w:t>
            </w:r>
            <w:r w:rsidRPr="00843227">
              <w:rPr>
                <w:rFonts w:ascii="Times" w:hAnsi="Times" w:cs="Arial"/>
                <w:sz w:val="20"/>
                <w:szCs w:val="20"/>
              </w:rPr>
              <w:t>or ARB</w:t>
            </w:r>
          </w:p>
        </w:tc>
        <w:tc>
          <w:tcPr>
            <w:tcW w:w="4505" w:type="dxa"/>
            <w:tcBorders>
              <w:top w:val="single" w:sz="12" w:space="0" w:color="auto"/>
            </w:tcBorders>
          </w:tcPr>
          <w:p w14:paraId="1EBBBD92" w14:textId="77777777" w:rsidR="002F56C7" w:rsidRPr="00843227" w:rsidRDefault="002F56C7" w:rsidP="00C518F7">
            <w:pPr>
              <w:spacing w:line="480" w:lineRule="auto"/>
              <w:rPr>
                <w:rFonts w:ascii="Times" w:hAnsi="Times" w:cs="Arial"/>
                <w:b/>
                <w:bCs/>
                <w:sz w:val="20"/>
                <w:szCs w:val="20"/>
              </w:rPr>
            </w:pPr>
            <w:r w:rsidRPr="00843227">
              <w:rPr>
                <w:rFonts w:ascii="Times" w:hAnsi="Times" w:cs="Arial"/>
                <w:sz w:val="20"/>
                <w:szCs w:val="20"/>
              </w:rPr>
              <w:t>Not applicable</w:t>
            </w:r>
          </w:p>
        </w:tc>
      </w:tr>
      <w:tr w:rsidR="002F56C7" w:rsidRPr="00867F0E" w14:paraId="1A4C33BC" w14:textId="77777777" w:rsidTr="00C518F7">
        <w:tc>
          <w:tcPr>
            <w:tcW w:w="4505" w:type="dxa"/>
          </w:tcPr>
          <w:p w14:paraId="5C476CB2" w14:textId="77777777" w:rsidR="002F56C7" w:rsidRPr="00843227" w:rsidRDefault="002F56C7" w:rsidP="00C518F7">
            <w:pPr>
              <w:spacing w:line="480" w:lineRule="auto"/>
              <w:rPr>
                <w:rFonts w:ascii="Times" w:hAnsi="Times" w:cs="Arial"/>
                <w:b/>
                <w:bCs/>
                <w:sz w:val="20"/>
                <w:szCs w:val="20"/>
              </w:rPr>
            </w:pPr>
            <w:r w:rsidRPr="00843227">
              <w:rPr>
                <w:rFonts w:ascii="Times" w:hAnsi="Times" w:cs="Arial"/>
                <w:sz w:val="20"/>
                <w:szCs w:val="20"/>
              </w:rPr>
              <w:t>Known hypersensitivity or intolerance to ACE</w:t>
            </w:r>
            <w:r>
              <w:rPr>
                <w:rFonts w:ascii="Times" w:hAnsi="Times" w:cs="Arial"/>
                <w:sz w:val="20"/>
                <w:szCs w:val="20"/>
              </w:rPr>
              <w:t xml:space="preserve">i </w:t>
            </w:r>
            <w:r w:rsidRPr="00843227">
              <w:rPr>
                <w:rFonts w:ascii="Times" w:hAnsi="Times" w:cs="Arial"/>
                <w:sz w:val="20"/>
                <w:szCs w:val="20"/>
              </w:rPr>
              <w:t>or ARB</w:t>
            </w:r>
          </w:p>
        </w:tc>
        <w:tc>
          <w:tcPr>
            <w:tcW w:w="4505" w:type="dxa"/>
          </w:tcPr>
          <w:p w14:paraId="3B21C9EC" w14:textId="77777777" w:rsidR="002F56C7" w:rsidRPr="00843227" w:rsidRDefault="002F56C7" w:rsidP="00C518F7">
            <w:pPr>
              <w:spacing w:line="480" w:lineRule="auto"/>
              <w:rPr>
                <w:rFonts w:ascii="Times" w:hAnsi="Times" w:cs="Arial"/>
                <w:b/>
                <w:bCs/>
                <w:sz w:val="20"/>
                <w:szCs w:val="20"/>
              </w:rPr>
            </w:pPr>
            <w:r w:rsidRPr="00843227">
              <w:rPr>
                <w:rFonts w:ascii="Times" w:hAnsi="Times" w:cs="Arial"/>
                <w:sz w:val="20"/>
                <w:szCs w:val="20"/>
              </w:rPr>
              <w:t>Not applicable</w:t>
            </w:r>
          </w:p>
        </w:tc>
      </w:tr>
      <w:tr w:rsidR="002F56C7" w:rsidRPr="00867F0E" w14:paraId="34F94A9F" w14:textId="77777777" w:rsidTr="00C518F7">
        <w:tc>
          <w:tcPr>
            <w:tcW w:w="4505" w:type="dxa"/>
          </w:tcPr>
          <w:p w14:paraId="78697455" w14:textId="77777777" w:rsidR="002F56C7" w:rsidRPr="00843227" w:rsidRDefault="002F56C7" w:rsidP="00C518F7">
            <w:pPr>
              <w:spacing w:line="480" w:lineRule="auto"/>
              <w:rPr>
                <w:rFonts w:ascii="Times" w:hAnsi="Times" w:cs="Arial"/>
                <w:b/>
                <w:bCs/>
                <w:sz w:val="20"/>
                <w:szCs w:val="20"/>
              </w:rPr>
            </w:pPr>
            <w:r w:rsidRPr="00843227">
              <w:rPr>
                <w:rFonts w:ascii="Times" w:hAnsi="Times" w:cs="Arial"/>
                <w:sz w:val="20"/>
                <w:szCs w:val="20"/>
              </w:rPr>
              <w:t>Symptomatic congestive heart failure</w:t>
            </w:r>
          </w:p>
        </w:tc>
        <w:tc>
          <w:tcPr>
            <w:tcW w:w="4505" w:type="dxa"/>
          </w:tcPr>
          <w:p w14:paraId="00A0D433" w14:textId="77777777" w:rsidR="002F56C7" w:rsidRPr="00843227" w:rsidRDefault="002F56C7" w:rsidP="00C518F7">
            <w:pPr>
              <w:spacing w:line="480" w:lineRule="auto"/>
              <w:rPr>
                <w:rFonts w:ascii="Times" w:hAnsi="Times" w:cs="Arial"/>
                <w:b/>
                <w:bCs/>
                <w:sz w:val="20"/>
                <w:szCs w:val="20"/>
              </w:rPr>
            </w:pPr>
            <w:r w:rsidRPr="00843227">
              <w:rPr>
                <w:rFonts w:ascii="Times" w:hAnsi="Times" w:cs="Arial"/>
                <w:sz w:val="20"/>
                <w:szCs w:val="20"/>
              </w:rPr>
              <w:t>Heart failure or left ventricular dysfunction</w:t>
            </w:r>
          </w:p>
        </w:tc>
      </w:tr>
      <w:tr w:rsidR="002F56C7" w:rsidRPr="00867F0E" w14:paraId="14505CC4" w14:textId="77777777" w:rsidTr="00C518F7">
        <w:tc>
          <w:tcPr>
            <w:tcW w:w="4505" w:type="dxa"/>
          </w:tcPr>
          <w:p w14:paraId="5AB0820A" w14:textId="77777777" w:rsidR="002F56C7" w:rsidRPr="00843227" w:rsidRDefault="002F56C7" w:rsidP="00C518F7">
            <w:pPr>
              <w:spacing w:line="480" w:lineRule="auto"/>
              <w:rPr>
                <w:rFonts w:ascii="Times" w:hAnsi="Times" w:cs="Arial"/>
                <w:b/>
                <w:bCs/>
                <w:sz w:val="20"/>
                <w:szCs w:val="20"/>
              </w:rPr>
            </w:pPr>
            <w:r w:rsidRPr="00843227">
              <w:rPr>
                <w:rFonts w:ascii="Times" w:hAnsi="Times" w:cs="Arial"/>
                <w:sz w:val="20"/>
                <w:szCs w:val="20"/>
              </w:rPr>
              <w:t>Hemodynamically significant primary valvular or outflow tract obstruction</w:t>
            </w:r>
          </w:p>
        </w:tc>
        <w:tc>
          <w:tcPr>
            <w:tcW w:w="4505" w:type="dxa"/>
          </w:tcPr>
          <w:p w14:paraId="40799B87" w14:textId="77777777" w:rsidR="002F56C7" w:rsidRPr="00843227" w:rsidRDefault="002F56C7" w:rsidP="00C518F7">
            <w:pPr>
              <w:spacing w:line="480" w:lineRule="auto"/>
              <w:rPr>
                <w:rFonts w:ascii="Times" w:hAnsi="Times" w:cs="Arial"/>
                <w:b/>
                <w:bCs/>
                <w:sz w:val="20"/>
                <w:szCs w:val="20"/>
              </w:rPr>
            </w:pPr>
            <w:r w:rsidRPr="00843227">
              <w:rPr>
                <w:rFonts w:ascii="Times" w:hAnsi="Times" w:cs="Arial"/>
                <w:sz w:val="20"/>
                <w:szCs w:val="20"/>
              </w:rPr>
              <w:t>Aortic or pulmonary stenosis or previous valve replacement</w:t>
            </w:r>
          </w:p>
        </w:tc>
      </w:tr>
      <w:tr w:rsidR="002F56C7" w:rsidRPr="00867F0E" w14:paraId="3BBBFBC1" w14:textId="77777777" w:rsidTr="00C518F7">
        <w:tc>
          <w:tcPr>
            <w:tcW w:w="4505" w:type="dxa"/>
          </w:tcPr>
          <w:p w14:paraId="6A03930F" w14:textId="77777777" w:rsidR="002F56C7" w:rsidRPr="00843227" w:rsidRDefault="002F56C7" w:rsidP="00C518F7">
            <w:pPr>
              <w:spacing w:line="480" w:lineRule="auto"/>
              <w:rPr>
                <w:rFonts w:ascii="Times" w:hAnsi="Times" w:cs="Arial"/>
                <w:b/>
                <w:bCs/>
                <w:sz w:val="20"/>
                <w:szCs w:val="20"/>
              </w:rPr>
            </w:pPr>
            <w:r w:rsidRPr="00843227">
              <w:rPr>
                <w:rFonts w:ascii="Times" w:hAnsi="Times" w:cs="Arial"/>
                <w:sz w:val="20"/>
                <w:szCs w:val="20"/>
              </w:rPr>
              <w:t>Constrictive pericarditis</w:t>
            </w:r>
          </w:p>
        </w:tc>
        <w:tc>
          <w:tcPr>
            <w:tcW w:w="4505" w:type="dxa"/>
          </w:tcPr>
          <w:p w14:paraId="262D87B5" w14:textId="77777777" w:rsidR="002F56C7" w:rsidRPr="00843227" w:rsidRDefault="002F56C7" w:rsidP="00C518F7">
            <w:pPr>
              <w:spacing w:line="480" w:lineRule="auto"/>
              <w:rPr>
                <w:rFonts w:ascii="Times" w:hAnsi="Times" w:cs="Arial"/>
                <w:b/>
                <w:bCs/>
                <w:sz w:val="20"/>
                <w:szCs w:val="20"/>
              </w:rPr>
            </w:pPr>
            <w:r w:rsidRPr="00843227">
              <w:rPr>
                <w:rFonts w:ascii="Times" w:hAnsi="Times" w:cs="Arial"/>
                <w:sz w:val="20"/>
                <w:szCs w:val="20"/>
              </w:rPr>
              <w:t>Constrictive pericarditis</w:t>
            </w:r>
          </w:p>
        </w:tc>
      </w:tr>
      <w:tr w:rsidR="002F56C7" w:rsidRPr="00867F0E" w14:paraId="488B1AA4" w14:textId="77777777" w:rsidTr="00C518F7">
        <w:tc>
          <w:tcPr>
            <w:tcW w:w="4505" w:type="dxa"/>
          </w:tcPr>
          <w:p w14:paraId="35B5DC27" w14:textId="77777777" w:rsidR="002F56C7" w:rsidRPr="00843227" w:rsidRDefault="002F56C7" w:rsidP="00C518F7">
            <w:pPr>
              <w:spacing w:line="480" w:lineRule="auto"/>
              <w:rPr>
                <w:rFonts w:ascii="Times" w:hAnsi="Times" w:cs="Arial"/>
                <w:b/>
                <w:bCs/>
                <w:sz w:val="20"/>
                <w:szCs w:val="20"/>
              </w:rPr>
            </w:pPr>
            <w:r w:rsidRPr="00843227">
              <w:rPr>
                <w:rFonts w:ascii="Times" w:hAnsi="Times" w:cs="Arial"/>
                <w:sz w:val="20"/>
                <w:szCs w:val="20"/>
              </w:rPr>
              <w:t>Complex congenital heart disease</w:t>
            </w:r>
          </w:p>
        </w:tc>
        <w:tc>
          <w:tcPr>
            <w:tcW w:w="4505" w:type="dxa"/>
          </w:tcPr>
          <w:p w14:paraId="1CCB911F" w14:textId="77777777" w:rsidR="002F56C7" w:rsidRPr="00843227" w:rsidRDefault="002F56C7" w:rsidP="00C518F7">
            <w:pPr>
              <w:spacing w:line="480" w:lineRule="auto"/>
              <w:rPr>
                <w:rFonts w:ascii="Times" w:hAnsi="Times" w:cs="Arial"/>
                <w:b/>
                <w:bCs/>
                <w:sz w:val="20"/>
                <w:szCs w:val="20"/>
              </w:rPr>
            </w:pPr>
            <w:r w:rsidRPr="00843227">
              <w:rPr>
                <w:rFonts w:ascii="Times" w:hAnsi="Times" w:cs="Arial"/>
                <w:sz w:val="20"/>
                <w:szCs w:val="20"/>
              </w:rPr>
              <w:t>Congenital heart disease</w:t>
            </w:r>
          </w:p>
        </w:tc>
      </w:tr>
      <w:tr w:rsidR="002F56C7" w:rsidRPr="00867F0E" w14:paraId="0C5268DE" w14:textId="77777777" w:rsidTr="00C518F7">
        <w:tc>
          <w:tcPr>
            <w:tcW w:w="4505" w:type="dxa"/>
          </w:tcPr>
          <w:p w14:paraId="1B89F141" w14:textId="77777777" w:rsidR="002F56C7" w:rsidRPr="00843227" w:rsidRDefault="002F56C7" w:rsidP="00C518F7">
            <w:pPr>
              <w:spacing w:line="480" w:lineRule="auto"/>
              <w:rPr>
                <w:rFonts w:ascii="Times" w:hAnsi="Times" w:cs="Arial"/>
                <w:b/>
                <w:bCs/>
                <w:sz w:val="20"/>
                <w:szCs w:val="20"/>
              </w:rPr>
            </w:pPr>
            <w:r w:rsidRPr="00843227">
              <w:rPr>
                <w:rFonts w:ascii="Times" w:hAnsi="Times" w:cs="Arial"/>
                <w:sz w:val="20"/>
                <w:szCs w:val="20"/>
              </w:rPr>
              <w:t xml:space="preserve">Syncopal episodes of unknown </w:t>
            </w:r>
            <w:proofErr w:type="spellStart"/>
            <w:r w:rsidRPr="00843227">
              <w:rPr>
                <w:rFonts w:ascii="Times" w:hAnsi="Times" w:cs="Arial"/>
                <w:sz w:val="20"/>
                <w:szCs w:val="20"/>
              </w:rPr>
              <w:t>etiology</w:t>
            </w:r>
            <w:proofErr w:type="spellEnd"/>
            <w:r w:rsidRPr="00843227">
              <w:rPr>
                <w:rFonts w:ascii="Times" w:hAnsi="Times" w:cs="Arial"/>
                <w:sz w:val="20"/>
                <w:szCs w:val="20"/>
              </w:rPr>
              <w:t xml:space="preserve"> &lt;3 months before informed consent</w:t>
            </w:r>
          </w:p>
        </w:tc>
        <w:tc>
          <w:tcPr>
            <w:tcW w:w="4505" w:type="dxa"/>
          </w:tcPr>
          <w:p w14:paraId="15F8FEC4" w14:textId="77777777" w:rsidR="002F56C7" w:rsidRPr="00843227" w:rsidRDefault="002F56C7" w:rsidP="00C518F7">
            <w:pPr>
              <w:spacing w:line="480" w:lineRule="auto"/>
              <w:rPr>
                <w:rFonts w:ascii="Times" w:hAnsi="Times" w:cs="Arial"/>
                <w:b/>
                <w:bCs/>
                <w:sz w:val="20"/>
                <w:szCs w:val="20"/>
              </w:rPr>
            </w:pPr>
            <w:r w:rsidRPr="00843227">
              <w:rPr>
                <w:rFonts w:ascii="Times" w:hAnsi="Times" w:cs="Arial"/>
                <w:sz w:val="20"/>
                <w:szCs w:val="20"/>
              </w:rPr>
              <w:t>Not applicable</w:t>
            </w:r>
          </w:p>
        </w:tc>
      </w:tr>
      <w:tr w:rsidR="002F56C7" w:rsidRPr="00867F0E" w14:paraId="70DE92CB" w14:textId="77777777" w:rsidTr="00C518F7">
        <w:tc>
          <w:tcPr>
            <w:tcW w:w="4505" w:type="dxa"/>
          </w:tcPr>
          <w:p w14:paraId="508DC0F3" w14:textId="77777777" w:rsidR="002F56C7" w:rsidRPr="00843227" w:rsidRDefault="002F56C7" w:rsidP="00C518F7">
            <w:pPr>
              <w:spacing w:line="480" w:lineRule="auto"/>
              <w:rPr>
                <w:rFonts w:ascii="Times" w:hAnsi="Times" w:cs="Arial"/>
                <w:b/>
                <w:bCs/>
                <w:sz w:val="20"/>
                <w:szCs w:val="20"/>
              </w:rPr>
            </w:pPr>
            <w:r w:rsidRPr="00843227">
              <w:rPr>
                <w:rFonts w:ascii="Times" w:hAnsi="Times" w:cs="Arial"/>
                <w:sz w:val="20"/>
                <w:szCs w:val="20"/>
              </w:rPr>
              <w:t>Planned cardiac surgery or PTCA &lt;3 months of informed consent</w:t>
            </w:r>
          </w:p>
        </w:tc>
        <w:tc>
          <w:tcPr>
            <w:tcW w:w="4505" w:type="dxa"/>
          </w:tcPr>
          <w:p w14:paraId="692FFBDF" w14:textId="77777777" w:rsidR="002F56C7" w:rsidRPr="00843227" w:rsidRDefault="002F56C7" w:rsidP="00C518F7">
            <w:pPr>
              <w:spacing w:line="480" w:lineRule="auto"/>
              <w:rPr>
                <w:rFonts w:ascii="Times" w:hAnsi="Times" w:cs="Arial"/>
                <w:b/>
                <w:bCs/>
                <w:sz w:val="20"/>
                <w:szCs w:val="20"/>
              </w:rPr>
            </w:pPr>
            <w:r w:rsidRPr="00843227">
              <w:rPr>
                <w:rFonts w:ascii="Times" w:hAnsi="Times" w:cs="Arial"/>
                <w:sz w:val="20"/>
                <w:szCs w:val="20"/>
              </w:rPr>
              <w:t>Not applicable</w:t>
            </w:r>
          </w:p>
        </w:tc>
      </w:tr>
      <w:tr w:rsidR="002F56C7" w:rsidRPr="00867F0E" w14:paraId="5BD61278" w14:textId="77777777" w:rsidTr="00C518F7">
        <w:tc>
          <w:tcPr>
            <w:tcW w:w="4505" w:type="dxa"/>
          </w:tcPr>
          <w:p w14:paraId="25B26E75"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Uncontrolled hypertension on treatment (e.g. BP &gt;160/100 mm Hg)</w:t>
            </w:r>
          </w:p>
        </w:tc>
        <w:tc>
          <w:tcPr>
            <w:tcW w:w="4505" w:type="dxa"/>
          </w:tcPr>
          <w:p w14:paraId="494449F5"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Last recorded BP &gt;160/100 mmHg for patients on treatment with other antihypertensives prior to ACE</w:t>
            </w:r>
            <w:r>
              <w:rPr>
                <w:rFonts w:ascii="Times" w:hAnsi="Times" w:cs="Arial"/>
                <w:sz w:val="20"/>
                <w:szCs w:val="20"/>
              </w:rPr>
              <w:t>i</w:t>
            </w:r>
            <w:r w:rsidRPr="00843227">
              <w:rPr>
                <w:rFonts w:ascii="Times" w:hAnsi="Times" w:cs="Arial"/>
                <w:sz w:val="20"/>
                <w:szCs w:val="20"/>
              </w:rPr>
              <w:t>/ARB initiation</w:t>
            </w:r>
          </w:p>
        </w:tc>
      </w:tr>
      <w:tr w:rsidR="002F56C7" w:rsidRPr="00867F0E" w14:paraId="6F0A4FB1" w14:textId="77777777" w:rsidTr="00C518F7">
        <w:tc>
          <w:tcPr>
            <w:tcW w:w="4505" w:type="dxa"/>
          </w:tcPr>
          <w:p w14:paraId="3E8F76F6"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Heart transplant recipient</w:t>
            </w:r>
          </w:p>
        </w:tc>
        <w:tc>
          <w:tcPr>
            <w:tcW w:w="4505" w:type="dxa"/>
          </w:tcPr>
          <w:p w14:paraId="20D38E64"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Read, ICD-10 or OPCS code for heart transplant recipient</w:t>
            </w:r>
          </w:p>
        </w:tc>
      </w:tr>
      <w:tr w:rsidR="002F56C7" w:rsidRPr="00867F0E" w14:paraId="6C12A334" w14:textId="77777777" w:rsidTr="00C518F7">
        <w:tc>
          <w:tcPr>
            <w:tcW w:w="4505" w:type="dxa"/>
          </w:tcPr>
          <w:p w14:paraId="79A0306F"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Stroke due to subarachnoid haemorrhage</w:t>
            </w:r>
          </w:p>
        </w:tc>
        <w:tc>
          <w:tcPr>
            <w:tcW w:w="4505" w:type="dxa"/>
          </w:tcPr>
          <w:p w14:paraId="116F0B56"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Previous cerebral haemorrhage</w:t>
            </w:r>
          </w:p>
        </w:tc>
      </w:tr>
      <w:tr w:rsidR="002F56C7" w:rsidRPr="00867F0E" w14:paraId="4FD80C6F" w14:textId="77777777" w:rsidTr="00C518F7">
        <w:tc>
          <w:tcPr>
            <w:tcW w:w="4505" w:type="dxa"/>
          </w:tcPr>
          <w:p w14:paraId="220BEE3D"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Significant renal artery disease</w:t>
            </w:r>
          </w:p>
        </w:tc>
        <w:tc>
          <w:tcPr>
            <w:tcW w:w="4505" w:type="dxa"/>
          </w:tcPr>
          <w:p w14:paraId="3EBF66D0"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Codes for renal artery stenosis or renal artery atherosclerosis; or serum creatinine concentration above 265</w:t>
            </w:r>
            <w:r w:rsidRPr="00843227">
              <w:rPr>
                <w:rFonts w:ascii="Symbol" w:eastAsia="Symbol" w:hAnsi="Symbol" w:cs="Symbol"/>
                <w:sz w:val="20"/>
                <w:szCs w:val="20"/>
              </w:rPr>
              <w:t></w:t>
            </w:r>
            <w:r w:rsidRPr="00843227">
              <w:rPr>
                <w:rFonts w:ascii="Times" w:hAnsi="Times" w:cs="Arial"/>
                <w:sz w:val="20"/>
                <w:szCs w:val="20"/>
              </w:rPr>
              <w:t>mol/L</w:t>
            </w:r>
          </w:p>
        </w:tc>
      </w:tr>
      <w:tr w:rsidR="002F56C7" w:rsidRPr="00867F0E" w14:paraId="53B9F1C1" w14:textId="77777777" w:rsidTr="00C518F7">
        <w:tc>
          <w:tcPr>
            <w:tcW w:w="4505" w:type="dxa"/>
          </w:tcPr>
          <w:p w14:paraId="2E61D41E"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Hepatic dysfunction</w:t>
            </w:r>
          </w:p>
        </w:tc>
        <w:tc>
          <w:tcPr>
            <w:tcW w:w="4505" w:type="dxa"/>
          </w:tcPr>
          <w:p w14:paraId="7A135BE9"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Cirrhosis or other documented liver disease</w:t>
            </w:r>
          </w:p>
        </w:tc>
      </w:tr>
      <w:tr w:rsidR="002F56C7" w:rsidRPr="00867F0E" w14:paraId="67F038D4" w14:textId="77777777" w:rsidTr="00C518F7">
        <w:tc>
          <w:tcPr>
            <w:tcW w:w="4505" w:type="dxa"/>
          </w:tcPr>
          <w:p w14:paraId="1F7C598C"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Uncorrected volume or sodium depletion</w:t>
            </w:r>
          </w:p>
        </w:tc>
        <w:tc>
          <w:tcPr>
            <w:tcW w:w="4505" w:type="dxa"/>
          </w:tcPr>
          <w:p w14:paraId="008420F0"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Not applicable</w:t>
            </w:r>
          </w:p>
        </w:tc>
      </w:tr>
      <w:tr w:rsidR="002F56C7" w:rsidRPr="00867F0E" w14:paraId="0B16BCE1" w14:textId="77777777" w:rsidTr="00C518F7">
        <w:tc>
          <w:tcPr>
            <w:tcW w:w="4505" w:type="dxa"/>
          </w:tcPr>
          <w:p w14:paraId="05C10C37"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Primary hyperaldosteronism</w:t>
            </w:r>
          </w:p>
        </w:tc>
        <w:tc>
          <w:tcPr>
            <w:tcW w:w="4505" w:type="dxa"/>
          </w:tcPr>
          <w:p w14:paraId="59FE47D6"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Primary hyperaldosteronism/ Conn’s syndrome</w:t>
            </w:r>
          </w:p>
        </w:tc>
      </w:tr>
      <w:tr w:rsidR="002F56C7" w:rsidRPr="00867F0E" w14:paraId="5A1C858B" w14:textId="77777777" w:rsidTr="00C518F7">
        <w:tc>
          <w:tcPr>
            <w:tcW w:w="4505" w:type="dxa"/>
          </w:tcPr>
          <w:p w14:paraId="0258B8F1"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lastRenderedPageBreak/>
              <w:t>Hereditary fructose intolerance</w:t>
            </w:r>
          </w:p>
        </w:tc>
        <w:tc>
          <w:tcPr>
            <w:tcW w:w="4505" w:type="dxa"/>
          </w:tcPr>
          <w:p w14:paraId="20BBA7AE"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Hereditary fructose intolerance</w:t>
            </w:r>
          </w:p>
        </w:tc>
      </w:tr>
      <w:tr w:rsidR="002F56C7" w:rsidRPr="00867F0E" w14:paraId="6E0CF634" w14:textId="77777777" w:rsidTr="00C518F7">
        <w:tc>
          <w:tcPr>
            <w:tcW w:w="4505" w:type="dxa"/>
          </w:tcPr>
          <w:p w14:paraId="133C1358"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Other major noncardiac illness expected to reduce life expectancy or interfere with study participation</w:t>
            </w:r>
          </w:p>
        </w:tc>
        <w:tc>
          <w:tcPr>
            <w:tcW w:w="4505" w:type="dxa"/>
          </w:tcPr>
          <w:p w14:paraId="02BED563"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Recorded solid organ or metastatic malignancy within the last 5 years, drug, alcohol dependence or mental illness.</w:t>
            </w:r>
          </w:p>
        </w:tc>
      </w:tr>
      <w:tr w:rsidR="002F56C7" w:rsidRPr="00867F0E" w14:paraId="23F8BFF1" w14:textId="77777777" w:rsidTr="00C518F7">
        <w:tc>
          <w:tcPr>
            <w:tcW w:w="4505" w:type="dxa"/>
          </w:tcPr>
          <w:p w14:paraId="024E0E6D"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Simultaneously taking another experimental drug</w:t>
            </w:r>
          </w:p>
        </w:tc>
        <w:tc>
          <w:tcPr>
            <w:tcW w:w="4505" w:type="dxa"/>
          </w:tcPr>
          <w:p w14:paraId="078C1470"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Not applicable</w:t>
            </w:r>
          </w:p>
        </w:tc>
      </w:tr>
      <w:tr w:rsidR="002F56C7" w:rsidRPr="00867F0E" w14:paraId="618B66FE" w14:textId="77777777" w:rsidTr="00C518F7">
        <w:tc>
          <w:tcPr>
            <w:tcW w:w="4505" w:type="dxa"/>
          </w:tcPr>
          <w:p w14:paraId="18E85450"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Significant disability precluding regular follow-up visits</w:t>
            </w:r>
          </w:p>
        </w:tc>
        <w:tc>
          <w:tcPr>
            <w:tcW w:w="4505" w:type="dxa"/>
          </w:tcPr>
          <w:p w14:paraId="23F74E81"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Not applicable</w:t>
            </w:r>
          </w:p>
        </w:tc>
      </w:tr>
      <w:tr w:rsidR="002F56C7" w:rsidRPr="00867F0E" w14:paraId="323BCAC9" w14:textId="77777777" w:rsidTr="00C518F7">
        <w:tc>
          <w:tcPr>
            <w:tcW w:w="4505" w:type="dxa"/>
          </w:tcPr>
          <w:p w14:paraId="3BFB0257"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Unable or unwilling to provide written informed consent</w:t>
            </w:r>
          </w:p>
        </w:tc>
        <w:tc>
          <w:tcPr>
            <w:tcW w:w="4505" w:type="dxa"/>
          </w:tcPr>
          <w:p w14:paraId="2795A085"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Not applicable</w:t>
            </w:r>
          </w:p>
        </w:tc>
      </w:tr>
      <w:tr w:rsidR="002F56C7" w:rsidRPr="00867F0E" w14:paraId="4AD534E6" w14:textId="77777777" w:rsidTr="00C518F7">
        <w:tc>
          <w:tcPr>
            <w:tcW w:w="4505" w:type="dxa"/>
          </w:tcPr>
          <w:p w14:paraId="3ADF4AE6"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Elevated potassium above 5.5mmol/L</w:t>
            </w:r>
          </w:p>
        </w:tc>
        <w:tc>
          <w:tcPr>
            <w:tcW w:w="4505" w:type="dxa"/>
          </w:tcPr>
          <w:p w14:paraId="23493724"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Elevated potassium above 5.5mmol/L</w:t>
            </w:r>
          </w:p>
        </w:tc>
      </w:tr>
      <w:tr w:rsidR="002F56C7" w:rsidRPr="00867F0E" w14:paraId="454EF7C1" w14:textId="77777777" w:rsidTr="00C518F7">
        <w:tc>
          <w:tcPr>
            <w:tcW w:w="4505" w:type="dxa"/>
            <w:tcBorders>
              <w:bottom w:val="single" w:sz="4" w:space="0" w:color="auto"/>
            </w:tcBorders>
          </w:tcPr>
          <w:p w14:paraId="705B26B5"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Hypotension</w:t>
            </w:r>
          </w:p>
        </w:tc>
        <w:tc>
          <w:tcPr>
            <w:tcW w:w="4505" w:type="dxa"/>
            <w:tcBorders>
              <w:bottom w:val="single" w:sz="4" w:space="0" w:color="auto"/>
            </w:tcBorders>
          </w:tcPr>
          <w:p w14:paraId="73E8CEB5"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SBP &lt;90 mm Hg</w:t>
            </w:r>
          </w:p>
        </w:tc>
      </w:tr>
      <w:tr w:rsidR="002F56C7" w:rsidRPr="00867F0E" w14:paraId="533C6025" w14:textId="77777777" w:rsidTr="00C518F7">
        <w:tc>
          <w:tcPr>
            <w:tcW w:w="9010" w:type="dxa"/>
            <w:gridSpan w:val="2"/>
            <w:tcBorders>
              <w:left w:val="nil"/>
              <w:bottom w:val="nil"/>
              <w:right w:val="nil"/>
            </w:tcBorders>
          </w:tcPr>
          <w:p w14:paraId="018386A7" w14:textId="77777777" w:rsidR="002F56C7" w:rsidRPr="00843227" w:rsidRDefault="002F56C7" w:rsidP="00C518F7">
            <w:pPr>
              <w:spacing w:line="480" w:lineRule="auto"/>
              <w:rPr>
                <w:rFonts w:ascii="Times" w:hAnsi="Times" w:cs="Arial"/>
                <w:sz w:val="20"/>
                <w:szCs w:val="20"/>
              </w:rPr>
            </w:pPr>
            <w:r w:rsidRPr="00843227">
              <w:rPr>
                <w:rFonts w:ascii="Times" w:hAnsi="Times" w:cs="Arial"/>
                <w:sz w:val="20"/>
                <w:szCs w:val="20"/>
              </w:rPr>
              <w:t xml:space="preserve">Notes: Where dates are used as criteria dates from both CPRD and HES will be used, but if available HES will be preferred. Not applicable used when anticipated there will be extensive missing data or risk of misclassification. </w:t>
            </w:r>
          </w:p>
          <w:p w14:paraId="2DD1587C" w14:textId="77777777" w:rsidR="002F56C7" w:rsidRPr="00843227" w:rsidRDefault="002F56C7" w:rsidP="00C518F7">
            <w:pPr>
              <w:spacing w:line="480" w:lineRule="auto"/>
              <w:rPr>
                <w:rFonts w:ascii="Times" w:hAnsi="Times" w:cs="Arial"/>
                <w:sz w:val="20"/>
                <w:szCs w:val="20"/>
              </w:rPr>
            </w:pPr>
          </w:p>
        </w:tc>
      </w:tr>
    </w:tbl>
    <w:p w14:paraId="49D75EA9" w14:textId="77777777" w:rsidR="006547D8" w:rsidRDefault="006547D8"/>
    <w:sectPr w:rsidR="006547D8" w:rsidSect="00746B9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A2"/>
    <w:rsid w:val="0001037C"/>
    <w:rsid w:val="00020E23"/>
    <w:rsid w:val="00031D3A"/>
    <w:rsid w:val="0003304F"/>
    <w:rsid w:val="00037FD6"/>
    <w:rsid w:val="00044CBC"/>
    <w:rsid w:val="00051B5D"/>
    <w:rsid w:val="0006125C"/>
    <w:rsid w:val="00072F1C"/>
    <w:rsid w:val="00077FD2"/>
    <w:rsid w:val="00082D3D"/>
    <w:rsid w:val="00086B1A"/>
    <w:rsid w:val="00090471"/>
    <w:rsid w:val="000954A9"/>
    <w:rsid w:val="000A09EC"/>
    <w:rsid w:val="000A1660"/>
    <w:rsid w:val="000A6A79"/>
    <w:rsid w:val="000A6CC0"/>
    <w:rsid w:val="000A7BDA"/>
    <w:rsid w:val="000B209D"/>
    <w:rsid w:val="000C5BEE"/>
    <w:rsid w:val="000D0258"/>
    <w:rsid w:val="000D58DA"/>
    <w:rsid w:val="000E5E8F"/>
    <w:rsid w:val="000F4116"/>
    <w:rsid w:val="001034FB"/>
    <w:rsid w:val="00103934"/>
    <w:rsid w:val="001252DF"/>
    <w:rsid w:val="00134DEB"/>
    <w:rsid w:val="001461DB"/>
    <w:rsid w:val="0014691A"/>
    <w:rsid w:val="001631B4"/>
    <w:rsid w:val="001631E4"/>
    <w:rsid w:val="001648BD"/>
    <w:rsid w:val="001657C1"/>
    <w:rsid w:val="00166FE8"/>
    <w:rsid w:val="00172004"/>
    <w:rsid w:val="00173407"/>
    <w:rsid w:val="001802D5"/>
    <w:rsid w:val="00183451"/>
    <w:rsid w:val="00192263"/>
    <w:rsid w:val="001A7164"/>
    <w:rsid w:val="001B23C4"/>
    <w:rsid w:val="001B5502"/>
    <w:rsid w:val="001C3A25"/>
    <w:rsid w:val="001D59F7"/>
    <w:rsid w:val="001D6CCE"/>
    <w:rsid w:val="001D6EEE"/>
    <w:rsid w:val="001E13E0"/>
    <w:rsid w:val="001F0B76"/>
    <w:rsid w:val="001F4233"/>
    <w:rsid w:val="00201CD7"/>
    <w:rsid w:val="002032FA"/>
    <w:rsid w:val="002066F7"/>
    <w:rsid w:val="00211881"/>
    <w:rsid w:val="00211999"/>
    <w:rsid w:val="00211EA9"/>
    <w:rsid w:val="0021665C"/>
    <w:rsid w:val="00220AEB"/>
    <w:rsid w:val="0022235A"/>
    <w:rsid w:val="0022271E"/>
    <w:rsid w:val="002253E8"/>
    <w:rsid w:val="00226A67"/>
    <w:rsid w:val="002441CE"/>
    <w:rsid w:val="00246208"/>
    <w:rsid w:val="00247E0B"/>
    <w:rsid w:val="00251955"/>
    <w:rsid w:val="002561CD"/>
    <w:rsid w:val="00257EFE"/>
    <w:rsid w:val="0027153D"/>
    <w:rsid w:val="00282933"/>
    <w:rsid w:val="0028356C"/>
    <w:rsid w:val="002900A5"/>
    <w:rsid w:val="002935EF"/>
    <w:rsid w:val="002A1135"/>
    <w:rsid w:val="002A1EFC"/>
    <w:rsid w:val="002A7DF0"/>
    <w:rsid w:val="002B5E95"/>
    <w:rsid w:val="002C217F"/>
    <w:rsid w:val="002C322B"/>
    <w:rsid w:val="002C3BA2"/>
    <w:rsid w:val="002C62B0"/>
    <w:rsid w:val="002C6DD8"/>
    <w:rsid w:val="002D3965"/>
    <w:rsid w:val="002F0866"/>
    <w:rsid w:val="002F1FCA"/>
    <w:rsid w:val="002F4EE6"/>
    <w:rsid w:val="002F56C7"/>
    <w:rsid w:val="00300521"/>
    <w:rsid w:val="00304646"/>
    <w:rsid w:val="003171DE"/>
    <w:rsid w:val="00330D3C"/>
    <w:rsid w:val="00335535"/>
    <w:rsid w:val="00341E3B"/>
    <w:rsid w:val="0034567B"/>
    <w:rsid w:val="00347460"/>
    <w:rsid w:val="00353457"/>
    <w:rsid w:val="0035473A"/>
    <w:rsid w:val="003564EE"/>
    <w:rsid w:val="00370E27"/>
    <w:rsid w:val="00371DD6"/>
    <w:rsid w:val="003730E1"/>
    <w:rsid w:val="00376D93"/>
    <w:rsid w:val="00381A7C"/>
    <w:rsid w:val="003866C1"/>
    <w:rsid w:val="00390780"/>
    <w:rsid w:val="0039441F"/>
    <w:rsid w:val="003A22A4"/>
    <w:rsid w:val="003A3D15"/>
    <w:rsid w:val="003A44A2"/>
    <w:rsid w:val="003D72D7"/>
    <w:rsid w:val="003F14A9"/>
    <w:rsid w:val="003F228A"/>
    <w:rsid w:val="003F2BB6"/>
    <w:rsid w:val="003F4DBC"/>
    <w:rsid w:val="00412DD0"/>
    <w:rsid w:val="00416501"/>
    <w:rsid w:val="004251CE"/>
    <w:rsid w:val="0043456E"/>
    <w:rsid w:val="00435BFD"/>
    <w:rsid w:val="00435EB3"/>
    <w:rsid w:val="004370CC"/>
    <w:rsid w:val="00437E72"/>
    <w:rsid w:val="00446FC8"/>
    <w:rsid w:val="00454DFE"/>
    <w:rsid w:val="00455470"/>
    <w:rsid w:val="004600FA"/>
    <w:rsid w:val="00470BD7"/>
    <w:rsid w:val="004725C7"/>
    <w:rsid w:val="0047301E"/>
    <w:rsid w:val="00482E0D"/>
    <w:rsid w:val="00491758"/>
    <w:rsid w:val="00495F32"/>
    <w:rsid w:val="00496F65"/>
    <w:rsid w:val="004A1943"/>
    <w:rsid w:val="004A2EFE"/>
    <w:rsid w:val="004A50F1"/>
    <w:rsid w:val="004A7D41"/>
    <w:rsid w:val="004B1B01"/>
    <w:rsid w:val="004B281A"/>
    <w:rsid w:val="004B547D"/>
    <w:rsid w:val="004C4709"/>
    <w:rsid w:val="004C4910"/>
    <w:rsid w:val="004C62E8"/>
    <w:rsid w:val="004D2E4E"/>
    <w:rsid w:val="004E0C5E"/>
    <w:rsid w:val="004E0FE0"/>
    <w:rsid w:val="004F2D31"/>
    <w:rsid w:val="004F2F10"/>
    <w:rsid w:val="004F3C7D"/>
    <w:rsid w:val="004F6710"/>
    <w:rsid w:val="00500D5F"/>
    <w:rsid w:val="00507196"/>
    <w:rsid w:val="00510A4A"/>
    <w:rsid w:val="00512543"/>
    <w:rsid w:val="00522557"/>
    <w:rsid w:val="0052429A"/>
    <w:rsid w:val="0053013A"/>
    <w:rsid w:val="00533D7B"/>
    <w:rsid w:val="00542538"/>
    <w:rsid w:val="00546F39"/>
    <w:rsid w:val="005475C8"/>
    <w:rsid w:val="00547AED"/>
    <w:rsid w:val="00554B0A"/>
    <w:rsid w:val="00567046"/>
    <w:rsid w:val="005877A7"/>
    <w:rsid w:val="00595247"/>
    <w:rsid w:val="00597049"/>
    <w:rsid w:val="005A2DDF"/>
    <w:rsid w:val="005A322C"/>
    <w:rsid w:val="005A4644"/>
    <w:rsid w:val="005B0362"/>
    <w:rsid w:val="005B656F"/>
    <w:rsid w:val="005C1AAC"/>
    <w:rsid w:val="005C24D6"/>
    <w:rsid w:val="005D1CCB"/>
    <w:rsid w:val="005E124E"/>
    <w:rsid w:val="005E3CDF"/>
    <w:rsid w:val="005F3351"/>
    <w:rsid w:val="005F3ECA"/>
    <w:rsid w:val="005F4CDC"/>
    <w:rsid w:val="00604118"/>
    <w:rsid w:val="00604BAB"/>
    <w:rsid w:val="006050BE"/>
    <w:rsid w:val="00605AE6"/>
    <w:rsid w:val="00611E06"/>
    <w:rsid w:val="00624CA1"/>
    <w:rsid w:val="00624FC5"/>
    <w:rsid w:val="0062782A"/>
    <w:rsid w:val="00635DF4"/>
    <w:rsid w:val="006364EC"/>
    <w:rsid w:val="00642659"/>
    <w:rsid w:val="006526A1"/>
    <w:rsid w:val="006547D8"/>
    <w:rsid w:val="00670623"/>
    <w:rsid w:val="006727C9"/>
    <w:rsid w:val="006732E6"/>
    <w:rsid w:val="00673CAE"/>
    <w:rsid w:val="00676A5E"/>
    <w:rsid w:val="0067713C"/>
    <w:rsid w:val="006825FE"/>
    <w:rsid w:val="006845AF"/>
    <w:rsid w:val="00691EE3"/>
    <w:rsid w:val="00696D85"/>
    <w:rsid w:val="006A64C1"/>
    <w:rsid w:val="006A7483"/>
    <w:rsid w:val="006B7CB1"/>
    <w:rsid w:val="006C56AC"/>
    <w:rsid w:val="006C65E9"/>
    <w:rsid w:val="006D30D4"/>
    <w:rsid w:val="006E1CC5"/>
    <w:rsid w:val="006F075D"/>
    <w:rsid w:val="006F3DC0"/>
    <w:rsid w:val="006F4A26"/>
    <w:rsid w:val="007036E5"/>
    <w:rsid w:val="007151FE"/>
    <w:rsid w:val="007160BE"/>
    <w:rsid w:val="00716B1D"/>
    <w:rsid w:val="00717B89"/>
    <w:rsid w:val="0072176C"/>
    <w:rsid w:val="0072206A"/>
    <w:rsid w:val="00730896"/>
    <w:rsid w:val="007412BD"/>
    <w:rsid w:val="00741C97"/>
    <w:rsid w:val="0074408B"/>
    <w:rsid w:val="00746B99"/>
    <w:rsid w:val="0075106A"/>
    <w:rsid w:val="0075736D"/>
    <w:rsid w:val="0076137E"/>
    <w:rsid w:val="00771E87"/>
    <w:rsid w:val="00777F2B"/>
    <w:rsid w:val="00780BA9"/>
    <w:rsid w:val="00783733"/>
    <w:rsid w:val="00786064"/>
    <w:rsid w:val="007A3DDC"/>
    <w:rsid w:val="007B12D2"/>
    <w:rsid w:val="007B5E8D"/>
    <w:rsid w:val="007C00D8"/>
    <w:rsid w:val="007C3BEF"/>
    <w:rsid w:val="007C483E"/>
    <w:rsid w:val="007E14EA"/>
    <w:rsid w:val="007F1DE9"/>
    <w:rsid w:val="007F700B"/>
    <w:rsid w:val="00800C15"/>
    <w:rsid w:val="008037E8"/>
    <w:rsid w:val="00804A6E"/>
    <w:rsid w:val="00804DAB"/>
    <w:rsid w:val="008077EA"/>
    <w:rsid w:val="00813BB3"/>
    <w:rsid w:val="0082083A"/>
    <w:rsid w:val="00820D24"/>
    <w:rsid w:val="00823753"/>
    <w:rsid w:val="00832402"/>
    <w:rsid w:val="0083360B"/>
    <w:rsid w:val="0083617C"/>
    <w:rsid w:val="00843DE9"/>
    <w:rsid w:val="00845437"/>
    <w:rsid w:val="00847307"/>
    <w:rsid w:val="0084794D"/>
    <w:rsid w:val="00851C2E"/>
    <w:rsid w:val="008601F1"/>
    <w:rsid w:val="008608E5"/>
    <w:rsid w:val="00877A98"/>
    <w:rsid w:val="00883BDF"/>
    <w:rsid w:val="008943D6"/>
    <w:rsid w:val="00895745"/>
    <w:rsid w:val="008A2820"/>
    <w:rsid w:val="008A3444"/>
    <w:rsid w:val="008A38C1"/>
    <w:rsid w:val="008A51BB"/>
    <w:rsid w:val="008A6A25"/>
    <w:rsid w:val="008A7A4D"/>
    <w:rsid w:val="008B4891"/>
    <w:rsid w:val="008B614D"/>
    <w:rsid w:val="008B6A3D"/>
    <w:rsid w:val="008C2ED5"/>
    <w:rsid w:val="008C4658"/>
    <w:rsid w:val="008D4E42"/>
    <w:rsid w:val="008E3E7F"/>
    <w:rsid w:val="008E3E80"/>
    <w:rsid w:val="008E6EAF"/>
    <w:rsid w:val="008F12B6"/>
    <w:rsid w:val="008F1646"/>
    <w:rsid w:val="008F16A8"/>
    <w:rsid w:val="009069DE"/>
    <w:rsid w:val="0091356B"/>
    <w:rsid w:val="0091657F"/>
    <w:rsid w:val="00920C7C"/>
    <w:rsid w:val="00921AF9"/>
    <w:rsid w:val="0092691B"/>
    <w:rsid w:val="00932FC0"/>
    <w:rsid w:val="00933B7D"/>
    <w:rsid w:val="00941961"/>
    <w:rsid w:val="00941FBF"/>
    <w:rsid w:val="00942E0B"/>
    <w:rsid w:val="009446FD"/>
    <w:rsid w:val="00945371"/>
    <w:rsid w:val="009470B2"/>
    <w:rsid w:val="009530BD"/>
    <w:rsid w:val="00954E7D"/>
    <w:rsid w:val="0095582E"/>
    <w:rsid w:val="0095666D"/>
    <w:rsid w:val="009601C3"/>
    <w:rsid w:val="00960539"/>
    <w:rsid w:val="00964E0A"/>
    <w:rsid w:val="00970683"/>
    <w:rsid w:val="00970C25"/>
    <w:rsid w:val="00973ED3"/>
    <w:rsid w:val="0097446D"/>
    <w:rsid w:val="009806D3"/>
    <w:rsid w:val="00984623"/>
    <w:rsid w:val="00985CB8"/>
    <w:rsid w:val="00986D12"/>
    <w:rsid w:val="00992A2A"/>
    <w:rsid w:val="009A3829"/>
    <w:rsid w:val="009C360B"/>
    <w:rsid w:val="009C6B4C"/>
    <w:rsid w:val="009D11B0"/>
    <w:rsid w:val="009E0DCD"/>
    <w:rsid w:val="009E1233"/>
    <w:rsid w:val="009E1AF2"/>
    <w:rsid w:val="00A0479D"/>
    <w:rsid w:val="00A216B1"/>
    <w:rsid w:val="00A22C77"/>
    <w:rsid w:val="00A24930"/>
    <w:rsid w:val="00A264A2"/>
    <w:rsid w:val="00A27321"/>
    <w:rsid w:val="00A311E8"/>
    <w:rsid w:val="00A35FCA"/>
    <w:rsid w:val="00A41449"/>
    <w:rsid w:val="00A41DA4"/>
    <w:rsid w:val="00A45EA5"/>
    <w:rsid w:val="00A50405"/>
    <w:rsid w:val="00A57DDF"/>
    <w:rsid w:val="00A62088"/>
    <w:rsid w:val="00A62318"/>
    <w:rsid w:val="00A63846"/>
    <w:rsid w:val="00A6645D"/>
    <w:rsid w:val="00A70879"/>
    <w:rsid w:val="00A71318"/>
    <w:rsid w:val="00A83AB7"/>
    <w:rsid w:val="00AA00EF"/>
    <w:rsid w:val="00AA2694"/>
    <w:rsid w:val="00AB6EDA"/>
    <w:rsid w:val="00AC026B"/>
    <w:rsid w:val="00AC410F"/>
    <w:rsid w:val="00AC42DD"/>
    <w:rsid w:val="00AC43DF"/>
    <w:rsid w:val="00AC4AE9"/>
    <w:rsid w:val="00AC705B"/>
    <w:rsid w:val="00AE3DB7"/>
    <w:rsid w:val="00AF2158"/>
    <w:rsid w:val="00B02975"/>
    <w:rsid w:val="00B043C4"/>
    <w:rsid w:val="00B15399"/>
    <w:rsid w:val="00B24092"/>
    <w:rsid w:val="00B249CE"/>
    <w:rsid w:val="00B3278E"/>
    <w:rsid w:val="00B34DDE"/>
    <w:rsid w:val="00B41034"/>
    <w:rsid w:val="00B4430B"/>
    <w:rsid w:val="00B4534D"/>
    <w:rsid w:val="00B464BC"/>
    <w:rsid w:val="00B53800"/>
    <w:rsid w:val="00B754E5"/>
    <w:rsid w:val="00B909F8"/>
    <w:rsid w:val="00B93F07"/>
    <w:rsid w:val="00B957D2"/>
    <w:rsid w:val="00BA02DC"/>
    <w:rsid w:val="00BA0DAC"/>
    <w:rsid w:val="00BA3847"/>
    <w:rsid w:val="00BB4E79"/>
    <w:rsid w:val="00BC089B"/>
    <w:rsid w:val="00BC0F06"/>
    <w:rsid w:val="00BC2E6D"/>
    <w:rsid w:val="00BC4590"/>
    <w:rsid w:val="00BC45E4"/>
    <w:rsid w:val="00BC54C4"/>
    <w:rsid w:val="00BC7525"/>
    <w:rsid w:val="00BD7A1F"/>
    <w:rsid w:val="00BE4ED1"/>
    <w:rsid w:val="00BF0B8C"/>
    <w:rsid w:val="00BF1ABC"/>
    <w:rsid w:val="00BF37AC"/>
    <w:rsid w:val="00BF76DC"/>
    <w:rsid w:val="00C02854"/>
    <w:rsid w:val="00C0490B"/>
    <w:rsid w:val="00C04FC3"/>
    <w:rsid w:val="00C0501F"/>
    <w:rsid w:val="00C135C3"/>
    <w:rsid w:val="00C14263"/>
    <w:rsid w:val="00C15D25"/>
    <w:rsid w:val="00C23FC3"/>
    <w:rsid w:val="00C246FA"/>
    <w:rsid w:val="00C30F7C"/>
    <w:rsid w:val="00C33015"/>
    <w:rsid w:val="00C43767"/>
    <w:rsid w:val="00C56B17"/>
    <w:rsid w:val="00C855C1"/>
    <w:rsid w:val="00C862FA"/>
    <w:rsid w:val="00C87D6C"/>
    <w:rsid w:val="00C87DF0"/>
    <w:rsid w:val="00C91188"/>
    <w:rsid w:val="00C91389"/>
    <w:rsid w:val="00C942FE"/>
    <w:rsid w:val="00C948B4"/>
    <w:rsid w:val="00C94ECA"/>
    <w:rsid w:val="00CA2E95"/>
    <w:rsid w:val="00CA4BC9"/>
    <w:rsid w:val="00CB1A65"/>
    <w:rsid w:val="00CC09E7"/>
    <w:rsid w:val="00CC792D"/>
    <w:rsid w:val="00CD674E"/>
    <w:rsid w:val="00CD7516"/>
    <w:rsid w:val="00CF0A3A"/>
    <w:rsid w:val="00CF7525"/>
    <w:rsid w:val="00D06DCA"/>
    <w:rsid w:val="00D10E0D"/>
    <w:rsid w:val="00D113CA"/>
    <w:rsid w:val="00D117BA"/>
    <w:rsid w:val="00D141FC"/>
    <w:rsid w:val="00D17412"/>
    <w:rsid w:val="00D27A81"/>
    <w:rsid w:val="00D3003F"/>
    <w:rsid w:val="00D34A33"/>
    <w:rsid w:val="00D353F0"/>
    <w:rsid w:val="00D35DC6"/>
    <w:rsid w:val="00D409FA"/>
    <w:rsid w:val="00D41479"/>
    <w:rsid w:val="00D41CC5"/>
    <w:rsid w:val="00D41D22"/>
    <w:rsid w:val="00D4639E"/>
    <w:rsid w:val="00D84E24"/>
    <w:rsid w:val="00D85AEB"/>
    <w:rsid w:val="00D871CD"/>
    <w:rsid w:val="00D97ABF"/>
    <w:rsid w:val="00DA6A10"/>
    <w:rsid w:val="00DA73A1"/>
    <w:rsid w:val="00DB1508"/>
    <w:rsid w:val="00DB523E"/>
    <w:rsid w:val="00DC03D8"/>
    <w:rsid w:val="00DD4C05"/>
    <w:rsid w:val="00DE202E"/>
    <w:rsid w:val="00DF2D5C"/>
    <w:rsid w:val="00DF70B5"/>
    <w:rsid w:val="00E00237"/>
    <w:rsid w:val="00E03E13"/>
    <w:rsid w:val="00E056D0"/>
    <w:rsid w:val="00E0711C"/>
    <w:rsid w:val="00E15972"/>
    <w:rsid w:val="00E32082"/>
    <w:rsid w:val="00E32DB6"/>
    <w:rsid w:val="00E352EE"/>
    <w:rsid w:val="00E41CB2"/>
    <w:rsid w:val="00E442CD"/>
    <w:rsid w:val="00E45A49"/>
    <w:rsid w:val="00E463A5"/>
    <w:rsid w:val="00E56222"/>
    <w:rsid w:val="00E5737E"/>
    <w:rsid w:val="00E6263C"/>
    <w:rsid w:val="00E63AAB"/>
    <w:rsid w:val="00E71A6E"/>
    <w:rsid w:val="00E725DA"/>
    <w:rsid w:val="00E74C86"/>
    <w:rsid w:val="00E7592B"/>
    <w:rsid w:val="00E80159"/>
    <w:rsid w:val="00E84A0D"/>
    <w:rsid w:val="00E84E29"/>
    <w:rsid w:val="00E93D05"/>
    <w:rsid w:val="00E94A74"/>
    <w:rsid w:val="00E95E3C"/>
    <w:rsid w:val="00E979D9"/>
    <w:rsid w:val="00EA022D"/>
    <w:rsid w:val="00EB063F"/>
    <w:rsid w:val="00EB4F6D"/>
    <w:rsid w:val="00EB6FD4"/>
    <w:rsid w:val="00EC42AC"/>
    <w:rsid w:val="00EC615C"/>
    <w:rsid w:val="00ED05F9"/>
    <w:rsid w:val="00ED4321"/>
    <w:rsid w:val="00EE3FCA"/>
    <w:rsid w:val="00EF4D36"/>
    <w:rsid w:val="00F00AB9"/>
    <w:rsid w:val="00F00F24"/>
    <w:rsid w:val="00F01255"/>
    <w:rsid w:val="00F04196"/>
    <w:rsid w:val="00F05AC7"/>
    <w:rsid w:val="00F10B63"/>
    <w:rsid w:val="00F1465D"/>
    <w:rsid w:val="00F15FD4"/>
    <w:rsid w:val="00F165FC"/>
    <w:rsid w:val="00F211B8"/>
    <w:rsid w:val="00F21D2C"/>
    <w:rsid w:val="00F22674"/>
    <w:rsid w:val="00F333A2"/>
    <w:rsid w:val="00F3539E"/>
    <w:rsid w:val="00F402FC"/>
    <w:rsid w:val="00F41280"/>
    <w:rsid w:val="00F44BC3"/>
    <w:rsid w:val="00F46C63"/>
    <w:rsid w:val="00F5211A"/>
    <w:rsid w:val="00F544D7"/>
    <w:rsid w:val="00F56061"/>
    <w:rsid w:val="00F6204E"/>
    <w:rsid w:val="00F62BA6"/>
    <w:rsid w:val="00F632EE"/>
    <w:rsid w:val="00F74D3D"/>
    <w:rsid w:val="00F75582"/>
    <w:rsid w:val="00F8536D"/>
    <w:rsid w:val="00F8619A"/>
    <w:rsid w:val="00F90945"/>
    <w:rsid w:val="00F90F55"/>
    <w:rsid w:val="00F913EE"/>
    <w:rsid w:val="00F93FD3"/>
    <w:rsid w:val="00FB0495"/>
    <w:rsid w:val="00FB165B"/>
    <w:rsid w:val="00FB6792"/>
    <w:rsid w:val="00FC4D38"/>
    <w:rsid w:val="00FC67DA"/>
    <w:rsid w:val="00FD17B3"/>
    <w:rsid w:val="00FE4911"/>
    <w:rsid w:val="00FE6532"/>
    <w:rsid w:val="00FF158B"/>
    <w:rsid w:val="00FF222D"/>
    <w:rsid w:val="00FF6454"/>
    <w:rsid w:val="00FF7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D58347"/>
  <w15:chartTrackingRefBased/>
  <w15:docId w15:val="{062495F3-4218-5246-A65E-8089161A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3BA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35473A"/>
    <w:pPr>
      <w:spacing w:after="200"/>
    </w:pPr>
    <w:rPr>
      <w:i/>
      <w:iCs/>
      <w:color w:val="44546A" w:themeColor="text2"/>
      <w:sz w:val="18"/>
      <w:szCs w:val="18"/>
    </w:rPr>
  </w:style>
  <w:style w:type="character" w:customStyle="1" w:styleId="CaptionChar">
    <w:name w:val="Caption Char"/>
    <w:basedOn w:val="DefaultParagraphFont"/>
    <w:link w:val="Caption"/>
    <w:uiPriority w:val="35"/>
    <w:rsid w:val="0035473A"/>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Baptiste</dc:creator>
  <cp:keywords/>
  <dc:description/>
  <cp:lastModifiedBy>Paris Baptiste</cp:lastModifiedBy>
  <cp:revision>2</cp:revision>
  <dcterms:created xsi:type="dcterms:W3CDTF">2024-01-17T20:21:00Z</dcterms:created>
  <dcterms:modified xsi:type="dcterms:W3CDTF">2024-01-17T20:21:00Z</dcterms:modified>
</cp:coreProperties>
</file>