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396"/>
      </w:tblGrid>
      <w:tr w:rsidR="00072F1C" w:rsidRPr="00843227" w14:paraId="3A47CF71" w14:textId="77777777" w:rsidTr="00C518F7">
        <w:tc>
          <w:tcPr>
            <w:tcW w:w="90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01FCB0" w14:textId="77777777" w:rsidR="00072F1C" w:rsidRPr="00EF77FC" w:rsidRDefault="00072F1C" w:rsidP="00C518F7">
            <w:pPr>
              <w:spacing w:line="480" w:lineRule="auto"/>
              <w:rPr>
                <w:rFonts w:ascii="Times" w:hAnsi="Times" w:cs="Arial"/>
                <w:sz w:val="20"/>
                <w:szCs w:val="20"/>
              </w:rPr>
            </w:pPr>
            <w:r w:rsidRPr="00843227">
              <w:rPr>
                <w:rFonts w:ascii="Times" w:hAnsi="Times" w:cs="Arial"/>
                <w:b/>
                <w:bCs/>
                <w:sz w:val="20"/>
                <w:szCs w:val="20"/>
              </w:rPr>
              <w:t>Supplementary Table S</w:t>
            </w:r>
            <w:r>
              <w:rPr>
                <w:rFonts w:ascii="Times" w:hAnsi="Times" w:cs="Arial"/>
                <w:b/>
                <w:bCs/>
                <w:sz w:val="20"/>
                <w:szCs w:val="20"/>
              </w:rPr>
              <w:t>10</w:t>
            </w:r>
            <w:r w:rsidRPr="00843227">
              <w:rPr>
                <w:rFonts w:ascii="Times" w:hAnsi="Times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Times" w:hAnsi="Times" w:cs="Arial"/>
                <w:sz w:val="20"/>
                <w:szCs w:val="20"/>
              </w:rPr>
              <w:t xml:space="preserve"> </w:t>
            </w:r>
            <w:r w:rsidRPr="00843227">
              <w:rPr>
                <w:rFonts w:ascii="Times" w:hAnsi="Times" w:cs="Arial"/>
                <w:sz w:val="20"/>
                <w:szCs w:val="20"/>
              </w:rPr>
              <w:t>Table of trial diagnoses (inclusion criteria) and interpretation in CPRD.</w:t>
            </w:r>
          </w:p>
        </w:tc>
      </w:tr>
      <w:tr w:rsidR="00072F1C" w:rsidRPr="00843227" w14:paraId="30F21D81" w14:textId="77777777" w:rsidTr="00C518F7">
        <w:tc>
          <w:tcPr>
            <w:tcW w:w="4614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6FEE0447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b/>
                <w:sz w:val="19"/>
                <w:szCs w:val="19"/>
              </w:rPr>
            </w:pPr>
            <w:r w:rsidRPr="00843227">
              <w:rPr>
                <w:rFonts w:ascii="Times" w:hAnsi="Times" w:cs="Arial"/>
                <w:b/>
                <w:sz w:val="19"/>
                <w:szCs w:val="19"/>
              </w:rPr>
              <w:t>ONTARGET/TRANSCEND</w:t>
            </w:r>
          </w:p>
        </w:tc>
        <w:tc>
          <w:tcPr>
            <w:tcW w:w="4396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19271D0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b/>
                <w:sz w:val="19"/>
                <w:szCs w:val="19"/>
              </w:rPr>
            </w:pPr>
            <w:r w:rsidRPr="00843227">
              <w:rPr>
                <w:rFonts w:ascii="Times" w:hAnsi="Times" w:cs="Arial"/>
                <w:b/>
                <w:sz w:val="19"/>
                <w:szCs w:val="19"/>
              </w:rPr>
              <w:t xml:space="preserve">CPRD </w:t>
            </w:r>
            <w:proofErr w:type="spellStart"/>
            <w:r>
              <w:rPr>
                <w:rFonts w:ascii="Times" w:hAnsi="Times" w:cs="Arial"/>
                <w:b/>
                <w:sz w:val="19"/>
                <w:szCs w:val="19"/>
              </w:rPr>
              <w:t>Aurum</w:t>
            </w:r>
            <w:proofErr w:type="spellEnd"/>
            <w:r w:rsidRPr="00843227">
              <w:rPr>
                <w:rFonts w:ascii="Times" w:hAnsi="Times" w:cs="Arial"/>
                <w:b/>
                <w:sz w:val="19"/>
                <w:szCs w:val="19"/>
              </w:rPr>
              <w:t xml:space="preserve"> (HES + ONS Linked)</w:t>
            </w:r>
          </w:p>
          <w:p w14:paraId="0C90FACC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b/>
                <w:sz w:val="19"/>
                <w:szCs w:val="19"/>
              </w:rPr>
            </w:pPr>
            <w:r w:rsidRPr="00843227">
              <w:rPr>
                <w:rFonts w:ascii="Times" w:hAnsi="Times" w:cs="Arial"/>
                <w:b/>
                <w:sz w:val="19"/>
                <w:szCs w:val="19"/>
              </w:rPr>
              <w:t>READ or ICD 10 code for:</w:t>
            </w:r>
          </w:p>
        </w:tc>
      </w:tr>
      <w:tr w:rsidR="00072F1C" w:rsidRPr="00843227" w14:paraId="6A83A18C" w14:textId="77777777" w:rsidTr="00C518F7">
        <w:tc>
          <w:tcPr>
            <w:tcW w:w="4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362BCF2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 xml:space="preserve">Aged </w:t>
            </w:r>
            <w:r w:rsidRPr="00843227">
              <w:rPr>
                <w:rFonts w:ascii="Symbol" w:eastAsia="Symbol" w:hAnsi="Symbol" w:cs="Symbol"/>
                <w:sz w:val="19"/>
                <w:szCs w:val="19"/>
              </w:rPr>
              <w:t></w:t>
            </w:r>
            <w:r w:rsidRPr="00843227">
              <w:rPr>
                <w:rFonts w:ascii="Times" w:hAnsi="Times" w:cs="Arial"/>
                <w:sz w:val="19"/>
                <w:szCs w:val="19"/>
              </w:rPr>
              <w:t>55 years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DF77D03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 xml:space="preserve">Aged </w:t>
            </w:r>
            <w:r w:rsidRPr="00843227">
              <w:rPr>
                <w:rFonts w:ascii="Symbol" w:eastAsia="Symbol" w:hAnsi="Symbol" w:cs="Symbol"/>
                <w:sz w:val="19"/>
                <w:szCs w:val="19"/>
              </w:rPr>
              <w:t></w:t>
            </w:r>
            <w:r w:rsidRPr="00843227">
              <w:rPr>
                <w:rFonts w:ascii="Times" w:hAnsi="Times" w:cs="Arial"/>
                <w:sz w:val="19"/>
                <w:szCs w:val="19"/>
              </w:rPr>
              <w:t>55 years prior to prescription of drug</w:t>
            </w:r>
          </w:p>
        </w:tc>
      </w:tr>
      <w:tr w:rsidR="00072F1C" w:rsidRPr="00843227" w14:paraId="6AF68218" w14:textId="77777777" w:rsidTr="00C518F7">
        <w:tc>
          <w:tcPr>
            <w:tcW w:w="4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6D9604F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Coronary artery disease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C50987A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</w:tr>
      <w:tr w:rsidR="00072F1C" w:rsidRPr="00843227" w14:paraId="7D1DE258" w14:textId="77777777" w:rsidTr="00C518F7">
        <w:tc>
          <w:tcPr>
            <w:tcW w:w="4614" w:type="dxa"/>
            <w:tcBorders>
              <w:top w:val="single" w:sz="12" w:space="0" w:color="auto"/>
            </w:tcBorders>
          </w:tcPr>
          <w:p w14:paraId="0DE9C3A4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Previous myocardial infarction (&gt;2 days post uncomplicated MI)</w:t>
            </w:r>
          </w:p>
        </w:tc>
        <w:tc>
          <w:tcPr>
            <w:tcW w:w="4396" w:type="dxa"/>
            <w:tcBorders>
              <w:top w:val="single" w:sz="12" w:space="0" w:color="auto"/>
            </w:tcBorders>
          </w:tcPr>
          <w:p w14:paraId="5C0313DD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MI at least 2 days prior to prescription of drug</w:t>
            </w:r>
          </w:p>
        </w:tc>
      </w:tr>
      <w:tr w:rsidR="00072F1C" w:rsidRPr="00843227" w14:paraId="1347EFE5" w14:textId="77777777" w:rsidTr="00C518F7">
        <w:tc>
          <w:tcPr>
            <w:tcW w:w="4614" w:type="dxa"/>
          </w:tcPr>
          <w:p w14:paraId="7E813ABB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Stable angina or unstable angina &gt;30 days before informed consent and with documented evidence of multivessel coronary artery disease</w:t>
            </w:r>
          </w:p>
        </w:tc>
        <w:tc>
          <w:tcPr>
            <w:tcW w:w="4396" w:type="dxa"/>
          </w:tcPr>
          <w:p w14:paraId="3EB7265F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Angina/stable angina/unstable angina at least 30 days before prescription of drug and previous coronary artery disease diagnosis</w:t>
            </w:r>
          </w:p>
        </w:tc>
      </w:tr>
      <w:tr w:rsidR="00072F1C" w:rsidRPr="00843227" w14:paraId="6FE780FF" w14:textId="77777777" w:rsidTr="00C518F7">
        <w:tc>
          <w:tcPr>
            <w:tcW w:w="4614" w:type="dxa"/>
          </w:tcPr>
          <w:p w14:paraId="49CACE73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 xml:space="preserve">Multi-vessel PTCA &gt;30 days before informed </w:t>
            </w:r>
            <w:proofErr w:type="gramStart"/>
            <w:r w:rsidRPr="00843227">
              <w:rPr>
                <w:rFonts w:ascii="Times" w:hAnsi="Times" w:cs="Arial"/>
                <w:sz w:val="19"/>
                <w:szCs w:val="19"/>
              </w:rPr>
              <w:t>consent</w:t>
            </w:r>
            <w:proofErr w:type="gramEnd"/>
          </w:p>
          <w:p w14:paraId="045EFCB4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  <w:tc>
          <w:tcPr>
            <w:tcW w:w="4396" w:type="dxa"/>
          </w:tcPr>
          <w:p w14:paraId="4B11409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Read, ICD-10 or OPCS code for coronary angioplasty at least 30 days before prescription of drug</w:t>
            </w:r>
          </w:p>
        </w:tc>
      </w:tr>
      <w:tr w:rsidR="00072F1C" w:rsidRPr="00843227" w14:paraId="5CBBB4F2" w14:textId="77777777" w:rsidTr="00C518F7">
        <w:tc>
          <w:tcPr>
            <w:tcW w:w="4614" w:type="dxa"/>
            <w:tcBorders>
              <w:bottom w:val="single" w:sz="12" w:space="0" w:color="auto"/>
            </w:tcBorders>
          </w:tcPr>
          <w:p w14:paraId="1F4CB3EB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Multi-vessel CABG surgery &gt;4 years before informed consent, or with recurrent angina following surgery</w:t>
            </w:r>
          </w:p>
        </w:tc>
        <w:tc>
          <w:tcPr>
            <w:tcW w:w="4396" w:type="dxa"/>
            <w:tcBorders>
              <w:bottom w:val="single" w:sz="12" w:space="0" w:color="auto"/>
            </w:tcBorders>
          </w:tcPr>
          <w:p w14:paraId="5C9F0CD2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Read, ICD-10 or OPCS code for CABG at least 4 years before prescription of drug or with angina after CABG</w:t>
            </w:r>
          </w:p>
        </w:tc>
      </w:tr>
      <w:tr w:rsidR="00072F1C" w:rsidRPr="00843227" w14:paraId="0334ECB3" w14:textId="77777777" w:rsidTr="00C518F7">
        <w:tc>
          <w:tcPr>
            <w:tcW w:w="4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8198DE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Peripheral artery disease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76545D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</w:tr>
      <w:tr w:rsidR="00072F1C" w:rsidRPr="00843227" w14:paraId="296DA86B" w14:textId="77777777" w:rsidTr="00C518F7">
        <w:tc>
          <w:tcPr>
            <w:tcW w:w="4614" w:type="dxa"/>
            <w:tcBorders>
              <w:top w:val="single" w:sz="12" w:space="0" w:color="auto"/>
            </w:tcBorders>
          </w:tcPr>
          <w:p w14:paraId="20694D4C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Previous limb bypass surgery or angioplasty</w:t>
            </w:r>
          </w:p>
        </w:tc>
        <w:tc>
          <w:tcPr>
            <w:tcW w:w="4396" w:type="dxa"/>
            <w:tcBorders>
              <w:top w:val="single" w:sz="12" w:space="0" w:color="auto"/>
            </w:tcBorders>
          </w:tcPr>
          <w:p w14:paraId="02C70DEB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Read, ICD-10 or OPCS code for limb bypass surgery or angioplasty</w:t>
            </w:r>
          </w:p>
        </w:tc>
      </w:tr>
      <w:tr w:rsidR="00072F1C" w:rsidRPr="00843227" w14:paraId="51CF8B94" w14:textId="77777777" w:rsidTr="00C518F7">
        <w:tc>
          <w:tcPr>
            <w:tcW w:w="4614" w:type="dxa"/>
            <w:tcBorders>
              <w:top w:val="single" w:sz="4" w:space="0" w:color="auto"/>
            </w:tcBorders>
          </w:tcPr>
          <w:p w14:paraId="6EE2E59D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Previous limb or foot amputation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118FB997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Read, ICD-10 or OPCS code for limb/foot amputation</w:t>
            </w:r>
          </w:p>
        </w:tc>
      </w:tr>
      <w:tr w:rsidR="00072F1C" w:rsidRPr="00843227" w14:paraId="7EFDDD29" w14:textId="77777777" w:rsidTr="00C518F7">
        <w:tc>
          <w:tcPr>
            <w:tcW w:w="4614" w:type="dxa"/>
            <w:tcBorders>
              <w:top w:val="single" w:sz="4" w:space="0" w:color="auto"/>
            </w:tcBorders>
          </w:tcPr>
          <w:p w14:paraId="222A8FAC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 xml:space="preserve">Intermittent claudication, with </w:t>
            </w:r>
            <w:proofErr w:type="spellStart"/>
            <w:proofErr w:type="gramStart"/>
            <w:r w:rsidRPr="00843227">
              <w:rPr>
                <w:rFonts w:ascii="Times" w:hAnsi="Times" w:cs="Arial"/>
                <w:sz w:val="19"/>
                <w:szCs w:val="19"/>
              </w:rPr>
              <w:t>ankle:arm</w:t>
            </w:r>
            <w:proofErr w:type="spellEnd"/>
            <w:proofErr w:type="gramEnd"/>
            <w:r w:rsidRPr="00843227">
              <w:rPr>
                <w:rFonts w:ascii="Times" w:hAnsi="Times" w:cs="Arial"/>
                <w:sz w:val="19"/>
                <w:szCs w:val="19"/>
              </w:rPr>
              <w:t xml:space="preserve"> BP ratio &lt;=0.80 on at least 1 side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55D68A5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Intermittent claudication</w:t>
            </w:r>
          </w:p>
          <w:p w14:paraId="2285B858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</w:tr>
      <w:tr w:rsidR="00072F1C" w:rsidRPr="00843227" w14:paraId="2EADF026" w14:textId="77777777" w:rsidTr="00C518F7">
        <w:tc>
          <w:tcPr>
            <w:tcW w:w="4614" w:type="dxa"/>
            <w:tcBorders>
              <w:top w:val="single" w:sz="4" w:space="0" w:color="auto"/>
              <w:bottom w:val="single" w:sz="12" w:space="0" w:color="auto"/>
            </w:tcBorders>
          </w:tcPr>
          <w:p w14:paraId="6C1A5BE3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Significant peripheral artery stenosis (&gt;50%) documented by angiography or non-invasive test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12" w:space="0" w:color="auto"/>
            </w:tcBorders>
          </w:tcPr>
          <w:p w14:paraId="4A44062E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Not applicable</w:t>
            </w:r>
          </w:p>
        </w:tc>
      </w:tr>
      <w:tr w:rsidR="00072F1C" w:rsidRPr="00843227" w14:paraId="52E70C16" w14:textId="77777777" w:rsidTr="00C518F7">
        <w:tc>
          <w:tcPr>
            <w:tcW w:w="4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1E2A8AF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Cerebrovascular disease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F6E3B55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</w:tr>
      <w:tr w:rsidR="00072F1C" w:rsidRPr="00843227" w14:paraId="6026B96D" w14:textId="77777777" w:rsidTr="00C518F7">
        <w:tc>
          <w:tcPr>
            <w:tcW w:w="4614" w:type="dxa"/>
            <w:tcBorders>
              <w:top w:val="single" w:sz="12" w:space="0" w:color="auto"/>
            </w:tcBorders>
          </w:tcPr>
          <w:p w14:paraId="04C78A87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Previous stroke</w:t>
            </w:r>
          </w:p>
        </w:tc>
        <w:tc>
          <w:tcPr>
            <w:tcW w:w="4396" w:type="dxa"/>
            <w:tcBorders>
              <w:top w:val="single" w:sz="12" w:space="0" w:color="auto"/>
            </w:tcBorders>
          </w:tcPr>
          <w:p w14:paraId="761A0B0C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Stroke before prescription of drug</w:t>
            </w:r>
          </w:p>
        </w:tc>
      </w:tr>
      <w:tr w:rsidR="00072F1C" w:rsidRPr="00843227" w14:paraId="5DCA4E3B" w14:textId="77777777" w:rsidTr="00C518F7">
        <w:tc>
          <w:tcPr>
            <w:tcW w:w="4614" w:type="dxa"/>
            <w:tcBorders>
              <w:top w:val="single" w:sz="4" w:space="0" w:color="auto"/>
              <w:bottom w:val="single" w:sz="12" w:space="0" w:color="auto"/>
            </w:tcBorders>
          </w:tcPr>
          <w:p w14:paraId="48A4845B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Transient ischemic attacks &gt;7 days and &lt;1 year before informed consent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12" w:space="0" w:color="auto"/>
            </w:tcBorders>
          </w:tcPr>
          <w:p w14:paraId="6A767744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Transient ischemic attacks before prescription of drug</w:t>
            </w:r>
          </w:p>
        </w:tc>
      </w:tr>
      <w:tr w:rsidR="00072F1C" w:rsidRPr="00843227" w14:paraId="059A86D7" w14:textId="77777777" w:rsidTr="00C518F7">
        <w:tc>
          <w:tcPr>
            <w:tcW w:w="4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528282B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High-risk diabetes with evidence of end-organ damage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099C153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</w:p>
        </w:tc>
      </w:tr>
      <w:tr w:rsidR="00072F1C" w:rsidRPr="00843227" w14:paraId="57B2D4BC" w14:textId="77777777" w:rsidTr="00C518F7">
        <w:tc>
          <w:tcPr>
            <w:tcW w:w="4614" w:type="dxa"/>
            <w:tcBorders>
              <w:top w:val="single" w:sz="12" w:space="0" w:color="auto"/>
              <w:bottom w:val="single" w:sz="4" w:space="0" w:color="auto"/>
            </w:tcBorders>
          </w:tcPr>
          <w:p w14:paraId="143398FC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>High-risk diabetes</w:t>
            </w:r>
          </w:p>
        </w:tc>
        <w:tc>
          <w:tcPr>
            <w:tcW w:w="4396" w:type="dxa"/>
            <w:tcBorders>
              <w:top w:val="single" w:sz="12" w:space="0" w:color="auto"/>
              <w:bottom w:val="single" w:sz="4" w:space="0" w:color="auto"/>
            </w:tcBorders>
          </w:tcPr>
          <w:p w14:paraId="1A80BBD7" w14:textId="77777777" w:rsidR="00072F1C" w:rsidRPr="00843227" w:rsidRDefault="00072F1C" w:rsidP="00C518F7">
            <w:pPr>
              <w:spacing w:line="480" w:lineRule="auto"/>
              <w:rPr>
                <w:rFonts w:ascii="Times" w:hAnsi="Times" w:cs="Arial"/>
                <w:sz w:val="19"/>
                <w:szCs w:val="19"/>
              </w:rPr>
            </w:pPr>
            <w:r w:rsidRPr="00843227">
              <w:rPr>
                <w:rFonts w:ascii="Times" w:hAnsi="Times" w:cs="Arial"/>
                <w:sz w:val="19"/>
                <w:szCs w:val="19"/>
              </w:rPr>
              <w:t xml:space="preserve">Specific codes for diabetes with retinopathy, neuropathy, chronic kidney disease or proteinuria </w:t>
            </w:r>
            <w:r w:rsidRPr="00843227">
              <w:rPr>
                <w:rFonts w:ascii="Times" w:hAnsi="Times" w:cs="Arial"/>
                <w:sz w:val="19"/>
                <w:szCs w:val="19"/>
              </w:rPr>
              <w:lastRenderedPageBreak/>
              <w:t>before prescription of drug or diabetes defined by diabetes codes or diabetes therapy with CKD defined as eGFR&lt;60 or proteinuria defined as ACR&gt;3</w:t>
            </w:r>
          </w:p>
        </w:tc>
      </w:tr>
    </w:tbl>
    <w:p w14:paraId="49D75EA9" w14:textId="77777777" w:rsidR="006547D8" w:rsidRDefault="006547D8"/>
    <w:sectPr w:rsidR="006547D8" w:rsidSect="005519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1037C"/>
    <w:rsid w:val="00020E23"/>
    <w:rsid w:val="00031D3A"/>
    <w:rsid w:val="0003304F"/>
    <w:rsid w:val="00037FD6"/>
    <w:rsid w:val="00044CBC"/>
    <w:rsid w:val="00051B5D"/>
    <w:rsid w:val="0006125C"/>
    <w:rsid w:val="00072F1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C5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190C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0E0D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4BC3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2024-01-17T20:20:00Z</dcterms:created>
  <dcterms:modified xsi:type="dcterms:W3CDTF">2024-01-17T20:20:00Z</dcterms:modified>
</cp:coreProperties>
</file>