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F8FC7F" w14:textId="77777777" w:rsidR="002B5B1D" w:rsidRDefault="002B5B1D" w:rsidP="002B5B1D">
      <w:pPr>
        <w:spacing w:after="0" w:line="480" w:lineRule="auto"/>
        <w:rPr>
          <w:rFonts w:ascii="Arial" w:hAnsi="Arial" w:cs="Arial"/>
          <w:b/>
          <w:shd w:val="clear" w:color="auto" w:fill="FFFFFF"/>
        </w:rPr>
      </w:pPr>
      <w:r w:rsidRPr="006A4738">
        <w:rPr>
          <w:rFonts w:ascii="Arial" w:hAnsi="Arial" w:cs="Arial"/>
          <w:b/>
          <w:shd w:val="clear" w:color="auto" w:fill="FFFFFF"/>
        </w:rPr>
        <w:t xml:space="preserve">Appendix </w:t>
      </w:r>
    </w:p>
    <w:p w14:paraId="47FB5074" w14:textId="77777777" w:rsidR="002B5B1D" w:rsidRPr="006A4738" w:rsidRDefault="002B5B1D" w:rsidP="002B5B1D">
      <w:pPr>
        <w:spacing w:after="0" w:line="480" w:lineRule="auto"/>
        <w:rPr>
          <w:rFonts w:ascii="Arial" w:hAnsi="Arial" w:cs="Arial"/>
          <w:b/>
          <w:shd w:val="clear" w:color="auto" w:fill="FFFFFF"/>
        </w:rPr>
      </w:pPr>
    </w:p>
    <w:p w14:paraId="263D3665" w14:textId="690D3651" w:rsidR="0065111F" w:rsidRDefault="0065111F" w:rsidP="0065111F">
      <w:pPr>
        <w:spacing w:after="0" w:line="480" w:lineRule="auto"/>
        <w:rPr>
          <w:rFonts w:ascii="Arial" w:hAnsi="Arial" w:cs="Arial"/>
        </w:rPr>
      </w:pPr>
      <w:r w:rsidRPr="00455AA4">
        <w:rPr>
          <w:rFonts w:ascii="Arial" w:hAnsi="Arial" w:cs="Arial"/>
          <w:b/>
        </w:rPr>
        <w:t>Title:</w:t>
      </w:r>
      <w:r w:rsidRPr="00455AA4">
        <w:rPr>
          <w:rFonts w:ascii="Arial" w:hAnsi="Arial" w:cs="Arial"/>
        </w:rPr>
        <w:t xml:space="preserve"> Social inequalities in COVID-19 </w:t>
      </w:r>
      <w:r>
        <w:rPr>
          <w:rFonts w:ascii="Arial" w:hAnsi="Arial" w:cs="Arial"/>
        </w:rPr>
        <w:t>deaths</w:t>
      </w:r>
      <w:r w:rsidRPr="00455AA4">
        <w:rPr>
          <w:rFonts w:ascii="Arial" w:hAnsi="Arial" w:cs="Arial"/>
        </w:rPr>
        <w:t xml:space="preserve"> by </w:t>
      </w:r>
      <w:r>
        <w:rPr>
          <w:rFonts w:ascii="Arial" w:hAnsi="Arial" w:cs="Arial"/>
        </w:rPr>
        <w:t>area-level</w:t>
      </w:r>
      <w:r w:rsidRPr="00455AA4">
        <w:rPr>
          <w:rFonts w:ascii="Arial" w:hAnsi="Arial" w:cs="Arial"/>
        </w:rPr>
        <w:t xml:space="preserve"> income: patterns over time and the mediating role of vaccination in a population of 11.2 million people in Ontario, Canada</w:t>
      </w:r>
    </w:p>
    <w:p w14:paraId="3AE9AA07" w14:textId="77777777" w:rsidR="0065111F" w:rsidRPr="00455AA4" w:rsidRDefault="0065111F" w:rsidP="0065111F">
      <w:pPr>
        <w:spacing w:after="0" w:line="480" w:lineRule="auto"/>
        <w:rPr>
          <w:rFonts w:ascii="Arial" w:hAnsi="Arial" w:cs="Arial"/>
        </w:rPr>
      </w:pPr>
    </w:p>
    <w:p w14:paraId="155C8913" w14:textId="77777777" w:rsidR="0065111F" w:rsidRPr="00455AA4" w:rsidRDefault="0065111F" w:rsidP="0065111F">
      <w:pPr>
        <w:spacing w:after="0" w:line="480" w:lineRule="auto"/>
        <w:rPr>
          <w:rFonts w:ascii="Arial" w:hAnsi="Arial" w:cs="Arial"/>
          <w:vertAlign w:val="superscript"/>
        </w:rPr>
      </w:pPr>
      <w:r w:rsidRPr="00455AA4">
        <w:rPr>
          <w:rFonts w:ascii="Arial" w:hAnsi="Arial" w:cs="Arial"/>
          <w:b/>
        </w:rPr>
        <w:t>Authors</w:t>
      </w:r>
      <w:r w:rsidRPr="00455AA4">
        <w:rPr>
          <w:rFonts w:ascii="Arial" w:hAnsi="Arial" w:cs="Arial"/>
        </w:rPr>
        <w:t>: Linwei Wang, MSc</w:t>
      </w:r>
      <w:r w:rsidRPr="00455AA4">
        <w:rPr>
          <w:rFonts w:ascii="Arial" w:hAnsi="Arial" w:cs="Arial"/>
          <w:vertAlign w:val="superscript"/>
        </w:rPr>
        <w:t>1</w:t>
      </w:r>
      <w:r w:rsidRPr="00455AA4">
        <w:rPr>
          <w:rFonts w:ascii="Arial" w:hAnsi="Arial" w:cs="Arial"/>
        </w:rPr>
        <w:t>, Sarah Swayze, MSc</w:t>
      </w:r>
      <w:r w:rsidRPr="00455AA4">
        <w:rPr>
          <w:rFonts w:ascii="Arial" w:hAnsi="Arial" w:cs="Arial"/>
          <w:vertAlign w:val="superscript"/>
        </w:rPr>
        <w:t>2</w:t>
      </w:r>
      <w:r w:rsidRPr="00455AA4">
        <w:rPr>
          <w:rFonts w:ascii="Arial" w:hAnsi="Arial" w:cs="Arial"/>
        </w:rPr>
        <w:t>, Korryn Bodner, PhD</w:t>
      </w:r>
      <w:r w:rsidRPr="00455AA4">
        <w:rPr>
          <w:rFonts w:ascii="Arial" w:hAnsi="Arial" w:cs="Arial"/>
          <w:vertAlign w:val="superscript"/>
        </w:rPr>
        <w:t>1</w:t>
      </w:r>
      <w:r w:rsidRPr="00455AA4">
        <w:rPr>
          <w:rFonts w:ascii="Arial" w:hAnsi="Arial" w:cs="Arial"/>
        </w:rPr>
        <w:t>,  Andrew Calzavara, MSc</w:t>
      </w:r>
      <w:r w:rsidRPr="00455AA4">
        <w:rPr>
          <w:rFonts w:ascii="Arial" w:hAnsi="Arial" w:cs="Arial"/>
          <w:vertAlign w:val="superscript"/>
        </w:rPr>
        <w:t>2</w:t>
      </w:r>
      <w:r w:rsidRPr="00455AA4">
        <w:rPr>
          <w:rFonts w:ascii="Arial" w:hAnsi="Arial" w:cs="Arial"/>
        </w:rPr>
        <w:t>, Sean P. Harrigan, MSc</w:t>
      </w:r>
      <w:r w:rsidRPr="00455AA4">
        <w:rPr>
          <w:rFonts w:ascii="Arial" w:hAnsi="Arial" w:cs="Arial"/>
          <w:vertAlign w:val="superscript"/>
        </w:rPr>
        <w:t>3</w:t>
      </w:r>
      <w:r w:rsidRPr="00455AA4">
        <w:rPr>
          <w:rFonts w:ascii="Arial" w:hAnsi="Arial" w:cs="Arial"/>
        </w:rPr>
        <w:t>, Arjumand Siddiqi, ScD</w:t>
      </w:r>
      <w:r w:rsidRPr="00455AA4">
        <w:rPr>
          <w:rFonts w:ascii="Arial" w:hAnsi="Arial" w:cs="Arial"/>
          <w:vertAlign w:val="superscript"/>
        </w:rPr>
        <w:t>4,5,6,7</w:t>
      </w:r>
      <w:r w:rsidRPr="00455AA4">
        <w:rPr>
          <w:rFonts w:ascii="Arial" w:hAnsi="Arial" w:cs="Arial"/>
        </w:rPr>
        <w:t>, Stefan D. Baral, MD</w:t>
      </w:r>
      <w:r w:rsidRPr="00455AA4">
        <w:rPr>
          <w:rFonts w:ascii="Arial" w:hAnsi="Arial" w:cs="Arial"/>
          <w:vertAlign w:val="superscript"/>
        </w:rPr>
        <w:t>8</w:t>
      </w:r>
      <w:r w:rsidRPr="00455AA4">
        <w:rPr>
          <w:rFonts w:ascii="Arial" w:hAnsi="Arial" w:cs="Arial"/>
        </w:rPr>
        <w:t>, Peter C. Austin, PhD</w:t>
      </w:r>
      <w:r w:rsidRPr="00455AA4">
        <w:rPr>
          <w:rFonts w:ascii="Arial" w:hAnsi="Arial" w:cs="Arial"/>
          <w:vertAlign w:val="superscript"/>
        </w:rPr>
        <w:t>2,9,10</w:t>
      </w:r>
      <w:r w:rsidRPr="00455AA4">
        <w:rPr>
          <w:rFonts w:ascii="Arial" w:hAnsi="Arial" w:cs="Arial"/>
        </w:rPr>
        <w:t>, Janet Smylie, MD</w:t>
      </w:r>
      <w:r w:rsidRPr="00455AA4">
        <w:rPr>
          <w:rFonts w:ascii="Arial" w:hAnsi="Arial" w:cs="Arial"/>
          <w:vertAlign w:val="superscript"/>
        </w:rPr>
        <w:t>4,11</w:t>
      </w:r>
      <w:r w:rsidRPr="00455AA4">
        <w:rPr>
          <w:rFonts w:ascii="Arial" w:hAnsi="Arial" w:cs="Arial"/>
        </w:rPr>
        <w:t>, Maria Koh, MSc</w:t>
      </w:r>
      <w:r w:rsidRPr="00455AA4">
        <w:rPr>
          <w:rFonts w:ascii="Arial" w:hAnsi="Arial" w:cs="Arial"/>
          <w:vertAlign w:val="superscript"/>
        </w:rPr>
        <w:t>2</w:t>
      </w:r>
      <w:r w:rsidRPr="00455AA4">
        <w:rPr>
          <w:rFonts w:ascii="Arial" w:hAnsi="Arial" w:cs="Arial"/>
        </w:rPr>
        <w:t>, Hind Sbihi, PhD</w:t>
      </w:r>
      <w:r w:rsidRPr="00455AA4">
        <w:rPr>
          <w:rFonts w:ascii="Arial" w:hAnsi="Arial" w:cs="Arial"/>
          <w:vertAlign w:val="superscript"/>
        </w:rPr>
        <w:t>3,12</w:t>
      </w:r>
      <w:r w:rsidRPr="00455AA4">
        <w:rPr>
          <w:rFonts w:ascii="Arial" w:hAnsi="Arial" w:cs="Arial"/>
        </w:rPr>
        <w:t>, Beate Sander, PhD</w:t>
      </w:r>
      <w:r w:rsidRPr="00455AA4">
        <w:rPr>
          <w:rFonts w:ascii="Arial" w:hAnsi="Arial" w:cs="Arial"/>
          <w:vertAlign w:val="superscript"/>
        </w:rPr>
        <w:t>2,9,13,14</w:t>
      </w:r>
      <w:r w:rsidRPr="00455AA4">
        <w:rPr>
          <w:rFonts w:ascii="Arial" w:hAnsi="Arial" w:cs="Arial"/>
        </w:rPr>
        <w:t>, Jeffrey C. Kwong, MD</w:t>
      </w:r>
      <w:r w:rsidRPr="00455AA4">
        <w:rPr>
          <w:rFonts w:ascii="Arial" w:hAnsi="Arial" w:cs="Arial"/>
          <w:vertAlign w:val="superscript"/>
        </w:rPr>
        <w:t xml:space="preserve"> 2,4,14,15,16</w:t>
      </w:r>
      <w:r w:rsidRPr="00455AA4">
        <w:rPr>
          <w:rFonts w:ascii="Arial" w:hAnsi="Arial" w:cs="Arial"/>
        </w:rPr>
        <w:t>, Sharmistha Mishra, PhD</w:t>
      </w:r>
      <w:r w:rsidRPr="00455AA4">
        <w:rPr>
          <w:rFonts w:ascii="Arial" w:hAnsi="Arial" w:cs="Arial"/>
          <w:vertAlign w:val="superscript"/>
        </w:rPr>
        <w:t xml:space="preserve">1,2,4,9,17,18 </w:t>
      </w:r>
    </w:p>
    <w:p w14:paraId="033F11A3" w14:textId="7EB507CB" w:rsidR="00F91533" w:rsidRDefault="00F91533">
      <w:pPr>
        <w:rPr>
          <w:rFonts w:ascii="Arial" w:hAnsi="Arial" w:cs="Arial"/>
          <w:b/>
          <w:sz w:val="20"/>
          <w:szCs w:val="20"/>
        </w:rPr>
      </w:pPr>
      <w:r>
        <w:rPr>
          <w:rFonts w:ascii="Arial" w:hAnsi="Arial" w:cs="Arial"/>
          <w:b/>
          <w:sz w:val="20"/>
          <w:szCs w:val="20"/>
        </w:rPr>
        <w:br w:type="page"/>
      </w:r>
    </w:p>
    <w:p w14:paraId="75F4380E" w14:textId="3A8D316A" w:rsidR="00E01EE6" w:rsidRPr="00B613F4" w:rsidRDefault="00E01EE6" w:rsidP="00E01EE6">
      <w:pPr>
        <w:spacing w:after="0" w:line="240" w:lineRule="auto"/>
        <w:rPr>
          <w:rFonts w:ascii="Arial" w:hAnsi="Arial" w:cs="Arial"/>
          <w:sz w:val="20"/>
          <w:szCs w:val="20"/>
        </w:rPr>
      </w:pPr>
      <w:r w:rsidRPr="00B613F4">
        <w:rPr>
          <w:rFonts w:ascii="Arial" w:hAnsi="Arial" w:cs="Arial"/>
          <w:b/>
          <w:sz w:val="20"/>
          <w:szCs w:val="20"/>
        </w:rPr>
        <w:lastRenderedPageBreak/>
        <w:t>Appendix Table 1.</w:t>
      </w:r>
      <w:r w:rsidRPr="00B613F4">
        <w:rPr>
          <w:rFonts w:ascii="Arial" w:hAnsi="Arial" w:cs="Arial"/>
          <w:b/>
          <w:bCs/>
          <w:sz w:val="20"/>
          <w:szCs w:val="20"/>
        </w:rPr>
        <w:t xml:space="preserve">  </w:t>
      </w:r>
      <w:r w:rsidRPr="00B613F4">
        <w:rPr>
          <w:rFonts w:ascii="Arial" w:hAnsi="Arial" w:cs="Arial"/>
          <w:sz w:val="20"/>
          <w:szCs w:val="20"/>
        </w:rPr>
        <w:t>Patterns in COVID-19</w:t>
      </w:r>
      <w:r w:rsidR="00846AA8">
        <w:rPr>
          <w:rFonts w:ascii="Arial" w:hAnsi="Arial" w:cs="Arial"/>
          <w:sz w:val="20"/>
          <w:szCs w:val="20"/>
        </w:rPr>
        <w:t xml:space="preserve"> death</w:t>
      </w:r>
      <w:r w:rsidR="00BF68B6">
        <w:rPr>
          <w:rFonts w:ascii="Arial" w:hAnsi="Arial" w:cs="Arial"/>
          <w:sz w:val="20"/>
          <w:szCs w:val="20"/>
        </w:rPr>
        <w:t>s</w:t>
      </w:r>
      <w:r w:rsidRPr="00B613F4">
        <w:rPr>
          <w:rFonts w:ascii="Arial" w:hAnsi="Arial" w:cs="Arial"/>
          <w:sz w:val="20"/>
          <w:szCs w:val="20"/>
        </w:rPr>
        <w:t xml:space="preserve"> and </w:t>
      </w:r>
      <w:r w:rsidR="00BF68B6" w:rsidRPr="00B613F4">
        <w:rPr>
          <w:rFonts w:ascii="Arial" w:hAnsi="Arial" w:cs="Arial"/>
          <w:sz w:val="20"/>
          <w:szCs w:val="20"/>
        </w:rPr>
        <w:t>diagnos</w:t>
      </w:r>
      <w:r w:rsidR="00BF68B6">
        <w:rPr>
          <w:rFonts w:ascii="Arial" w:hAnsi="Arial" w:cs="Arial"/>
          <w:sz w:val="20"/>
          <w:szCs w:val="20"/>
        </w:rPr>
        <w:t>e</w:t>
      </w:r>
      <w:r w:rsidR="00BF68B6" w:rsidRPr="00B613F4">
        <w:rPr>
          <w:rFonts w:ascii="Arial" w:hAnsi="Arial" w:cs="Arial"/>
          <w:sz w:val="20"/>
          <w:szCs w:val="20"/>
        </w:rPr>
        <w:t xml:space="preserve">s </w:t>
      </w:r>
      <w:r w:rsidRPr="00B613F4">
        <w:rPr>
          <w:rFonts w:ascii="Arial" w:hAnsi="Arial" w:cs="Arial"/>
          <w:sz w:val="20"/>
          <w:szCs w:val="20"/>
        </w:rPr>
        <w:t xml:space="preserve">by area-level income across pandemic waves. </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7"/>
        <w:gridCol w:w="1526"/>
        <w:gridCol w:w="1529"/>
        <w:gridCol w:w="1529"/>
        <w:gridCol w:w="1569"/>
      </w:tblGrid>
      <w:tr w:rsidR="00E01EE6" w:rsidRPr="00B613F4" w14:paraId="399F5FCF" w14:textId="77777777" w:rsidTr="00C363A3">
        <w:trPr>
          <w:trHeight w:val="20"/>
        </w:trPr>
        <w:tc>
          <w:tcPr>
            <w:tcW w:w="1713" w:type="pct"/>
            <w:tcBorders>
              <w:top w:val="single" w:sz="4" w:space="0" w:color="auto"/>
              <w:bottom w:val="nil"/>
            </w:tcBorders>
            <w:noWrap/>
            <w:hideMark/>
          </w:tcPr>
          <w:p w14:paraId="351778A2" w14:textId="77777777" w:rsidR="00E01EE6" w:rsidRPr="00B613F4" w:rsidRDefault="00E01EE6" w:rsidP="00B821E3">
            <w:pPr>
              <w:rPr>
                <w:rFonts w:ascii="Arial" w:hAnsi="Arial" w:cs="Arial"/>
                <w:noProof/>
                <w:sz w:val="16"/>
                <w:szCs w:val="16"/>
              </w:rPr>
            </w:pPr>
          </w:p>
        </w:tc>
        <w:tc>
          <w:tcPr>
            <w:tcW w:w="1632" w:type="pct"/>
            <w:gridSpan w:val="2"/>
            <w:tcBorders>
              <w:top w:val="single" w:sz="4" w:space="0" w:color="auto"/>
              <w:bottom w:val="single" w:sz="4" w:space="0" w:color="auto"/>
            </w:tcBorders>
            <w:hideMark/>
          </w:tcPr>
          <w:p w14:paraId="607BA8F4" w14:textId="71F44705" w:rsidR="00E01EE6" w:rsidRPr="00B613F4" w:rsidRDefault="00E01EE6" w:rsidP="00846AA8">
            <w:pPr>
              <w:jc w:val="center"/>
              <w:rPr>
                <w:rFonts w:ascii="Arial" w:hAnsi="Arial" w:cs="Arial"/>
                <w:bCs/>
                <w:noProof/>
                <w:sz w:val="16"/>
                <w:szCs w:val="16"/>
              </w:rPr>
            </w:pPr>
            <w:r w:rsidRPr="00B613F4">
              <w:rPr>
                <w:rFonts w:ascii="Arial" w:hAnsi="Arial" w:cs="Arial"/>
                <w:bCs/>
                <w:noProof/>
                <w:sz w:val="16"/>
                <w:szCs w:val="16"/>
              </w:rPr>
              <w:t>COVID-19</w:t>
            </w:r>
            <w:r w:rsidR="00846AA8">
              <w:rPr>
                <w:rFonts w:ascii="Arial" w:hAnsi="Arial" w:cs="Arial"/>
                <w:bCs/>
                <w:noProof/>
                <w:sz w:val="16"/>
                <w:szCs w:val="16"/>
              </w:rPr>
              <w:t xml:space="preserve"> death</w:t>
            </w:r>
            <w:r w:rsidR="00846AA8" w:rsidRPr="00846AA8">
              <w:rPr>
                <w:rFonts w:ascii="Arial" w:hAnsi="Arial" w:cs="Arial"/>
                <w:bCs/>
                <w:noProof/>
                <w:sz w:val="16"/>
                <w:szCs w:val="16"/>
                <w:vertAlign w:val="superscript"/>
              </w:rPr>
              <w:t>a</w:t>
            </w:r>
          </w:p>
        </w:tc>
        <w:tc>
          <w:tcPr>
            <w:tcW w:w="1655" w:type="pct"/>
            <w:gridSpan w:val="2"/>
            <w:tcBorders>
              <w:top w:val="single" w:sz="4" w:space="0" w:color="auto"/>
              <w:bottom w:val="single" w:sz="4" w:space="0" w:color="auto"/>
            </w:tcBorders>
            <w:hideMark/>
          </w:tcPr>
          <w:p w14:paraId="030D8B23" w14:textId="77777777" w:rsidR="00E01EE6" w:rsidRPr="00B613F4" w:rsidRDefault="00E01EE6" w:rsidP="00B821E3">
            <w:pPr>
              <w:jc w:val="center"/>
              <w:rPr>
                <w:rFonts w:ascii="Arial" w:hAnsi="Arial" w:cs="Arial"/>
                <w:bCs/>
                <w:noProof/>
                <w:sz w:val="16"/>
                <w:szCs w:val="16"/>
              </w:rPr>
            </w:pPr>
            <w:r w:rsidRPr="00B613F4">
              <w:rPr>
                <w:rFonts w:ascii="Arial" w:hAnsi="Arial" w:cs="Arial"/>
                <w:bCs/>
                <w:noProof/>
                <w:sz w:val="16"/>
                <w:szCs w:val="16"/>
              </w:rPr>
              <w:t>COVID-19 diagnosis</w:t>
            </w:r>
          </w:p>
        </w:tc>
      </w:tr>
      <w:tr w:rsidR="00E01EE6" w:rsidRPr="00B613F4" w14:paraId="65583D87" w14:textId="77777777" w:rsidTr="00C363A3">
        <w:trPr>
          <w:trHeight w:val="20"/>
        </w:trPr>
        <w:tc>
          <w:tcPr>
            <w:tcW w:w="1713" w:type="pct"/>
            <w:tcBorders>
              <w:top w:val="nil"/>
              <w:bottom w:val="nil"/>
            </w:tcBorders>
            <w:noWrap/>
          </w:tcPr>
          <w:p w14:paraId="322B547B" w14:textId="10C978CA" w:rsidR="00E01EE6" w:rsidRPr="00B613F4" w:rsidRDefault="00E01EE6" w:rsidP="00DB1806">
            <w:pPr>
              <w:rPr>
                <w:rFonts w:ascii="Arial" w:hAnsi="Arial" w:cs="Arial"/>
                <w:noProof/>
                <w:sz w:val="16"/>
                <w:szCs w:val="16"/>
              </w:rPr>
            </w:pPr>
            <w:r w:rsidRPr="00B613F4">
              <w:rPr>
                <w:rFonts w:ascii="Arial" w:hAnsi="Arial" w:cs="Arial"/>
                <w:noProof/>
                <w:sz w:val="16"/>
                <w:szCs w:val="16"/>
              </w:rPr>
              <w:t xml:space="preserve">Area-level </w:t>
            </w:r>
            <w:r w:rsidR="00DB1806">
              <w:rPr>
                <w:rFonts w:ascii="Arial" w:hAnsi="Arial" w:cs="Arial"/>
                <w:noProof/>
                <w:sz w:val="16"/>
                <w:szCs w:val="16"/>
              </w:rPr>
              <w:t>i</w:t>
            </w:r>
            <w:r w:rsidRPr="00B613F4">
              <w:rPr>
                <w:rFonts w:ascii="Arial" w:hAnsi="Arial" w:cs="Arial"/>
                <w:noProof/>
                <w:sz w:val="16"/>
                <w:szCs w:val="16"/>
              </w:rPr>
              <w:t>ncome stratified by wave</w:t>
            </w:r>
            <w:r w:rsidR="00846AA8" w:rsidRPr="00846AA8">
              <w:rPr>
                <w:rFonts w:ascii="Arial" w:hAnsi="Arial" w:cs="Arial"/>
                <w:noProof/>
                <w:sz w:val="16"/>
                <w:szCs w:val="16"/>
                <w:vertAlign w:val="superscript"/>
              </w:rPr>
              <w:t>b</w:t>
            </w:r>
          </w:p>
        </w:tc>
        <w:tc>
          <w:tcPr>
            <w:tcW w:w="1632" w:type="pct"/>
            <w:gridSpan w:val="2"/>
            <w:tcBorders>
              <w:top w:val="single" w:sz="4" w:space="0" w:color="auto"/>
              <w:bottom w:val="nil"/>
            </w:tcBorders>
          </w:tcPr>
          <w:p w14:paraId="4354B9B7" w14:textId="6D6720B3" w:rsidR="00E01EE6" w:rsidRPr="00B613F4" w:rsidRDefault="00E01EE6" w:rsidP="00B821E3">
            <w:pPr>
              <w:jc w:val="center"/>
              <w:rPr>
                <w:rFonts w:ascii="Arial" w:eastAsia="Times New Roman" w:hAnsi="Arial" w:cs="Arial"/>
                <w:sz w:val="16"/>
                <w:szCs w:val="16"/>
              </w:rPr>
            </w:pPr>
            <w:r w:rsidRPr="00B613F4">
              <w:rPr>
                <w:rFonts w:ascii="Arial" w:eastAsia="Times New Roman" w:hAnsi="Arial" w:cs="Arial"/>
                <w:sz w:val="16"/>
                <w:szCs w:val="16"/>
              </w:rPr>
              <w:t>Hazard ratio</w:t>
            </w:r>
            <w:r w:rsidR="00B821E3">
              <w:rPr>
                <w:rFonts w:ascii="Arial" w:eastAsia="Times New Roman" w:hAnsi="Arial" w:cs="Arial"/>
                <w:sz w:val="16"/>
                <w:szCs w:val="16"/>
                <w:vertAlign w:val="superscript"/>
              </w:rPr>
              <w:t>c</w:t>
            </w:r>
            <w:r w:rsidRPr="00B613F4">
              <w:rPr>
                <w:rFonts w:ascii="Arial" w:eastAsia="Times New Roman" w:hAnsi="Arial" w:cs="Arial"/>
                <w:sz w:val="16"/>
                <w:szCs w:val="16"/>
              </w:rPr>
              <w:t xml:space="preserve"> (95% CI)</w:t>
            </w:r>
          </w:p>
        </w:tc>
        <w:tc>
          <w:tcPr>
            <w:tcW w:w="1655" w:type="pct"/>
            <w:gridSpan w:val="2"/>
            <w:tcBorders>
              <w:top w:val="single" w:sz="4" w:space="0" w:color="auto"/>
              <w:bottom w:val="nil"/>
            </w:tcBorders>
          </w:tcPr>
          <w:p w14:paraId="246582D0" w14:textId="181441D0" w:rsidR="00E01EE6" w:rsidRPr="00B613F4" w:rsidRDefault="00E01EE6" w:rsidP="00B821E3">
            <w:pPr>
              <w:jc w:val="center"/>
              <w:rPr>
                <w:rFonts w:ascii="Arial" w:hAnsi="Arial" w:cs="Arial"/>
                <w:bCs/>
                <w:noProof/>
                <w:sz w:val="16"/>
                <w:szCs w:val="16"/>
              </w:rPr>
            </w:pPr>
            <w:r w:rsidRPr="00B613F4">
              <w:rPr>
                <w:rFonts w:ascii="Arial" w:eastAsia="Times New Roman" w:hAnsi="Arial" w:cs="Arial"/>
                <w:sz w:val="16"/>
                <w:szCs w:val="16"/>
              </w:rPr>
              <w:t>Hazard ratio</w:t>
            </w:r>
            <w:r w:rsidR="00B821E3">
              <w:rPr>
                <w:rFonts w:ascii="Arial" w:eastAsia="Times New Roman" w:hAnsi="Arial" w:cs="Arial"/>
                <w:sz w:val="16"/>
                <w:szCs w:val="16"/>
                <w:vertAlign w:val="superscript"/>
              </w:rPr>
              <w:t>c</w:t>
            </w:r>
            <w:r w:rsidRPr="00B613F4">
              <w:rPr>
                <w:rFonts w:ascii="Arial" w:eastAsia="Times New Roman" w:hAnsi="Arial" w:cs="Arial"/>
                <w:sz w:val="16"/>
                <w:szCs w:val="16"/>
              </w:rPr>
              <w:t>(95% CI)</w:t>
            </w:r>
          </w:p>
        </w:tc>
      </w:tr>
      <w:tr w:rsidR="00E01EE6" w:rsidRPr="00B613F4" w14:paraId="44712572" w14:textId="77777777" w:rsidTr="00C363A3">
        <w:trPr>
          <w:trHeight w:val="20"/>
        </w:trPr>
        <w:tc>
          <w:tcPr>
            <w:tcW w:w="1713" w:type="pct"/>
            <w:tcBorders>
              <w:top w:val="nil"/>
              <w:bottom w:val="single" w:sz="4" w:space="0" w:color="auto"/>
            </w:tcBorders>
            <w:noWrap/>
          </w:tcPr>
          <w:p w14:paraId="053D4754" w14:textId="77777777" w:rsidR="00E01EE6" w:rsidRPr="00B613F4" w:rsidRDefault="00E01EE6" w:rsidP="00B821E3">
            <w:pPr>
              <w:rPr>
                <w:rFonts w:ascii="Arial" w:eastAsia="Times New Roman" w:hAnsi="Arial" w:cs="Arial"/>
                <w:sz w:val="16"/>
                <w:szCs w:val="16"/>
              </w:rPr>
            </w:pPr>
          </w:p>
        </w:tc>
        <w:tc>
          <w:tcPr>
            <w:tcW w:w="815" w:type="pct"/>
            <w:tcBorders>
              <w:top w:val="nil"/>
              <w:bottom w:val="single" w:sz="4" w:space="0" w:color="auto"/>
            </w:tcBorders>
            <w:noWrap/>
          </w:tcPr>
          <w:p w14:paraId="1AE6087B" w14:textId="77777777" w:rsidR="00E01EE6" w:rsidRPr="00B613F4" w:rsidRDefault="00E01EE6" w:rsidP="00B821E3">
            <w:pPr>
              <w:jc w:val="center"/>
              <w:rPr>
                <w:rFonts w:ascii="Arial" w:hAnsi="Arial" w:cs="Arial"/>
                <w:color w:val="000000"/>
                <w:sz w:val="16"/>
                <w:szCs w:val="16"/>
              </w:rPr>
            </w:pPr>
            <w:r w:rsidRPr="00B613F4">
              <w:rPr>
                <w:rFonts w:ascii="Arial" w:hAnsi="Arial" w:cs="Arial"/>
                <w:color w:val="000000"/>
                <w:sz w:val="16"/>
                <w:szCs w:val="16"/>
              </w:rPr>
              <w:t>Unadjusted</w:t>
            </w:r>
          </w:p>
        </w:tc>
        <w:tc>
          <w:tcPr>
            <w:tcW w:w="817" w:type="pct"/>
            <w:tcBorders>
              <w:top w:val="nil"/>
              <w:bottom w:val="single" w:sz="4" w:space="0" w:color="auto"/>
            </w:tcBorders>
            <w:noWrap/>
          </w:tcPr>
          <w:p w14:paraId="05E01B8C" w14:textId="5289922F" w:rsidR="00E01EE6" w:rsidRPr="00B613F4" w:rsidRDefault="00B821E3" w:rsidP="00B821E3">
            <w:pPr>
              <w:jc w:val="center"/>
              <w:rPr>
                <w:rFonts w:ascii="Arial" w:hAnsi="Arial" w:cs="Arial"/>
                <w:color w:val="000000"/>
                <w:sz w:val="16"/>
                <w:szCs w:val="16"/>
              </w:rPr>
            </w:pPr>
            <w:r>
              <w:rPr>
                <w:rFonts w:ascii="Arial" w:hAnsi="Arial" w:cs="Arial"/>
                <w:color w:val="000000"/>
                <w:sz w:val="16"/>
                <w:szCs w:val="16"/>
              </w:rPr>
              <w:t>A</w:t>
            </w:r>
            <w:r w:rsidR="00E01EE6" w:rsidRPr="00B613F4">
              <w:rPr>
                <w:rFonts w:ascii="Arial" w:hAnsi="Arial" w:cs="Arial"/>
                <w:color w:val="000000"/>
                <w:sz w:val="16"/>
                <w:szCs w:val="16"/>
              </w:rPr>
              <w:t>djusted</w:t>
            </w:r>
            <w:r>
              <w:rPr>
                <w:rFonts w:ascii="Arial" w:hAnsi="Arial" w:cs="Arial"/>
                <w:sz w:val="16"/>
                <w:szCs w:val="16"/>
                <w:vertAlign w:val="superscript"/>
              </w:rPr>
              <w:t>d</w:t>
            </w:r>
          </w:p>
        </w:tc>
        <w:tc>
          <w:tcPr>
            <w:tcW w:w="817" w:type="pct"/>
            <w:tcBorders>
              <w:top w:val="nil"/>
              <w:bottom w:val="single" w:sz="4" w:space="0" w:color="auto"/>
            </w:tcBorders>
            <w:noWrap/>
          </w:tcPr>
          <w:p w14:paraId="018D7A91" w14:textId="77777777" w:rsidR="00E01EE6" w:rsidRPr="00B613F4" w:rsidRDefault="00E01EE6" w:rsidP="00B821E3">
            <w:pPr>
              <w:jc w:val="center"/>
              <w:rPr>
                <w:rFonts w:ascii="Arial" w:hAnsi="Arial" w:cs="Arial"/>
                <w:color w:val="000000"/>
                <w:sz w:val="16"/>
                <w:szCs w:val="16"/>
              </w:rPr>
            </w:pPr>
            <w:r w:rsidRPr="00B613F4">
              <w:rPr>
                <w:rFonts w:ascii="Arial" w:hAnsi="Arial" w:cs="Arial"/>
                <w:color w:val="000000"/>
                <w:sz w:val="16"/>
                <w:szCs w:val="16"/>
              </w:rPr>
              <w:t>Unadjusted</w:t>
            </w:r>
          </w:p>
        </w:tc>
        <w:tc>
          <w:tcPr>
            <w:tcW w:w="838" w:type="pct"/>
            <w:tcBorders>
              <w:top w:val="nil"/>
              <w:bottom w:val="single" w:sz="4" w:space="0" w:color="auto"/>
            </w:tcBorders>
            <w:noWrap/>
          </w:tcPr>
          <w:p w14:paraId="2BA3C2B3" w14:textId="233FEEB2" w:rsidR="00E01EE6" w:rsidRPr="00B613F4" w:rsidRDefault="00B821E3" w:rsidP="00B821E3">
            <w:pPr>
              <w:jc w:val="center"/>
              <w:rPr>
                <w:rFonts w:ascii="Arial" w:hAnsi="Arial" w:cs="Arial"/>
                <w:color w:val="000000"/>
                <w:sz w:val="16"/>
                <w:szCs w:val="16"/>
              </w:rPr>
            </w:pPr>
            <w:r>
              <w:rPr>
                <w:rFonts w:ascii="Arial" w:hAnsi="Arial" w:cs="Arial"/>
                <w:color w:val="000000"/>
                <w:sz w:val="16"/>
                <w:szCs w:val="16"/>
              </w:rPr>
              <w:t>A</w:t>
            </w:r>
            <w:r w:rsidR="00E01EE6" w:rsidRPr="00B613F4">
              <w:rPr>
                <w:rFonts w:ascii="Arial" w:hAnsi="Arial" w:cs="Arial"/>
                <w:color w:val="000000"/>
                <w:sz w:val="16"/>
                <w:szCs w:val="16"/>
              </w:rPr>
              <w:t>djusted</w:t>
            </w:r>
            <w:r>
              <w:rPr>
                <w:rFonts w:ascii="Arial" w:hAnsi="Arial" w:cs="Arial"/>
                <w:sz w:val="16"/>
                <w:szCs w:val="16"/>
                <w:vertAlign w:val="superscript"/>
              </w:rPr>
              <w:t>d</w:t>
            </w:r>
          </w:p>
        </w:tc>
      </w:tr>
      <w:tr w:rsidR="00E01EE6" w:rsidRPr="00B613F4" w14:paraId="2DE17AD1" w14:textId="77777777" w:rsidTr="00C363A3">
        <w:trPr>
          <w:trHeight w:val="20"/>
        </w:trPr>
        <w:tc>
          <w:tcPr>
            <w:tcW w:w="1713" w:type="pct"/>
            <w:tcBorders>
              <w:top w:val="single" w:sz="4" w:space="0" w:color="auto"/>
              <w:bottom w:val="nil"/>
            </w:tcBorders>
            <w:noWrap/>
          </w:tcPr>
          <w:p w14:paraId="43B65247" w14:textId="2AFA2A69" w:rsidR="00E01EE6" w:rsidRPr="00B613F4" w:rsidRDefault="00E01EE6" w:rsidP="00C363A3">
            <w:pPr>
              <w:rPr>
                <w:rFonts w:ascii="Arial" w:eastAsia="Times New Roman" w:hAnsi="Arial" w:cs="Arial"/>
                <w:sz w:val="16"/>
                <w:szCs w:val="16"/>
              </w:rPr>
            </w:pPr>
            <w:r w:rsidRPr="00B613F4">
              <w:rPr>
                <w:rFonts w:ascii="Arial" w:eastAsia="Times New Roman" w:hAnsi="Arial" w:cs="Arial"/>
                <w:sz w:val="16"/>
                <w:szCs w:val="16"/>
              </w:rPr>
              <w:t>Wave 1: Income (</w:t>
            </w:r>
            <w:r w:rsidR="00C363A3">
              <w:rPr>
                <w:rFonts w:ascii="Arial" w:eastAsia="Times New Roman" w:hAnsi="Arial" w:cs="Arial"/>
                <w:sz w:val="16"/>
                <w:szCs w:val="16"/>
              </w:rPr>
              <w:t>5</w:t>
            </w:r>
            <w:r w:rsidRPr="00B613F4">
              <w:rPr>
                <w:rFonts w:ascii="Arial" w:eastAsia="Times New Roman" w:hAnsi="Arial" w:cs="Arial"/>
                <w:sz w:val="16"/>
                <w:szCs w:val="16"/>
              </w:rPr>
              <w:t>= Highest)</w:t>
            </w:r>
            <w:r w:rsidR="00B821E3" w:rsidRPr="00B821E3">
              <w:rPr>
                <w:rFonts w:ascii="Arial" w:eastAsia="Times New Roman" w:hAnsi="Arial" w:cs="Arial"/>
                <w:sz w:val="16"/>
                <w:szCs w:val="16"/>
                <w:vertAlign w:val="superscript"/>
              </w:rPr>
              <w:t>e</w:t>
            </w:r>
          </w:p>
        </w:tc>
        <w:tc>
          <w:tcPr>
            <w:tcW w:w="815" w:type="pct"/>
            <w:tcBorders>
              <w:top w:val="single" w:sz="4" w:space="0" w:color="auto"/>
              <w:bottom w:val="nil"/>
            </w:tcBorders>
            <w:noWrap/>
          </w:tcPr>
          <w:p w14:paraId="447F5771" w14:textId="77777777" w:rsidR="00E01EE6" w:rsidRPr="00B613F4" w:rsidRDefault="00E01EE6" w:rsidP="00B821E3">
            <w:pPr>
              <w:jc w:val="center"/>
              <w:rPr>
                <w:rFonts w:ascii="Arial" w:hAnsi="Arial" w:cs="Arial"/>
                <w:color w:val="000000"/>
                <w:sz w:val="16"/>
                <w:szCs w:val="16"/>
              </w:rPr>
            </w:pPr>
          </w:p>
        </w:tc>
        <w:tc>
          <w:tcPr>
            <w:tcW w:w="817" w:type="pct"/>
            <w:tcBorders>
              <w:top w:val="single" w:sz="4" w:space="0" w:color="auto"/>
            </w:tcBorders>
            <w:noWrap/>
          </w:tcPr>
          <w:p w14:paraId="644A683C" w14:textId="77777777" w:rsidR="00E01EE6" w:rsidRPr="00B613F4" w:rsidRDefault="00E01EE6" w:rsidP="00B821E3">
            <w:pPr>
              <w:jc w:val="center"/>
              <w:rPr>
                <w:rFonts w:ascii="Arial" w:hAnsi="Arial" w:cs="Arial"/>
                <w:color w:val="000000"/>
                <w:sz w:val="16"/>
                <w:szCs w:val="16"/>
              </w:rPr>
            </w:pPr>
          </w:p>
        </w:tc>
        <w:tc>
          <w:tcPr>
            <w:tcW w:w="817" w:type="pct"/>
            <w:tcBorders>
              <w:top w:val="single" w:sz="4" w:space="0" w:color="auto"/>
            </w:tcBorders>
            <w:noWrap/>
          </w:tcPr>
          <w:p w14:paraId="158DAC01" w14:textId="77777777" w:rsidR="00E01EE6" w:rsidRPr="00B613F4" w:rsidRDefault="00E01EE6" w:rsidP="00B821E3">
            <w:pPr>
              <w:jc w:val="center"/>
              <w:rPr>
                <w:rFonts w:ascii="Arial" w:hAnsi="Arial" w:cs="Arial"/>
                <w:color w:val="000000"/>
                <w:sz w:val="16"/>
                <w:szCs w:val="16"/>
              </w:rPr>
            </w:pPr>
          </w:p>
        </w:tc>
        <w:tc>
          <w:tcPr>
            <w:tcW w:w="838" w:type="pct"/>
            <w:tcBorders>
              <w:top w:val="single" w:sz="4" w:space="0" w:color="auto"/>
            </w:tcBorders>
            <w:noWrap/>
          </w:tcPr>
          <w:p w14:paraId="770C4C8B" w14:textId="77777777" w:rsidR="00E01EE6" w:rsidRPr="00B613F4" w:rsidRDefault="00E01EE6" w:rsidP="00B821E3">
            <w:pPr>
              <w:jc w:val="center"/>
              <w:rPr>
                <w:rFonts w:ascii="Arial" w:hAnsi="Arial" w:cs="Arial"/>
                <w:color w:val="000000"/>
                <w:sz w:val="16"/>
                <w:szCs w:val="16"/>
              </w:rPr>
            </w:pPr>
          </w:p>
        </w:tc>
      </w:tr>
      <w:tr w:rsidR="00E01EE6" w:rsidRPr="00B613F4" w14:paraId="7C255463" w14:textId="77777777" w:rsidTr="00C363A3">
        <w:trPr>
          <w:trHeight w:val="20"/>
        </w:trPr>
        <w:tc>
          <w:tcPr>
            <w:tcW w:w="1713" w:type="pct"/>
            <w:tcBorders>
              <w:top w:val="nil"/>
            </w:tcBorders>
            <w:noWrap/>
            <w:hideMark/>
          </w:tcPr>
          <w:p w14:paraId="3E316364" w14:textId="74D2963D" w:rsidR="00E01EE6" w:rsidRPr="00B613F4" w:rsidRDefault="00C363A3" w:rsidP="00C363A3">
            <w:pPr>
              <w:ind w:left="144"/>
              <w:rPr>
                <w:rFonts w:ascii="Arial" w:hAnsi="Arial" w:cs="Arial"/>
                <w:noProof/>
                <w:sz w:val="16"/>
                <w:szCs w:val="16"/>
              </w:rPr>
            </w:pPr>
            <w:r>
              <w:rPr>
                <w:rFonts w:ascii="Arial" w:eastAsia="Times New Roman" w:hAnsi="Arial" w:cs="Arial"/>
                <w:sz w:val="16"/>
                <w:szCs w:val="16"/>
              </w:rPr>
              <w:t>4</w:t>
            </w:r>
            <w:r w:rsidRPr="00B613F4">
              <w:rPr>
                <w:rFonts w:ascii="Arial" w:eastAsia="Times New Roman" w:hAnsi="Arial" w:cs="Arial"/>
                <w:sz w:val="16"/>
                <w:szCs w:val="16"/>
              </w:rPr>
              <w:t xml:space="preserve"> </w:t>
            </w:r>
            <w:r w:rsidR="00E01EE6" w:rsidRPr="00B613F4">
              <w:rPr>
                <w:rFonts w:ascii="Arial" w:eastAsia="Times New Roman" w:hAnsi="Arial" w:cs="Arial"/>
                <w:sz w:val="16"/>
                <w:szCs w:val="16"/>
              </w:rPr>
              <w:t xml:space="preserve">vs </w:t>
            </w:r>
            <w:r>
              <w:rPr>
                <w:rFonts w:ascii="Arial" w:eastAsia="Times New Roman" w:hAnsi="Arial" w:cs="Arial"/>
                <w:sz w:val="16"/>
                <w:szCs w:val="16"/>
              </w:rPr>
              <w:t>5</w:t>
            </w:r>
          </w:p>
        </w:tc>
        <w:tc>
          <w:tcPr>
            <w:tcW w:w="815" w:type="pct"/>
            <w:tcBorders>
              <w:top w:val="nil"/>
            </w:tcBorders>
            <w:noWrap/>
            <w:vAlign w:val="bottom"/>
            <w:hideMark/>
          </w:tcPr>
          <w:p w14:paraId="07BEC767" w14:textId="77777777" w:rsidR="00E01EE6" w:rsidRPr="00B613F4" w:rsidRDefault="00E01EE6" w:rsidP="00B821E3">
            <w:pPr>
              <w:rPr>
                <w:rFonts w:ascii="Arial" w:hAnsi="Arial" w:cs="Arial"/>
                <w:noProof/>
                <w:color w:val="BFBFBF" w:themeColor="background1" w:themeShade="BF"/>
                <w:sz w:val="16"/>
                <w:szCs w:val="16"/>
              </w:rPr>
            </w:pPr>
            <w:r w:rsidRPr="00B613F4">
              <w:rPr>
                <w:rFonts w:ascii="Arial" w:hAnsi="Arial" w:cs="Arial"/>
                <w:color w:val="000000"/>
                <w:sz w:val="16"/>
                <w:szCs w:val="16"/>
              </w:rPr>
              <w:t>1.04 (0.82, 1.32)</w:t>
            </w:r>
          </w:p>
        </w:tc>
        <w:tc>
          <w:tcPr>
            <w:tcW w:w="817" w:type="pct"/>
            <w:noWrap/>
            <w:vAlign w:val="bottom"/>
            <w:hideMark/>
          </w:tcPr>
          <w:p w14:paraId="3CF46640" w14:textId="77777777" w:rsidR="00E01EE6" w:rsidRPr="00B613F4" w:rsidRDefault="00E01EE6" w:rsidP="00B821E3">
            <w:pPr>
              <w:rPr>
                <w:rFonts w:ascii="Arial" w:hAnsi="Arial" w:cs="Arial"/>
                <w:noProof/>
                <w:color w:val="BFBFBF" w:themeColor="background1" w:themeShade="BF"/>
                <w:sz w:val="16"/>
                <w:szCs w:val="16"/>
              </w:rPr>
            </w:pPr>
            <w:r w:rsidRPr="00B613F4">
              <w:rPr>
                <w:rFonts w:ascii="Arial" w:hAnsi="Arial" w:cs="Arial"/>
                <w:color w:val="000000"/>
                <w:sz w:val="16"/>
                <w:szCs w:val="16"/>
              </w:rPr>
              <w:t>1.14 (0.89, 1.46)</w:t>
            </w:r>
          </w:p>
        </w:tc>
        <w:tc>
          <w:tcPr>
            <w:tcW w:w="817" w:type="pct"/>
            <w:noWrap/>
            <w:vAlign w:val="bottom"/>
            <w:hideMark/>
          </w:tcPr>
          <w:p w14:paraId="0703890F" w14:textId="77777777" w:rsidR="00E01EE6" w:rsidRPr="00B613F4" w:rsidRDefault="00E01EE6" w:rsidP="00B821E3">
            <w:pPr>
              <w:rPr>
                <w:rFonts w:ascii="Arial" w:hAnsi="Arial" w:cs="Arial"/>
                <w:noProof/>
                <w:color w:val="BFBFBF" w:themeColor="background1" w:themeShade="BF"/>
                <w:sz w:val="16"/>
                <w:szCs w:val="16"/>
              </w:rPr>
            </w:pPr>
            <w:r w:rsidRPr="00B613F4">
              <w:rPr>
                <w:rFonts w:ascii="Arial" w:hAnsi="Arial" w:cs="Arial"/>
                <w:color w:val="000000"/>
                <w:sz w:val="16"/>
                <w:szCs w:val="16"/>
              </w:rPr>
              <w:t>1.31 (1.24, 1.38)</w:t>
            </w:r>
          </w:p>
        </w:tc>
        <w:tc>
          <w:tcPr>
            <w:tcW w:w="838" w:type="pct"/>
            <w:noWrap/>
            <w:vAlign w:val="bottom"/>
            <w:hideMark/>
          </w:tcPr>
          <w:p w14:paraId="2DADB5D4" w14:textId="77777777" w:rsidR="00E01EE6" w:rsidRPr="00B613F4" w:rsidRDefault="00E01EE6" w:rsidP="00B821E3">
            <w:pPr>
              <w:rPr>
                <w:rFonts w:ascii="Arial" w:hAnsi="Arial" w:cs="Arial"/>
                <w:noProof/>
                <w:color w:val="BFBFBF" w:themeColor="background1" w:themeShade="BF"/>
                <w:sz w:val="16"/>
                <w:szCs w:val="16"/>
              </w:rPr>
            </w:pPr>
            <w:r w:rsidRPr="00B613F4">
              <w:rPr>
                <w:rFonts w:ascii="Arial" w:hAnsi="Arial" w:cs="Arial"/>
                <w:color w:val="000000"/>
                <w:sz w:val="16"/>
                <w:szCs w:val="16"/>
              </w:rPr>
              <w:t>0.94 (0.90, 0.98)</w:t>
            </w:r>
          </w:p>
        </w:tc>
      </w:tr>
      <w:tr w:rsidR="00E01EE6" w:rsidRPr="00B613F4" w14:paraId="715C5484" w14:textId="77777777" w:rsidTr="00C363A3">
        <w:trPr>
          <w:trHeight w:val="20"/>
        </w:trPr>
        <w:tc>
          <w:tcPr>
            <w:tcW w:w="1713" w:type="pct"/>
            <w:noWrap/>
            <w:hideMark/>
          </w:tcPr>
          <w:p w14:paraId="3F235A05" w14:textId="4DDA91E1" w:rsidR="00E01EE6" w:rsidRPr="00B613F4" w:rsidRDefault="00E01EE6" w:rsidP="00C363A3">
            <w:pPr>
              <w:ind w:left="144"/>
              <w:rPr>
                <w:rFonts w:ascii="Arial" w:hAnsi="Arial" w:cs="Arial"/>
                <w:noProof/>
                <w:sz w:val="16"/>
                <w:szCs w:val="16"/>
              </w:rPr>
            </w:pPr>
            <w:r w:rsidRPr="00B613F4">
              <w:rPr>
                <w:rFonts w:ascii="Arial" w:eastAsia="Times New Roman" w:hAnsi="Arial" w:cs="Arial"/>
                <w:sz w:val="16"/>
                <w:szCs w:val="16"/>
              </w:rPr>
              <w:t xml:space="preserve">3 vs </w:t>
            </w:r>
            <w:r w:rsidR="00C363A3">
              <w:rPr>
                <w:rFonts w:ascii="Arial" w:eastAsia="Times New Roman" w:hAnsi="Arial" w:cs="Arial"/>
                <w:sz w:val="16"/>
                <w:szCs w:val="16"/>
              </w:rPr>
              <w:t>5</w:t>
            </w:r>
          </w:p>
        </w:tc>
        <w:tc>
          <w:tcPr>
            <w:tcW w:w="815" w:type="pct"/>
            <w:noWrap/>
            <w:vAlign w:val="bottom"/>
            <w:hideMark/>
          </w:tcPr>
          <w:p w14:paraId="4A4135A0" w14:textId="77777777" w:rsidR="00E01EE6" w:rsidRPr="00B613F4" w:rsidRDefault="00E01EE6" w:rsidP="00B821E3">
            <w:pPr>
              <w:rPr>
                <w:rFonts w:ascii="Arial" w:hAnsi="Arial" w:cs="Arial"/>
                <w:noProof/>
                <w:color w:val="BFBFBF" w:themeColor="background1" w:themeShade="BF"/>
                <w:sz w:val="16"/>
                <w:szCs w:val="16"/>
              </w:rPr>
            </w:pPr>
            <w:r w:rsidRPr="00B613F4">
              <w:rPr>
                <w:rFonts w:ascii="Arial" w:hAnsi="Arial" w:cs="Arial"/>
                <w:color w:val="000000"/>
                <w:sz w:val="16"/>
                <w:szCs w:val="16"/>
              </w:rPr>
              <w:t>1.43 (1.14, 1.78)</w:t>
            </w:r>
          </w:p>
        </w:tc>
        <w:tc>
          <w:tcPr>
            <w:tcW w:w="817" w:type="pct"/>
            <w:noWrap/>
            <w:vAlign w:val="bottom"/>
            <w:hideMark/>
          </w:tcPr>
          <w:p w14:paraId="42B323BA" w14:textId="77777777" w:rsidR="00E01EE6" w:rsidRPr="00B613F4" w:rsidRDefault="00E01EE6" w:rsidP="00B821E3">
            <w:pPr>
              <w:rPr>
                <w:rFonts w:ascii="Arial" w:hAnsi="Arial" w:cs="Arial"/>
                <w:noProof/>
                <w:color w:val="BFBFBF" w:themeColor="background1" w:themeShade="BF"/>
                <w:sz w:val="16"/>
                <w:szCs w:val="16"/>
              </w:rPr>
            </w:pPr>
            <w:r w:rsidRPr="00B613F4">
              <w:rPr>
                <w:rFonts w:ascii="Arial" w:hAnsi="Arial" w:cs="Arial"/>
                <w:color w:val="000000"/>
                <w:sz w:val="16"/>
                <w:szCs w:val="16"/>
              </w:rPr>
              <w:t>1.34 (1.04, 1.72)</w:t>
            </w:r>
          </w:p>
        </w:tc>
        <w:tc>
          <w:tcPr>
            <w:tcW w:w="817" w:type="pct"/>
            <w:noWrap/>
            <w:vAlign w:val="bottom"/>
            <w:hideMark/>
          </w:tcPr>
          <w:p w14:paraId="6D6E5FEC" w14:textId="77777777" w:rsidR="00E01EE6" w:rsidRPr="00B613F4" w:rsidRDefault="00E01EE6" w:rsidP="00B821E3">
            <w:pPr>
              <w:rPr>
                <w:rFonts w:ascii="Arial" w:hAnsi="Arial" w:cs="Arial"/>
                <w:noProof/>
                <w:color w:val="BFBFBF" w:themeColor="background1" w:themeShade="BF"/>
                <w:sz w:val="16"/>
                <w:szCs w:val="16"/>
              </w:rPr>
            </w:pPr>
            <w:r w:rsidRPr="00B613F4">
              <w:rPr>
                <w:rFonts w:ascii="Arial" w:hAnsi="Arial" w:cs="Arial"/>
                <w:color w:val="000000"/>
                <w:sz w:val="16"/>
                <w:szCs w:val="16"/>
              </w:rPr>
              <w:t>1.58 (1.50, 1.66)</w:t>
            </w:r>
          </w:p>
        </w:tc>
        <w:tc>
          <w:tcPr>
            <w:tcW w:w="838" w:type="pct"/>
            <w:noWrap/>
            <w:vAlign w:val="bottom"/>
            <w:hideMark/>
          </w:tcPr>
          <w:p w14:paraId="3E62DA45" w14:textId="77777777" w:rsidR="00E01EE6" w:rsidRPr="00B613F4" w:rsidRDefault="00E01EE6" w:rsidP="00B821E3">
            <w:pPr>
              <w:rPr>
                <w:rFonts w:ascii="Arial" w:hAnsi="Arial" w:cs="Arial"/>
                <w:noProof/>
                <w:color w:val="BFBFBF" w:themeColor="background1" w:themeShade="BF"/>
                <w:sz w:val="16"/>
                <w:szCs w:val="16"/>
              </w:rPr>
            </w:pPr>
            <w:r w:rsidRPr="00B613F4">
              <w:rPr>
                <w:rFonts w:ascii="Arial" w:hAnsi="Arial" w:cs="Arial"/>
                <w:color w:val="000000"/>
                <w:sz w:val="16"/>
                <w:szCs w:val="16"/>
              </w:rPr>
              <w:t>0.97 (0.93, 1.02)</w:t>
            </w:r>
          </w:p>
        </w:tc>
      </w:tr>
      <w:tr w:rsidR="00E01EE6" w:rsidRPr="00B613F4" w14:paraId="51BB1230" w14:textId="77777777" w:rsidTr="00C363A3">
        <w:trPr>
          <w:trHeight w:val="20"/>
        </w:trPr>
        <w:tc>
          <w:tcPr>
            <w:tcW w:w="1713" w:type="pct"/>
            <w:noWrap/>
            <w:hideMark/>
          </w:tcPr>
          <w:p w14:paraId="7E2348C8" w14:textId="103F90D2" w:rsidR="00E01EE6" w:rsidRPr="00B613F4" w:rsidRDefault="00C363A3" w:rsidP="00C363A3">
            <w:pPr>
              <w:ind w:left="144"/>
              <w:rPr>
                <w:rFonts w:ascii="Arial" w:hAnsi="Arial" w:cs="Arial"/>
                <w:noProof/>
                <w:sz w:val="16"/>
                <w:szCs w:val="16"/>
              </w:rPr>
            </w:pPr>
            <w:r>
              <w:rPr>
                <w:rFonts w:ascii="Arial" w:eastAsia="Times New Roman" w:hAnsi="Arial" w:cs="Arial"/>
                <w:sz w:val="16"/>
                <w:szCs w:val="16"/>
              </w:rPr>
              <w:t>2</w:t>
            </w:r>
            <w:r w:rsidRPr="00B613F4">
              <w:rPr>
                <w:rFonts w:ascii="Arial" w:eastAsia="Times New Roman" w:hAnsi="Arial" w:cs="Arial"/>
                <w:sz w:val="16"/>
                <w:szCs w:val="16"/>
              </w:rPr>
              <w:t xml:space="preserve"> </w:t>
            </w:r>
            <w:r w:rsidR="00E01EE6" w:rsidRPr="00B613F4">
              <w:rPr>
                <w:rFonts w:ascii="Arial" w:eastAsia="Times New Roman" w:hAnsi="Arial" w:cs="Arial"/>
                <w:sz w:val="16"/>
                <w:szCs w:val="16"/>
              </w:rPr>
              <w:t xml:space="preserve">vs </w:t>
            </w:r>
            <w:r>
              <w:rPr>
                <w:rFonts w:ascii="Arial" w:eastAsia="Times New Roman" w:hAnsi="Arial" w:cs="Arial"/>
                <w:sz w:val="16"/>
                <w:szCs w:val="16"/>
              </w:rPr>
              <w:t>5</w:t>
            </w:r>
          </w:p>
        </w:tc>
        <w:tc>
          <w:tcPr>
            <w:tcW w:w="815" w:type="pct"/>
            <w:noWrap/>
            <w:vAlign w:val="bottom"/>
            <w:hideMark/>
          </w:tcPr>
          <w:p w14:paraId="2AAC122D" w14:textId="77777777" w:rsidR="00E01EE6" w:rsidRPr="00B613F4" w:rsidRDefault="00E01EE6" w:rsidP="00B821E3">
            <w:pPr>
              <w:rPr>
                <w:rFonts w:ascii="Arial" w:hAnsi="Arial" w:cs="Arial"/>
                <w:noProof/>
                <w:color w:val="BFBFBF" w:themeColor="background1" w:themeShade="BF"/>
                <w:sz w:val="16"/>
                <w:szCs w:val="16"/>
              </w:rPr>
            </w:pPr>
            <w:r w:rsidRPr="00B613F4">
              <w:rPr>
                <w:rFonts w:ascii="Arial" w:hAnsi="Arial" w:cs="Arial"/>
                <w:color w:val="000000"/>
                <w:sz w:val="16"/>
                <w:szCs w:val="16"/>
              </w:rPr>
              <w:t>1.65 (1.33, 2.04)</w:t>
            </w:r>
          </w:p>
        </w:tc>
        <w:tc>
          <w:tcPr>
            <w:tcW w:w="817" w:type="pct"/>
            <w:noWrap/>
            <w:vAlign w:val="bottom"/>
            <w:hideMark/>
          </w:tcPr>
          <w:p w14:paraId="26420305" w14:textId="77777777" w:rsidR="00E01EE6" w:rsidRPr="00B613F4" w:rsidRDefault="00E01EE6" w:rsidP="00B821E3">
            <w:pPr>
              <w:rPr>
                <w:rFonts w:ascii="Arial" w:hAnsi="Arial" w:cs="Arial"/>
                <w:noProof/>
                <w:color w:val="BFBFBF" w:themeColor="background1" w:themeShade="BF"/>
                <w:sz w:val="16"/>
                <w:szCs w:val="16"/>
              </w:rPr>
            </w:pPr>
            <w:r w:rsidRPr="00B613F4">
              <w:rPr>
                <w:rFonts w:ascii="Arial" w:hAnsi="Arial" w:cs="Arial"/>
                <w:color w:val="000000"/>
                <w:sz w:val="16"/>
                <w:szCs w:val="16"/>
              </w:rPr>
              <w:t>1.26 (0.95, 1.67)</w:t>
            </w:r>
          </w:p>
        </w:tc>
        <w:tc>
          <w:tcPr>
            <w:tcW w:w="817" w:type="pct"/>
            <w:noWrap/>
            <w:vAlign w:val="bottom"/>
            <w:hideMark/>
          </w:tcPr>
          <w:p w14:paraId="4D7A92E9" w14:textId="77777777" w:rsidR="00E01EE6" w:rsidRPr="00B613F4" w:rsidRDefault="00E01EE6" w:rsidP="00B821E3">
            <w:pPr>
              <w:rPr>
                <w:rFonts w:ascii="Arial" w:hAnsi="Arial" w:cs="Arial"/>
                <w:noProof/>
                <w:color w:val="BFBFBF" w:themeColor="background1" w:themeShade="BF"/>
                <w:sz w:val="16"/>
                <w:szCs w:val="16"/>
              </w:rPr>
            </w:pPr>
            <w:r w:rsidRPr="00B613F4">
              <w:rPr>
                <w:rFonts w:ascii="Arial" w:hAnsi="Arial" w:cs="Arial"/>
                <w:color w:val="000000"/>
                <w:sz w:val="16"/>
                <w:szCs w:val="16"/>
              </w:rPr>
              <w:t>2.22 (2.11, 2.33)</w:t>
            </w:r>
          </w:p>
        </w:tc>
        <w:tc>
          <w:tcPr>
            <w:tcW w:w="838" w:type="pct"/>
            <w:noWrap/>
            <w:vAlign w:val="bottom"/>
            <w:hideMark/>
          </w:tcPr>
          <w:p w14:paraId="7262C20B" w14:textId="77777777" w:rsidR="00E01EE6" w:rsidRPr="00B613F4" w:rsidRDefault="00E01EE6" w:rsidP="00B821E3">
            <w:pPr>
              <w:rPr>
                <w:rFonts w:ascii="Arial" w:hAnsi="Arial" w:cs="Arial"/>
                <w:noProof/>
                <w:color w:val="BFBFBF" w:themeColor="background1" w:themeShade="BF"/>
                <w:sz w:val="16"/>
                <w:szCs w:val="16"/>
              </w:rPr>
            </w:pPr>
            <w:r w:rsidRPr="00B613F4">
              <w:rPr>
                <w:rFonts w:ascii="Arial" w:hAnsi="Arial" w:cs="Arial"/>
                <w:color w:val="000000"/>
                <w:sz w:val="16"/>
                <w:szCs w:val="16"/>
              </w:rPr>
              <w:t>0.86 (0.81, 0.90)</w:t>
            </w:r>
          </w:p>
        </w:tc>
      </w:tr>
      <w:tr w:rsidR="00E01EE6" w:rsidRPr="00B613F4" w14:paraId="27994058" w14:textId="77777777" w:rsidTr="00C363A3">
        <w:trPr>
          <w:trHeight w:val="20"/>
        </w:trPr>
        <w:tc>
          <w:tcPr>
            <w:tcW w:w="1713" w:type="pct"/>
            <w:noWrap/>
            <w:hideMark/>
          </w:tcPr>
          <w:p w14:paraId="10B58E63" w14:textId="2A5982A6" w:rsidR="00E01EE6" w:rsidRPr="00B613F4" w:rsidRDefault="00C363A3" w:rsidP="00C363A3">
            <w:pPr>
              <w:ind w:left="144"/>
              <w:rPr>
                <w:rFonts w:ascii="Arial" w:hAnsi="Arial" w:cs="Arial"/>
                <w:noProof/>
                <w:sz w:val="16"/>
                <w:szCs w:val="16"/>
              </w:rPr>
            </w:pPr>
            <w:r>
              <w:rPr>
                <w:rFonts w:ascii="Arial" w:eastAsia="Times New Roman" w:hAnsi="Arial" w:cs="Arial"/>
                <w:sz w:val="16"/>
                <w:szCs w:val="16"/>
              </w:rPr>
              <w:t>1</w:t>
            </w:r>
            <w:r w:rsidRPr="00B613F4">
              <w:rPr>
                <w:rFonts w:ascii="Arial" w:eastAsia="Times New Roman" w:hAnsi="Arial" w:cs="Arial"/>
                <w:sz w:val="16"/>
                <w:szCs w:val="16"/>
              </w:rPr>
              <w:t xml:space="preserve"> </w:t>
            </w:r>
            <w:r w:rsidR="00E01EE6" w:rsidRPr="00B613F4">
              <w:rPr>
                <w:rFonts w:ascii="Arial" w:eastAsia="Times New Roman" w:hAnsi="Arial" w:cs="Arial"/>
                <w:sz w:val="16"/>
                <w:szCs w:val="16"/>
              </w:rPr>
              <w:t xml:space="preserve">vs </w:t>
            </w:r>
            <w:r>
              <w:rPr>
                <w:rFonts w:ascii="Arial" w:eastAsia="Times New Roman" w:hAnsi="Arial" w:cs="Arial"/>
                <w:sz w:val="16"/>
                <w:szCs w:val="16"/>
              </w:rPr>
              <w:t>5</w:t>
            </w:r>
          </w:p>
        </w:tc>
        <w:tc>
          <w:tcPr>
            <w:tcW w:w="815" w:type="pct"/>
            <w:noWrap/>
            <w:vAlign w:val="bottom"/>
            <w:hideMark/>
          </w:tcPr>
          <w:p w14:paraId="2024225D" w14:textId="77777777" w:rsidR="00E01EE6" w:rsidRPr="00B613F4" w:rsidRDefault="00E01EE6" w:rsidP="00B821E3">
            <w:pPr>
              <w:rPr>
                <w:rFonts w:ascii="Arial" w:hAnsi="Arial" w:cs="Arial"/>
                <w:noProof/>
                <w:color w:val="BFBFBF" w:themeColor="background1" w:themeShade="BF"/>
                <w:sz w:val="16"/>
                <w:szCs w:val="16"/>
              </w:rPr>
            </w:pPr>
            <w:r w:rsidRPr="00B613F4">
              <w:rPr>
                <w:rFonts w:ascii="Arial" w:hAnsi="Arial" w:cs="Arial"/>
                <w:color w:val="000000"/>
                <w:sz w:val="16"/>
                <w:szCs w:val="16"/>
              </w:rPr>
              <w:t>2.07 (1.68, 2.54)</w:t>
            </w:r>
          </w:p>
        </w:tc>
        <w:tc>
          <w:tcPr>
            <w:tcW w:w="817" w:type="pct"/>
            <w:noWrap/>
            <w:vAlign w:val="bottom"/>
            <w:hideMark/>
          </w:tcPr>
          <w:p w14:paraId="25471EAE" w14:textId="77777777" w:rsidR="00E01EE6" w:rsidRPr="00B613F4" w:rsidRDefault="00E01EE6" w:rsidP="00B821E3">
            <w:pPr>
              <w:rPr>
                <w:rFonts w:ascii="Arial" w:hAnsi="Arial" w:cs="Arial"/>
                <w:noProof/>
                <w:color w:val="BFBFBF" w:themeColor="background1" w:themeShade="BF"/>
                <w:sz w:val="16"/>
                <w:szCs w:val="16"/>
              </w:rPr>
            </w:pPr>
            <w:r w:rsidRPr="00B613F4">
              <w:rPr>
                <w:rFonts w:ascii="Arial" w:hAnsi="Arial" w:cs="Arial"/>
                <w:color w:val="000000"/>
                <w:sz w:val="16"/>
                <w:szCs w:val="16"/>
              </w:rPr>
              <w:t>1.37 (0.98, 1.92)</w:t>
            </w:r>
          </w:p>
        </w:tc>
        <w:tc>
          <w:tcPr>
            <w:tcW w:w="817" w:type="pct"/>
            <w:noWrap/>
            <w:vAlign w:val="bottom"/>
            <w:hideMark/>
          </w:tcPr>
          <w:p w14:paraId="3470CB55" w14:textId="77777777" w:rsidR="00E01EE6" w:rsidRPr="00B613F4" w:rsidRDefault="00E01EE6" w:rsidP="00B821E3">
            <w:pPr>
              <w:rPr>
                <w:rFonts w:ascii="Arial" w:hAnsi="Arial" w:cs="Arial"/>
                <w:noProof/>
                <w:color w:val="BFBFBF" w:themeColor="background1" w:themeShade="BF"/>
                <w:sz w:val="16"/>
                <w:szCs w:val="16"/>
              </w:rPr>
            </w:pPr>
            <w:r w:rsidRPr="00B613F4">
              <w:rPr>
                <w:rFonts w:ascii="Arial" w:hAnsi="Arial" w:cs="Arial"/>
                <w:color w:val="000000"/>
                <w:sz w:val="16"/>
                <w:szCs w:val="16"/>
              </w:rPr>
              <w:t>3.73 (3.57, 3.91)</w:t>
            </w:r>
          </w:p>
        </w:tc>
        <w:tc>
          <w:tcPr>
            <w:tcW w:w="838" w:type="pct"/>
            <w:noWrap/>
            <w:vAlign w:val="bottom"/>
            <w:hideMark/>
          </w:tcPr>
          <w:p w14:paraId="663558B7" w14:textId="77777777" w:rsidR="00E01EE6" w:rsidRPr="00B613F4" w:rsidRDefault="00E01EE6" w:rsidP="00B821E3">
            <w:pPr>
              <w:rPr>
                <w:rFonts w:ascii="Arial" w:hAnsi="Arial" w:cs="Arial"/>
                <w:noProof/>
                <w:color w:val="BFBFBF" w:themeColor="background1" w:themeShade="BF"/>
                <w:sz w:val="16"/>
                <w:szCs w:val="16"/>
              </w:rPr>
            </w:pPr>
            <w:r w:rsidRPr="00B613F4">
              <w:rPr>
                <w:rFonts w:ascii="Arial" w:hAnsi="Arial" w:cs="Arial"/>
                <w:color w:val="000000"/>
                <w:sz w:val="16"/>
                <w:szCs w:val="16"/>
              </w:rPr>
              <w:t>0.87 (0.81, 0.92)</w:t>
            </w:r>
          </w:p>
        </w:tc>
      </w:tr>
      <w:tr w:rsidR="00E01EE6" w:rsidRPr="00B613F4" w14:paraId="40370280" w14:textId="77777777" w:rsidTr="00C363A3">
        <w:trPr>
          <w:trHeight w:val="20"/>
        </w:trPr>
        <w:tc>
          <w:tcPr>
            <w:tcW w:w="1713" w:type="pct"/>
            <w:noWrap/>
          </w:tcPr>
          <w:p w14:paraId="3D463DF8" w14:textId="0208B2AA" w:rsidR="00E01EE6" w:rsidRPr="00B613F4" w:rsidRDefault="00E01EE6" w:rsidP="00B821E3">
            <w:pPr>
              <w:rPr>
                <w:rFonts w:ascii="Arial" w:eastAsia="Times New Roman" w:hAnsi="Arial" w:cs="Arial"/>
                <w:sz w:val="16"/>
                <w:szCs w:val="16"/>
              </w:rPr>
            </w:pPr>
            <w:r w:rsidRPr="00B613F4">
              <w:rPr>
                <w:rFonts w:ascii="Arial" w:eastAsia="Times New Roman" w:hAnsi="Arial" w:cs="Arial"/>
                <w:sz w:val="16"/>
                <w:szCs w:val="16"/>
              </w:rPr>
              <w:t>Wave 2:Income (</w:t>
            </w:r>
            <w:r w:rsidR="00C363A3">
              <w:rPr>
                <w:rFonts w:ascii="Arial" w:eastAsia="Times New Roman" w:hAnsi="Arial" w:cs="Arial"/>
                <w:sz w:val="16"/>
                <w:szCs w:val="16"/>
              </w:rPr>
              <w:t>5</w:t>
            </w:r>
            <w:r w:rsidR="00C363A3" w:rsidRPr="00B613F4">
              <w:rPr>
                <w:rFonts w:ascii="Arial" w:eastAsia="Times New Roman" w:hAnsi="Arial" w:cs="Arial"/>
                <w:sz w:val="16"/>
                <w:szCs w:val="16"/>
              </w:rPr>
              <w:t>= Highest</w:t>
            </w:r>
            <w:r w:rsidRPr="00B613F4">
              <w:rPr>
                <w:rFonts w:ascii="Arial" w:eastAsia="Times New Roman" w:hAnsi="Arial" w:cs="Arial"/>
                <w:sz w:val="16"/>
                <w:szCs w:val="16"/>
              </w:rPr>
              <w:t>)</w:t>
            </w:r>
            <w:r w:rsidR="00B821E3" w:rsidRPr="00B821E3">
              <w:rPr>
                <w:rFonts w:ascii="Arial" w:eastAsia="Times New Roman" w:hAnsi="Arial" w:cs="Arial"/>
                <w:sz w:val="16"/>
                <w:szCs w:val="16"/>
                <w:vertAlign w:val="superscript"/>
              </w:rPr>
              <w:t>e</w:t>
            </w:r>
          </w:p>
        </w:tc>
        <w:tc>
          <w:tcPr>
            <w:tcW w:w="815" w:type="pct"/>
            <w:noWrap/>
            <w:vAlign w:val="bottom"/>
          </w:tcPr>
          <w:p w14:paraId="4AC4304E" w14:textId="77777777" w:rsidR="00E01EE6" w:rsidRPr="00B613F4" w:rsidRDefault="00E01EE6" w:rsidP="00B821E3">
            <w:pPr>
              <w:rPr>
                <w:rFonts w:ascii="Arial" w:hAnsi="Arial" w:cs="Arial"/>
                <w:color w:val="BFBFBF" w:themeColor="background1" w:themeShade="BF"/>
                <w:sz w:val="16"/>
                <w:szCs w:val="16"/>
              </w:rPr>
            </w:pPr>
          </w:p>
        </w:tc>
        <w:tc>
          <w:tcPr>
            <w:tcW w:w="817" w:type="pct"/>
            <w:noWrap/>
            <w:vAlign w:val="bottom"/>
          </w:tcPr>
          <w:p w14:paraId="637DF8AD" w14:textId="77777777" w:rsidR="00E01EE6" w:rsidRPr="00B613F4" w:rsidRDefault="00E01EE6" w:rsidP="00B821E3">
            <w:pPr>
              <w:rPr>
                <w:rFonts w:ascii="Arial" w:hAnsi="Arial" w:cs="Arial"/>
                <w:color w:val="BFBFBF" w:themeColor="background1" w:themeShade="BF"/>
                <w:sz w:val="16"/>
                <w:szCs w:val="16"/>
              </w:rPr>
            </w:pPr>
          </w:p>
        </w:tc>
        <w:tc>
          <w:tcPr>
            <w:tcW w:w="817" w:type="pct"/>
            <w:noWrap/>
            <w:vAlign w:val="bottom"/>
          </w:tcPr>
          <w:p w14:paraId="72B9E49A" w14:textId="77777777" w:rsidR="00E01EE6" w:rsidRPr="00B613F4" w:rsidRDefault="00E01EE6" w:rsidP="00B821E3">
            <w:pPr>
              <w:rPr>
                <w:rFonts w:ascii="Arial" w:hAnsi="Arial" w:cs="Arial"/>
                <w:color w:val="BFBFBF" w:themeColor="background1" w:themeShade="BF"/>
                <w:sz w:val="16"/>
                <w:szCs w:val="16"/>
              </w:rPr>
            </w:pPr>
            <w:r w:rsidRPr="00B613F4">
              <w:rPr>
                <w:rFonts w:ascii="Arial" w:hAnsi="Arial" w:cs="Arial"/>
                <w:color w:val="BFBFBF" w:themeColor="background1" w:themeShade="BF"/>
                <w:sz w:val="16"/>
                <w:szCs w:val="16"/>
              </w:rPr>
              <w:t> </w:t>
            </w:r>
          </w:p>
        </w:tc>
        <w:tc>
          <w:tcPr>
            <w:tcW w:w="838" w:type="pct"/>
            <w:noWrap/>
            <w:vAlign w:val="bottom"/>
          </w:tcPr>
          <w:p w14:paraId="6083ED64" w14:textId="77777777" w:rsidR="00E01EE6" w:rsidRPr="00B613F4" w:rsidRDefault="00E01EE6" w:rsidP="00B821E3">
            <w:pPr>
              <w:rPr>
                <w:rFonts w:ascii="Arial" w:hAnsi="Arial" w:cs="Arial"/>
                <w:color w:val="BFBFBF" w:themeColor="background1" w:themeShade="BF"/>
                <w:sz w:val="16"/>
                <w:szCs w:val="16"/>
              </w:rPr>
            </w:pPr>
          </w:p>
        </w:tc>
      </w:tr>
      <w:tr w:rsidR="00C363A3" w:rsidRPr="00B613F4" w14:paraId="23C6DB2B" w14:textId="77777777" w:rsidTr="00C363A3">
        <w:trPr>
          <w:trHeight w:val="20"/>
        </w:trPr>
        <w:tc>
          <w:tcPr>
            <w:tcW w:w="1713" w:type="pct"/>
            <w:noWrap/>
            <w:hideMark/>
          </w:tcPr>
          <w:p w14:paraId="1967B4EE" w14:textId="22BADD61" w:rsidR="00C363A3" w:rsidRPr="00B613F4" w:rsidRDefault="00C363A3" w:rsidP="00C363A3">
            <w:pPr>
              <w:ind w:left="144"/>
              <w:rPr>
                <w:rFonts w:ascii="Arial" w:hAnsi="Arial" w:cs="Arial"/>
                <w:noProof/>
                <w:sz w:val="16"/>
                <w:szCs w:val="16"/>
              </w:rPr>
            </w:pPr>
            <w:r>
              <w:rPr>
                <w:rFonts w:ascii="Arial" w:eastAsia="Times New Roman" w:hAnsi="Arial" w:cs="Arial"/>
                <w:sz w:val="16"/>
                <w:szCs w:val="16"/>
              </w:rPr>
              <w:t>4</w:t>
            </w:r>
            <w:r w:rsidRPr="00B613F4">
              <w:rPr>
                <w:rFonts w:ascii="Arial" w:eastAsia="Times New Roman" w:hAnsi="Arial" w:cs="Arial"/>
                <w:sz w:val="16"/>
                <w:szCs w:val="16"/>
              </w:rPr>
              <w:t xml:space="preserve"> vs </w:t>
            </w:r>
            <w:r>
              <w:rPr>
                <w:rFonts w:ascii="Arial" w:eastAsia="Times New Roman" w:hAnsi="Arial" w:cs="Arial"/>
                <w:sz w:val="16"/>
                <w:szCs w:val="16"/>
              </w:rPr>
              <w:t>5</w:t>
            </w:r>
          </w:p>
        </w:tc>
        <w:tc>
          <w:tcPr>
            <w:tcW w:w="815" w:type="pct"/>
            <w:noWrap/>
            <w:vAlign w:val="bottom"/>
            <w:hideMark/>
          </w:tcPr>
          <w:p w14:paraId="3A94CC6D" w14:textId="77777777" w:rsidR="00C363A3" w:rsidRPr="00B613F4" w:rsidRDefault="00C363A3" w:rsidP="00C363A3">
            <w:pPr>
              <w:rPr>
                <w:rFonts w:ascii="Arial" w:hAnsi="Arial" w:cs="Arial"/>
                <w:noProof/>
                <w:color w:val="BFBFBF" w:themeColor="background1" w:themeShade="BF"/>
                <w:sz w:val="16"/>
                <w:szCs w:val="16"/>
              </w:rPr>
            </w:pPr>
            <w:r w:rsidRPr="00B613F4">
              <w:rPr>
                <w:rFonts w:ascii="Arial" w:hAnsi="Arial" w:cs="Arial"/>
                <w:color w:val="000000"/>
                <w:sz w:val="16"/>
                <w:szCs w:val="16"/>
              </w:rPr>
              <w:t>1.07 (0.93, 1.23)</w:t>
            </w:r>
          </w:p>
        </w:tc>
        <w:tc>
          <w:tcPr>
            <w:tcW w:w="817" w:type="pct"/>
            <w:noWrap/>
            <w:vAlign w:val="bottom"/>
            <w:hideMark/>
          </w:tcPr>
          <w:p w14:paraId="797353C0" w14:textId="77777777" w:rsidR="00C363A3" w:rsidRPr="00B613F4" w:rsidRDefault="00C363A3" w:rsidP="00C363A3">
            <w:pPr>
              <w:rPr>
                <w:rFonts w:ascii="Arial" w:hAnsi="Arial" w:cs="Arial"/>
                <w:noProof/>
                <w:color w:val="BFBFBF" w:themeColor="background1" w:themeShade="BF"/>
                <w:sz w:val="16"/>
                <w:szCs w:val="16"/>
              </w:rPr>
            </w:pPr>
            <w:r w:rsidRPr="00B613F4">
              <w:rPr>
                <w:rFonts w:ascii="Arial" w:hAnsi="Arial" w:cs="Arial"/>
                <w:color w:val="000000"/>
                <w:sz w:val="16"/>
                <w:szCs w:val="16"/>
              </w:rPr>
              <w:t>1.05 (0.91, 1.22)</w:t>
            </w:r>
          </w:p>
        </w:tc>
        <w:tc>
          <w:tcPr>
            <w:tcW w:w="817" w:type="pct"/>
            <w:noWrap/>
            <w:vAlign w:val="bottom"/>
            <w:hideMark/>
          </w:tcPr>
          <w:p w14:paraId="5860EB01" w14:textId="77777777" w:rsidR="00C363A3" w:rsidRPr="00B613F4" w:rsidRDefault="00C363A3" w:rsidP="00C363A3">
            <w:pPr>
              <w:rPr>
                <w:rFonts w:ascii="Arial" w:hAnsi="Arial" w:cs="Arial"/>
                <w:noProof/>
                <w:color w:val="BFBFBF" w:themeColor="background1" w:themeShade="BF"/>
                <w:sz w:val="16"/>
                <w:szCs w:val="16"/>
              </w:rPr>
            </w:pPr>
            <w:r w:rsidRPr="00B613F4">
              <w:rPr>
                <w:rFonts w:ascii="Arial" w:hAnsi="Arial" w:cs="Arial"/>
                <w:color w:val="000000"/>
                <w:sz w:val="16"/>
                <w:szCs w:val="16"/>
              </w:rPr>
              <w:t>1.27 (1.25, 1.30)</w:t>
            </w:r>
          </w:p>
        </w:tc>
        <w:tc>
          <w:tcPr>
            <w:tcW w:w="838" w:type="pct"/>
            <w:noWrap/>
            <w:vAlign w:val="bottom"/>
            <w:hideMark/>
          </w:tcPr>
          <w:p w14:paraId="192461C1" w14:textId="77777777" w:rsidR="00C363A3" w:rsidRPr="00B613F4" w:rsidRDefault="00C363A3" w:rsidP="00C363A3">
            <w:pPr>
              <w:rPr>
                <w:rFonts w:ascii="Arial" w:hAnsi="Arial" w:cs="Arial"/>
                <w:noProof/>
                <w:color w:val="BFBFBF" w:themeColor="background1" w:themeShade="BF"/>
                <w:sz w:val="16"/>
                <w:szCs w:val="16"/>
              </w:rPr>
            </w:pPr>
            <w:r w:rsidRPr="00B613F4">
              <w:rPr>
                <w:rFonts w:ascii="Arial" w:hAnsi="Arial" w:cs="Arial"/>
                <w:color w:val="000000"/>
                <w:sz w:val="16"/>
                <w:szCs w:val="16"/>
              </w:rPr>
              <w:t>1.02 (1.00, 1.04)</w:t>
            </w:r>
          </w:p>
        </w:tc>
      </w:tr>
      <w:tr w:rsidR="00C363A3" w:rsidRPr="00B613F4" w14:paraId="09620010" w14:textId="77777777" w:rsidTr="00C363A3">
        <w:trPr>
          <w:trHeight w:val="20"/>
        </w:trPr>
        <w:tc>
          <w:tcPr>
            <w:tcW w:w="1713" w:type="pct"/>
            <w:noWrap/>
            <w:hideMark/>
          </w:tcPr>
          <w:p w14:paraId="1ED2C0FD" w14:textId="75CB9FDD" w:rsidR="00C363A3" w:rsidRPr="00B613F4" w:rsidRDefault="00C363A3" w:rsidP="00C363A3">
            <w:pPr>
              <w:ind w:left="144"/>
              <w:rPr>
                <w:rFonts w:ascii="Arial" w:hAnsi="Arial" w:cs="Arial"/>
                <w:noProof/>
                <w:sz w:val="16"/>
                <w:szCs w:val="16"/>
              </w:rPr>
            </w:pPr>
            <w:r w:rsidRPr="00B613F4">
              <w:rPr>
                <w:rFonts w:ascii="Arial" w:eastAsia="Times New Roman" w:hAnsi="Arial" w:cs="Arial"/>
                <w:sz w:val="16"/>
                <w:szCs w:val="16"/>
              </w:rPr>
              <w:t xml:space="preserve">3 vs </w:t>
            </w:r>
            <w:r>
              <w:rPr>
                <w:rFonts w:ascii="Arial" w:eastAsia="Times New Roman" w:hAnsi="Arial" w:cs="Arial"/>
                <w:sz w:val="16"/>
                <w:szCs w:val="16"/>
              </w:rPr>
              <w:t>5</w:t>
            </w:r>
          </w:p>
        </w:tc>
        <w:tc>
          <w:tcPr>
            <w:tcW w:w="815" w:type="pct"/>
            <w:noWrap/>
            <w:vAlign w:val="bottom"/>
            <w:hideMark/>
          </w:tcPr>
          <w:p w14:paraId="16425E83" w14:textId="77777777" w:rsidR="00C363A3" w:rsidRPr="00B613F4" w:rsidRDefault="00C363A3" w:rsidP="00C363A3">
            <w:pPr>
              <w:rPr>
                <w:rFonts w:ascii="Arial" w:hAnsi="Arial" w:cs="Arial"/>
                <w:noProof/>
                <w:color w:val="BFBFBF" w:themeColor="background1" w:themeShade="BF"/>
                <w:sz w:val="16"/>
                <w:szCs w:val="16"/>
              </w:rPr>
            </w:pPr>
            <w:r w:rsidRPr="00B613F4">
              <w:rPr>
                <w:rFonts w:ascii="Arial" w:hAnsi="Arial" w:cs="Arial"/>
                <w:color w:val="000000"/>
                <w:sz w:val="16"/>
                <w:szCs w:val="16"/>
              </w:rPr>
              <w:t>1.45 (1.27, 1.65)</w:t>
            </w:r>
          </w:p>
        </w:tc>
        <w:tc>
          <w:tcPr>
            <w:tcW w:w="817" w:type="pct"/>
            <w:noWrap/>
            <w:vAlign w:val="bottom"/>
            <w:hideMark/>
          </w:tcPr>
          <w:p w14:paraId="0B308EB3" w14:textId="77777777" w:rsidR="00C363A3" w:rsidRPr="00B613F4" w:rsidRDefault="00C363A3" w:rsidP="00C363A3">
            <w:pPr>
              <w:rPr>
                <w:rFonts w:ascii="Arial" w:hAnsi="Arial" w:cs="Arial"/>
                <w:noProof/>
                <w:color w:val="BFBFBF" w:themeColor="background1" w:themeShade="BF"/>
                <w:sz w:val="16"/>
                <w:szCs w:val="16"/>
              </w:rPr>
            </w:pPr>
            <w:r w:rsidRPr="00B613F4">
              <w:rPr>
                <w:rFonts w:ascii="Arial" w:hAnsi="Arial" w:cs="Arial"/>
                <w:color w:val="000000"/>
                <w:sz w:val="16"/>
                <w:szCs w:val="16"/>
              </w:rPr>
              <w:t>1.17 (1.00, 1.36)</w:t>
            </w:r>
          </w:p>
        </w:tc>
        <w:tc>
          <w:tcPr>
            <w:tcW w:w="817" w:type="pct"/>
            <w:noWrap/>
            <w:vAlign w:val="bottom"/>
            <w:hideMark/>
          </w:tcPr>
          <w:p w14:paraId="60DF2AF6" w14:textId="77777777" w:rsidR="00C363A3" w:rsidRPr="00B613F4" w:rsidRDefault="00C363A3" w:rsidP="00C363A3">
            <w:pPr>
              <w:rPr>
                <w:rFonts w:ascii="Arial" w:hAnsi="Arial" w:cs="Arial"/>
                <w:noProof/>
                <w:color w:val="BFBFBF" w:themeColor="background1" w:themeShade="BF"/>
                <w:sz w:val="16"/>
                <w:szCs w:val="16"/>
              </w:rPr>
            </w:pPr>
            <w:r w:rsidRPr="00B613F4">
              <w:rPr>
                <w:rFonts w:ascii="Arial" w:hAnsi="Arial" w:cs="Arial"/>
                <w:color w:val="000000"/>
                <w:sz w:val="16"/>
                <w:szCs w:val="16"/>
              </w:rPr>
              <w:t>1.79 (1.75, 1.83)</w:t>
            </w:r>
          </w:p>
        </w:tc>
        <w:tc>
          <w:tcPr>
            <w:tcW w:w="838" w:type="pct"/>
            <w:noWrap/>
            <w:vAlign w:val="bottom"/>
            <w:hideMark/>
          </w:tcPr>
          <w:p w14:paraId="6C801993" w14:textId="77777777" w:rsidR="00C363A3" w:rsidRPr="00B613F4" w:rsidRDefault="00C363A3" w:rsidP="00C363A3">
            <w:pPr>
              <w:rPr>
                <w:rFonts w:ascii="Arial" w:hAnsi="Arial" w:cs="Arial"/>
                <w:noProof/>
                <w:color w:val="BFBFBF" w:themeColor="background1" w:themeShade="BF"/>
                <w:sz w:val="16"/>
                <w:szCs w:val="16"/>
              </w:rPr>
            </w:pPr>
            <w:r w:rsidRPr="00B613F4">
              <w:rPr>
                <w:rFonts w:ascii="Arial" w:hAnsi="Arial" w:cs="Arial"/>
                <w:color w:val="000000"/>
                <w:sz w:val="16"/>
                <w:szCs w:val="16"/>
              </w:rPr>
              <w:t>1.06 (1.04, 1.08)</w:t>
            </w:r>
          </w:p>
        </w:tc>
      </w:tr>
      <w:tr w:rsidR="00C363A3" w:rsidRPr="00B613F4" w14:paraId="11174E5A" w14:textId="77777777" w:rsidTr="00C363A3">
        <w:trPr>
          <w:trHeight w:val="20"/>
        </w:trPr>
        <w:tc>
          <w:tcPr>
            <w:tcW w:w="1713" w:type="pct"/>
            <w:noWrap/>
            <w:hideMark/>
          </w:tcPr>
          <w:p w14:paraId="0FA90968" w14:textId="1FC0D906" w:rsidR="00C363A3" w:rsidRPr="00B613F4" w:rsidRDefault="00C363A3" w:rsidP="00C363A3">
            <w:pPr>
              <w:ind w:left="144"/>
              <w:rPr>
                <w:rFonts w:ascii="Arial" w:hAnsi="Arial" w:cs="Arial"/>
                <w:noProof/>
                <w:sz w:val="16"/>
                <w:szCs w:val="16"/>
              </w:rPr>
            </w:pPr>
            <w:r>
              <w:rPr>
                <w:rFonts w:ascii="Arial" w:eastAsia="Times New Roman" w:hAnsi="Arial" w:cs="Arial"/>
                <w:sz w:val="16"/>
                <w:szCs w:val="16"/>
              </w:rPr>
              <w:t>2</w:t>
            </w:r>
            <w:r w:rsidRPr="00B613F4">
              <w:rPr>
                <w:rFonts w:ascii="Arial" w:eastAsia="Times New Roman" w:hAnsi="Arial" w:cs="Arial"/>
                <w:sz w:val="16"/>
                <w:szCs w:val="16"/>
              </w:rPr>
              <w:t xml:space="preserve"> vs </w:t>
            </w:r>
            <w:r>
              <w:rPr>
                <w:rFonts w:ascii="Arial" w:eastAsia="Times New Roman" w:hAnsi="Arial" w:cs="Arial"/>
                <w:sz w:val="16"/>
                <w:szCs w:val="16"/>
              </w:rPr>
              <w:t>5</w:t>
            </w:r>
          </w:p>
        </w:tc>
        <w:tc>
          <w:tcPr>
            <w:tcW w:w="815" w:type="pct"/>
            <w:noWrap/>
            <w:vAlign w:val="bottom"/>
            <w:hideMark/>
          </w:tcPr>
          <w:p w14:paraId="62DA98F8" w14:textId="77777777" w:rsidR="00C363A3" w:rsidRPr="00B613F4" w:rsidRDefault="00C363A3" w:rsidP="00C363A3">
            <w:pPr>
              <w:rPr>
                <w:rFonts w:ascii="Arial" w:hAnsi="Arial" w:cs="Arial"/>
                <w:noProof/>
                <w:color w:val="BFBFBF" w:themeColor="background1" w:themeShade="BF"/>
                <w:sz w:val="16"/>
                <w:szCs w:val="16"/>
              </w:rPr>
            </w:pPr>
            <w:r w:rsidRPr="00B613F4">
              <w:rPr>
                <w:rFonts w:ascii="Arial" w:hAnsi="Arial" w:cs="Arial"/>
                <w:color w:val="000000"/>
                <w:sz w:val="16"/>
                <w:szCs w:val="16"/>
              </w:rPr>
              <w:t>1.93 (1.70, 2.18)</w:t>
            </w:r>
          </w:p>
        </w:tc>
        <w:tc>
          <w:tcPr>
            <w:tcW w:w="817" w:type="pct"/>
            <w:noWrap/>
            <w:vAlign w:val="bottom"/>
            <w:hideMark/>
          </w:tcPr>
          <w:p w14:paraId="772B5927" w14:textId="77777777" w:rsidR="00C363A3" w:rsidRPr="00B613F4" w:rsidRDefault="00C363A3" w:rsidP="00C363A3">
            <w:pPr>
              <w:rPr>
                <w:rFonts w:ascii="Arial" w:hAnsi="Arial" w:cs="Arial"/>
                <w:noProof/>
                <w:color w:val="BFBFBF" w:themeColor="background1" w:themeShade="BF"/>
                <w:sz w:val="16"/>
                <w:szCs w:val="16"/>
              </w:rPr>
            </w:pPr>
            <w:r w:rsidRPr="00B613F4">
              <w:rPr>
                <w:rFonts w:ascii="Arial" w:hAnsi="Arial" w:cs="Arial"/>
                <w:color w:val="000000"/>
                <w:sz w:val="16"/>
                <w:szCs w:val="16"/>
              </w:rPr>
              <w:t>1.22 (1.03, 1.45)</w:t>
            </w:r>
          </w:p>
        </w:tc>
        <w:tc>
          <w:tcPr>
            <w:tcW w:w="817" w:type="pct"/>
            <w:noWrap/>
            <w:vAlign w:val="bottom"/>
            <w:hideMark/>
          </w:tcPr>
          <w:p w14:paraId="55081F0F" w14:textId="77777777" w:rsidR="00C363A3" w:rsidRPr="00B613F4" w:rsidRDefault="00C363A3" w:rsidP="00C363A3">
            <w:pPr>
              <w:rPr>
                <w:rFonts w:ascii="Arial" w:hAnsi="Arial" w:cs="Arial"/>
                <w:noProof/>
                <w:color w:val="BFBFBF" w:themeColor="background1" w:themeShade="BF"/>
                <w:sz w:val="16"/>
                <w:szCs w:val="16"/>
              </w:rPr>
            </w:pPr>
            <w:r w:rsidRPr="00B613F4">
              <w:rPr>
                <w:rFonts w:ascii="Arial" w:hAnsi="Arial" w:cs="Arial"/>
                <w:color w:val="000000"/>
                <w:sz w:val="16"/>
                <w:szCs w:val="16"/>
              </w:rPr>
              <w:t>2.54 (2.49, 2.60)</w:t>
            </w:r>
          </w:p>
        </w:tc>
        <w:tc>
          <w:tcPr>
            <w:tcW w:w="838" w:type="pct"/>
            <w:noWrap/>
            <w:vAlign w:val="bottom"/>
            <w:hideMark/>
          </w:tcPr>
          <w:p w14:paraId="339C5FE3" w14:textId="77777777" w:rsidR="00C363A3" w:rsidRPr="00B613F4" w:rsidRDefault="00C363A3" w:rsidP="00C363A3">
            <w:pPr>
              <w:rPr>
                <w:rFonts w:ascii="Arial" w:hAnsi="Arial" w:cs="Arial"/>
                <w:noProof/>
                <w:color w:val="BFBFBF" w:themeColor="background1" w:themeShade="BF"/>
                <w:sz w:val="16"/>
                <w:szCs w:val="16"/>
              </w:rPr>
            </w:pPr>
            <w:r w:rsidRPr="00B613F4">
              <w:rPr>
                <w:rFonts w:ascii="Arial" w:hAnsi="Arial" w:cs="Arial"/>
                <w:color w:val="000000"/>
                <w:sz w:val="16"/>
                <w:szCs w:val="16"/>
              </w:rPr>
              <w:t>1.04 (1.01, 1.06)</w:t>
            </w:r>
          </w:p>
        </w:tc>
      </w:tr>
      <w:tr w:rsidR="00C363A3" w:rsidRPr="00B613F4" w14:paraId="682F01C8" w14:textId="77777777" w:rsidTr="00C363A3">
        <w:trPr>
          <w:trHeight w:val="20"/>
        </w:trPr>
        <w:tc>
          <w:tcPr>
            <w:tcW w:w="1713" w:type="pct"/>
            <w:noWrap/>
            <w:hideMark/>
          </w:tcPr>
          <w:p w14:paraId="46257FBA" w14:textId="445278D9" w:rsidR="00C363A3" w:rsidRPr="00B613F4" w:rsidRDefault="00C363A3" w:rsidP="00C363A3">
            <w:pPr>
              <w:ind w:left="144"/>
              <w:rPr>
                <w:rFonts w:ascii="Arial" w:hAnsi="Arial" w:cs="Arial"/>
                <w:noProof/>
                <w:sz w:val="16"/>
                <w:szCs w:val="16"/>
              </w:rPr>
            </w:pPr>
            <w:r>
              <w:rPr>
                <w:rFonts w:ascii="Arial" w:eastAsia="Times New Roman" w:hAnsi="Arial" w:cs="Arial"/>
                <w:sz w:val="16"/>
                <w:szCs w:val="16"/>
              </w:rPr>
              <w:t>1</w:t>
            </w:r>
            <w:r w:rsidRPr="00B613F4">
              <w:rPr>
                <w:rFonts w:ascii="Arial" w:eastAsia="Times New Roman" w:hAnsi="Arial" w:cs="Arial"/>
                <w:sz w:val="16"/>
                <w:szCs w:val="16"/>
              </w:rPr>
              <w:t xml:space="preserve"> vs </w:t>
            </w:r>
            <w:r>
              <w:rPr>
                <w:rFonts w:ascii="Arial" w:eastAsia="Times New Roman" w:hAnsi="Arial" w:cs="Arial"/>
                <w:sz w:val="16"/>
                <w:szCs w:val="16"/>
              </w:rPr>
              <w:t>5</w:t>
            </w:r>
          </w:p>
        </w:tc>
        <w:tc>
          <w:tcPr>
            <w:tcW w:w="815" w:type="pct"/>
            <w:noWrap/>
            <w:vAlign w:val="bottom"/>
            <w:hideMark/>
          </w:tcPr>
          <w:p w14:paraId="27A1E2C8" w14:textId="77777777" w:rsidR="00C363A3" w:rsidRPr="00B613F4" w:rsidRDefault="00C363A3" w:rsidP="00C363A3">
            <w:pPr>
              <w:rPr>
                <w:rFonts w:ascii="Arial" w:hAnsi="Arial" w:cs="Arial"/>
                <w:noProof/>
                <w:color w:val="BFBFBF" w:themeColor="background1" w:themeShade="BF"/>
                <w:sz w:val="16"/>
                <w:szCs w:val="16"/>
              </w:rPr>
            </w:pPr>
            <w:r w:rsidRPr="00B613F4">
              <w:rPr>
                <w:rFonts w:ascii="Arial" w:hAnsi="Arial" w:cs="Arial"/>
                <w:color w:val="000000"/>
                <w:sz w:val="16"/>
                <w:szCs w:val="16"/>
              </w:rPr>
              <w:t>2.29 (2.02, 2.58)</w:t>
            </w:r>
          </w:p>
        </w:tc>
        <w:tc>
          <w:tcPr>
            <w:tcW w:w="817" w:type="pct"/>
            <w:noWrap/>
            <w:vAlign w:val="bottom"/>
            <w:hideMark/>
          </w:tcPr>
          <w:p w14:paraId="0885CED4" w14:textId="77777777" w:rsidR="00C363A3" w:rsidRPr="00B613F4" w:rsidRDefault="00C363A3" w:rsidP="00C363A3">
            <w:pPr>
              <w:rPr>
                <w:rFonts w:ascii="Arial" w:hAnsi="Arial" w:cs="Arial"/>
                <w:noProof/>
                <w:color w:val="BFBFBF" w:themeColor="background1" w:themeShade="BF"/>
                <w:sz w:val="16"/>
                <w:szCs w:val="16"/>
              </w:rPr>
            </w:pPr>
            <w:r w:rsidRPr="00B613F4">
              <w:rPr>
                <w:rFonts w:ascii="Arial" w:hAnsi="Arial" w:cs="Arial"/>
                <w:color w:val="000000"/>
                <w:sz w:val="16"/>
                <w:szCs w:val="16"/>
              </w:rPr>
              <w:t>1.21 (0.99, 1.48)</w:t>
            </w:r>
          </w:p>
        </w:tc>
        <w:tc>
          <w:tcPr>
            <w:tcW w:w="817" w:type="pct"/>
            <w:noWrap/>
            <w:vAlign w:val="bottom"/>
            <w:hideMark/>
          </w:tcPr>
          <w:p w14:paraId="105C4906" w14:textId="77777777" w:rsidR="00C363A3" w:rsidRPr="00B613F4" w:rsidRDefault="00C363A3" w:rsidP="00C363A3">
            <w:pPr>
              <w:rPr>
                <w:rFonts w:ascii="Arial" w:hAnsi="Arial" w:cs="Arial"/>
                <w:noProof/>
                <w:color w:val="BFBFBF" w:themeColor="background1" w:themeShade="BF"/>
                <w:sz w:val="16"/>
                <w:szCs w:val="16"/>
              </w:rPr>
            </w:pPr>
            <w:r w:rsidRPr="00B613F4">
              <w:rPr>
                <w:rFonts w:ascii="Arial" w:hAnsi="Arial" w:cs="Arial"/>
                <w:color w:val="000000"/>
                <w:sz w:val="16"/>
                <w:szCs w:val="16"/>
              </w:rPr>
              <w:t>4.53 (4.44, 4.61)</w:t>
            </w:r>
          </w:p>
        </w:tc>
        <w:tc>
          <w:tcPr>
            <w:tcW w:w="838" w:type="pct"/>
            <w:noWrap/>
            <w:vAlign w:val="bottom"/>
            <w:hideMark/>
          </w:tcPr>
          <w:p w14:paraId="3F6A32E3" w14:textId="77777777" w:rsidR="00C363A3" w:rsidRPr="00B613F4" w:rsidRDefault="00C363A3" w:rsidP="00C363A3">
            <w:pPr>
              <w:rPr>
                <w:rFonts w:ascii="Arial" w:hAnsi="Arial" w:cs="Arial"/>
                <w:noProof/>
                <w:color w:val="BFBFBF" w:themeColor="background1" w:themeShade="BF"/>
                <w:sz w:val="16"/>
                <w:szCs w:val="16"/>
              </w:rPr>
            </w:pPr>
            <w:r w:rsidRPr="00B613F4">
              <w:rPr>
                <w:rFonts w:ascii="Arial" w:hAnsi="Arial" w:cs="Arial"/>
                <w:color w:val="000000"/>
                <w:sz w:val="16"/>
                <w:szCs w:val="16"/>
              </w:rPr>
              <w:t>1.03 (1.00, 1.05)</w:t>
            </w:r>
          </w:p>
        </w:tc>
      </w:tr>
      <w:tr w:rsidR="00E01EE6" w:rsidRPr="00B613F4" w14:paraId="3A414A93" w14:textId="77777777" w:rsidTr="00C363A3">
        <w:trPr>
          <w:trHeight w:val="20"/>
        </w:trPr>
        <w:tc>
          <w:tcPr>
            <w:tcW w:w="1713" w:type="pct"/>
            <w:noWrap/>
          </w:tcPr>
          <w:p w14:paraId="6E645542" w14:textId="2AF2E31E" w:rsidR="00E01EE6" w:rsidRPr="00B613F4" w:rsidRDefault="00E01EE6" w:rsidP="00B821E3">
            <w:pPr>
              <w:rPr>
                <w:rFonts w:ascii="Arial" w:eastAsia="Times New Roman" w:hAnsi="Arial" w:cs="Arial"/>
                <w:sz w:val="16"/>
                <w:szCs w:val="16"/>
              </w:rPr>
            </w:pPr>
            <w:r w:rsidRPr="00B613F4">
              <w:rPr>
                <w:rFonts w:ascii="Arial" w:eastAsia="Times New Roman" w:hAnsi="Arial" w:cs="Arial"/>
                <w:sz w:val="16"/>
                <w:szCs w:val="16"/>
              </w:rPr>
              <w:t>Wave 3:Income (</w:t>
            </w:r>
            <w:r w:rsidR="00C363A3">
              <w:rPr>
                <w:rFonts w:ascii="Arial" w:eastAsia="Times New Roman" w:hAnsi="Arial" w:cs="Arial"/>
                <w:sz w:val="16"/>
                <w:szCs w:val="16"/>
              </w:rPr>
              <w:t>5</w:t>
            </w:r>
            <w:r w:rsidR="00C363A3" w:rsidRPr="00B613F4">
              <w:rPr>
                <w:rFonts w:ascii="Arial" w:eastAsia="Times New Roman" w:hAnsi="Arial" w:cs="Arial"/>
                <w:sz w:val="16"/>
                <w:szCs w:val="16"/>
              </w:rPr>
              <w:t>= Highest</w:t>
            </w:r>
            <w:r w:rsidRPr="00B613F4">
              <w:rPr>
                <w:rFonts w:ascii="Arial" w:eastAsia="Times New Roman" w:hAnsi="Arial" w:cs="Arial"/>
                <w:sz w:val="16"/>
                <w:szCs w:val="16"/>
              </w:rPr>
              <w:t>)</w:t>
            </w:r>
            <w:r w:rsidR="00B821E3" w:rsidRPr="00B821E3">
              <w:rPr>
                <w:rFonts w:ascii="Arial" w:eastAsia="Times New Roman" w:hAnsi="Arial" w:cs="Arial"/>
                <w:sz w:val="16"/>
                <w:szCs w:val="16"/>
                <w:vertAlign w:val="superscript"/>
              </w:rPr>
              <w:t>e</w:t>
            </w:r>
          </w:p>
        </w:tc>
        <w:tc>
          <w:tcPr>
            <w:tcW w:w="815" w:type="pct"/>
            <w:noWrap/>
            <w:vAlign w:val="bottom"/>
          </w:tcPr>
          <w:p w14:paraId="1A27ABA2" w14:textId="77777777" w:rsidR="00E01EE6" w:rsidRPr="00B613F4" w:rsidRDefault="00E01EE6" w:rsidP="00B821E3">
            <w:pPr>
              <w:rPr>
                <w:rFonts w:ascii="Arial" w:hAnsi="Arial" w:cs="Arial"/>
                <w:color w:val="BFBFBF" w:themeColor="background1" w:themeShade="BF"/>
                <w:sz w:val="16"/>
                <w:szCs w:val="16"/>
              </w:rPr>
            </w:pPr>
            <w:r w:rsidRPr="00B613F4">
              <w:rPr>
                <w:rFonts w:ascii="Arial" w:hAnsi="Arial" w:cs="Arial"/>
                <w:color w:val="BFBFBF" w:themeColor="background1" w:themeShade="BF"/>
                <w:sz w:val="16"/>
                <w:szCs w:val="16"/>
              </w:rPr>
              <w:t> </w:t>
            </w:r>
          </w:p>
        </w:tc>
        <w:tc>
          <w:tcPr>
            <w:tcW w:w="817" w:type="pct"/>
            <w:noWrap/>
            <w:vAlign w:val="bottom"/>
          </w:tcPr>
          <w:p w14:paraId="7EF013A1" w14:textId="77777777" w:rsidR="00E01EE6" w:rsidRPr="00B613F4" w:rsidRDefault="00E01EE6" w:rsidP="00B821E3">
            <w:pPr>
              <w:rPr>
                <w:rFonts w:ascii="Arial" w:hAnsi="Arial" w:cs="Arial"/>
                <w:color w:val="BFBFBF" w:themeColor="background1" w:themeShade="BF"/>
                <w:sz w:val="16"/>
                <w:szCs w:val="16"/>
              </w:rPr>
            </w:pPr>
            <w:r w:rsidRPr="00B613F4">
              <w:rPr>
                <w:rFonts w:ascii="Arial" w:hAnsi="Arial" w:cs="Arial"/>
                <w:color w:val="BFBFBF" w:themeColor="background1" w:themeShade="BF"/>
                <w:sz w:val="16"/>
                <w:szCs w:val="16"/>
              </w:rPr>
              <w:t> </w:t>
            </w:r>
          </w:p>
        </w:tc>
        <w:tc>
          <w:tcPr>
            <w:tcW w:w="817" w:type="pct"/>
            <w:noWrap/>
            <w:vAlign w:val="bottom"/>
          </w:tcPr>
          <w:p w14:paraId="5B2E0704" w14:textId="77777777" w:rsidR="00E01EE6" w:rsidRPr="00B613F4" w:rsidRDefault="00E01EE6" w:rsidP="00B821E3">
            <w:pPr>
              <w:rPr>
                <w:rFonts w:ascii="Arial" w:hAnsi="Arial" w:cs="Arial"/>
                <w:color w:val="BFBFBF" w:themeColor="background1" w:themeShade="BF"/>
                <w:sz w:val="16"/>
                <w:szCs w:val="16"/>
              </w:rPr>
            </w:pPr>
            <w:r w:rsidRPr="00B613F4">
              <w:rPr>
                <w:rFonts w:ascii="Arial" w:hAnsi="Arial" w:cs="Arial"/>
                <w:color w:val="BFBFBF" w:themeColor="background1" w:themeShade="BF"/>
                <w:sz w:val="16"/>
                <w:szCs w:val="16"/>
              </w:rPr>
              <w:t> </w:t>
            </w:r>
          </w:p>
        </w:tc>
        <w:tc>
          <w:tcPr>
            <w:tcW w:w="838" w:type="pct"/>
            <w:noWrap/>
            <w:vAlign w:val="bottom"/>
          </w:tcPr>
          <w:p w14:paraId="0FD0044A" w14:textId="77777777" w:rsidR="00E01EE6" w:rsidRPr="00B613F4" w:rsidRDefault="00E01EE6" w:rsidP="00B821E3">
            <w:pPr>
              <w:rPr>
                <w:rFonts w:ascii="Arial" w:hAnsi="Arial" w:cs="Arial"/>
                <w:color w:val="BFBFBF" w:themeColor="background1" w:themeShade="BF"/>
                <w:sz w:val="16"/>
                <w:szCs w:val="16"/>
              </w:rPr>
            </w:pPr>
            <w:r w:rsidRPr="00B613F4">
              <w:rPr>
                <w:rFonts w:ascii="Arial" w:hAnsi="Arial" w:cs="Arial"/>
                <w:color w:val="BFBFBF" w:themeColor="background1" w:themeShade="BF"/>
                <w:sz w:val="16"/>
                <w:szCs w:val="16"/>
              </w:rPr>
              <w:t> </w:t>
            </w:r>
          </w:p>
        </w:tc>
      </w:tr>
      <w:tr w:rsidR="00C363A3" w:rsidRPr="00B613F4" w14:paraId="72DF3867" w14:textId="77777777" w:rsidTr="00C363A3">
        <w:trPr>
          <w:trHeight w:val="20"/>
        </w:trPr>
        <w:tc>
          <w:tcPr>
            <w:tcW w:w="1713" w:type="pct"/>
            <w:noWrap/>
            <w:hideMark/>
          </w:tcPr>
          <w:p w14:paraId="75D6AC03" w14:textId="42FFB7E9" w:rsidR="00C363A3" w:rsidRPr="00B613F4" w:rsidRDefault="00C363A3" w:rsidP="00C363A3">
            <w:pPr>
              <w:ind w:left="144"/>
              <w:rPr>
                <w:rFonts w:ascii="Arial" w:hAnsi="Arial" w:cs="Arial"/>
                <w:noProof/>
                <w:sz w:val="16"/>
                <w:szCs w:val="16"/>
              </w:rPr>
            </w:pPr>
            <w:r>
              <w:rPr>
                <w:rFonts w:ascii="Arial" w:eastAsia="Times New Roman" w:hAnsi="Arial" w:cs="Arial"/>
                <w:sz w:val="16"/>
                <w:szCs w:val="16"/>
              </w:rPr>
              <w:t>4</w:t>
            </w:r>
            <w:r w:rsidRPr="00B613F4">
              <w:rPr>
                <w:rFonts w:ascii="Arial" w:eastAsia="Times New Roman" w:hAnsi="Arial" w:cs="Arial"/>
                <w:sz w:val="16"/>
                <w:szCs w:val="16"/>
              </w:rPr>
              <w:t xml:space="preserve"> vs </w:t>
            </w:r>
            <w:r>
              <w:rPr>
                <w:rFonts w:ascii="Arial" w:eastAsia="Times New Roman" w:hAnsi="Arial" w:cs="Arial"/>
                <w:sz w:val="16"/>
                <w:szCs w:val="16"/>
              </w:rPr>
              <w:t>5</w:t>
            </w:r>
          </w:p>
        </w:tc>
        <w:tc>
          <w:tcPr>
            <w:tcW w:w="815" w:type="pct"/>
            <w:noWrap/>
            <w:vAlign w:val="bottom"/>
            <w:hideMark/>
          </w:tcPr>
          <w:p w14:paraId="4791DB49" w14:textId="77777777" w:rsidR="00C363A3" w:rsidRPr="00B613F4" w:rsidRDefault="00C363A3" w:rsidP="00C363A3">
            <w:pPr>
              <w:rPr>
                <w:rFonts w:ascii="Arial" w:hAnsi="Arial" w:cs="Arial"/>
                <w:noProof/>
                <w:color w:val="BFBFBF" w:themeColor="background1" w:themeShade="BF"/>
                <w:sz w:val="16"/>
                <w:szCs w:val="16"/>
              </w:rPr>
            </w:pPr>
            <w:r w:rsidRPr="00B613F4">
              <w:rPr>
                <w:rFonts w:ascii="Arial" w:hAnsi="Arial" w:cs="Arial"/>
                <w:color w:val="000000"/>
                <w:sz w:val="16"/>
                <w:szCs w:val="16"/>
              </w:rPr>
              <w:t>1.31 (1.10, 1.56)</w:t>
            </w:r>
          </w:p>
        </w:tc>
        <w:tc>
          <w:tcPr>
            <w:tcW w:w="817" w:type="pct"/>
            <w:noWrap/>
            <w:vAlign w:val="bottom"/>
            <w:hideMark/>
          </w:tcPr>
          <w:p w14:paraId="41966473" w14:textId="77777777" w:rsidR="00C363A3" w:rsidRPr="00B613F4" w:rsidRDefault="00C363A3" w:rsidP="00C363A3">
            <w:pPr>
              <w:rPr>
                <w:rFonts w:ascii="Arial" w:hAnsi="Arial" w:cs="Arial"/>
                <w:noProof/>
                <w:color w:val="BFBFBF" w:themeColor="background1" w:themeShade="BF"/>
                <w:sz w:val="16"/>
                <w:szCs w:val="16"/>
              </w:rPr>
            </w:pPr>
            <w:r w:rsidRPr="00B613F4">
              <w:rPr>
                <w:rFonts w:ascii="Arial" w:hAnsi="Arial" w:cs="Arial"/>
                <w:color w:val="000000"/>
                <w:sz w:val="16"/>
                <w:szCs w:val="16"/>
              </w:rPr>
              <w:t>1.11 (0.93, 1.33)</w:t>
            </w:r>
          </w:p>
        </w:tc>
        <w:tc>
          <w:tcPr>
            <w:tcW w:w="817" w:type="pct"/>
            <w:noWrap/>
            <w:vAlign w:val="bottom"/>
            <w:hideMark/>
          </w:tcPr>
          <w:p w14:paraId="41985CF4" w14:textId="77777777" w:rsidR="00C363A3" w:rsidRPr="00B613F4" w:rsidRDefault="00C363A3" w:rsidP="00C363A3">
            <w:pPr>
              <w:rPr>
                <w:rFonts w:ascii="Arial" w:hAnsi="Arial" w:cs="Arial"/>
                <w:noProof/>
                <w:color w:val="BFBFBF" w:themeColor="background1" w:themeShade="BF"/>
                <w:sz w:val="16"/>
                <w:szCs w:val="16"/>
              </w:rPr>
            </w:pPr>
            <w:r w:rsidRPr="00B613F4">
              <w:rPr>
                <w:rFonts w:ascii="Arial" w:hAnsi="Arial" w:cs="Arial"/>
                <w:color w:val="000000"/>
                <w:sz w:val="16"/>
                <w:szCs w:val="16"/>
              </w:rPr>
              <w:t>1.26 (1.23, 1.29)</w:t>
            </w:r>
          </w:p>
        </w:tc>
        <w:tc>
          <w:tcPr>
            <w:tcW w:w="838" w:type="pct"/>
            <w:noWrap/>
            <w:vAlign w:val="bottom"/>
            <w:hideMark/>
          </w:tcPr>
          <w:p w14:paraId="0D32D9EE" w14:textId="77777777" w:rsidR="00C363A3" w:rsidRPr="00B613F4" w:rsidRDefault="00C363A3" w:rsidP="00C363A3">
            <w:pPr>
              <w:rPr>
                <w:rFonts w:ascii="Arial" w:hAnsi="Arial" w:cs="Arial"/>
                <w:noProof/>
                <w:color w:val="BFBFBF" w:themeColor="background1" w:themeShade="BF"/>
                <w:sz w:val="16"/>
                <w:szCs w:val="16"/>
              </w:rPr>
            </w:pPr>
            <w:r w:rsidRPr="00B613F4">
              <w:rPr>
                <w:rFonts w:ascii="Arial" w:hAnsi="Arial" w:cs="Arial"/>
                <w:color w:val="000000"/>
                <w:sz w:val="16"/>
                <w:szCs w:val="16"/>
              </w:rPr>
              <w:t>1.07 (1.05, 1.09)</w:t>
            </w:r>
          </w:p>
        </w:tc>
      </w:tr>
      <w:tr w:rsidR="00C363A3" w:rsidRPr="00B613F4" w14:paraId="04D05E6D" w14:textId="77777777" w:rsidTr="00C363A3">
        <w:trPr>
          <w:trHeight w:val="20"/>
        </w:trPr>
        <w:tc>
          <w:tcPr>
            <w:tcW w:w="1713" w:type="pct"/>
            <w:noWrap/>
            <w:hideMark/>
          </w:tcPr>
          <w:p w14:paraId="7883C96A" w14:textId="673F4075" w:rsidR="00C363A3" w:rsidRPr="00B613F4" w:rsidRDefault="00C363A3" w:rsidP="00C363A3">
            <w:pPr>
              <w:ind w:left="144"/>
              <w:rPr>
                <w:rFonts w:ascii="Arial" w:hAnsi="Arial" w:cs="Arial"/>
                <w:noProof/>
                <w:sz w:val="16"/>
                <w:szCs w:val="16"/>
              </w:rPr>
            </w:pPr>
            <w:r w:rsidRPr="00B613F4">
              <w:rPr>
                <w:rFonts w:ascii="Arial" w:eastAsia="Times New Roman" w:hAnsi="Arial" w:cs="Arial"/>
                <w:sz w:val="16"/>
                <w:szCs w:val="16"/>
              </w:rPr>
              <w:t xml:space="preserve">3 vs </w:t>
            </w:r>
            <w:r>
              <w:rPr>
                <w:rFonts w:ascii="Arial" w:eastAsia="Times New Roman" w:hAnsi="Arial" w:cs="Arial"/>
                <w:sz w:val="16"/>
                <w:szCs w:val="16"/>
              </w:rPr>
              <w:t>5</w:t>
            </w:r>
          </w:p>
        </w:tc>
        <w:tc>
          <w:tcPr>
            <w:tcW w:w="815" w:type="pct"/>
            <w:noWrap/>
            <w:vAlign w:val="bottom"/>
            <w:hideMark/>
          </w:tcPr>
          <w:p w14:paraId="72D2ED67" w14:textId="77777777" w:rsidR="00C363A3" w:rsidRPr="00B613F4" w:rsidRDefault="00C363A3" w:rsidP="00C363A3">
            <w:pPr>
              <w:rPr>
                <w:rFonts w:ascii="Arial" w:hAnsi="Arial" w:cs="Arial"/>
                <w:noProof/>
                <w:color w:val="BFBFBF" w:themeColor="background1" w:themeShade="BF"/>
                <w:sz w:val="16"/>
                <w:szCs w:val="16"/>
              </w:rPr>
            </w:pPr>
            <w:r w:rsidRPr="00B613F4">
              <w:rPr>
                <w:rFonts w:ascii="Arial" w:hAnsi="Arial" w:cs="Arial"/>
                <w:color w:val="000000"/>
                <w:sz w:val="16"/>
                <w:szCs w:val="16"/>
              </w:rPr>
              <w:t>1.88 (1.60, 2.21)</w:t>
            </w:r>
          </w:p>
        </w:tc>
        <w:tc>
          <w:tcPr>
            <w:tcW w:w="817" w:type="pct"/>
            <w:noWrap/>
            <w:vAlign w:val="bottom"/>
            <w:hideMark/>
          </w:tcPr>
          <w:p w14:paraId="20EA790A" w14:textId="77777777" w:rsidR="00C363A3" w:rsidRPr="00B613F4" w:rsidRDefault="00C363A3" w:rsidP="00C363A3">
            <w:pPr>
              <w:rPr>
                <w:rFonts w:ascii="Arial" w:hAnsi="Arial" w:cs="Arial"/>
                <w:noProof/>
                <w:color w:val="BFBFBF" w:themeColor="background1" w:themeShade="BF"/>
                <w:sz w:val="16"/>
                <w:szCs w:val="16"/>
              </w:rPr>
            </w:pPr>
            <w:r w:rsidRPr="00B613F4">
              <w:rPr>
                <w:rFonts w:ascii="Arial" w:hAnsi="Arial" w:cs="Arial"/>
                <w:color w:val="000000"/>
                <w:sz w:val="16"/>
                <w:szCs w:val="16"/>
              </w:rPr>
              <w:t>1.26 (1.04, 1.51)</w:t>
            </w:r>
          </w:p>
        </w:tc>
        <w:tc>
          <w:tcPr>
            <w:tcW w:w="817" w:type="pct"/>
            <w:noWrap/>
            <w:vAlign w:val="bottom"/>
            <w:hideMark/>
          </w:tcPr>
          <w:p w14:paraId="5E322868" w14:textId="77777777" w:rsidR="00C363A3" w:rsidRPr="00B613F4" w:rsidRDefault="00C363A3" w:rsidP="00C363A3">
            <w:pPr>
              <w:rPr>
                <w:rFonts w:ascii="Arial" w:hAnsi="Arial" w:cs="Arial"/>
                <w:noProof/>
                <w:color w:val="BFBFBF" w:themeColor="background1" w:themeShade="BF"/>
                <w:sz w:val="16"/>
                <w:szCs w:val="16"/>
              </w:rPr>
            </w:pPr>
            <w:r w:rsidRPr="00B613F4">
              <w:rPr>
                <w:rFonts w:ascii="Arial" w:hAnsi="Arial" w:cs="Arial"/>
                <w:color w:val="000000"/>
                <w:sz w:val="16"/>
                <w:szCs w:val="16"/>
              </w:rPr>
              <w:t>1.74 (1.70, 1.78)</w:t>
            </w:r>
          </w:p>
        </w:tc>
        <w:tc>
          <w:tcPr>
            <w:tcW w:w="838" w:type="pct"/>
            <w:noWrap/>
            <w:vAlign w:val="bottom"/>
            <w:hideMark/>
          </w:tcPr>
          <w:p w14:paraId="45450B54" w14:textId="77777777" w:rsidR="00C363A3" w:rsidRPr="00B613F4" w:rsidRDefault="00C363A3" w:rsidP="00C363A3">
            <w:pPr>
              <w:rPr>
                <w:rFonts w:ascii="Arial" w:hAnsi="Arial" w:cs="Arial"/>
                <w:noProof/>
                <w:color w:val="BFBFBF" w:themeColor="background1" w:themeShade="BF"/>
                <w:sz w:val="16"/>
                <w:szCs w:val="16"/>
              </w:rPr>
            </w:pPr>
            <w:r w:rsidRPr="00B613F4">
              <w:rPr>
                <w:rFonts w:ascii="Arial" w:hAnsi="Arial" w:cs="Arial"/>
                <w:color w:val="000000"/>
                <w:sz w:val="16"/>
                <w:szCs w:val="16"/>
              </w:rPr>
              <w:t>1.11 (1.08, 1.13)</w:t>
            </w:r>
          </w:p>
        </w:tc>
      </w:tr>
      <w:tr w:rsidR="00C363A3" w:rsidRPr="00B613F4" w14:paraId="36550170" w14:textId="77777777" w:rsidTr="00C363A3">
        <w:trPr>
          <w:trHeight w:val="20"/>
        </w:trPr>
        <w:tc>
          <w:tcPr>
            <w:tcW w:w="1713" w:type="pct"/>
            <w:noWrap/>
            <w:hideMark/>
          </w:tcPr>
          <w:p w14:paraId="48C324F5" w14:textId="0098A80B" w:rsidR="00C363A3" w:rsidRPr="00B613F4" w:rsidRDefault="00C363A3" w:rsidP="00C363A3">
            <w:pPr>
              <w:ind w:left="144"/>
              <w:rPr>
                <w:rFonts w:ascii="Arial" w:hAnsi="Arial" w:cs="Arial"/>
                <w:noProof/>
                <w:sz w:val="16"/>
                <w:szCs w:val="16"/>
              </w:rPr>
            </w:pPr>
            <w:r>
              <w:rPr>
                <w:rFonts w:ascii="Arial" w:eastAsia="Times New Roman" w:hAnsi="Arial" w:cs="Arial"/>
                <w:sz w:val="16"/>
                <w:szCs w:val="16"/>
              </w:rPr>
              <w:t>2</w:t>
            </w:r>
            <w:r w:rsidRPr="00B613F4">
              <w:rPr>
                <w:rFonts w:ascii="Arial" w:eastAsia="Times New Roman" w:hAnsi="Arial" w:cs="Arial"/>
                <w:sz w:val="16"/>
                <w:szCs w:val="16"/>
              </w:rPr>
              <w:t xml:space="preserve"> vs </w:t>
            </w:r>
            <w:r>
              <w:rPr>
                <w:rFonts w:ascii="Arial" w:eastAsia="Times New Roman" w:hAnsi="Arial" w:cs="Arial"/>
                <w:sz w:val="16"/>
                <w:szCs w:val="16"/>
              </w:rPr>
              <w:t>5</w:t>
            </w:r>
          </w:p>
        </w:tc>
        <w:tc>
          <w:tcPr>
            <w:tcW w:w="815" w:type="pct"/>
            <w:noWrap/>
            <w:vAlign w:val="bottom"/>
            <w:hideMark/>
          </w:tcPr>
          <w:p w14:paraId="016DAF0A" w14:textId="77777777" w:rsidR="00C363A3" w:rsidRPr="00B613F4" w:rsidRDefault="00C363A3" w:rsidP="00C363A3">
            <w:pPr>
              <w:rPr>
                <w:rFonts w:ascii="Arial" w:hAnsi="Arial" w:cs="Arial"/>
                <w:noProof/>
                <w:color w:val="BFBFBF" w:themeColor="background1" w:themeShade="BF"/>
                <w:sz w:val="16"/>
                <w:szCs w:val="16"/>
              </w:rPr>
            </w:pPr>
            <w:r w:rsidRPr="00B613F4">
              <w:rPr>
                <w:rFonts w:ascii="Arial" w:hAnsi="Arial" w:cs="Arial"/>
                <w:color w:val="000000"/>
                <w:sz w:val="16"/>
                <w:szCs w:val="16"/>
              </w:rPr>
              <w:t>2.24 (1.91, 2.62)</w:t>
            </w:r>
          </w:p>
        </w:tc>
        <w:tc>
          <w:tcPr>
            <w:tcW w:w="817" w:type="pct"/>
            <w:noWrap/>
            <w:vAlign w:val="bottom"/>
            <w:hideMark/>
          </w:tcPr>
          <w:p w14:paraId="67E0B28D" w14:textId="77777777" w:rsidR="00C363A3" w:rsidRPr="00B613F4" w:rsidRDefault="00C363A3" w:rsidP="00C363A3">
            <w:pPr>
              <w:rPr>
                <w:rFonts w:ascii="Arial" w:hAnsi="Arial" w:cs="Arial"/>
                <w:noProof/>
                <w:color w:val="BFBFBF" w:themeColor="background1" w:themeShade="BF"/>
                <w:sz w:val="16"/>
                <w:szCs w:val="16"/>
              </w:rPr>
            </w:pPr>
            <w:r w:rsidRPr="00B613F4">
              <w:rPr>
                <w:rFonts w:ascii="Arial" w:hAnsi="Arial" w:cs="Arial"/>
                <w:color w:val="000000"/>
                <w:sz w:val="16"/>
                <w:szCs w:val="16"/>
              </w:rPr>
              <w:t>1.21 (0.98, 1.48)</w:t>
            </w:r>
          </w:p>
        </w:tc>
        <w:tc>
          <w:tcPr>
            <w:tcW w:w="817" w:type="pct"/>
            <w:noWrap/>
            <w:vAlign w:val="bottom"/>
            <w:hideMark/>
          </w:tcPr>
          <w:p w14:paraId="322EB39A" w14:textId="77777777" w:rsidR="00C363A3" w:rsidRPr="00B613F4" w:rsidRDefault="00C363A3" w:rsidP="00C363A3">
            <w:pPr>
              <w:rPr>
                <w:rFonts w:ascii="Arial" w:hAnsi="Arial" w:cs="Arial"/>
                <w:noProof/>
                <w:color w:val="BFBFBF" w:themeColor="background1" w:themeShade="BF"/>
                <w:sz w:val="16"/>
                <w:szCs w:val="16"/>
              </w:rPr>
            </w:pPr>
            <w:r w:rsidRPr="00B613F4">
              <w:rPr>
                <w:rFonts w:ascii="Arial" w:hAnsi="Arial" w:cs="Arial"/>
                <w:color w:val="000000"/>
                <w:sz w:val="16"/>
                <w:szCs w:val="16"/>
              </w:rPr>
              <w:t>2.48 (2.43, 2.53)</w:t>
            </w:r>
          </w:p>
        </w:tc>
        <w:tc>
          <w:tcPr>
            <w:tcW w:w="838" w:type="pct"/>
            <w:noWrap/>
            <w:vAlign w:val="bottom"/>
            <w:hideMark/>
          </w:tcPr>
          <w:p w14:paraId="44ACDADC" w14:textId="77777777" w:rsidR="00C363A3" w:rsidRPr="00B613F4" w:rsidRDefault="00C363A3" w:rsidP="00C363A3">
            <w:pPr>
              <w:rPr>
                <w:rFonts w:ascii="Arial" w:hAnsi="Arial" w:cs="Arial"/>
                <w:noProof/>
                <w:color w:val="BFBFBF" w:themeColor="background1" w:themeShade="BF"/>
                <w:sz w:val="16"/>
                <w:szCs w:val="16"/>
              </w:rPr>
            </w:pPr>
            <w:r w:rsidRPr="00B613F4">
              <w:rPr>
                <w:rFonts w:ascii="Arial" w:hAnsi="Arial" w:cs="Arial"/>
                <w:color w:val="000000"/>
                <w:sz w:val="16"/>
                <w:szCs w:val="16"/>
              </w:rPr>
              <w:t>1.09 (1.07, 1.12)</w:t>
            </w:r>
          </w:p>
        </w:tc>
      </w:tr>
      <w:tr w:rsidR="00C363A3" w:rsidRPr="00B613F4" w14:paraId="049331E9" w14:textId="77777777" w:rsidTr="00C363A3">
        <w:trPr>
          <w:trHeight w:val="20"/>
        </w:trPr>
        <w:tc>
          <w:tcPr>
            <w:tcW w:w="1713" w:type="pct"/>
            <w:noWrap/>
            <w:hideMark/>
          </w:tcPr>
          <w:p w14:paraId="76250585" w14:textId="7B7351CF" w:rsidR="00C363A3" w:rsidRPr="00B613F4" w:rsidRDefault="00C363A3" w:rsidP="00C363A3">
            <w:pPr>
              <w:ind w:left="144"/>
              <w:rPr>
                <w:rFonts w:ascii="Arial" w:hAnsi="Arial" w:cs="Arial"/>
                <w:noProof/>
                <w:sz w:val="16"/>
                <w:szCs w:val="16"/>
              </w:rPr>
            </w:pPr>
            <w:r>
              <w:rPr>
                <w:rFonts w:ascii="Arial" w:eastAsia="Times New Roman" w:hAnsi="Arial" w:cs="Arial"/>
                <w:sz w:val="16"/>
                <w:szCs w:val="16"/>
              </w:rPr>
              <w:t>1</w:t>
            </w:r>
            <w:r w:rsidRPr="00B613F4">
              <w:rPr>
                <w:rFonts w:ascii="Arial" w:eastAsia="Times New Roman" w:hAnsi="Arial" w:cs="Arial"/>
                <w:sz w:val="16"/>
                <w:szCs w:val="16"/>
              </w:rPr>
              <w:t xml:space="preserve"> vs </w:t>
            </w:r>
            <w:r>
              <w:rPr>
                <w:rFonts w:ascii="Arial" w:eastAsia="Times New Roman" w:hAnsi="Arial" w:cs="Arial"/>
                <w:sz w:val="16"/>
                <w:szCs w:val="16"/>
              </w:rPr>
              <w:t>5</w:t>
            </w:r>
          </w:p>
        </w:tc>
        <w:tc>
          <w:tcPr>
            <w:tcW w:w="815" w:type="pct"/>
            <w:noWrap/>
            <w:vAlign w:val="bottom"/>
            <w:hideMark/>
          </w:tcPr>
          <w:p w14:paraId="0551A55F" w14:textId="77777777" w:rsidR="00C363A3" w:rsidRPr="00B613F4" w:rsidRDefault="00C363A3" w:rsidP="00C363A3">
            <w:pPr>
              <w:rPr>
                <w:rFonts w:ascii="Arial" w:hAnsi="Arial" w:cs="Arial"/>
                <w:noProof/>
                <w:color w:val="BFBFBF" w:themeColor="background1" w:themeShade="BF"/>
                <w:sz w:val="16"/>
                <w:szCs w:val="16"/>
              </w:rPr>
            </w:pPr>
            <w:r w:rsidRPr="00B613F4">
              <w:rPr>
                <w:rFonts w:ascii="Arial" w:hAnsi="Arial" w:cs="Arial"/>
                <w:color w:val="000000"/>
                <w:sz w:val="16"/>
                <w:szCs w:val="16"/>
              </w:rPr>
              <w:t>3.42 (2.95, 3.97)</w:t>
            </w:r>
          </w:p>
        </w:tc>
        <w:tc>
          <w:tcPr>
            <w:tcW w:w="817" w:type="pct"/>
            <w:noWrap/>
            <w:vAlign w:val="bottom"/>
            <w:hideMark/>
          </w:tcPr>
          <w:p w14:paraId="2841F046" w14:textId="77777777" w:rsidR="00C363A3" w:rsidRPr="00B613F4" w:rsidRDefault="00C363A3" w:rsidP="00C363A3">
            <w:pPr>
              <w:rPr>
                <w:rFonts w:ascii="Arial" w:hAnsi="Arial" w:cs="Arial"/>
                <w:noProof/>
                <w:color w:val="BFBFBF" w:themeColor="background1" w:themeShade="BF"/>
                <w:sz w:val="16"/>
                <w:szCs w:val="16"/>
              </w:rPr>
            </w:pPr>
            <w:r w:rsidRPr="00B613F4">
              <w:rPr>
                <w:rFonts w:ascii="Arial" w:hAnsi="Arial" w:cs="Arial"/>
                <w:color w:val="000000"/>
                <w:sz w:val="16"/>
                <w:szCs w:val="16"/>
              </w:rPr>
              <w:t>1.55 (1.22, 1.96)</w:t>
            </w:r>
          </w:p>
        </w:tc>
        <w:tc>
          <w:tcPr>
            <w:tcW w:w="817" w:type="pct"/>
            <w:noWrap/>
            <w:vAlign w:val="bottom"/>
            <w:hideMark/>
          </w:tcPr>
          <w:p w14:paraId="04AB8134" w14:textId="77777777" w:rsidR="00C363A3" w:rsidRPr="00B613F4" w:rsidRDefault="00C363A3" w:rsidP="00C363A3">
            <w:pPr>
              <w:rPr>
                <w:rFonts w:ascii="Arial" w:hAnsi="Arial" w:cs="Arial"/>
                <w:noProof/>
                <w:color w:val="BFBFBF" w:themeColor="background1" w:themeShade="BF"/>
                <w:sz w:val="16"/>
                <w:szCs w:val="16"/>
              </w:rPr>
            </w:pPr>
            <w:r w:rsidRPr="00B613F4">
              <w:rPr>
                <w:rFonts w:ascii="Arial" w:hAnsi="Arial" w:cs="Arial"/>
                <w:color w:val="000000"/>
                <w:sz w:val="16"/>
                <w:szCs w:val="16"/>
              </w:rPr>
              <w:t>3.94 (3.86, 4.01)</w:t>
            </w:r>
          </w:p>
        </w:tc>
        <w:tc>
          <w:tcPr>
            <w:tcW w:w="838" w:type="pct"/>
            <w:noWrap/>
            <w:vAlign w:val="bottom"/>
            <w:hideMark/>
          </w:tcPr>
          <w:p w14:paraId="42885E37" w14:textId="77777777" w:rsidR="00C363A3" w:rsidRPr="00B613F4" w:rsidRDefault="00C363A3" w:rsidP="00C363A3">
            <w:pPr>
              <w:rPr>
                <w:rFonts w:ascii="Arial" w:hAnsi="Arial" w:cs="Arial"/>
                <w:noProof/>
                <w:color w:val="BFBFBF" w:themeColor="background1" w:themeShade="BF"/>
                <w:sz w:val="16"/>
                <w:szCs w:val="16"/>
              </w:rPr>
            </w:pPr>
            <w:r w:rsidRPr="00B613F4">
              <w:rPr>
                <w:rFonts w:ascii="Arial" w:hAnsi="Arial" w:cs="Arial"/>
                <w:color w:val="000000"/>
                <w:sz w:val="16"/>
                <w:szCs w:val="16"/>
              </w:rPr>
              <w:t>1.14 (1.11, 1.17)</w:t>
            </w:r>
          </w:p>
        </w:tc>
      </w:tr>
      <w:tr w:rsidR="00E01EE6" w:rsidRPr="00B613F4" w14:paraId="44A55932" w14:textId="77777777" w:rsidTr="00C363A3">
        <w:trPr>
          <w:trHeight w:val="20"/>
        </w:trPr>
        <w:tc>
          <w:tcPr>
            <w:tcW w:w="1713" w:type="pct"/>
            <w:noWrap/>
          </w:tcPr>
          <w:p w14:paraId="1DEE6787" w14:textId="24F38CBA" w:rsidR="00E01EE6" w:rsidRPr="00B613F4" w:rsidRDefault="00E01EE6" w:rsidP="002C0697">
            <w:pPr>
              <w:rPr>
                <w:rFonts w:ascii="Arial" w:eastAsia="Times New Roman" w:hAnsi="Arial" w:cs="Arial"/>
                <w:sz w:val="16"/>
                <w:szCs w:val="16"/>
              </w:rPr>
            </w:pPr>
            <w:r w:rsidRPr="00B613F4">
              <w:rPr>
                <w:rFonts w:ascii="Arial" w:eastAsia="Times New Roman" w:hAnsi="Arial" w:cs="Arial"/>
                <w:sz w:val="16"/>
                <w:szCs w:val="16"/>
              </w:rPr>
              <w:t>Wave 4</w:t>
            </w:r>
            <w:r w:rsidR="002C0697">
              <w:rPr>
                <w:rFonts w:ascii="Arial" w:eastAsia="Times New Roman" w:hAnsi="Arial" w:cs="Arial"/>
                <w:sz w:val="16"/>
                <w:szCs w:val="16"/>
              </w:rPr>
              <w:t>&amp;</w:t>
            </w:r>
            <w:r w:rsidRPr="00B613F4">
              <w:rPr>
                <w:rFonts w:ascii="Arial" w:eastAsia="Times New Roman" w:hAnsi="Arial" w:cs="Arial"/>
                <w:sz w:val="16"/>
                <w:szCs w:val="16"/>
              </w:rPr>
              <w:t>5:Income (</w:t>
            </w:r>
            <w:r w:rsidR="00C363A3">
              <w:rPr>
                <w:rFonts w:ascii="Arial" w:eastAsia="Times New Roman" w:hAnsi="Arial" w:cs="Arial"/>
                <w:sz w:val="16"/>
                <w:szCs w:val="16"/>
              </w:rPr>
              <w:t>5</w:t>
            </w:r>
            <w:r w:rsidR="00C363A3" w:rsidRPr="00B613F4">
              <w:rPr>
                <w:rFonts w:ascii="Arial" w:eastAsia="Times New Roman" w:hAnsi="Arial" w:cs="Arial"/>
                <w:sz w:val="16"/>
                <w:szCs w:val="16"/>
              </w:rPr>
              <w:t>= Highest</w:t>
            </w:r>
            <w:r w:rsidRPr="00B613F4">
              <w:rPr>
                <w:rFonts w:ascii="Arial" w:eastAsia="Times New Roman" w:hAnsi="Arial" w:cs="Arial"/>
                <w:sz w:val="16"/>
                <w:szCs w:val="16"/>
              </w:rPr>
              <w:t>)</w:t>
            </w:r>
            <w:r w:rsidR="00B821E3" w:rsidRPr="00B821E3">
              <w:rPr>
                <w:rFonts w:ascii="Arial" w:eastAsia="Times New Roman" w:hAnsi="Arial" w:cs="Arial"/>
                <w:sz w:val="16"/>
                <w:szCs w:val="16"/>
                <w:vertAlign w:val="superscript"/>
              </w:rPr>
              <w:t>e</w:t>
            </w:r>
          </w:p>
        </w:tc>
        <w:tc>
          <w:tcPr>
            <w:tcW w:w="815" w:type="pct"/>
            <w:noWrap/>
            <w:vAlign w:val="bottom"/>
          </w:tcPr>
          <w:p w14:paraId="5E065C24" w14:textId="77777777" w:rsidR="00E01EE6" w:rsidRPr="00B613F4" w:rsidRDefault="00E01EE6" w:rsidP="00B821E3">
            <w:pPr>
              <w:rPr>
                <w:rFonts w:ascii="Arial" w:hAnsi="Arial" w:cs="Arial"/>
                <w:color w:val="BFBFBF" w:themeColor="background1" w:themeShade="BF"/>
                <w:sz w:val="16"/>
                <w:szCs w:val="16"/>
              </w:rPr>
            </w:pPr>
          </w:p>
        </w:tc>
        <w:tc>
          <w:tcPr>
            <w:tcW w:w="817" w:type="pct"/>
            <w:noWrap/>
            <w:vAlign w:val="bottom"/>
          </w:tcPr>
          <w:p w14:paraId="3509B076" w14:textId="77777777" w:rsidR="00E01EE6" w:rsidRPr="00B613F4" w:rsidRDefault="00E01EE6" w:rsidP="00B821E3">
            <w:pPr>
              <w:rPr>
                <w:rFonts w:ascii="Arial" w:hAnsi="Arial" w:cs="Arial"/>
                <w:color w:val="BFBFBF" w:themeColor="background1" w:themeShade="BF"/>
                <w:sz w:val="16"/>
                <w:szCs w:val="16"/>
              </w:rPr>
            </w:pPr>
          </w:p>
        </w:tc>
        <w:tc>
          <w:tcPr>
            <w:tcW w:w="817" w:type="pct"/>
            <w:noWrap/>
            <w:vAlign w:val="bottom"/>
          </w:tcPr>
          <w:p w14:paraId="4FC38179" w14:textId="77777777" w:rsidR="00E01EE6" w:rsidRPr="00B613F4" w:rsidRDefault="00E01EE6" w:rsidP="00B821E3">
            <w:pPr>
              <w:rPr>
                <w:rFonts w:ascii="Arial" w:hAnsi="Arial" w:cs="Arial"/>
                <w:color w:val="BFBFBF" w:themeColor="background1" w:themeShade="BF"/>
                <w:sz w:val="16"/>
                <w:szCs w:val="16"/>
              </w:rPr>
            </w:pPr>
            <w:r w:rsidRPr="00B613F4">
              <w:rPr>
                <w:rFonts w:ascii="Arial" w:hAnsi="Arial" w:cs="Arial"/>
                <w:color w:val="BFBFBF" w:themeColor="background1" w:themeShade="BF"/>
                <w:sz w:val="16"/>
                <w:szCs w:val="16"/>
              </w:rPr>
              <w:t> </w:t>
            </w:r>
          </w:p>
        </w:tc>
        <w:tc>
          <w:tcPr>
            <w:tcW w:w="838" w:type="pct"/>
            <w:noWrap/>
            <w:vAlign w:val="bottom"/>
          </w:tcPr>
          <w:p w14:paraId="1A4ADA4C" w14:textId="77777777" w:rsidR="00E01EE6" w:rsidRPr="00B613F4" w:rsidRDefault="00E01EE6" w:rsidP="00B821E3">
            <w:pPr>
              <w:rPr>
                <w:rFonts w:ascii="Arial" w:hAnsi="Arial" w:cs="Arial"/>
                <w:color w:val="BFBFBF" w:themeColor="background1" w:themeShade="BF"/>
                <w:sz w:val="16"/>
                <w:szCs w:val="16"/>
              </w:rPr>
            </w:pPr>
          </w:p>
        </w:tc>
      </w:tr>
      <w:tr w:rsidR="00C363A3" w:rsidRPr="00B613F4" w14:paraId="0A346CAE" w14:textId="77777777" w:rsidTr="00C363A3">
        <w:trPr>
          <w:trHeight w:val="20"/>
        </w:trPr>
        <w:tc>
          <w:tcPr>
            <w:tcW w:w="1713" w:type="pct"/>
            <w:noWrap/>
            <w:hideMark/>
          </w:tcPr>
          <w:p w14:paraId="165BA6DD" w14:textId="012D0259" w:rsidR="00C363A3" w:rsidRPr="00B613F4" w:rsidRDefault="00C363A3" w:rsidP="00C363A3">
            <w:pPr>
              <w:ind w:left="144"/>
              <w:rPr>
                <w:rFonts w:ascii="Arial" w:hAnsi="Arial" w:cs="Arial"/>
                <w:noProof/>
                <w:sz w:val="16"/>
                <w:szCs w:val="16"/>
              </w:rPr>
            </w:pPr>
            <w:r>
              <w:rPr>
                <w:rFonts w:ascii="Arial" w:eastAsia="Times New Roman" w:hAnsi="Arial" w:cs="Arial"/>
                <w:sz w:val="16"/>
                <w:szCs w:val="16"/>
              </w:rPr>
              <w:t>4</w:t>
            </w:r>
            <w:r w:rsidRPr="00B613F4">
              <w:rPr>
                <w:rFonts w:ascii="Arial" w:eastAsia="Times New Roman" w:hAnsi="Arial" w:cs="Arial"/>
                <w:sz w:val="16"/>
                <w:szCs w:val="16"/>
              </w:rPr>
              <w:t xml:space="preserve"> vs </w:t>
            </w:r>
            <w:r>
              <w:rPr>
                <w:rFonts w:ascii="Arial" w:eastAsia="Times New Roman" w:hAnsi="Arial" w:cs="Arial"/>
                <w:sz w:val="16"/>
                <w:szCs w:val="16"/>
              </w:rPr>
              <w:t>5</w:t>
            </w:r>
          </w:p>
        </w:tc>
        <w:tc>
          <w:tcPr>
            <w:tcW w:w="815" w:type="pct"/>
            <w:noWrap/>
            <w:vAlign w:val="bottom"/>
            <w:hideMark/>
          </w:tcPr>
          <w:p w14:paraId="551D1BA4" w14:textId="77777777" w:rsidR="00C363A3" w:rsidRPr="00B613F4" w:rsidRDefault="00C363A3" w:rsidP="00C363A3">
            <w:pPr>
              <w:rPr>
                <w:rFonts w:ascii="Arial" w:hAnsi="Arial" w:cs="Arial"/>
                <w:noProof/>
                <w:color w:val="BFBFBF" w:themeColor="background1" w:themeShade="BF"/>
                <w:sz w:val="16"/>
                <w:szCs w:val="16"/>
              </w:rPr>
            </w:pPr>
            <w:r w:rsidRPr="00B613F4">
              <w:rPr>
                <w:rFonts w:ascii="Arial" w:hAnsi="Arial" w:cs="Arial"/>
                <w:color w:val="000000"/>
                <w:sz w:val="16"/>
                <w:szCs w:val="16"/>
              </w:rPr>
              <w:t>1.24 (0.99, 1.56)</w:t>
            </w:r>
          </w:p>
        </w:tc>
        <w:tc>
          <w:tcPr>
            <w:tcW w:w="817" w:type="pct"/>
            <w:noWrap/>
            <w:vAlign w:val="bottom"/>
            <w:hideMark/>
          </w:tcPr>
          <w:p w14:paraId="58BA34A0" w14:textId="77777777" w:rsidR="00C363A3" w:rsidRPr="00B613F4" w:rsidRDefault="00C363A3" w:rsidP="00C363A3">
            <w:pPr>
              <w:rPr>
                <w:rFonts w:ascii="Arial" w:hAnsi="Arial" w:cs="Arial"/>
                <w:noProof/>
                <w:color w:val="BFBFBF" w:themeColor="background1" w:themeShade="BF"/>
                <w:sz w:val="16"/>
                <w:szCs w:val="16"/>
              </w:rPr>
            </w:pPr>
            <w:r w:rsidRPr="00B613F4">
              <w:rPr>
                <w:rFonts w:ascii="Arial" w:hAnsi="Arial" w:cs="Arial"/>
                <w:color w:val="000000"/>
                <w:sz w:val="16"/>
                <w:szCs w:val="16"/>
              </w:rPr>
              <w:t>1.17 (0.92, 1.48)</w:t>
            </w:r>
          </w:p>
        </w:tc>
        <w:tc>
          <w:tcPr>
            <w:tcW w:w="817" w:type="pct"/>
            <w:noWrap/>
            <w:vAlign w:val="bottom"/>
            <w:hideMark/>
          </w:tcPr>
          <w:p w14:paraId="7A81B3FD" w14:textId="77777777" w:rsidR="00C363A3" w:rsidRPr="00B613F4" w:rsidRDefault="00C363A3" w:rsidP="00C363A3">
            <w:pPr>
              <w:rPr>
                <w:rFonts w:ascii="Arial" w:hAnsi="Arial" w:cs="Arial"/>
                <w:noProof/>
                <w:color w:val="BFBFBF" w:themeColor="background1" w:themeShade="BF"/>
                <w:sz w:val="16"/>
                <w:szCs w:val="16"/>
              </w:rPr>
            </w:pPr>
            <w:r w:rsidRPr="00B613F4">
              <w:rPr>
                <w:rFonts w:ascii="Arial" w:hAnsi="Arial" w:cs="Arial"/>
                <w:color w:val="000000"/>
                <w:sz w:val="16"/>
                <w:szCs w:val="16"/>
              </w:rPr>
              <w:t>1.20 (1.18, 1.22)</w:t>
            </w:r>
          </w:p>
        </w:tc>
        <w:tc>
          <w:tcPr>
            <w:tcW w:w="838" w:type="pct"/>
            <w:noWrap/>
            <w:vAlign w:val="bottom"/>
            <w:hideMark/>
          </w:tcPr>
          <w:p w14:paraId="5CE2F741" w14:textId="77777777" w:rsidR="00C363A3" w:rsidRPr="00B613F4" w:rsidRDefault="00C363A3" w:rsidP="00C363A3">
            <w:pPr>
              <w:rPr>
                <w:rFonts w:ascii="Arial" w:hAnsi="Arial" w:cs="Arial"/>
                <w:noProof/>
                <w:color w:val="BFBFBF" w:themeColor="background1" w:themeShade="BF"/>
                <w:sz w:val="16"/>
                <w:szCs w:val="16"/>
              </w:rPr>
            </w:pPr>
            <w:r w:rsidRPr="00B613F4">
              <w:rPr>
                <w:rFonts w:ascii="Arial" w:hAnsi="Arial" w:cs="Arial"/>
                <w:color w:val="000000"/>
                <w:sz w:val="16"/>
                <w:szCs w:val="16"/>
              </w:rPr>
              <w:t>0.98 (0.97, 1.00)</w:t>
            </w:r>
          </w:p>
        </w:tc>
      </w:tr>
      <w:tr w:rsidR="00C363A3" w:rsidRPr="00B613F4" w14:paraId="3A900BA2" w14:textId="77777777" w:rsidTr="00C363A3">
        <w:trPr>
          <w:trHeight w:val="20"/>
        </w:trPr>
        <w:tc>
          <w:tcPr>
            <w:tcW w:w="1713" w:type="pct"/>
            <w:noWrap/>
            <w:hideMark/>
          </w:tcPr>
          <w:p w14:paraId="183A108D" w14:textId="74B0DA6A" w:rsidR="00C363A3" w:rsidRPr="00B613F4" w:rsidRDefault="00C363A3" w:rsidP="00C363A3">
            <w:pPr>
              <w:ind w:left="144"/>
              <w:rPr>
                <w:rFonts w:ascii="Arial" w:hAnsi="Arial" w:cs="Arial"/>
                <w:noProof/>
                <w:sz w:val="16"/>
                <w:szCs w:val="16"/>
              </w:rPr>
            </w:pPr>
            <w:r w:rsidRPr="00B613F4">
              <w:rPr>
                <w:rFonts w:ascii="Arial" w:eastAsia="Times New Roman" w:hAnsi="Arial" w:cs="Arial"/>
                <w:sz w:val="16"/>
                <w:szCs w:val="16"/>
              </w:rPr>
              <w:t xml:space="preserve">3 vs </w:t>
            </w:r>
            <w:r>
              <w:rPr>
                <w:rFonts w:ascii="Arial" w:eastAsia="Times New Roman" w:hAnsi="Arial" w:cs="Arial"/>
                <w:sz w:val="16"/>
                <w:szCs w:val="16"/>
              </w:rPr>
              <w:t>5</w:t>
            </w:r>
          </w:p>
        </w:tc>
        <w:tc>
          <w:tcPr>
            <w:tcW w:w="815" w:type="pct"/>
            <w:noWrap/>
            <w:vAlign w:val="bottom"/>
            <w:hideMark/>
          </w:tcPr>
          <w:p w14:paraId="0699B3B0" w14:textId="77777777" w:rsidR="00C363A3" w:rsidRPr="00B613F4" w:rsidRDefault="00C363A3" w:rsidP="00C363A3">
            <w:pPr>
              <w:rPr>
                <w:rFonts w:ascii="Arial" w:hAnsi="Arial" w:cs="Arial"/>
                <w:noProof/>
                <w:color w:val="BFBFBF" w:themeColor="background1" w:themeShade="BF"/>
                <w:sz w:val="16"/>
                <w:szCs w:val="16"/>
              </w:rPr>
            </w:pPr>
            <w:r w:rsidRPr="00B613F4">
              <w:rPr>
                <w:rFonts w:ascii="Arial" w:hAnsi="Arial" w:cs="Arial"/>
                <w:color w:val="000000"/>
                <w:sz w:val="16"/>
                <w:szCs w:val="16"/>
              </w:rPr>
              <w:t>1.49 (1.20, 1.85)</w:t>
            </w:r>
          </w:p>
        </w:tc>
        <w:tc>
          <w:tcPr>
            <w:tcW w:w="817" w:type="pct"/>
            <w:noWrap/>
            <w:vAlign w:val="bottom"/>
            <w:hideMark/>
          </w:tcPr>
          <w:p w14:paraId="518F1ED5" w14:textId="77777777" w:rsidR="00C363A3" w:rsidRPr="00B613F4" w:rsidRDefault="00C363A3" w:rsidP="00C363A3">
            <w:pPr>
              <w:rPr>
                <w:rFonts w:ascii="Arial" w:hAnsi="Arial" w:cs="Arial"/>
                <w:noProof/>
                <w:color w:val="BFBFBF" w:themeColor="background1" w:themeShade="BF"/>
                <w:sz w:val="16"/>
                <w:szCs w:val="16"/>
              </w:rPr>
            </w:pPr>
            <w:r w:rsidRPr="00B613F4">
              <w:rPr>
                <w:rFonts w:ascii="Arial" w:hAnsi="Arial" w:cs="Arial"/>
                <w:color w:val="000000"/>
                <w:sz w:val="16"/>
                <w:szCs w:val="16"/>
              </w:rPr>
              <w:t>1.31 (1.02, 1.68)</w:t>
            </w:r>
          </w:p>
        </w:tc>
        <w:tc>
          <w:tcPr>
            <w:tcW w:w="817" w:type="pct"/>
            <w:noWrap/>
            <w:vAlign w:val="bottom"/>
            <w:hideMark/>
          </w:tcPr>
          <w:p w14:paraId="7A9EBE8C" w14:textId="77777777" w:rsidR="00C363A3" w:rsidRPr="00B613F4" w:rsidRDefault="00C363A3" w:rsidP="00C363A3">
            <w:pPr>
              <w:rPr>
                <w:rFonts w:ascii="Arial" w:hAnsi="Arial" w:cs="Arial"/>
                <w:noProof/>
                <w:color w:val="BFBFBF" w:themeColor="background1" w:themeShade="BF"/>
                <w:sz w:val="16"/>
                <w:szCs w:val="16"/>
              </w:rPr>
            </w:pPr>
            <w:r w:rsidRPr="00B613F4">
              <w:rPr>
                <w:rFonts w:ascii="Arial" w:hAnsi="Arial" w:cs="Arial"/>
                <w:color w:val="000000"/>
                <w:sz w:val="16"/>
                <w:szCs w:val="16"/>
              </w:rPr>
              <w:t>1.41 (1.38, 1.43)</w:t>
            </w:r>
          </w:p>
        </w:tc>
        <w:tc>
          <w:tcPr>
            <w:tcW w:w="838" w:type="pct"/>
            <w:noWrap/>
            <w:vAlign w:val="bottom"/>
            <w:hideMark/>
          </w:tcPr>
          <w:p w14:paraId="3700F3A6" w14:textId="77777777" w:rsidR="00C363A3" w:rsidRPr="00B613F4" w:rsidRDefault="00C363A3" w:rsidP="00C363A3">
            <w:pPr>
              <w:rPr>
                <w:rFonts w:ascii="Arial" w:hAnsi="Arial" w:cs="Arial"/>
                <w:noProof/>
                <w:color w:val="BFBFBF" w:themeColor="background1" w:themeShade="BF"/>
                <w:sz w:val="16"/>
                <w:szCs w:val="16"/>
              </w:rPr>
            </w:pPr>
            <w:r w:rsidRPr="00B613F4">
              <w:rPr>
                <w:rFonts w:ascii="Arial" w:hAnsi="Arial" w:cs="Arial"/>
                <w:color w:val="000000"/>
                <w:sz w:val="16"/>
                <w:szCs w:val="16"/>
              </w:rPr>
              <w:t>0.94 (0.93, 0.96)</w:t>
            </w:r>
          </w:p>
        </w:tc>
      </w:tr>
      <w:tr w:rsidR="00C363A3" w:rsidRPr="00B613F4" w14:paraId="48662A5A" w14:textId="77777777" w:rsidTr="00C363A3">
        <w:trPr>
          <w:trHeight w:val="20"/>
        </w:trPr>
        <w:tc>
          <w:tcPr>
            <w:tcW w:w="1713" w:type="pct"/>
            <w:noWrap/>
            <w:hideMark/>
          </w:tcPr>
          <w:p w14:paraId="431B2802" w14:textId="3FB80979" w:rsidR="00C363A3" w:rsidRPr="00B613F4" w:rsidRDefault="00C363A3" w:rsidP="00C363A3">
            <w:pPr>
              <w:ind w:left="144"/>
              <w:rPr>
                <w:rFonts w:ascii="Arial" w:hAnsi="Arial" w:cs="Arial"/>
                <w:noProof/>
                <w:sz w:val="16"/>
                <w:szCs w:val="16"/>
              </w:rPr>
            </w:pPr>
            <w:r>
              <w:rPr>
                <w:rFonts w:ascii="Arial" w:eastAsia="Times New Roman" w:hAnsi="Arial" w:cs="Arial"/>
                <w:sz w:val="16"/>
                <w:szCs w:val="16"/>
              </w:rPr>
              <w:t>2</w:t>
            </w:r>
            <w:r w:rsidRPr="00B613F4">
              <w:rPr>
                <w:rFonts w:ascii="Arial" w:eastAsia="Times New Roman" w:hAnsi="Arial" w:cs="Arial"/>
                <w:sz w:val="16"/>
                <w:szCs w:val="16"/>
              </w:rPr>
              <w:t xml:space="preserve"> vs </w:t>
            </w:r>
            <w:r>
              <w:rPr>
                <w:rFonts w:ascii="Arial" w:eastAsia="Times New Roman" w:hAnsi="Arial" w:cs="Arial"/>
                <w:sz w:val="16"/>
                <w:szCs w:val="16"/>
              </w:rPr>
              <w:t>5</w:t>
            </w:r>
          </w:p>
        </w:tc>
        <w:tc>
          <w:tcPr>
            <w:tcW w:w="815" w:type="pct"/>
            <w:noWrap/>
            <w:vAlign w:val="bottom"/>
            <w:hideMark/>
          </w:tcPr>
          <w:p w14:paraId="03DAAC9F" w14:textId="77777777" w:rsidR="00C363A3" w:rsidRPr="00B613F4" w:rsidRDefault="00C363A3" w:rsidP="00C363A3">
            <w:pPr>
              <w:rPr>
                <w:rFonts w:ascii="Arial" w:hAnsi="Arial" w:cs="Arial"/>
                <w:noProof/>
                <w:color w:val="BFBFBF" w:themeColor="background1" w:themeShade="BF"/>
                <w:sz w:val="16"/>
                <w:szCs w:val="16"/>
              </w:rPr>
            </w:pPr>
            <w:r w:rsidRPr="00B613F4">
              <w:rPr>
                <w:rFonts w:ascii="Arial" w:hAnsi="Arial" w:cs="Arial"/>
                <w:color w:val="000000"/>
                <w:sz w:val="16"/>
                <w:szCs w:val="16"/>
              </w:rPr>
              <w:t>1.99 (1.62, 2.45)</w:t>
            </w:r>
          </w:p>
        </w:tc>
        <w:tc>
          <w:tcPr>
            <w:tcW w:w="817" w:type="pct"/>
            <w:noWrap/>
            <w:vAlign w:val="bottom"/>
            <w:hideMark/>
          </w:tcPr>
          <w:p w14:paraId="771D05B5" w14:textId="77777777" w:rsidR="00C363A3" w:rsidRPr="00B613F4" w:rsidRDefault="00C363A3" w:rsidP="00C363A3">
            <w:pPr>
              <w:rPr>
                <w:rFonts w:ascii="Arial" w:hAnsi="Arial" w:cs="Arial"/>
                <w:noProof/>
                <w:color w:val="BFBFBF" w:themeColor="background1" w:themeShade="BF"/>
                <w:sz w:val="16"/>
                <w:szCs w:val="16"/>
              </w:rPr>
            </w:pPr>
            <w:r w:rsidRPr="00B613F4">
              <w:rPr>
                <w:rFonts w:ascii="Arial" w:hAnsi="Arial" w:cs="Arial"/>
                <w:color w:val="000000"/>
                <w:sz w:val="16"/>
                <w:szCs w:val="16"/>
              </w:rPr>
              <w:t>1.53 (1.17, 2.01)</w:t>
            </w:r>
          </w:p>
        </w:tc>
        <w:tc>
          <w:tcPr>
            <w:tcW w:w="817" w:type="pct"/>
            <w:noWrap/>
            <w:vAlign w:val="bottom"/>
            <w:hideMark/>
          </w:tcPr>
          <w:p w14:paraId="2F70E891" w14:textId="77777777" w:rsidR="00C363A3" w:rsidRPr="00B613F4" w:rsidRDefault="00C363A3" w:rsidP="00C363A3">
            <w:pPr>
              <w:rPr>
                <w:rFonts w:ascii="Arial" w:hAnsi="Arial" w:cs="Arial"/>
                <w:noProof/>
                <w:color w:val="BFBFBF" w:themeColor="background1" w:themeShade="BF"/>
                <w:sz w:val="16"/>
                <w:szCs w:val="16"/>
              </w:rPr>
            </w:pPr>
            <w:r w:rsidRPr="00B613F4">
              <w:rPr>
                <w:rFonts w:ascii="Arial" w:hAnsi="Arial" w:cs="Arial"/>
                <w:color w:val="000000"/>
                <w:sz w:val="16"/>
                <w:szCs w:val="16"/>
              </w:rPr>
              <w:t>1.58 (1.56, 1.60)</w:t>
            </w:r>
          </w:p>
        </w:tc>
        <w:tc>
          <w:tcPr>
            <w:tcW w:w="838" w:type="pct"/>
            <w:noWrap/>
            <w:vAlign w:val="bottom"/>
            <w:hideMark/>
          </w:tcPr>
          <w:p w14:paraId="1996C73D" w14:textId="77777777" w:rsidR="00C363A3" w:rsidRPr="00B613F4" w:rsidRDefault="00C363A3" w:rsidP="00C363A3">
            <w:pPr>
              <w:rPr>
                <w:rFonts w:ascii="Arial" w:hAnsi="Arial" w:cs="Arial"/>
                <w:noProof/>
                <w:color w:val="BFBFBF" w:themeColor="background1" w:themeShade="BF"/>
                <w:sz w:val="16"/>
                <w:szCs w:val="16"/>
              </w:rPr>
            </w:pPr>
            <w:r w:rsidRPr="00B613F4">
              <w:rPr>
                <w:rFonts w:ascii="Arial" w:hAnsi="Arial" w:cs="Arial"/>
                <w:color w:val="000000"/>
                <w:sz w:val="16"/>
                <w:szCs w:val="16"/>
              </w:rPr>
              <w:t>0.89 (0.87, 0.91)</w:t>
            </w:r>
          </w:p>
        </w:tc>
      </w:tr>
      <w:tr w:rsidR="00C363A3" w:rsidRPr="00B613F4" w14:paraId="103F941E" w14:textId="77777777" w:rsidTr="00C363A3">
        <w:trPr>
          <w:trHeight w:val="20"/>
        </w:trPr>
        <w:tc>
          <w:tcPr>
            <w:tcW w:w="1713" w:type="pct"/>
            <w:noWrap/>
            <w:hideMark/>
          </w:tcPr>
          <w:p w14:paraId="1273AB92" w14:textId="12502F44" w:rsidR="00C363A3" w:rsidRPr="00B613F4" w:rsidRDefault="00C363A3" w:rsidP="00C363A3">
            <w:pPr>
              <w:ind w:left="144"/>
              <w:rPr>
                <w:rFonts w:ascii="Arial" w:hAnsi="Arial" w:cs="Arial"/>
                <w:noProof/>
                <w:sz w:val="16"/>
                <w:szCs w:val="16"/>
              </w:rPr>
            </w:pPr>
            <w:r>
              <w:rPr>
                <w:rFonts w:ascii="Arial" w:eastAsia="Times New Roman" w:hAnsi="Arial" w:cs="Arial"/>
                <w:sz w:val="16"/>
                <w:szCs w:val="16"/>
              </w:rPr>
              <w:t>1</w:t>
            </w:r>
            <w:r w:rsidRPr="00B613F4">
              <w:rPr>
                <w:rFonts w:ascii="Arial" w:eastAsia="Times New Roman" w:hAnsi="Arial" w:cs="Arial"/>
                <w:sz w:val="16"/>
                <w:szCs w:val="16"/>
              </w:rPr>
              <w:t xml:space="preserve"> vs </w:t>
            </w:r>
            <w:r>
              <w:rPr>
                <w:rFonts w:ascii="Arial" w:eastAsia="Times New Roman" w:hAnsi="Arial" w:cs="Arial"/>
                <w:sz w:val="16"/>
                <w:szCs w:val="16"/>
              </w:rPr>
              <w:t>5</w:t>
            </w:r>
          </w:p>
        </w:tc>
        <w:tc>
          <w:tcPr>
            <w:tcW w:w="815" w:type="pct"/>
            <w:noWrap/>
            <w:vAlign w:val="bottom"/>
            <w:hideMark/>
          </w:tcPr>
          <w:p w14:paraId="7A89B097" w14:textId="77777777" w:rsidR="00C363A3" w:rsidRPr="00B613F4" w:rsidRDefault="00C363A3" w:rsidP="00C363A3">
            <w:pPr>
              <w:rPr>
                <w:rFonts w:ascii="Arial" w:hAnsi="Arial" w:cs="Arial"/>
                <w:noProof/>
                <w:color w:val="BFBFBF" w:themeColor="background1" w:themeShade="BF"/>
                <w:sz w:val="16"/>
                <w:szCs w:val="16"/>
              </w:rPr>
            </w:pPr>
            <w:r w:rsidRPr="00B613F4">
              <w:rPr>
                <w:rFonts w:ascii="Arial" w:hAnsi="Arial" w:cs="Arial"/>
                <w:color w:val="000000"/>
                <w:sz w:val="16"/>
                <w:szCs w:val="16"/>
              </w:rPr>
              <w:t>2.20 (1.79, 2.70)</w:t>
            </w:r>
          </w:p>
        </w:tc>
        <w:tc>
          <w:tcPr>
            <w:tcW w:w="817" w:type="pct"/>
            <w:noWrap/>
            <w:vAlign w:val="bottom"/>
            <w:hideMark/>
          </w:tcPr>
          <w:p w14:paraId="0F4885AC" w14:textId="77777777" w:rsidR="00C363A3" w:rsidRPr="00B613F4" w:rsidRDefault="00C363A3" w:rsidP="00C363A3">
            <w:pPr>
              <w:rPr>
                <w:rFonts w:ascii="Arial" w:hAnsi="Arial" w:cs="Arial"/>
                <w:noProof/>
                <w:color w:val="BFBFBF" w:themeColor="background1" w:themeShade="BF"/>
                <w:sz w:val="16"/>
                <w:szCs w:val="16"/>
              </w:rPr>
            </w:pPr>
            <w:r w:rsidRPr="00B613F4">
              <w:rPr>
                <w:rFonts w:ascii="Arial" w:hAnsi="Arial" w:cs="Arial"/>
                <w:color w:val="000000"/>
                <w:sz w:val="16"/>
                <w:szCs w:val="16"/>
              </w:rPr>
              <w:t>1.57 (1.15, 2.15)</w:t>
            </w:r>
          </w:p>
        </w:tc>
        <w:tc>
          <w:tcPr>
            <w:tcW w:w="817" w:type="pct"/>
            <w:noWrap/>
            <w:vAlign w:val="bottom"/>
            <w:hideMark/>
          </w:tcPr>
          <w:p w14:paraId="6C3CD1DA" w14:textId="77777777" w:rsidR="00C363A3" w:rsidRPr="00B613F4" w:rsidRDefault="00C363A3" w:rsidP="00C363A3">
            <w:pPr>
              <w:rPr>
                <w:rFonts w:ascii="Arial" w:hAnsi="Arial" w:cs="Arial"/>
                <w:noProof/>
                <w:color w:val="BFBFBF" w:themeColor="background1" w:themeShade="BF"/>
                <w:sz w:val="16"/>
                <w:szCs w:val="16"/>
              </w:rPr>
            </w:pPr>
            <w:r w:rsidRPr="00B613F4">
              <w:rPr>
                <w:rFonts w:ascii="Arial" w:hAnsi="Arial" w:cs="Arial"/>
                <w:color w:val="000000"/>
                <w:sz w:val="16"/>
                <w:szCs w:val="16"/>
              </w:rPr>
              <w:t>1.47 (1.45, 1.49)</w:t>
            </w:r>
          </w:p>
        </w:tc>
        <w:tc>
          <w:tcPr>
            <w:tcW w:w="838" w:type="pct"/>
            <w:noWrap/>
            <w:vAlign w:val="bottom"/>
            <w:hideMark/>
          </w:tcPr>
          <w:p w14:paraId="744B8523" w14:textId="77777777" w:rsidR="00C363A3" w:rsidRPr="00B613F4" w:rsidRDefault="00C363A3" w:rsidP="00C363A3">
            <w:pPr>
              <w:rPr>
                <w:rFonts w:ascii="Arial" w:hAnsi="Arial" w:cs="Arial"/>
                <w:noProof/>
                <w:color w:val="BFBFBF" w:themeColor="background1" w:themeShade="BF"/>
                <w:sz w:val="16"/>
                <w:szCs w:val="16"/>
              </w:rPr>
            </w:pPr>
            <w:r w:rsidRPr="00B613F4">
              <w:rPr>
                <w:rFonts w:ascii="Arial" w:hAnsi="Arial" w:cs="Arial"/>
                <w:color w:val="000000"/>
                <w:sz w:val="16"/>
                <w:szCs w:val="16"/>
              </w:rPr>
              <w:t>0.86 (0.84, 0.88)</w:t>
            </w:r>
          </w:p>
        </w:tc>
      </w:tr>
      <w:tr w:rsidR="00E01EE6" w:rsidRPr="00B613F4" w14:paraId="2B96F228" w14:textId="77777777" w:rsidTr="00C363A3">
        <w:trPr>
          <w:trHeight w:val="20"/>
        </w:trPr>
        <w:tc>
          <w:tcPr>
            <w:tcW w:w="1713" w:type="pct"/>
            <w:noWrap/>
          </w:tcPr>
          <w:p w14:paraId="7221F4DF" w14:textId="798180EE" w:rsidR="00E01EE6" w:rsidRPr="00B613F4" w:rsidRDefault="00E01EE6" w:rsidP="00B821E3">
            <w:pPr>
              <w:rPr>
                <w:rFonts w:ascii="Arial" w:eastAsia="Times New Roman" w:hAnsi="Arial" w:cs="Arial"/>
                <w:sz w:val="16"/>
                <w:szCs w:val="16"/>
              </w:rPr>
            </w:pPr>
            <w:r w:rsidRPr="00B613F4">
              <w:rPr>
                <w:rFonts w:ascii="Arial" w:eastAsia="Times New Roman" w:hAnsi="Arial" w:cs="Arial"/>
                <w:sz w:val="16"/>
                <w:szCs w:val="16"/>
              </w:rPr>
              <w:t>Trend test</w:t>
            </w:r>
            <w:r w:rsidR="00B821E3" w:rsidRPr="00B821E3">
              <w:rPr>
                <w:rFonts w:ascii="Arial" w:eastAsia="Times New Roman" w:hAnsi="Arial" w:cs="Arial"/>
                <w:sz w:val="16"/>
                <w:szCs w:val="16"/>
                <w:vertAlign w:val="superscript"/>
              </w:rPr>
              <w:t>f</w:t>
            </w:r>
            <w:r w:rsidRPr="00B613F4">
              <w:rPr>
                <w:rFonts w:ascii="Arial" w:eastAsia="Times New Roman" w:hAnsi="Arial" w:cs="Arial"/>
                <w:sz w:val="16"/>
                <w:szCs w:val="16"/>
              </w:rPr>
              <w:t>(p-values)</w:t>
            </w:r>
          </w:p>
        </w:tc>
        <w:tc>
          <w:tcPr>
            <w:tcW w:w="815" w:type="pct"/>
            <w:noWrap/>
            <w:vAlign w:val="bottom"/>
          </w:tcPr>
          <w:p w14:paraId="1BBC1523" w14:textId="77777777" w:rsidR="00E01EE6" w:rsidRPr="00B613F4" w:rsidRDefault="00E01EE6" w:rsidP="00B821E3">
            <w:pPr>
              <w:rPr>
                <w:rFonts w:ascii="Arial" w:hAnsi="Arial" w:cs="Arial"/>
                <w:color w:val="000000"/>
                <w:sz w:val="16"/>
                <w:szCs w:val="16"/>
              </w:rPr>
            </w:pPr>
          </w:p>
        </w:tc>
        <w:tc>
          <w:tcPr>
            <w:tcW w:w="817" w:type="pct"/>
            <w:noWrap/>
            <w:vAlign w:val="bottom"/>
          </w:tcPr>
          <w:p w14:paraId="19839897" w14:textId="77777777" w:rsidR="00E01EE6" w:rsidRPr="00B613F4" w:rsidRDefault="00E01EE6" w:rsidP="00B821E3">
            <w:pPr>
              <w:rPr>
                <w:rFonts w:ascii="Arial" w:hAnsi="Arial" w:cs="Arial"/>
                <w:color w:val="000000"/>
                <w:sz w:val="16"/>
                <w:szCs w:val="16"/>
              </w:rPr>
            </w:pPr>
          </w:p>
        </w:tc>
        <w:tc>
          <w:tcPr>
            <w:tcW w:w="817" w:type="pct"/>
            <w:noWrap/>
            <w:vAlign w:val="bottom"/>
          </w:tcPr>
          <w:p w14:paraId="68818729" w14:textId="77777777" w:rsidR="00E01EE6" w:rsidRPr="00B613F4" w:rsidRDefault="00E01EE6" w:rsidP="00B821E3">
            <w:pPr>
              <w:rPr>
                <w:rFonts w:ascii="Arial" w:hAnsi="Arial" w:cs="Arial"/>
                <w:color w:val="000000"/>
                <w:sz w:val="16"/>
                <w:szCs w:val="16"/>
              </w:rPr>
            </w:pPr>
          </w:p>
        </w:tc>
        <w:tc>
          <w:tcPr>
            <w:tcW w:w="838" w:type="pct"/>
            <w:noWrap/>
            <w:vAlign w:val="bottom"/>
          </w:tcPr>
          <w:p w14:paraId="4C2B1379" w14:textId="77777777" w:rsidR="00E01EE6" w:rsidRPr="00B613F4" w:rsidRDefault="00E01EE6" w:rsidP="00B821E3">
            <w:pPr>
              <w:rPr>
                <w:rFonts w:ascii="Arial" w:hAnsi="Arial" w:cs="Arial"/>
                <w:color w:val="000000"/>
                <w:sz w:val="16"/>
                <w:szCs w:val="16"/>
              </w:rPr>
            </w:pPr>
          </w:p>
        </w:tc>
      </w:tr>
      <w:tr w:rsidR="00C363A3" w:rsidRPr="00B613F4" w14:paraId="67B537B8" w14:textId="77777777" w:rsidTr="00C363A3">
        <w:trPr>
          <w:trHeight w:val="20"/>
        </w:trPr>
        <w:tc>
          <w:tcPr>
            <w:tcW w:w="1713" w:type="pct"/>
            <w:noWrap/>
          </w:tcPr>
          <w:p w14:paraId="58D4C345" w14:textId="2932020C" w:rsidR="00C363A3" w:rsidRPr="00B613F4" w:rsidRDefault="00C363A3" w:rsidP="00C363A3">
            <w:pPr>
              <w:ind w:left="144"/>
              <w:rPr>
                <w:rFonts w:ascii="Arial" w:eastAsia="Times New Roman" w:hAnsi="Arial" w:cs="Arial"/>
                <w:sz w:val="16"/>
                <w:szCs w:val="16"/>
              </w:rPr>
            </w:pPr>
            <w:r>
              <w:rPr>
                <w:rFonts w:ascii="Arial" w:eastAsia="Times New Roman" w:hAnsi="Arial" w:cs="Arial"/>
                <w:sz w:val="16"/>
                <w:szCs w:val="16"/>
              </w:rPr>
              <w:t>4</w:t>
            </w:r>
            <w:r w:rsidRPr="00B613F4">
              <w:rPr>
                <w:rFonts w:ascii="Arial" w:eastAsia="Times New Roman" w:hAnsi="Arial" w:cs="Arial"/>
                <w:sz w:val="16"/>
                <w:szCs w:val="16"/>
              </w:rPr>
              <w:t xml:space="preserve"> vs </w:t>
            </w:r>
            <w:r>
              <w:rPr>
                <w:rFonts w:ascii="Arial" w:eastAsia="Times New Roman" w:hAnsi="Arial" w:cs="Arial"/>
                <w:sz w:val="16"/>
                <w:szCs w:val="16"/>
              </w:rPr>
              <w:t>5</w:t>
            </w:r>
          </w:p>
        </w:tc>
        <w:tc>
          <w:tcPr>
            <w:tcW w:w="815" w:type="pct"/>
            <w:noWrap/>
            <w:vAlign w:val="bottom"/>
          </w:tcPr>
          <w:p w14:paraId="755406A1" w14:textId="77777777" w:rsidR="00C363A3" w:rsidRPr="00B613F4" w:rsidRDefault="00C363A3" w:rsidP="00C363A3">
            <w:pPr>
              <w:rPr>
                <w:rFonts w:ascii="Arial" w:hAnsi="Arial" w:cs="Arial"/>
                <w:color w:val="000000"/>
                <w:sz w:val="16"/>
                <w:szCs w:val="16"/>
              </w:rPr>
            </w:pPr>
            <w:r w:rsidRPr="00B613F4">
              <w:rPr>
                <w:rFonts w:ascii="Arial" w:hAnsi="Arial" w:cs="Arial"/>
                <w:color w:val="000000"/>
                <w:sz w:val="16"/>
                <w:szCs w:val="16"/>
              </w:rPr>
              <w:t>NA</w:t>
            </w:r>
          </w:p>
        </w:tc>
        <w:tc>
          <w:tcPr>
            <w:tcW w:w="817" w:type="pct"/>
            <w:noWrap/>
          </w:tcPr>
          <w:p w14:paraId="338F4327" w14:textId="77777777" w:rsidR="00C363A3" w:rsidRPr="00B613F4" w:rsidRDefault="00C363A3" w:rsidP="00C363A3">
            <w:pPr>
              <w:rPr>
                <w:rFonts w:ascii="Arial" w:hAnsi="Arial" w:cs="Arial"/>
                <w:color w:val="000000"/>
                <w:sz w:val="16"/>
                <w:szCs w:val="16"/>
              </w:rPr>
            </w:pPr>
            <w:r w:rsidRPr="00B613F4">
              <w:rPr>
                <w:rFonts w:ascii="Arial" w:hAnsi="Arial" w:cs="Arial"/>
                <w:color w:val="000000"/>
                <w:sz w:val="16"/>
                <w:szCs w:val="16"/>
              </w:rPr>
              <w:t>0.089</w:t>
            </w:r>
          </w:p>
        </w:tc>
        <w:tc>
          <w:tcPr>
            <w:tcW w:w="817" w:type="pct"/>
            <w:noWrap/>
            <w:vAlign w:val="bottom"/>
          </w:tcPr>
          <w:p w14:paraId="1A1001F7" w14:textId="77777777" w:rsidR="00C363A3" w:rsidRPr="00B613F4" w:rsidRDefault="00C363A3" w:rsidP="00C363A3">
            <w:pPr>
              <w:rPr>
                <w:rFonts w:ascii="Arial" w:hAnsi="Arial" w:cs="Arial"/>
                <w:color w:val="000000"/>
                <w:sz w:val="16"/>
                <w:szCs w:val="16"/>
              </w:rPr>
            </w:pPr>
            <w:r w:rsidRPr="00B613F4">
              <w:rPr>
                <w:rFonts w:ascii="Arial" w:hAnsi="Arial" w:cs="Arial"/>
                <w:color w:val="000000"/>
                <w:sz w:val="16"/>
                <w:szCs w:val="16"/>
              </w:rPr>
              <w:t>NA</w:t>
            </w:r>
          </w:p>
        </w:tc>
        <w:tc>
          <w:tcPr>
            <w:tcW w:w="838" w:type="pct"/>
            <w:noWrap/>
            <w:vAlign w:val="bottom"/>
          </w:tcPr>
          <w:p w14:paraId="73282F8D" w14:textId="77777777" w:rsidR="00C363A3" w:rsidRPr="00B613F4" w:rsidRDefault="00C363A3" w:rsidP="00C363A3">
            <w:pPr>
              <w:rPr>
                <w:rFonts w:ascii="Arial" w:hAnsi="Arial" w:cs="Arial"/>
                <w:color w:val="000000"/>
                <w:sz w:val="16"/>
                <w:szCs w:val="16"/>
              </w:rPr>
            </w:pPr>
            <w:r w:rsidRPr="00B613F4">
              <w:rPr>
                <w:rFonts w:ascii="Arial" w:hAnsi="Arial" w:cs="Arial"/>
                <w:color w:val="000000"/>
                <w:sz w:val="16"/>
                <w:szCs w:val="16"/>
              </w:rPr>
              <w:t>NA</w:t>
            </w:r>
          </w:p>
        </w:tc>
      </w:tr>
      <w:tr w:rsidR="00C363A3" w:rsidRPr="00B613F4" w14:paraId="0FB60099" w14:textId="77777777" w:rsidTr="00C363A3">
        <w:trPr>
          <w:trHeight w:val="20"/>
        </w:trPr>
        <w:tc>
          <w:tcPr>
            <w:tcW w:w="1713" w:type="pct"/>
            <w:noWrap/>
          </w:tcPr>
          <w:p w14:paraId="2E2785A8" w14:textId="7E853EA1" w:rsidR="00C363A3" w:rsidRPr="00B613F4" w:rsidRDefault="00C363A3" w:rsidP="00C363A3">
            <w:pPr>
              <w:ind w:left="144"/>
              <w:rPr>
                <w:rFonts w:ascii="Arial" w:eastAsia="Times New Roman" w:hAnsi="Arial" w:cs="Arial"/>
                <w:sz w:val="16"/>
                <w:szCs w:val="16"/>
              </w:rPr>
            </w:pPr>
            <w:r w:rsidRPr="00B613F4">
              <w:rPr>
                <w:rFonts w:ascii="Arial" w:eastAsia="Times New Roman" w:hAnsi="Arial" w:cs="Arial"/>
                <w:sz w:val="16"/>
                <w:szCs w:val="16"/>
              </w:rPr>
              <w:t xml:space="preserve">3 vs </w:t>
            </w:r>
            <w:r>
              <w:rPr>
                <w:rFonts w:ascii="Arial" w:eastAsia="Times New Roman" w:hAnsi="Arial" w:cs="Arial"/>
                <w:sz w:val="16"/>
                <w:szCs w:val="16"/>
              </w:rPr>
              <w:t>5</w:t>
            </w:r>
          </w:p>
        </w:tc>
        <w:tc>
          <w:tcPr>
            <w:tcW w:w="815" w:type="pct"/>
            <w:noWrap/>
            <w:vAlign w:val="bottom"/>
          </w:tcPr>
          <w:p w14:paraId="3D3F4284" w14:textId="77777777" w:rsidR="00C363A3" w:rsidRPr="00B613F4" w:rsidRDefault="00C363A3" w:rsidP="00C363A3">
            <w:pPr>
              <w:rPr>
                <w:rFonts w:ascii="Arial" w:hAnsi="Arial" w:cs="Arial"/>
                <w:color w:val="000000"/>
                <w:sz w:val="16"/>
                <w:szCs w:val="16"/>
              </w:rPr>
            </w:pPr>
            <w:r w:rsidRPr="00B613F4">
              <w:rPr>
                <w:rFonts w:ascii="Arial" w:hAnsi="Arial" w:cs="Arial"/>
                <w:color w:val="000000"/>
                <w:sz w:val="16"/>
                <w:szCs w:val="16"/>
              </w:rPr>
              <w:t>NA</w:t>
            </w:r>
          </w:p>
        </w:tc>
        <w:tc>
          <w:tcPr>
            <w:tcW w:w="817" w:type="pct"/>
            <w:noWrap/>
          </w:tcPr>
          <w:p w14:paraId="3EE79C8B" w14:textId="77777777" w:rsidR="00C363A3" w:rsidRPr="00B613F4" w:rsidRDefault="00C363A3" w:rsidP="00C363A3">
            <w:pPr>
              <w:rPr>
                <w:rFonts w:ascii="Arial" w:hAnsi="Arial" w:cs="Arial"/>
                <w:color w:val="000000"/>
                <w:sz w:val="16"/>
                <w:szCs w:val="16"/>
              </w:rPr>
            </w:pPr>
            <w:r w:rsidRPr="00B613F4">
              <w:rPr>
                <w:rFonts w:ascii="Arial" w:hAnsi="Arial" w:cs="Arial"/>
                <w:color w:val="000000"/>
                <w:sz w:val="16"/>
                <w:szCs w:val="16"/>
              </w:rPr>
              <w:t>0.17</w:t>
            </w:r>
          </w:p>
        </w:tc>
        <w:tc>
          <w:tcPr>
            <w:tcW w:w="817" w:type="pct"/>
            <w:noWrap/>
            <w:vAlign w:val="bottom"/>
          </w:tcPr>
          <w:p w14:paraId="566D4B20" w14:textId="77777777" w:rsidR="00C363A3" w:rsidRPr="00B613F4" w:rsidRDefault="00C363A3" w:rsidP="00C363A3">
            <w:pPr>
              <w:rPr>
                <w:rFonts w:ascii="Arial" w:hAnsi="Arial" w:cs="Arial"/>
                <w:color w:val="000000"/>
                <w:sz w:val="16"/>
                <w:szCs w:val="16"/>
              </w:rPr>
            </w:pPr>
            <w:r w:rsidRPr="00B613F4">
              <w:rPr>
                <w:rFonts w:ascii="Arial" w:hAnsi="Arial" w:cs="Arial"/>
                <w:color w:val="000000"/>
                <w:sz w:val="16"/>
                <w:szCs w:val="16"/>
              </w:rPr>
              <w:t>NA</w:t>
            </w:r>
          </w:p>
        </w:tc>
        <w:tc>
          <w:tcPr>
            <w:tcW w:w="838" w:type="pct"/>
            <w:noWrap/>
            <w:vAlign w:val="bottom"/>
          </w:tcPr>
          <w:p w14:paraId="39E7E12B" w14:textId="77777777" w:rsidR="00C363A3" w:rsidRPr="00B613F4" w:rsidRDefault="00C363A3" w:rsidP="00C363A3">
            <w:pPr>
              <w:rPr>
                <w:rFonts w:ascii="Arial" w:hAnsi="Arial" w:cs="Arial"/>
                <w:color w:val="000000"/>
                <w:sz w:val="16"/>
                <w:szCs w:val="16"/>
              </w:rPr>
            </w:pPr>
            <w:r w:rsidRPr="00B613F4">
              <w:rPr>
                <w:rFonts w:ascii="Arial" w:hAnsi="Arial" w:cs="Arial"/>
                <w:color w:val="000000"/>
                <w:sz w:val="16"/>
                <w:szCs w:val="16"/>
              </w:rPr>
              <w:t>NA</w:t>
            </w:r>
          </w:p>
        </w:tc>
      </w:tr>
      <w:tr w:rsidR="00C363A3" w:rsidRPr="00B613F4" w14:paraId="7B8B6C71" w14:textId="77777777" w:rsidTr="00C363A3">
        <w:trPr>
          <w:trHeight w:val="20"/>
        </w:trPr>
        <w:tc>
          <w:tcPr>
            <w:tcW w:w="1713" w:type="pct"/>
            <w:noWrap/>
          </w:tcPr>
          <w:p w14:paraId="5441961E" w14:textId="58C09023" w:rsidR="00C363A3" w:rsidRPr="00B613F4" w:rsidRDefault="00C363A3" w:rsidP="00C363A3">
            <w:pPr>
              <w:ind w:left="144"/>
              <w:rPr>
                <w:rFonts w:ascii="Arial" w:eastAsia="Times New Roman" w:hAnsi="Arial" w:cs="Arial"/>
                <w:sz w:val="16"/>
                <w:szCs w:val="16"/>
              </w:rPr>
            </w:pPr>
            <w:r>
              <w:rPr>
                <w:rFonts w:ascii="Arial" w:eastAsia="Times New Roman" w:hAnsi="Arial" w:cs="Arial"/>
                <w:sz w:val="16"/>
                <w:szCs w:val="16"/>
              </w:rPr>
              <w:t>2</w:t>
            </w:r>
            <w:r w:rsidRPr="00B613F4">
              <w:rPr>
                <w:rFonts w:ascii="Arial" w:eastAsia="Times New Roman" w:hAnsi="Arial" w:cs="Arial"/>
                <w:sz w:val="16"/>
                <w:szCs w:val="16"/>
              </w:rPr>
              <w:t xml:space="preserve"> vs </w:t>
            </w:r>
            <w:r>
              <w:rPr>
                <w:rFonts w:ascii="Arial" w:eastAsia="Times New Roman" w:hAnsi="Arial" w:cs="Arial"/>
                <w:sz w:val="16"/>
                <w:szCs w:val="16"/>
              </w:rPr>
              <w:t>5</w:t>
            </w:r>
          </w:p>
        </w:tc>
        <w:tc>
          <w:tcPr>
            <w:tcW w:w="815" w:type="pct"/>
            <w:noWrap/>
            <w:vAlign w:val="bottom"/>
          </w:tcPr>
          <w:p w14:paraId="7328E100" w14:textId="77777777" w:rsidR="00C363A3" w:rsidRPr="00B613F4" w:rsidRDefault="00C363A3" w:rsidP="00C363A3">
            <w:pPr>
              <w:rPr>
                <w:rFonts w:ascii="Arial" w:hAnsi="Arial" w:cs="Arial"/>
                <w:color w:val="000000"/>
                <w:sz w:val="16"/>
                <w:szCs w:val="16"/>
              </w:rPr>
            </w:pPr>
            <w:r w:rsidRPr="00B613F4">
              <w:rPr>
                <w:rFonts w:ascii="Arial" w:hAnsi="Arial" w:cs="Arial"/>
                <w:color w:val="000000"/>
                <w:sz w:val="16"/>
                <w:szCs w:val="16"/>
              </w:rPr>
              <w:t>NA</w:t>
            </w:r>
          </w:p>
        </w:tc>
        <w:tc>
          <w:tcPr>
            <w:tcW w:w="817" w:type="pct"/>
            <w:noWrap/>
          </w:tcPr>
          <w:p w14:paraId="024CB09E" w14:textId="77777777" w:rsidR="00C363A3" w:rsidRPr="00B613F4" w:rsidRDefault="00C363A3" w:rsidP="00C363A3">
            <w:pPr>
              <w:rPr>
                <w:rFonts w:ascii="Arial" w:hAnsi="Arial" w:cs="Arial"/>
                <w:color w:val="000000"/>
                <w:sz w:val="16"/>
                <w:szCs w:val="16"/>
              </w:rPr>
            </w:pPr>
            <w:r w:rsidRPr="00B613F4">
              <w:rPr>
                <w:rFonts w:ascii="Arial" w:hAnsi="Arial" w:cs="Arial"/>
                <w:color w:val="000000"/>
                <w:sz w:val="16"/>
                <w:szCs w:val="16"/>
              </w:rPr>
              <w:t>0.081</w:t>
            </w:r>
          </w:p>
        </w:tc>
        <w:tc>
          <w:tcPr>
            <w:tcW w:w="817" w:type="pct"/>
            <w:noWrap/>
            <w:vAlign w:val="bottom"/>
          </w:tcPr>
          <w:p w14:paraId="53205B5D" w14:textId="77777777" w:rsidR="00C363A3" w:rsidRPr="00B613F4" w:rsidRDefault="00C363A3" w:rsidP="00C363A3">
            <w:pPr>
              <w:rPr>
                <w:rFonts w:ascii="Arial" w:hAnsi="Arial" w:cs="Arial"/>
                <w:color w:val="000000"/>
                <w:sz w:val="16"/>
                <w:szCs w:val="16"/>
              </w:rPr>
            </w:pPr>
            <w:r w:rsidRPr="00B613F4">
              <w:rPr>
                <w:rFonts w:ascii="Arial" w:hAnsi="Arial" w:cs="Arial"/>
                <w:color w:val="000000"/>
                <w:sz w:val="16"/>
                <w:szCs w:val="16"/>
              </w:rPr>
              <w:t>NA</w:t>
            </w:r>
          </w:p>
        </w:tc>
        <w:tc>
          <w:tcPr>
            <w:tcW w:w="838" w:type="pct"/>
            <w:noWrap/>
            <w:vAlign w:val="bottom"/>
          </w:tcPr>
          <w:p w14:paraId="1B5DE0F2" w14:textId="77777777" w:rsidR="00C363A3" w:rsidRPr="00B613F4" w:rsidRDefault="00C363A3" w:rsidP="00C363A3">
            <w:pPr>
              <w:rPr>
                <w:rFonts w:ascii="Arial" w:hAnsi="Arial" w:cs="Arial"/>
                <w:color w:val="000000"/>
                <w:sz w:val="16"/>
                <w:szCs w:val="16"/>
              </w:rPr>
            </w:pPr>
            <w:r w:rsidRPr="00B613F4">
              <w:rPr>
                <w:rFonts w:ascii="Arial" w:hAnsi="Arial" w:cs="Arial"/>
                <w:color w:val="000000"/>
                <w:sz w:val="16"/>
                <w:szCs w:val="16"/>
              </w:rPr>
              <w:t>NA</w:t>
            </w:r>
          </w:p>
        </w:tc>
      </w:tr>
      <w:tr w:rsidR="00C363A3" w:rsidRPr="00B613F4" w14:paraId="2ACE73A8" w14:textId="77777777" w:rsidTr="00C363A3">
        <w:trPr>
          <w:trHeight w:val="20"/>
        </w:trPr>
        <w:tc>
          <w:tcPr>
            <w:tcW w:w="1713" w:type="pct"/>
            <w:noWrap/>
          </w:tcPr>
          <w:p w14:paraId="2ECC24A9" w14:textId="6E666D0C" w:rsidR="00C363A3" w:rsidRPr="00B613F4" w:rsidRDefault="00C363A3" w:rsidP="00C363A3">
            <w:pPr>
              <w:ind w:left="144"/>
              <w:rPr>
                <w:rFonts w:ascii="Arial" w:eastAsia="Times New Roman" w:hAnsi="Arial" w:cs="Arial"/>
                <w:sz w:val="16"/>
                <w:szCs w:val="16"/>
              </w:rPr>
            </w:pPr>
            <w:r>
              <w:rPr>
                <w:rFonts w:ascii="Arial" w:eastAsia="Times New Roman" w:hAnsi="Arial" w:cs="Arial"/>
                <w:sz w:val="16"/>
                <w:szCs w:val="16"/>
              </w:rPr>
              <w:t>1</w:t>
            </w:r>
            <w:r w:rsidRPr="00B613F4">
              <w:rPr>
                <w:rFonts w:ascii="Arial" w:eastAsia="Times New Roman" w:hAnsi="Arial" w:cs="Arial"/>
                <w:sz w:val="16"/>
                <w:szCs w:val="16"/>
              </w:rPr>
              <w:t xml:space="preserve"> vs </w:t>
            </w:r>
            <w:r>
              <w:rPr>
                <w:rFonts w:ascii="Arial" w:eastAsia="Times New Roman" w:hAnsi="Arial" w:cs="Arial"/>
                <w:sz w:val="16"/>
                <w:szCs w:val="16"/>
              </w:rPr>
              <w:t>5</w:t>
            </w:r>
          </w:p>
        </w:tc>
        <w:tc>
          <w:tcPr>
            <w:tcW w:w="815" w:type="pct"/>
            <w:noWrap/>
            <w:vAlign w:val="bottom"/>
          </w:tcPr>
          <w:p w14:paraId="68A739BD" w14:textId="77777777" w:rsidR="00C363A3" w:rsidRPr="00B613F4" w:rsidRDefault="00C363A3" w:rsidP="00C363A3">
            <w:pPr>
              <w:rPr>
                <w:rFonts w:ascii="Arial" w:hAnsi="Arial" w:cs="Arial"/>
                <w:color w:val="000000"/>
                <w:sz w:val="16"/>
                <w:szCs w:val="16"/>
              </w:rPr>
            </w:pPr>
            <w:r w:rsidRPr="00B613F4">
              <w:rPr>
                <w:rFonts w:ascii="Arial" w:hAnsi="Arial" w:cs="Arial"/>
                <w:color w:val="000000"/>
                <w:sz w:val="16"/>
                <w:szCs w:val="16"/>
              </w:rPr>
              <w:t>NA</w:t>
            </w:r>
          </w:p>
        </w:tc>
        <w:tc>
          <w:tcPr>
            <w:tcW w:w="817" w:type="pct"/>
            <w:noWrap/>
          </w:tcPr>
          <w:p w14:paraId="725EF966" w14:textId="77777777" w:rsidR="00C363A3" w:rsidRPr="00B613F4" w:rsidRDefault="00C363A3" w:rsidP="00C363A3">
            <w:pPr>
              <w:rPr>
                <w:rFonts w:ascii="Arial" w:hAnsi="Arial" w:cs="Arial"/>
                <w:color w:val="000000"/>
                <w:sz w:val="16"/>
                <w:szCs w:val="16"/>
              </w:rPr>
            </w:pPr>
            <w:r w:rsidRPr="00B613F4">
              <w:rPr>
                <w:rFonts w:ascii="Arial" w:hAnsi="Arial" w:cs="Arial"/>
                <w:color w:val="000000"/>
                <w:sz w:val="16"/>
                <w:szCs w:val="16"/>
              </w:rPr>
              <w:t>0.02</w:t>
            </w:r>
          </w:p>
        </w:tc>
        <w:tc>
          <w:tcPr>
            <w:tcW w:w="817" w:type="pct"/>
            <w:noWrap/>
            <w:vAlign w:val="bottom"/>
          </w:tcPr>
          <w:p w14:paraId="4092B3EB" w14:textId="77777777" w:rsidR="00C363A3" w:rsidRPr="00B613F4" w:rsidRDefault="00C363A3" w:rsidP="00C363A3">
            <w:pPr>
              <w:rPr>
                <w:rFonts w:ascii="Arial" w:hAnsi="Arial" w:cs="Arial"/>
                <w:color w:val="000000"/>
                <w:sz w:val="16"/>
                <w:szCs w:val="16"/>
              </w:rPr>
            </w:pPr>
            <w:r w:rsidRPr="00B613F4">
              <w:rPr>
                <w:rFonts w:ascii="Arial" w:hAnsi="Arial" w:cs="Arial"/>
                <w:color w:val="000000"/>
                <w:sz w:val="16"/>
                <w:szCs w:val="16"/>
              </w:rPr>
              <w:t>NA</w:t>
            </w:r>
          </w:p>
        </w:tc>
        <w:tc>
          <w:tcPr>
            <w:tcW w:w="838" w:type="pct"/>
            <w:noWrap/>
            <w:vAlign w:val="bottom"/>
          </w:tcPr>
          <w:p w14:paraId="570D0D92" w14:textId="77777777" w:rsidR="00C363A3" w:rsidRPr="00B613F4" w:rsidRDefault="00C363A3" w:rsidP="00C363A3">
            <w:pPr>
              <w:rPr>
                <w:rFonts w:ascii="Arial" w:hAnsi="Arial" w:cs="Arial"/>
                <w:color w:val="000000"/>
                <w:sz w:val="16"/>
                <w:szCs w:val="16"/>
              </w:rPr>
            </w:pPr>
            <w:r w:rsidRPr="00B613F4">
              <w:rPr>
                <w:rFonts w:ascii="Arial" w:hAnsi="Arial" w:cs="Arial"/>
                <w:color w:val="000000"/>
                <w:sz w:val="16"/>
                <w:szCs w:val="16"/>
              </w:rPr>
              <w:t>NA</w:t>
            </w:r>
          </w:p>
        </w:tc>
      </w:tr>
    </w:tbl>
    <w:p w14:paraId="4D37B0CC" w14:textId="7163B80B" w:rsidR="00E01EE6" w:rsidRPr="00184F0C" w:rsidRDefault="00E01EE6" w:rsidP="00E01EE6">
      <w:pPr>
        <w:spacing w:after="0" w:line="240" w:lineRule="auto"/>
        <w:rPr>
          <w:rFonts w:ascii="Arial" w:hAnsi="Arial" w:cs="Arial"/>
          <w:noProof/>
          <w:sz w:val="16"/>
          <w:szCs w:val="16"/>
        </w:rPr>
      </w:pPr>
      <w:r w:rsidRPr="00B821E3">
        <w:rPr>
          <w:rFonts w:ascii="Arial" w:hAnsi="Arial" w:cs="Arial"/>
          <w:noProof/>
          <w:sz w:val="16"/>
          <w:szCs w:val="16"/>
          <w:vertAlign w:val="superscript"/>
        </w:rPr>
        <w:t>a</w:t>
      </w:r>
      <w:r w:rsidRPr="00B821E3">
        <w:rPr>
          <w:rFonts w:ascii="Arial" w:hAnsi="Arial" w:cs="Arial"/>
          <w:noProof/>
          <w:sz w:val="16"/>
          <w:szCs w:val="16"/>
        </w:rPr>
        <w:t xml:space="preserve">Death within 30 days following or 7 days prior to a lab-confirmed </w:t>
      </w:r>
      <w:r w:rsidRPr="00184F0C">
        <w:rPr>
          <w:rFonts w:ascii="Arial" w:hAnsi="Arial" w:cs="Arial"/>
          <w:noProof/>
          <w:sz w:val="16"/>
          <w:szCs w:val="16"/>
        </w:rPr>
        <w:t xml:space="preserve">positive </w:t>
      </w:r>
      <w:r w:rsidR="00184F0C" w:rsidRPr="00184F0C">
        <w:rPr>
          <w:rFonts w:ascii="Arial" w:hAnsi="Arial" w:cs="Arial"/>
          <w:noProof/>
          <w:sz w:val="16"/>
          <w:szCs w:val="16"/>
        </w:rPr>
        <w:t xml:space="preserve">SARS-CoV-2 </w:t>
      </w:r>
      <w:r w:rsidRPr="00184F0C">
        <w:rPr>
          <w:rFonts w:ascii="Arial" w:hAnsi="Arial" w:cs="Arial"/>
          <w:noProof/>
          <w:sz w:val="16"/>
          <w:szCs w:val="16"/>
        </w:rPr>
        <w:t>test was considered</w:t>
      </w:r>
      <w:r w:rsidR="00BC4965" w:rsidRPr="00184F0C">
        <w:rPr>
          <w:rFonts w:ascii="Arial" w:hAnsi="Arial" w:cs="Arial"/>
          <w:noProof/>
          <w:sz w:val="16"/>
          <w:szCs w:val="16"/>
        </w:rPr>
        <w:t xml:space="preserve"> a</w:t>
      </w:r>
      <w:r w:rsidRPr="00184F0C">
        <w:rPr>
          <w:rFonts w:ascii="Arial" w:hAnsi="Arial" w:cs="Arial"/>
          <w:noProof/>
          <w:sz w:val="16"/>
          <w:szCs w:val="16"/>
        </w:rPr>
        <w:t xml:space="preserve"> COVID-19</w:t>
      </w:r>
      <w:r w:rsidR="00846AA8" w:rsidRPr="00184F0C">
        <w:rPr>
          <w:rFonts w:ascii="Arial" w:hAnsi="Arial" w:cs="Arial"/>
          <w:noProof/>
          <w:sz w:val="16"/>
          <w:szCs w:val="16"/>
        </w:rPr>
        <w:t xml:space="preserve"> death</w:t>
      </w:r>
      <w:r w:rsidR="00FC5E22" w:rsidRPr="00184F0C">
        <w:rPr>
          <w:rFonts w:ascii="Arial" w:hAnsi="Arial" w:cs="Arial"/>
          <w:noProof/>
          <w:sz w:val="16"/>
          <w:szCs w:val="16"/>
        </w:rPr>
        <w:t xml:space="preserve">. </w:t>
      </w:r>
    </w:p>
    <w:p w14:paraId="6BB33300" w14:textId="79117B1E" w:rsidR="00846AA8" w:rsidRPr="00B821E3" w:rsidRDefault="00846AA8" w:rsidP="00E01EE6">
      <w:pPr>
        <w:spacing w:after="0" w:line="240" w:lineRule="auto"/>
        <w:rPr>
          <w:rFonts w:ascii="Arial" w:hAnsi="Arial" w:cs="Arial"/>
          <w:noProof/>
          <w:sz w:val="16"/>
          <w:szCs w:val="16"/>
        </w:rPr>
      </w:pPr>
      <w:r w:rsidRPr="00184F0C">
        <w:rPr>
          <w:rFonts w:ascii="Arial" w:hAnsi="Arial" w:cs="Arial"/>
          <w:sz w:val="16"/>
          <w:szCs w:val="16"/>
          <w:vertAlign w:val="superscript"/>
        </w:rPr>
        <w:t>b</w:t>
      </w:r>
      <w:r w:rsidRPr="00184F0C">
        <w:rPr>
          <w:rFonts w:ascii="Arial" w:hAnsi="Arial" w:cs="Arial"/>
          <w:sz w:val="16"/>
          <w:szCs w:val="16"/>
        </w:rPr>
        <w:t xml:space="preserve">Waves </w:t>
      </w:r>
      <w:r w:rsidR="00BC4965" w:rsidRPr="00184F0C">
        <w:rPr>
          <w:rFonts w:ascii="Arial" w:hAnsi="Arial" w:cs="Arial"/>
          <w:sz w:val="16"/>
          <w:szCs w:val="16"/>
        </w:rPr>
        <w:t xml:space="preserve">were </w:t>
      </w:r>
      <w:r w:rsidRPr="00184F0C">
        <w:rPr>
          <w:rFonts w:ascii="Arial" w:hAnsi="Arial" w:cs="Arial"/>
          <w:sz w:val="16"/>
          <w:szCs w:val="16"/>
        </w:rPr>
        <w:t>defined based on</w:t>
      </w:r>
      <w:r w:rsidR="00BC4965" w:rsidRPr="00184F0C">
        <w:rPr>
          <w:rFonts w:ascii="Arial" w:hAnsi="Arial" w:cs="Arial"/>
          <w:sz w:val="16"/>
          <w:szCs w:val="16"/>
        </w:rPr>
        <w:t xml:space="preserve"> the</w:t>
      </w:r>
      <w:r w:rsidRPr="00184F0C">
        <w:rPr>
          <w:rFonts w:ascii="Arial" w:hAnsi="Arial" w:cs="Arial"/>
          <w:sz w:val="16"/>
          <w:szCs w:val="16"/>
        </w:rPr>
        <w:t xml:space="preserve"> date of diagnosis and classified as</w:t>
      </w:r>
      <w:r w:rsidR="00BC4965" w:rsidRPr="00184F0C">
        <w:rPr>
          <w:rFonts w:ascii="Arial" w:hAnsi="Arial" w:cs="Arial"/>
          <w:sz w:val="16"/>
          <w:szCs w:val="16"/>
        </w:rPr>
        <w:t xml:space="preserve"> follows:</w:t>
      </w:r>
      <w:r w:rsidRPr="00184F0C">
        <w:rPr>
          <w:rFonts w:ascii="Arial" w:hAnsi="Arial" w:cs="Arial"/>
          <w:sz w:val="16"/>
          <w:szCs w:val="16"/>
        </w:rPr>
        <w:t xml:space="preserve"> wave 1: Mar 1-Aug 31,</w:t>
      </w:r>
      <w:r w:rsidRPr="00B821E3">
        <w:rPr>
          <w:rFonts w:ascii="Arial" w:hAnsi="Arial" w:cs="Arial"/>
          <w:sz w:val="16"/>
          <w:szCs w:val="16"/>
        </w:rPr>
        <w:t xml:space="preserve"> 2020; wave 2: Sep 1, 2020–Feb 28, 2021; wave 3: Mar 1–Jul 31, 2021; waves 4</w:t>
      </w:r>
      <w:r w:rsidR="00532378">
        <w:rPr>
          <w:rFonts w:ascii="Arial" w:hAnsi="Arial" w:cs="Arial"/>
          <w:sz w:val="16"/>
          <w:szCs w:val="16"/>
        </w:rPr>
        <w:t>&amp;</w:t>
      </w:r>
      <w:r w:rsidRPr="00B821E3">
        <w:rPr>
          <w:rFonts w:ascii="Arial" w:hAnsi="Arial" w:cs="Arial"/>
          <w:sz w:val="16"/>
          <w:szCs w:val="16"/>
        </w:rPr>
        <w:t xml:space="preserve">5: Aug 1-Dec 31, 2021. </w:t>
      </w:r>
    </w:p>
    <w:p w14:paraId="143DEA5C" w14:textId="3199BB21" w:rsidR="00E01EE6" w:rsidRPr="00B821E3" w:rsidRDefault="00B821E3" w:rsidP="00E01EE6">
      <w:pPr>
        <w:spacing w:after="0" w:line="240" w:lineRule="auto"/>
        <w:rPr>
          <w:rFonts w:ascii="Arial" w:hAnsi="Arial" w:cs="Arial"/>
          <w:sz w:val="16"/>
          <w:szCs w:val="16"/>
        </w:rPr>
      </w:pPr>
      <w:r>
        <w:rPr>
          <w:rFonts w:ascii="Arial" w:hAnsi="Arial" w:cs="Arial"/>
          <w:sz w:val="16"/>
          <w:szCs w:val="16"/>
          <w:vertAlign w:val="superscript"/>
        </w:rPr>
        <w:t>c</w:t>
      </w:r>
      <w:r w:rsidR="00E01EE6" w:rsidRPr="00B821E3">
        <w:rPr>
          <w:rFonts w:ascii="Arial" w:hAnsi="Arial" w:cs="Arial"/>
          <w:sz w:val="16"/>
          <w:szCs w:val="16"/>
        </w:rPr>
        <w:t>Cause-speci</w:t>
      </w:r>
      <w:r w:rsidR="00846AA8" w:rsidRPr="00B821E3">
        <w:rPr>
          <w:rFonts w:ascii="Arial" w:hAnsi="Arial" w:cs="Arial"/>
          <w:sz w:val="16"/>
          <w:szCs w:val="16"/>
        </w:rPr>
        <w:t>fic hazard models were used to examine</w:t>
      </w:r>
      <w:r w:rsidRPr="00B821E3">
        <w:rPr>
          <w:rFonts w:ascii="Arial" w:hAnsi="Arial" w:cs="Arial"/>
          <w:sz w:val="16"/>
          <w:szCs w:val="16"/>
        </w:rPr>
        <w:t xml:space="preserve"> COVID-19 death</w:t>
      </w:r>
      <w:r w:rsidR="00DB1806">
        <w:rPr>
          <w:rFonts w:ascii="Arial" w:hAnsi="Arial" w:cs="Arial"/>
          <w:sz w:val="16"/>
          <w:szCs w:val="16"/>
        </w:rPr>
        <w:t>s</w:t>
      </w:r>
      <w:r w:rsidR="00846AA8" w:rsidRPr="00B821E3">
        <w:rPr>
          <w:rFonts w:ascii="Arial" w:hAnsi="Arial" w:cs="Arial"/>
          <w:sz w:val="16"/>
          <w:szCs w:val="16"/>
        </w:rPr>
        <w:t xml:space="preserve"> </w:t>
      </w:r>
      <w:r w:rsidR="00BC4965">
        <w:rPr>
          <w:rFonts w:ascii="Arial" w:hAnsi="Arial" w:cs="Arial"/>
          <w:sz w:val="16"/>
          <w:szCs w:val="16"/>
        </w:rPr>
        <w:t>(</w:t>
      </w:r>
      <w:r w:rsidR="00846AA8" w:rsidRPr="00B821E3">
        <w:rPr>
          <w:rFonts w:ascii="Arial" w:hAnsi="Arial" w:cs="Arial"/>
          <w:sz w:val="16"/>
          <w:szCs w:val="16"/>
        </w:rPr>
        <w:t>treating death</w:t>
      </w:r>
      <w:r w:rsidR="00BC4965">
        <w:rPr>
          <w:rFonts w:ascii="Arial" w:hAnsi="Arial" w:cs="Arial"/>
          <w:sz w:val="16"/>
          <w:szCs w:val="16"/>
        </w:rPr>
        <w:t>s</w:t>
      </w:r>
      <w:r w:rsidR="00846AA8" w:rsidRPr="00B821E3">
        <w:rPr>
          <w:rFonts w:ascii="Arial" w:hAnsi="Arial" w:cs="Arial"/>
          <w:sz w:val="16"/>
          <w:szCs w:val="16"/>
        </w:rPr>
        <w:t xml:space="preserve"> not related to COVID-19 as competing risk event</w:t>
      </w:r>
      <w:r w:rsidR="00DB1806">
        <w:rPr>
          <w:rFonts w:ascii="Arial" w:hAnsi="Arial" w:cs="Arial"/>
          <w:sz w:val="16"/>
          <w:szCs w:val="16"/>
        </w:rPr>
        <w:t>s</w:t>
      </w:r>
      <w:r w:rsidR="00BC4965">
        <w:rPr>
          <w:rFonts w:ascii="Arial" w:hAnsi="Arial" w:cs="Arial"/>
          <w:sz w:val="16"/>
          <w:szCs w:val="16"/>
        </w:rPr>
        <w:t>)</w:t>
      </w:r>
      <w:r w:rsidRPr="00B821E3">
        <w:rPr>
          <w:rFonts w:ascii="Arial" w:hAnsi="Arial" w:cs="Arial"/>
          <w:sz w:val="16"/>
          <w:szCs w:val="16"/>
        </w:rPr>
        <w:t xml:space="preserve"> and to examine COVID-19 diagnosis </w:t>
      </w:r>
      <w:r w:rsidR="00BC4965">
        <w:rPr>
          <w:rFonts w:ascii="Arial" w:hAnsi="Arial" w:cs="Arial"/>
          <w:sz w:val="16"/>
          <w:szCs w:val="16"/>
        </w:rPr>
        <w:t>(</w:t>
      </w:r>
      <w:r w:rsidRPr="00B821E3">
        <w:rPr>
          <w:rFonts w:ascii="Arial" w:hAnsi="Arial" w:cs="Arial"/>
          <w:sz w:val="16"/>
          <w:szCs w:val="16"/>
        </w:rPr>
        <w:t>treating all death</w:t>
      </w:r>
      <w:r w:rsidR="00DB1806">
        <w:rPr>
          <w:rFonts w:ascii="Arial" w:hAnsi="Arial" w:cs="Arial"/>
          <w:sz w:val="16"/>
          <w:szCs w:val="16"/>
        </w:rPr>
        <w:t>s as competing risk events</w:t>
      </w:r>
      <w:r w:rsidR="00BC4965">
        <w:rPr>
          <w:rFonts w:ascii="Arial" w:hAnsi="Arial" w:cs="Arial"/>
          <w:sz w:val="16"/>
          <w:szCs w:val="16"/>
        </w:rPr>
        <w:t>)</w:t>
      </w:r>
      <w:r w:rsidR="00FC5E22">
        <w:rPr>
          <w:rFonts w:ascii="Arial" w:hAnsi="Arial" w:cs="Arial"/>
          <w:sz w:val="16"/>
          <w:szCs w:val="16"/>
        </w:rPr>
        <w:t>.</w:t>
      </w:r>
      <w:r>
        <w:rPr>
          <w:rFonts w:ascii="Arial" w:hAnsi="Arial" w:cs="Arial"/>
          <w:sz w:val="16"/>
          <w:szCs w:val="16"/>
        </w:rPr>
        <w:t xml:space="preserve"> </w:t>
      </w:r>
    </w:p>
    <w:p w14:paraId="02F51655" w14:textId="71ACAC5D" w:rsidR="00846AA8" w:rsidRPr="00B821E3" w:rsidRDefault="00B821E3" w:rsidP="00846AA8">
      <w:pPr>
        <w:spacing w:after="0" w:line="240" w:lineRule="auto"/>
        <w:rPr>
          <w:rFonts w:ascii="Arial" w:hAnsi="Arial" w:cs="Arial"/>
          <w:noProof/>
          <w:sz w:val="16"/>
          <w:szCs w:val="16"/>
        </w:rPr>
      </w:pPr>
      <w:r w:rsidRPr="00B821E3">
        <w:rPr>
          <w:rFonts w:ascii="Arial" w:hAnsi="Arial" w:cs="Arial"/>
          <w:sz w:val="16"/>
          <w:szCs w:val="16"/>
          <w:vertAlign w:val="superscript"/>
        </w:rPr>
        <w:t>d</w:t>
      </w:r>
      <w:r w:rsidR="00846AA8" w:rsidRPr="00B821E3">
        <w:rPr>
          <w:rFonts w:ascii="Arial" w:hAnsi="Arial" w:cs="Arial"/>
          <w:sz w:val="16"/>
          <w:szCs w:val="16"/>
        </w:rPr>
        <w:t>Adjusted for individual-level demographics</w:t>
      </w:r>
      <w:r w:rsidRPr="00B821E3">
        <w:rPr>
          <w:rFonts w:ascii="Arial" w:hAnsi="Arial" w:cs="Arial"/>
          <w:sz w:val="16"/>
          <w:szCs w:val="16"/>
        </w:rPr>
        <w:t xml:space="preserve"> (age, sex, immigration status, residing in rural vs. urban, public health </w:t>
      </w:r>
      <w:r w:rsidRPr="002005AD">
        <w:rPr>
          <w:rFonts w:ascii="Arial" w:hAnsi="Arial" w:cs="Arial"/>
          <w:sz w:val="16"/>
          <w:szCs w:val="16"/>
        </w:rPr>
        <w:t>unit</w:t>
      </w:r>
      <w:r w:rsidRPr="00B821E3">
        <w:rPr>
          <w:rFonts w:ascii="Arial" w:hAnsi="Arial" w:cs="Arial"/>
          <w:sz w:val="16"/>
          <w:szCs w:val="16"/>
        </w:rPr>
        <w:t xml:space="preserve"> of residence), </w:t>
      </w:r>
      <w:r w:rsidR="00846AA8" w:rsidRPr="00B821E3">
        <w:rPr>
          <w:rFonts w:ascii="Arial" w:hAnsi="Arial" w:cs="Arial"/>
          <w:sz w:val="16"/>
          <w:szCs w:val="16"/>
        </w:rPr>
        <w:t>baseline health</w:t>
      </w:r>
      <w:r w:rsidRPr="00B821E3">
        <w:rPr>
          <w:rFonts w:ascii="Arial" w:hAnsi="Arial" w:cs="Arial"/>
          <w:sz w:val="16"/>
          <w:szCs w:val="16"/>
        </w:rPr>
        <w:t xml:space="preserve"> (comorbidity index measured by the Aggregated Diagnosis Groups</w:t>
      </w:r>
      <w:r w:rsidR="00846AA8" w:rsidRPr="00B821E3">
        <w:rPr>
          <w:rFonts w:ascii="Arial" w:hAnsi="Arial" w:cs="Arial"/>
          <w:sz w:val="16"/>
          <w:szCs w:val="16"/>
        </w:rPr>
        <w:t xml:space="preserve">, </w:t>
      </w:r>
      <w:r w:rsidRPr="00B821E3">
        <w:rPr>
          <w:rFonts w:ascii="Arial" w:hAnsi="Arial" w:cs="Arial"/>
          <w:sz w:val="16"/>
          <w:szCs w:val="16"/>
        </w:rPr>
        <w:t xml:space="preserve">past hospitalization and outpatient visits), </w:t>
      </w:r>
      <w:r w:rsidR="00846AA8" w:rsidRPr="00B821E3">
        <w:rPr>
          <w:rFonts w:ascii="Arial" w:hAnsi="Arial" w:cs="Arial"/>
          <w:sz w:val="16"/>
          <w:szCs w:val="16"/>
        </w:rPr>
        <w:t>and other area-level social determinants of health</w:t>
      </w:r>
      <w:r w:rsidRPr="00B821E3">
        <w:rPr>
          <w:rFonts w:ascii="Arial" w:hAnsi="Arial" w:cs="Arial"/>
          <w:sz w:val="16"/>
          <w:szCs w:val="16"/>
        </w:rPr>
        <w:t xml:space="preserve"> (educational attainment, essential workers, ethnic diversity and housing condition)</w:t>
      </w:r>
      <w:r w:rsidR="00FC5E22">
        <w:rPr>
          <w:rFonts w:ascii="Arial" w:hAnsi="Arial" w:cs="Arial"/>
          <w:sz w:val="16"/>
          <w:szCs w:val="16"/>
        </w:rPr>
        <w:t>.</w:t>
      </w:r>
      <w:r w:rsidRPr="00B821E3">
        <w:rPr>
          <w:rFonts w:ascii="Arial" w:hAnsi="Arial" w:cs="Arial"/>
          <w:sz w:val="16"/>
          <w:szCs w:val="16"/>
        </w:rPr>
        <w:t xml:space="preserve"> </w:t>
      </w:r>
    </w:p>
    <w:p w14:paraId="47715548" w14:textId="48DB33CC" w:rsidR="00B821E3" w:rsidRDefault="00B821E3" w:rsidP="00B821E3">
      <w:pPr>
        <w:spacing w:after="0" w:line="240" w:lineRule="auto"/>
        <w:rPr>
          <w:rFonts w:ascii="Arial" w:hAnsi="Arial" w:cs="Arial"/>
          <w:noProof/>
          <w:sz w:val="16"/>
          <w:szCs w:val="16"/>
        </w:rPr>
      </w:pPr>
      <w:r>
        <w:rPr>
          <w:rFonts w:ascii="Arial" w:hAnsi="Arial" w:cs="Arial"/>
          <w:noProof/>
          <w:sz w:val="16"/>
          <w:szCs w:val="16"/>
          <w:vertAlign w:val="superscript"/>
        </w:rPr>
        <w:t>e</w:t>
      </w:r>
      <w:r w:rsidRPr="00491159">
        <w:rPr>
          <w:rFonts w:ascii="Arial" w:hAnsi="Arial" w:cs="Arial"/>
          <w:noProof/>
          <w:sz w:val="16"/>
          <w:szCs w:val="16"/>
        </w:rPr>
        <w:t>Dissemination areas were ranked within each city by their median household income to create</w:t>
      </w:r>
      <w:r>
        <w:rPr>
          <w:rFonts w:ascii="Arial" w:hAnsi="Arial" w:cs="Arial"/>
          <w:noProof/>
          <w:sz w:val="16"/>
          <w:szCs w:val="16"/>
        </w:rPr>
        <w:t xml:space="preserve"> income</w:t>
      </w:r>
      <w:r w:rsidRPr="00491159">
        <w:rPr>
          <w:rFonts w:ascii="Arial" w:hAnsi="Arial" w:cs="Arial"/>
          <w:noProof/>
          <w:sz w:val="16"/>
          <w:szCs w:val="16"/>
        </w:rPr>
        <w:t xml:space="preserve"> quintiles; we ranked within city instead of within</w:t>
      </w:r>
      <w:r w:rsidR="00EE3B5C">
        <w:rPr>
          <w:rFonts w:ascii="Arial" w:hAnsi="Arial" w:cs="Arial"/>
          <w:noProof/>
          <w:sz w:val="16"/>
          <w:szCs w:val="16"/>
        </w:rPr>
        <w:t xml:space="preserve"> the</w:t>
      </w:r>
      <w:r w:rsidRPr="00491159">
        <w:rPr>
          <w:rFonts w:ascii="Arial" w:hAnsi="Arial" w:cs="Arial"/>
          <w:noProof/>
          <w:sz w:val="16"/>
          <w:szCs w:val="16"/>
        </w:rPr>
        <w:t xml:space="preserve"> entire province</w:t>
      </w:r>
      <w:r w:rsidR="00BC4965">
        <w:rPr>
          <w:rFonts w:ascii="Arial" w:hAnsi="Arial" w:cs="Arial"/>
          <w:noProof/>
          <w:sz w:val="16"/>
          <w:szCs w:val="16"/>
        </w:rPr>
        <w:t xml:space="preserve"> </w:t>
      </w:r>
      <w:r w:rsidRPr="00491159">
        <w:rPr>
          <w:rFonts w:ascii="Arial" w:hAnsi="Arial" w:cs="Arial"/>
          <w:noProof/>
          <w:sz w:val="16"/>
          <w:szCs w:val="16"/>
        </w:rPr>
        <w:t>to take</w:t>
      </w:r>
      <w:r w:rsidR="00EE3B5C">
        <w:rPr>
          <w:rFonts w:ascii="Arial" w:hAnsi="Arial" w:cs="Arial"/>
          <w:noProof/>
          <w:sz w:val="16"/>
          <w:szCs w:val="16"/>
        </w:rPr>
        <w:t xml:space="preserve"> the</w:t>
      </w:r>
      <w:r w:rsidRPr="00491159">
        <w:rPr>
          <w:rFonts w:ascii="Arial" w:hAnsi="Arial" w:cs="Arial"/>
          <w:noProof/>
          <w:sz w:val="16"/>
          <w:szCs w:val="16"/>
        </w:rPr>
        <w:t xml:space="preserve"> cost of living into account; a disseminaton area being in quintile 1 means it is among the </w:t>
      </w:r>
      <w:r w:rsidR="00BF68B6">
        <w:rPr>
          <w:rFonts w:ascii="Arial" w:hAnsi="Arial" w:cs="Arial"/>
          <w:noProof/>
          <w:sz w:val="16"/>
          <w:szCs w:val="16"/>
        </w:rPr>
        <w:t xml:space="preserve">lowest </w:t>
      </w:r>
      <w:r w:rsidRPr="00491159">
        <w:rPr>
          <w:rFonts w:ascii="Arial" w:hAnsi="Arial" w:cs="Arial"/>
          <w:noProof/>
          <w:sz w:val="16"/>
          <w:szCs w:val="16"/>
        </w:rPr>
        <w:t>20% of dissenmination areas in its city by median household income</w:t>
      </w:r>
      <w:r w:rsidR="00FC5E22">
        <w:rPr>
          <w:rFonts w:ascii="Arial" w:hAnsi="Arial" w:cs="Arial"/>
          <w:noProof/>
          <w:sz w:val="16"/>
          <w:szCs w:val="16"/>
        </w:rPr>
        <w:t>.</w:t>
      </w:r>
      <w:r w:rsidRPr="00491159">
        <w:rPr>
          <w:rFonts w:ascii="Arial" w:hAnsi="Arial" w:cs="Arial"/>
          <w:noProof/>
          <w:sz w:val="16"/>
          <w:szCs w:val="16"/>
        </w:rPr>
        <w:t xml:space="preserve"> </w:t>
      </w:r>
    </w:p>
    <w:p w14:paraId="3216541D" w14:textId="77705F45" w:rsidR="00B821E3" w:rsidRPr="00491159" w:rsidRDefault="00B821E3" w:rsidP="00B821E3">
      <w:pPr>
        <w:spacing w:after="0" w:line="240" w:lineRule="auto"/>
        <w:rPr>
          <w:rFonts w:ascii="Arial" w:hAnsi="Arial" w:cs="Arial"/>
          <w:noProof/>
          <w:sz w:val="16"/>
          <w:szCs w:val="16"/>
        </w:rPr>
      </w:pPr>
      <w:r w:rsidRPr="00B821E3">
        <w:rPr>
          <w:rFonts w:ascii="Arial" w:hAnsi="Arial" w:cs="Arial"/>
          <w:noProof/>
          <w:sz w:val="16"/>
          <w:szCs w:val="16"/>
          <w:vertAlign w:val="superscript"/>
        </w:rPr>
        <w:t>f</w:t>
      </w:r>
      <w:r>
        <w:rPr>
          <w:rFonts w:ascii="Arial" w:hAnsi="Arial" w:cs="Arial"/>
          <w:noProof/>
          <w:sz w:val="16"/>
          <w:szCs w:val="16"/>
        </w:rPr>
        <w:t>Trend tests were performed by fitting an additonal model using</w:t>
      </w:r>
      <w:r w:rsidR="00BC4965">
        <w:rPr>
          <w:rFonts w:ascii="Arial" w:hAnsi="Arial" w:cs="Arial"/>
          <w:noProof/>
          <w:sz w:val="16"/>
          <w:szCs w:val="16"/>
        </w:rPr>
        <w:t xml:space="preserve"> the</w:t>
      </w:r>
      <w:r>
        <w:rPr>
          <w:rFonts w:ascii="Arial" w:hAnsi="Arial" w:cs="Arial"/>
          <w:noProof/>
          <w:sz w:val="16"/>
          <w:szCs w:val="16"/>
        </w:rPr>
        <w:t xml:space="preserve"> full sample across all pandemic waves, adding an interaction term between area-level income (treated as</w:t>
      </w:r>
      <w:r w:rsidR="00BC4965">
        <w:rPr>
          <w:rFonts w:ascii="Arial" w:hAnsi="Arial" w:cs="Arial"/>
          <w:noProof/>
          <w:sz w:val="16"/>
          <w:szCs w:val="16"/>
        </w:rPr>
        <w:t xml:space="preserve"> a</w:t>
      </w:r>
      <w:r>
        <w:rPr>
          <w:rFonts w:ascii="Arial" w:hAnsi="Arial" w:cs="Arial"/>
          <w:noProof/>
          <w:sz w:val="16"/>
          <w:szCs w:val="16"/>
        </w:rPr>
        <w:t xml:space="preserve"> categegorical variable) and pandemic waves (treated as</w:t>
      </w:r>
      <w:r w:rsidR="00BC4965">
        <w:rPr>
          <w:rFonts w:ascii="Arial" w:hAnsi="Arial" w:cs="Arial"/>
          <w:noProof/>
          <w:sz w:val="16"/>
          <w:szCs w:val="16"/>
        </w:rPr>
        <w:t xml:space="preserve"> a</w:t>
      </w:r>
      <w:r>
        <w:rPr>
          <w:rFonts w:ascii="Arial" w:hAnsi="Arial" w:cs="Arial"/>
          <w:noProof/>
          <w:sz w:val="16"/>
          <w:szCs w:val="16"/>
        </w:rPr>
        <w:t xml:space="preserve"> continuous variable), to examine the trend </w:t>
      </w:r>
      <w:r w:rsidR="00FD1E16">
        <w:rPr>
          <w:rFonts w:ascii="Arial" w:hAnsi="Arial" w:cs="Arial"/>
          <w:noProof/>
          <w:sz w:val="16"/>
          <w:szCs w:val="16"/>
        </w:rPr>
        <w:t xml:space="preserve">over time </w:t>
      </w:r>
      <w:r>
        <w:rPr>
          <w:rFonts w:ascii="Arial" w:hAnsi="Arial" w:cs="Arial"/>
          <w:noProof/>
          <w:sz w:val="16"/>
          <w:szCs w:val="16"/>
        </w:rPr>
        <w:t>in the magnitude of association between income and COVID-19 deaths</w:t>
      </w:r>
      <w:r w:rsidR="00FD1E16">
        <w:rPr>
          <w:rFonts w:ascii="Arial" w:hAnsi="Arial" w:cs="Arial"/>
          <w:noProof/>
          <w:sz w:val="16"/>
          <w:szCs w:val="16"/>
        </w:rPr>
        <w:t>.</w:t>
      </w:r>
    </w:p>
    <w:p w14:paraId="482087E9" w14:textId="347B7D4C" w:rsidR="00E01EE6" w:rsidRPr="00B613F4" w:rsidRDefault="00E01EE6" w:rsidP="00E01EE6">
      <w:pPr>
        <w:spacing w:after="0" w:line="240" w:lineRule="auto"/>
        <w:rPr>
          <w:rFonts w:ascii="Arial" w:hAnsi="Arial" w:cs="Arial"/>
          <w:noProof/>
          <w:sz w:val="16"/>
          <w:szCs w:val="16"/>
        </w:rPr>
      </w:pPr>
      <w:r w:rsidRPr="00B613F4">
        <w:rPr>
          <w:rFonts w:ascii="Arial" w:hAnsi="Arial" w:cs="Arial"/>
          <w:noProof/>
          <w:sz w:val="16"/>
          <w:szCs w:val="16"/>
        </w:rPr>
        <w:t>Abbrevia</w:t>
      </w:r>
      <w:r w:rsidR="00DD4534">
        <w:rPr>
          <w:rFonts w:ascii="Arial" w:hAnsi="Arial" w:cs="Arial"/>
          <w:noProof/>
          <w:sz w:val="16"/>
          <w:szCs w:val="16"/>
        </w:rPr>
        <w:t>tions: CI, confidence interval; NA: not applicable because analyses were not performed.</w:t>
      </w:r>
    </w:p>
    <w:p w14:paraId="230AC392" w14:textId="77777777" w:rsidR="00E01EE6" w:rsidRPr="00B613F4" w:rsidRDefault="00E01EE6" w:rsidP="00E01EE6">
      <w:pPr>
        <w:rPr>
          <w:rFonts w:ascii="Arial" w:hAnsi="Arial" w:cs="Arial"/>
          <w:b/>
        </w:rPr>
      </w:pPr>
    </w:p>
    <w:p w14:paraId="6EFD8E47" w14:textId="77777777" w:rsidR="00E01EE6" w:rsidRPr="00B613F4" w:rsidRDefault="00E01EE6" w:rsidP="00E01EE6">
      <w:pPr>
        <w:rPr>
          <w:rFonts w:ascii="Arial" w:hAnsi="Arial" w:cs="Arial"/>
          <w:b/>
          <w:sz w:val="20"/>
          <w:szCs w:val="20"/>
        </w:rPr>
      </w:pPr>
      <w:r w:rsidRPr="00B613F4">
        <w:rPr>
          <w:rFonts w:ascii="Arial" w:hAnsi="Arial" w:cs="Arial"/>
          <w:b/>
          <w:sz w:val="20"/>
          <w:szCs w:val="20"/>
        </w:rPr>
        <w:br w:type="page"/>
      </w:r>
    </w:p>
    <w:p w14:paraId="10483C9F" w14:textId="2674A882" w:rsidR="00E01EE6" w:rsidRPr="00B613F4" w:rsidRDefault="00E01EE6" w:rsidP="00E01EE6">
      <w:pPr>
        <w:spacing w:after="0" w:line="240" w:lineRule="auto"/>
        <w:rPr>
          <w:rFonts w:ascii="Arial" w:hAnsi="Arial" w:cs="Arial"/>
          <w:sz w:val="20"/>
          <w:szCs w:val="20"/>
        </w:rPr>
      </w:pPr>
      <w:r w:rsidRPr="00B613F4">
        <w:rPr>
          <w:rFonts w:ascii="Arial" w:hAnsi="Arial" w:cs="Arial"/>
          <w:b/>
          <w:sz w:val="20"/>
          <w:szCs w:val="20"/>
        </w:rPr>
        <w:lastRenderedPageBreak/>
        <w:t>Appendix Table 2.</w:t>
      </w:r>
      <w:r w:rsidRPr="00B613F4">
        <w:rPr>
          <w:rFonts w:ascii="Arial" w:hAnsi="Arial" w:cs="Arial"/>
          <w:b/>
          <w:bCs/>
          <w:sz w:val="20"/>
          <w:szCs w:val="20"/>
        </w:rPr>
        <w:t xml:space="preserve">  </w:t>
      </w:r>
      <w:r w:rsidRPr="00B613F4">
        <w:rPr>
          <w:rFonts w:ascii="Arial" w:hAnsi="Arial" w:cs="Arial"/>
          <w:sz w:val="20"/>
          <w:szCs w:val="20"/>
        </w:rPr>
        <w:t xml:space="preserve">Patterns in </w:t>
      </w:r>
      <w:r w:rsidR="00E90E64">
        <w:rPr>
          <w:rFonts w:ascii="Arial" w:hAnsi="Arial" w:cs="Arial"/>
          <w:sz w:val="20"/>
          <w:szCs w:val="20"/>
        </w:rPr>
        <w:t>COVID-19 variant-specific death</w:t>
      </w:r>
      <w:r w:rsidR="00BF68B6">
        <w:rPr>
          <w:rFonts w:ascii="Arial" w:hAnsi="Arial" w:cs="Arial"/>
          <w:sz w:val="20"/>
          <w:szCs w:val="20"/>
        </w:rPr>
        <w:t>s</w:t>
      </w:r>
      <w:r w:rsidR="00E90E64">
        <w:rPr>
          <w:rFonts w:ascii="Arial" w:hAnsi="Arial" w:cs="Arial"/>
          <w:sz w:val="20"/>
          <w:szCs w:val="20"/>
        </w:rPr>
        <w:t xml:space="preserve"> and </w:t>
      </w:r>
      <w:r w:rsidR="00BF68B6">
        <w:rPr>
          <w:rFonts w:ascii="Arial" w:hAnsi="Arial" w:cs="Arial"/>
          <w:sz w:val="20"/>
          <w:szCs w:val="20"/>
        </w:rPr>
        <w:t>diagnoses</w:t>
      </w:r>
      <w:r w:rsidR="00BF68B6" w:rsidRPr="00B613F4">
        <w:rPr>
          <w:rFonts w:ascii="Arial" w:hAnsi="Arial" w:cs="Arial"/>
          <w:sz w:val="20"/>
          <w:szCs w:val="20"/>
        </w:rPr>
        <w:t xml:space="preserve"> </w:t>
      </w:r>
      <w:r w:rsidRPr="00B613F4">
        <w:rPr>
          <w:rFonts w:ascii="Arial" w:hAnsi="Arial" w:cs="Arial"/>
          <w:sz w:val="20"/>
          <w:szCs w:val="20"/>
        </w:rPr>
        <w:t xml:space="preserve">by area-level income </w:t>
      </w:r>
      <w:r w:rsidR="00BF68B6">
        <w:rPr>
          <w:rFonts w:ascii="Arial" w:hAnsi="Arial" w:cs="Arial"/>
          <w:sz w:val="20"/>
          <w:szCs w:val="20"/>
        </w:rPr>
        <w:t>during</w:t>
      </w:r>
      <w:r w:rsidR="00BF68B6" w:rsidRPr="00B613F4">
        <w:rPr>
          <w:rFonts w:ascii="Arial" w:hAnsi="Arial" w:cs="Arial"/>
          <w:sz w:val="20"/>
          <w:szCs w:val="20"/>
        </w:rPr>
        <w:t xml:space="preserve"> </w:t>
      </w:r>
      <w:r w:rsidRPr="00B613F4">
        <w:rPr>
          <w:rFonts w:ascii="Arial" w:hAnsi="Arial" w:cs="Arial"/>
          <w:sz w:val="20"/>
          <w:szCs w:val="20"/>
        </w:rPr>
        <w:t>wave</w:t>
      </w:r>
      <w:r w:rsidR="00E90E64">
        <w:rPr>
          <w:rFonts w:ascii="Arial" w:hAnsi="Arial" w:cs="Arial"/>
          <w:sz w:val="20"/>
          <w:szCs w:val="20"/>
        </w:rPr>
        <w:t>s</w:t>
      </w:r>
      <w:r w:rsidRPr="00B613F4">
        <w:rPr>
          <w:rFonts w:ascii="Arial" w:hAnsi="Arial" w:cs="Arial"/>
          <w:sz w:val="20"/>
          <w:szCs w:val="20"/>
        </w:rPr>
        <w:t xml:space="preserve"> </w:t>
      </w:r>
      <w:r w:rsidR="002C0697">
        <w:rPr>
          <w:rFonts w:ascii="Arial" w:hAnsi="Arial" w:cs="Arial"/>
          <w:sz w:val="20"/>
          <w:szCs w:val="20"/>
        </w:rPr>
        <w:t>four and five</w:t>
      </w:r>
      <w:r w:rsidR="00A2401C">
        <w:rPr>
          <w:rFonts w:ascii="Arial" w:hAnsi="Arial" w:cs="Arial"/>
          <w:sz w:val="20"/>
          <w:szCs w:val="20"/>
        </w:rPr>
        <w:t xml:space="preserve"> (</w:t>
      </w:r>
      <w:r w:rsidR="00532378">
        <w:rPr>
          <w:rFonts w:ascii="Arial" w:hAnsi="Arial" w:cs="Arial"/>
          <w:sz w:val="20"/>
          <w:szCs w:val="20"/>
        </w:rPr>
        <w:t>diagnosis date between Aug 1-Dec 31, 2021</w:t>
      </w:r>
      <w:r w:rsidR="00A2401C">
        <w:rPr>
          <w:rFonts w:ascii="Arial" w:hAnsi="Arial" w:cs="Arial"/>
          <w:sz w:val="20"/>
          <w:szCs w:val="20"/>
        </w:rPr>
        <w:t>)</w:t>
      </w:r>
      <w:r w:rsidRPr="00B613F4">
        <w:rPr>
          <w:rFonts w:ascii="Arial" w:hAnsi="Arial" w:cs="Arial"/>
          <w:sz w:val="20"/>
          <w:szCs w:val="20"/>
        </w:rPr>
        <w:t xml:space="preserve">. </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2"/>
        <w:gridCol w:w="1651"/>
        <w:gridCol w:w="1657"/>
        <w:gridCol w:w="1655"/>
        <w:gridCol w:w="1655"/>
      </w:tblGrid>
      <w:tr w:rsidR="00E01EE6" w:rsidRPr="00B613F4" w14:paraId="10975334" w14:textId="77777777" w:rsidTr="00DB1806">
        <w:trPr>
          <w:trHeight w:val="20"/>
        </w:trPr>
        <w:tc>
          <w:tcPr>
            <w:tcW w:w="1465" w:type="pct"/>
            <w:tcBorders>
              <w:top w:val="single" w:sz="4" w:space="0" w:color="auto"/>
              <w:bottom w:val="nil"/>
            </w:tcBorders>
            <w:noWrap/>
            <w:hideMark/>
          </w:tcPr>
          <w:p w14:paraId="3E4A58EF" w14:textId="77777777" w:rsidR="00E01EE6" w:rsidRPr="00B613F4" w:rsidRDefault="00E01EE6" w:rsidP="00B821E3">
            <w:pPr>
              <w:rPr>
                <w:rFonts w:ascii="Arial" w:hAnsi="Arial" w:cs="Arial"/>
                <w:noProof/>
                <w:sz w:val="16"/>
                <w:szCs w:val="16"/>
              </w:rPr>
            </w:pPr>
          </w:p>
        </w:tc>
        <w:tc>
          <w:tcPr>
            <w:tcW w:w="1767" w:type="pct"/>
            <w:gridSpan w:val="2"/>
            <w:tcBorders>
              <w:top w:val="single" w:sz="4" w:space="0" w:color="auto"/>
              <w:bottom w:val="single" w:sz="4" w:space="0" w:color="auto"/>
            </w:tcBorders>
            <w:hideMark/>
          </w:tcPr>
          <w:p w14:paraId="45429301" w14:textId="1D69D39D" w:rsidR="00E01EE6" w:rsidRPr="00B613F4" w:rsidRDefault="00E01EE6" w:rsidP="00B821E3">
            <w:pPr>
              <w:jc w:val="center"/>
              <w:rPr>
                <w:rFonts w:ascii="Arial" w:hAnsi="Arial" w:cs="Arial"/>
                <w:bCs/>
                <w:noProof/>
                <w:sz w:val="16"/>
                <w:szCs w:val="16"/>
              </w:rPr>
            </w:pPr>
            <w:r w:rsidRPr="00B613F4">
              <w:rPr>
                <w:rFonts w:ascii="Arial" w:hAnsi="Arial" w:cs="Arial"/>
                <w:bCs/>
                <w:noProof/>
                <w:sz w:val="16"/>
                <w:szCs w:val="16"/>
              </w:rPr>
              <w:t>Delta-related</w:t>
            </w:r>
            <w:r w:rsidR="00DB1806" w:rsidRPr="00DB1806">
              <w:rPr>
                <w:rFonts w:ascii="Arial" w:hAnsi="Arial" w:cs="Arial"/>
                <w:bCs/>
                <w:noProof/>
                <w:sz w:val="16"/>
                <w:szCs w:val="16"/>
                <w:vertAlign w:val="superscript"/>
              </w:rPr>
              <w:t>b</w:t>
            </w:r>
            <w:r w:rsidRPr="00B613F4">
              <w:rPr>
                <w:rFonts w:ascii="Arial" w:hAnsi="Arial" w:cs="Arial"/>
                <w:bCs/>
                <w:noProof/>
                <w:sz w:val="16"/>
                <w:szCs w:val="16"/>
              </w:rPr>
              <w:t xml:space="preserve"> outcome</w:t>
            </w:r>
          </w:p>
        </w:tc>
        <w:tc>
          <w:tcPr>
            <w:tcW w:w="1768" w:type="pct"/>
            <w:gridSpan w:val="2"/>
            <w:tcBorders>
              <w:top w:val="single" w:sz="4" w:space="0" w:color="auto"/>
              <w:bottom w:val="single" w:sz="4" w:space="0" w:color="auto"/>
            </w:tcBorders>
            <w:hideMark/>
          </w:tcPr>
          <w:p w14:paraId="260E6076" w14:textId="5FA91EE4" w:rsidR="00E01EE6" w:rsidRPr="00B613F4" w:rsidRDefault="00E01EE6" w:rsidP="00B821E3">
            <w:pPr>
              <w:jc w:val="center"/>
              <w:rPr>
                <w:rFonts w:ascii="Arial" w:hAnsi="Arial" w:cs="Arial"/>
                <w:bCs/>
                <w:noProof/>
                <w:sz w:val="16"/>
                <w:szCs w:val="16"/>
              </w:rPr>
            </w:pPr>
            <w:r w:rsidRPr="00B613F4">
              <w:rPr>
                <w:rFonts w:ascii="Arial" w:hAnsi="Arial" w:cs="Arial"/>
                <w:bCs/>
                <w:noProof/>
                <w:sz w:val="16"/>
                <w:szCs w:val="16"/>
              </w:rPr>
              <w:t>Omicron-related</w:t>
            </w:r>
            <w:r w:rsidR="00DB1806" w:rsidRPr="00DB1806">
              <w:rPr>
                <w:rFonts w:ascii="Arial" w:hAnsi="Arial" w:cs="Arial"/>
                <w:bCs/>
                <w:noProof/>
                <w:sz w:val="16"/>
                <w:szCs w:val="16"/>
                <w:vertAlign w:val="superscript"/>
              </w:rPr>
              <w:t>b</w:t>
            </w:r>
            <w:r w:rsidRPr="00B613F4">
              <w:rPr>
                <w:rFonts w:ascii="Arial" w:hAnsi="Arial" w:cs="Arial"/>
                <w:bCs/>
                <w:noProof/>
                <w:sz w:val="16"/>
                <w:szCs w:val="16"/>
              </w:rPr>
              <w:t xml:space="preserve"> outcome</w:t>
            </w:r>
          </w:p>
        </w:tc>
      </w:tr>
      <w:tr w:rsidR="00E01EE6" w:rsidRPr="00B613F4" w14:paraId="11E02A92" w14:textId="77777777" w:rsidTr="00DB1806">
        <w:trPr>
          <w:trHeight w:val="20"/>
        </w:trPr>
        <w:tc>
          <w:tcPr>
            <w:tcW w:w="1465" w:type="pct"/>
            <w:tcBorders>
              <w:top w:val="nil"/>
              <w:bottom w:val="nil"/>
            </w:tcBorders>
            <w:noWrap/>
          </w:tcPr>
          <w:p w14:paraId="185FBE8C" w14:textId="65DDA6EC" w:rsidR="00E01EE6" w:rsidRPr="00B613F4" w:rsidRDefault="00E01EE6" w:rsidP="00DB1806">
            <w:pPr>
              <w:rPr>
                <w:rFonts w:ascii="Arial" w:hAnsi="Arial" w:cs="Arial"/>
                <w:noProof/>
                <w:sz w:val="16"/>
                <w:szCs w:val="16"/>
              </w:rPr>
            </w:pPr>
            <w:r w:rsidRPr="00B613F4">
              <w:rPr>
                <w:rFonts w:ascii="Arial" w:hAnsi="Arial" w:cs="Arial"/>
                <w:noProof/>
                <w:sz w:val="16"/>
                <w:szCs w:val="16"/>
              </w:rPr>
              <w:t xml:space="preserve">Area-level </w:t>
            </w:r>
            <w:r w:rsidR="00DB1806">
              <w:rPr>
                <w:rFonts w:ascii="Arial" w:hAnsi="Arial" w:cs="Arial"/>
                <w:noProof/>
                <w:sz w:val="16"/>
                <w:szCs w:val="16"/>
              </w:rPr>
              <w:t>i</w:t>
            </w:r>
            <w:r w:rsidRPr="00B613F4">
              <w:rPr>
                <w:rFonts w:ascii="Arial" w:hAnsi="Arial" w:cs="Arial"/>
                <w:noProof/>
                <w:sz w:val="16"/>
                <w:szCs w:val="16"/>
              </w:rPr>
              <w:t>ncome</w:t>
            </w:r>
            <w:r w:rsidR="00DB1806" w:rsidRPr="00DB1806">
              <w:rPr>
                <w:rFonts w:ascii="Arial" w:hAnsi="Arial" w:cs="Arial"/>
                <w:noProof/>
                <w:sz w:val="16"/>
                <w:szCs w:val="16"/>
                <w:vertAlign w:val="superscript"/>
              </w:rPr>
              <w:t>a</w:t>
            </w:r>
            <w:r w:rsidRPr="00B613F4">
              <w:rPr>
                <w:rFonts w:ascii="Arial" w:hAnsi="Arial" w:cs="Arial"/>
                <w:noProof/>
                <w:sz w:val="16"/>
                <w:szCs w:val="16"/>
              </w:rPr>
              <w:t xml:space="preserve"> </w:t>
            </w:r>
          </w:p>
        </w:tc>
        <w:tc>
          <w:tcPr>
            <w:tcW w:w="1767" w:type="pct"/>
            <w:gridSpan w:val="2"/>
            <w:tcBorders>
              <w:top w:val="single" w:sz="4" w:space="0" w:color="auto"/>
              <w:bottom w:val="nil"/>
            </w:tcBorders>
          </w:tcPr>
          <w:p w14:paraId="2C1DAD5E" w14:textId="345EF350" w:rsidR="00E01EE6" w:rsidRPr="00B613F4" w:rsidRDefault="00E01EE6" w:rsidP="00DB1806">
            <w:pPr>
              <w:jc w:val="center"/>
              <w:rPr>
                <w:rFonts w:ascii="Arial" w:eastAsia="Times New Roman" w:hAnsi="Arial" w:cs="Arial"/>
                <w:sz w:val="16"/>
                <w:szCs w:val="16"/>
              </w:rPr>
            </w:pPr>
            <w:r w:rsidRPr="00B613F4">
              <w:rPr>
                <w:rFonts w:ascii="Arial" w:eastAsia="Times New Roman" w:hAnsi="Arial" w:cs="Arial"/>
                <w:sz w:val="16"/>
                <w:szCs w:val="16"/>
              </w:rPr>
              <w:t>Hazard ratio</w:t>
            </w:r>
            <w:r w:rsidR="00DB1806">
              <w:rPr>
                <w:rFonts w:ascii="Arial" w:eastAsia="Times New Roman" w:hAnsi="Arial" w:cs="Arial"/>
                <w:sz w:val="16"/>
                <w:szCs w:val="16"/>
                <w:vertAlign w:val="superscript"/>
              </w:rPr>
              <w:t>c</w:t>
            </w:r>
            <w:r w:rsidRPr="00B613F4">
              <w:rPr>
                <w:rFonts w:ascii="Arial" w:eastAsia="Times New Roman" w:hAnsi="Arial" w:cs="Arial"/>
                <w:sz w:val="16"/>
                <w:szCs w:val="16"/>
              </w:rPr>
              <w:t xml:space="preserve"> (95% CI)</w:t>
            </w:r>
          </w:p>
        </w:tc>
        <w:tc>
          <w:tcPr>
            <w:tcW w:w="1768" w:type="pct"/>
            <w:gridSpan w:val="2"/>
            <w:tcBorders>
              <w:top w:val="single" w:sz="4" w:space="0" w:color="auto"/>
              <w:bottom w:val="nil"/>
            </w:tcBorders>
          </w:tcPr>
          <w:p w14:paraId="0990C4F2" w14:textId="4BDE4BBD" w:rsidR="00E01EE6" w:rsidRPr="00B613F4" w:rsidRDefault="00E01EE6" w:rsidP="00DB1806">
            <w:pPr>
              <w:jc w:val="center"/>
              <w:rPr>
                <w:rFonts w:ascii="Arial" w:hAnsi="Arial" w:cs="Arial"/>
                <w:bCs/>
                <w:noProof/>
                <w:sz w:val="16"/>
                <w:szCs w:val="16"/>
              </w:rPr>
            </w:pPr>
            <w:r w:rsidRPr="00B613F4">
              <w:rPr>
                <w:rFonts w:ascii="Arial" w:eastAsia="Times New Roman" w:hAnsi="Arial" w:cs="Arial"/>
                <w:sz w:val="16"/>
                <w:szCs w:val="16"/>
              </w:rPr>
              <w:t>Hazard ratio</w:t>
            </w:r>
            <w:r w:rsidR="00DB1806">
              <w:rPr>
                <w:rFonts w:ascii="Arial" w:eastAsia="Times New Roman" w:hAnsi="Arial" w:cs="Arial"/>
                <w:sz w:val="16"/>
                <w:szCs w:val="16"/>
                <w:vertAlign w:val="superscript"/>
              </w:rPr>
              <w:t xml:space="preserve">c </w:t>
            </w:r>
            <w:r w:rsidRPr="00B613F4">
              <w:rPr>
                <w:rFonts w:ascii="Arial" w:eastAsia="Times New Roman" w:hAnsi="Arial" w:cs="Arial"/>
                <w:sz w:val="16"/>
                <w:szCs w:val="16"/>
              </w:rPr>
              <w:t>(95% CI)</w:t>
            </w:r>
          </w:p>
        </w:tc>
      </w:tr>
      <w:tr w:rsidR="00E01EE6" w:rsidRPr="00B613F4" w14:paraId="6D4EAD33" w14:textId="77777777" w:rsidTr="00DB1806">
        <w:trPr>
          <w:trHeight w:val="20"/>
        </w:trPr>
        <w:tc>
          <w:tcPr>
            <w:tcW w:w="1465" w:type="pct"/>
            <w:tcBorders>
              <w:top w:val="nil"/>
              <w:bottom w:val="single" w:sz="4" w:space="0" w:color="auto"/>
            </w:tcBorders>
            <w:noWrap/>
          </w:tcPr>
          <w:p w14:paraId="5FCDCE6C" w14:textId="77777777" w:rsidR="00E01EE6" w:rsidRPr="00B613F4" w:rsidRDefault="00E01EE6" w:rsidP="00B821E3">
            <w:pPr>
              <w:rPr>
                <w:rFonts w:ascii="Arial" w:eastAsia="Times New Roman" w:hAnsi="Arial" w:cs="Arial"/>
                <w:sz w:val="16"/>
                <w:szCs w:val="16"/>
              </w:rPr>
            </w:pPr>
          </w:p>
        </w:tc>
        <w:tc>
          <w:tcPr>
            <w:tcW w:w="882" w:type="pct"/>
            <w:tcBorders>
              <w:top w:val="nil"/>
              <w:bottom w:val="single" w:sz="4" w:space="0" w:color="auto"/>
            </w:tcBorders>
            <w:noWrap/>
          </w:tcPr>
          <w:p w14:paraId="7574E597" w14:textId="77777777" w:rsidR="00E01EE6" w:rsidRPr="00B613F4" w:rsidRDefault="00E01EE6" w:rsidP="00B821E3">
            <w:pPr>
              <w:jc w:val="center"/>
              <w:rPr>
                <w:rFonts w:ascii="Arial" w:hAnsi="Arial" w:cs="Arial"/>
                <w:color w:val="000000"/>
                <w:sz w:val="16"/>
                <w:szCs w:val="16"/>
              </w:rPr>
            </w:pPr>
            <w:r w:rsidRPr="00B613F4">
              <w:rPr>
                <w:rFonts w:ascii="Arial" w:hAnsi="Arial" w:cs="Arial"/>
                <w:color w:val="000000"/>
                <w:sz w:val="16"/>
                <w:szCs w:val="16"/>
              </w:rPr>
              <w:t>Unadjusted</w:t>
            </w:r>
          </w:p>
        </w:tc>
        <w:tc>
          <w:tcPr>
            <w:tcW w:w="885" w:type="pct"/>
            <w:tcBorders>
              <w:top w:val="nil"/>
              <w:bottom w:val="single" w:sz="4" w:space="0" w:color="auto"/>
            </w:tcBorders>
            <w:noWrap/>
          </w:tcPr>
          <w:p w14:paraId="2098C253" w14:textId="3AFACF1A" w:rsidR="00E01EE6" w:rsidRPr="00B613F4" w:rsidRDefault="003D782D" w:rsidP="00DB1806">
            <w:pPr>
              <w:jc w:val="center"/>
              <w:rPr>
                <w:rFonts w:ascii="Arial" w:hAnsi="Arial" w:cs="Arial"/>
                <w:color w:val="000000"/>
                <w:sz w:val="16"/>
                <w:szCs w:val="16"/>
              </w:rPr>
            </w:pPr>
            <w:r>
              <w:rPr>
                <w:rFonts w:ascii="Arial" w:hAnsi="Arial" w:cs="Arial"/>
                <w:color w:val="000000"/>
                <w:sz w:val="16"/>
                <w:szCs w:val="16"/>
              </w:rPr>
              <w:t>A</w:t>
            </w:r>
            <w:r w:rsidR="00E01EE6" w:rsidRPr="00B613F4">
              <w:rPr>
                <w:rFonts w:ascii="Arial" w:hAnsi="Arial" w:cs="Arial"/>
                <w:color w:val="000000"/>
                <w:sz w:val="16"/>
                <w:szCs w:val="16"/>
              </w:rPr>
              <w:t>djusted</w:t>
            </w:r>
            <w:r w:rsidR="00DB1806">
              <w:rPr>
                <w:rFonts w:ascii="Arial" w:hAnsi="Arial" w:cs="Arial"/>
                <w:sz w:val="16"/>
                <w:szCs w:val="16"/>
                <w:vertAlign w:val="superscript"/>
              </w:rPr>
              <w:t>d</w:t>
            </w:r>
          </w:p>
        </w:tc>
        <w:tc>
          <w:tcPr>
            <w:tcW w:w="884" w:type="pct"/>
            <w:tcBorders>
              <w:top w:val="nil"/>
              <w:bottom w:val="single" w:sz="4" w:space="0" w:color="auto"/>
            </w:tcBorders>
            <w:noWrap/>
          </w:tcPr>
          <w:p w14:paraId="1F63B65B" w14:textId="77777777" w:rsidR="00E01EE6" w:rsidRPr="00B613F4" w:rsidRDefault="00E01EE6" w:rsidP="00B821E3">
            <w:pPr>
              <w:jc w:val="center"/>
              <w:rPr>
                <w:rFonts w:ascii="Arial" w:hAnsi="Arial" w:cs="Arial"/>
                <w:color w:val="000000"/>
                <w:sz w:val="16"/>
                <w:szCs w:val="16"/>
              </w:rPr>
            </w:pPr>
            <w:r w:rsidRPr="00B613F4">
              <w:rPr>
                <w:rFonts w:ascii="Arial" w:hAnsi="Arial" w:cs="Arial"/>
                <w:color w:val="000000"/>
                <w:sz w:val="16"/>
                <w:szCs w:val="16"/>
              </w:rPr>
              <w:t>Unadjusted</w:t>
            </w:r>
          </w:p>
        </w:tc>
        <w:tc>
          <w:tcPr>
            <w:tcW w:w="884" w:type="pct"/>
            <w:tcBorders>
              <w:top w:val="nil"/>
              <w:bottom w:val="single" w:sz="4" w:space="0" w:color="auto"/>
            </w:tcBorders>
            <w:noWrap/>
          </w:tcPr>
          <w:p w14:paraId="4F57907B" w14:textId="3837971A" w:rsidR="00E01EE6" w:rsidRPr="00B613F4" w:rsidRDefault="003D782D" w:rsidP="00DB1806">
            <w:pPr>
              <w:jc w:val="center"/>
              <w:rPr>
                <w:rFonts w:ascii="Arial" w:hAnsi="Arial" w:cs="Arial"/>
                <w:color w:val="000000"/>
                <w:sz w:val="16"/>
                <w:szCs w:val="16"/>
              </w:rPr>
            </w:pPr>
            <w:r>
              <w:rPr>
                <w:rFonts w:ascii="Arial" w:hAnsi="Arial" w:cs="Arial"/>
                <w:color w:val="000000"/>
                <w:sz w:val="16"/>
                <w:szCs w:val="16"/>
              </w:rPr>
              <w:t>A</w:t>
            </w:r>
            <w:r w:rsidR="00E01EE6" w:rsidRPr="00B613F4">
              <w:rPr>
                <w:rFonts w:ascii="Arial" w:hAnsi="Arial" w:cs="Arial"/>
                <w:color w:val="000000"/>
                <w:sz w:val="16"/>
                <w:szCs w:val="16"/>
              </w:rPr>
              <w:t>djusted</w:t>
            </w:r>
            <w:r w:rsidR="00DB1806">
              <w:rPr>
                <w:rFonts w:ascii="Arial" w:hAnsi="Arial" w:cs="Arial"/>
                <w:sz w:val="16"/>
                <w:szCs w:val="16"/>
                <w:vertAlign w:val="superscript"/>
              </w:rPr>
              <w:t>d</w:t>
            </w:r>
          </w:p>
        </w:tc>
      </w:tr>
      <w:tr w:rsidR="00E01EE6" w:rsidRPr="00B613F4" w14:paraId="6B4140A9" w14:textId="77777777" w:rsidTr="00DB1806">
        <w:trPr>
          <w:trHeight w:val="20"/>
        </w:trPr>
        <w:tc>
          <w:tcPr>
            <w:tcW w:w="1465" w:type="pct"/>
            <w:tcBorders>
              <w:top w:val="single" w:sz="4" w:space="0" w:color="auto"/>
              <w:bottom w:val="single" w:sz="4" w:space="0" w:color="auto"/>
            </w:tcBorders>
            <w:noWrap/>
          </w:tcPr>
          <w:p w14:paraId="7E577AA7" w14:textId="535E7A7A" w:rsidR="00E01EE6" w:rsidRPr="00B613F4" w:rsidRDefault="00E01EE6" w:rsidP="003D782D">
            <w:pPr>
              <w:rPr>
                <w:rFonts w:ascii="Arial" w:eastAsia="Times New Roman" w:hAnsi="Arial" w:cs="Arial"/>
                <w:sz w:val="16"/>
                <w:szCs w:val="16"/>
              </w:rPr>
            </w:pPr>
            <w:r w:rsidRPr="00B613F4">
              <w:rPr>
                <w:rFonts w:ascii="Arial" w:eastAsia="Times New Roman" w:hAnsi="Arial" w:cs="Arial"/>
                <w:sz w:val="16"/>
                <w:szCs w:val="16"/>
              </w:rPr>
              <w:t xml:space="preserve">Outcome: </w:t>
            </w:r>
            <w:r w:rsidR="003D782D">
              <w:rPr>
                <w:rFonts w:ascii="Arial" w:eastAsia="Times New Roman" w:hAnsi="Arial" w:cs="Arial"/>
                <w:sz w:val="16"/>
                <w:szCs w:val="16"/>
              </w:rPr>
              <w:t>variant-specific death</w:t>
            </w:r>
            <w:r w:rsidR="00DB1806" w:rsidRPr="00DB1806">
              <w:rPr>
                <w:rFonts w:ascii="Arial" w:eastAsia="Times New Roman" w:hAnsi="Arial" w:cs="Arial"/>
                <w:sz w:val="16"/>
                <w:szCs w:val="16"/>
                <w:vertAlign w:val="superscript"/>
              </w:rPr>
              <w:t>e</w:t>
            </w:r>
          </w:p>
        </w:tc>
        <w:tc>
          <w:tcPr>
            <w:tcW w:w="882" w:type="pct"/>
            <w:tcBorders>
              <w:top w:val="single" w:sz="4" w:space="0" w:color="auto"/>
              <w:bottom w:val="single" w:sz="4" w:space="0" w:color="auto"/>
            </w:tcBorders>
            <w:noWrap/>
            <w:vAlign w:val="bottom"/>
          </w:tcPr>
          <w:p w14:paraId="7D09660E" w14:textId="77777777" w:rsidR="00E01EE6" w:rsidRPr="00B613F4" w:rsidRDefault="00E01EE6" w:rsidP="00B821E3">
            <w:pPr>
              <w:rPr>
                <w:rFonts w:ascii="Arial" w:hAnsi="Arial" w:cs="Arial"/>
                <w:color w:val="BFBFBF" w:themeColor="background1" w:themeShade="BF"/>
                <w:sz w:val="16"/>
                <w:szCs w:val="16"/>
              </w:rPr>
            </w:pPr>
          </w:p>
        </w:tc>
        <w:tc>
          <w:tcPr>
            <w:tcW w:w="885" w:type="pct"/>
            <w:tcBorders>
              <w:top w:val="single" w:sz="4" w:space="0" w:color="auto"/>
              <w:bottom w:val="single" w:sz="4" w:space="0" w:color="auto"/>
            </w:tcBorders>
            <w:noWrap/>
            <w:vAlign w:val="bottom"/>
          </w:tcPr>
          <w:p w14:paraId="6C9D1DFF" w14:textId="77777777" w:rsidR="00E01EE6" w:rsidRPr="00B613F4" w:rsidRDefault="00E01EE6" w:rsidP="00B821E3">
            <w:pPr>
              <w:rPr>
                <w:rFonts w:ascii="Arial" w:hAnsi="Arial" w:cs="Arial"/>
                <w:color w:val="BFBFBF" w:themeColor="background1" w:themeShade="BF"/>
                <w:sz w:val="16"/>
                <w:szCs w:val="16"/>
              </w:rPr>
            </w:pPr>
          </w:p>
        </w:tc>
        <w:tc>
          <w:tcPr>
            <w:tcW w:w="884" w:type="pct"/>
            <w:tcBorders>
              <w:top w:val="single" w:sz="4" w:space="0" w:color="auto"/>
              <w:bottom w:val="single" w:sz="4" w:space="0" w:color="auto"/>
            </w:tcBorders>
            <w:noWrap/>
            <w:vAlign w:val="bottom"/>
          </w:tcPr>
          <w:p w14:paraId="6294A3AA" w14:textId="77777777" w:rsidR="00E01EE6" w:rsidRPr="00B613F4" w:rsidRDefault="00E01EE6" w:rsidP="00B821E3">
            <w:pPr>
              <w:rPr>
                <w:rFonts w:ascii="Arial" w:hAnsi="Arial" w:cs="Arial"/>
                <w:color w:val="BFBFBF" w:themeColor="background1" w:themeShade="BF"/>
                <w:sz w:val="16"/>
                <w:szCs w:val="16"/>
              </w:rPr>
            </w:pPr>
          </w:p>
        </w:tc>
        <w:tc>
          <w:tcPr>
            <w:tcW w:w="884" w:type="pct"/>
            <w:tcBorders>
              <w:top w:val="single" w:sz="4" w:space="0" w:color="auto"/>
              <w:bottom w:val="single" w:sz="4" w:space="0" w:color="auto"/>
            </w:tcBorders>
            <w:noWrap/>
            <w:vAlign w:val="bottom"/>
          </w:tcPr>
          <w:p w14:paraId="7B579D7A" w14:textId="77777777" w:rsidR="00E01EE6" w:rsidRPr="00B613F4" w:rsidRDefault="00E01EE6" w:rsidP="00B821E3">
            <w:pPr>
              <w:rPr>
                <w:rFonts w:ascii="Arial" w:hAnsi="Arial" w:cs="Arial"/>
                <w:color w:val="BFBFBF" w:themeColor="background1" w:themeShade="BF"/>
                <w:sz w:val="16"/>
                <w:szCs w:val="16"/>
              </w:rPr>
            </w:pPr>
          </w:p>
        </w:tc>
      </w:tr>
      <w:tr w:rsidR="00E01EE6" w:rsidRPr="00B613F4" w14:paraId="443F58C3" w14:textId="77777777" w:rsidTr="00DB1806">
        <w:trPr>
          <w:trHeight w:val="20"/>
        </w:trPr>
        <w:tc>
          <w:tcPr>
            <w:tcW w:w="1465" w:type="pct"/>
            <w:tcBorders>
              <w:top w:val="single" w:sz="4" w:space="0" w:color="auto"/>
            </w:tcBorders>
            <w:noWrap/>
          </w:tcPr>
          <w:p w14:paraId="415A909A" w14:textId="1E5F61C6" w:rsidR="00E01EE6" w:rsidRPr="00B613F4" w:rsidRDefault="00E01EE6" w:rsidP="00C363A3">
            <w:pPr>
              <w:rPr>
                <w:rFonts w:ascii="Arial" w:eastAsia="Times New Roman" w:hAnsi="Arial" w:cs="Arial"/>
                <w:sz w:val="16"/>
                <w:szCs w:val="16"/>
              </w:rPr>
            </w:pPr>
            <w:r w:rsidRPr="00B613F4">
              <w:rPr>
                <w:rFonts w:ascii="Arial" w:eastAsia="Times New Roman" w:hAnsi="Arial" w:cs="Arial"/>
                <w:sz w:val="16"/>
                <w:szCs w:val="16"/>
              </w:rPr>
              <w:t>Income (</w:t>
            </w:r>
            <w:r w:rsidR="00C363A3">
              <w:rPr>
                <w:rFonts w:ascii="Arial" w:eastAsia="Times New Roman" w:hAnsi="Arial" w:cs="Arial"/>
                <w:sz w:val="16"/>
                <w:szCs w:val="16"/>
              </w:rPr>
              <w:t>5</w:t>
            </w:r>
            <w:r w:rsidRPr="00B613F4">
              <w:rPr>
                <w:rFonts w:ascii="Arial" w:eastAsia="Times New Roman" w:hAnsi="Arial" w:cs="Arial"/>
                <w:sz w:val="16"/>
                <w:szCs w:val="16"/>
              </w:rPr>
              <w:t>= Highest)</w:t>
            </w:r>
          </w:p>
        </w:tc>
        <w:tc>
          <w:tcPr>
            <w:tcW w:w="882" w:type="pct"/>
            <w:tcBorders>
              <w:top w:val="single" w:sz="4" w:space="0" w:color="auto"/>
            </w:tcBorders>
            <w:noWrap/>
            <w:vAlign w:val="bottom"/>
          </w:tcPr>
          <w:p w14:paraId="4A6A2B80" w14:textId="77777777" w:rsidR="00E01EE6" w:rsidRPr="00B613F4" w:rsidRDefault="00E01EE6" w:rsidP="00B821E3">
            <w:pPr>
              <w:rPr>
                <w:rFonts w:ascii="Arial" w:hAnsi="Arial" w:cs="Arial"/>
                <w:color w:val="BFBFBF" w:themeColor="background1" w:themeShade="BF"/>
                <w:sz w:val="16"/>
                <w:szCs w:val="16"/>
              </w:rPr>
            </w:pPr>
            <w:r w:rsidRPr="00B613F4">
              <w:rPr>
                <w:rFonts w:ascii="Arial" w:hAnsi="Arial" w:cs="Arial"/>
                <w:color w:val="BFBFBF" w:themeColor="background1" w:themeShade="BF"/>
                <w:sz w:val="16"/>
                <w:szCs w:val="16"/>
              </w:rPr>
              <w:t> </w:t>
            </w:r>
          </w:p>
        </w:tc>
        <w:tc>
          <w:tcPr>
            <w:tcW w:w="885" w:type="pct"/>
            <w:tcBorders>
              <w:top w:val="single" w:sz="4" w:space="0" w:color="auto"/>
            </w:tcBorders>
            <w:noWrap/>
            <w:vAlign w:val="bottom"/>
          </w:tcPr>
          <w:p w14:paraId="6613B93F" w14:textId="77777777" w:rsidR="00E01EE6" w:rsidRPr="00B613F4" w:rsidRDefault="00E01EE6" w:rsidP="00B821E3">
            <w:pPr>
              <w:rPr>
                <w:rFonts w:ascii="Arial" w:hAnsi="Arial" w:cs="Arial"/>
                <w:color w:val="BFBFBF" w:themeColor="background1" w:themeShade="BF"/>
                <w:sz w:val="16"/>
                <w:szCs w:val="16"/>
              </w:rPr>
            </w:pPr>
            <w:r w:rsidRPr="00B613F4">
              <w:rPr>
                <w:rFonts w:ascii="Arial" w:hAnsi="Arial" w:cs="Arial"/>
                <w:color w:val="BFBFBF" w:themeColor="background1" w:themeShade="BF"/>
                <w:sz w:val="16"/>
                <w:szCs w:val="16"/>
              </w:rPr>
              <w:t> </w:t>
            </w:r>
          </w:p>
        </w:tc>
        <w:tc>
          <w:tcPr>
            <w:tcW w:w="884" w:type="pct"/>
            <w:tcBorders>
              <w:top w:val="single" w:sz="4" w:space="0" w:color="auto"/>
            </w:tcBorders>
            <w:noWrap/>
            <w:vAlign w:val="bottom"/>
          </w:tcPr>
          <w:p w14:paraId="1DB6875F" w14:textId="77777777" w:rsidR="00E01EE6" w:rsidRPr="00B613F4" w:rsidRDefault="00E01EE6" w:rsidP="00B821E3">
            <w:pPr>
              <w:rPr>
                <w:rFonts w:ascii="Arial" w:hAnsi="Arial" w:cs="Arial"/>
                <w:color w:val="BFBFBF" w:themeColor="background1" w:themeShade="BF"/>
                <w:sz w:val="16"/>
                <w:szCs w:val="16"/>
              </w:rPr>
            </w:pPr>
            <w:r w:rsidRPr="00B613F4">
              <w:rPr>
                <w:rFonts w:ascii="Arial" w:hAnsi="Arial" w:cs="Arial"/>
                <w:color w:val="BFBFBF" w:themeColor="background1" w:themeShade="BF"/>
                <w:sz w:val="16"/>
                <w:szCs w:val="16"/>
              </w:rPr>
              <w:t> </w:t>
            </w:r>
          </w:p>
        </w:tc>
        <w:tc>
          <w:tcPr>
            <w:tcW w:w="884" w:type="pct"/>
            <w:tcBorders>
              <w:top w:val="single" w:sz="4" w:space="0" w:color="auto"/>
            </w:tcBorders>
            <w:noWrap/>
            <w:vAlign w:val="bottom"/>
          </w:tcPr>
          <w:p w14:paraId="7E74070C" w14:textId="77777777" w:rsidR="00E01EE6" w:rsidRPr="00B613F4" w:rsidRDefault="00E01EE6" w:rsidP="00B821E3">
            <w:pPr>
              <w:rPr>
                <w:rFonts w:ascii="Arial" w:hAnsi="Arial" w:cs="Arial"/>
                <w:color w:val="BFBFBF" w:themeColor="background1" w:themeShade="BF"/>
                <w:sz w:val="16"/>
                <w:szCs w:val="16"/>
              </w:rPr>
            </w:pPr>
            <w:r w:rsidRPr="00B613F4">
              <w:rPr>
                <w:rFonts w:ascii="Arial" w:hAnsi="Arial" w:cs="Arial"/>
                <w:color w:val="BFBFBF" w:themeColor="background1" w:themeShade="BF"/>
                <w:sz w:val="16"/>
                <w:szCs w:val="16"/>
              </w:rPr>
              <w:t> </w:t>
            </w:r>
          </w:p>
        </w:tc>
      </w:tr>
      <w:tr w:rsidR="00C363A3" w:rsidRPr="00B613F4" w14:paraId="04A9DAC4" w14:textId="77777777" w:rsidTr="00DB1806">
        <w:trPr>
          <w:trHeight w:val="20"/>
        </w:trPr>
        <w:tc>
          <w:tcPr>
            <w:tcW w:w="1465" w:type="pct"/>
            <w:noWrap/>
            <w:hideMark/>
          </w:tcPr>
          <w:p w14:paraId="4D3CFEFD" w14:textId="4C36B37C" w:rsidR="00C363A3" w:rsidRPr="00B613F4" w:rsidRDefault="00C363A3" w:rsidP="00C363A3">
            <w:pPr>
              <w:ind w:left="144"/>
              <w:rPr>
                <w:rFonts w:ascii="Arial" w:hAnsi="Arial" w:cs="Arial"/>
                <w:noProof/>
                <w:sz w:val="16"/>
                <w:szCs w:val="16"/>
              </w:rPr>
            </w:pPr>
            <w:r>
              <w:rPr>
                <w:rFonts w:ascii="Arial" w:eastAsia="Times New Roman" w:hAnsi="Arial" w:cs="Arial"/>
                <w:sz w:val="16"/>
                <w:szCs w:val="16"/>
              </w:rPr>
              <w:t>4</w:t>
            </w:r>
            <w:r w:rsidRPr="00B613F4">
              <w:rPr>
                <w:rFonts w:ascii="Arial" w:eastAsia="Times New Roman" w:hAnsi="Arial" w:cs="Arial"/>
                <w:sz w:val="16"/>
                <w:szCs w:val="16"/>
              </w:rPr>
              <w:t xml:space="preserve"> vs </w:t>
            </w:r>
            <w:r>
              <w:rPr>
                <w:rFonts w:ascii="Arial" w:eastAsia="Times New Roman" w:hAnsi="Arial" w:cs="Arial"/>
                <w:sz w:val="16"/>
                <w:szCs w:val="16"/>
              </w:rPr>
              <w:t>5</w:t>
            </w:r>
          </w:p>
        </w:tc>
        <w:tc>
          <w:tcPr>
            <w:tcW w:w="882" w:type="pct"/>
            <w:noWrap/>
            <w:vAlign w:val="bottom"/>
            <w:hideMark/>
          </w:tcPr>
          <w:p w14:paraId="380F1B0F" w14:textId="77777777" w:rsidR="00C363A3" w:rsidRPr="00B613F4" w:rsidRDefault="00C363A3" w:rsidP="00C363A3">
            <w:pPr>
              <w:rPr>
                <w:rFonts w:ascii="Arial" w:hAnsi="Arial" w:cs="Arial"/>
                <w:noProof/>
                <w:color w:val="BFBFBF" w:themeColor="background1" w:themeShade="BF"/>
                <w:sz w:val="16"/>
                <w:szCs w:val="16"/>
              </w:rPr>
            </w:pPr>
            <w:r w:rsidRPr="00B613F4">
              <w:rPr>
                <w:rFonts w:ascii="Arial" w:hAnsi="Arial" w:cs="Arial"/>
                <w:color w:val="000000"/>
                <w:sz w:val="16"/>
                <w:szCs w:val="16"/>
              </w:rPr>
              <w:t>1.21 (0.91, 1.61)</w:t>
            </w:r>
          </w:p>
        </w:tc>
        <w:tc>
          <w:tcPr>
            <w:tcW w:w="885" w:type="pct"/>
            <w:noWrap/>
            <w:vAlign w:val="bottom"/>
            <w:hideMark/>
          </w:tcPr>
          <w:p w14:paraId="368DDE8C" w14:textId="77777777" w:rsidR="00C363A3" w:rsidRPr="00B613F4" w:rsidRDefault="00C363A3" w:rsidP="00C363A3">
            <w:pPr>
              <w:rPr>
                <w:rFonts w:ascii="Arial" w:hAnsi="Arial" w:cs="Arial"/>
                <w:noProof/>
                <w:color w:val="BFBFBF" w:themeColor="background1" w:themeShade="BF"/>
                <w:sz w:val="16"/>
                <w:szCs w:val="16"/>
              </w:rPr>
            </w:pPr>
            <w:r w:rsidRPr="00B613F4">
              <w:rPr>
                <w:rFonts w:ascii="Arial" w:hAnsi="Arial" w:cs="Arial"/>
                <w:color w:val="000000"/>
                <w:sz w:val="16"/>
                <w:szCs w:val="16"/>
              </w:rPr>
              <w:t>1.02 (0.76, 1.37)</w:t>
            </w:r>
          </w:p>
        </w:tc>
        <w:tc>
          <w:tcPr>
            <w:tcW w:w="884" w:type="pct"/>
            <w:noWrap/>
            <w:vAlign w:val="bottom"/>
            <w:hideMark/>
          </w:tcPr>
          <w:p w14:paraId="7B9F815D" w14:textId="77777777" w:rsidR="00C363A3" w:rsidRPr="00B613F4" w:rsidRDefault="00C363A3" w:rsidP="00C363A3">
            <w:pPr>
              <w:rPr>
                <w:rFonts w:ascii="Arial" w:hAnsi="Arial" w:cs="Arial"/>
                <w:noProof/>
                <w:color w:val="BFBFBF" w:themeColor="background1" w:themeShade="BF"/>
                <w:sz w:val="16"/>
                <w:szCs w:val="16"/>
              </w:rPr>
            </w:pPr>
            <w:r w:rsidRPr="00B613F4">
              <w:rPr>
                <w:rFonts w:ascii="Arial" w:hAnsi="Arial" w:cs="Arial"/>
                <w:color w:val="000000"/>
                <w:sz w:val="16"/>
                <w:szCs w:val="16"/>
              </w:rPr>
              <w:t>1.30 (0.86, 1.97)</w:t>
            </w:r>
          </w:p>
        </w:tc>
        <w:tc>
          <w:tcPr>
            <w:tcW w:w="884" w:type="pct"/>
            <w:noWrap/>
            <w:vAlign w:val="bottom"/>
            <w:hideMark/>
          </w:tcPr>
          <w:p w14:paraId="3132CB31" w14:textId="77777777" w:rsidR="00C363A3" w:rsidRPr="00B613F4" w:rsidRDefault="00C363A3" w:rsidP="00C363A3">
            <w:pPr>
              <w:rPr>
                <w:rFonts w:ascii="Arial" w:hAnsi="Arial" w:cs="Arial"/>
                <w:noProof/>
                <w:color w:val="BFBFBF" w:themeColor="background1" w:themeShade="BF"/>
                <w:sz w:val="16"/>
                <w:szCs w:val="16"/>
              </w:rPr>
            </w:pPr>
            <w:r w:rsidRPr="00B613F4">
              <w:rPr>
                <w:rFonts w:ascii="Arial" w:hAnsi="Arial" w:cs="Arial"/>
                <w:color w:val="000000"/>
                <w:sz w:val="16"/>
                <w:szCs w:val="16"/>
              </w:rPr>
              <w:t>1.53 (1.02, 2.30)</w:t>
            </w:r>
          </w:p>
        </w:tc>
      </w:tr>
      <w:tr w:rsidR="00C363A3" w:rsidRPr="00B613F4" w14:paraId="3233E15B" w14:textId="77777777" w:rsidTr="00DB1806">
        <w:trPr>
          <w:trHeight w:val="20"/>
        </w:trPr>
        <w:tc>
          <w:tcPr>
            <w:tcW w:w="1465" w:type="pct"/>
            <w:noWrap/>
            <w:hideMark/>
          </w:tcPr>
          <w:p w14:paraId="033A3B04" w14:textId="647D88DA" w:rsidR="00C363A3" w:rsidRPr="00B613F4" w:rsidRDefault="00C363A3" w:rsidP="00C363A3">
            <w:pPr>
              <w:ind w:left="144"/>
              <w:rPr>
                <w:rFonts w:ascii="Arial" w:hAnsi="Arial" w:cs="Arial"/>
                <w:noProof/>
                <w:sz w:val="16"/>
                <w:szCs w:val="16"/>
              </w:rPr>
            </w:pPr>
            <w:r w:rsidRPr="00B613F4">
              <w:rPr>
                <w:rFonts w:ascii="Arial" w:eastAsia="Times New Roman" w:hAnsi="Arial" w:cs="Arial"/>
                <w:sz w:val="16"/>
                <w:szCs w:val="16"/>
              </w:rPr>
              <w:t xml:space="preserve">3 vs </w:t>
            </w:r>
            <w:r>
              <w:rPr>
                <w:rFonts w:ascii="Arial" w:eastAsia="Times New Roman" w:hAnsi="Arial" w:cs="Arial"/>
                <w:sz w:val="16"/>
                <w:szCs w:val="16"/>
              </w:rPr>
              <w:t>5</w:t>
            </w:r>
          </w:p>
        </w:tc>
        <w:tc>
          <w:tcPr>
            <w:tcW w:w="882" w:type="pct"/>
            <w:noWrap/>
            <w:vAlign w:val="bottom"/>
            <w:hideMark/>
          </w:tcPr>
          <w:p w14:paraId="6BF6C990" w14:textId="77777777" w:rsidR="00C363A3" w:rsidRPr="00B613F4" w:rsidRDefault="00C363A3" w:rsidP="00C363A3">
            <w:pPr>
              <w:rPr>
                <w:rFonts w:ascii="Arial" w:hAnsi="Arial" w:cs="Arial"/>
                <w:noProof/>
                <w:color w:val="BFBFBF" w:themeColor="background1" w:themeShade="BF"/>
                <w:sz w:val="16"/>
                <w:szCs w:val="16"/>
              </w:rPr>
            </w:pPr>
            <w:r w:rsidRPr="00B613F4">
              <w:rPr>
                <w:rFonts w:ascii="Arial" w:hAnsi="Arial" w:cs="Arial"/>
                <w:color w:val="000000"/>
                <w:sz w:val="16"/>
                <w:szCs w:val="16"/>
              </w:rPr>
              <w:t>1.42 (1.08, 1.87)</w:t>
            </w:r>
          </w:p>
        </w:tc>
        <w:tc>
          <w:tcPr>
            <w:tcW w:w="885" w:type="pct"/>
            <w:noWrap/>
            <w:vAlign w:val="bottom"/>
            <w:hideMark/>
          </w:tcPr>
          <w:p w14:paraId="759F9398" w14:textId="77777777" w:rsidR="00C363A3" w:rsidRPr="00B613F4" w:rsidRDefault="00C363A3" w:rsidP="00C363A3">
            <w:pPr>
              <w:rPr>
                <w:rFonts w:ascii="Arial" w:hAnsi="Arial" w:cs="Arial"/>
                <w:noProof/>
                <w:color w:val="BFBFBF" w:themeColor="background1" w:themeShade="BF"/>
                <w:sz w:val="16"/>
                <w:szCs w:val="16"/>
              </w:rPr>
            </w:pPr>
            <w:r w:rsidRPr="00B613F4">
              <w:rPr>
                <w:rFonts w:ascii="Arial" w:hAnsi="Arial" w:cs="Arial"/>
                <w:color w:val="000000"/>
                <w:sz w:val="16"/>
                <w:szCs w:val="16"/>
              </w:rPr>
              <w:t>1.08 (0.79, 1.48)</w:t>
            </w:r>
          </w:p>
        </w:tc>
        <w:tc>
          <w:tcPr>
            <w:tcW w:w="884" w:type="pct"/>
            <w:noWrap/>
            <w:vAlign w:val="bottom"/>
            <w:hideMark/>
          </w:tcPr>
          <w:p w14:paraId="05EE2FEC" w14:textId="77777777" w:rsidR="00C363A3" w:rsidRPr="00B613F4" w:rsidRDefault="00C363A3" w:rsidP="00C363A3">
            <w:pPr>
              <w:rPr>
                <w:rFonts w:ascii="Arial" w:hAnsi="Arial" w:cs="Arial"/>
                <w:noProof/>
                <w:color w:val="BFBFBF" w:themeColor="background1" w:themeShade="BF"/>
                <w:sz w:val="16"/>
                <w:szCs w:val="16"/>
              </w:rPr>
            </w:pPr>
            <w:r w:rsidRPr="00B613F4">
              <w:rPr>
                <w:rFonts w:ascii="Arial" w:hAnsi="Arial" w:cs="Arial"/>
                <w:color w:val="000000"/>
                <w:sz w:val="16"/>
                <w:szCs w:val="16"/>
              </w:rPr>
              <w:t>1.67 (1.13, 2.48)</w:t>
            </w:r>
          </w:p>
        </w:tc>
        <w:tc>
          <w:tcPr>
            <w:tcW w:w="884" w:type="pct"/>
            <w:noWrap/>
            <w:vAlign w:val="bottom"/>
            <w:hideMark/>
          </w:tcPr>
          <w:p w14:paraId="1DB13466" w14:textId="77777777" w:rsidR="00C363A3" w:rsidRPr="00B613F4" w:rsidRDefault="00C363A3" w:rsidP="00C363A3">
            <w:pPr>
              <w:rPr>
                <w:rFonts w:ascii="Arial" w:hAnsi="Arial" w:cs="Arial"/>
                <w:noProof/>
                <w:color w:val="BFBFBF" w:themeColor="background1" w:themeShade="BF"/>
                <w:sz w:val="16"/>
                <w:szCs w:val="16"/>
              </w:rPr>
            </w:pPr>
            <w:r w:rsidRPr="00B613F4">
              <w:rPr>
                <w:rFonts w:ascii="Arial" w:hAnsi="Arial" w:cs="Arial"/>
                <w:color w:val="000000"/>
                <w:sz w:val="16"/>
                <w:szCs w:val="16"/>
              </w:rPr>
              <w:t>1.95 (1.26, 3.01)</w:t>
            </w:r>
          </w:p>
        </w:tc>
      </w:tr>
      <w:tr w:rsidR="00C363A3" w:rsidRPr="00B613F4" w14:paraId="782800FC" w14:textId="77777777" w:rsidTr="00DB1806">
        <w:trPr>
          <w:trHeight w:val="20"/>
        </w:trPr>
        <w:tc>
          <w:tcPr>
            <w:tcW w:w="1465" w:type="pct"/>
            <w:noWrap/>
            <w:hideMark/>
          </w:tcPr>
          <w:p w14:paraId="0B5931A9" w14:textId="3EF80815" w:rsidR="00C363A3" w:rsidRPr="00B613F4" w:rsidRDefault="00C363A3" w:rsidP="00C363A3">
            <w:pPr>
              <w:ind w:left="144"/>
              <w:rPr>
                <w:rFonts w:ascii="Arial" w:hAnsi="Arial" w:cs="Arial"/>
                <w:noProof/>
                <w:sz w:val="16"/>
                <w:szCs w:val="16"/>
              </w:rPr>
            </w:pPr>
            <w:r>
              <w:rPr>
                <w:rFonts w:ascii="Arial" w:eastAsia="Times New Roman" w:hAnsi="Arial" w:cs="Arial"/>
                <w:sz w:val="16"/>
                <w:szCs w:val="16"/>
              </w:rPr>
              <w:t>2</w:t>
            </w:r>
            <w:r w:rsidRPr="00B613F4">
              <w:rPr>
                <w:rFonts w:ascii="Arial" w:eastAsia="Times New Roman" w:hAnsi="Arial" w:cs="Arial"/>
                <w:sz w:val="16"/>
                <w:szCs w:val="16"/>
              </w:rPr>
              <w:t xml:space="preserve"> vs </w:t>
            </w:r>
            <w:r>
              <w:rPr>
                <w:rFonts w:ascii="Arial" w:eastAsia="Times New Roman" w:hAnsi="Arial" w:cs="Arial"/>
                <w:sz w:val="16"/>
                <w:szCs w:val="16"/>
              </w:rPr>
              <w:t>5</w:t>
            </w:r>
          </w:p>
        </w:tc>
        <w:tc>
          <w:tcPr>
            <w:tcW w:w="882" w:type="pct"/>
            <w:noWrap/>
            <w:vAlign w:val="bottom"/>
            <w:hideMark/>
          </w:tcPr>
          <w:p w14:paraId="77D2CC73" w14:textId="77777777" w:rsidR="00C363A3" w:rsidRPr="00B613F4" w:rsidRDefault="00C363A3" w:rsidP="00C363A3">
            <w:pPr>
              <w:rPr>
                <w:rFonts w:ascii="Arial" w:hAnsi="Arial" w:cs="Arial"/>
                <w:noProof/>
                <w:color w:val="BFBFBF" w:themeColor="background1" w:themeShade="BF"/>
                <w:sz w:val="16"/>
                <w:szCs w:val="16"/>
              </w:rPr>
            </w:pPr>
            <w:r w:rsidRPr="00B613F4">
              <w:rPr>
                <w:rFonts w:ascii="Arial" w:hAnsi="Arial" w:cs="Arial"/>
                <w:color w:val="000000"/>
                <w:sz w:val="16"/>
                <w:szCs w:val="16"/>
              </w:rPr>
              <w:t>1.86 (1.43, 2.41)</w:t>
            </w:r>
          </w:p>
        </w:tc>
        <w:tc>
          <w:tcPr>
            <w:tcW w:w="885" w:type="pct"/>
            <w:noWrap/>
            <w:vAlign w:val="bottom"/>
            <w:hideMark/>
          </w:tcPr>
          <w:p w14:paraId="6CFA507C" w14:textId="77777777" w:rsidR="00C363A3" w:rsidRPr="00B613F4" w:rsidRDefault="00C363A3" w:rsidP="00C363A3">
            <w:pPr>
              <w:rPr>
                <w:rFonts w:ascii="Arial" w:hAnsi="Arial" w:cs="Arial"/>
                <w:noProof/>
                <w:color w:val="BFBFBF" w:themeColor="background1" w:themeShade="BF"/>
                <w:sz w:val="16"/>
                <w:szCs w:val="16"/>
              </w:rPr>
            </w:pPr>
            <w:r w:rsidRPr="00B613F4">
              <w:rPr>
                <w:rFonts w:ascii="Arial" w:hAnsi="Arial" w:cs="Arial"/>
                <w:color w:val="000000"/>
                <w:sz w:val="16"/>
                <w:szCs w:val="16"/>
              </w:rPr>
              <w:t>1.20 (0.85, 1.69)</w:t>
            </w:r>
          </w:p>
        </w:tc>
        <w:tc>
          <w:tcPr>
            <w:tcW w:w="884" w:type="pct"/>
            <w:noWrap/>
            <w:vAlign w:val="bottom"/>
            <w:hideMark/>
          </w:tcPr>
          <w:p w14:paraId="59EE96DD" w14:textId="77777777" w:rsidR="00C363A3" w:rsidRPr="00B613F4" w:rsidRDefault="00C363A3" w:rsidP="00C363A3">
            <w:pPr>
              <w:rPr>
                <w:rFonts w:ascii="Arial" w:hAnsi="Arial" w:cs="Arial"/>
                <w:noProof/>
                <w:color w:val="BFBFBF" w:themeColor="background1" w:themeShade="BF"/>
                <w:sz w:val="16"/>
                <w:szCs w:val="16"/>
              </w:rPr>
            </w:pPr>
            <w:r w:rsidRPr="00B613F4">
              <w:rPr>
                <w:rFonts w:ascii="Arial" w:hAnsi="Arial" w:cs="Arial"/>
                <w:color w:val="000000"/>
                <w:sz w:val="16"/>
                <w:szCs w:val="16"/>
              </w:rPr>
              <w:t>2.15 (1.48, 3.13)</w:t>
            </w:r>
          </w:p>
        </w:tc>
        <w:tc>
          <w:tcPr>
            <w:tcW w:w="884" w:type="pct"/>
            <w:noWrap/>
            <w:vAlign w:val="bottom"/>
            <w:hideMark/>
          </w:tcPr>
          <w:p w14:paraId="311E72D4" w14:textId="77777777" w:rsidR="00C363A3" w:rsidRPr="00B613F4" w:rsidRDefault="00C363A3" w:rsidP="00C363A3">
            <w:pPr>
              <w:rPr>
                <w:rFonts w:ascii="Arial" w:hAnsi="Arial" w:cs="Arial"/>
                <w:noProof/>
                <w:color w:val="BFBFBF" w:themeColor="background1" w:themeShade="BF"/>
                <w:sz w:val="16"/>
                <w:szCs w:val="16"/>
              </w:rPr>
            </w:pPr>
            <w:r w:rsidRPr="00B613F4">
              <w:rPr>
                <w:rFonts w:ascii="Arial" w:hAnsi="Arial" w:cs="Arial"/>
                <w:color w:val="000000"/>
                <w:sz w:val="16"/>
                <w:szCs w:val="16"/>
              </w:rPr>
              <w:t>2.33 (1.46, 3.73)</w:t>
            </w:r>
          </w:p>
        </w:tc>
      </w:tr>
      <w:tr w:rsidR="00C363A3" w:rsidRPr="00B613F4" w14:paraId="17D2DCC9" w14:textId="77777777" w:rsidTr="00DB1806">
        <w:trPr>
          <w:trHeight w:val="20"/>
        </w:trPr>
        <w:tc>
          <w:tcPr>
            <w:tcW w:w="1465" w:type="pct"/>
            <w:tcBorders>
              <w:bottom w:val="nil"/>
            </w:tcBorders>
            <w:noWrap/>
            <w:hideMark/>
          </w:tcPr>
          <w:p w14:paraId="31BAB8D0" w14:textId="4C5AF541" w:rsidR="00C363A3" w:rsidRPr="00B613F4" w:rsidRDefault="00C363A3" w:rsidP="00C363A3">
            <w:pPr>
              <w:ind w:left="144"/>
              <w:rPr>
                <w:rFonts w:ascii="Arial" w:hAnsi="Arial" w:cs="Arial"/>
                <w:noProof/>
                <w:sz w:val="16"/>
                <w:szCs w:val="16"/>
              </w:rPr>
            </w:pPr>
            <w:r>
              <w:rPr>
                <w:rFonts w:ascii="Arial" w:eastAsia="Times New Roman" w:hAnsi="Arial" w:cs="Arial"/>
                <w:sz w:val="16"/>
                <w:szCs w:val="16"/>
              </w:rPr>
              <w:t>1</w:t>
            </w:r>
            <w:r w:rsidRPr="00B613F4">
              <w:rPr>
                <w:rFonts w:ascii="Arial" w:eastAsia="Times New Roman" w:hAnsi="Arial" w:cs="Arial"/>
                <w:sz w:val="16"/>
                <w:szCs w:val="16"/>
              </w:rPr>
              <w:t xml:space="preserve"> vs </w:t>
            </w:r>
            <w:r>
              <w:rPr>
                <w:rFonts w:ascii="Arial" w:eastAsia="Times New Roman" w:hAnsi="Arial" w:cs="Arial"/>
                <w:sz w:val="16"/>
                <w:szCs w:val="16"/>
              </w:rPr>
              <w:t>5</w:t>
            </w:r>
          </w:p>
        </w:tc>
        <w:tc>
          <w:tcPr>
            <w:tcW w:w="882" w:type="pct"/>
            <w:tcBorders>
              <w:bottom w:val="nil"/>
            </w:tcBorders>
            <w:noWrap/>
            <w:vAlign w:val="bottom"/>
            <w:hideMark/>
          </w:tcPr>
          <w:p w14:paraId="6350C160" w14:textId="77777777" w:rsidR="00C363A3" w:rsidRPr="00B613F4" w:rsidRDefault="00C363A3" w:rsidP="00C363A3">
            <w:pPr>
              <w:rPr>
                <w:rFonts w:ascii="Arial" w:hAnsi="Arial" w:cs="Arial"/>
                <w:noProof/>
                <w:color w:val="BFBFBF" w:themeColor="background1" w:themeShade="BF"/>
                <w:sz w:val="16"/>
                <w:szCs w:val="16"/>
              </w:rPr>
            </w:pPr>
            <w:r w:rsidRPr="00B613F4">
              <w:rPr>
                <w:rFonts w:ascii="Arial" w:hAnsi="Arial" w:cs="Arial"/>
                <w:color w:val="000000"/>
                <w:sz w:val="16"/>
                <w:szCs w:val="16"/>
              </w:rPr>
              <w:t>2.22 (1.72, 2.87)</w:t>
            </w:r>
          </w:p>
        </w:tc>
        <w:tc>
          <w:tcPr>
            <w:tcW w:w="885" w:type="pct"/>
            <w:tcBorders>
              <w:bottom w:val="nil"/>
            </w:tcBorders>
            <w:noWrap/>
            <w:vAlign w:val="bottom"/>
            <w:hideMark/>
          </w:tcPr>
          <w:p w14:paraId="2C177A76" w14:textId="77777777" w:rsidR="00C363A3" w:rsidRPr="00B613F4" w:rsidRDefault="00C363A3" w:rsidP="00C363A3">
            <w:pPr>
              <w:rPr>
                <w:rFonts w:ascii="Arial" w:hAnsi="Arial" w:cs="Arial"/>
                <w:noProof/>
                <w:color w:val="BFBFBF" w:themeColor="background1" w:themeShade="BF"/>
                <w:sz w:val="16"/>
                <w:szCs w:val="16"/>
              </w:rPr>
            </w:pPr>
            <w:r w:rsidRPr="00B613F4">
              <w:rPr>
                <w:rFonts w:ascii="Arial" w:hAnsi="Arial" w:cs="Arial"/>
                <w:color w:val="000000"/>
                <w:sz w:val="16"/>
                <w:szCs w:val="16"/>
              </w:rPr>
              <w:t>1.29 (0.87, 1.92)</w:t>
            </w:r>
          </w:p>
        </w:tc>
        <w:tc>
          <w:tcPr>
            <w:tcW w:w="884" w:type="pct"/>
            <w:tcBorders>
              <w:bottom w:val="nil"/>
            </w:tcBorders>
            <w:noWrap/>
            <w:vAlign w:val="bottom"/>
            <w:hideMark/>
          </w:tcPr>
          <w:p w14:paraId="1BC1BAA4" w14:textId="77777777" w:rsidR="00C363A3" w:rsidRPr="00B613F4" w:rsidRDefault="00C363A3" w:rsidP="00C363A3">
            <w:pPr>
              <w:rPr>
                <w:rFonts w:ascii="Arial" w:hAnsi="Arial" w:cs="Arial"/>
                <w:noProof/>
                <w:color w:val="BFBFBF" w:themeColor="background1" w:themeShade="BF"/>
                <w:sz w:val="16"/>
                <w:szCs w:val="16"/>
              </w:rPr>
            </w:pPr>
            <w:r w:rsidRPr="00B613F4">
              <w:rPr>
                <w:rFonts w:ascii="Arial" w:hAnsi="Arial" w:cs="Arial"/>
                <w:color w:val="000000"/>
                <w:sz w:val="16"/>
                <w:szCs w:val="16"/>
              </w:rPr>
              <w:t>2.04 (1.39, 2.98)</w:t>
            </w:r>
          </w:p>
        </w:tc>
        <w:tc>
          <w:tcPr>
            <w:tcW w:w="884" w:type="pct"/>
            <w:tcBorders>
              <w:bottom w:val="nil"/>
            </w:tcBorders>
            <w:noWrap/>
            <w:vAlign w:val="bottom"/>
            <w:hideMark/>
          </w:tcPr>
          <w:p w14:paraId="7221DAC6" w14:textId="77777777" w:rsidR="00C363A3" w:rsidRPr="00B613F4" w:rsidRDefault="00C363A3" w:rsidP="00C363A3">
            <w:pPr>
              <w:rPr>
                <w:rFonts w:ascii="Arial" w:hAnsi="Arial" w:cs="Arial"/>
                <w:noProof/>
                <w:color w:val="BFBFBF" w:themeColor="background1" w:themeShade="BF"/>
                <w:sz w:val="16"/>
                <w:szCs w:val="16"/>
              </w:rPr>
            </w:pPr>
            <w:r w:rsidRPr="00B613F4">
              <w:rPr>
                <w:rFonts w:ascii="Arial" w:hAnsi="Arial" w:cs="Arial"/>
                <w:color w:val="000000"/>
                <w:sz w:val="16"/>
                <w:szCs w:val="16"/>
              </w:rPr>
              <w:t>2.24 (1.28, 3.93)</w:t>
            </w:r>
          </w:p>
        </w:tc>
      </w:tr>
      <w:tr w:rsidR="00E01EE6" w:rsidRPr="00B613F4" w14:paraId="7486D981" w14:textId="77777777" w:rsidTr="00DB1806">
        <w:trPr>
          <w:trHeight w:val="20"/>
        </w:trPr>
        <w:tc>
          <w:tcPr>
            <w:tcW w:w="1465" w:type="pct"/>
            <w:tcBorders>
              <w:top w:val="nil"/>
              <w:bottom w:val="single" w:sz="4" w:space="0" w:color="auto"/>
            </w:tcBorders>
            <w:noWrap/>
          </w:tcPr>
          <w:p w14:paraId="0F6CD26E" w14:textId="0082862C" w:rsidR="00E01EE6" w:rsidRPr="00B613F4" w:rsidRDefault="00E01EE6" w:rsidP="003D782D">
            <w:pPr>
              <w:rPr>
                <w:rFonts w:ascii="Arial" w:eastAsia="Times New Roman" w:hAnsi="Arial" w:cs="Arial"/>
                <w:sz w:val="16"/>
                <w:szCs w:val="16"/>
              </w:rPr>
            </w:pPr>
            <w:r w:rsidRPr="00B613F4">
              <w:rPr>
                <w:rFonts w:ascii="Arial" w:eastAsia="Times New Roman" w:hAnsi="Arial" w:cs="Arial"/>
                <w:sz w:val="16"/>
                <w:szCs w:val="16"/>
              </w:rPr>
              <w:t xml:space="preserve">Outcome: </w:t>
            </w:r>
            <w:r w:rsidR="003D782D">
              <w:rPr>
                <w:rFonts w:ascii="Arial" w:eastAsia="Times New Roman" w:hAnsi="Arial" w:cs="Arial"/>
                <w:sz w:val="16"/>
                <w:szCs w:val="16"/>
              </w:rPr>
              <w:t>variant-specific diagnosis</w:t>
            </w:r>
          </w:p>
        </w:tc>
        <w:tc>
          <w:tcPr>
            <w:tcW w:w="882" w:type="pct"/>
            <w:tcBorders>
              <w:top w:val="nil"/>
              <w:bottom w:val="single" w:sz="4" w:space="0" w:color="auto"/>
            </w:tcBorders>
            <w:noWrap/>
            <w:vAlign w:val="bottom"/>
          </w:tcPr>
          <w:p w14:paraId="5CD17D68" w14:textId="77777777" w:rsidR="00E01EE6" w:rsidRPr="00B613F4" w:rsidRDefault="00E01EE6" w:rsidP="00B821E3">
            <w:pPr>
              <w:rPr>
                <w:rFonts w:ascii="Arial" w:hAnsi="Arial" w:cs="Arial"/>
                <w:color w:val="BFBFBF" w:themeColor="background1" w:themeShade="BF"/>
                <w:sz w:val="16"/>
                <w:szCs w:val="16"/>
              </w:rPr>
            </w:pPr>
          </w:p>
        </w:tc>
        <w:tc>
          <w:tcPr>
            <w:tcW w:w="885" w:type="pct"/>
            <w:tcBorders>
              <w:top w:val="nil"/>
              <w:bottom w:val="single" w:sz="4" w:space="0" w:color="auto"/>
            </w:tcBorders>
            <w:noWrap/>
            <w:vAlign w:val="bottom"/>
          </w:tcPr>
          <w:p w14:paraId="6BC4E881" w14:textId="77777777" w:rsidR="00E01EE6" w:rsidRPr="00B613F4" w:rsidRDefault="00E01EE6" w:rsidP="00B821E3">
            <w:pPr>
              <w:rPr>
                <w:rFonts w:ascii="Arial" w:hAnsi="Arial" w:cs="Arial"/>
                <w:color w:val="BFBFBF" w:themeColor="background1" w:themeShade="BF"/>
                <w:sz w:val="16"/>
                <w:szCs w:val="16"/>
              </w:rPr>
            </w:pPr>
          </w:p>
        </w:tc>
        <w:tc>
          <w:tcPr>
            <w:tcW w:w="884" w:type="pct"/>
            <w:tcBorders>
              <w:top w:val="nil"/>
              <w:bottom w:val="single" w:sz="4" w:space="0" w:color="auto"/>
            </w:tcBorders>
            <w:noWrap/>
            <w:vAlign w:val="bottom"/>
          </w:tcPr>
          <w:p w14:paraId="7C188203" w14:textId="77777777" w:rsidR="00E01EE6" w:rsidRPr="00B613F4" w:rsidRDefault="00E01EE6" w:rsidP="00B821E3">
            <w:pPr>
              <w:rPr>
                <w:rFonts w:ascii="Arial" w:hAnsi="Arial" w:cs="Arial"/>
                <w:color w:val="BFBFBF" w:themeColor="background1" w:themeShade="BF"/>
                <w:sz w:val="16"/>
                <w:szCs w:val="16"/>
              </w:rPr>
            </w:pPr>
          </w:p>
        </w:tc>
        <w:tc>
          <w:tcPr>
            <w:tcW w:w="884" w:type="pct"/>
            <w:tcBorders>
              <w:top w:val="nil"/>
              <w:bottom w:val="single" w:sz="4" w:space="0" w:color="auto"/>
            </w:tcBorders>
            <w:noWrap/>
            <w:vAlign w:val="bottom"/>
          </w:tcPr>
          <w:p w14:paraId="5340B5AF" w14:textId="77777777" w:rsidR="00E01EE6" w:rsidRPr="00B613F4" w:rsidRDefault="00E01EE6" w:rsidP="00B821E3">
            <w:pPr>
              <w:rPr>
                <w:rFonts w:ascii="Arial" w:hAnsi="Arial" w:cs="Arial"/>
                <w:color w:val="BFBFBF" w:themeColor="background1" w:themeShade="BF"/>
                <w:sz w:val="16"/>
                <w:szCs w:val="16"/>
              </w:rPr>
            </w:pPr>
          </w:p>
        </w:tc>
      </w:tr>
      <w:tr w:rsidR="00E01EE6" w:rsidRPr="00B613F4" w14:paraId="2EB6F00B" w14:textId="77777777" w:rsidTr="00DB1806">
        <w:trPr>
          <w:trHeight w:val="20"/>
        </w:trPr>
        <w:tc>
          <w:tcPr>
            <w:tcW w:w="1465" w:type="pct"/>
            <w:tcBorders>
              <w:top w:val="single" w:sz="4" w:space="0" w:color="auto"/>
            </w:tcBorders>
            <w:noWrap/>
          </w:tcPr>
          <w:p w14:paraId="74532F62" w14:textId="587FA078" w:rsidR="00E01EE6" w:rsidRPr="00B613F4" w:rsidRDefault="00E01EE6" w:rsidP="00C363A3">
            <w:pPr>
              <w:rPr>
                <w:rFonts w:ascii="Arial" w:eastAsia="Times New Roman" w:hAnsi="Arial" w:cs="Arial"/>
                <w:sz w:val="16"/>
                <w:szCs w:val="16"/>
              </w:rPr>
            </w:pPr>
            <w:r w:rsidRPr="00B613F4">
              <w:rPr>
                <w:rFonts w:ascii="Arial" w:eastAsia="Times New Roman" w:hAnsi="Arial" w:cs="Arial"/>
                <w:sz w:val="16"/>
                <w:szCs w:val="16"/>
              </w:rPr>
              <w:t>Income (</w:t>
            </w:r>
            <w:r w:rsidR="00C363A3">
              <w:rPr>
                <w:rFonts w:ascii="Arial" w:eastAsia="Times New Roman" w:hAnsi="Arial" w:cs="Arial"/>
                <w:sz w:val="16"/>
                <w:szCs w:val="16"/>
              </w:rPr>
              <w:t>5</w:t>
            </w:r>
            <w:r w:rsidRPr="00B613F4">
              <w:rPr>
                <w:rFonts w:ascii="Arial" w:eastAsia="Times New Roman" w:hAnsi="Arial" w:cs="Arial"/>
                <w:sz w:val="16"/>
                <w:szCs w:val="16"/>
              </w:rPr>
              <w:t>= Highest)</w:t>
            </w:r>
          </w:p>
        </w:tc>
        <w:tc>
          <w:tcPr>
            <w:tcW w:w="882" w:type="pct"/>
            <w:tcBorders>
              <w:top w:val="single" w:sz="4" w:space="0" w:color="auto"/>
            </w:tcBorders>
            <w:noWrap/>
            <w:vAlign w:val="bottom"/>
          </w:tcPr>
          <w:p w14:paraId="364DB6D1" w14:textId="77777777" w:rsidR="00E01EE6" w:rsidRPr="00B613F4" w:rsidRDefault="00E01EE6" w:rsidP="00B821E3">
            <w:pPr>
              <w:rPr>
                <w:rFonts w:ascii="Arial" w:hAnsi="Arial" w:cs="Arial"/>
                <w:color w:val="BFBFBF" w:themeColor="background1" w:themeShade="BF"/>
                <w:sz w:val="16"/>
                <w:szCs w:val="16"/>
              </w:rPr>
            </w:pPr>
          </w:p>
        </w:tc>
        <w:tc>
          <w:tcPr>
            <w:tcW w:w="885" w:type="pct"/>
            <w:tcBorders>
              <w:top w:val="single" w:sz="4" w:space="0" w:color="auto"/>
            </w:tcBorders>
            <w:noWrap/>
            <w:vAlign w:val="bottom"/>
          </w:tcPr>
          <w:p w14:paraId="5E6B3F46" w14:textId="77777777" w:rsidR="00E01EE6" w:rsidRPr="00B613F4" w:rsidRDefault="00E01EE6" w:rsidP="00B821E3">
            <w:pPr>
              <w:rPr>
                <w:rFonts w:ascii="Arial" w:hAnsi="Arial" w:cs="Arial"/>
                <w:color w:val="BFBFBF" w:themeColor="background1" w:themeShade="BF"/>
                <w:sz w:val="16"/>
                <w:szCs w:val="16"/>
              </w:rPr>
            </w:pPr>
          </w:p>
        </w:tc>
        <w:tc>
          <w:tcPr>
            <w:tcW w:w="884" w:type="pct"/>
            <w:tcBorders>
              <w:top w:val="single" w:sz="4" w:space="0" w:color="auto"/>
            </w:tcBorders>
            <w:noWrap/>
            <w:vAlign w:val="bottom"/>
          </w:tcPr>
          <w:p w14:paraId="536747FB" w14:textId="77777777" w:rsidR="00E01EE6" w:rsidRPr="00B613F4" w:rsidRDefault="00E01EE6" w:rsidP="00B821E3">
            <w:pPr>
              <w:rPr>
                <w:rFonts w:ascii="Arial" w:hAnsi="Arial" w:cs="Arial"/>
                <w:color w:val="BFBFBF" w:themeColor="background1" w:themeShade="BF"/>
                <w:sz w:val="16"/>
                <w:szCs w:val="16"/>
              </w:rPr>
            </w:pPr>
            <w:r w:rsidRPr="00B613F4">
              <w:rPr>
                <w:rFonts w:ascii="Arial" w:hAnsi="Arial" w:cs="Arial"/>
                <w:color w:val="BFBFBF" w:themeColor="background1" w:themeShade="BF"/>
                <w:sz w:val="16"/>
                <w:szCs w:val="16"/>
              </w:rPr>
              <w:t> </w:t>
            </w:r>
          </w:p>
        </w:tc>
        <w:tc>
          <w:tcPr>
            <w:tcW w:w="884" w:type="pct"/>
            <w:tcBorders>
              <w:top w:val="single" w:sz="4" w:space="0" w:color="auto"/>
            </w:tcBorders>
            <w:noWrap/>
            <w:vAlign w:val="bottom"/>
          </w:tcPr>
          <w:p w14:paraId="3C414312" w14:textId="77777777" w:rsidR="00E01EE6" w:rsidRPr="00B613F4" w:rsidRDefault="00E01EE6" w:rsidP="00B821E3">
            <w:pPr>
              <w:rPr>
                <w:rFonts w:ascii="Arial" w:hAnsi="Arial" w:cs="Arial"/>
                <w:color w:val="BFBFBF" w:themeColor="background1" w:themeShade="BF"/>
                <w:sz w:val="16"/>
                <w:szCs w:val="16"/>
              </w:rPr>
            </w:pPr>
          </w:p>
        </w:tc>
      </w:tr>
      <w:tr w:rsidR="00C363A3" w:rsidRPr="00B613F4" w14:paraId="0285E6E7" w14:textId="77777777" w:rsidTr="00DB1806">
        <w:trPr>
          <w:trHeight w:val="20"/>
        </w:trPr>
        <w:tc>
          <w:tcPr>
            <w:tcW w:w="1465" w:type="pct"/>
            <w:noWrap/>
            <w:hideMark/>
          </w:tcPr>
          <w:p w14:paraId="3B239C0E" w14:textId="333BFDFA" w:rsidR="00C363A3" w:rsidRPr="00B613F4" w:rsidRDefault="00C363A3" w:rsidP="00C363A3">
            <w:pPr>
              <w:ind w:left="144"/>
              <w:rPr>
                <w:rFonts w:ascii="Arial" w:hAnsi="Arial" w:cs="Arial"/>
                <w:noProof/>
                <w:sz w:val="16"/>
                <w:szCs w:val="16"/>
              </w:rPr>
            </w:pPr>
            <w:r>
              <w:rPr>
                <w:rFonts w:ascii="Arial" w:eastAsia="Times New Roman" w:hAnsi="Arial" w:cs="Arial"/>
                <w:sz w:val="16"/>
                <w:szCs w:val="16"/>
              </w:rPr>
              <w:t>4</w:t>
            </w:r>
            <w:r w:rsidRPr="00B613F4">
              <w:rPr>
                <w:rFonts w:ascii="Arial" w:eastAsia="Times New Roman" w:hAnsi="Arial" w:cs="Arial"/>
                <w:sz w:val="16"/>
                <w:szCs w:val="16"/>
              </w:rPr>
              <w:t xml:space="preserve"> vs </w:t>
            </w:r>
            <w:r>
              <w:rPr>
                <w:rFonts w:ascii="Arial" w:eastAsia="Times New Roman" w:hAnsi="Arial" w:cs="Arial"/>
                <w:sz w:val="16"/>
                <w:szCs w:val="16"/>
              </w:rPr>
              <w:t>5</w:t>
            </w:r>
          </w:p>
        </w:tc>
        <w:tc>
          <w:tcPr>
            <w:tcW w:w="882" w:type="pct"/>
            <w:noWrap/>
            <w:vAlign w:val="bottom"/>
            <w:hideMark/>
          </w:tcPr>
          <w:p w14:paraId="6026988E" w14:textId="77777777" w:rsidR="00C363A3" w:rsidRPr="00B613F4" w:rsidRDefault="00C363A3" w:rsidP="00C363A3">
            <w:pPr>
              <w:rPr>
                <w:rFonts w:ascii="Arial" w:hAnsi="Arial" w:cs="Arial"/>
                <w:noProof/>
                <w:color w:val="BFBFBF" w:themeColor="background1" w:themeShade="BF"/>
                <w:sz w:val="16"/>
                <w:szCs w:val="16"/>
              </w:rPr>
            </w:pPr>
            <w:r w:rsidRPr="00B613F4">
              <w:rPr>
                <w:rFonts w:ascii="Arial" w:hAnsi="Arial" w:cs="Arial"/>
                <w:color w:val="000000"/>
                <w:sz w:val="16"/>
                <w:szCs w:val="16"/>
              </w:rPr>
              <w:t>1.08 (1.05, 1.11)</w:t>
            </w:r>
          </w:p>
        </w:tc>
        <w:tc>
          <w:tcPr>
            <w:tcW w:w="885" w:type="pct"/>
            <w:noWrap/>
            <w:vAlign w:val="bottom"/>
            <w:hideMark/>
          </w:tcPr>
          <w:p w14:paraId="43B766C3" w14:textId="77777777" w:rsidR="00C363A3" w:rsidRPr="00B613F4" w:rsidRDefault="00C363A3" w:rsidP="00C363A3">
            <w:pPr>
              <w:rPr>
                <w:rFonts w:ascii="Arial" w:hAnsi="Arial" w:cs="Arial"/>
                <w:noProof/>
                <w:color w:val="BFBFBF" w:themeColor="background1" w:themeShade="BF"/>
                <w:sz w:val="16"/>
                <w:szCs w:val="16"/>
              </w:rPr>
            </w:pPr>
            <w:r w:rsidRPr="00B613F4">
              <w:rPr>
                <w:rFonts w:ascii="Arial" w:hAnsi="Arial" w:cs="Arial"/>
                <w:color w:val="000000"/>
                <w:sz w:val="16"/>
                <w:szCs w:val="16"/>
              </w:rPr>
              <w:t>1.03 (1.00, 1.06)</w:t>
            </w:r>
          </w:p>
        </w:tc>
        <w:tc>
          <w:tcPr>
            <w:tcW w:w="884" w:type="pct"/>
            <w:noWrap/>
            <w:vAlign w:val="bottom"/>
            <w:hideMark/>
          </w:tcPr>
          <w:p w14:paraId="6DEE253F" w14:textId="77777777" w:rsidR="00C363A3" w:rsidRPr="00B613F4" w:rsidRDefault="00C363A3" w:rsidP="00C363A3">
            <w:pPr>
              <w:rPr>
                <w:rFonts w:ascii="Arial" w:hAnsi="Arial" w:cs="Arial"/>
                <w:noProof/>
                <w:color w:val="BFBFBF" w:themeColor="background1" w:themeShade="BF"/>
                <w:sz w:val="16"/>
                <w:szCs w:val="16"/>
              </w:rPr>
            </w:pPr>
            <w:r w:rsidRPr="00B613F4">
              <w:rPr>
                <w:rFonts w:ascii="Arial" w:hAnsi="Arial" w:cs="Arial"/>
                <w:color w:val="000000"/>
                <w:sz w:val="16"/>
                <w:szCs w:val="16"/>
              </w:rPr>
              <w:t>0.96 (0.95, 0.98)</w:t>
            </w:r>
          </w:p>
        </w:tc>
        <w:tc>
          <w:tcPr>
            <w:tcW w:w="884" w:type="pct"/>
            <w:noWrap/>
            <w:vAlign w:val="bottom"/>
            <w:hideMark/>
          </w:tcPr>
          <w:p w14:paraId="6417DCFE" w14:textId="77777777" w:rsidR="00C363A3" w:rsidRPr="00B613F4" w:rsidRDefault="00C363A3" w:rsidP="00C363A3">
            <w:pPr>
              <w:rPr>
                <w:rFonts w:ascii="Arial" w:hAnsi="Arial" w:cs="Arial"/>
                <w:noProof/>
                <w:color w:val="BFBFBF" w:themeColor="background1" w:themeShade="BF"/>
                <w:sz w:val="16"/>
                <w:szCs w:val="16"/>
              </w:rPr>
            </w:pPr>
            <w:r w:rsidRPr="00B613F4">
              <w:rPr>
                <w:rFonts w:ascii="Arial" w:hAnsi="Arial" w:cs="Arial"/>
                <w:color w:val="000000"/>
                <w:sz w:val="16"/>
                <w:szCs w:val="16"/>
              </w:rPr>
              <w:t>0.97 (0.95, 0.98)</w:t>
            </w:r>
          </w:p>
        </w:tc>
      </w:tr>
      <w:tr w:rsidR="00C363A3" w:rsidRPr="00B613F4" w14:paraId="16E03BD2" w14:textId="77777777" w:rsidTr="00DB1806">
        <w:trPr>
          <w:trHeight w:val="20"/>
        </w:trPr>
        <w:tc>
          <w:tcPr>
            <w:tcW w:w="1465" w:type="pct"/>
            <w:noWrap/>
            <w:hideMark/>
          </w:tcPr>
          <w:p w14:paraId="65F7CB3C" w14:textId="1F8B2641" w:rsidR="00C363A3" w:rsidRPr="00B613F4" w:rsidRDefault="00C363A3" w:rsidP="00C363A3">
            <w:pPr>
              <w:ind w:left="144"/>
              <w:rPr>
                <w:rFonts w:ascii="Arial" w:hAnsi="Arial" w:cs="Arial"/>
                <w:noProof/>
                <w:sz w:val="16"/>
                <w:szCs w:val="16"/>
              </w:rPr>
            </w:pPr>
            <w:r w:rsidRPr="00B613F4">
              <w:rPr>
                <w:rFonts w:ascii="Arial" w:eastAsia="Times New Roman" w:hAnsi="Arial" w:cs="Arial"/>
                <w:sz w:val="16"/>
                <w:szCs w:val="16"/>
              </w:rPr>
              <w:t xml:space="preserve">3 vs </w:t>
            </w:r>
            <w:r>
              <w:rPr>
                <w:rFonts w:ascii="Arial" w:eastAsia="Times New Roman" w:hAnsi="Arial" w:cs="Arial"/>
                <w:sz w:val="16"/>
                <w:szCs w:val="16"/>
              </w:rPr>
              <w:t>5</w:t>
            </w:r>
          </w:p>
        </w:tc>
        <w:tc>
          <w:tcPr>
            <w:tcW w:w="882" w:type="pct"/>
            <w:noWrap/>
            <w:vAlign w:val="bottom"/>
            <w:hideMark/>
          </w:tcPr>
          <w:p w14:paraId="6E3CBA27" w14:textId="77777777" w:rsidR="00C363A3" w:rsidRPr="00B613F4" w:rsidRDefault="00C363A3" w:rsidP="00C363A3">
            <w:pPr>
              <w:rPr>
                <w:rFonts w:ascii="Arial" w:hAnsi="Arial" w:cs="Arial"/>
                <w:noProof/>
                <w:color w:val="BFBFBF" w:themeColor="background1" w:themeShade="BF"/>
                <w:sz w:val="16"/>
                <w:szCs w:val="16"/>
              </w:rPr>
            </w:pPr>
            <w:r w:rsidRPr="00B613F4">
              <w:rPr>
                <w:rFonts w:ascii="Arial" w:hAnsi="Arial" w:cs="Arial"/>
                <w:color w:val="000000"/>
                <w:sz w:val="16"/>
                <w:szCs w:val="16"/>
              </w:rPr>
              <w:t>1.10 (1.07, 1.13)</w:t>
            </w:r>
          </w:p>
        </w:tc>
        <w:tc>
          <w:tcPr>
            <w:tcW w:w="885" w:type="pct"/>
            <w:noWrap/>
            <w:vAlign w:val="bottom"/>
            <w:hideMark/>
          </w:tcPr>
          <w:p w14:paraId="2ABE5697" w14:textId="77777777" w:rsidR="00C363A3" w:rsidRPr="00B613F4" w:rsidRDefault="00C363A3" w:rsidP="00C363A3">
            <w:pPr>
              <w:rPr>
                <w:rFonts w:ascii="Arial" w:hAnsi="Arial" w:cs="Arial"/>
                <w:noProof/>
                <w:color w:val="BFBFBF" w:themeColor="background1" w:themeShade="BF"/>
                <w:sz w:val="16"/>
                <w:szCs w:val="16"/>
              </w:rPr>
            </w:pPr>
            <w:r w:rsidRPr="00B613F4">
              <w:rPr>
                <w:rFonts w:ascii="Arial" w:hAnsi="Arial" w:cs="Arial"/>
                <w:color w:val="000000"/>
                <w:sz w:val="16"/>
                <w:szCs w:val="16"/>
              </w:rPr>
              <w:t>1.03 (1.00, 1.07)</w:t>
            </w:r>
          </w:p>
        </w:tc>
        <w:tc>
          <w:tcPr>
            <w:tcW w:w="884" w:type="pct"/>
            <w:noWrap/>
            <w:vAlign w:val="bottom"/>
            <w:hideMark/>
          </w:tcPr>
          <w:p w14:paraId="630CB266" w14:textId="77777777" w:rsidR="00C363A3" w:rsidRPr="00B613F4" w:rsidRDefault="00C363A3" w:rsidP="00C363A3">
            <w:pPr>
              <w:rPr>
                <w:rFonts w:ascii="Arial" w:hAnsi="Arial" w:cs="Arial"/>
                <w:noProof/>
                <w:color w:val="BFBFBF" w:themeColor="background1" w:themeShade="BF"/>
                <w:sz w:val="16"/>
                <w:szCs w:val="16"/>
              </w:rPr>
            </w:pPr>
            <w:r w:rsidRPr="00B613F4">
              <w:rPr>
                <w:rFonts w:ascii="Arial" w:hAnsi="Arial" w:cs="Arial"/>
                <w:color w:val="000000"/>
                <w:sz w:val="16"/>
                <w:szCs w:val="16"/>
              </w:rPr>
              <w:t>0.90 (0.88, 0.91)</w:t>
            </w:r>
          </w:p>
        </w:tc>
        <w:tc>
          <w:tcPr>
            <w:tcW w:w="884" w:type="pct"/>
            <w:noWrap/>
            <w:vAlign w:val="bottom"/>
            <w:hideMark/>
          </w:tcPr>
          <w:p w14:paraId="7924E132" w14:textId="77777777" w:rsidR="00C363A3" w:rsidRPr="00B613F4" w:rsidRDefault="00C363A3" w:rsidP="00C363A3">
            <w:pPr>
              <w:rPr>
                <w:rFonts w:ascii="Arial" w:hAnsi="Arial" w:cs="Arial"/>
                <w:noProof/>
                <w:color w:val="BFBFBF" w:themeColor="background1" w:themeShade="BF"/>
                <w:sz w:val="16"/>
                <w:szCs w:val="16"/>
              </w:rPr>
            </w:pPr>
            <w:r w:rsidRPr="00B613F4">
              <w:rPr>
                <w:rFonts w:ascii="Arial" w:hAnsi="Arial" w:cs="Arial"/>
                <w:color w:val="000000"/>
                <w:sz w:val="16"/>
                <w:szCs w:val="16"/>
              </w:rPr>
              <w:t>0.92 (0.91, 0.94)</w:t>
            </w:r>
          </w:p>
        </w:tc>
      </w:tr>
      <w:tr w:rsidR="00C363A3" w:rsidRPr="00B613F4" w14:paraId="02ADF843" w14:textId="77777777" w:rsidTr="00DB1806">
        <w:trPr>
          <w:trHeight w:val="20"/>
        </w:trPr>
        <w:tc>
          <w:tcPr>
            <w:tcW w:w="1465" w:type="pct"/>
            <w:noWrap/>
            <w:hideMark/>
          </w:tcPr>
          <w:p w14:paraId="3363961F" w14:textId="38475B90" w:rsidR="00C363A3" w:rsidRPr="00B613F4" w:rsidRDefault="00C363A3" w:rsidP="00C363A3">
            <w:pPr>
              <w:ind w:left="144"/>
              <w:rPr>
                <w:rFonts w:ascii="Arial" w:hAnsi="Arial" w:cs="Arial"/>
                <w:noProof/>
                <w:sz w:val="16"/>
                <w:szCs w:val="16"/>
              </w:rPr>
            </w:pPr>
            <w:r>
              <w:rPr>
                <w:rFonts w:ascii="Arial" w:eastAsia="Times New Roman" w:hAnsi="Arial" w:cs="Arial"/>
                <w:sz w:val="16"/>
                <w:szCs w:val="16"/>
              </w:rPr>
              <w:t>2</w:t>
            </w:r>
            <w:r w:rsidRPr="00B613F4">
              <w:rPr>
                <w:rFonts w:ascii="Arial" w:eastAsia="Times New Roman" w:hAnsi="Arial" w:cs="Arial"/>
                <w:sz w:val="16"/>
                <w:szCs w:val="16"/>
              </w:rPr>
              <w:t xml:space="preserve"> vs </w:t>
            </w:r>
            <w:r>
              <w:rPr>
                <w:rFonts w:ascii="Arial" w:eastAsia="Times New Roman" w:hAnsi="Arial" w:cs="Arial"/>
                <w:sz w:val="16"/>
                <w:szCs w:val="16"/>
              </w:rPr>
              <w:t>5</w:t>
            </w:r>
          </w:p>
        </w:tc>
        <w:tc>
          <w:tcPr>
            <w:tcW w:w="882" w:type="pct"/>
            <w:noWrap/>
            <w:vAlign w:val="bottom"/>
            <w:hideMark/>
          </w:tcPr>
          <w:p w14:paraId="0E82EAE6" w14:textId="77777777" w:rsidR="00C363A3" w:rsidRPr="00B613F4" w:rsidRDefault="00C363A3" w:rsidP="00C363A3">
            <w:pPr>
              <w:rPr>
                <w:rFonts w:ascii="Arial" w:hAnsi="Arial" w:cs="Arial"/>
                <w:noProof/>
                <w:color w:val="BFBFBF" w:themeColor="background1" w:themeShade="BF"/>
                <w:sz w:val="16"/>
                <w:szCs w:val="16"/>
              </w:rPr>
            </w:pPr>
            <w:r w:rsidRPr="00B613F4">
              <w:rPr>
                <w:rFonts w:ascii="Arial" w:hAnsi="Arial" w:cs="Arial"/>
                <w:color w:val="000000"/>
                <w:sz w:val="16"/>
                <w:szCs w:val="16"/>
              </w:rPr>
              <w:t>1.09 (1.06, 1.12)</w:t>
            </w:r>
          </w:p>
        </w:tc>
        <w:tc>
          <w:tcPr>
            <w:tcW w:w="885" w:type="pct"/>
            <w:noWrap/>
            <w:vAlign w:val="bottom"/>
            <w:hideMark/>
          </w:tcPr>
          <w:p w14:paraId="4F7A1F8B" w14:textId="77777777" w:rsidR="00C363A3" w:rsidRPr="00B613F4" w:rsidRDefault="00C363A3" w:rsidP="00C363A3">
            <w:pPr>
              <w:rPr>
                <w:rFonts w:ascii="Arial" w:hAnsi="Arial" w:cs="Arial"/>
                <w:noProof/>
                <w:color w:val="BFBFBF" w:themeColor="background1" w:themeShade="BF"/>
                <w:sz w:val="16"/>
                <w:szCs w:val="16"/>
              </w:rPr>
            </w:pPr>
            <w:r w:rsidRPr="00B613F4">
              <w:rPr>
                <w:rFonts w:ascii="Arial" w:hAnsi="Arial" w:cs="Arial"/>
                <w:color w:val="000000"/>
                <w:sz w:val="16"/>
                <w:szCs w:val="16"/>
              </w:rPr>
              <w:t>1.01 (0.98, 1.05)</w:t>
            </w:r>
          </w:p>
        </w:tc>
        <w:tc>
          <w:tcPr>
            <w:tcW w:w="884" w:type="pct"/>
            <w:noWrap/>
            <w:vAlign w:val="bottom"/>
            <w:hideMark/>
          </w:tcPr>
          <w:p w14:paraId="1B18F4DC" w14:textId="77777777" w:rsidR="00C363A3" w:rsidRPr="00B613F4" w:rsidRDefault="00C363A3" w:rsidP="00C363A3">
            <w:pPr>
              <w:rPr>
                <w:rFonts w:ascii="Arial" w:hAnsi="Arial" w:cs="Arial"/>
                <w:noProof/>
                <w:color w:val="BFBFBF" w:themeColor="background1" w:themeShade="BF"/>
                <w:sz w:val="16"/>
                <w:szCs w:val="16"/>
              </w:rPr>
            </w:pPr>
            <w:r w:rsidRPr="00B613F4">
              <w:rPr>
                <w:rFonts w:ascii="Arial" w:hAnsi="Arial" w:cs="Arial"/>
                <w:color w:val="000000"/>
                <w:sz w:val="16"/>
                <w:szCs w:val="16"/>
              </w:rPr>
              <w:t>0.81 (0.80, 0.83)</w:t>
            </w:r>
          </w:p>
        </w:tc>
        <w:tc>
          <w:tcPr>
            <w:tcW w:w="884" w:type="pct"/>
            <w:noWrap/>
            <w:vAlign w:val="bottom"/>
            <w:hideMark/>
          </w:tcPr>
          <w:p w14:paraId="27765BD6" w14:textId="77777777" w:rsidR="00C363A3" w:rsidRPr="00B613F4" w:rsidRDefault="00C363A3" w:rsidP="00C363A3">
            <w:pPr>
              <w:rPr>
                <w:rFonts w:ascii="Arial" w:hAnsi="Arial" w:cs="Arial"/>
                <w:noProof/>
                <w:color w:val="BFBFBF" w:themeColor="background1" w:themeShade="BF"/>
                <w:sz w:val="16"/>
                <w:szCs w:val="16"/>
              </w:rPr>
            </w:pPr>
            <w:r w:rsidRPr="00B613F4">
              <w:rPr>
                <w:rFonts w:ascii="Arial" w:hAnsi="Arial" w:cs="Arial"/>
                <w:color w:val="000000"/>
                <w:sz w:val="16"/>
                <w:szCs w:val="16"/>
              </w:rPr>
              <w:t>0.85 (0.83, 0.87)</w:t>
            </w:r>
          </w:p>
        </w:tc>
      </w:tr>
      <w:tr w:rsidR="00C363A3" w:rsidRPr="00B613F4" w14:paraId="42D65A21" w14:textId="77777777" w:rsidTr="00DB1806">
        <w:trPr>
          <w:trHeight w:val="20"/>
        </w:trPr>
        <w:tc>
          <w:tcPr>
            <w:tcW w:w="1465" w:type="pct"/>
            <w:noWrap/>
            <w:hideMark/>
          </w:tcPr>
          <w:p w14:paraId="6719DBCF" w14:textId="5E6915B1" w:rsidR="00C363A3" w:rsidRPr="00B613F4" w:rsidRDefault="00C363A3" w:rsidP="00C363A3">
            <w:pPr>
              <w:ind w:left="144"/>
              <w:rPr>
                <w:rFonts w:ascii="Arial" w:hAnsi="Arial" w:cs="Arial"/>
                <w:noProof/>
                <w:sz w:val="16"/>
                <w:szCs w:val="16"/>
              </w:rPr>
            </w:pPr>
            <w:r>
              <w:rPr>
                <w:rFonts w:ascii="Arial" w:eastAsia="Times New Roman" w:hAnsi="Arial" w:cs="Arial"/>
                <w:sz w:val="16"/>
                <w:szCs w:val="16"/>
              </w:rPr>
              <w:t>1</w:t>
            </w:r>
            <w:r w:rsidRPr="00B613F4">
              <w:rPr>
                <w:rFonts w:ascii="Arial" w:eastAsia="Times New Roman" w:hAnsi="Arial" w:cs="Arial"/>
                <w:sz w:val="16"/>
                <w:szCs w:val="16"/>
              </w:rPr>
              <w:t xml:space="preserve"> vs </w:t>
            </w:r>
            <w:r>
              <w:rPr>
                <w:rFonts w:ascii="Arial" w:eastAsia="Times New Roman" w:hAnsi="Arial" w:cs="Arial"/>
                <w:sz w:val="16"/>
                <w:szCs w:val="16"/>
              </w:rPr>
              <w:t>5</w:t>
            </w:r>
          </w:p>
        </w:tc>
        <w:tc>
          <w:tcPr>
            <w:tcW w:w="882" w:type="pct"/>
            <w:noWrap/>
            <w:vAlign w:val="bottom"/>
            <w:hideMark/>
          </w:tcPr>
          <w:p w14:paraId="66127A40" w14:textId="77777777" w:rsidR="00C363A3" w:rsidRPr="00B613F4" w:rsidRDefault="00C363A3" w:rsidP="00C363A3">
            <w:pPr>
              <w:rPr>
                <w:rFonts w:ascii="Arial" w:hAnsi="Arial" w:cs="Arial"/>
                <w:noProof/>
                <w:color w:val="BFBFBF" w:themeColor="background1" w:themeShade="BF"/>
                <w:sz w:val="16"/>
                <w:szCs w:val="16"/>
              </w:rPr>
            </w:pPr>
            <w:r w:rsidRPr="00B613F4">
              <w:rPr>
                <w:rFonts w:ascii="Arial" w:hAnsi="Arial" w:cs="Arial"/>
                <w:color w:val="000000"/>
                <w:sz w:val="16"/>
                <w:szCs w:val="16"/>
              </w:rPr>
              <w:t>1.19 (1.16, 1.23)</w:t>
            </w:r>
          </w:p>
        </w:tc>
        <w:tc>
          <w:tcPr>
            <w:tcW w:w="885" w:type="pct"/>
            <w:noWrap/>
            <w:vAlign w:val="bottom"/>
            <w:hideMark/>
          </w:tcPr>
          <w:p w14:paraId="6DE8E93A" w14:textId="77777777" w:rsidR="00C363A3" w:rsidRPr="00B613F4" w:rsidRDefault="00C363A3" w:rsidP="00C363A3">
            <w:pPr>
              <w:rPr>
                <w:rFonts w:ascii="Arial" w:hAnsi="Arial" w:cs="Arial"/>
                <w:noProof/>
                <w:color w:val="BFBFBF" w:themeColor="background1" w:themeShade="BF"/>
                <w:sz w:val="16"/>
                <w:szCs w:val="16"/>
              </w:rPr>
            </w:pPr>
            <w:r w:rsidRPr="00B613F4">
              <w:rPr>
                <w:rFonts w:ascii="Arial" w:hAnsi="Arial" w:cs="Arial"/>
                <w:color w:val="000000"/>
                <w:sz w:val="16"/>
                <w:szCs w:val="16"/>
              </w:rPr>
              <w:t>1.08 (1.03, 1.13)</w:t>
            </w:r>
          </w:p>
        </w:tc>
        <w:tc>
          <w:tcPr>
            <w:tcW w:w="884" w:type="pct"/>
            <w:noWrap/>
            <w:vAlign w:val="bottom"/>
            <w:hideMark/>
          </w:tcPr>
          <w:p w14:paraId="1B483934" w14:textId="77777777" w:rsidR="00C363A3" w:rsidRPr="00B613F4" w:rsidRDefault="00C363A3" w:rsidP="00C363A3">
            <w:pPr>
              <w:rPr>
                <w:rFonts w:ascii="Arial" w:hAnsi="Arial" w:cs="Arial"/>
                <w:noProof/>
                <w:color w:val="BFBFBF" w:themeColor="background1" w:themeShade="BF"/>
                <w:sz w:val="16"/>
                <w:szCs w:val="16"/>
              </w:rPr>
            </w:pPr>
            <w:r w:rsidRPr="00B613F4">
              <w:rPr>
                <w:rFonts w:ascii="Arial" w:hAnsi="Arial" w:cs="Arial"/>
                <w:color w:val="000000"/>
                <w:sz w:val="16"/>
                <w:szCs w:val="16"/>
              </w:rPr>
              <w:t>0.75 (0.74, 0.77)</w:t>
            </w:r>
          </w:p>
        </w:tc>
        <w:tc>
          <w:tcPr>
            <w:tcW w:w="884" w:type="pct"/>
            <w:noWrap/>
            <w:vAlign w:val="bottom"/>
            <w:hideMark/>
          </w:tcPr>
          <w:p w14:paraId="3CC73F5B" w14:textId="77777777" w:rsidR="00C363A3" w:rsidRPr="00B613F4" w:rsidRDefault="00C363A3" w:rsidP="00C363A3">
            <w:pPr>
              <w:rPr>
                <w:rFonts w:ascii="Arial" w:hAnsi="Arial" w:cs="Arial"/>
                <w:noProof/>
                <w:color w:val="BFBFBF" w:themeColor="background1" w:themeShade="BF"/>
                <w:sz w:val="16"/>
                <w:szCs w:val="16"/>
              </w:rPr>
            </w:pPr>
            <w:r w:rsidRPr="00B613F4">
              <w:rPr>
                <w:rFonts w:ascii="Arial" w:hAnsi="Arial" w:cs="Arial"/>
                <w:color w:val="000000"/>
                <w:sz w:val="16"/>
                <w:szCs w:val="16"/>
              </w:rPr>
              <w:t>0.79 (0.77, 0.81)</w:t>
            </w:r>
          </w:p>
        </w:tc>
      </w:tr>
    </w:tbl>
    <w:p w14:paraId="1A584C0C" w14:textId="007219A5" w:rsidR="00DB1806" w:rsidRDefault="00DB1806" w:rsidP="00DB1806">
      <w:pPr>
        <w:spacing w:after="0" w:line="240" w:lineRule="auto"/>
        <w:rPr>
          <w:rFonts w:ascii="Arial" w:hAnsi="Arial" w:cs="Arial"/>
          <w:noProof/>
          <w:sz w:val="16"/>
          <w:szCs w:val="16"/>
        </w:rPr>
      </w:pPr>
      <w:r>
        <w:rPr>
          <w:rFonts w:ascii="Arial" w:hAnsi="Arial" w:cs="Arial"/>
          <w:noProof/>
          <w:sz w:val="16"/>
          <w:szCs w:val="16"/>
          <w:vertAlign w:val="superscript"/>
        </w:rPr>
        <w:t>a</w:t>
      </w:r>
      <w:r w:rsidRPr="00491159">
        <w:rPr>
          <w:rFonts w:ascii="Arial" w:hAnsi="Arial" w:cs="Arial"/>
          <w:noProof/>
          <w:sz w:val="16"/>
          <w:szCs w:val="16"/>
        </w:rPr>
        <w:t>Dissemination areas were ranked within each city by their median household income to create</w:t>
      </w:r>
      <w:r>
        <w:rPr>
          <w:rFonts w:ascii="Arial" w:hAnsi="Arial" w:cs="Arial"/>
          <w:noProof/>
          <w:sz w:val="16"/>
          <w:szCs w:val="16"/>
        </w:rPr>
        <w:t xml:space="preserve"> income</w:t>
      </w:r>
      <w:r w:rsidRPr="00491159">
        <w:rPr>
          <w:rFonts w:ascii="Arial" w:hAnsi="Arial" w:cs="Arial"/>
          <w:noProof/>
          <w:sz w:val="16"/>
          <w:szCs w:val="16"/>
        </w:rPr>
        <w:t xml:space="preserve"> quintiles; we ranked within city instead of within </w:t>
      </w:r>
      <w:r w:rsidR="00BC4965">
        <w:rPr>
          <w:rFonts w:ascii="Arial" w:hAnsi="Arial" w:cs="Arial"/>
          <w:noProof/>
          <w:sz w:val="16"/>
          <w:szCs w:val="16"/>
        </w:rPr>
        <w:t xml:space="preserve">the </w:t>
      </w:r>
      <w:r w:rsidRPr="00491159">
        <w:rPr>
          <w:rFonts w:ascii="Arial" w:hAnsi="Arial" w:cs="Arial"/>
          <w:noProof/>
          <w:sz w:val="16"/>
          <w:szCs w:val="16"/>
        </w:rPr>
        <w:t xml:space="preserve">entire provinceto </w:t>
      </w:r>
      <w:r w:rsidR="00BC4965">
        <w:rPr>
          <w:rFonts w:ascii="Arial" w:hAnsi="Arial" w:cs="Arial"/>
          <w:noProof/>
          <w:sz w:val="16"/>
          <w:szCs w:val="16"/>
        </w:rPr>
        <w:t xml:space="preserve">to </w:t>
      </w:r>
      <w:r w:rsidRPr="00491159">
        <w:rPr>
          <w:rFonts w:ascii="Arial" w:hAnsi="Arial" w:cs="Arial"/>
          <w:noProof/>
          <w:sz w:val="16"/>
          <w:szCs w:val="16"/>
        </w:rPr>
        <w:t xml:space="preserve">take cost of living into account; a disseminaton area being in quintile 1 means it is among the </w:t>
      </w:r>
      <w:r w:rsidR="00BF68B6">
        <w:rPr>
          <w:rFonts w:ascii="Arial" w:hAnsi="Arial" w:cs="Arial"/>
          <w:noProof/>
          <w:sz w:val="16"/>
          <w:szCs w:val="16"/>
        </w:rPr>
        <w:t>lowest</w:t>
      </w:r>
      <w:r w:rsidR="00BF68B6" w:rsidRPr="00491159">
        <w:rPr>
          <w:rFonts w:ascii="Arial" w:hAnsi="Arial" w:cs="Arial"/>
          <w:noProof/>
          <w:sz w:val="16"/>
          <w:szCs w:val="16"/>
        </w:rPr>
        <w:t xml:space="preserve"> </w:t>
      </w:r>
      <w:r w:rsidRPr="00491159">
        <w:rPr>
          <w:rFonts w:ascii="Arial" w:hAnsi="Arial" w:cs="Arial"/>
          <w:noProof/>
          <w:sz w:val="16"/>
          <w:szCs w:val="16"/>
        </w:rPr>
        <w:t>20% of dissenmination areas in its city by median household income</w:t>
      </w:r>
      <w:r w:rsidR="00FC5E22">
        <w:rPr>
          <w:rFonts w:ascii="Arial" w:hAnsi="Arial" w:cs="Arial"/>
          <w:noProof/>
          <w:sz w:val="16"/>
          <w:szCs w:val="16"/>
        </w:rPr>
        <w:t>.</w:t>
      </w:r>
      <w:r w:rsidR="00FC5E22" w:rsidRPr="00491159">
        <w:rPr>
          <w:rFonts w:ascii="Arial" w:hAnsi="Arial" w:cs="Arial"/>
          <w:noProof/>
          <w:sz w:val="16"/>
          <w:szCs w:val="16"/>
        </w:rPr>
        <w:t xml:space="preserve"> </w:t>
      </w:r>
    </w:p>
    <w:p w14:paraId="5F348A19" w14:textId="6F71563C" w:rsidR="00DB1806" w:rsidRPr="00DB1806" w:rsidRDefault="00DB1806" w:rsidP="00DB1806">
      <w:pPr>
        <w:spacing w:after="0" w:line="240" w:lineRule="auto"/>
        <w:rPr>
          <w:rFonts w:ascii="Arial" w:hAnsi="Arial" w:cs="Arial"/>
          <w:sz w:val="16"/>
          <w:szCs w:val="16"/>
        </w:rPr>
      </w:pPr>
      <w:r>
        <w:rPr>
          <w:rFonts w:ascii="Arial" w:hAnsi="Arial" w:cs="Arial"/>
          <w:sz w:val="16"/>
          <w:szCs w:val="16"/>
          <w:vertAlign w:val="superscript"/>
        </w:rPr>
        <w:t>b</w:t>
      </w:r>
      <w:r w:rsidRPr="00DB1806">
        <w:rPr>
          <w:rFonts w:ascii="Arial" w:hAnsi="Arial" w:cs="Arial"/>
          <w:sz w:val="16"/>
          <w:szCs w:val="16"/>
        </w:rPr>
        <w:t>Cl</w:t>
      </w:r>
      <w:r>
        <w:rPr>
          <w:rFonts w:ascii="Arial" w:hAnsi="Arial" w:cs="Arial"/>
          <w:sz w:val="16"/>
          <w:szCs w:val="16"/>
        </w:rPr>
        <w:t xml:space="preserve">assification of COVID-19 variants are detailed </w:t>
      </w:r>
      <w:r w:rsidRPr="002005AD">
        <w:rPr>
          <w:rFonts w:ascii="Arial" w:hAnsi="Arial" w:cs="Arial"/>
          <w:sz w:val="16"/>
          <w:szCs w:val="16"/>
        </w:rPr>
        <w:t xml:space="preserve">in </w:t>
      </w:r>
      <w:r w:rsidRPr="002005AD">
        <w:rPr>
          <w:rFonts w:ascii="Arial" w:hAnsi="Arial" w:cs="Arial"/>
          <w:b/>
          <w:sz w:val="16"/>
          <w:szCs w:val="16"/>
        </w:rPr>
        <w:t xml:space="preserve">Appendix </w:t>
      </w:r>
      <w:r w:rsidR="002005AD" w:rsidRPr="002005AD">
        <w:rPr>
          <w:rFonts w:ascii="Arial" w:hAnsi="Arial" w:cs="Arial"/>
          <w:b/>
          <w:sz w:val="16"/>
          <w:szCs w:val="16"/>
        </w:rPr>
        <w:t xml:space="preserve">text </w:t>
      </w:r>
      <w:r w:rsidR="00354741">
        <w:rPr>
          <w:rFonts w:ascii="Arial" w:hAnsi="Arial" w:cs="Arial"/>
          <w:b/>
          <w:sz w:val="16"/>
          <w:szCs w:val="16"/>
        </w:rPr>
        <w:t>2</w:t>
      </w:r>
      <w:r w:rsidR="00FC5E22">
        <w:rPr>
          <w:rFonts w:ascii="Arial" w:hAnsi="Arial" w:cs="Arial"/>
          <w:sz w:val="16"/>
          <w:szCs w:val="16"/>
        </w:rPr>
        <w:t>.</w:t>
      </w:r>
    </w:p>
    <w:p w14:paraId="16FC5909" w14:textId="167BB4F7" w:rsidR="00DB1806" w:rsidRPr="00DB1806" w:rsidRDefault="00DB1806" w:rsidP="00DB1806">
      <w:pPr>
        <w:spacing w:after="0" w:line="240" w:lineRule="auto"/>
        <w:rPr>
          <w:rFonts w:ascii="Arial" w:hAnsi="Arial" w:cs="Arial"/>
          <w:sz w:val="16"/>
          <w:szCs w:val="16"/>
        </w:rPr>
      </w:pPr>
      <w:r>
        <w:rPr>
          <w:rFonts w:ascii="Arial" w:hAnsi="Arial" w:cs="Arial"/>
          <w:sz w:val="16"/>
          <w:szCs w:val="16"/>
          <w:vertAlign w:val="superscript"/>
        </w:rPr>
        <w:t>c</w:t>
      </w:r>
      <w:r w:rsidRPr="00DB1806">
        <w:rPr>
          <w:rFonts w:ascii="Arial" w:hAnsi="Arial" w:cs="Arial"/>
          <w:sz w:val="16"/>
          <w:szCs w:val="16"/>
        </w:rPr>
        <w:t xml:space="preserve">Cause-specific hazard models were used to examine COVID-19 variant-specific death </w:t>
      </w:r>
      <w:r w:rsidR="00EE3B5C">
        <w:rPr>
          <w:rFonts w:ascii="Arial" w:hAnsi="Arial" w:cs="Arial"/>
          <w:sz w:val="16"/>
          <w:szCs w:val="16"/>
        </w:rPr>
        <w:t>(</w:t>
      </w:r>
      <w:r w:rsidRPr="00DB1806">
        <w:rPr>
          <w:rFonts w:ascii="Arial" w:hAnsi="Arial" w:cs="Arial"/>
          <w:sz w:val="16"/>
          <w:szCs w:val="16"/>
        </w:rPr>
        <w:t>treating deaths not related to COVID-19, and deaths related to other variants as competing risk events</w:t>
      </w:r>
      <w:r w:rsidR="00EE3B5C">
        <w:rPr>
          <w:rFonts w:ascii="Arial" w:hAnsi="Arial" w:cs="Arial"/>
          <w:sz w:val="16"/>
          <w:szCs w:val="16"/>
        </w:rPr>
        <w:t>)</w:t>
      </w:r>
      <w:r w:rsidRPr="00DB1806">
        <w:rPr>
          <w:rFonts w:ascii="Arial" w:hAnsi="Arial" w:cs="Arial"/>
          <w:sz w:val="16"/>
          <w:szCs w:val="16"/>
        </w:rPr>
        <w:t xml:space="preserve"> and to examine COVID-19 variant-specific diagnosis </w:t>
      </w:r>
      <w:r w:rsidR="00EE3B5C">
        <w:rPr>
          <w:rFonts w:ascii="Arial" w:hAnsi="Arial" w:cs="Arial"/>
          <w:sz w:val="16"/>
          <w:szCs w:val="16"/>
        </w:rPr>
        <w:t>(</w:t>
      </w:r>
      <w:r w:rsidRPr="00DB1806">
        <w:rPr>
          <w:rFonts w:ascii="Arial" w:hAnsi="Arial" w:cs="Arial"/>
          <w:sz w:val="16"/>
          <w:szCs w:val="16"/>
        </w:rPr>
        <w:t>treating all deaths and diagnosis of other variants as competing risk events</w:t>
      </w:r>
      <w:r w:rsidR="00EE3B5C">
        <w:rPr>
          <w:rFonts w:ascii="Arial" w:hAnsi="Arial" w:cs="Arial"/>
          <w:sz w:val="16"/>
          <w:szCs w:val="16"/>
        </w:rPr>
        <w:t>)</w:t>
      </w:r>
      <w:r w:rsidR="00FC5E22">
        <w:rPr>
          <w:rFonts w:ascii="Arial" w:hAnsi="Arial" w:cs="Arial"/>
          <w:sz w:val="16"/>
          <w:szCs w:val="16"/>
        </w:rPr>
        <w:t>.</w:t>
      </w:r>
    </w:p>
    <w:p w14:paraId="504710E9" w14:textId="22DA3116" w:rsidR="00DB1806" w:rsidRPr="00184F0C" w:rsidRDefault="00DB1806" w:rsidP="00FB083A">
      <w:pPr>
        <w:spacing w:after="0" w:line="240" w:lineRule="auto"/>
        <w:rPr>
          <w:rFonts w:ascii="Arial" w:hAnsi="Arial" w:cs="Arial"/>
          <w:noProof/>
          <w:sz w:val="16"/>
          <w:szCs w:val="16"/>
          <w:vertAlign w:val="superscript"/>
        </w:rPr>
      </w:pPr>
      <w:r>
        <w:rPr>
          <w:rFonts w:ascii="Arial" w:hAnsi="Arial" w:cs="Arial"/>
          <w:sz w:val="16"/>
          <w:szCs w:val="16"/>
          <w:vertAlign w:val="superscript"/>
        </w:rPr>
        <w:t>d</w:t>
      </w:r>
      <w:r w:rsidRPr="00DB1806">
        <w:rPr>
          <w:rFonts w:ascii="Arial" w:hAnsi="Arial" w:cs="Arial"/>
          <w:sz w:val="16"/>
          <w:szCs w:val="16"/>
        </w:rPr>
        <w:t xml:space="preserve">Adjusted for individual-level demographics (age, sex, immigration status, residing in rural vs. urban, public health unit of residence), baseline health (comorbidity index measured by the Aggregated Diagnosis Groups, past hospitalization and outpatient visits), and other area-level social determinants of health (educational attainment, </w:t>
      </w:r>
      <w:r w:rsidRPr="00184F0C">
        <w:rPr>
          <w:rFonts w:ascii="Arial" w:hAnsi="Arial" w:cs="Arial"/>
          <w:sz w:val="16"/>
          <w:szCs w:val="16"/>
        </w:rPr>
        <w:t>essential workers, ethnic diversity and housing condition)</w:t>
      </w:r>
      <w:r w:rsidR="00FC5E22" w:rsidRPr="00184F0C">
        <w:rPr>
          <w:rFonts w:ascii="Arial" w:hAnsi="Arial" w:cs="Arial"/>
          <w:sz w:val="16"/>
          <w:szCs w:val="16"/>
        </w:rPr>
        <w:t>.</w:t>
      </w:r>
    </w:p>
    <w:p w14:paraId="2B40033D" w14:textId="3D98672C" w:rsidR="00FB083A" w:rsidRPr="00EF1E49" w:rsidRDefault="00DB1806" w:rsidP="00FB083A">
      <w:pPr>
        <w:spacing w:after="0" w:line="240" w:lineRule="auto"/>
        <w:rPr>
          <w:rFonts w:ascii="Arial" w:hAnsi="Arial" w:cs="Arial"/>
          <w:noProof/>
          <w:sz w:val="16"/>
          <w:szCs w:val="16"/>
        </w:rPr>
      </w:pPr>
      <w:r w:rsidRPr="00184F0C">
        <w:rPr>
          <w:rFonts w:ascii="Arial" w:hAnsi="Arial" w:cs="Arial"/>
          <w:noProof/>
          <w:sz w:val="16"/>
          <w:szCs w:val="16"/>
          <w:vertAlign w:val="superscript"/>
        </w:rPr>
        <w:t>e</w:t>
      </w:r>
      <w:r w:rsidR="00FB083A" w:rsidRPr="00184F0C">
        <w:rPr>
          <w:rFonts w:ascii="Arial" w:hAnsi="Arial" w:cs="Arial"/>
          <w:noProof/>
          <w:sz w:val="16"/>
          <w:szCs w:val="16"/>
        </w:rPr>
        <w:t>Death within 30 days following or 7 days prior to a lab-confirmed positive</w:t>
      </w:r>
      <w:r w:rsidR="00EE3B5C" w:rsidRPr="00184F0C">
        <w:rPr>
          <w:rFonts w:ascii="Arial" w:hAnsi="Arial" w:cs="Arial"/>
          <w:noProof/>
          <w:sz w:val="16"/>
          <w:szCs w:val="16"/>
        </w:rPr>
        <w:t xml:space="preserve"> </w:t>
      </w:r>
      <w:r w:rsidR="00184F0C" w:rsidRPr="00184F0C">
        <w:rPr>
          <w:rFonts w:ascii="Arial" w:hAnsi="Arial" w:cs="Arial"/>
          <w:noProof/>
          <w:sz w:val="16"/>
          <w:szCs w:val="16"/>
        </w:rPr>
        <w:t xml:space="preserve">SARS-CoV-2 </w:t>
      </w:r>
      <w:r w:rsidR="00FB083A" w:rsidRPr="00184F0C">
        <w:rPr>
          <w:rFonts w:ascii="Arial" w:hAnsi="Arial" w:cs="Arial"/>
          <w:noProof/>
          <w:sz w:val="16"/>
          <w:szCs w:val="16"/>
        </w:rPr>
        <w:t>test was considered</w:t>
      </w:r>
      <w:r w:rsidR="00EE3B5C" w:rsidRPr="00184F0C">
        <w:rPr>
          <w:rFonts w:ascii="Arial" w:hAnsi="Arial" w:cs="Arial"/>
          <w:noProof/>
          <w:sz w:val="16"/>
          <w:szCs w:val="16"/>
        </w:rPr>
        <w:t xml:space="preserve"> a</w:t>
      </w:r>
      <w:r w:rsidR="00FB083A" w:rsidRPr="00184F0C">
        <w:rPr>
          <w:rFonts w:ascii="Arial" w:hAnsi="Arial" w:cs="Arial"/>
          <w:noProof/>
          <w:sz w:val="16"/>
          <w:szCs w:val="16"/>
        </w:rPr>
        <w:t xml:space="preserve"> COVID-19 death; </w:t>
      </w:r>
      <w:r w:rsidR="00EF1E49" w:rsidRPr="00184F0C">
        <w:rPr>
          <w:rFonts w:ascii="Arial" w:hAnsi="Arial" w:cs="Arial"/>
          <w:noProof/>
          <w:sz w:val="16"/>
          <w:szCs w:val="16"/>
        </w:rPr>
        <w:t xml:space="preserve">COVID-19 death with a diagnosis </w:t>
      </w:r>
      <w:r w:rsidR="00673899">
        <w:rPr>
          <w:rFonts w:ascii="Arial" w:hAnsi="Arial" w:cs="Arial"/>
          <w:noProof/>
          <w:sz w:val="16"/>
          <w:szCs w:val="16"/>
        </w:rPr>
        <w:t>with</w:t>
      </w:r>
      <w:r w:rsidR="00EF1E49" w:rsidRPr="00184F0C">
        <w:rPr>
          <w:rFonts w:ascii="Arial" w:hAnsi="Arial" w:cs="Arial"/>
          <w:noProof/>
          <w:sz w:val="16"/>
          <w:szCs w:val="16"/>
        </w:rPr>
        <w:t xml:space="preserve"> </w:t>
      </w:r>
      <w:r w:rsidR="00EE3B5C" w:rsidRPr="00184F0C">
        <w:rPr>
          <w:rFonts w:ascii="Arial" w:hAnsi="Arial" w:cs="Arial"/>
          <w:noProof/>
          <w:sz w:val="16"/>
          <w:szCs w:val="16"/>
        </w:rPr>
        <w:t xml:space="preserve">the </w:t>
      </w:r>
      <w:r w:rsidR="00EF1E49" w:rsidRPr="00184F0C">
        <w:rPr>
          <w:rFonts w:ascii="Arial" w:hAnsi="Arial" w:cs="Arial"/>
          <w:noProof/>
          <w:sz w:val="16"/>
          <w:szCs w:val="16"/>
        </w:rPr>
        <w:t>Delta variant is</w:t>
      </w:r>
      <w:r w:rsidR="00EE3B5C" w:rsidRPr="00184F0C">
        <w:rPr>
          <w:rFonts w:ascii="Arial" w:hAnsi="Arial" w:cs="Arial"/>
          <w:noProof/>
          <w:sz w:val="16"/>
          <w:szCs w:val="16"/>
        </w:rPr>
        <w:t xml:space="preserve"> </w:t>
      </w:r>
      <w:r w:rsidR="00673899">
        <w:rPr>
          <w:rFonts w:ascii="Arial" w:hAnsi="Arial" w:cs="Arial"/>
          <w:noProof/>
          <w:sz w:val="16"/>
          <w:szCs w:val="16"/>
        </w:rPr>
        <w:t xml:space="preserve">classified as </w:t>
      </w:r>
      <w:r w:rsidR="00EE3B5C" w:rsidRPr="00184F0C">
        <w:rPr>
          <w:rFonts w:ascii="Arial" w:hAnsi="Arial" w:cs="Arial"/>
          <w:noProof/>
          <w:sz w:val="16"/>
          <w:szCs w:val="16"/>
        </w:rPr>
        <w:t>a</w:t>
      </w:r>
      <w:r w:rsidR="00EF1E49" w:rsidRPr="00184F0C">
        <w:rPr>
          <w:rFonts w:ascii="Arial" w:hAnsi="Arial" w:cs="Arial"/>
          <w:noProof/>
          <w:sz w:val="16"/>
          <w:szCs w:val="16"/>
        </w:rPr>
        <w:t xml:space="preserve"> Delta-related death</w:t>
      </w:r>
      <w:r w:rsidR="00EF1E49" w:rsidRPr="00EF1E49">
        <w:rPr>
          <w:rFonts w:ascii="Arial" w:hAnsi="Arial" w:cs="Arial"/>
          <w:noProof/>
          <w:sz w:val="16"/>
          <w:szCs w:val="16"/>
        </w:rPr>
        <w:t xml:space="preserve">; COVID-19 death with a diagnosis </w:t>
      </w:r>
      <w:r w:rsidR="00673899">
        <w:rPr>
          <w:rFonts w:ascii="Arial" w:hAnsi="Arial" w:cs="Arial"/>
          <w:noProof/>
          <w:sz w:val="16"/>
          <w:szCs w:val="16"/>
        </w:rPr>
        <w:t>with</w:t>
      </w:r>
      <w:r w:rsidR="00EE3B5C">
        <w:rPr>
          <w:rFonts w:ascii="Arial" w:hAnsi="Arial" w:cs="Arial"/>
          <w:noProof/>
          <w:sz w:val="16"/>
          <w:szCs w:val="16"/>
        </w:rPr>
        <w:t xml:space="preserve"> the</w:t>
      </w:r>
      <w:r w:rsidR="00EF1E49" w:rsidRPr="00EF1E49">
        <w:rPr>
          <w:rFonts w:ascii="Arial" w:hAnsi="Arial" w:cs="Arial"/>
          <w:noProof/>
          <w:sz w:val="16"/>
          <w:szCs w:val="16"/>
        </w:rPr>
        <w:t xml:space="preserve"> Omicron variant is </w:t>
      </w:r>
      <w:r w:rsidR="00673899">
        <w:rPr>
          <w:rFonts w:ascii="Arial" w:hAnsi="Arial" w:cs="Arial"/>
          <w:noProof/>
          <w:sz w:val="16"/>
          <w:szCs w:val="16"/>
        </w:rPr>
        <w:t xml:space="preserve">classified as </w:t>
      </w:r>
      <w:r w:rsidR="00EE3B5C">
        <w:rPr>
          <w:rFonts w:ascii="Arial" w:hAnsi="Arial" w:cs="Arial"/>
          <w:noProof/>
          <w:sz w:val="16"/>
          <w:szCs w:val="16"/>
        </w:rPr>
        <w:t xml:space="preserve">an </w:t>
      </w:r>
      <w:r w:rsidR="00EF1E49" w:rsidRPr="00EF1E49">
        <w:rPr>
          <w:rFonts w:ascii="Arial" w:hAnsi="Arial" w:cs="Arial"/>
          <w:noProof/>
          <w:sz w:val="16"/>
          <w:szCs w:val="16"/>
        </w:rPr>
        <w:t xml:space="preserve">Omicron-related death. </w:t>
      </w:r>
    </w:p>
    <w:p w14:paraId="6BA3C97B" w14:textId="282A30A5" w:rsidR="00FB083A" w:rsidRPr="00B613F4" w:rsidRDefault="00FB083A" w:rsidP="00FB083A">
      <w:pPr>
        <w:spacing w:after="0" w:line="240" w:lineRule="auto"/>
        <w:rPr>
          <w:rFonts w:ascii="Arial" w:hAnsi="Arial" w:cs="Arial"/>
          <w:noProof/>
          <w:sz w:val="16"/>
          <w:szCs w:val="16"/>
        </w:rPr>
      </w:pPr>
      <w:r w:rsidRPr="00EF1E49">
        <w:rPr>
          <w:rFonts w:ascii="Arial" w:hAnsi="Arial" w:cs="Arial"/>
          <w:noProof/>
          <w:sz w:val="16"/>
          <w:szCs w:val="16"/>
        </w:rPr>
        <w:t>Abbreviations: CI, confidence interval.</w:t>
      </w:r>
    </w:p>
    <w:p w14:paraId="344C7630" w14:textId="77777777" w:rsidR="00E01EE6" w:rsidRPr="00B613F4" w:rsidRDefault="00E01EE6" w:rsidP="00E01EE6">
      <w:pPr>
        <w:rPr>
          <w:rFonts w:ascii="Arial" w:hAnsi="Arial" w:cs="Arial"/>
        </w:rPr>
      </w:pPr>
    </w:p>
    <w:p w14:paraId="745ECCE0" w14:textId="77777777" w:rsidR="00E01EE6" w:rsidRPr="00B613F4" w:rsidRDefault="00E01EE6" w:rsidP="00E01EE6">
      <w:pPr>
        <w:rPr>
          <w:rFonts w:ascii="Arial" w:hAnsi="Arial" w:cs="Arial"/>
        </w:rPr>
      </w:pPr>
      <w:r w:rsidRPr="00B613F4">
        <w:rPr>
          <w:rFonts w:ascii="Arial" w:hAnsi="Arial" w:cs="Arial"/>
        </w:rPr>
        <w:br w:type="page"/>
      </w:r>
    </w:p>
    <w:p w14:paraId="2E33F162" w14:textId="1A222213" w:rsidR="00A2401C" w:rsidRPr="00B613F4" w:rsidRDefault="00E01EE6" w:rsidP="00A2401C">
      <w:pPr>
        <w:spacing w:after="0" w:line="240" w:lineRule="auto"/>
        <w:rPr>
          <w:rFonts w:ascii="Arial" w:hAnsi="Arial" w:cs="Arial"/>
          <w:sz w:val="20"/>
          <w:szCs w:val="20"/>
        </w:rPr>
      </w:pPr>
      <w:r w:rsidRPr="00A2401C">
        <w:rPr>
          <w:rFonts w:ascii="Arial" w:hAnsi="Arial" w:cs="Arial"/>
          <w:b/>
          <w:sz w:val="20"/>
          <w:szCs w:val="20"/>
        </w:rPr>
        <w:lastRenderedPageBreak/>
        <w:t xml:space="preserve">Appendix Table 3.  </w:t>
      </w:r>
      <w:r w:rsidR="00A2401C" w:rsidRPr="00A2401C">
        <w:rPr>
          <w:rFonts w:ascii="Arial" w:hAnsi="Arial" w:cs="Arial"/>
          <w:sz w:val="20"/>
          <w:szCs w:val="20"/>
        </w:rPr>
        <w:t xml:space="preserve">Patterns in </w:t>
      </w:r>
      <w:r w:rsidR="00BF68B6">
        <w:rPr>
          <w:rFonts w:ascii="Arial" w:hAnsi="Arial" w:cs="Arial"/>
          <w:sz w:val="20"/>
          <w:szCs w:val="20"/>
        </w:rPr>
        <w:t>vaccination</w:t>
      </w:r>
      <w:r w:rsidR="00A2401C" w:rsidRPr="00A2401C">
        <w:rPr>
          <w:rFonts w:ascii="Arial" w:hAnsi="Arial" w:cs="Arial"/>
          <w:sz w:val="20"/>
          <w:szCs w:val="20"/>
        </w:rPr>
        <w:t xml:space="preserve"> </w:t>
      </w:r>
      <w:r w:rsidR="00BF68B6">
        <w:rPr>
          <w:rFonts w:ascii="Arial" w:hAnsi="Arial" w:cs="Arial"/>
          <w:sz w:val="20"/>
          <w:szCs w:val="20"/>
        </w:rPr>
        <w:t>by</w:t>
      </w:r>
      <w:r w:rsidR="00BF68B6" w:rsidRPr="00A2401C">
        <w:rPr>
          <w:rFonts w:ascii="Arial" w:hAnsi="Arial" w:cs="Arial"/>
          <w:sz w:val="20"/>
          <w:szCs w:val="20"/>
        </w:rPr>
        <w:t xml:space="preserve"> </w:t>
      </w:r>
      <w:r w:rsidR="00A2401C" w:rsidRPr="00A2401C">
        <w:rPr>
          <w:rFonts w:ascii="Arial" w:hAnsi="Arial" w:cs="Arial"/>
          <w:sz w:val="20"/>
          <w:szCs w:val="20"/>
        </w:rPr>
        <w:t xml:space="preserve">the start of wave </w:t>
      </w:r>
      <w:r w:rsidR="002C0697">
        <w:rPr>
          <w:rFonts w:ascii="Arial" w:hAnsi="Arial" w:cs="Arial"/>
          <w:sz w:val="20"/>
          <w:szCs w:val="20"/>
        </w:rPr>
        <w:t>four</w:t>
      </w:r>
      <w:r w:rsidR="002C0697" w:rsidRPr="00A2401C">
        <w:rPr>
          <w:rFonts w:ascii="Arial" w:hAnsi="Arial" w:cs="Arial"/>
          <w:sz w:val="20"/>
          <w:szCs w:val="20"/>
        </w:rPr>
        <w:t xml:space="preserve"> </w:t>
      </w:r>
      <w:r w:rsidR="00A2401C" w:rsidRPr="00A2401C">
        <w:rPr>
          <w:rFonts w:ascii="Arial" w:hAnsi="Arial" w:cs="Arial"/>
          <w:sz w:val="20"/>
          <w:szCs w:val="20"/>
        </w:rPr>
        <w:t>and in COVID-19 death</w:t>
      </w:r>
      <w:r w:rsidR="002948EF">
        <w:rPr>
          <w:rFonts w:ascii="Arial" w:hAnsi="Arial" w:cs="Arial"/>
          <w:sz w:val="20"/>
          <w:szCs w:val="20"/>
        </w:rPr>
        <w:t>s</w:t>
      </w:r>
      <w:r w:rsidR="00A2401C" w:rsidRPr="00A2401C">
        <w:rPr>
          <w:rFonts w:ascii="Arial" w:hAnsi="Arial" w:cs="Arial"/>
          <w:sz w:val="20"/>
          <w:szCs w:val="20"/>
        </w:rPr>
        <w:t xml:space="preserve"> </w:t>
      </w:r>
      <w:r w:rsidR="00BF68B6">
        <w:rPr>
          <w:rFonts w:ascii="Arial" w:hAnsi="Arial" w:cs="Arial"/>
          <w:sz w:val="20"/>
          <w:szCs w:val="20"/>
        </w:rPr>
        <w:t>during</w:t>
      </w:r>
      <w:r w:rsidR="00BF68B6" w:rsidRPr="00A2401C">
        <w:rPr>
          <w:rFonts w:ascii="Arial" w:hAnsi="Arial" w:cs="Arial"/>
          <w:sz w:val="20"/>
          <w:szCs w:val="20"/>
        </w:rPr>
        <w:t xml:space="preserve"> </w:t>
      </w:r>
      <w:r w:rsidR="00A2401C" w:rsidRPr="00A2401C">
        <w:rPr>
          <w:rFonts w:ascii="Arial" w:hAnsi="Arial" w:cs="Arial"/>
          <w:sz w:val="20"/>
          <w:szCs w:val="20"/>
        </w:rPr>
        <w:t xml:space="preserve">waves </w:t>
      </w:r>
      <w:r w:rsidR="002C0697">
        <w:rPr>
          <w:rFonts w:ascii="Arial" w:hAnsi="Arial" w:cs="Arial"/>
          <w:sz w:val="20"/>
          <w:szCs w:val="20"/>
        </w:rPr>
        <w:t>four and five</w:t>
      </w:r>
      <w:r w:rsidR="00A2401C">
        <w:rPr>
          <w:rFonts w:ascii="Arial" w:hAnsi="Arial" w:cs="Arial"/>
          <w:sz w:val="20"/>
          <w:szCs w:val="20"/>
        </w:rPr>
        <w:t xml:space="preserve"> (diagnosis date between Aug 1-Dec 31, 2021)</w:t>
      </w:r>
      <w:r w:rsidR="00A2401C" w:rsidRPr="00B613F4">
        <w:rPr>
          <w:rFonts w:ascii="Arial" w:hAnsi="Arial" w:cs="Arial"/>
          <w:sz w:val="20"/>
          <w:szCs w:val="20"/>
        </w:rPr>
        <w:t xml:space="preserve">. </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1674"/>
        <w:gridCol w:w="1674"/>
        <w:gridCol w:w="1674"/>
        <w:gridCol w:w="1614"/>
      </w:tblGrid>
      <w:tr w:rsidR="00E01EE6" w:rsidRPr="00B613F4" w14:paraId="23FC9C3C" w14:textId="77777777" w:rsidTr="00B821E3">
        <w:trPr>
          <w:trHeight w:val="20"/>
        </w:trPr>
        <w:tc>
          <w:tcPr>
            <w:tcW w:w="1455" w:type="pct"/>
            <w:tcBorders>
              <w:top w:val="single" w:sz="4" w:space="0" w:color="auto"/>
              <w:bottom w:val="nil"/>
            </w:tcBorders>
            <w:noWrap/>
            <w:hideMark/>
          </w:tcPr>
          <w:p w14:paraId="734D5C21" w14:textId="77777777" w:rsidR="00E01EE6" w:rsidRPr="00B613F4" w:rsidRDefault="00E01EE6" w:rsidP="00B821E3">
            <w:pPr>
              <w:rPr>
                <w:rFonts w:ascii="Arial" w:hAnsi="Arial" w:cs="Arial"/>
                <w:noProof/>
                <w:sz w:val="16"/>
                <w:szCs w:val="16"/>
              </w:rPr>
            </w:pPr>
          </w:p>
        </w:tc>
        <w:tc>
          <w:tcPr>
            <w:tcW w:w="1788" w:type="pct"/>
            <w:gridSpan w:val="2"/>
            <w:tcBorders>
              <w:top w:val="single" w:sz="4" w:space="0" w:color="auto"/>
              <w:bottom w:val="single" w:sz="4" w:space="0" w:color="auto"/>
            </w:tcBorders>
            <w:hideMark/>
          </w:tcPr>
          <w:p w14:paraId="79D46515" w14:textId="6BD295DB" w:rsidR="00E01EE6" w:rsidRPr="00B613F4" w:rsidRDefault="00BF68B6" w:rsidP="00A2401C">
            <w:pPr>
              <w:jc w:val="center"/>
              <w:rPr>
                <w:rFonts w:ascii="Arial" w:hAnsi="Arial" w:cs="Arial"/>
                <w:bCs/>
                <w:noProof/>
                <w:sz w:val="16"/>
                <w:szCs w:val="16"/>
              </w:rPr>
            </w:pPr>
            <w:r>
              <w:rPr>
                <w:rFonts w:ascii="Arial" w:hAnsi="Arial" w:cs="Arial"/>
                <w:bCs/>
                <w:noProof/>
                <w:sz w:val="16"/>
                <w:szCs w:val="16"/>
              </w:rPr>
              <w:t>Vaccination status</w:t>
            </w:r>
            <w:r w:rsidR="00A2401C" w:rsidRPr="00A2401C">
              <w:rPr>
                <w:rFonts w:ascii="Arial" w:hAnsi="Arial" w:cs="Arial"/>
                <w:bCs/>
                <w:noProof/>
                <w:sz w:val="16"/>
                <w:szCs w:val="16"/>
                <w:vertAlign w:val="superscript"/>
              </w:rPr>
              <w:t>b</w:t>
            </w:r>
          </w:p>
        </w:tc>
        <w:tc>
          <w:tcPr>
            <w:tcW w:w="1756" w:type="pct"/>
            <w:gridSpan w:val="2"/>
            <w:tcBorders>
              <w:top w:val="single" w:sz="4" w:space="0" w:color="auto"/>
              <w:bottom w:val="single" w:sz="4" w:space="0" w:color="auto"/>
            </w:tcBorders>
            <w:hideMark/>
          </w:tcPr>
          <w:p w14:paraId="6436C3A6" w14:textId="1707779C" w:rsidR="00E01EE6" w:rsidRPr="00B613F4" w:rsidRDefault="00A2401C" w:rsidP="00B821E3">
            <w:pPr>
              <w:jc w:val="center"/>
              <w:rPr>
                <w:rFonts w:ascii="Arial" w:hAnsi="Arial" w:cs="Arial"/>
                <w:bCs/>
                <w:noProof/>
                <w:sz w:val="16"/>
                <w:szCs w:val="16"/>
              </w:rPr>
            </w:pPr>
            <w:r>
              <w:rPr>
                <w:rFonts w:ascii="Arial" w:hAnsi="Arial" w:cs="Arial"/>
                <w:bCs/>
                <w:noProof/>
                <w:sz w:val="16"/>
                <w:szCs w:val="16"/>
              </w:rPr>
              <w:t>COVID-19 death</w:t>
            </w:r>
            <w:r w:rsidRPr="00A2401C">
              <w:rPr>
                <w:rFonts w:ascii="Arial" w:hAnsi="Arial" w:cs="Arial"/>
                <w:bCs/>
                <w:noProof/>
                <w:sz w:val="16"/>
                <w:szCs w:val="16"/>
                <w:vertAlign w:val="superscript"/>
              </w:rPr>
              <w:t>c</w:t>
            </w:r>
          </w:p>
        </w:tc>
      </w:tr>
      <w:tr w:rsidR="00E01EE6" w:rsidRPr="00B613F4" w14:paraId="24093385" w14:textId="77777777" w:rsidTr="00B821E3">
        <w:trPr>
          <w:trHeight w:val="20"/>
        </w:trPr>
        <w:tc>
          <w:tcPr>
            <w:tcW w:w="1455" w:type="pct"/>
            <w:tcBorders>
              <w:top w:val="nil"/>
              <w:bottom w:val="nil"/>
            </w:tcBorders>
            <w:noWrap/>
          </w:tcPr>
          <w:p w14:paraId="2D0276F9" w14:textId="0D09BFCE" w:rsidR="00E01EE6" w:rsidRPr="00B613F4" w:rsidRDefault="00E01EE6" w:rsidP="00B821E3">
            <w:pPr>
              <w:rPr>
                <w:rFonts w:ascii="Arial" w:hAnsi="Arial" w:cs="Arial"/>
                <w:noProof/>
                <w:sz w:val="16"/>
                <w:szCs w:val="16"/>
              </w:rPr>
            </w:pPr>
            <w:r w:rsidRPr="00B613F4">
              <w:rPr>
                <w:rFonts w:ascii="Arial" w:hAnsi="Arial" w:cs="Arial"/>
                <w:noProof/>
                <w:sz w:val="16"/>
                <w:szCs w:val="16"/>
              </w:rPr>
              <w:t>Area-level Income</w:t>
            </w:r>
            <w:r w:rsidR="00A2401C" w:rsidRPr="00A2401C">
              <w:rPr>
                <w:rFonts w:ascii="Arial" w:hAnsi="Arial" w:cs="Arial"/>
                <w:noProof/>
                <w:sz w:val="16"/>
                <w:szCs w:val="16"/>
                <w:vertAlign w:val="superscript"/>
              </w:rPr>
              <w:t>a</w:t>
            </w:r>
            <w:r w:rsidRPr="00A2401C">
              <w:rPr>
                <w:rFonts w:ascii="Arial" w:hAnsi="Arial" w:cs="Arial"/>
                <w:noProof/>
                <w:sz w:val="16"/>
                <w:szCs w:val="16"/>
                <w:vertAlign w:val="superscript"/>
              </w:rPr>
              <w:t xml:space="preserve"> </w:t>
            </w:r>
          </w:p>
        </w:tc>
        <w:tc>
          <w:tcPr>
            <w:tcW w:w="1788" w:type="pct"/>
            <w:gridSpan w:val="2"/>
            <w:tcBorders>
              <w:top w:val="single" w:sz="4" w:space="0" w:color="auto"/>
              <w:bottom w:val="nil"/>
            </w:tcBorders>
          </w:tcPr>
          <w:p w14:paraId="529B0BBE" w14:textId="68F584FD" w:rsidR="00E01EE6" w:rsidRPr="00B613F4" w:rsidRDefault="00E01EE6" w:rsidP="00A2401C">
            <w:pPr>
              <w:jc w:val="center"/>
              <w:rPr>
                <w:rFonts w:ascii="Arial" w:eastAsia="Times New Roman" w:hAnsi="Arial" w:cs="Arial"/>
                <w:sz w:val="16"/>
                <w:szCs w:val="16"/>
              </w:rPr>
            </w:pPr>
            <w:r w:rsidRPr="00B613F4">
              <w:rPr>
                <w:rFonts w:ascii="Arial" w:eastAsia="Times New Roman" w:hAnsi="Arial" w:cs="Arial"/>
                <w:sz w:val="16"/>
                <w:szCs w:val="16"/>
              </w:rPr>
              <w:t>Odds ratio</w:t>
            </w:r>
            <w:r w:rsidR="00A2401C">
              <w:rPr>
                <w:rFonts w:ascii="Arial" w:eastAsia="Times New Roman" w:hAnsi="Arial" w:cs="Arial"/>
                <w:sz w:val="16"/>
                <w:szCs w:val="16"/>
                <w:vertAlign w:val="superscript"/>
              </w:rPr>
              <w:t>d</w:t>
            </w:r>
            <w:r w:rsidRPr="00B613F4">
              <w:rPr>
                <w:rFonts w:ascii="Arial" w:eastAsia="Times New Roman" w:hAnsi="Arial" w:cs="Arial"/>
                <w:sz w:val="16"/>
                <w:szCs w:val="16"/>
              </w:rPr>
              <w:t xml:space="preserve"> (95% CI)</w:t>
            </w:r>
          </w:p>
        </w:tc>
        <w:tc>
          <w:tcPr>
            <w:tcW w:w="1756" w:type="pct"/>
            <w:gridSpan w:val="2"/>
            <w:tcBorders>
              <w:top w:val="single" w:sz="4" w:space="0" w:color="auto"/>
              <w:bottom w:val="nil"/>
            </w:tcBorders>
          </w:tcPr>
          <w:p w14:paraId="211E5756" w14:textId="77777777" w:rsidR="00E01EE6" w:rsidRPr="00B613F4" w:rsidRDefault="00E01EE6" w:rsidP="00B821E3">
            <w:pPr>
              <w:jc w:val="center"/>
              <w:rPr>
                <w:rFonts w:ascii="Arial" w:hAnsi="Arial" w:cs="Arial"/>
                <w:bCs/>
                <w:noProof/>
                <w:sz w:val="16"/>
                <w:szCs w:val="16"/>
              </w:rPr>
            </w:pPr>
            <w:r w:rsidRPr="00B613F4">
              <w:rPr>
                <w:rFonts w:ascii="Arial" w:eastAsia="Times New Roman" w:hAnsi="Arial" w:cs="Arial"/>
                <w:sz w:val="16"/>
                <w:szCs w:val="16"/>
              </w:rPr>
              <w:t>Hazard ratio</w:t>
            </w:r>
            <w:r w:rsidRPr="00B613F4">
              <w:rPr>
                <w:rFonts w:ascii="Arial" w:eastAsia="Times New Roman" w:hAnsi="Arial" w:cs="Arial"/>
                <w:sz w:val="16"/>
                <w:szCs w:val="16"/>
                <w:vertAlign w:val="superscript"/>
              </w:rPr>
              <w:t>e</w:t>
            </w:r>
            <w:r w:rsidRPr="00B613F4">
              <w:rPr>
                <w:rFonts w:ascii="Arial" w:eastAsia="Times New Roman" w:hAnsi="Arial" w:cs="Arial"/>
                <w:sz w:val="16"/>
                <w:szCs w:val="16"/>
              </w:rPr>
              <w:t>(95% CI)</w:t>
            </w:r>
          </w:p>
        </w:tc>
      </w:tr>
      <w:tr w:rsidR="00E01EE6" w:rsidRPr="00B613F4" w14:paraId="27A866EC" w14:textId="77777777" w:rsidTr="00B821E3">
        <w:trPr>
          <w:trHeight w:val="20"/>
        </w:trPr>
        <w:tc>
          <w:tcPr>
            <w:tcW w:w="1455" w:type="pct"/>
            <w:tcBorders>
              <w:top w:val="nil"/>
              <w:bottom w:val="single" w:sz="4" w:space="0" w:color="auto"/>
            </w:tcBorders>
            <w:noWrap/>
          </w:tcPr>
          <w:p w14:paraId="100A2E6A" w14:textId="77777777" w:rsidR="00E01EE6" w:rsidRPr="00B613F4" w:rsidRDefault="00E01EE6" w:rsidP="00B821E3">
            <w:pPr>
              <w:rPr>
                <w:rFonts w:ascii="Arial" w:eastAsia="Times New Roman" w:hAnsi="Arial" w:cs="Arial"/>
                <w:sz w:val="16"/>
                <w:szCs w:val="16"/>
              </w:rPr>
            </w:pPr>
          </w:p>
        </w:tc>
        <w:tc>
          <w:tcPr>
            <w:tcW w:w="894" w:type="pct"/>
            <w:tcBorders>
              <w:top w:val="nil"/>
              <w:bottom w:val="single" w:sz="4" w:space="0" w:color="auto"/>
            </w:tcBorders>
            <w:noWrap/>
          </w:tcPr>
          <w:p w14:paraId="71A35BB7" w14:textId="77777777" w:rsidR="00E01EE6" w:rsidRPr="00B613F4" w:rsidRDefault="00E01EE6" w:rsidP="00B821E3">
            <w:pPr>
              <w:jc w:val="center"/>
              <w:rPr>
                <w:rFonts w:ascii="Arial" w:hAnsi="Arial" w:cs="Arial"/>
                <w:color w:val="000000"/>
                <w:sz w:val="16"/>
                <w:szCs w:val="16"/>
              </w:rPr>
            </w:pPr>
            <w:r w:rsidRPr="00B613F4">
              <w:rPr>
                <w:rFonts w:ascii="Arial" w:hAnsi="Arial" w:cs="Arial"/>
                <w:color w:val="000000"/>
                <w:sz w:val="16"/>
                <w:szCs w:val="16"/>
              </w:rPr>
              <w:t>Unadjusted</w:t>
            </w:r>
          </w:p>
        </w:tc>
        <w:tc>
          <w:tcPr>
            <w:tcW w:w="894" w:type="pct"/>
            <w:tcBorders>
              <w:top w:val="nil"/>
              <w:bottom w:val="single" w:sz="4" w:space="0" w:color="auto"/>
            </w:tcBorders>
            <w:noWrap/>
          </w:tcPr>
          <w:p w14:paraId="23027910" w14:textId="495FB0BD" w:rsidR="00E01EE6" w:rsidRPr="00B613F4" w:rsidRDefault="00A2401C" w:rsidP="00B821E3">
            <w:pPr>
              <w:jc w:val="center"/>
              <w:rPr>
                <w:rFonts w:ascii="Arial" w:hAnsi="Arial" w:cs="Arial"/>
                <w:color w:val="000000"/>
                <w:sz w:val="16"/>
                <w:szCs w:val="16"/>
              </w:rPr>
            </w:pPr>
            <w:r>
              <w:rPr>
                <w:rFonts w:ascii="Arial" w:hAnsi="Arial" w:cs="Arial"/>
                <w:color w:val="000000"/>
                <w:sz w:val="16"/>
                <w:szCs w:val="16"/>
              </w:rPr>
              <w:t>A</w:t>
            </w:r>
            <w:r w:rsidR="00E01EE6" w:rsidRPr="00B613F4">
              <w:rPr>
                <w:rFonts w:ascii="Arial" w:hAnsi="Arial" w:cs="Arial"/>
                <w:color w:val="000000"/>
                <w:sz w:val="16"/>
                <w:szCs w:val="16"/>
              </w:rPr>
              <w:t>djusted</w:t>
            </w:r>
            <w:r w:rsidR="00E01EE6" w:rsidRPr="00B613F4">
              <w:rPr>
                <w:rFonts w:ascii="Arial" w:hAnsi="Arial" w:cs="Arial"/>
                <w:sz w:val="16"/>
                <w:szCs w:val="16"/>
                <w:vertAlign w:val="superscript"/>
              </w:rPr>
              <w:t>f</w:t>
            </w:r>
          </w:p>
        </w:tc>
        <w:tc>
          <w:tcPr>
            <w:tcW w:w="894" w:type="pct"/>
            <w:tcBorders>
              <w:top w:val="nil"/>
              <w:bottom w:val="single" w:sz="4" w:space="0" w:color="auto"/>
            </w:tcBorders>
            <w:noWrap/>
          </w:tcPr>
          <w:p w14:paraId="30EB1EC6" w14:textId="77777777" w:rsidR="00E01EE6" w:rsidRPr="00B613F4" w:rsidRDefault="00E01EE6" w:rsidP="00B821E3">
            <w:pPr>
              <w:jc w:val="center"/>
              <w:rPr>
                <w:rFonts w:ascii="Arial" w:hAnsi="Arial" w:cs="Arial"/>
                <w:color w:val="000000"/>
                <w:sz w:val="16"/>
                <w:szCs w:val="16"/>
              </w:rPr>
            </w:pPr>
            <w:r w:rsidRPr="00B613F4">
              <w:rPr>
                <w:rFonts w:ascii="Arial" w:hAnsi="Arial" w:cs="Arial"/>
                <w:color w:val="000000"/>
                <w:sz w:val="16"/>
                <w:szCs w:val="16"/>
              </w:rPr>
              <w:t>Unadjusted</w:t>
            </w:r>
          </w:p>
        </w:tc>
        <w:tc>
          <w:tcPr>
            <w:tcW w:w="862" w:type="pct"/>
            <w:tcBorders>
              <w:top w:val="nil"/>
              <w:bottom w:val="single" w:sz="4" w:space="0" w:color="auto"/>
            </w:tcBorders>
            <w:noWrap/>
          </w:tcPr>
          <w:p w14:paraId="4708621A" w14:textId="3FB82CEC" w:rsidR="00E01EE6" w:rsidRPr="00B613F4" w:rsidRDefault="00A2401C" w:rsidP="002D1C2C">
            <w:pPr>
              <w:jc w:val="center"/>
              <w:rPr>
                <w:rFonts w:ascii="Arial" w:hAnsi="Arial" w:cs="Arial"/>
                <w:color w:val="000000"/>
                <w:sz w:val="16"/>
                <w:szCs w:val="16"/>
              </w:rPr>
            </w:pPr>
            <w:r>
              <w:rPr>
                <w:rFonts w:ascii="Arial" w:hAnsi="Arial" w:cs="Arial"/>
                <w:color w:val="000000"/>
                <w:sz w:val="16"/>
                <w:szCs w:val="16"/>
              </w:rPr>
              <w:t>A</w:t>
            </w:r>
            <w:r w:rsidR="00E01EE6" w:rsidRPr="00B613F4">
              <w:rPr>
                <w:rFonts w:ascii="Arial" w:hAnsi="Arial" w:cs="Arial"/>
                <w:color w:val="000000"/>
                <w:sz w:val="16"/>
                <w:szCs w:val="16"/>
              </w:rPr>
              <w:t>djusted</w:t>
            </w:r>
            <w:r w:rsidR="002D1C2C">
              <w:rPr>
                <w:rFonts w:ascii="Arial" w:hAnsi="Arial" w:cs="Arial"/>
                <w:sz w:val="16"/>
                <w:szCs w:val="16"/>
                <w:vertAlign w:val="superscript"/>
              </w:rPr>
              <w:t>g</w:t>
            </w:r>
          </w:p>
        </w:tc>
      </w:tr>
      <w:tr w:rsidR="00E01EE6" w:rsidRPr="00B613F4" w14:paraId="21EDA8EC" w14:textId="77777777" w:rsidTr="00B821E3">
        <w:trPr>
          <w:trHeight w:val="20"/>
        </w:trPr>
        <w:tc>
          <w:tcPr>
            <w:tcW w:w="1455" w:type="pct"/>
            <w:tcBorders>
              <w:top w:val="single" w:sz="4" w:space="0" w:color="auto"/>
              <w:bottom w:val="nil"/>
            </w:tcBorders>
            <w:noWrap/>
          </w:tcPr>
          <w:p w14:paraId="02813FA8" w14:textId="08CBD864" w:rsidR="00E01EE6" w:rsidRPr="00B613F4" w:rsidRDefault="00E01EE6" w:rsidP="00BF68B6">
            <w:pPr>
              <w:rPr>
                <w:rFonts w:ascii="Arial" w:eastAsia="Times New Roman" w:hAnsi="Arial" w:cs="Arial"/>
                <w:sz w:val="16"/>
                <w:szCs w:val="16"/>
              </w:rPr>
            </w:pPr>
            <w:r w:rsidRPr="00B613F4">
              <w:rPr>
                <w:rFonts w:ascii="Arial" w:eastAsia="Times New Roman" w:hAnsi="Arial" w:cs="Arial"/>
                <w:sz w:val="16"/>
                <w:szCs w:val="16"/>
              </w:rPr>
              <w:t xml:space="preserve"> Income (</w:t>
            </w:r>
            <w:r w:rsidR="00BF68B6">
              <w:rPr>
                <w:rFonts w:ascii="Arial" w:eastAsia="Times New Roman" w:hAnsi="Arial" w:cs="Arial"/>
                <w:sz w:val="16"/>
                <w:szCs w:val="16"/>
              </w:rPr>
              <w:t>5</w:t>
            </w:r>
            <w:r w:rsidRPr="00B613F4">
              <w:rPr>
                <w:rFonts w:ascii="Arial" w:eastAsia="Times New Roman" w:hAnsi="Arial" w:cs="Arial"/>
                <w:sz w:val="16"/>
                <w:szCs w:val="16"/>
              </w:rPr>
              <w:t>= Highest)</w:t>
            </w:r>
          </w:p>
        </w:tc>
        <w:tc>
          <w:tcPr>
            <w:tcW w:w="894" w:type="pct"/>
            <w:tcBorders>
              <w:top w:val="single" w:sz="4" w:space="0" w:color="auto"/>
              <w:bottom w:val="nil"/>
            </w:tcBorders>
            <w:noWrap/>
          </w:tcPr>
          <w:p w14:paraId="3373D44B" w14:textId="77777777" w:rsidR="00E01EE6" w:rsidRPr="00B613F4" w:rsidRDefault="00E01EE6" w:rsidP="00B821E3">
            <w:pPr>
              <w:jc w:val="center"/>
              <w:rPr>
                <w:rFonts w:ascii="Arial" w:hAnsi="Arial" w:cs="Arial"/>
                <w:color w:val="000000"/>
                <w:sz w:val="16"/>
                <w:szCs w:val="16"/>
              </w:rPr>
            </w:pPr>
          </w:p>
        </w:tc>
        <w:tc>
          <w:tcPr>
            <w:tcW w:w="894" w:type="pct"/>
            <w:tcBorders>
              <w:top w:val="single" w:sz="4" w:space="0" w:color="auto"/>
            </w:tcBorders>
            <w:noWrap/>
          </w:tcPr>
          <w:p w14:paraId="7DA406EE" w14:textId="77777777" w:rsidR="00E01EE6" w:rsidRPr="00B613F4" w:rsidRDefault="00E01EE6" w:rsidP="00B821E3">
            <w:pPr>
              <w:jc w:val="center"/>
              <w:rPr>
                <w:rFonts w:ascii="Arial" w:hAnsi="Arial" w:cs="Arial"/>
                <w:color w:val="000000"/>
                <w:sz w:val="16"/>
                <w:szCs w:val="16"/>
              </w:rPr>
            </w:pPr>
          </w:p>
        </w:tc>
        <w:tc>
          <w:tcPr>
            <w:tcW w:w="894" w:type="pct"/>
            <w:tcBorders>
              <w:top w:val="single" w:sz="4" w:space="0" w:color="auto"/>
            </w:tcBorders>
            <w:noWrap/>
          </w:tcPr>
          <w:p w14:paraId="18AAC675" w14:textId="77777777" w:rsidR="00E01EE6" w:rsidRPr="00B613F4" w:rsidRDefault="00E01EE6" w:rsidP="00B821E3">
            <w:pPr>
              <w:jc w:val="center"/>
              <w:rPr>
                <w:rFonts w:ascii="Arial" w:hAnsi="Arial" w:cs="Arial"/>
                <w:color w:val="000000"/>
                <w:sz w:val="16"/>
                <w:szCs w:val="16"/>
              </w:rPr>
            </w:pPr>
          </w:p>
        </w:tc>
        <w:tc>
          <w:tcPr>
            <w:tcW w:w="862" w:type="pct"/>
            <w:tcBorders>
              <w:top w:val="single" w:sz="4" w:space="0" w:color="auto"/>
            </w:tcBorders>
            <w:noWrap/>
          </w:tcPr>
          <w:p w14:paraId="6A8C42DB" w14:textId="77777777" w:rsidR="00E01EE6" w:rsidRPr="00B613F4" w:rsidRDefault="00E01EE6" w:rsidP="00B821E3">
            <w:pPr>
              <w:jc w:val="center"/>
              <w:rPr>
                <w:rFonts w:ascii="Arial" w:hAnsi="Arial" w:cs="Arial"/>
                <w:color w:val="000000"/>
                <w:sz w:val="16"/>
                <w:szCs w:val="16"/>
              </w:rPr>
            </w:pPr>
          </w:p>
        </w:tc>
      </w:tr>
      <w:tr w:rsidR="00BF68B6" w:rsidRPr="00B613F4" w14:paraId="61385677" w14:textId="77777777" w:rsidTr="00B821E3">
        <w:trPr>
          <w:trHeight w:val="20"/>
        </w:trPr>
        <w:tc>
          <w:tcPr>
            <w:tcW w:w="1455" w:type="pct"/>
            <w:tcBorders>
              <w:top w:val="nil"/>
            </w:tcBorders>
            <w:noWrap/>
            <w:hideMark/>
          </w:tcPr>
          <w:p w14:paraId="357625A6" w14:textId="0F39221D" w:rsidR="00BF68B6" w:rsidRPr="00B613F4" w:rsidRDefault="00BF68B6" w:rsidP="00BF68B6">
            <w:pPr>
              <w:ind w:left="144"/>
              <w:rPr>
                <w:rFonts w:ascii="Arial" w:hAnsi="Arial" w:cs="Arial"/>
                <w:noProof/>
                <w:sz w:val="16"/>
                <w:szCs w:val="16"/>
              </w:rPr>
            </w:pPr>
            <w:r>
              <w:rPr>
                <w:rFonts w:ascii="Arial" w:eastAsia="Times New Roman" w:hAnsi="Arial" w:cs="Arial"/>
                <w:sz w:val="16"/>
                <w:szCs w:val="16"/>
              </w:rPr>
              <w:t>4</w:t>
            </w:r>
            <w:r w:rsidRPr="00B613F4">
              <w:rPr>
                <w:rFonts w:ascii="Arial" w:eastAsia="Times New Roman" w:hAnsi="Arial" w:cs="Arial"/>
                <w:sz w:val="16"/>
                <w:szCs w:val="16"/>
              </w:rPr>
              <w:t xml:space="preserve"> vs </w:t>
            </w:r>
            <w:r>
              <w:rPr>
                <w:rFonts w:ascii="Arial" w:eastAsia="Times New Roman" w:hAnsi="Arial" w:cs="Arial"/>
                <w:sz w:val="16"/>
                <w:szCs w:val="16"/>
              </w:rPr>
              <w:t>5</w:t>
            </w:r>
          </w:p>
        </w:tc>
        <w:tc>
          <w:tcPr>
            <w:tcW w:w="894" w:type="pct"/>
            <w:tcBorders>
              <w:top w:val="nil"/>
            </w:tcBorders>
            <w:noWrap/>
            <w:vAlign w:val="bottom"/>
            <w:hideMark/>
          </w:tcPr>
          <w:p w14:paraId="108F28D3" w14:textId="77777777" w:rsidR="00BF68B6" w:rsidRPr="00B613F4" w:rsidRDefault="00BF68B6" w:rsidP="00BF68B6">
            <w:pPr>
              <w:rPr>
                <w:rFonts w:ascii="Arial" w:hAnsi="Arial" w:cs="Arial"/>
                <w:noProof/>
                <w:color w:val="BFBFBF" w:themeColor="background1" w:themeShade="BF"/>
                <w:sz w:val="16"/>
                <w:szCs w:val="16"/>
                <w:highlight w:val="yellow"/>
              </w:rPr>
            </w:pPr>
            <w:r w:rsidRPr="00B613F4">
              <w:rPr>
                <w:rFonts w:ascii="Arial" w:hAnsi="Arial" w:cs="Arial"/>
                <w:color w:val="000000"/>
                <w:sz w:val="16"/>
                <w:szCs w:val="16"/>
              </w:rPr>
              <w:t>0.80 (0.80, 0.81)</w:t>
            </w:r>
          </w:p>
        </w:tc>
        <w:tc>
          <w:tcPr>
            <w:tcW w:w="894" w:type="pct"/>
            <w:noWrap/>
            <w:vAlign w:val="bottom"/>
            <w:hideMark/>
          </w:tcPr>
          <w:p w14:paraId="5F1DE01F" w14:textId="77777777" w:rsidR="00BF68B6" w:rsidRPr="00B613F4" w:rsidRDefault="00BF68B6" w:rsidP="00BF68B6">
            <w:pPr>
              <w:rPr>
                <w:rFonts w:ascii="Arial" w:hAnsi="Arial" w:cs="Arial"/>
                <w:noProof/>
                <w:color w:val="BFBFBF" w:themeColor="background1" w:themeShade="BF"/>
                <w:sz w:val="16"/>
                <w:szCs w:val="16"/>
                <w:highlight w:val="yellow"/>
              </w:rPr>
            </w:pPr>
            <w:r w:rsidRPr="00B613F4">
              <w:rPr>
                <w:rFonts w:ascii="Arial" w:hAnsi="Arial" w:cs="Arial"/>
                <w:color w:val="000000"/>
                <w:sz w:val="16"/>
                <w:szCs w:val="16"/>
              </w:rPr>
              <w:t>0.90 (0.90, 0.91)</w:t>
            </w:r>
          </w:p>
        </w:tc>
        <w:tc>
          <w:tcPr>
            <w:tcW w:w="894" w:type="pct"/>
            <w:noWrap/>
            <w:vAlign w:val="bottom"/>
            <w:hideMark/>
          </w:tcPr>
          <w:p w14:paraId="182BEB51" w14:textId="77777777" w:rsidR="00BF68B6" w:rsidRPr="00B613F4" w:rsidRDefault="00BF68B6" w:rsidP="00BF68B6">
            <w:pPr>
              <w:rPr>
                <w:rFonts w:ascii="Arial" w:hAnsi="Arial" w:cs="Arial"/>
                <w:noProof/>
                <w:color w:val="BFBFBF" w:themeColor="background1" w:themeShade="BF"/>
                <w:sz w:val="16"/>
                <w:szCs w:val="16"/>
                <w:highlight w:val="yellow"/>
              </w:rPr>
            </w:pPr>
            <w:r w:rsidRPr="00B613F4">
              <w:rPr>
                <w:rFonts w:ascii="Arial" w:hAnsi="Arial" w:cs="Arial"/>
                <w:color w:val="000000"/>
                <w:sz w:val="16"/>
                <w:szCs w:val="16"/>
              </w:rPr>
              <w:t>1.09 (0.87, 1.37)</w:t>
            </w:r>
          </w:p>
        </w:tc>
        <w:tc>
          <w:tcPr>
            <w:tcW w:w="862" w:type="pct"/>
            <w:noWrap/>
            <w:vAlign w:val="bottom"/>
            <w:hideMark/>
          </w:tcPr>
          <w:p w14:paraId="67EF4509" w14:textId="77777777" w:rsidR="00BF68B6" w:rsidRPr="00B613F4" w:rsidRDefault="00BF68B6" w:rsidP="00BF68B6">
            <w:pPr>
              <w:rPr>
                <w:rFonts w:ascii="Arial" w:hAnsi="Arial" w:cs="Arial"/>
                <w:noProof/>
                <w:color w:val="BFBFBF" w:themeColor="background1" w:themeShade="BF"/>
                <w:sz w:val="16"/>
                <w:szCs w:val="16"/>
                <w:highlight w:val="yellow"/>
              </w:rPr>
            </w:pPr>
            <w:r w:rsidRPr="00B613F4">
              <w:rPr>
                <w:rFonts w:ascii="Arial" w:hAnsi="Arial" w:cs="Arial"/>
                <w:color w:val="000000"/>
                <w:sz w:val="16"/>
                <w:szCs w:val="16"/>
              </w:rPr>
              <w:t>1.07 (0.84, 1.36)</w:t>
            </w:r>
          </w:p>
        </w:tc>
      </w:tr>
      <w:tr w:rsidR="00BF68B6" w:rsidRPr="00B613F4" w14:paraId="5F1054D2" w14:textId="77777777" w:rsidTr="00B821E3">
        <w:trPr>
          <w:trHeight w:val="20"/>
        </w:trPr>
        <w:tc>
          <w:tcPr>
            <w:tcW w:w="1455" w:type="pct"/>
            <w:noWrap/>
            <w:hideMark/>
          </w:tcPr>
          <w:p w14:paraId="4959F829" w14:textId="1DDE6557" w:rsidR="00BF68B6" w:rsidRPr="00B613F4" w:rsidRDefault="00BF68B6" w:rsidP="00BF68B6">
            <w:pPr>
              <w:ind w:left="144"/>
              <w:rPr>
                <w:rFonts w:ascii="Arial" w:hAnsi="Arial" w:cs="Arial"/>
                <w:noProof/>
                <w:sz w:val="16"/>
                <w:szCs w:val="16"/>
              </w:rPr>
            </w:pPr>
            <w:r w:rsidRPr="00B613F4">
              <w:rPr>
                <w:rFonts w:ascii="Arial" w:eastAsia="Times New Roman" w:hAnsi="Arial" w:cs="Arial"/>
                <w:sz w:val="16"/>
                <w:szCs w:val="16"/>
              </w:rPr>
              <w:t xml:space="preserve">3 vs </w:t>
            </w:r>
            <w:r>
              <w:rPr>
                <w:rFonts w:ascii="Arial" w:eastAsia="Times New Roman" w:hAnsi="Arial" w:cs="Arial"/>
                <w:sz w:val="16"/>
                <w:szCs w:val="16"/>
              </w:rPr>
              <w:t>5</w:t>
            </w:r>
          </w:p>
        </w:tc>
        <w:tc>
          <w:tcPr>
            <w:tcW w:w="894" w:type="pct"/>
            <w:noWrap/>
            <w:vAlign w:val="bottom"/>
            <w:hideMark/>
          </w:tcPr>
          <w:p w14:paraId="1B920A13" w14:textId="77777777" w:rsidR="00BF68B6" w:rsidRPr="00B613F4" w:rsidRDefault="00BF68B6" w:rsidP="00BF68B6">
            <w:pPr>
              <w:rPr>
                <w:rFonts w:ascii="Arial" w:hAnsi="Arial" w:cs="Arial"/>
                <w:noProof/>
                <w:color w:val="BFBFBF" w:themeColor="background1" w:themeShade="BF"/>
                <w:sz w:val="16"/>
                <w:szCs w:val="16"/>
                <w:highlight w:val="yellow"/>
              </w:rPr>
            </w:pPr>
            <w:r w:rsidRPr="00B613F4">
              <w:rPr>
                <w:rFonts w:ascii="Arial" w:hAnsi="Arial" w:cs="Arial"/>
                <w:color w:val="000000"/>
                <w:sz w:val="16"/>
                <w:szCs w:val="16"/>
              </w:rPr>
              <w:t>0.71 (0.71, 0.72)</w:t>
            </w:r>
          </w:p>
        </w:tc>
        <w:tc>
          <w:tcPr>
            <w:tcW w:w="894" w:type="pct"/>
            <w:noWrap/>
            <w:vAlign w:val="bottom"/>
            <w:hideMark/>
          </w:tcPr>
          <w:p w14:paraId="4C9931D3" w14:textId="77777777" w:rsidR="00BF68B6" w:rsidRPr="00B613F4" w:rsidRDefault="00BF68B6" w:rsidP="00BF68B6">
            <w:pPr>
              <w:rPr>
                <w:rFonts w:ascii="Arial" w:hAnsi="Arial" w:cs="Arial"/>
                <w:noProof/>
                <w:color w:val="BFBFBF" w:themeColor="background1" w:themeShade="BF"/>
                <w:sz w:val="16"/>
                <w:szCs w:val="16"/>
                <w:highlight w:val="yellow"/>
              </w:rPr>
            </w:pPr>
            <w:r w:rsidRPr="00B613F4">
              <w:rPr>
                <w:rFonts w:ascii="Arial" w:hAnsi="Arial" w:cs="Arial"/>
                <w:color w:val="000000"/>
                <w:sz w:val="16"/>
                <w:szCs w:val="16"/>
              </w:rPr>
              <w:t>0.86 (0.86, 0.87)</w:t>
            </w:r>
          </w:p>
        </w:tc>
        <w:tc>
          <w:tcPr>
            <w:tcW w:w="894" w:type="pct"/>
            <w:noWrap/>
            <w:vAlign w:val="bottom"/>
            <w:hideMark/>
          </w:tcPr>
          <w:p w14:paraId="2C194AF6" w14:textId="77777777" w:rsidR="00BF68B6" w:rsidRPr="00B613F4" w:rsidRDefault="00BF68B6" w:rsidP="00BF68B6">
            <w:pPr>
              <w:rPr>
                <w:rFonts w:ascii="Arial" w:hAnsi="Arial" w:cs="Arial"/>
                <w:noProof/>
                <w:color w:val="BFBFBF" w:themeColor="background1" w:themeShade="BF"/>
                <w:sz w:val="16"/>
                <w:szCs w:val="16"/>
                <w:highlight w:val="yellow"/>
              </w:rPr>
            </w:pPr>
            <w:r w:rsidRPr="00B613F4">
              <w:rPr>
                <w:rFonts w:ascii="Arial" w:hAnsi="Arial" w:cs="Arial"/>
                <w:color w:val="000000"/>
                <w:sz w:val="16"/>
                <w:szCs w:val="16"/>
              </w:rPr>
              <w:t>1.24 (0.99, 1.54)</w:t>
            </w:r>
          </w:p>
        </w:tc>
        <w:tc>
          <w:tcPr>
            <w:tcW w:w="862" w:type="pct"/>
            <w:noWrap/>
            <w:vAlign w:val="bottom"/>
            <w:hideMark/>
          </w:tcPr>
          <w:p w14:paraId="615D9B01" w14:textId="77777777" w:rsidR="00BF68B6" w:rsidRPr="00B613F4" w:rsidRDefault="00BF68B6" w:rsidP="00BF68B6">
            <w:pPr>
              <w:rPr>
                <w:rFonts w:ascii="Arial" w:hAnsi="Arial" w:cs="Arial"/>
                <w:noProof/>
                <w:color w:val="BFBFBF" w:themeColor="background1" w:themeShade="BF"/>
                <w:sz w:val="16"/>
                <w:szCs w:val="16"/>
                <w:highlight w:val="yellow"/>
              </w:rPr>
            </w:pPr>
            <w:r w:rsidRPr="00B613F4">
              <w:rPr>
                <w:rFonts w:ascii="Arial" w:hAnsi="Arial" w:cs="Arial"/>
                <w:color w:val="000000"/>
                <w:sz w:val="16"/>
                <w:szCs w:val="16"/>
              </w:rPr>
              <w:t>1.18 (0.92, 1.51)</w:t>
            </w:r>
          </w:p>
        </w:tc>
      </w:tr>
      <w:tr w:rsidR="00BF68B6" w:rsidRPr="00B613F4" w14:paraId="4823B9CC" w14:textId="77777777" w:rsidTr="00B821E3">
        <w:trPr>
          <w:trHeight w:val="20"/>
        </w:trPr>
        <w:tc>
          <w:tcPr>
            <w:tcW w:w="1455" w:type="pct"/>
            <w:noWrap/>
            <w:hideMark/>
          </w:tcPr>
          <w:p w14:paraId="1092E5DE" w14:textId="77E273EC" w:rsidR="00BF68B6" w:rsidRPr="00B613F4" w:rsidRDefault="00BF68B6" w:rsidP="00BF68B6">
            <w:pPr>
              <w:ind w:left="144"/>
              <w:rPr>
                <w:rFonts w:ascii="Arial" w:hAnsi="Arial" w:cs="Arial"/>
                <w:noProof/>
                <w:sz w:val="16"/>
                <w:szCs w:val="16"/>
              </w:rPr>
            </w:pPr>
            <w:r>
              <w:rPr>
                <w:rFonts w:ascii="Arial" w:eastAsia="Times New Roman" w:hAnsi="Arial" w:cs="Arial"/>
                <w:sz w:val="16"/>
                <w:szCs w:val="16"/>
              </w:rPr>
              <w:t>2</w:t>
            </w:r>
            <w:r w:rsidRPr="00B613F4">
              <w:rPr>
                <w:rFonts w:ascii="Arial" w:eastAsia="Times New Roman" w:hAnsi="Arial" w:cs="Arial"/>
                <w:sz w:val="16"/>
                <w:szCs w:val="16"/>
              </w:rPr>
              <w:t xml:space="preserve"> vs </w:t>
            </w:r>
            <w:r>
              <w:rPr>
                <w:rFonts w:ascii="Arial" w:eastAsia="Times New Roman" w:hAnsi="Arial" w:cs="Arial"/>
                <w:sz w:val="16"/>
                <w:szCs w:val="16"/>
              </w:rPr>
              <w:t>5</w:t>
            </w:r>
          </w:p>
        </w:tc>
        <w:tc>
          <w:tcPr>
            <w:tcW w:w="894" w:type="pct"/>
            <w:noWrap/>
            <w:vAlign w:val="bottom"/>
            <w:hideMark/>
          </w:tcPr>
          <w:p w14:paraId="6E892680" w14:textId="77777777" w:rsidR="00BF68B6" w:rsidRPr="00B613F4" w:rsidRDefault="00BF68B6" w:rsidP="00BF68B6">
            <w:pPr>
              <w:rPr>
                <w:rFonts w:ascii="Arial" w:hAnsi="Arial" w:cs="Arial"/>
                <w:noProof/>
                <w:color w:val="BFBFBF" w:themeColor="background1" w:themeShade="BF"/>
                <w:sz w:val="16"/>
                <w:szCs w:val="16"/>
                <w:highlight w:val="yellow"/>
              </w:rPr>
            </w:pPr>
            <w:r w:rsidRPr="00B613F4">
              <w:rPr>
                <w:rFonts w:ascii="Arial" w:hAnsi="Arial" w:cs="Arial"/>
                <w:color w:val="000000"/>
                <w:sz w:val="16"/>
                <w:szCs w:val="16"/>
              </w:rPr>
              <w:t>0.64 (0.64, 0.64)</w:t>
            </w:r>
          </w:p>
        </w:tc>
        <w:tc>
          <w:tcPr>
            <w:tcW w:w="894" w:type="pct"/>
            <w:noWrap/>
            <w:vAlign w:val="bottom"/>
            <w:hideMark/>
          </w:tcPr>
          <w:p w14:paraId="1E96E6D3" w14:textId="77777777" w:rsidR="00BF68B6" w:rsidRPr="00B613F4" w:rsidRDefault="00BF68B6" w:rsidP="00BF68B6">
            <w:pPr>
              <w:rPr>
                <w:rFonts w:ascii="Arial" w:hAnsi="Arial" w:cs="Arial"/>
                <w:noProof/>
                <w:color w:val="BFBFBF" w:themeColor="background1" w:themeShade="BF"/>
                <w:sz w:val="16"/>
                <w:szCs w:val="16"/>
                <w:highlight w:val="yellow"/>
              </w:rPr>
            </w:pPr>
            <w:r w:rsidRPr="00B613F4">
              <w:rPr>
                <w:rFonts w:ascii="Arial" w:hAnsi="Arial" w:cs="Arial"/>
                <w:color w:val="000000"/>
                <w:sz w:val="16"/>
                <w:szCs w:val="16"/>
              </w:rPr>
              <w:t>0.82 (0.81, 0.82)</w:t>
            </w:r>
          </w:p>
        </w:tc>
        <w:tc>
          <w:tcPr>
            <w:tcW w:w="894" w:type="pct"/>
            <w:noWrap/>
            <w:vAlign w:val="bottom"/>
            <w:hideMark/>
          </w:tcPr>
          <w:p w14:paraId="1E21FCE7" w14:textId="77777777" w:rsidR="00BF68B6" w:rsidRPr="00B613F4" w:rsidRDefault="00BF68B6" w:rsidP="00BF68B6">
            <w:pPr>
              <w:rPr>
                <w:rFonts w:ascii="Arial" w:hAnsi="Arial" w:cs="Arial"/>
                <w:noProof/>
                <w:color w:val="BFBFBF" w:themeColor="background1" w:themeShade="BF"/>
                <w:sz w:val="16"/>
                <w:szCs w:val="16"/>
                <w:highlight w:val="yellow"/>
              </w:rPr>
            </w:pPr>
            <w:r w:rsidRPr="00B613F4">
              <w:rPr>
                <w:rFonts w:ascii="Arial" w:hAnsi="Arial" w:cs="Arial"/>
                <w:color w:val="000000"/>
                <w:sz w:val="16"/>
                <w:szCs w:val="16"/>
              </w:rPr>
              <w:t>1.56 (1.27, 1.92)</w:t>
            </w:r>
          </w:p>
        </w:tc>
        <w:tc>
          <w:tcPr>
            <w:tcW w:w="862" w:type="pct"/>
            <w:noWrap/>
            <w:vAlign w:val="bottom"/>
            <w:hideMark/>
          </w:tcPr>
          <w:p w14:paraId="18EFF200" w14:textId="77777777" w:rsidR="00BF68B6" w:rsidRPr="00B613F4" w:rsidRDefault="00BF68B6" w:rsidP="00BF68B6">
            <w:pPr>
              <w:rPr>
                <w:rFonts w:ascii="Arial" w:hAnsi="Arial" w:cs="Arial"/>
                <w:noProof/>
                <w:color w:val="BFBFBF" w:themeColor="background1" w:themeShade="BF"/>
                <w:sz w:val="16"/>
                <w:szCs w:val="16"/>
                <w:highlight w:val="yellow"/>
              </w:rPr>
            </w:pPr>
            <w:r w:rsidRPr="00B613F4">
              <w:rPr>
                <w:rFonts w:ascii="Arial" w:hAnsi="Arial" w:cs="Arial"/>
                <w:color w:val="000000"/>
                <w:sz w:val="16"/>
                <w:szCs w:val="16"/>
              </w:rPr>
              <w:t>1.31 (1.00, 1.72)</w:t>
            </w:r>
          </w:p>
        </w:tc>
      </w:tr>
      <w:tr w:rsidR="00BF68B6" w:rsidRPr="00B613F4" w14:paraId="48D5F745" w14:textId="77777777" w:rsidTr="00B821E3">
        <w:trPr>
          <w:trHeight w:val="20"/>
        </w:trPr>
        <w:tc>
          <w:tcPr>
            <w:tcW w:w="1455" w:type="pct"/>
            <w:noWrap/>
            <w:hideMark/>
          </w:tcPr>
          <w:p w14:paraId="1D9BB21C" w14:textId="45862337" w:rsidR="00BF68B6" w:rsidRPr="00B613F4" w:rsidRDefault="00BF68B6" w:rsidP="00BF68B6">
            <w:pPr>
              <w:ind w:left="144"/>
              <w:rPr>
                <w:rFonts w:ascii="Arial" w:hAnsi="Arial" w:cs="Arial"/>
                <w:noProof/>
                <w:sz w:val="16"/>
                <w:szCs w:val="16"/>
              </w:rPr>
            </w:pPr>
            <w:r>
              <w:rPr>
                <w:rFonts w:ascii="Arial" w:eastAsia="Times New Roman" w:hAnsi="Arial" w:cs="Arial"/>
                <w:sz w:val="16"/>
                <w:szCs w:val="16"/>
              </w:rPr>
              <w:t>1</w:t>
            </w:r>
            <w:r w:rsidRPr="00B613F4">
              <w:rPr>
                <w:rFonts w:ascii="Arial" w:eastAsia="Times New Roman" w:hAnsi="Arial" w:cs="Arial"/>
                <w:sz w:val="16"/>
                <w:szCs w:val="16"/>
              </w:rPr>
              <w:t xml:space="preserve"> vs </w:t>
            </w:r>
            <w:r>
              <w:rPr>
                <w:rFonts w:ascii="Arial" w:eastAsia="Times New Roman" w:hAnsi="Arial" w:cs="Arial"/>
                <w:sz w:val="16"/>
                <w:szCs w:val="16"/>
              </w:rPr>
              <w:t>5</w:t>
            </w:r>
          </w:p>
        </w:tc>
        <w:tc>
          <w:tcPr>
            <w:tcW w:w="894" w:type="pct"/>
            <w:noWrap/>
            <w:vAlign w:val="bottom"/>
            <w:hideMark/>
          </w:tcPr>
          <w:p w14:paraId="790C9E55" w14:textId="77777777" w:rsidR="00BF68B6" w:rsidRPr="00B613F4" w:rsidRDefault="00BF68B6" w:rsidP="00BF68B6">
            <w:pPr>
              <w:rPr>
                <w:rFonts w:ascii="Arial" w:hAnsi="Arial" w:cs="Arial"/>
                <w:noProof/>
                <w:color w:val="BFBFBF" w:themeColor="background1" w:themeShade="BF"/>
                <w:sz w:val="16"/>
                <w:szCs w:val="16"/>
                <w:highlight w:val="yellow"/>
              </w:rPr>
            </w:pPr>
            <w:r w:rsidRPr="00B613F4">
              <w:rPr>
                <w:rFonts w:ascii="Arial" w:hAnsi="Arial" w:cs="Arial"/>
                <w:color w:val="000000"/>
                <w:sz w:val="16"/>
                <w:szCs w:val="16"/>
              </w:rPr>
              <w:t>0.50 (0.50, 0.51)</w:t>
            </w:r>
          </w:p>
        </w:tc>
        <w:tc>
          <w:tcPr>
            <w:tcW w:w="894" w:type="pct"/>
            <w:noWrap/>
            <w:vAlign w:val="bottom"/>
            <w:hideMark/>
          </w:tcPr>
          <w:p w14:paraId="74230BA0" w14:textId="77777777" w:rsidR="00BF68B6" w:rsidRPr="00B613F4" w:rsidRDefault="00BF68B6" w:rsidP="00BF68B6">
            <w:pPr>
              <w:rPr>
                <w:rFonts w:ascii="Arial" w:hAnsi="Arial" w:cs="Arial"/>
                <w:noProof/>
                <w:color w:val="BFBFBF" w:themeColor="background1" w:themeShade="BF"/>
                <w:sz w:val="16"/>
                <w:szCs w:val="16"/>
                <w:highlight w:val="yellow"/>
              </w:rPr>
            </w:pPr>
            <w:r w:rsidRPr="00B613F4">
              <w:rPr>
                <w:rFonts w:ascii="Arial" w:hAnsi="Arial" w:cs="Arial"/>
                <w:color w:val="000000"/>
                <w:sz w:val="16"/>
                <w:szCs w:val="16"/>
              </w:rPr>
              <w:t>0.71 (0.70, 0.71)</w:t>
            </w:r>
          </w:p>
        </w:tc>
        <w:tc>
          <w:tcPr>
            <w:tcW w:w="894" w:type="pct"/>
            <w:noWrap/>
            <w:vAlign w:val="bottom"/>
            <w:hideMark/>
          </w:tcPr>
          <w:p w14:paraId="7F81F6ED" w14:textId="77777777" w:rsidR="00BF68B6" w:rsidRPr="00B613F4" w:rsidRDefault="00BF68B6" w:rsidP="00BF68B6">
            <w:pPr>
              <w:rPr>
                <w:rFonts w:ascii="Arial" w:hAnsi="Arial" w:cs="Arial"/>
                <w:noProof/>
                <w:color w:val="BFBFBF" w:themeColor="background1" w:themeShade="BF"/>
                <w:sz w:val="16"/>
                <w:szCs w:val="16"/>
                <w:highlight w:val="yellow"/>
              </w:rPr>
            </w:pPr>
            <w:r w:rsidRPr="00B613F4">
              <w:rPr>
                <w:rFonts w:ascii="Arial" w:hAnsi="Arial" w:cs="Arial"/>
                <w:color w:val="000000"/>
                <w:sz w:val="16"/>
                <w:szCs w:val="16"/>
              </w:rPr>
              <w:t>1.52 (1.24, 1.87)</w:t>
            </w:r>
          </w:p>
        </w:tc>
        <w:tc>
          <w:tcPr>
            <w:tcW w:w="862" w:type="pct"/>
            <w:noWrap/>
            <w:vAlign w:val="bottom"/>
            <w:hideMark/>
          </w:tcPr>
          <w:p w14:paraId="37EAE167" w14:textId="77777777" w:rsidR="00BF68B6" w:rsidRPr="00B613F4" w:rsidRDefault="00BF68B6" w:rsidP="00BF68B6">
            <w:pPr>
              <w:rPr>
                <w:rFonts w:ascii="Arial" w:hAnsi="Arial" w:cs="Arial"/>
                <w:noProof/>
                <w:color w:val="BFBFBF" w:themeColor="background1" w:themeShade="BF"/>
                <w:sz w:val="16"/>
                <w:szCs w:val="16"/>
                <w:highlight w:val="yellow"/>
              </w:rPr>
            </w:pPr>
            <w:r w:rsidRPr="00B613F4">
              <w:rPr>
                <w:rFonts w:ascii="Arial" w:hAnsi="Arial" w:cs="Arial"/>
                <w:color w:val="000000"/>
                <w:sz w:val="16"/>
                <w:szCs w:val="16"/>
              </w:rPr>
              <w:t>1.22 (0.88, 1.68)</w:t>
            </w:r>
          </w:p>
        </w:tc>
      </w:tr>
    </w:tbl>
    <w:p w14:paraId="4B7AABEB" w14:textId="4601BFD5" w:rsidR="00A2401C" w:rsidRDefault="00A2401C" w:rsidP="00A2401C">
      <w:pPr>
        <w:spacing w:after="0" w:line="240" w:lineRule="auto"/>
        <w:rPr>
          <w:rFonts w:ascii="Arial" w:hAnsi="Arial" w:cs="Arial"/>
          <w:noProof/>
          <w:sz w:val="16"/>
          <w:szCs w:val="16"/>
        </w:rPr>
      </w:pPr>
      <w:r>
        <w:rPr>
          <w:rFonts w:ascii="Arial" w:hAnsi="Arial" w:cs="Arial"/>
          <w:noProof/>
          <w:sz w:val="16"/>
          <w:szCs w:val="16"/>
          <w:vertAlign w:val="superscript"/>
        </w:rPr>
        <w:t>a</w:t>
      </w:r>
      <w:r w:rsidRPr="00491159">
        <w:rPr>
          <w:rFonts w:ascii="Arial" w:hAnsi="Arial" w:cs="Arial"/>
          <w:noProof/>
          <w:sz w:val="16"/>
          <w:szCs w:val="16"/>
        </w:rPr>
        <w:t>Dissemination areas were ranked within each city by their median household income to create</w:t>
      </w:r>
      <w:r>
        <w:rPr>
          <w:rFonts w:ascii="Arial" w:hAnsi="Arial" w:cs="Arial"/>
          <w:noProof/>
          <w:sz w:val="16"/>
          <w:szCs w:val="16"/>
        </w:rPr>
        <w:t xml:space="preserve"> income</w:t>
      </w:r>
      <w:r w:rsidRPr="00491159">
        <w:rPr>
          <w:rFonts w:ascii="Arial" w:hAnsi="Arial" w:cs="Arial"/>
          <w:noProof/>
          <w:sz w:val="16"/>
          <w:szCs w:val="16"/>
        </w:rPr>
        <w:t xml:space="preserve"> quintiles; we ranked within city instead of within</w:t>
      </w:r>
      <w:r w:rsidR="00EE3B5C">
        <w:rPr>
          <w:rFonts w:ascii="Arial" w:hAnsi="Arial" w:cs="Arial"/>
          <w:noProof/>
          <w:sz w:val="16"/>
          <w:szCs w:val="16"/>
        </w:rPr>
        <w:t xml:space="preserve"> the</w:t>
      </w:r>
      <w:r w:rsidRPr="00491159">
        <w:rPr>
          <w:rFonts w:ascii="Arial" w:hAnsi="Arial" w:cs="Arial"/>
          <w:noProof/>
          <w:sz w:val="16"/>
          <w:szCs w:val="16"/>
        </w:rPr>
        <w:t xml:space="preserve"> entire province</w:t>
      </w:r>
      <w:r w:rsidR="00EE3B5C">
        <w:rPr>
          <w:rFonts w:ascii="Arial" w:hAnsi="Arial" w:cs="Arial"/>
          <w:noProof/>
          <w:sz w:val="16"/>
          <w:szCs w:val="16"/>
        </w:rPr>
        <w:t xml:space="preserve"> </w:t>
      </w:r>
      <w:r w:rsidRPr="00491159">
        <w:rPr>
          <w:rFonts w:ascii="Arial" w:hAnsi="Arial" w:cs="Arial"/>
          <w:noProof/>
          <w:sz w:val="16"/>
          <w:szCs w:val="16"/>
        </w:rPr>
        <w:t>to take</w:t>
      </w:r>
      <w:r w:rsidR="00EE3B5C">
        <w:rPr>
          <w:rFonts w:ascii="Arial" w:hAnsi="Arial" w:cs="Arial"/>
          <w:noProof/>
          <w:sz w:val="16"/>
          <w:szCs w:val="16"/>
        </w:rPr>
        <w:t xml:space="preserve"> the</w:t>
      </w:r>
      <w:r w:rsidRPr="00491159">
        <w:rPr>
          <w:rFonts w:ascii="Arial" w:hAnsi="Arial" w:cs="Arial"/>
          <w:noProof/>
          <w:sz w:val="16"/>
          <w:szCs w:val="16"/>
        </w:rPr>
        <w:t xml:space="preserve"> cost of living into account; a disseminaton area being in quintile 1 means it is among the </w:t>
      </w:r>
      <w:r w:rsidR="00BF68B6">
        <w:rPr>
          <w:rFonts w:ascii="Arial" w:hAnsi="Arial" w:cs="Arial"/>
          <w:noProof/>
          <w:sz w:val="16"/>
          <w:szCs w:val="16"/>
        </w:rPr>
        <w:t xml:space="preserve">lowest </w:t>
      </w:r>
      <w:r w:rsidRPr="00491159">
        <w:rPr>
          <w:rFonts w:ascii="Arial" w:hAnsi="Arial" w:cs="Arial"/>
          <w:noProof/>
          <w:sz w:val="16"/>
          <w:szCs w:val="16"/>
        </w:rPr>
        <w:t>20% of dissenmination areas in its city by median household income</w:t>
      </w:r>
      <w:r w:rsidR="00FC5E22">
        <w:rPr>
          <w:rFonts w:ascii="Arial" w:hAnsi="Arial" w:cs="Arial"/>
          <w:noProof/>
          <w:sz w:val="16"/>
          <w:szCs w:val="16"/>
        </w:rPr>
        <w:t>.</w:t>
      </w:r>
      <w:r w:rsidR="00FC5E22" w:rsidRPr="00491159">
        <w:rPr>
          <w:rFonts w:ascii="Arial" w:hAnsi="Arial" w:cs="Arial"/>
          <w:noProof/>
          <w:sz w:val="16"/>
          <w:szCs w:val="16"/>
        </w:rPr>
        <w:t xml:space="preserve"> </w:t>
      </w:r>
    </w:p>
    <w:p w14:paraId="3C2235D5" w14:textId="4D119CF1" w:rsidR="00A2401C" w:rsidRDefault="00A2401C" w:rsidP="00A2401C">
      <w:pPr>
        <w:spacing w:after="0" w:line="240" w:lineRule="auto"/>
        <w:rPr>
          <w:rFonts w:ascii="Arial" w:hAnsi="Arial" w:cs="Arial"/>
          <w:sz w:val="16"/>
          <w:szCs w:val="16"/>
        </w:rPr>
      </w:pPr>
      <w:r>
        <w:rPr>
          <w:rFonts w:ascii="Arial" w:hAnsi="Arial" w:cs="Arial"/>
          <w:sz w:val="16"/>
          <w:szCs w:val="16"/>
          <w:vertAlign w:val="superscript"/>
        </w:rPr>
        <w:t>b</w:t>
      </w:r>
      <w:r w:rsidR="00661330" w:rsidRPr="00661330">
        <w:rPr>
          <w:rFonts w:ascii="Arial" w:hAnsi="Arial" w:cs="Arial"/>
          <w:sz w:val="16"/>
          <w:szCs w:val="16"/>
        </w:rPr>
        <w:t>Vaccination status defined as receiving ≥ 1 dose of Johnson-Johnson vaccine or ≥ 2 doses of other vaccines.</w:t>
      </w:r>
      <w:r w:rsidR="00661330">
        <w:rPr>
          <w:rFonts w:ascii="Arial" w:hAnsi="Arial" w:cs="Arial"/>
          <w:sz w:val="16"/>
          <w:szCs w:val="16"/>
        </w:rPr>
        <w:t xml:space="preserve"> Details in Appendix text 1.</w:t>
      </w:r>
    </w:p>
    <w:p w14:paraId="6D2A805D" w14:textId="5557CAEA" w:rsidR="00A2401C" w:rsidRPr="006B74A2" w:rsidRDefault="00A2401C" w:rsidP="00A2401C">
      <w:pPr>
        <w:spacing w:after="0" w:line="240" w:lineRule="auto"/>
        <w:rPr>
          <w:rFonts w:ascii="Arial" w:hAnsi="Arial" w:cs="Arial"/>
          <w:noProof/>
          <w:sz w:val="16"/>
          <w:szCs w:val="16"/>
        </w:rPr>
      </w:pPr>
      <w:r w:rsidRPr="00184F0C">
        <w:rPr>
          <w:rFonts w:ascii="Arial" w:hAnsi="Arial" w:cs="Arial"/>
          <w:noProof/>
          <w:sz w:val="16"/>
          <w:szCs w:val="16"/>
          <w:vertAlign w:val="superscript"/>
        </w:rPr>
        <w:t>c</w:t>
      </w:r>
      <w:r w:rsidRPr="00184F0C">
        <w:rPr>
          <w:rFonts w:ascii="Arial" w:hAnsi="Arial" w:cs="Arial"/>
          <w:noProof/>
          <w:sz w:val="16"/>
          <w:szCs w:val="16"/>
        </w:rPr>
        <w:t xml:space="preserve">Death within 30 days following or 7 days prior to a lab-confirmed positive </w:t>
      </w:r>
      <w:r w:rsidRPr="00BF68B6">
        <w:rPr>
          <w:rFonts w:ascii="Arial" w:hAnsi="Arial" w:cs="Arial"/>
          <w:noProof/>
          <w:sz w:val="16"/>
          <w:szCs w:val="16"/>
        </w:rPr>
        <w:t>SARS-CoV-2 test</w:t>
      </w:r>
      <w:r w:rsidRPr="00184F0C">
        <w:rPr>
          <w:rFonts w:ascii="Arial" w:hAnsi="Arial" w:cs="Arial"/>
          <w:noProof/>
          <w:sz w:val="16"/>
          <w:szCs w:val="16"/>
        </w:rPr>
        <w:t xml:space="preserve"> was considered </w:t>
      </w:r>
      <w:r w:rsidR="00EE3B5C" w:rsidRPr="00184F0C">
        <w:rPr>
          <w:rFonts w:ascii="Arial" w:hAnsi="Arial" w:cs="Arial"/>
          <w:noProof/>
          <w:sz w:val="16"/>
          <w:szCs w:val="16"/>
        </w:rPr>
        <w:t xml:space="preserve">a </w:t>
      </w:r>
      <w:r w:rsidRPr="00184F0C">
        <w:rPr>
          <w:rFonts w:ascii="Arial" w:hAnsi="Arial" w:cs="Arial"/>
          <w:noProof/>
          <w:sz w:val="16"/>
          <w:szCs w:val="16"/>
        </w:rPr>
        <w:t>COVID-19 death</w:t>
      </w:r>
      <w:r w:rsidR="00FC5E22" w:rsidRPr="00184F0C">
        <w:rPr>
          <w:rFonts w:ascii="Arial" w:hAnsi="Arial" w:cs="Arial"/>
          <w:noProof/>
          <w:sz w:val="16"/>
          <w:szCs w:val="16"/>
        </w:rPr>
        <w:t>.</w:t>
      </w:r>
      <w:r w:rsidR="00FC5E22" w:rsidRPr="006B74A2">
        <w:rPr>
          <w:rFonts w:ascii="Arial" w:hAnsi="Arial" w:cs="Arial"/>
          <w:noProof/>
          <w:sz w:val="16"/>
          <w:szCs w:val="16"/>
        </w:rPr>
        <w:t xml:space="preserve"> </w:t>
      </w:r>
    </w:p>
    <w:p w14:paraId="2C105E9D" w14:textId="4C2939D3" w:rsidR="00A2401C" w:rsidRPr="00BF68B6" w:rsidRDefault="002D1C2C" w:rsidP="00A2401C">
      <w:pPr>
        <w:spacing w:after="0" w:line="240" w:lineRule="auto"/>
        <w:rPr>
          <w:rFonts w:ascii="Arial" w:hAnsi="Arial" w:cs="Arial"/>
          <w:sz w:val="16"/>
          <w:szCs w:val="16"/>
        </w:rPr>
      </w:pPr>
      <w:r w:rsidRPr="00BF68B6">
        <w:rPr>
          <w:rFonts w:ascii="Arial" w:hAnsi="Arial" w:cs="Arial"/>
          <w:sz w:val="16"/>
          <w:szCs w:val="16"/>
          <w:vertAlign w:val="superscript"/>
        </w:rPr>
        <w:t>d</w:t>
      </w:r>
      <w:r w:rsidRPr="00BF68B6">
        <w:rPr>
          <w:rFonts w:ascii="Arial" w:hAnsi="Arial" w:cs="Arial"/>
          <w:sz w:val="16"/>
          <w:szCs w:val="16"/>
        </w:rPr>
        <w:t>Logistic regression models were used to examine</w:t>
      </w:r>
      <w:r w:rsidR="00EE3B5C" w:rsidRPr="00BF68B6">
        <w:rPr>
          <w:rFonts w:ascii="Arial" w:hAnsi="Arial" w:cs="Arial"/>
          <w:sz w:val="16"/>
          <w:szCs w:val="16"/>
        </w:rPr>
        <w:t xml:space="preserve"> the</w:t>
      </w:r>
      <w:r w:rsidRPr="00BF68B6">
        <w:rPr>
          <w:rFonts w:ascii="Arial" w:hAnsi="Arial" w:cs="Arial"/>
          <w:sz w:val="16"/>
          <w:szCs w:val="16"/>
        </w:rPr>
        <w:t xml:space="preserve"> odds of </w:t>
      </w:r>
      <w:r w:rsidR="00BF68B6">
        <w:rPr>
          <w:rFonts w:ascii="Arial" w:hAnsi="Arial" w:cs="Arial"/>
          <w:sz w:val="16"/>
          <w:szCs w:val="16"/>
        </w:rPr>
        <w:t>vaccination</w:t>
      </w:r>
      <w:r w:rsidR="00FC5E22" w:rsidRPr="00BF68B6">
        <w:rPr>
          <w:rFonts w:ascii="Arial" w:hAnsi="Arial" w:cs="Arial"/>
          <w:sz w:val="16"/>
          <w:szCs w:val="16"/>
        </w:rPr>
        <w:t xml:space="preserve">. </w:t>
      </w:r>
    </w:p>
    <w:p w14:paraId="0777EF98" w14:textId="285B99F0" w:rsidR="00A2401C" w:rsidRPr="00DB1806" w:rsidRDefault="00A2401C" w:rsidP="00A2401C">
      <w:pPr>
        <w:spacing w:after="0" w:line="240" w:lineRule="auto"/>
        <w:rPr>
          <w:rFonts w:ascii="Arial" w:hAnsi="Arial" w:cs="Arial"/>
          <w:sz w:val="16"/>
          <w:szCs w:val="16"/>
        </w:rPr>
      </w:pPr>
      <w:r w:rsidRPr="00BF68B6">
        <w:rPr>
          <w:rFonts w:ascii="Arial" w:hAnsi="Arial" w:cs="Arial"/>
          <w:sz w:val="16"/>
          <w:szCs w:val="16"/>
          <w:vertAlign w:val="superscript"/>
        </w:rPr>
        <w:t>e</w:t>
      </w:r>
      <w:r w:rsidRPr="00BF68B6">
        <w:rPr>
          <w:rFonts w:ascii="Arial" w:hAnsi="Arial" w:cs="Arial"/>
          <w:sz w:val="16"/>
          <w:szCs w:val="16"/>
        </w:rPr>
        <w:t xml:space="preserve">Cause-specific hazard models were used to examine COVID-19 death </w:t>
      </w:r>
      <w:r w:rsidR="00EE3B5C" w:rsidRPr="00BF68B6">
        <w:rPr>
          <w:rFonts w:ascii="Arial" w:hAnsi="Arial" w:cs="Arial"/>
          <w:sz w:val="16"/>
          <w:szCs w:val="16"/>
        </w:rPr>
        <w:t>(</w:t>
      </w:r>
      <w:r w:rsidRPr="00BF68B6">
        <w:rPr>
          <w:rFonts w:ascii="Arial" w:hAnsi="Arial" w:cs="Arial"/>
          <w:sz w:val="16"/>
          <w:szCs w:val="16"/>
        </w:rPr>
        <w:t>treating deaths</w:t>
      </w:r>
      <w:r w:rsidRPr="00DB1806">
        <w:rPr>
          <w:rFonts w:ascii="Arial" w:hAnsi="Arial" w:cs="Arial"/>
          <w:sz w:val="16"/>
          <w:szCs w:val="16"/>
        </w:rPr>
        <w:t xml:space="preserve"> not related to COVID-19 as competing risk events</w:t>
      </w:r>
      <w:r w:rsidR="00FC5E22">
        <w:rPr>
          <w:rFonts w:ascii="Arial" w:hAnsi="Arial" w:cs="Arial"/>
          <w:sz w:val="16"/>
          <w:szCs w:val="16"/>
        </w:rPr>
        <w:t>).</w:t>
      </w:r>
      <w:r w:rsidR="00FC5E22" w:rsidRPr="00DB1806">
        <w:rPr>
          <w:rFonts w:ascii="Arial" w:hAnsi="Arial" w:cs="Arial"/>
          <w:sz w:val="16"/>
          <w:szCs w:val="16"/>
        </w:rPr>
        <w:t xml:space="preserve"> </w:t>
      </w:r>
    </w:p>
    <w:p w14:paraId="1F2F4B13" w14:textId="5D2D5611" w:rsidR="00A2401C" w:rsidRDefault="00A2401C" w:rsidP="00A2401C">
      <w:pPr>
        <w:spacing w:after="0" w:line="240" w:lineRule="auto"/>
        <w:rPr>
          <w:rFonts w:ascii="Arial" w:hAnsi="Arial" w:cs="Arial"/>
          <w:sz w:val="16"/>
          <w:szCs w:val="16"/>
        </w:rPr>
      </w:pPr>
      <w:r>
        <w:rPr>
          <w:rFonts w:ascii="Arial" w:hAnsi="Arial" w:cs="Arial"/>
          <w:sz w:val="16"/>
          <w:szCs w:val="16"/>
          <w:vertAlign w:val="superscript"/>
        </w:rPr>
        <w:t>f</w:t>
      </w:r>
      <w:r w:rsidRPr="00DB1806">
        <w:rPr>
          <w:rFonts w:ascii="Arial" w:hAnsi="Arial" w:cs="Arial"/>
          <w:sz w:val="16"/>
          <w:szCs w:val="16"/>
        </w:rPr>
        <w:t xml:space="preserve">Adjusted for individual-level demographics (age, sex, immigration status, residing in rural vs. urban, public health unit of residence), baseline health (comorbidity index measured by the Aggregated Diagnosis Groups, past hospitalization and outpatient visits), </w:t>
      </w:r>
      <w:r w:rsidR="002D1C2C">
        <w:rPr>
          <w:rFonts w:ascii="Arial" w:hAnsi="Arial" w:cs="Arial"/>
          <w:sz w:val="16"/>
          <w:szCs w:val="16"/>
        </w:rPr>
        <w:t xml:space="preserve">prior infection, </w:t>
      </w:r>
      <w:r w:rsidRPr="00DB1806">
        <w:rPr>
          <w:rFonts w:ascii="Arial" w:hAnsi="Arial" w:cs="Arial"/>
          <w:sz w:val="16"/>
          <w:szCs w:val="16"/>
        </w:rPr>
        <w:t>and other area-level social determinants of health (educational attainment, essential workers, ethnic diversity and housing condition</w:t>
      </w:r>
      <w:r w:rsidR="00FC5E22" w:rsidRPr="00DB1806">
        <w:rPr>
          <w:rFonts w:ascii="Arial" w:hAnsi="Arial" w:cs="Arial"/>
          <w:sz w:val="16"/>
          <w:szCs w:val="16"/>
        </w:rPr>
        <w:t>)</w:t>
      </w:r>
      <w:r w:rsidR="00FC5E22">
        <w:rPr>
          <w:rFonts w:ascii="Arial" w:hAnsi="Arial" w:cs="Arial"/>
          <w:sz w:val="16"/>
          <w:szCs w:val="16"/>
        </w:rPr>
        <w:t>.</w:t>
      </w:r>
    </w:p>
    <w:p w14:paraId="2E57509F" w14:textId="5941AD26" w:rsidR="002D1C2C" w:rsidRPr="002D1C2C" w:rsidRDefault="002D1C2C" w:rsidP="00A2401C">
      <w:pPr>
        <w:spacing w:after="0" w:line="240" w:lineRule="auto"/>
        <w:rPr>
          <w:rFonts w:ascii="Arial" w:hAnsi="Arial" w:cs="Arial"/>
          <w:noProof/>
          <w:sz w:val="16"/>
          <w:szCs w:val="16"/>
          <w:vertAlign w:val="superscript"/>
        </w:rPr>
      </w:pPr>
      <w:r w:rsidRPr="002D1C2C">
        <w:rPr>
          <w:rFonts w:ascii="Arial" w:hAnsi="Arial" w:cs="Arial"/>
          <w:sz w:val="16"/>
          <w:szCs w:val="16"/>
          <w:vertAlign w:val="superscript"/>
        </w:rPr>
        <w:t>g</w:t>
      </w:r>
      <w:r>
        <w:rPr>
          <w:rFonts w:ascii="Arial" w:hAnsi="Arial" w:cs="Arial"/>
          <w:sz w:val="16"/>
          <w:szCs w:val="16"/>
        </w:rPr>
        <w:t>Adjusted for the list of covariates in</w:t>
      </w:r>
      <w:r>
        <w:rPr>
          <w:rFonts w:ascii="Arial" w:hAnsi="Arial" w:cs="Arial"/>
          <w:sz w:val="16"/>
          <w:szCs w:val="16"/>
          <w:vertAlign w:val="superscript"/>
        </w:rPr>
        <w:t xml:space="preserve"> </w:t>
      </w:r>
      <w:r>
        <w:rPr>
          <w:rFonts w:ascii="Arial" w:hAnsi="Arial" w:cs="Arial"/>
          <w:sz w:val="16"/>
          <w:szCs w:val="16"/>
        </w:rPr>
        <w:t>footnote f, and vaccination status</w:t>
      </w:r>
      <w:r w:rsidR="00B40E6D">
        <w:rPr>
          <w:rFonts w:ascii="Arial" w:hAnsi="Arial" w:cs="Arial"/>
          <w:sz w:val="16"/>
          <w:szCs w:val="16"/>
        </w:rPr>
        <w:t xml:space="preserve"> (yes/no)</w:t>
      </w:r>
      <w:r>
        <w:rPr>
          <w:rFonts w:ascii="Arial" w:hAnsi="Arial" w:cs="Arial"/>
          <w:sz w:val="16"/>
          <w:szCs w:val="16"/>
        </w:rPr>
        <w:t xml:space="preserve"> </w:t>
      </w:r>
      <w:r w:rsidR="00BF68B6">
        <w:rPr>
          <w:rFonts w:ascii="Arial" w:hAnsi="Arial" w:cs="Arial"/>
          <w:sz w:val="16"/>
          <w:szCs w:val="16"/>
        </w:rPr>
        <w:t xml:space="preserve">by </w:t>
      </w:r>
      <w:r>
        <w:rPr>
          <w:rFonts w:ascii="Arial" w:hAnsi="Arial" w:cs="Arial"/>
          <w:sz w:val="16"/>
          <w:szCs w:val="16"/>
        </w:rPr>
        <w:t>start of wave 4.</w:t>
      </w:r>
      <w:r>
        <w:rPr>
          <w:rFonts w:ascii="Arial" w:hAnsi="Arial" w:cs="Arial"/>
          <w:sz w:val="16"/>
          <w:szCs w:val="16"/>
          <w:vertAlign w:val="superscript"/>
        </w:rPr>
        <w:t xml:space="preserve"> </w:t>
      </w:r>
    </w:p>
    <w:p w14:paraId="1C827D76" w14:textId="77777777" w:rsidR="00A2401C" w:rsidRPr="00B613F4" w:rsidRDefault="00A2401C" w:rsidP="00A2401C">
      <w:pPr>
        <w:spacing w:after="0" w:line="240" w:lineRule="auto"/>
        <w:rPr>
          <w:rFonts w:ascii="Arial" w:hAnsi="Arial" w:cs="Arial"/>
          <w:noProof/>
          <w:sz w:val="16"/>
          <w:szCs w:val="16"/>
        </w:rPr>
      </w:pPr>
      <w:r w:rsidRPr="00EF1E49">
        <w:rPr>
          <w:rFonts w:ascii="Arial" w:hAnsi="Arial" w:cs="Arial"/>
          <w:noProof/>
          <w:sz w:val="16"/>
          <w:szCs w:val="16"/>
        </w:rPr>
        <w:t>Abbreviations: CI, confidence interval.</w:t>
      </w:r>
    </w:p>
    <w:p w14:paraId="537BFD83" w14:textId="322F0D88" w:rsidR="00A2401C" w:rsidRDefault="00A2401C" w:rsidP="00E01EE6">
      <w:pPr>
        <w:rPr>
          <w:rFonts w:ascii="Arial" w:hAnsi="Arial" w:cs="Arial"/>
        </w:rPr>
      </w:pPr>
    </w:p>
    <w:p w14:paraId="67F52D33" w14:textId="77777777" w:rsidR="009F67AD" w:rsidRDefault="009F67AD">
      <w:pPr>
        <w:rPr>
          <w:rFonts w:ascii="Arial" w:hAnsi="Arial" w:cs="Arial"/>
          <w:b/>
          <w:sz w:val="16"/>
          <w:szCs w:val="16"/>
        </w:rPr>
      </w:pPr>
      <w:r>
        <w:rPr>
          <w:rFonts w:ascii="Arial" w:hAnsi="Arial" w:cs="Arial"/>
          <w:b/>
          <w:sz w:val="16"/>
          <w:szCs w:val="16"/>
        </w:rPr>
        <w:br w:type="page"/>
      </w:r>
    </w:p>
    <w:p w14:paraId="0B7B5642" w14:textId="5FE72F95" w:rsidR="002948EF" w:rsidRPr="009F67AD" w:rsidRDefault="002948EF" w:rsidP="002948EF">
      <w:pPr>
        <w:spacing w:after="0" w:line="240" w:lineRule="auto"/>
        <w:rPr>
          <w:rFonts w:ascii="Arial" w:hAnsi="Arial" w:cs="Arial"/>
          <w:sz w:val="20"/>
          <w:szCs w:val="20"/>
        </w:rPr>
      </w:pPr>
      <w:r w:rsidRPr="009F67AD">
        <w:rPr>
          <w:rFonts w:ascii="Arial" w:hAnsi="Arial" w:cs="Arial"/>
          <w:b/>
          <w:sz w:val="20"/>
          <w:szCs w:val="20"/>
        </w:rPr>
        <w:lastRenderedPageBreak/>
        <w:t xml:space="preserve">Appendix Table </w:t>
      </w:r>
      <w:r w:rsidR="009F67AD" w:rsidRPr="009F67AD">
        <w:rPr>
          <w:rFonts w:ascii="Arial" w:hAnsi="Arial" w:cs="Arial"/>
          <w:b/>
          <w:sz w:val="20"/>
          <w:szCs w:val="20"/>
        </w:rPr>
        <w:t>4</w:t>
      </w:r>
      <w:r w:rsidRPr="009F67AD">
        <w:rPr>
          <w:rFonts w:ascii="Arial" w:hAnsi="Arial" w:cs="Arial"/>
          <w:b/>
          <w:sz w:val="20"/>
          <w:szCs w:val="20"/>
        </w:rPr>
        <w:t xml:space="preserve">.  </w:t>
      </w:r>
      <w:r w:rsidRPr="009F67AD">
        <w:rPr>
          <w:rFonts w:ascii="Arial" w:hAnsi="Arial" w:cs="Arial"/>
          <w:sz w:val="20"/>
          <w:szCs w:val="20"/>
        </w:rPr>
        <w:t>Patterns in COVID-19 deaths</w:t>
      </w:r>
      <w:r w:rsidR="005D41DE" w:rsidRPr="009F67AD">
        <w:rPr>
          <w:rFonts w:ascii="Arial" w:hAnsi="Arial" w:cs="Arial"/>
          <w:sz w:val="20"/>
          <w:szCs w:val="20"/>
          <w:vertAlign w:val="superscript"/>
        </w:rPr>
        <w:t>a</w:t>
      </w:r>
      <w:r w:rsidRPr="009F67AD">
        <w:rPr>
          <w:rFonts w:ascii="Arial" w:hAnsi="Arial" w:cs="Arial"/>
          <w:sz w:val="20"/>
          <w:szCs w:val="20"/>
        </w:rPr>
        <w:t xml:space="preserve"> </w:t>
      </w:r>
      <w:r w:rsidR="009F67AD" w:rsidRPr="009F67AD">
        <w:rPr>
          <w:rFonts w:ascii="Arial" w:hAnsi="Arial" w:cs="Arial"/>
          <w:sz w:val="20"/>
          <w:szCs w:val="20"/>
        </w:rPr>
        <w:t xml:space="preserve">during </w:t>
      </w:r>
      <w:r w:rsidRPr="009F67AD">
        <w:rPr>
          <w:rFonts w:ascii="Arial" w:hAnsi="Arial" w:cs="Arial"/>
          <w:sz w:val="20"/>
          <w:szCs w:val="20"/>
        </w:rPr>
        <w:t xml:space="preserve">waves </w:t>
      </w:r>
      <w:r w:rsidR="002C0697">
        <w:rPr>
          <w:rFonts w:ascii="Arial" w:hAnsi="Arial" w:cs="Arial"/>
          <w:sz w:val="20"/>
          <w:szCs w:val="20"/>
        </w:rPr>
        <w:t>four and five</w:t>
      </w:r>
      <w:r w:rsidRPr="009F67AD">
        <w:rPr>
          <w:rFonts w:ascii="Arial" w:hAnsi="Arial" w:cs="Arial"/>
          <w:sz w:val="20"/>
          <w:szCs w:val="20"/>
        </w:rPr>
        <w:t xml:space="preserve"> by area-level income</w:t>
      </w:r>
      <w:r w:rsidR="005D41DE" w:rsidRPr="009F67AD">
        <w:rPr>
          <w:rFonts w:ascii="Arial" w:hAnsi="Arial" w:cs="Arial"/>
          <w:sz w:val="20"/>
          <w:szCs w:val="20"/>
          <w:vertAlign w:val="superscript"/>
        </w:rPr>
        <w:t>b</w:t>
      </w:r>
      <w:r w:rsidRPr="009F67AD">
        <w:rPr>
          <w:rFonts w:ascii="Arial" w:hAnsi="Arial" w:cs="Arial"/>
          <w:sz w:val="20"/>
          <w:szCs w:val="20"/>
        </w:rPr>
        <w:t xml:space="preserve"> stratified by </w:t>
      </w:r>
      <w:r w:rsidR="009F67AD" w:rsidRPr="009F67AD">
        <w:rPr>
          <w:rFonts w:ascii="Arial" w:hAnsi="Arial" w:cs="Arial"/>
          <w:sz w:val="20"/>
          <w:szCs w:val="20"/>
        </w:rPr>
        <w:t>v</w:t>
      </w:r>
      <w:r w:rsidRPr="009F67AD">
        <w:rPr>
          <w:rFonts w:ascii="Arial" w:hAnsi="Arial" w:cs="Arial"/>
          <w:sz w:val="20"/>
          <w:szCs w:val="20"/>
        </w:rPr>
        <w:t>accination status</w:t>
      </w:r>
      <w:r w:rsidR="005D41DE" w:rsidRPr="009F67AD">
        <w:rPr>
          <w:rFonts w:ascii="Arial" w:hAnsi="Arial" w:cs="Arial"/>
          <w:sz w:val="20"/>
          <w:szCs w:val="20"/>
          <w:vertAlign w:val="superscript"/>
        </w:rPr>
        <w:t>c</w:t>
      </w:r>
      <w:r w:rsidRPr="009F67AD">
        <w:rPr>
          <w:rFonts w:ascii="Arial" w:hAnsi="Arial" w:cs="Arial"/>
          <w:sz w:val="20"/>
          <w:szCs w:val="20"/>
        </w:rPr>
        <w:t xml:space="preserve">. </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1391"/>
        <w:gridCol w:w="1391"/>
        <w:gridCol w:w="1391"/>
        <w:gridCol w:w="1391"/>
        <w:gridCol w:w="1026"/>
        <w:gridCol w:w="975"/>
      </w:tblGrid>
      <w:tr w:rsidR="00A65CF4" w:rsidRPr="009F67AD" w14:paraId="61AFECE9" w14:textId="63FCAA52" w:rsidTr="009F67AD">
        <w:trPr>
          <w:trHeight w:val="20"/>
        </w:trPr>
        <w:tc>
          <w:tcPr>
            <w:tcW w:w="959" w:type="pct"/>
            <w:tcBorders>
              <w:top w:val="single" w:sz="4" w:space="0" w:color="auto"/>
              <w:bottom w:val="nil"/>
            </w:tcBorders>
            <w:noWrap/>
            <w:hideMark/>
          </w:tcPr>
          <w:p w14:paraId="15A8CBDD" w14:textId="77777777" w:rsidR="00A65CF4" w:rsidRPr="009F67AD" w:rsidRDefault="00A65CF4" w:rsidP="002948EF">
            <w:pPr>
              <w:rPr>
                <w:rFonts w:ascii="Arial" w:hAnsi="Arial" w:cs="Arial"/>
                <w:noProof/>
                <w:sz w:val="16"/>
                <w:szCs w:val="16"/>
              </w:rPr>
            </w:pPr>
          </w:p>
        </w:tc>
        <w:tc>
          <w:tcPr>
            <w:tcW w:w="1486" w:type="pct"/>
            <w:gridSpan w:val="2"/>
            <w:tcBorders>
              <w:top w:val="single" w:sz="4" w:space="0" w:color="auto"/>
              <w:bottom w:val="single" w:sz="4" w:space="0" w:color="auto"/>
            </w:tcBorders>
            <w:hideMark/>
          </w:tcPr>
          <w:p w14:paraId="07A1A55F" w14:textId="7D446FA5" w:rsidR="00A65CF4" w:rsidRPr="009F67AD" w:rsidRDefault="00A65CF4" w:rsidP="002948EF">
            <w:pPr>
              <w:jc w:val="center"/>
              <w:rPr>
                <w:rFonts w:ascii="Arial" w:hAnsi="Arial" w:cs="Arial"/>
                <w:bCs/>
                <w:noProof/>
                <w:sz w:val="16"/>
                <w:szCs w:val="16"/>
              </w:rPr>
            </w:pPr>
            <w:r w:rsidRPr="009F67AD">
              <w:rPr>
                <w:rFonts w:ascii="Arial" w:hAnsi="Arial" w:cs="Arial"/>
                <w:bCs/>
                <w:noProof/>
                <w:sz w:val="16"/>
                <w:szCs w:val="16"/>
              </w:rPr>
              <w:t xml:space="preserve">Fully vacciated individuals </w:t>
            </w:r>
          </w:p>
        </w:tc>
        <w:tc>
          <w:tcPr>
            <w:tcW w:w="1486" w:type="pct"/>
            <w:gridSpan w:val="2"/>
            <w:tcBorders>
              <w:top w:val="single" w:sz="4" w:space="0" w:color="auto"/>
              <w:bottom w:val="single" w:sz="4" w:space="0" w:color="auto"/>
            </w:tcBorders>
            <w:hideMark/>
          </w:tcPr>
          <w:p w14:paraId="5F51D6F2" w14:textId="39F20EA4" w:rsidR="00A65CF4" w:rsidRPr="009F67AD" w:rsidRDefault="00A65CF4" w:rsidP="002948EF">
            <w:pPr>
              <w:jc w:val="center"/>
              <w:rPr>
                <w:rFonts w:ascii="Arial" w:hAnsi="Arial" w:cs="Arial"/>
                <w:bCs/>
                <w:noProof/>
                <w:sz w:val="16"/>
                <w:szCs w:val="16"/>
              </w:rPr>
            </w:pPr>
            <w:r w:rsidRPr="009F67AD">
              <w:rPr>
                <w:rFonts w:ascii="Arial" w:hAnsi="Arial" w:cs="Arial"/>
                <w:bCs/>
                <w:noProof/>
                <w:sz w:val="16"/>
                <w:szCs w:val="16"/>
              </w:rPr>
              <w:t>Not fully vaccinated individuals</w:t>
            </w:r>
          </w:p>
        </w:tc>
        <w:tc>
          <w:tcPr>
            <w:tcW w:w="1069" w:type="pct"/>
            <w:gridSpan w:val="2"/>
            <w:tcBorders>
              <w:top w:val="single" w:sz="4" w:space="0" w:color="auto"/>
              <w:bottom w:val="single" w:sz="4" w:space="0" w:color="auto"/>
            </w:tcBorders>
          </w:tcPr>
          <w:p w14:paraId="6F1F053F" w14:textId="09FECCE3" w:rsidR="00A65CF4" w:rsidRPr="009F67AD" w:rsidRDefault="00A65CF4" w:rsidP="002948EF">
            <w:pPr>
              <w:jc w:val="center"/>
              <w:rPr>
                <w:rFonts w:ascii="Arial" w:hAnsi="Arial" w:cs="Arial"/>
                <w:bCs/>
                <w:noProof/>
                <w:sz w:val="16"/>
                <w:szCs w:val="16"/>
              </w:rPr>
            </w:pPr>
            <w:r w:rsidRPr="009F67AD">
              <w:rPr>
                <w:rFonts w:ascii="Arial" w:hAnsi="Arial" w:cs="Arial"/>
                <w:bCs/>
                <w:noProof/>
                <w:sz w:val="16"/>
                <w:szCs w:val="16"/>
              </w:rPr>
              <w:t>P-values (for the interaction term between income and vaccnation)</w:t>
            </w:r>
          </w:p>
        </w:tc>
      </w:tr>
      <w:tr w:rsidR="00A65CF4" w:rsidRPr="009F67AD" w14:paraId="00D205C5" w14:textId="14192C96" w:rsidTr="009F67AD">
        <w:trPr>
          <w:trHeight w:val="20"/>
        </w:trPr>
        <w:tc>
          <w:tcPr>
            <w:tcW w:w="959" w:type="pct"/>
            <w:tcBorders>
              <w:top w:val="nil"/>
              <w:bottom w:val="nil"/>
            </w:tcBorders>
            <w:noWrap/>
          </w:tcPr>
          <w:p w14:paraId="35208F2C" w14:textId="2BBA9D12" w:rsidR="00A65CF4" w:rsidRPr="009F67AD" w:rsidRDefault="00A65CF4" w:rsidP="002948EF">
            <w:pPr>
              <w:rPr>
                <w:rFonts w:ascii="Arial" w:hAnsi="Arial" w:cs="Arial"/>
                <w:noProof/>
                <w:sz w:val="16"/>
                <w:szCs w:val="16"/>
              </w:rPr>
            </w:pPr>
            <w:r w:rsidRPr="009F67AD">
              <w:rPr>
                <w:rFonts w:ascii="Arial" w:hAnsi="Arial" w:cs="Arial"/>
                <w:noProof/>
                <w:sz w:val="16"/>
                <w:szCs w:val="16"/>
              </w:rPr>
              <w:t>Area-level Income</w:t>
            </w:r>
          </w:p>
        </w:tc>
        <w:tc>
          <w:tcPr>
            <w:tcW w:w="1486" w:type="pct"/>
            <w:gridSpan w:val="2"/>
            <w:tcBorders>
              <w:top w:val="single" w:sz="4" w:space="0" w:color="auto"/>
              <w:bottom w:val="nil"/>
            </w:tcBorders>
          </w:tcPr>
          <w:p w14:paraId="3D214D5F" w14:textId="79DE1F9A" w:rsidR="00A65CF4" w:rsidRPr="009F67AD" w:rsidRDefault="00A65CF4" w:rsidP="005D41DE">
            <w:pPr>
              <w:jc w:val="center"/>
              <w:rPr>
                <w:rFonts w:ascii="Arial" w:eastAsia="Times New Roman" w:hAnsi="Arial" w:cs="Arial"/>
                <w:sz w:val="16"/>
                <w:szCs w:val="16"/>
              </w:rPr>
            </w:pPr>
            <w:r w:rsidRPr="009F67AD">
              <w:rPr>
                <w:rFonts w:ascii="Arial" w:eastAsia="Times New Roman" w:hAnsi="Arial" w:cs="Arial"/>
                <w:sz w:val="16"/>
                <w:szCs w:val="16"/>
              </w:rPr>
              <w:t>Hazard ratio</w:t>
            </w:r>
            <w:r w:rsidRPr="009F67AD">
              <w:rPr>
                <w:rFonts w:ascii="Arial" w:eastAsia="Times New Roman" w:hAnsi="Arial" w:cs="Arial"/>
                <w:sz w:val="16"/>
                <w:szCs w:val="16"/>
                <w:vertAlign w:val="superscript"/>
              </w:rPr>
              <w:t>d</w:t>
            </w:r>
            <w:r w:rsidRPr="009F67AD">
              <w:rPr>
                <w:rFonts w:ascii="Arial" w:eastAsia="Times New Roman" w:hAnsi="Arial" w:cs="Arial"/>
                <w:sz w:val="16"/>
                <w:szCs w:val="16"/>
              </w:rPr>
              <w:t>(95% CI)</w:t>
            </w:r>
          </w:p>
        </w:tc>
        <w:tc>
          <w:tcPr>
            <w:tcW w:w="1486" w:type="pct"/>
            <w:gridSpan w:val="2"/>
            <w:tcBorders>
              <w:top w:val="single" w:sz="4" w:space="0" w:color="auto"/>
              <w:bottom w:val="nil"/>
            </w:tcBorders>
          </w:tcPr>
          <w:p w14:paraId="41A20CCE" w14:textId="1D58769C" w:rsidR="00A65CF4" w:rsidRPr="009F67AD" w:rsidRDefault="00A65CF4" w:rsidP="005D41DE">
            <w:pPr>
              <w:jc w:val="center"/>
              <w:rPr>
                <w:rFonts w:ascii="Arial" w:hAnsi="Arial" w:cs="Arial"/>
                <w:bCs/>
                <w:noProof/>
                <w:sz w:val="16"/>
                <w:szCs w:val="16"/>
              </w:rPr>
            </w:pPr>
            <w:r w:rsidRPr="009F67AD">
              <w:rPr>
                <w:rFonts w:ascii="Arial" w:eastAsia="Times New Roman" w:hAnsi="Arial" w:cs="Arial"/>
                <w:sz w:val="16"/>
                <w:szCs w:val="16"/>
              </w:rPr>
              <w:t>Hazard ratio</w:t>
            </w:r>
            <w:r w:rsidRPr="009F67AD">
              <w:rPr>
                <w:rFonts w:ascii="Arial" w:eastAsia="Times New Roman" w:hAnsi="Arial" w:cs="Arial"/>
                <w:sz w:val="16"/>
                <w:szCs w:val="16"/>
                <w:vertAlign w:val="superscript"/>
              </w:rPr>
              <w:t>d</w:t>
            </w:r>
            <w:r w:rsidRPr="009F67AD">
              <w:rPr>
                <w:rFonts w:ascii="Arial" w:eastAsia="Times New Roman" w:hAnsi="Arial" w:cs="Arial"/>
                <w:sz w:val="16"/>
                <w:szCs w:val="16"/>
              </w:rPr>
              <w:t>(95% CI)</w:t>
            </w:r>
          </w:p>
        </w:tc>
        <w:tc>
          <w:tcPr>
            <w:tcW w:w="548" w:type="pct"/>
            <w:tcBorders>
              <w:top w:val="single" w:sz="4" w:space="0" w:color="auto"/>
              <w:bottom w:val="nil"/>
            </w:tcBorders>
          </w:tcPr>
          <w:p w14:paraId="4BC2A2DA" w14:textId="77777777" w:rsidR="00A65CF4" w:rsidRPr="009F67AD" w:rsidRDefault="00A65CF4" w:rsidP="005D41DE">
            <w:pPr>
              <w:jc w:val="center"/>
              <w:rPr>
                <w:rFonts w:ascii="Arial" w:eastAsia="Times New Roman" w:hAnsi="Arial" w:cs="Arial"/>
                <w:sz w:val="16"/>
                <w:szCs w:val="16"/>
              </w:rPr>
            </w:pPr>
          </w:p>
        </w:tc>
        <w:tc>
          <w:tcPr>
            <w:tcW w:w="521" w:type="pct"/>
            <w:tcBorders>
              <w:top w:val="single" w:sz="4" w:space="0" w:color="auto"/>
              <w:bottom w:val="nil"/>
            </w:tcBorders>
          </w:tcPr>
          <w:p w14:paraId="24D04325" w14:textId="77777777" w:rsidR="00A65CF4" w:rsidRPr="009F67AD" w:rsidRDefault="00A65CF4" w:rsidP="005D41DE">
            <w:pPr>
              <w:jc w:val="center"/>
              <w:rPr>
                <w:rFonts w:ascii="Arial" w:eastAsia="Times New Roman" w:hAnsi="Arial" w:cs="Arial"/>
                <w:sz w:val="16"/>
                <w:szCs w:val="16"/>
              </w:rPr>
            </w:pPr>
          </w:p>
        </w:tc>
      </w:tr>
      <w:tr w:rsidR="00A65CF4" w:rsidRPr="009F67AD" w14:paraId="18255591" w14:textId="64ACB54F" w:rsidTr="009F67AD">
        <w:trPr>
          <w:trHeight w:val="20"/>
        </w:trPr>
        <w:tc>
          <w:tcPr>
            <w:tcW w:w="959" w:type="pct"/>
            <w:tcBorders>
              <w:top w:val="nil"/>
              <w:bottom w:val="single" w:sz="4" w:space="0" w:color="auto"/>
            </w:tcBorders>
            <w:noWrap/>
          </w:tcPr>
          <w:p w14:paraId="1433FC42" w14:textId="77777777" w:rsidR="00A65CF4" w:rsidRPr="009F67AD" w:rsidRDefault="00A65CF4" w:rsidP="002948EF">
            <w:pPr>
              <w:rPr>
                <w:rFonts w:ascii="Arial" w:eastAsia="Times New Roman" w:hAnsi="Arial" w:cs="Arial"/>
                <w:sz w:val="16"/>
                <w:szCs w:val="16"/>
              </w:rPr>
            </w:pPr>
          </w:p>
        </w:tc>
        <w:tc>
          <w:tcPr>
            <w:tcW w:w="743" w:type="pct"/>
            <w:tcBorders>
              <w:top w:val="nil"/>
              <w:bottom w:val="single" w:sz="4" w:space="0" w:color="auto"/>
            </w:tcBorders>
            <w:noWrap/>
          </w:tcPr>
          <w:p w14:paraId="29613177" w14:textId="77777777" w:rsidR="00A65CF4" w:rsidRPr="009F67AD" w:rsidRDefault="00A65CF4" w:rsidP="002948EF">
            <w:pPr>
              <w:jc w:val="center"/>
              <w:rPr>
                <w:rFonts w:ascii="Arial" w:hAnsi="Arial" w:cs="Arial"/>
                <w:color w:val="000000"/>
                <w:sz w:val="16"/>
                <w:szCs w:val="16"/>
              </w:rPr>
            </w:pPr>
            <w:r w:rsidRPr="009F67AD">
              <w:rPr>
                <w:rFonts w:ascii="Arial" w:hAnsi="Arial" w:cs="Arial"/>
                <w:color w:val="000000"/>
                <w:sz w:val="16"/>
                <w:szCs w:val="16"/>
              </w:rPr>
              <w:t>Unadjusted</w:t>
            </w:r>
          </w:p>
        </w:tc>
        <w:tc>
          <w:tcPr>
            <w:tcW w:w="743" w:type="pct"/>
            <w:tcBorders>
              <w:top w:val="nil"/>
              <w:bottom w:val="single" w:sz="4" w:space="0" w:color="auto"/>
            </w:tcBorders>
            <w:noWrap/>
          </w:tcPr>
          <w:p w14:paraId="10B37E22" w14:textId="65CAF7EA" w:rsidR="00A65CF4" w:rsidRPr="009F67AD" w:rsidRDefault="00A65CF4" w:rsidP="002948EF">
            <w:pPr>
              <w:jc w:val="center"/>
              <w:rPr>
                <w:rFonts w:ascii="Arial" w:hAnsi="Arial" w:cs="Arial"/>
                <w:color w:val="000000"/>
                <w:sz w:val="16"/>
                <w:szCs w:val="16"/>
              </w:rPr>
            </w:pPr>
            <w:r w:rsidRPr="009F67AD">
              <w:rPr>
                <w:rFonts w:ascii="Arial" w:hAnsi="Arial" w:cs="Arial"/>
                <w:color w:val="000000"/>
                <w:sz w:val="16"/>
                <w:szCs w:val="16"/>
              </w:rPr>
              <w:t>Adjusted</w:t>
            </w:r>
            <w:r w:rsidRPr="009F67AD">
              <w:rPr>
                <w:rFonts w:ascii="Arial" w:hAnsi="Arial" w:cs="Arial"/>
                <w:sz w:val="16"/>
                <w:szCs w:val="16"/>
                <w:vertAlign w:val="superscript"/>
              </w:rPr>
              <w:t>e</w:t>
            </w:r>
          </w:p>
        </w:tc>
        <w:tc>
          <w:tcPr>
            <w:tcW w:w="743" w:type="pct"/>
            <w:tcBorders>
              <w:top w:val="nil"/>
              <w:bottom w:val="single" w:sz="4" w:space="0" w:color="auto"/>
            </w:tcBorders>
            <w:noWrap/>
          </w:tcPr>
          <w:p w14:paraId="50FA9CA7" w14:textId="77777777" w:rsidR="00A65CF4" w:rsidRPr="009F67AD" w:rsidRDefault="00A65CF4" w:rsidP="002948EF">
            <w:pPr>
              <w:jc w:val="center"/>
              <w:rPr>
                <w:rFonts w:ascii="Arial" w:hAnsi="Arial" w:cs="Arial"/>
                <w:color w:val="000000"/>
                <w:sz w:val="16"/>
                <w:szCs w:val="16"/>
              </w:rPr>
            </w:pPr>
            <w:r w:rsidRPr="009F67AD">
              <w:rPr>
                <w:rFonts w:ascii="Arial" w:hAnsi="Arial" w:cs="Arial"/>
                <w:color w:val="000000"/>
                <w:sz w:val="16"/>
                <w:szCs w:val="16"/>
              </w:rPr>
              <w:t>Unadjusted</w:t>
            </w:r>
          </w:p>
        </w:tc>
        <w:tc>
          <w:tcPr>
            <w:tcW w:w="743" w:type="pct"/>
            <w:tcBorders>
              <w:top w:val="nil"/>
              <w:bottom w:val="single" w:sz="4" w:space="0" w:color="auto"/>
            </w:tcBorders>
            <w:noWrap/>
          </w:tcPr>
          <w:p w14:paraId="3958A100" w14:textId="3695C385" w:rsidR="00A65CF4" w:rsidRPr="009F67AD" w:rsidRDefault="00A65CF4" w:rsidP="002948EF">
            <w:pPr>
              <w:jc w:val="center"/>
              <w:rPr>
                <w:rFonts w:ascii="Arial" w:hAnsi="Arial" w:cs="Arial"/>
                <w:color w:val="000000"/>
                <w:sz w:val="16"/>
                <w:szCs w:val="16"/>
              </w:rPr>
            </w:pPr>
            <w:r w:rsidRPr="009F67AD">
              <w:rPr>
                <w:rFonts w:ascii="Arial" w:hAnsi="Arial" w:cs="Arial"/>
                <w:color w:val="000000"/>
                <w:sz w:val="16"/>
                <w:szCs w:val="16"/>
              </w:rPr>
              <w:t>Adjusted</w:t>
            </w:r>
            <w:r w:rsidRPr="009F67AD">
              <w:rPr>
                <w:rFonts w:ascii="Arial" w:hAnsi="Arial" w:cs="Arial"/>
                <w:sz w:val="16"/>
                <w:szCs w:val="16"/>
                <w:vertAlign w:val="superscript"/>
              </w:rPr>
              <w:t>e</w:t>
            </w:r>
          </w:p>
        </w:tc>
        <w:tc>
          <w:tcPr>
            <w:tcW w:w="548" w:type="pct"/>
            <w:tcBorders>
              <w:top w:val="nil"/>
              <w:bottom w:val="single" w:sz="4" w:space="0" w:color="auto"/>
            </w:tcBorders>
          </w:tcPr>
          <w:p w14:paraId="4AC5EB27" w14:textId="3ABA1222" w:rsidR="00A65CF4" w:rsidRPr="009F67AD" w:rsidRDefault="00A65CF4" w:rsidP="002948EF">
            <w:pPr>
              <w:jc w:val="center"/>
              <w:rPr>
                <w:rFonts w:ascii="Arial" w:hAnsi="Arial" w:cs="Arial"/>
                <w:color w:val="000000"/>
                <w:sz w:val="16"/>
                <w:szCs w:val="16"/>
              </w:rPr>
            </w:pPr>
            <w:r w:rsidRPr="009F67AD">
              <w:rPr>
                <w:rFonts w:ascii="Arial" w:hAnsi="Arial" w:cs="Arial"/>
                <w:color w:val="000000"/>
                <w:sz w:val="16"/>
                <w:szCs w:val="16"/>
              </w:rPr>
              <w:t>Unadjusted</w:t>
            </w:r>
          </w:p>
        </w:tc>
        <w:tc>
          <w:tcPr>
            <w:tcW w:w="521" w:type="pct"/>
            <w:tcBorders>
              <w:top w:val="nil"/>
              <w:bottom w:val="single" w:sz="4" w:space="0" w:color="auto"/>
            </w:tcBorders>
          </w:tcPr>
          <w:p w14:paraId="50B493DB" w14:textId="2C9AB01F" w:rsidR="00A65CF4" w:rsidRPr="009F67AD" w:rsidRDefault="00A65CF4" w:rsidP="002948EF">
            <w:pPr>
              <w:jc w:val="center"/>
              <w:rPr>
                <w:rFonts w:ascii="Arial" w:hAnsi="Arial" w:cs="Arial"/>
                <w:color w:val="000000"/>
                <w:sz w:val="16"/>
                <w:szCs w:val="16"/>
              </w:rPr>
            </w:pPr>
            <w:r w:rsidRPr="009F67AD">
              <w:rPr>
                <w:rFonts w:ascii="Arial" w:hAnsi="Arial" w:cs="Arial"/>
                <w:color w:val="000000"/>
                <w:sz w:val="16"/>
                <w:szCs w:val="16"/>
              </w:rPr>
              <w:t>Adjusted</w:t>
            </w:r>
            <w:r w:rsidRPr="009F67AD">
              <w:rPr>
                <w:rFonts w:ascii="Arial" w:hAnsi="Arial" w:cs="Arial"/>
                <w:sz w:val="16"/>
                <w:szCs w:val="16"/>
                <w:vertAlign w:val="superscript"/>
              </w:rPr>
              <w:t>e</w:t>
            </w:r>
          </w:p>
        </w:tc>
      </w:tr>
      <w:tr w:rsidR="00A65CF4" w:rsidRPr="009F67AD" w14:paraId="2359709E" w14:textId="3A991193" w:rsidTr="009F67AD">
        <w:trPr>
          <w:trHeight w:val="20"/>
        </w:trPr>
        <w:tc>
          <w:tcPr>
            <w:tcW w:w="959" w:type="pct"/>
            <w:tcBorders>
              <w:top w:val="single" w:sz="4" w:space="0" w:color="auto"/>
              <w:bottom w:val="nil"/>
            </w:tcBorders>
            <w:noWrap/>
          </w:tcPr>
          <w:p w14:paraId="6B5069F9" w14:textId="2ECCD94A" w:rsidR="00A65CF4" w:rsidRPr="009F67AD" w:rsidRDefault="00A65CF4" w:rsidP="009F67AD">
            <w:pPr>
              <w:rPr>
                <w:rFonts w:ascii="Arial" w:eastAsia="Times New Roman" w:hAnsi="Arial" w:cs="Arial"/>
                <w:sz w:val="16"/>
                <w:szCs w:val="16"/>
              </w:rPr>
            </w:pPr>
            <w:r w:rsidRPr="009F67AD">
              <w:rPr>
                <w:rFonts w:ascii="Arial" w:eastAsia="Times New Roman" w:hAnsi="Arial" w:cs="Arial"/>
                <w:sz w:val="16"/>
                <w:szCs w:val="16"/>
              </w:rPr>
              <w:t xml:space="preserve"> Income (</w:t>
            </w:r>
            <w:r w:rsidR="009F67AD" w:rsidRPr="009F67AD">
              <w:rPr>
                <w:rFonts w:ascii="Arial" w:eastAsia="Times New Roman" w:hAnsi="Arial" w:cs="Arial"/>
                <w:sz w:val="16"/>
                <w:szCs w:val="16"/>
              </w:rPr>
              <w:t>5</w:t>
            </w:r>
            <w:r w:rsidRPr="009F67AD">
              <w:rPr>
                <w:rFonts w:ascii="Arial" w:eastAsia="Times New Roman" w:hAnsi="Arial" w:cs="Arial"/>
                <w:sz w:val="16"/>
                <w:szCs w:val="16"/>
              </w:rPr>
              <w:t>= Highest)</w:t>
            </w:r>
          </w:p>
        </w:tc>
        <w:tc>
          <w:tcPr>
            <w:tcW w:w="743" w:type="pct"/>
            <w:tcBorders>
              <w:top w:val="single" w:sz="4" w:space="0" w:color="auto"/>
              <w:bottom w:val="nil"/>
            </w:tcBorders>
            <w:noWrap/>
          </w:tcPr>
          <w:p w14:paraId="06FE6E8C" w14:textId="77777777" w:rsidR="00A65CF4" w:rsidRPr="009F67AD" w:rsidRDefault="00A65CF4" w:rsidP="002948EF">
            <w:pPr>
              <w:jc w:val="center"/>
              <w:rPr>
                <w:rFonts w:ascii="Arial" w:hAnsi="Arial" w:cs="Arial"/>
                <w:color w:val="000000"/>
                <w:sz w:val="16"/>
                <w:szCs w:val="16"/>
              </w:rPr>
            </w:pPr>
          </w:p>
        </w:tc>
        <w:tc>
          <w:tcPr>
            <w:tcW w:w="743" w:type="pct"/>
            <w:tcBorders>
              <w:top w:val="single" w:sz="4" w:space="0" w:color="auto"/>
            </w:tcBorders>
            <w:noWrap/>
          </w:tcPr>
          <w:p w14:paraId="69E3925A" w14:textId="77777777" w:rsidR="00A65CF4" w:rsidRPr="009F67AD" w:rsidRDefault="00A65CF4" w:rsidP="002948EF">
            <w:pPr>
              <w:jc w:val="center"/>
              <w:rPr>
                <w:rFonts w:ascii="Arial" w:hAnsi="Arial" w:cs="Arial"/>
                <w:color w:val="000000"/>
                <w:sz w:val="16"/>
                <w:szCs w:val="16"/>
              </w:rPr>
            </w:pPr>
          </w:p>
        </w:tc>
        <w:tc>
          <w:tcPr>
            <w:tcW w:w="743" w:type="pct"/>
            <w:tcBorders>
              <w:top w:val="single" w:sz="4" w:space="0" w:color="auto"/>
            </w:tcBorders>
            <w:noWrap/>
          </w:tcPr>
          <w:p w14:paraId="5A7267F3" w14:textId="77777777" w:rsidR="00A65CF4" w:rsidRPr="009F67AD" w:rsidRDefault="00A65CF4" w:rsidP="002948EF">
            <w:pPr>
              <w:jc w:val="center"/>
              <w:rPr>
                <w:rFonts w:ascii="Arial" w:hAnsi="Arial" w:cs="Arial"/>
                <w:color w:val="000000"/>
                <w:sz w:val="16"/>
                <w:szCs w:val="16"/>
              </w:rPr>
            </w:pPr>
          </w:p>
        </w:tc>
        <w:tc>
          <w:tcPr>
            <w:tcW w:w="743" w:type="pct"/>
            <w:tcBorders>
              <w:top w:val="single" w:sz="4" w:space="0" w:color="auto"/>
            </w:tcBorders>
            <w:noWrap/>
          </w:tcPr>
          <w:p w14:paraId="720ACCA3" w14:textId="77777777" w:rsidR="00A65CF4" w:rsidRPr="009F67AD" w:rsidRDefault="00A65CF4" w:rsidP="002948EF">
            <w:pPr>
              <w:jc w:val="center"/>
              <w:rPr>
                <w:rFonts w:ascii="Arial" w:hAnsi="Arial" w:cs="Arial"/>
                <w:color w:val="000000"/>
                <w:sz w:val="16"/>
                <w:szCs w:val="16"/>
              </w:rPr>
            </w:pPr>
          </w:p>
        </w:tc>
        <w:tc>
          <w:tcPr>
            <w:tcW w:w="548" w:type="pct"/>
            <w:tcBorders>
              <w:top w:val="single" w:sz="4" w:space="0" w:color="auto"/>
            </w:tcBorders>
          </w:tcPr>
          <w:p w14:paraId="60AF6552" w14:textId="77777777" w:rsidR="00A65CF4" w:rsidRPr="009F67AD" w:rsidRDefault="00A65CF4" w:rsidP="002948EF">
            <w:pPr>
              <w:jc w:val="center"/>
              <w:rPr>
                <w:rFonts w:ascii="Arial" w:hAnsi="Arial" w:cs="Arial"/>
                <w:color w:val="000000"/>
                <w:sz w:val="16"/>
                <w:szCs w:val="16"/>
              </w:rPr>
            </w:pPr>
          </w:p>
        </w:tc>
        <w:tc>
          <w:tcPr>
            <w:tcW w:w="521" w:type="pct"/>
            <w:tcBorders>
              <w:top w:val="single" w:sz="4" w:space="0" w:color="auto"/>
            </w:tcBorders>
          </w:tcPr>
          <w:p w14:paraId="1D440627" w14:textId="77777777" w:rsidR="00A65CF4" w:rsidRPr="009F67AD" w:rsidRDefault="00A65CF4" w:rsidP="002948EF">
            <w:pPr>
              <w:jc w:val="center"/>
              <w:rPr>
                <w:rFonts w:ascii="Arial" w:hAnsi="Arial" w:cs="Arial"/>
                <w:color w:val="000000"/>
                <w:sz w:val="16"/>
                <w:szCs w:val="16"/>
              </w:rPr>
            </w:pPr>
          </w:p>
        </w:tc>
      </w:tr>
      <w:tr w:rsidR="009F67AD" w:rsidRPr="009F67AD" w14:paraId="63FAF091" w14:textId="55ACC029" w:rsidTr="009F67AD">
        <w:trPr>
          <w:trHeight w:val="20"/>
        </w:trPr>
        <w:tc>
          <w:tcPr>
            <w:tcW w:w="959" w:type="pct"/>
            <w:tcBorders>
              <w:top w:val="nil"/>
            </w:tcBorders>
            <w:noWrap/>
            <w:hideMark/>
          </w:tcPr>
          <w:p w14:paraId="39422A5A" w14:textId="03B8A5BB" w:rsidR="009F67AD" w:rsidRPr="009F67AD" w:rsidRDefault="009F67AD" w:rsidP="009F67AD">
            <w:pPr>
              <w:ind w:left="144"/>
              <w:rPr>
                <w:rFonts w:ascii="Arial" w:hAnsi="Arial" w:cs="Arial"/>
                <w:noProof/>
                <w:sz w:val="16"/>
                <w:szCs w:val="16"/>
              </w:rPr>
            </w:pPr>
            <w:r w:rsidRPr="009F67AD">
              <w:rPr>
                <w:rFonts w:ascii="Arial" w:eastAsia="Times New Roman" w:hAnsi="Arial" w:cs="Arial"/>
                <w:sz w:val="16"/>
                <w:szCs w:val="16"/>
              </w:rPr>
              <w:t>4 vs 5</w:t>
            </w:r>
          </w:p>
        </w:tc>
        <w:tc>
          <w:tcPr>
            <w:tcW w:w="743" w:type="pct"/>
            <w:tcBorders>
              <w:top w:val="nil"/>
            </w:tcBorders>
            <w:noWrap/>
            <w:hideMark/>
          </w:tcPr>
          <w:p w14:paraId="3A5F8714" w14:textId="62C16CD0" w:rsidR="009F67AD" w:rsidRPr="009F67AD" w:rsidRDefault="009F67AD" w:rsidP="009F67AD">
            <w:pPr>
              <w:rPr>
                <w:rFonts w:ascii="Arial" w:hAnsi="Arial" w:cs="Arial"/>
                <w:noProof/>
                <w:color w:val="BFBFBF" w:themeColor="background1" w:themeShade="BF"/>
                <w:sz w:val="16"/>
                <w:szCs w:val="16"/>
              </w:rPr>
            </w:pPr>
            <w:r w:rsidRPr="009F67AD">
              <w:rPr>
                <w:rFonts w:ascii="Arial" w:hAnsi="Arial" w:cs="Arial"/>
                <w:sz w:val="16"/>
                <w:szCs w:val="16"/>
              </w:rPr>
              <w:t>1.08 (0.78, 1.49)</w:t>
            </w:r>
          </w:p>
        </w:tc>
        <w:tc>
          <w:tcPr>
            <w:tcW w:w="743" w:type="pct"/>
            <w:noWrap/>
            <w:hideMark/>
          </w:tcPr>
          <w:p w14:paraId="7DCDCF92" w14:textId="3511B9E9" w:rsidR="009F67AD" w:rsidRPr="009F67AD" w:rsidRDefault="009F67AD" w:rsidP="009F67AD">
            <w:pPr>
              <w:rPr>
                <w:rFonts w:ascii="Arial" w:hAnsi="Arial" w:cs="Arial"/>
                <w:noProof/>
                <w:color w:val="BFBFBF" w:themeColor="background1" w:themeShade="BF"/>
                <w:sz w:val="16"/>
                <w:szCs w:val="16"/>
              </w:rPr>
            </w:pPr>
            <w:r w:rsidRPr="009F67AD">
              <w:rPr>
                <w:rFonts w:ascii="Arial" w:hAnsi="Arial" w:cs="Arial"/>
                <w:sz w:val="16"/>
                <w:szCs w:val="16"/>
              </w:rPr>
              <w:t>1.08 (0.78, 1.51)</w:t>
            </w:r>
          </w:p>
        </w:tc>
        <w:tc>
          <w:tcPr>
            <w:tcW w:w="743" w:type="pct"/>
            <w:noWrap/>
            <w:hideMark/>
          </w:tcPr>
          <w:p w14:paraId="5BA114EA" w14:textId="7582D77B" w:rsidR="009F67AD" w:rsidRPr="009F67AD" w:rsidRDefault="009F67AD" w:rsidP="009F67AD">
            <w:pPr>
              <w:rPr>
                <w:rFonts w:ascii="Arial" w:hAnsi="Arial" w:cs="Arial"/>
                <w:noProof/>
                <w:color w:val="BFBFBF" w:themeColor="background1" w:themeShade="BF"/>
                <w:sz w:val="16"/>
                <w:szCs w:val="16"/>
              </w:rPr>
            </w:pPr>
            <w:r w:rsidRPr="009F67AD">
              <w:rPr>
                <w:rFonts w:ascii="Arial" w:hAnsi="Arial" w:cs="Arial"/>
                <w:sz w:val="16"/>
                <w:szCs w:val="16"/>
              </w:rPr>
              <w:t>1.30 (0.94, 1.80)</w:t>
            </w:r>
          </w:p>
        </w:tc>
        <w:tc>
          <w:tcPr>
            <w:tcW w:w="743" w:type="pct"/>
            <w:noWrap/>
            <w:hideMark/>
          </w:tcPr>
          <w:p w14:paraId="4DAC3F08" w14:textId="2CC13F77" w:rsidR="009F67AD" w:rsidRPr="009F67AD" w:rsidRDefault="009F67AD" w:rsidP="009F67AD">
            <w:pPr>
              <w:rPr>
                <w:rFonts w:ascii="Arial" w:hAnsi="Arial" w:cs="Arial"/>
                <w:noProof/>
                <w:color w:val="BFBFBF" w:themeColor="background1" w:themeShade="BF"/>
                <w:sz w:val="16"/>
                <w:szCs w:val="16"/>
              </w:rPr>
            </w:pPr>
            <w:r w:rsidRPr="009F67AD">
              <w:rPr>
                <w:rFonts w:ascii="Arial" w:hAnsi="Arial" w:cs="Arial"/>
                <w:sz w:val="16"/>
                <w:szCs w:val="16"/>
              </w:rPr>
              <w:t>1.16 (0.83, 1.62)</w:t>
            </w:r>
          </w:p>
        </w:tc>
        <w:tc>
          <w:tcPr>
            <w:tcW w:w="548" w:type="pct"/>
          </w:tcPr>
          <w:p w14:paraId="7066DA2B" w14:textId="68330F41" w:rsidR="009F67AD" w:rsidRPr="009F67AD" w:rsidRDefault="009F67AD" w:rsidP="009F67AD">
            <w:pPr>
              <w:rPr>
                <w:rFonts w:ascii="Arial" w:hAnsi="Arial" w:cs="Arial"/>
                <w:sz w:val="16"/>
                <w:szCs w:val="16"/>
              </w:rPr>
            </w:pPr>
            <w:r w:rsidRPr="009F67AD">
              <w:rPr>
                <w:rFonts w:ascii="Arial" w:hAnsi="Arial" w:cs="Arial"/>
                <w:sz w:val="16"/>
                <w:szCs w:val="16"/>
              </w:rPr>
              <w:t>0.46</w:t>
            </w:r>
          </w:p>
        </w:tc>
        <w:tc>
          <w:tcPr>
            <w:tcW w:w="521" w:type="pct"/>
          </w:tcPr>
          <w:p w14:paraId="5F54D55C" w14:textId="7A7A303E" w:rsidR="009F67AD" w:rsidRPr="009F67AD" w:rsidRDefault="009F67AD" w:rsidP="009F67AD">
            <w:pPr>
              <w:rPr>
                <w:rFonts w:ascii="Arial" w:hAnsi="Arial" w:cs="Arial"/>
                <w:sz w:val="16"/>
                <w:szCs w:val="16"/>
              </w:rPr>
            </w:pPr>
            <w:r w:rsidRPr="009F67AD">
              <w:rPr>
                <w:rFonts w:ascii="Arial" w:hAnsi="Arial" w:cs="Arial"/>
                <w:sz w:val="16"/>
                <w:szCs w:val="16"/>
              </w:rPr>
              <w:t>0.43</w:t>
            </w:r>
          </w:p>
        </w:tc>
      </w:tr>
      <w:tr w:rsidR="009F67AD" w:rsidRPr="009F67AD" w14:paraId="4C854D7D" w14:textId="548A1CE9" w:rsidTr="009F67AD">
        <w:trPr>
          <w:trHeight w:val="20"/>
        </w:trPr>
        <w:tc>
          <w:tcPr>
            <w:tcW w:w="959" w:type="pct"/>
            <w:noWrap/>
            <w:hideMark/>
          </w:tcPr>
          <w:p w14:paraId="2CEBE2A3" w14:textId="5DBAB319" w:rsidR="009F67AD" w:rsidRPr="009F67AD" w:rsidRDefault="009F67AD" w:rsidP="009F67AD">
            <w:pPr>
              <w:ind w:left="144"/>
              <w:rPr>
                <w:rFonts w:ascii="Arial" w:hAnsi="Arial" w:cs="Arial"/>
                <w:noProof/>
                <w:sz w:val="16"/>
                <w:szCs w:val="16"/>
              </w:rPr>
            </w:pPr>
            <w:r w:rsidRPr="009F67AD">
              <w:rPr>
                <w:rFonts w:ascii="Arial" w:eastAsia="Times New Roman" w:hAnsi="Arial" w:cs="Arial"/>
                <w:sz w:val="16"/>
                <w:szCs w:val="16"/>
              </w:rPr>
              <w:t>3 vs 5</w:t>
            </w:r>
          </w:p>
        </w:tc>
        <w:tc>
          <w:tcPr>
            <w:tcW w:w="743" w:type="pct"/>
            <w:noWrap/>
            <w:hideMark/>
          </w:tcPr>
          <w:p w14:paraId="706259A2" w14:textId="70B37895" w:rsidR="009F67AD" w:rsidRPr="009F67AD" w:rsidRDefault="009F67AD" w:rsidP="009F67AD">
            <w:pPr>
              <w:rPr>
                <w:rFonts w:ascii="Arial" w:hAnsi="Arial" w:cs="Arial"/>
                <w:noProof/>
                <w:color w:val="BFBFBF" w:themeColor="background1" w:themeShade="BF"/>
                <w:sz w:val="16"/>
                <w:szCs w:val="16"/>
              </w:rPr>
            </w:pPr>
            <w:r w:rsidRPr="009F67AD">
              <w:rPr>
                <w:rFonts w:ascii="Arial" w:hAnsi="Arial" w:cs="Arial"/>
                <w:sz w:val="16"/>
                <w:szCs w:val="16"/>
              </w:rPr>
              <w:t>1.28 (0.94, 1.75)</w:t>
            </w:r>
          </w:p>
        </w:tc>
        <w:tc>
          <w:tcPr>
            <w:tcW w:w="743" w:type="pct"/>
            <w:noWrap/>
            <w:hideMark/>
          </w:tcPr>
          <w:p w14:paraId="08159491" w14:textId="57A3F7A7" w:rsidR="009F67AD" w:rsidRPr="009F67AD" w:rsidRDefault="009F67AD" w:rsidP="009F67AD">
            <w:pPr>
              <w:rPr>
                <w:rFonts w:ascii="Arial" w:hAnsi="Arial" w:cs="Arial"/>
                <w:noProof/>
                <w:color w:val="BFBFBF" w:themeColor="background1" w:themeShade="BF"/>
                <w:sz w:val="16"/>
                <w:szCs w:val="16"/>
              </w:rPr>
            </w:pPr>
            <w:r w:rsidRPr="009F67AD">
              <w:rPr>
                <w:rFonts w:ascii="Arial" w:hAnsi="Arial" w:cs="Arial"/>
                <w:sz w:val="16"/>
                <w:szCs w:val="16"/>
              </w:rPr>
              <w:t>1.17 (0.81, 1.68)</w:t>
            </w:r>
          </w:p>
        </w:tc>
        <w:tc>
          <w:tcPr>
            <w:tcW w:w="743" w:type="pct"/>
            <w:noWrap/>
            <w:hideMark/>
          </w:tcPr>
          <w:p w14:paraId="3EF123C4" w14:textId="62F3D759" w:rsidR="009F67AD" w:rsidRPr="009F67AD" w:rsidRDefault="009F67AD" w:rsidP="009F67AD">
            <w:pPr>
              <w:rPr>
                <w:rFonts w:ascii="Arial" w:hAnsi="Arial" w:cs="Arial"/>
                <w:noProof/>
                <w:color w:val="BFBFBF" w:themeColor="background1" w:themeShade="BF"/>
                <w:sz w:val="16"/>
                <w:szCs w:val="16"/>
              </w:rPr>
            </w:pPr>
            <w:r w:rsidRPr="009F67AD">
              <w:rPr>
                <w:rFonts w:ascii="Arial" w:hAnsi="Arial" w:cs="Arial"/>
                <w:sz w:val="16"/>
                <w:szCs w:val="16"/>
              </w:rPr>
              <w:t>1.49 (1.09, 2.04)</w:t>
            </w:r>
          </w:p>
        </w:tc>
        <w:tc>
          <w:tcPr>
            <w:tcW w:w="743" w:type="pct"/>
            <w:noWrap/>
            <w:hideMark/>
          </w:tcPr>
          <w:p w14:paraId="43F5ECAC" w14:textId="53279150" w:rsidR="009F67AD" w:rsidRPr="009F67AD" w:rsidRDefault="009F67AD" w:rsidP="009F67AD">
            <w:pPr>
              <w:rPr>
                <w:rFonts w:ascii="Arial" w:hAnsi="Arial" w:cs="Arial"/>
                <w:noProof/>
                <w:color w:val="BFBFBF" w:themeColor="background1" w:themeShade="BF"/>
                <w:sz w:val="16"/>
                <w:szCs w:val="16"/>
              </w:rPr>
            </w:pPr>
            <w:r w:rsidRPr="009F67AD">
              <w:rPr>
                <w:rFonts w:ascii="Arial" w:hAnsi="Arial" w:cs="Arial"/>
                <w:sz w:val="16"/>
                <w:szCs w:val="16"/>
              </w:rPr>
              <w:t>1.30 (0.92, 1.83)</w:t>
            </w:r>
          </w:p>
        </w:tc>
        <w:tc>
          <w:tcPr>
            <w:tcW w:w="548" w:type="pct"/>
          </w:tcPr>
          <w:p w14:paraId="25CA749C" w14:textId="450ADE6D" w:rsidR="009F67AD" w:rsidRPr="009F67AD" w:rsidRDefault="009F67AD" w:rsidP="009F67AD">
            <w:pPr>
              <w:rPr>
                <w:rFonts w:ascii="Arial" w:hAnsi="Arial" w:cs="Arial"/>
                <w:sz w:val="16"/>
                <w:szCs w:val="16"/>
              </w:rPr>
            </w:pPr>
            <w:r w:rsidRPr="009F67AD">
              <w:rPr>
                <w:rFonts w:ascii="Arial" w:hAnsi="Arial" w:cs="Arial"/>
                <w:sz w:val="16"/>
                <w:szCs w:val="16"/>
              </w:rPr>
              <w:t>0.58</w:t>
            </w:r>
          </w:p>
        </w:tc>
        <w:tc>
          <w:tcPr>
            <w:tcW w:w="521" w:type="pct"/>
          </w:tcPr>
          <w:p w14:paraId="51840576" w14:textId="11DE351F" w:rsidR="009F67AD" w:rsidRPr="009F67AD" w:rsidRDefault="009F67AD" w:rsidP="009F67AD">
            <w:pPr>
              <w:rPr>
                <w:rFonts w:ascii="Arial" w:hAnsi="Arial" w:cs="Arial"/>
                <w:sz w:val="16"/>
                <w:szCs w:val="16"/>
              </w:rPr>
            </w:pPr>
            <w:r w:rsidRPr="009F67AD">
              <w:rPr>
                <w:rFonts w:ascii="Arial" w:hAnsi="Arial" w:cs="Arial"/>
                <w:sz w:val="16"/>
                <w:szCs w:val="16"/>
              </w:rPr>
              <w:t>0.70</w:t>
            </w:r>
          </w:p>
        </w:tc>
      </w:tr>
      <w:tr w:rsidR="009F67AD" w:rsidRPr="009F67AD" w14:paraId="68F1BDA3" w14:textId="50D27282" w:rsidTr="009F67AD">
        <w:trPr>
          <w:trHeight w:val="20"/>
        </w:trPr>
        <w:tc>
          <w:tcPr>
            <w:tcW w:w="959" w:type="pct"/>
            <w:noWrap/>
            <w:hideMark/>
          </w:tcPr>
          <w:p w14:paraId="30FA876F" w14:textId="5E75C0D0" w:rsidR="009F67AD" w:rsidRPr="009F67AD" w:rsidRDefault="009F67AD" w:rsidP="009F67AD">
            <w:pPr>
              <w:ind w:left="144"/>
              <w:rPr>
                <w:rFonts w:ascii="Arial" w:hAnsi="Arial" w:cs="Arial"/>
                <w:noProof/>
                <w:sz w:val="16"/>
                <w:szCs w:val="16"/>
              </w:rPr>
            </w:pPr>
            <w:r w:rsidRPr="009F67AD">
              <w:rPr>
                <w:rFonts w:ascii="Arial" w:eastAsia="Times New Roman" w:hAnsi="Arial" w:cs="Arial"/>
                <w:sz w:val="16"/>
                <w:szCs w:val="16"/>
              </w:rPr>
              <w:t>2 vs 5</w:t>
            </w:r>
          </w:p>
        </w:tc>
        <w:tc>
          <w:tcPr>
            <w:tcW w:w="743" w:type="pct"/>
            <w:noWrap/>
            <w:hideMark/>
          </w:tcPr>
          <w:p w14:paraId="162A6AB2" w14:textId="38F6D57D" w:rsidR="009F67AD" w:rsidRPr="009F67AD" w:rsidRDefault="009F67AD" w:rsidP="009F67AD">
            <w:pPr>
              <w:rPr>
                <w:rFonts w:ascii="Arial" w:hAnsi="Arial" w:cs="Arial"/>
                <w:noProof/>
                <w:color w:val="BFBFBF" w:themeColor="background1" w:themeShade="BF"/>
                <w:sz w:val="16"/>
                <w:szCs w:val="16"/>
              </w:rPr>
            </w:pPr>
            <w:r w:rsidRPr="009F67AD">
              <w:rPr>
                <w:rFonts w:ascii="Arial" w:hAnsi="Arial" w:cs="Arial"/>
                <w:sz w:val="16"/>
                <w:szCs w:val="16"/>
              </w:rPr>
              <w:t>1.55 (1.14, 2.09)</w:t>
            </w:r>
          </w:p>
        </w:tc>
        <w:tc>
          <w:tcPr>
            <w:tcW w:w="743" w:type="pct"/>
            <w:noWrap/>
            <w:hideMark/>
          </w:tcPr>
          <w:p w14:paraId="744BD912" w14:textId="3E544F3A" w:rsidR="009F67AD" w:rsidRPr="009F67AD" w:rsidRDefault="009F67AD" w:rsidP="009F67AD">
            <w:pPr>
              <w:rPr>
                <w:rFonts w:ascii="Arial" w:hAnsi="Arial" w:cs="Arial"/>
                <w:noProof/>
                <w:color w:val="BFBFBF" w:themeColor="background1" w:themeShade="BF"/>
                <w:sz w:val="16"/>
                <w:szCs w:val="16"/>
              </w:rPr>
            </w:pPr>
            <w:r w:rsidRPr="009F67AD">
              <w:rPr>
                <w:rFonts w:ascii="Arial" w:hAnsi="Arial" w:cs="Arial"/>
                <w:sz w:val="16"/>
                <w:szCs w:val="16"/>
              </w:rPr>
              <w:t>1.21 (0.81, 1.79)</w:t>
            </w:r>
          </w:p>
        </w:tc>
        <w:tc>
          <w:tcPr>
            <w:tcW w:w="743" w:type="pct"/>
            <w:noWrap/>
            <w:hideMark/>
          </w:tcPr>
          <w:p w14:paraId="1CD38067" w14:textId="7AB41CD0" w:rsidR="009F67AD" w:rsidRPr="009F67AD" w:rsidRDefault="009F67AD" w:rsidP="009F67AD">
            <w:pPr>
              <w:rPr>
                <w:rFonts w:ascii="Arial" w:hAnsi="Arial" w:cs="Arial"/>
                <w:noProof/>
                <w:color w:val="BFBFBF" w:themeColor="background1" w:themeShade="BF"/>
                <w:sz w:val="16"/>
                <w:szCs w:val="16"/>
              </w:rPr>
            </w:pPr>
            <w:r w:rsidRPr="009F67AD">
              <w:rPr>
                <w:rFonts w:ascii="Arial" w:hAnsi="Arial" w:cs="Arial"/>
                <w:sz w:val="16"/>
                <w:szCs w:val="16"/>
              </w:rPr>
              <w:t>2.03 (1.51, 2.73)</w:t>
            </w:r>
          </w:p>
        </w:tc>
        <w:tc>
          <w:tcPr>
            <w:tcW w:w="743" w:type="pct"/>
            <w:noWrap/>
            <w:hideMark/>
          </w:tcPr>
          <w:p w14:paraId="78F1A271" w14:textId="5558A116" w:rsidR="009F67AD" w:rsidRPr="009F67AD" w:rsidRDefault="009F67AD" w:rsidP="009F67AD">
            <w:pPr>
              <w:rPr>
                <w:rFonts w:ascii="Arial" w:hAnsi="Arial" w:cs="Arial"/>
                <w:noProof/>
                <w:color w:val="BFBFBF" w:themeColor="background1" w:themeShade="BF"/>
                <w:sz w:val="16"/>
                <w:szCs w:val="16"/>
              </w:rPr>
            </w:pPr>
            <w:r w:rsidRPr="009F67AD">
              <w:rPr>
                <w:rFonts w:ascii="Arial" w:hAnsi="Arial" w:cs="Arial"/>
                <w:sz w:val="16"/>
                <w:szCs w:val="16"/>
              </w:rPr>
              <w:t>1.59 (1.09, 2.30)</w:t>
            </w:r>
          </w:p>
        </w:tc>
        <w:tc>
          <w:tcPr>
            <w:tcW w:w="548" w:type="pct"/>
          </w:tcPr>
          <w:p w14:paraId="0695C3BE" w14:textId="0FEB0B16" w:rsidR="009F67AD" w:rsidRPr="009F67AD" w:rsidRDefault="009F67AD" w:rsidP="009F67AD">
            <w:pPr>
              <w:rPr>
                <w:rFonts w:ascii="Arial" w:hAnsi="Arial" w:cs="Arial"/>
                <w:sz w:val="16"/>
                <w:szCs w:val="16"/>
              </w:rPr>
            </w:pPr>
            <w:r w:rsidRPr="009F67AD">
              <w:rPr>
                <w:rFonts w:ascii="Arial" w:hAnsi="Arial" w:cs="Arial"/>
                <w:sz w:val="16"/>
                <w:szCs w:val="16"/>
              </w:rPr>
              <w:t>0.36</w:t>
            </w:r>
          </w:p>
        </w:tc>
        <w:tc>
          <w:tcPr>
            <w:tcW w:w="521" w:type="pct"/>
          </w:tcPr>
          <w:p w14:paraId="347FBB9F" w14:textId="154189D4" w:rsidR="009F67AD" w:rsidRPr="009F67AD" w:rsidRDefault="009F67AD" w:rsidP="009F67AD">
            <w:pPr>
              <w:rPr>
                <w:rFonts w:ascii="Arial" w:hAnsi="Arial" w:cs="Arial"/>
                <w:sz w:val="16"/>
                <w:szCs w:val="16"/>
              </w:rPr>
            </w:pPr>
            <w:r w:rsidRPr="009F67AD">
              <w:rPr>
                <w:rFonts w:ascii="Arial" w:hAnsi="Arial" w:cs="Arial"/>
                <w:sz w:val="16"/>
                <w:szCs w:val="16"/>
              </w:rPr>
              <w:t>0.50</w:t>
            </w:r>
          </w:p>
        </w:tc>
      </w:tr>
      <w:tr w:rsidR="009F67AD" w:rsidRPr="009F67AD" w14:paraId="342927BA" w14:textId="234D86CC" w:rsidTr="009F67AD">
        <w:trPr>
          <w:trHeight w:val="20"/>
        </w:trPr>
        <w:tc>
          <w:tcPr>
            <w:tcW w:w="959" w:type="pct"/>
            <w:noWrap/>
            <w:hideMark/>
          </w:tcPr>
          <w:p w14:paraId="1D050855" w14:textId="6672D9A1" w:rsidR="009F67AD" w:rsidRPr="009F67AD" w:rsidRDefault="009F67AD" w:rsidP="009F67AD">
            <w:pPr>
              <w:ind w:left="144"/>
              <w:rPr>
                <w:rFonts w:ascii="Arial" w:hAnsi="Arial" w:cs="Arial"/>
                <w:noProof/>
                <w:sz w:val="16"/>
                <w:szCs w:val="16"/>
              </w:rPr>
            </w:pPr>
            <w:r w:rsidRPr="009F67AD">
              <w:rPr>
                <w:rFonts w:ascii="Arial" w:eastAsia="Times New Roman" w:hAnsi="Arial" w:cs="Arial"/>
                <w:sz w:val="16"/>
                <w:szCs w:val="16"/>
              </w:rPr>
              <w:t>1 vs 5</w:t>
            </w:r>
          </w:p>
        </w:tc>
        <w:tc>
          <w:tcPr>
            <w:tcW w:w="743" w:type="pct"/>
            <w:noWrap/>
            <w:hideMark/>
          </w:tcPr>
          <w:p w14:paraId="651D70DB" w14:textId="06D85A1F" w:rsidR="009F67AD" w:rsidRPr="009F67AD" w:rsidRDefault="009F67AD" w:rsidP="009F67AD">
            <w:pPr>
              <w:rPr>
                <w:rFonts w:ascii="Arial" w:hAnsi="Arial" w:cs="Arial"/>
                <w:noProof/>
                <w:color w:val="BFBFBF" w:themeColor="background1" w:themeShade="BF"/>
                <w:sz w:val="16"/>
                <w:szCs w:val="16"/>
              </w:rPr>
            </w:pPr>
            <w:r w:rsidRPr="009F67AD">
              <w:rPr>
                <w:rFonts w:ascii="Arial" w:hAnsi="Arial" w:cs="Arial"/>
                <w:sz w:val="16"/>
                <w:szCs w:val="16"/>
              </w:rPr>
              <w:t>1.83 (1.36, 2.47)</w:t>
            </w:r>
          </w:p>
        </w:tc>
        <w:tc>
          <w:tcPr>
            <w:tcW w:w="743" w:type="pct"/>
            <w:noWrap/>
            <w:hideMark/>
          </w:tcPr>
          <w:p w14:paraId="357F6271" w14:textId="009703FF" w:rsidR="009F67AD" w:rsidRPr="009F67AD" w:rsidRDefault="009F67AD" w:rsidP="009F67AD">
            <w:pPr>
              <w:rPr>
                <w:rFonts w:ascii="Arial" w:hAnsi="Arial" w:cs="Arial"/>
                <w:noProof/>
                <w:color w:val="BFBFBF" w:themeColor="background1" w:themeShade="BF"/>
                <w:sz w:val="16"/>
                <w:szCs w:val="16"/>
              </w:rPr>
            </w:pPr>
            <w:r w:rsidRPr="009F67AD">
              <w:rPr>
                <w:rFonts w:ascii="Arial" w:hAnsi="Arial" w:cs="Arial"/>
                <w:sz w:val="16"/>
                <w:szCs w:val="16"/>
              </w:rPr>
              <w:t>1.29 (0.81, 2.06)</w:t>
            </w:r>
          </w:p>
        </w:tc>
        <w:tc>
          <w:tcPr>
            <w:tcW w:w="743" w:type="pct"/>
            <w:noWrap/>
            <w:hideMark/>
          </w:tcPr>
          <w:p w14:paraId="72F05D91" w14:textId="3A384833" w:rsidR="009F67AD" w:rsidRPr="009F67AD" w:rsidRDefault="009F67AD" w:rsidP="009F67AD">
            <w:pPr>
              <w:rPr>
                <w:rFonts w:ascii="Arial" w:hAnsi="Arial" w:cs="Arial"/>
                <w:noProof/>
                <w:color w:val="BFBFBF" w:themeColor="background1" w:themeShade="BF"/>
                <w:sz w:val="16"/>
                <w:szCs w:val="16"/>
              </w:rPr>
            </w:pPr>
            <w:r w:rsidRPr="009F67AD">
              <w:rPr>
                <w:rFonts w:ascii="Arial" w:hAnsi="Arial" w:cs="Arial"/>
                <w:sz w:val="16"/>
                <w:szCs w:val="16"/>
              </w:rPr>
              <w:t>1.96 (1.46, 2.62)</w:t>
            </w:r>
          </w:p>
        </w:tc>
        <w:tc>
          <w:tcPr>
            <w:tcW w:w="743" w:type="pct"/>
            <w:noWrap/>
            <w:hideMark/>
          </w:tcPr>
          <w:p w14:paraId="0A427FB0" w14:textId="650A21EA" w:rsidR="009F67AD" w:rsidRPr="009F67AD" w:rsidRDefault="009F67AD" w:rsidP="009F67AD">
            <w:pPr>
              <w:rPr>
                <w:rFonts w:ascii="Arial" w:hAnsi="Arial" w:cs="Arial"/>
                <w:noProof/>
                <w:color w:val="BFBFBF" w:themeColor="background1" w:themeShade="BF"/>
                <w:sz w:val="16"/>
                <w:szCs w:val="16"/>
              </w:rPr>
            </w:pPr>
            <w:r w:rsidRPr="009F67AD">
              <w:rPr>
                <w:rFonts w:ascii="Arial" w:hAnsi="Arial" w:cs="Arial"/>
                <w:sz w:val="16"/>
                <w:szCs w:val="16"/>
              </w:rPr>
              <w:t>1.45 (0.95, 2.22)</w:t>
            </w:r>
          </w:p>
        </w:tc>
        <w:tc>
          <w:tcPr>
            <w:tcW w:w="548" w:type="pct"/>
          </w:tcPr>
          <w:p w14:paraId="4D610BBC" w14:textId="4CC68FF5" w:rsidR="009F67AD" w:rsidRPr="009F67AD" w:rsidRDefault="009F67AD" w:rsidP="009F67AD">
            <w:pPr>
              <w:rPr>
                <w:rFonts w:ascii="Arial" w:hAnsi="Arial" w:cs="Arial"/>
                <w:sz w:val="16"/>
                <w:szCs w:val="16"/>
              </w:rPr>
            </w:pPr>
            <w:r w:rsidRPr="009F67AD">
              <w:rPr>
                <w:rFonts w:ascii="Arial" w:hAnsi="Arial" w:cs="Arial"/>
                <w:sz w:val="16"/>
                <w:szCs w:val="16"/>
              </w:rPr>
              <w:t>0.40</w:t>
            </w:r>
          </w:p>
        </w:tc>
        <w:tc>
          <w:tcPr>
            <w:tcW w:w="521" w:type="pct"/>
          </w:tcPr>
          <w:p w14:paraId="70391740" w14:textId="61A638D1" w:rsidR="009F67AD" w:rsidRPr="009F67AD" w:rsidRDefault="009F67AD" w:rsidP="009F67AD">
            <w:pPr>
              <w:rPr>
                <w:rFonts w:ascii="Arial" w:hAnsi="Arial" w:cs="Arial"/>
                <w:sz w:val="16"/>
                <w:szCs w:val="16"/>
              </w:rPr>
            </w:pPr>
            <w:r w:rsidRPr="009F67AD">
              <w:rPr>
                <w:rFonts w:ascii="Arial" w:hAnsi="Arial" w:cs="Arial"/>
                <w:sz w:val="16"/>
                <w:szCs w:val="16"/>
              </w:rPr>
              <w:t>0.29</w:t>
            </w:r>
          </w:p>
        </w:tc>
      </w:tr>
    </w:tbl>
    <w:p w14:paraId="586EB3ED" w14:textId="32B25D3C" w:rsidR="002948EF" w:rsidRPr="009F67AD" w:rsidRDefault="005D41DE" w:rsidP="002948EF">
      <w:pPr>
        <w:spacing w:after="0" w:line="240" w:lineRule="auto"/>
        <w:rPr>
          <w:rFonts w:ascii="Arial" w:hAnsi="Arial" w:cs="Arial"/>
          <w:noProof/>
          <w:sz w:val="16"/>
          <w:szCs w:val="16"/>
        </w:rPr>
      </w:pPr>
      <w:r w:rsidRPr="009F67AD">
        <w:rPr>
          <w:rFonts w:ascii="Arial" w:hAnsi="Arial" w:cs="Arial"/>
          <w:noProof/>
          <w:sz w:val="16"/>
          <w:szCs w:val="16"/>
          <w:vertAlign w:val="superscript"/>
        </w:rPr>
        <w:t>a</w:t>
      </w:r>
      <w:r w:rsidRPr="009F67AD">
        <w:rPr>
          <w:rFonts w:ascii="Arial" w:hAnsi="Arial" w:cs="Arial"/>
          <w:noProof/>
          <w:sz w:val="16"/>
          <w:szCs w:val="16"/>
        </w:rPr>
        <w:t xml:space="preserve">Death </w:t>
      </w:r>
      <w:r w:rsidR="002948EF" w:rsidRPr="009F67AD">
        <w:rPr>
          <w:rFonts w:ascii="Arial" w:hAnsi="Arial" w:cs="Arial"/>
          <w:noProof/>
          <w:sz w:val="16"/>
          <w:szCs w:val="16"/>
        </w:rPr>
        <w:t xml:space="preserve">within 30 days following or 7 days prior to a lab-confirmed positive SARS-CoV-2 test was considered a COVID-19 death. </w:t>
      </w:r>
    </w:p>
    <w:p w14:paraId="19F739B0" w14:textId="5F13EF2C" w:rsidR="005D41DE" w:rsidRPr="009F67AD" w:rsidRDefault="005D41DE" w:rsidP="005D41DE">
      <w:pPr>
        <w:spacing w:after="0" w:line="240" w:lineRule="auto"/>
        <w:rPr>
          <w:rFonts w:ascii="Arial" w:hAnsi="Arial" w:cs="Arial"/>
          <w:noProof/>
          <w:sz w:val="16"/>
          <w:szCs w:val="16"/>
        </w:rPr>
      </w:pPr>
      <w:r w:rsidRPr="009F67AD">
        <w:rPr>
          <w:rFonts w:ascii="Arial" w:hAnsi="Arial" w:cs="Arial"/>
          <w:noProof/>
          <w:sz w:val="16"/>
          <w:szCs w:val="16"/>
          <w:vertAlign w:val="superscript"/>
        </w:rPr>
        <w:t>b</w:t>
      </w:r>
      <w:r w:rsidRPr="009F67AD">
        <w:rPr>
          <w:rFonts w:ascii="Arial" w:hAnsi="Arial" w:cs="Arial"/>
          <w:noProof/>
          <w:sz w:val="16"/>
          <w:szCs w:val="16"/>
        </w:rPr>
        <w:t xml:space="preserve">Dissemination areas were ranked within each city by their median household income to create income quintiles; we ranked within city instead of within the entire province to take the cost of living into account; a disseminaton area being in quintile 1 means it is among </w:t>
      </w:r>
      <w:r w:rsidR="009F67AD" w:rsidRPr="009F67AD">
        <w:rPr>
          <w:rFonts w:ascii="Arial" w:hAnsi="Arial" w:cs="Arial"/>
          <w:noProof/>
          <w:sz w:val="16"/>
          <w:szCs w:val="16"/>
        </w:rPr>
        <w:t>the lowest</w:t>
      </w:r>
      <w:r w:rsidRPr="009F67AD">
        <w:rPr>
          <w:rFonts w:ascii="Arial" w:hAnsi="Arial" w:cs="Arial"/>
          <w:noProof/>
          <w:sz w:val="16"/>
          <w:szCs w:val="16"/>
        </w:rPr>
        <w:t xml:space="preserve"> 20% of dissenmination areas in its city by median household income. </w:t>
      </w:r>
    </w:p>
    <w:p w14:paraId="48426739" w14:textId="744EBF5D" w:rsidR="005D41DE" w:rsidRPr="009F67AD" w:rsidRDefault="005D41DE" w:rsidP="002948EF">
      <w:pPr>
        <w:spacing w:after="0" w:line="240" w:lineRule="auto"/>
        <w:rPr>
          <w:rFonts w:ascii="Arial" w:hAnsi="Arial" w:cs="Arial"/>
          <w:sz w:val="16"/>
          <w:szCs w:val="16"/>
        </w:rPr>
      </w:pPr>
      <w:r w:rsidRPr="009F67AD">
        <w:rPr>
          <w:rFonts w:ascii="Arial" w:hAnsi="Arial" w:cs="Arial"/>
          <w:sz w:val="16"/>
          <w:szCs w:val="16"/>
          <w:vertAlign w:val="superscript"/>
        </w:rPr>
        <w:t>c</w:t>
      </w:r>
      <w:r w:rsidR="00661330" w:rsidRPr="00661330">
        <w:rPr>
          <w:rFonts w:ascii="Arial" w:hAnsi="Arial" w:cs="Arial"/>
          <w:sz w:val="16"/>
          <w:szCs w:val="16"/>
        </w:rPr>
        <w:t>Vaccination status defined as receiving ≥ 1 dose of Johnson-Johnson vaccine or ≥ 2 doses of other vaccines.</w:t>
      </w:r>
      <w:r w:rsidR="00661330">
        <w:rPr>
          <w:rFonts w:ascii="Arial" w:hAnsi="Arial" w:cs="Arial"/>
          <w:sz w:val="16"/>
          <w:szCs w:val="16"/>
        </w:rPr>
        <w:t xml:space="preserve"> Details in Appendix text 1.</w:t>
      </w:r>
    </w:p>
    <w:p w14:paraId="6339F379" w14:textId="24A7801D" w:rsidR="002948EF" w:rsidRPr="009F67AD" w:rsidRDefault="005D41DE" w:rsidP="002948EF">
      <w:pPr>
        <w:spacing w:after="0" w:line="240" w:lineRule="auto"/>
        <w:rPr>
          <w:rFonts w:ascii="Arial" w:hAnsi="Arial" w:cs="Arial"/>
          <w:sz w:val="16"/>
          <w:szCs w:val="16"/>
        </w:rPr>
      </w:pPr>
      <w:r w:rsidRPr="009F67AD">
        <w:rPr>
          <w:rFonts w:ascii="Arial" w:hAnsi="Arial" w:cs="Arial"/>
          <w:sz w:val="16"/>
          <w:szCs w:val="16"/>
          <w:vertAlign w:val="superscript"/>
        </w:rPr>
        <w:t xml:space="preserve">d </w:t>
      </w:r>
      <w:r w:rsidRPr="009F67AD">
        <w:rPr>
          <w:rFonts w:ascii="Arial" w:hAnsi="Arial" w:cs="Arial"/>
          <w:sz w:val="16"/>
          <w:szCs w:val="16"/>
        </w:rPr>
        <w:t>Estimated using cause</w:t>
      </w:r>
      <w:r w:rsidR="002948EF" w:rsidRPr="009F67AD">
        <w:rPr>
          <w:rFonts w:ascii="Arial" w:hAnsi="Arial" w:cs="Arial"/>
          <w:sz w:val="16"/>
          <w:szCs w:val="16"/>
        </w:rPr>
        <w:t>-specific hazard models</w:t>
      </w:r>
      <w:r w:rsidRPr="009F67AD">
        <w:rPr>
          <w:rFonts w:ascii="Arial" w:hAnsi="Arial" w:cs="Arial"/>
          <w:sz w:val="16"/>
          <w:szCs w:val="16"/>
        </w:rPr>
        <w:t>,</w:t>
      </w:r>
      <w:r w:rsidR="002948EF" w:rsidRPr="009F67AD">
        <w:rPr>
          <w:rFonts w:ascii="Arial" w:hAnsi="Arial" w:cs="Arial"/>
          <w:sz w:val="16"/>
          <w:szCs w:val="16"/>
        </w:rPr>
        <w:t xml:space="preserve"> treating deaths not related to COVID-19 as competing risk events. </w:t>
      </w:r>
    </w:p>
    <w:p w14:paraId="1B997CB7" w14:textId="33CD6A22" w:rsidR="002948EF" w:rsidRPr="009F67AD" w:rsidRDefault="005D41DE" w:rsidP="002948EF">
      <w:pPr>
        <w:spacing w:after="0" w:line="240" w:lineRule="auto"/>
        <w:rPr>
          <w:rFonts w:ascii="Arial" w:hAnsi="Arial" w:cs="Arial"/>
          <w:noProof/>
          <w:sz w:val="16"/>
          <w:szCs w:val="16"/>
        </w:rPr>
      </w:pPr>
      <w:r w:rsidRPr="009F67AD">
        <w:rPr>
          <w:rFonts w:ascii="Arial" w:hAnsi="Arial" w:cs="Arial"/>
          <w:sz w:val="16"/>
          <w:szCs w:val="16"/>
          <w:vertAlign w:val="superscript"/>
        </w:rPr>
        <w:t>e</w:t>
      </w:r>
      <w:r w:rsidRPr="009F67AD">
        <w:rPr>
          <w:rFonts w:ascii="Arial" w:hAnsi="Arial" w:cs="Arial"/>
          <w:sz w:val="16"/>
          <w:szCs w:val="16"/>
        </w:rPr>
        <w:t xml:space="preserve">Adjusted </w:t>
      </w:r>
      <w:r w:rsidR="002948EF" w:rsidRPr="009F67AD">
        <w:rPr>
          <w:rFonts w:ascii="Arial" w:hAnsi="Arial" w:cs="Arial"/>
          <w:sz w:val="16"/>
          <w:szCs w:val="16"/>
        </w:rPr>
        <w:t>for individual-level demographics (age, sex, immigration status, residing in rural vs. urban, public health unit of residence), baseline health (comorbidity index measured by the Aggregated Diagnosis Groups, past hospitalization and outpatient visits), prior infection, and other area-level social determinants of health (educational attainment, essential workers, ethnic diversity and housing condition).</w:t>
      </w:r>
      <w:r w:rsidR="002948EF" w:rsidRPr="009F67AD">
        <w:rPr>
          <w:rFonts w:ascii="Arial" w:hAnsi="Arial" w:cs="Arial"/>
          <w:noProof/>
          <w:sz w:val="16"/>
          <w:szCs w:val="16"/>
        </w:rPr>
        <w:t>Abbreviations: CI, confidence interval.</w:t>
      </w:r>
    </w:p>
    <w:p w14:paraId="5226E3D6" w14:textId="77777777" w:rsidR="00A2401C" w:rsidRDefault="00A2401C">
      <w:pPr>
        <w:rPr>
          <w:rFonts w:ascii="Arial" w:hAnsi="Arial" w:cs="Arial"/>
        </w:rPr>
      </w:pPr>
      <w:r>
        <w:rPr>
          <w:rFonts w:ascii="Arial" w:hAnsi="Arial" w:cs="Arial"/>
        </w:rPr>
        <w:br w:type="page"/>
      </w:r>
    </w:p>
    <w:p w14:paraId="56B9768F" w14:textId="0896E952" w:rsidR="00E01EE6" w:rsidRPr="00B613F4" w:rsidRDefault="00E01EE6" w:rsidP="006211A1">
      <w:pPr>
        <w:spacing w:after="0"/>
        <w:rPr>
          <w:rFonts w:ascii="Arial" w:hAnsi="Arial" w:cs="Arial"/>
          <w:b/>
          <w:sz w:val="20"/>
          <w:szCs w:val="20"/>
        </w:rPr>
      </w:pPr>
      <w:r w:rsidRPr="00B31CD1">
        <w:rPr>
          <w:rFonts w:ascii="Arial" w:hAnsi="Arial" w:cs="Arial"/>
          <w:b/>
          <w:sz w:val="20"/>
          <w:szCs w:val="20"/>
        </w:rPr>
        <w:lastRenderedPageBreak/>
        <w:t xml:space="preserve">Appendix Table </w:t>
      </w:r>
      <w:r w:rsidR="009F67AD">
        <w:rPr>
          <w:rFonts w:ascii="Arial" w:hAnsi="Arial" w:cs="Arial"/>
          <w:b/>
          <w:sz w:val="20"/>
          <w:szCs w:val="20"/>
        </w:rPr>
        <w:t>5</w:t>
      </w:r>
      <w:r w:rsidRPr="00B31CD1">
        <w:rPr>
          <w:rFonts w:ascii="Arial" w:hAnsi="Arial" w:cs="Arial"/>
          <w:b/>
          <w:sz w:val="20"/>
          <w:szCs w:val="20"/>
        </w:rPr>
        <w:t xml:space="preserve">. </w:t>
      </w:r>
      <w:r w:rsidR="00B31CD1" w:rsidRPr="00B31CD1">
        <w:rPr>
          <w:rFonts w:ascii="Arial" w:hAnsi="Arial" w:cs="Arial"/>
          <w:bCs/>
          <w:sz w:val="20"/>
          <w:szCs w:val="20"/>
        </w:rPr>
        <w:t>Results of causal mediation analyses</w:t>
      </w:r>
      <w:r w:rsidR="006211A1" w:rsidRPr="006211A1">
        <w:rPr>
          <w:rFonts w:ascii="Arial" w:hAnsi="Arial" w:cs="Arial"/>
          <w:bCs/>
          <w:sz w:val="20"/>
          <w:szCs w:val="20"/>
        </w:rPr>
        <w:t xml:space="preserve"> </w:t>
      </w:r>
      <w:r w:rsidR="006211A1">
        <w:rPr>
          <w:rFonts w:ascii="Arial" w:hAnsi="Arial" w:cs="Arial"/>
          <w:bCs/>
          <w:sz w:val="20"/>
          <w:szCs w:val="20"/>
        </w:rPr>
        <w:t xml:space="preserve">and sensitivity analyses for unmeasured confounding for </w:t>
      </w:r>
      <w:r w:rsidR="00B40E6D">
        <w:rPr>
          <w:rFonts w:ascii="Arial" w:hAnsi="Arial" w:cs="Arial"/>
          <w:bCs/>
          <w:sz w:val="20"/>
          <w:szCs w:val="20"/>
        </w:rPr>
        <w:t xml:space="preserve">the </w:t>
      </w:r>
      <w:r w:rsidR="006211A1">
        <w:rPr>
          <w:rFonts w:ascii="Arial" w:hAnsi="Arial" w:cs="Arial"/>
          <w:bCs/>
          <w:sz w:val="20"/>
          <w:szCs w:val="20"/>
        </w:rPr>
        <w:t>relationship between area-level income</w:t>
      </w:r>
      <w:r w:rsidR="005306B5" w:rsidRPr="005306B5">
        <w:rPr>
          <w:rFonts w:ascii="Arial" w:hAnsi="Arial" w:cs="Arial"/>
          <w:bCs/>
          <w:sz w:val="20"/>
          <w:szCs w:val="20"/>
          <w:vertAlign w:val="superscript"/>
        </w:rPr>
        <w:t>a</w:t>
      </w:r>
      <w:r w:rsidR="006211A1">
        <w:rPr>
          <w:rFonts w:ascii="Arial" w:hAnsi="Arial" w:cs="Arial"/>
          <w:bCs/>
          <w:sz w:val="20"/>
          <w:szCs w:val="20"/>
        </w:rPr>
        <w:t xml:space="preserve"> (exposure) and COVID-19 death</w:t>
      </w:r>
      <w:r w:rsidR="009F67AD">
        <w:rPr>
          <w:rFonts w:ascii="Arial" w:hAnsi="Arial" w:cs="Arial"/>
          <w:bCs/>
          <w:sz w:val="20"/>
          <w:szCs w:val="20"/>
        </w:rPr>
        <w:t>s</w:t>
      </w:r>
      <w:r w:rsidR="005306B5" w:rsidRPr="005306B5">
        <w:rPr>
          <w:rFonts w:ascii="Arial" w:hAnsi="Arial" w:cs="Arial"/>
          <w:bCs/>
          <w:sz w:val="20"/>
          <w:szCs w:val="20"/>
          <w:vertAlign w:val="superscript"/>
        </w:rPr>
        <w:t>b</w:t>
      </w:r>
      <w:r w:rsidR="006211A1">
        <w:rPr>
          <w:rFonts w:ascii="Arial" w:hAnsi="Arial" w:cs="Arial"/>
          <w:bCs/>
          <w:sz w:val="20"/>
          <w:szCs w:val="20"/>
        </w:rPr>
        <w:t xml:space="preserve"> (outcome) </w:t>
      </w:r>
      <w:r w:rsidR="009F67AD">
        <w:rPr>
          <w:rFonts w:ascii="Arial" w:hAnsi="Arial" w:cs="Arial"/>
          <w:bCs/>
          <w:sz w:val="20"/>
          <w:szCs w:val="20"/>
        </w:rPr>
        <w:t xml:space="preserve">during </w:t>
      </w:r>
      <w:r w:rsidR="006211A1">
        <w:rPr>
          <w:rFonts w:ascii="Arial" w:hAnsi="Arial" w:cs="Arial"/>
          <w:bCs/>
          <w:sz w:val="20"/>
          <w:szCs w:val="20"/>
        </w:rPr>
        <w:t xml:space="preserve">waves </w:t>
      </w:r>
      <w:r w:rsidR="002C0697">
        <w:rPr>
          <w:rFonts w:ascii="Arial" w:hAnsi="Arial" w:cs="Arial"/>
          <w:bCs/>
          <w:sz w:val="20"/>
          <w:szCs w:val="20"/>
        </w:rPr>
        <w:t>four and five</w:t>
      </w:r>
      <w:r w:rsidR="006211A1">
        <w:rPr>
          <w:rFonts w:ascii="Arial" w:hAnsi="Arial" w:cs="Arial"/>
          <w:bCs/>
          <w:sz w:val="20"/>
          <w:szCs w:val="20"/>
        </w:rPr>
        <w:t xml:space="preserve"> (</w:t>
      </w:r>
      <w:r w:rsidR="006211A1">
        <w:rPr>
          <w:rFonts w:ascii="Arial" w:hAnsi="Arial" w:cs="Arial"/>
          <w:sz w:val="20"/>
          <w:szCs w:val="20"/>
        </w:rPr>
        <w:t>diagnosis date between Aug 1-Dec 31, 2021</w:t>
      </w:r>
      <w:r w:rsidR="006211A1">
        <w:rPr>
          <w:rFonts w:ascii="Arial" w:hAnsi="Arial" w:cs="Arial"/>
          <w:bCs/>
          <w:sz w:val="20"/>
          <w:szCs w:val="20"/>
        </w:rPr>
        <w:t>), with vaccination status</w:t>
      </w:r>
      <w:r w:rsidR="005306B5" w:rsidRPr="005306B5">
        <w:rPr>
          <w:rFonts w:ascii="Arial" w:hAnsi="Arial" w:cs="Arial"/>
          <w:bCs/>
          <w:sz w:val="20"/>
          <w:szCs w:val="20"/>
          <w:vertAlign w:val="superscript"/>
        </w:rPr>
        <w:t>c</w:t>
      </w:r>
      <w:r w:rsidR="006211A1">
        <w:rPr>
          <w:rFonts w:ascii="Arial" w:hAnsi="Arial" w:cs="Arial"/>
          <w:bCs/>
          <w:sz w:val="20"/>
          <w:szCs w:val="20"/>
        </w:rPr>
        <w:t xml:space="preserve"> as the mediator. </w:t>
      </w:r>
    </w:p>
    <w:tbl>
      <w:tblPr>
        <w:tblW w:w="5058" w:type="pct"/>
        <w:tblInd w:w="-108" w:type="dxa"/>
        <w:tblLook w:val="04A0" w:firstRow="1" w:lastRow="0" w:firstColumn="1" w:lastColumn="0" w:noHBand="0" w:noVBand="1"/>
      </w:tblPr>
      <w:tblGrid>
        <w:gridCol w:w="2519"/>
        <w:gridCol w:w="4381"/>
        <w:gridCol w:w="2514"/>
        <w:gridCol w:w="55"/>
      </w:tblGrid>
      <w:tr w:rsidR="00E01EE6" w:rsidRPr="00B613F4" w14:paraId="6B0FF2D1" w14:textId="77777777" w:rsidTr="00B821E3">
        <w:trPr>
          <w:trHeight w:val="20"/>
        </w:trPr>
        <w:tc>
          <w:tcPr>
            <w:tcW w:w="1605" w:type="pct"/>
            <w:tcBorders>
              <w:top w:val="single" w:sz="8" w:space="0" w:color="auto"/>
              <w:left w:val="nil"/>
              <w:bottom w:val="nil"/>
              <w:right w:val="nil"/>
            </w:tcBorders>
            <w:shd w:val="clear" w:color="auto" w:fill="auto"/>
            <w:noWrap/>
            <w:vAlign w:val="center"/>
            <w:hideMark/>
          </w:tcPr>
          <w:p w14:paraId="24064257" w14:textId="77777777" w:rsidR="00E01EE6" w:rsidRPr="00B613F4" w:rsidRDefault="00E01EE6" w:rsidP="00B821E3">
            <w:pPr>
              <w:spacing w:after="0" w:line="240" w:lineRule="auto"/>
              <w:rPr>
                <w:rFonts w:ascii="Arial" w:hAnsi="Arial" w:cs="Arial"/>
                <w:color w:val="000000"/>
                <w:sz w:val="16"/>
                <w:szCs w:val="16"/>
              </w:rPr>
            </w:pPr>
            <w:r w:rsidRPr="00B613F4">
              <w:rPr>
                <w:rFonts w:ascii="Arial" w:hAnsi="Arial" w:cs="Arial"/>
                <w:color w:val="000000"/>
                <w:sz w:val="16"/>
                <w:szCs w:val="16"/>
              </w:rPr>
              <w:t> </w:t>
            </w:r>
          </w:p>
        </w:tc>
        <w:tc>
          <w:tcPr>
            <w:tcW w:w="3337" w:type="pct"/>
            <w:gridSpan w:val="3"/>
            <w:tcBorders>
              <w:top w:val="single" w:sz="8" w:space="0" w:color="auto"/>
              <w:left w:val="nil"/>
              <w:bottom w:val="single" w:sz="8" w:space="0" w:color="auto"/>
              <w:right w:val="nil"/>
            </w:tcBorders>
            <w:shd w:val="clear" w:color="auto" w:fill="auto"/>
            <w:noWrap/>
            <w:vAlign w:val="center"/>
            <w:hideMark/>
          </w:tcPr>
          <w:p w14:paraId="1F2BB6C9" w14:textId="53689BF6" w:rsidR="00E01EE6" w:rsidRPr="00901F00" w:rsidRDefault="00901F00" w:rsidP="00901F00">
            <w:pPr>
              <w:spacing w:after="0" w:line="240" w:lineRule="auto"/>
              <w:jc w:val="center"/>
              <w:rPr>
                <w:rFonts w:ascii="Arial" w:hAnsi="Arial" w:cs="Arial"/>
                <w:b/>
                <w:color w:val="222222"/>
                <w:sz w:val="16"/>
                <w:szCs w:val="16"/>
              </w:rPr>
            </w:pPr>
            <w:r w:rsidRPr="00901F00">
              <w:rPr>
                <w:rFonts w:ascii="Arial" w:hAnsi="Arial" w:cs="Arial"/>
                <w:b/>
                <w:color w:val="222222"/>
                <w:sz w:val="16"/>
                <w:szCs w:val="16"/>
                <w:lang w:val="fr-FR"/>
              </w:rPr>
              <w:t xml:space="preserve">Estimate </w:t>
            </w:r>
          </w:p>
        </w:tc>
      </w:tr>
      <w:tr w:rsidR="00E01EE6" w:rsidRPr="00B613F4" w14:paraId="653B3DB6" w14:textId="77777777" w:rsidTr="00B821E3">
        <w:trPr>
          <w:trHeight w:val="20"/>
        </w:trPr>
        <w:tc>
          <w:tcPr>
            <w:tcW w:w="1605" w:type="pct"/>
            <w:tcBorders>
              <w:top w:val="nil"/>
              <w:left w:val="nil"/>
              <w:bottom w:val="single" w:sz="8" w:space="0" w:color="auto"/>
              <w:right w:val="nil"/>
            </w:tcBorders>
            <w:shd w:val="clear" w:color="auto" w:fill="auto"/>
            <w:noWrap/>
            <w:vAlign w:val="center"/>
            <w:hideMark/>
          </w:tcPr>
          <w:p w14:paraId="5DE325CC" w14:textId="4EC4D776" w:rsidR="00E01EE6" w:rsidRPr="00B613F4" w:rsidRDefault="00E01EE6" w:rsidP="00901F00">
            <w:pPr>
              <w:spacing w:after="0" w:line="240" w:lineRule="auto"/>
              <w:jc w:val="center"/>
              <w:rPr>
                <w:rFonts w:ascii="Arial" w:hAnsi="Arial" w:cs="Arial"/>
                <w:b/>
                <w:bCs/>
                <w:color w:val="222222"/>
                <w:sz w:val="16"/>
                <w:szCs w:val="16"/>
              </w:rPr>
            </w:pPr>
            <w:r w:rsidRPr="00B613F4">
              <w:rPr>
                <w:rFonts w:ascii="Arial" w:hAnsi="Arial" w:cs="Arial"/>
                <w:b/>
                <w:bCs/>
                <w:color w:val="222222"/>
                <w:sz w:val="16"/>
                <w:szCs w:val="16"/>
              </w:rPr>
              <w:t>Effect decomposition</w:t>
            </w:r>
            <w:r w:rsidR="00901F00">
              <w:rPr>
                <w:rFonts w:ascii="Arial" w:hAnsi="Arial" w:cs="Arial"/>
                <w:bCs/>
                <w:color w:val="222222"/>
                <w:sz w:val="16"/>
                <w:szCs w:val="16"/>
                <w:vertAlign w:val="superscript"/>
              </w:rPr>
              <w:t>d</w:t>
            </w:r>
          </w:p>
        </w:tc>
        <w:tc>
          <w:tcPr>
            <w:tcW w:w="1735" w:type="pct"/>
            <w:tcBorders>
              <w:top w:val="nil"/>
              <w:left w:val="nil"/>
              <w:bottom w:val="single" w:sz="8" w:space="0" w:color="auto"/>
              <w:right w:val="nil"/>
            </w:tcBorders>
            <w:shd w:val="clear" w:color="auto" w:fill="auto"/>
            <w:noWrap/>
            <w:vAlign w:val="center"/>
            <w:hideMark/>
          </w:tcPr>
          <w:p w14:paraId="6E2DF646" w14:textId="32F3A3CE" w:rsidR="00E01EE6" w:rsidRPr="00B613F4" w:rsidRDefault="00901F00" w:rsidP="00901F00">
            <w:pPr>
              <w:spacing w:after="0" w:line="240" w:lineRule="auto"/>
              <w:jc w:val="center"/>
              <w:rPr>
                <w:rFonts w:ascii="Arial" w:hAnsi="Arial" w:cs="Arial"/>
                <w:b/>
                <w:bCs/>
                <w:color w:val="222222"/>
                <w:sz w:val="16"/>
                <w:szCs w:val="16"/>
              </w:rPr>
            </w:pPr>
            <w:r w:rsidRPr="00B613F4">
              <w:rPr>
                <w:rFonts w:ascii="Arial" w:hAnsi="Arial" w:cs="Arial"/>
                <w:color w:val="222222"/>
                <w:sz w:val="16"/>
                <w:szCs w:val="16"/>
                <w:lang w:val="fr-FR"/>
              </w:rPr>
              <w:t>Adjusted</w:t>
            </w:r>
            <w:r>
              <w:rPr>
                <w:rFonts w:ascii="Arial" w:hAnsi="Arial" w:cs="Arial"/>
                <w:color w:val="222222"/>
                <w:sz w:val="16"/>
                <w:szCs w:val="16"/>
                <w:vertAlign w:val="superscript"/>
                <w:lang w:val="fr-FR"/>
              </w:rPr>
              <w:t>e</w:t>
            </w:r>
            <w:r w:rsidRPr="00B613F4">
              <w:rPr>
                <w:rFonts w:ascii="Arial" w:hAnsi="Arial" w:cs="Arial"/>
                <w:color w:val="222222"/>
                <w:sz w:val="16"/>
                <w:szCs w:val="16"/>
                <w:lang w:val="fr-FR"/>
              </w:rPr>
              <w:t xml:space="preserve"> </w:t>
            </w:r>
            <w:r>
              <w:rPr>
                <w:rFonts w:ascii="Arial" w:hAnsi="Arial" w:cs="Arial"/>
                <w:color w:val="222222"/>
                <w:sz w:val="16"/>
                <w:szCs w:val="16"/>
                <w:lang w:val="fr-FR"/>
              </w:rPr>
              <w:t>h</w:t>
            </w:r>
            <w:r w:rsidRPr="00B613F4">
              <w:rPr>
                <w:rFonts w:ascii="Arial" w:hAnsi="Arial" w:cs="Arial"/>
                <w:color w:val="222222"/>
                <w:sz w:val="16"/>
                <w:szCs w:val="16"/>
                <w:lang w:val="fr-FR"/>
              </w:rPr>
              <w:t>azard ratios or proportion mediated %</w:t>
            </w:r>
            <w:r w:rsidR="00E01EE6" w:rsidRPr="00B613F4">
              <w:rPr>
                <w:rFonts w:ascii="Arial" w:hAnsi="Arial" w:cs="Arial"/>
                <w:b/>
                <w:bCs/>
                <w:color w:val="222222"/>
                <w:sz w:val="16"/>
                <w:szCs w:val="16"/>
              </w:rPr>
              <w:t xml:space="preserve"> </w:t>
            </w:r>
            <w:r w:rsidR="00E01EE6" w:rsidRPr="00901F00">
              <w:rPr>
                <w:rFonts w:ascii="Arial" w:hAnsi="Arial" w:cs="Arial"/>
                <w:bCs/>
                <w:color w:val="222222"/>
                <w:sz w:val="16"/>
                <w:szCs w:val="16"/>
              </w:rPr>
              <w:t>(95% CI)</w:t>
            </w:r>
          </w:p>
        </w:tc>
        <w:tc>
          <w:tcPr>
            <w:tcW w:w="1602" w:type="pct"/>
            <w:gridSpan w:val="2"/>
            <w:tcBorders>
              <w:top w:val="nil"/>
              <w:left w:val="nil"/>
              <w:bottom w:val="single" w:sz="8" w:space="0" w:color="auto"/>
              <w:right w:val="nil"/>
            </w:tcBorders>
            <w:shd w:val="clear" w:color="auto" w:fill="auto"/>
            <w:noWrap/>
            <w:vAlign w:val="center"/>
            <w:hideMark/>
          </w:tcPr>
          <w:p w14:paraId="744DBC3C" w14:textId="6EAEF21D" w:rsidR="00E01EE6" w:rsidRPr="00B613F4" w:rsidRDefault="00E01EE6" w:rsidP="00B821E3">
            <w:pPr>
              <w:spacing w:after="0" w:line="240" w:lineRule="auto"/>
              <w:jc w:val="center"/>
              <w:rPr>
                <w:rFonts w:ascii="Arial" w:hAnsi="Arial" w:cs="Arial"/>
                <w:b/>
                <w:bCs/>
                <w:color w:val="222222"/>
                <w:sz w:val="16"/>
                <w:szCs w:val="16"/>
              </w:rPr>
            </w:pPr>
            <w:r w:rsidRPr="00B613F4">
              <w:rPr>
                <w:rFonts w:ascii="Arial" w:hAnsi="Arial" w:cs="Arial"/>
                <w:b/>
                <w:bCs/>
                <w:color w:val="222222"/>
                <w:sz w:val="16"/>
                <w:szCs w:val="16"/>
              </w:rPr>
              <w:t>E-value (95% LCI)</w:t>
            </w:r>
            <w:r w:rsidR="00901F00" w:rsidRPr="00901F00">
              <w:rPr>
                <w:rFonts w:ascii="Arial" w:hAnsi="Arial" w:cs="Arial"/>
                <w:bCs/>
                <w:color w:val="222222"/>
                <w:sz w:val="16"/>
                <w:szCs w:val="16"/>
                <w:vertAlign w:val="superscript"/>
              </w:rPr>
              <w:t>f</w:t>
            </w:r>
          </w:p>
        </w:tc>
      </w:tr>
      <w:tr w:rsidR="00E01EE6" w:rsidRPr="00B613F4" w14:paraId="24C41063" w14:textId="77777777" w:rsidTr="00B821E3">
        <w:trPr>
          <w:trHeight w:val="20"/>
        </w:trPr>
        <w:tc>
          <w:tcPr>
            <w:tcW w:w="1605" w:type="pct"/>
            <w:tcBorders>
              <w:top w:val="nil"/>
              <w:left w:val="nil"/>
              <w:bottom w:val="nil"/>
              <w:right w:val="nil"/>
            </w:tcBorders>
            <w:shd w:val="clear" w:color="auto" w:fill="auto"/>
            <w:noWrap/>
            <w:vAlign w:val="center"/>
          </w:tcPr>
          <w:p w14:paraId="2CBB48F5" w14:textId="4FE41C9B" w:rsidR="00E01EE6" w:rsidRPr="00B613F4" w:rsidRDefault="00E01EE6" w:rsidP="009F67AD">
            <w:pPr>
              <w:spacing w:after="0" w:line="240" w:lineRule="auto"/>
              <w:rPr>
                <w:rFonts w:ascii="Arial" w:hAnsi="Arial" w:cs="Arial"/>
                <w:color w:val="222222"/>
                <w:sz w:val="16"/>
                <w:szCs w:val="16"/>
              </w:rPr>
            </w:pPr>
            <w:r w:rsidRPr="00B613F4">
              <w:rPr>
                <w:rFonts w:ascii="Arial" w:hAnsi="Arial" w:cs="Arial"/>
                <w:color w:val="222222"/>
                <w:sz w:val="16"/>
                <w:szCs w:val="16"/>
              </w:rPr>
              <w:t xml:space="preserve">Income quintile </w:t>
            </w:r>
            <w:r w:rsidR="009F67AD">
              <w:rPr>
                <w:rFonts w:ascii="Arial" w:hAnsi="Arial" w:cs="Arial"/>
                <w:color w:val="222222"/>
                <w:sz w:val="16"/>
                <w:szCs w:val="16"/>
              </w:rPr>
              <w:t>4</w:t>
            </w:r>
            <w:r w:rsidR="009F67AD" w:rsidRPr="00B613F4">
              <w:rPr>
                <w:rFonts w:ascii="Arial" w:hAnsi="Arial" w:cs="Arial"/>
                <w:color w:val="222222"/>
                <w:sz w:val="16"/>
                <w:szCs w:val="16"/>
              </w:rPr>
              <w:t xml:space="preserve"> </w:t>
            </w:r>
            <w:r w:rsidRPr="00B613F4">
              <w:rPr>
                <w:rFonts w:ascii="Arial" w:hAnsi="Arial" w:cs="Arial"/>
                <w:color w:val="222222"/>
                <w:sz w:val="16"/>
                <w:szCs w:val="16"/>
              </w:rPr>
              <w:t xml:space="preserve">vs. </w:t>
            </w:r>
            <w:r w:rsidR="009F67AD">
              <w:rPr>
                <w:rFonts w:ascii="Arial" w:hAnsi="Arial" w:cs="Arial"/>
                <w:color w:val="222222"/>
                <w:sz w:val="16"/>
                <w:szCs w:val="16"/>
              </w:rPr>
              <w:t>5</w:t>
            </w:r>
            <w:r w:rsidR="009F67AD" w:rsidRPr="00B613F4">
              <w:rPr>
                <w:rFonts w:ascii="Arial" w:hAnsi="Arial" w:cs="Arial"/>
                <w:color w:val="222222"/>
                <w:sz w:val="16"/>
                <w:szCs w:val="16"/>
              </w:rPr>
              <w:t xml:space="preserve"> </w:t>
            </w:r>
            <w:r w:rsidRPr="00B613F4">
              <w:rPr>
                <w:rFonts w:ascii="Arial" w:hAnsi="Arial" w:cs="Arial"/>
                <w:color w:val="222222"/>
                <w:sz w:val="16"/>
                <w:szCs w:val="16"/>
              </w:rPr>
              <w:t>(highest)</w:t>
            </w:r>
          </w:p>
        </w:tc>
        <w:tc>
          <w:tcPr>
            <w:tcW w:w="1735" w:type="pct"/>
            <w:tcBorders>
              <w:top w:val="nil"/>
              <w:left w:val="nil"/>
              <w:bottom w:val="nil"/>
              <w:right w:val="nil"/>
            </w:tcBorders>
            <w:shd w:val="clear" w:color="auto" w:fill="auto"/>
            <w:noWrap/>
            <w:vAlign w:val="center"/>
          </w:tcPr>
          <w:p w14:paraId="27EAB0AD" w14:textId="77777777" w:rsidR="00E01EE6" w:rsidRPr="00B613F4" w:rsidRDefault="00E01EE6" w:rsidP="00B821E3">
            <w:pPr>
              <w:spacing w:after="0" w:line="240" w:lineRule="auto"/>
              <w:jc w:val="right"/>
              <w:rPr>
                <w:rFonts w:ascii="Arial" w:hAnsi="Arial" w:cs="Arial"/>
                <w:color w:val="222222"/>
                <w:sz w:val="16"/>
                <w:szCs w:val="16"/>
              </w:rPr>
            </w:pPr>
          </w:p>
        </w:tc>
        <w:tc>
          <w:tcPr>
            <w:tcW w:w="1602" w:type="pct"/>
            <w:gridSpan w:val="2"/>
            <w:tcBorders>
              <w:top w:val="nil"/>
              <w:left w:val="nil"/>
              <w:bottom w:val="nil"/>
              <w:right w:val="nil"/>
            </w:tcBorders>
            <w:shd w:val="clear" w:color="auto" w:fill="auto"/>
            <w:noWrap/>
            <w:vAlign w:val="center"/>
          </w:tcPr>
          <w:p w14:paraId="7188B63C" w14:textId="77777777" w:rsidR="00E01EE6" w:rsidRPr="00B613F4" w:rsidRDefault="00E01EE6" w:rsidP="00B821E3">
            <w:pPr>
              <w:spacing w:after="0" w:line="240" w:lineRule="auto"/>
              <w:jc w:val="right"/>
              <w:rPr>
                <w:rFonts w:ascii="Arial" w:hAnsi="Arial" w:cs="Arial"/>
                <w:color w:val="222222"/>
                <w:sz w:val="16"/>
                <w:szCs w:val="16"/>
              </w:rPr>
            </w:pPr>
          </w:p>
        </w:tc>
      </w:tr>
      <w:tr w:rsidR="00E01EE6" w:rsidRPr="009F67AD" w14:paraId="0850C482" w14:textId="77777777" w:rsidTr="00B821E3">
        <w:trPr>
          <w:gridAfter w:val="1"/>
          <w:wAfter w:w="58" w:type="pct"/>
          <w:trHeight w:val="20"/>
        </w:trPr>
        <w:tc>
          <w:tcPr>
            <w:tcW w:w="1605" w:type="pct"/>
            <w:tcBorders>
              <w:top w:val="nil"/>
              <w:left w:val="nil"/>
              <w:bottom w:val="nil"/>
              <w:right w:val="nil"/>
            </w:tcBorders>
            <w:shd w:val="clear" w:color="auto" w:fill="auto"/>
            <w:noWrap/>
            <w:vAlign w:val="center"/>
            <w:hideMark/>
          </w:tcPr>
          <w:p w14:paraId="10B571B8" w14:textId="77777777" w:rsidR="00E01EE6" w:rsidRPr="009F67AD" w:rsidRDefault="00E01EE6" w:rsidP="00B821E3">
            <w:pPr>
              <w:spacing w:after="0" w:line="240" w:lineRule="auto"/>
              <w:ind w:left="288"/>
              <w:rPr>
                <w:rFonts w:ascii="Arial" w:hAnsi="Arial" w:cs="Arial"/>
                <w:color w:val="222222"/>
                <w:sz w:val="16"/>
                <w:szCs w:val="16"/>
              </w:rPr>
            </w:pPr>
            <w:r w:rsidRPr="009F67AD">
              <w:rPr>
                <w:rFonts w:ascii="Arial" w:hAnsi="Arial" w:cs="Arial"/>
                <w:color w:val="222222"/>
                <w:sz w:val="16"/>
                <w:szCs w:val="16"/>
              </w:rPr>
              <w:t>Total effect</w:t>
            </w:r>
          </w:p>
        </w:tc>
        <w:tc>
          <w:tcPr>
            <w:tcW w:w="1735" w:type="pct"/>
            <w:tcBorders>
              <w:top w:val="nil"/>
              <w:left w:val="nil"/>
              <w:bottom w:val="nil"/>
              <w:right w:val="nil"/>
            </w:tcBorders>
            <w:shd w:val="clear" w:color="auto" w:fill="auto"/>
            <w:noWrap/>
            <w:vAlign w:val="bottom"/>
            <w:hideMark/>
          </w:tcPr>
          <w:p w14:paraId="1BD86BD3" w14:textId="77777777" w:rsidR="00E01EE6" w:rsidRPr="009F67AD" w:rsidRDefault="00E01EE6" w:rsidP="00B821E3">
            <w:pPr>
              <w:spacing w:after="0" w:line="240" w:lineRule="auto"/>
              <w:rPr>
                <w:rFonts w:ascii="Arial" w:hAnsi="Arial" w:cs="Arial"/>
                <w:color w:val="222222"/>
                <w:sz w:val="16"/>
                <w:szCs w:val="16"/>
              </w:rPr>
            </w:pPr>
            <w:r w:rsidRPr="009F67AD">
              <w:rPr>
                <w:rFonts w:ascii="Arial" w:hAnsi="Arial" w:cs="Arial"/>
                <w:color w:val="000000"/>
                <w:sz w:val="16"/>
                <w:szCs w:val="16"/>
              </w:rPr>
              <w:t>1.15 (0.90, 1.45)</w:t>
            </w:r>
          </w:p>
        </w:tc>
        <w:tc>
          <w:tcPr>
            <w:tcW w:w="1602" w:type="pct"/>
            <w:tcBorders>
              <w:top w:val="nil"/>
              <w:left w:val="nil"/>
              <w:bottom w:val="nil"/>
              <w:right w:val="nil"/>
            </w:tcBorders>
            <w:shd w:val="clear" w:color="auto" w:fill="auto"/>
            <w:noWrap/>
            <w:vAlign w:val="bottom"/>
            <w:hideMark/>
          </w:tcPr>
          <w:p w14:paraId="58AD382C" w14:textId="20680CAB" w:rsidR="00E01EE6" w:rsidRPr="009F67AD" w:rsidRDefault="00DB72DA" w:rsidP="00B821E3">
            <w:pPr>
              <w:spacing w:after="0" w:line="240" w:lineRule="auto"/>
              <w:rPr>
                <w:rFonts w:ascii="Arial" w:hAnsi="Arial" w:cs="Arial"/>
                <w:color w:val="222222"/>
                <w:sz w:val="16"/>
                <w:szCs w:val="16"/>
              </w:rPr>
            </w:pPr>
            <w:r w:rsidRPr="009F67AD">
              <w:rPr>
                <w:rFonts w:ascii="Arial" w:hAnsi="Arial" w:cs="Arial"/>
                <w:color w:val="222222"/>
                <w:sz w:val="16"/>
                <w:szCs w:val="16"/>
              </w:rPr>
              <w:t>1.56 (1.00)</w:t>
            </w:r>
            <w:r w:rsidR="00E01EE6" w:rsidRPr="009F67AD">
              <w:rPr>
                <w:rFonts w:ascii="Arial" w:hAnsi="Arial" w:cs="Arial"/>
                <w:color w:val="222222"/>
                <w:sz w:val="16"/>
                <w:szCs w:val="16"/>
              </w:rPr>
              <w:t xml:space="preserve">  </w:t>
            </w:r>
          </w:p>
        </w:tc>
      </w:tr>
      <w:tr w:rsidR="00E01EE6" w:rsidRPr="009F67AD" w14:paraId="00C13DC4" w14:textId="77777777" w:rsidTr="00B821E3">
        <w:trPr>
          <w:gridAfter w:val="1"/>
          <w:wAfter w:w="58" w:type="pct"/>
          <w:trHeight w:val="20"/>
        </w:trPr>
        <w:tc>
          <w:tcPr>
            <w:tcW w:w="1605" w:type="pct"/>
            <w:tcBorders>
              <w:top w:val="nil"/>
              <w:left w:val="nil"/>
              <w:bottom w:val="nil"/>
              <w:right w:val="nil"/>
            </w:tcBorders>
            <w:shd w:val="clear" w:color="auto" w:fill="auto"/>
            <w:noWrap/>
            <w:vAlign w:val="center"/>
            <w:hideMark/>
          </w:tcPr>
          <w:p w14:paraId="1D8F5E82" w14:textId="77777777" w:rsidR="00E01EE6" w:rsidRPr="009F67AD" w:rsidRDefault="00E01EE6" w:rsidP="00B821E3">
            <w:pPr>
              <w:spacing w:after="0" w:line="240" w:lineRule="auto"/>
              <w:ind w:left="288"/>
              <w:rPr>
                <w:rFonts w:ascii="Arial" w:hAnsi="Arial" w:cs="Arial"/>
                <w:color w:val="222222"/>
                <w:sz w:val="16"/>
                <w:szCs w:val="16"/>
              </w:rPr>
            </w:pPr>
            <w:r w:rsidRPr="009F67AD">
              <w:rPr>
                <w:rFonts w:ascii="Arial" w:hAnsi="Arial" w:cs="Arial"/>
                <w:color w:val="222222"/>
                <w:sz w:val="16"/>
                <w:szCs w:val="16"/>
              </w:rPr>
              <w:t>Direct effect</w:t>
            </w:r>
          </w:p>
        </w:tc>
        <w:tc>
          <w:tcPr>
            <w:tcW w:w="1735" w:type="pct"/>
            <w:tcBorders>
              <w:top w:val="nil"/>
              <w:left w:val="nil"/>
              <w:bottom w:val="nil"/>
              <w:right w:val="nil"/>
            </w:tcBorders>
            <w:shd w:val="clear" w:color="auto" w:fill="auto"/>
            <w:noWrap/>
            <w:vAlign w:val="bottom"/>
            <w:hideMark/>
          </w:tcPr>
          <w:p w14:paraId="20296C4F" w14:textId="77777777" w:rsidR="00E01EE6" w:rsidRPr="009F67AD" w:rsidRDefault="00E01EE6" w:rsidP="00B821E3">
            <w:pPr>
              <w:spacing w:after="0" w:line="240" w:lineRule="auto"/>
              <w:rPr>
                <w:rFonts w:ascii="Arial" w:hAnsi="Arial" w:cs="Arial"/>
                <w:color w:val="222222"/>
                <w:sz w:val="16"/>
                <w:szCs w:val="16"/>
              </w:rPr>
            </w:pPr>
            <w:r w:rsidRPr="009F67AD">
              <w:rPr>
                <w:rFonts w:ascii="Arial" w:hAnsi="Arial" w:cs="Arial"/>
                <w:color w:val="000000"/>
                <w:sz w:val="16"/>
                <w:szCs w:val="16"/>
              </w:rPr>
              <w:t>1.07 (0.84, 1.36)</w:t>
            </w:r>
          </w:p>
        </w:tc>
        <w:tc>
          <w:tcPr>
            <w:tcW w:w="1602" w:type="pct"/>
            <w:tcBorders>
              <w:top w:val="nil"/>
              <w:left w:val="nil"/>
              <w:bottom w:val="nil"/>
              <w:right w:val="nil"/>
            </w:tcBorders>
            <w:shd w:val="clear" w:color="auto" w:fill="auto"/>
            <w:noWrap/>
            <w:vAlign w:val="bottom"/>
            <w:hideMark/>
          </w:tcPr>
          <w:p w14:paraId="702CC652" w14:textId="7405758B" w:rsidR="00E01EE6" w:rsidRPr="009F67AD" w:rsidRDefault="00DB72DA" w:rsidP="00B821E3">
            <w:pPr>
              <w:spacing w:after="0" w:line="240" w:lineRule="auto"/>
              <w:rPr>
                <w:rFonts w:ascii="Arial" w:hAnsi="Arial" w:cs="Arial"/>
                <w:color w:val="222222"/>
                <w:sz w:val="16"/>
                <w:szCs w:val="16"/>
              </w:rPr>
            </w:pPr>
            <w:r w:rsidRPr="009F67AD">
              <w:rPr>
                <w:rFonts w:ascii="Arial" w:hAnsi="Arial" w:cs="Arial"/>
                <w:color w:val="222222"/>
                <w:sz w:val="16"/>
                <w:szCs w:val="16"/>
              </w:rPr>
              <w:t>1.36 (1.00)</w:t>
            </w:r>
          </w:p>
        </w:tc>
      </w:tr>
      <w:tr w:rsidR="00E01EE6" w:rsidRPr="009F67AD" w14:paraId="4A743ABD" w14:textId="77777777" w:rsidTr="00B821E3">
        <w:trPr>
          <w:gridAfter w:val="1"/>
          <w:wAfter w:w="58" w:type="pct"/>
          <w:trHeight w:val="20"/>
        </w:trPr>
        <w:tc>
          <w:tcPr>
            <w:tcW w:w="1605" w:type="pct"/>
            <w:tcBorders>
              <w:top w:val="nil"/>
              <w:left w:val="nil"/>
              <w:bottom w:val="nil"/>
              <w:right w:val="nil"/>
            </w:tcBorders>
            <w:shd w:val="clear" w:color="auto" w:fill="auto"/>
            <w:noWrap/>
            <w:vAlign w:val="center"/>
            <w:hideMark/>
          </w:tcPr>
          <w:p w14:paraId="106B32FE" w14:textId="77777777" w:rsidR="00E01EE6" w:rsidRPr="009F67AD" w:rsidRDefault="00E01EE6" w:rsidP="00B821E3">
            <w:pPr>
              <w:spacing w:after="0" w:line="240" w:lineRule="auto"/>
              <w:ind w:left="288"/>
              <w:rPr>
                <w:rFonts w:ascii="Arial" w:hAnsi="Arial" w:cs="Arial"/>
                <w:color w:val="222222"/>
                <w:sz w:val="16"/>
                <w:szCs w:val="16"/>
              </w:rPr>
            </w:pPr>
            <w:r w:rsidRPr="009F67AD">
              <w:rPr>
                <w:rFonts w:ascii="Arial" w:hAnsi="Arial" w:cs="Arial"/>
                <w:color w:val="222222"/>
                <w:sz w:val="16"/>
                <w:szCs w:val="16"/>
              </w:rPr>
              <w:t>Indirect effect</w:t>
            </w:r>
          </w:p>
        </w:tc>
        <w:tc>
          <w:tcPr>
            <w:tcW w:w="1735" w:type="pct"/>
            <w:tcBorders>
              <w:top w:val="nil"/>
              <w:left w:val="nil"/>
              <w:bottom w:val="nil"/>
              <w:right w:val="nil"/>
            </w:tcBorders>
            <w:shd w:val="clear" w:color="auto" w:fill="auto"/>
            <w:noWrap/>
            <w:vAlign w:val="bottom"/>
            <w:hideMark/>
          </w:tcPr>
          <w:p w14:paraId="7B8FE2E2" w14:textId="77777777" w:rsidR="00E01EE6" w:rsidRPr="009F67AD" w:rsidRDefault="00E01EE6" w:rsidP="00B821E3">
            <w:pPr>
              <w:spacing w:after="0" w:line="240" w:lineRule="auto"/>
              <w:rPr>
                <w:rFonts w:ascii="Arial" w:hAnsi="Arial" w:cs="Arial"/>
                <w:color w:val="222222"/>
                <w:sz w:val="16"/>
                <w:szCs w:val="16"/>
              </w:rPr>
            </w:pPr>
            <w:r w:rsidRPr="009F67AD">
              <w:rPr>
                <w:rFonts w:ascii="Arial" w:hAnsi="Arial" w:cs="Arial"/>
                <w:color w:val="000000"/>
                <w:sz w:val="16"/>
                <w:szCs w:val="16"/>
              </w:rPr>
              <w:t>1.07 (1.07, 1.07)</w:t>
            </w:r>
          </w:p>
        </w:tc>
        <w:tc>
          <w:tcPr>
            <w:tcW w:w="1602" w:type="pct"/>
            <w:tcBorders>
              <w:top w:val="nil"/>
              <w:left w:val="nil"/>
              <w:bottom w:val="nil"/>
              <w:right w:val="nil"/>
            </w:tcBorders>
            <w:shd w:val="clear" w:color="auto" w:fill="auto"/>
            <w:noWrap/>
            <w:vAlign w:val="bottom"/>
            <w:hideMark/>
          </w:tcPr>
          <w:p w14:paraId="59FFEEAD" w14:textId="4AAF233C" w:rsidR="00E01EE6" w:rsidRPr="009F67AD" w:rsidRDefault="00DB72DA" w:rsidP="00B821E3">
            <w:pPr>
              <w:spacing w:after="0" w:line="240" w:lineRule="auto"/>
              <w:rPr>
                <w:rFonts w:ascii="Arial" w:hAnsi="Arial" w:cs="Arial"/>
                <w:color w:val="222222"/>
                <w:sz w:val="16"/>
                <w:szCs w:val="16"/>
              </w:rPr>
            </w:pPr>
            <w:r w:rsidRPr="009F67AD">
              <w:rPr>
                <w:rFonts w:ascii="Arial" w:hAnsi="Arial" w:cs="Arial"/>
                <w:color w:val="222222"/>
                <w:sz w:val="16"/>
                <w:szCs w:val="16"/>
              </w:rPr>
              <w:t>1.34 (1.33)</w:t>
            </w:r>
          </w:p>
        </w:tc>
      </w:tr>
      <w:tr w:rsidR="00E01EE6" w:rsidRPr="009F67AD" w14:paraId="6F4ECACA" w14:textId="77777777" w:rsidTr="00B821E3">
        <w:trPr>
          <w:gridAfter w:val="1"/>
          <w:wAfter w:w="58" w:type="pct"/>
          <w:trHeight w:val="20"/>
        </w:trPr>
        <w:tc>
          <w:tcPr>
            <w:tcW w:w="1605" w:type="pct"/>
            <w:tcBorders>
              <w:top w:val="nil"/>
              <w:left w:val="nil"/>
              <w:bottom w:val="nil"/>
              <w:right w:val="nil"/>
            </w:tcBorders>
            <w:shd w:val="clear" w:color="auto" w:fill="auto"/>
            <w:noWrap/>
            <w:vAlign w:val="center"/>
            <w:hideMark/>
          </w:tcPr>
          <w:p w14:paraId="67FE40F8" w14:textId="77777777" w:rsidR="00E01EE6" w:rsidRPr="009F67AD" w:rsidRDefault="00E01EE6" w:rsidP="00B821E3">
            <w:pPr>
              <w:spacing w:after="0" w:line="240" w:lineRule="auto"/>
              <w:ind w:left="288"/>
              <w:rPr>
                <w:rFonts w:ascii="Arial" w:hAnsi="Arial" w:cs="Arial"/>
                <w:color w:val="222222"/>
                <w:sz w:val="16"/>
                <w:szCs w:val="16"/>
              </w:rPr>
            </w:pPr>
            <w:r w:rsidRPr="009F67AD">
              <w:rPr>
                <w:rFonts w:ascii="Arial" w:hAnsi="Arial" w:cs="Arial"/>
                <w:color w:val="222222"/>
                <w:sz w:val="16"/>
                <w:szCs w:val="16"/>
              </w:rPr>
              <w:t>Proportion mediated</w:t>
            </w:r>
          </w:p>
        </w:tc>
        <w:tc>
          <w:tcPr>
            <w:tcW w:w="1735" w:type="pct"/>
            <w:tcBorders>
              <w:top w:val="nil"/>
              <w:left w:val="nil"/>
              <w:bottom w:val="nil"/>
              <w:right w:val="nil"/>
            </w:tcBorders>
            <w:shd w:val="clear" w:color="auto" w:fill="auto"/>
            <w:noWrap/>
            <w:vAlign w:val="bottom"/>
            <w:hideMark/>
          </w:tcPr>
          <w:p w14:paraId="200F61E8" w14:textId="77777777" w:rsidR="00E01EE6" w:rsidRPr="009F67AD" w:rsidRDefault="00E01EE6" w:rsidP="00B821E3">
            <w:pPr>
              <w:spacing w:after="0" w:line="240" w:lineRule="auto"/>
              <w:rPr>
                <w:rFonts w:ascii="Arial" w:hAnsi="Arial" w:cs="Arial"/>
                <w:color w:val="222222"/>
                <w:sz w:val="16"/>
                <w:szCs w:val="16"/>
              </w:rPr>
            </w:pPr>
            <w:r w:rsidRPr="009F67AD">
              <w:rPr>
                <w:rFonts w:ascii="Arial" w:hAnsi="Arial" w:cs="Arial"/>
                <w:color w:val="000000"/>
                <w:sz w:val="16"/>
                <w:szCs w:val="16"/>
              </w:rPr>
              <w:t>50.9% (-32.8%, 134.6%)</w:t>
            </w:r>
          </w:p>
        </w:tc>
        <w:tc>
          <w:tcPr>
            <w:tcW w:w="1602" w:type="pct"/>
            <w:tcBorders>
              <w:top w:val="nil"/>
              <w:left w:val="nil"/>
              <w:bottom w:val="nil"/>
              <w:right w:val="nil"/>
            </w:tcBorders>
            <w:shd w:val="clear" w:color="auto" w:fill="auto"/>
            <w:noWrap/>
            <w:vAlign w:val="center"/>
            <w:hideMark/>
          </w:tcPr>
          <w:p w14:paraId="092BC5C5" w14:textId="77777777" w:rsidR="00E01EE6" w:rsidRPr="009F67AD" w:rsidRDefault="00E01EE6" w:rsidP="00B821E3">
            <w:pPr>
              <w:spacing w:after="0" w:line="240" w:lineRule="auto"/>
              <w:rPr>
                <w:rFonts w:ascii="Arial" w:hAnsi="Arial" w:cs="Arial"/>
                <w:color w:val="222222"/>
                <w:sz w:val="16"/>
                <w:szCs w:val="16"/>
              </w:rPr>
            </w:pPr>
            <w:r w:rsidRPr="009F67AD">
              <w:rPr>
                <w:rFonts w:ascii="Arial" w:hAnsi="Arial" w:cs="Arial"/>
                <w:color w:val="222222"/>
                <w:sz w:val="16"/>
                <w:szCs w:val="16"/>
              </w:rPr>
              <w:t>NA</w:t>
            </w:r>
          </w:p>
        </w:tc>
      </w:tr>
      <w:tr w:rsidR="00E01EE6" w:rsidRPr="009F67AD" w14:paraId="441A185E" w14:textId="77777777" w:rsidTr="00B821E3">
        <w:trPr>
          <w:gridAfter w:val="1"/>
          <w:wAfter w:w="58" w:type="pct"/>
          <w:trHeight w:val="20"/>
        </w:trPr>
        <w:tc>
          <w:tcPr>
            <w:tcW w:w="1605" w:type="pct"/>
            <w:tcBorders>
              <w:top w:val="nil"/>
              <w:left w:val="nil"/>
              <w:bottom w:val="nil"/>
              <w:right w:val="nil"/>
            </w:tcBorders>
            <w:shd w:val="clear" w:color="auto" w:fill="auto"/>
            <w:noWrap/>
            <w:vAlign w:val="center"/>
          </w:tcPr>
          <w:p w14:paraId="3CC69860" w14:textId="7D2A41CB" w:rsidR="00E01EE6" w:rsidRPr="009F67AD" w:rsidRDefault="00E01EE6" w:rsidP="009F67AD">
            <w:pPr>
              <w:spacing w:after="0" w:line="240" w:lineRule="auto"/>
              <w:rPr>
                <w:rFonts w:ascii="Arial" w:hAnsi="Arial" w:cs="Arial"/>
                <w:color w:val="222222"/>
                <w:sz w:val="16"/>
                <w:szCs w:val="16"/>
              </w:rPr>
            </w:pPr>
            <w:r w:rsidRPr="009F67AD">
              <w:rPr>
                <w:rFonts w:ascii="Arial" w:hAnsi="Arial" w:cs="Arial"/>
                <w:color w:val="222222"/>
                <w:sz w:val="16"/>
                <w:szCs w:val="16"/>
              </w:rPr>
              <w:t xml:space="preserve">Income quintile 3 vs. </w:t>
            </w:r>
            <w:r w:rsidR="009F67AD" w:rsidRPr="009F67AD">
              <w:rPr>
                <w:rFonts w:ascii="Arial" w:hAnsi="Arial" w:cs="Arial"/>
                <w:color w:val="222222"/>
                <w:sz w:val="16"/>
                <w:szCs w:val="16"/>
              </w:rPr>
              <w:t xml:space="preserve">5 </w:t>
            </w:r>
            <w:r w:rsidRPr="009F67AD">
              <w:rPr>
                <w:rFonts w:ascii="Arial" w:hAnsi="Arial" w:cs="Arial"/>
                <w:color w:val="222222"/>
                <w:sz w:val="16"/>
                <w:szCs w:val="16"/>
              </w:rPr>
              <w:t>(highest)</w:t>
            </w:r>
          </w:p>
        </w:tc>
        <w:tc>
          <w:tcPr>
            <w:tcW w:w="1735" w:type="pct"/>
            <w:tcBorders>
              <w:top w:val="nil"/>
              <w:left w:val="nil"/>
              <w:bottom w:val="nil"/>
              <w:right w:val="nil"/>
            </w:tcBorders>
            <w:shd w:val="clear" w:color="auto" w:fill="auto"/>
            <w:noWrap/>
            <w:vAlign w:val="center"/>
          </w:tcPr>
          <w:p w14:paraId="29D0716B" w14:textId="77777777" w:rsidR="00E01EE6" w:rsidRPr="009F67AD" w:rsidRDefault="00E01EE6" w:rsidP="00B821E3">
            <w:pPr>
              <w:spacing w:after="0" w:line="240" w:lineRule="auto"/>
              <w:rPr>
                <w:rFonts w:ascii="Arial" w:hAnsi="Arial" w:cs="Arial"/>
                <w:color w:val="000000"/>
                <w:sz w:val="16"/>
                <w:szCs w:val="16"/>
              </w:rPr>
            </w:pPr>
          </w:p>
        </w:tc>
        <w:tc>
          <w:tcPr>
            <w:tcW w:w="1602" w:type="pct"/>
            <w:tcBorders>
              <w:top w:val="nil"/>
              <w:left w:val="nil"/>
              <w:bottom w:val="nil"/>
              <w:right w:val="nil"/>
            </w:tcBorders>
            <w:shd w:val="clear" w:color="auto" w:fill="auto"/>
            <w:noWrap/>
            <w:vAlign w:val="center"/>
          </w:tcPr>
          <w:p w14:paraId="3C9BE7D8" w14:textId="77777777" w:rsidR="00E01EE6" w:rsidRPr="009F67AD" w:rsidRDefault="00E01EE6" w:rsidP="00B821E3">
            <w:pPr>
              <w:spacing w:after="0" w:line="240" w:lineRule="auto"/>
              <w:rPr>
                <w:rFonts w:ascii="Arial" w:hAnsi="Arial" w:cs="Arial"/>
                <w:color w:val="222222"/>
                <w:sz w:val="16"/>
                <w:szCs w:val="16"/>
              </w:rPr>
            </w:pPr>
          </w:p>
        </w:tc>
      </w:tr>
      <w:tr w:rsidR="00E01EE6" w:rsidRPr="009F67AD" w14:paraId="6F851751" w14:textId="77777777" w:rsidTr="00B821E3">
        <w:trPr>
          <w:gridAfter w:val="1"/>
          <w:wAfter w:w="58" w:type="pct"/>
          <w:trHeight w:val="20"/>
        </w:trPr>
        <w:tc>
          <w:tcPr>
            <w:tcW w:w="1605" w:type="pct"/>
            <w:tcBorders>
              <w:top w:val="nil"/>
              <w:left w:val="nil"/>
              <w:bottom w:val="nil"/>
              <w:right w:val="nil"/>
            </w:tcBorders>
            <w:shd w:val="clear" w:color="auto" w:fill="auto"/>
            <w:noWrap/>
            <w:vAlign w:val="center"/>
          </w:tcPr>
          <w:p w14:paraId="3825B241" w14:textId="77777777" w:rsidR="00E01EE6" w:rsidRPr="009F67AD" w:rsidRDefault="00E01EE6" w:rsidP="00B821E3">
            <w:pPr>
              <w:spacing w:after="0" w:line="240" w:lineRule="auto"/>
              <w:ind w:left="288"/>
              <w:rPr>
                <w:rFonts w:ascii="Arial" w:hAnsi="Arial" w:cs="Arial"/>
                <w:color w:val="222222"/>
                <w:sz w:val="16"/>
                <w:szCs w:val="16"/>
              </w:rPr>
            </w:pPr>
            <w:r w:rsidRPr="009F67AD">
              <w:rPr>
                <w:rFonts w:ascii="Arial" w:hAnsi="Arial" w:cs="Arial"/>
                <w:color w:val="222222"/>
                <w:sz w:val="16"/>
                <w:szCs w:val="16"/>
              </w:rPr>
              <w:t>Total effect</w:t>
            </w:r>
          </w:p>
        </w:tc>
        <w:tc>
          <w:tcPr>
            <w:tcW w:w="1735" w:type="pct"/>
            <w:tcBorders>
              <w:top w:val="nil"/>
              <w:left w:val="nil"/>
              <w:bottom w:val="nil"/>
              <w:right w:val="nil"/>
            </w:tcBorders>
            <w:shd w:val="clear" w:color="auto" w:fill="auto"/>
            <w:noWrap/>
            <w:vAlign w:val="bottom"/>
          </w:tcPr>
          <w:p w14:paraId="193434DE" w14:textId="77777777" w:rsidR="00E01EE6" w:rsidRPr="009F67AD" w:rsidRDefault="00E01EE6" w:rsidP="00B821E3">
            <w:pPr>
              <w:spacing w:after="0" w:line="240" w:lineRule="auto"/>
              <w:rPr>
                <w:rFonts w:ascii="Arial" w:hAnsi="Arial" w:cs="Arial"/>
                <w:color w:val="000000"/>
                <w:sz w:val="16"/>
                <w:szCs w:val="16"/>
              </w:rPr>
            </w:pPr>
            <w:r w:rsidRPr="009F67AD">
              <w:rPr>
                <w:rFonts w:ascii="Arial" w:hAnsi="Arial" w:cs="Arial"/>
                <w:color w:val="000000"/>
                <w:sz w:val="16"/>
                <w:szCs w:val="16"/>
              </w:rPr>
              <w:t>1.30 (1.01, 1.66)</w:t>
            </w:r>
          </w:p>
        </w:tc>
        <w:tc>
          <w:tcPr>
            <w:tcW w:w="1602" w:type="pct"/>
            <w:tcBorders>
              <w:top w:val="nil"/>
              <w:left w:val="nil"/>
              <w:bottom w:val="nil"/>
              <w:right w:val="nil"/>
            </w:tcBorders>
            <w:shd w:val="clear" w:color="auto" w:fill="auto"/>
            <w:noWrap/>
            <w:vAlign w:val="center"/>
          </w:tcPr>
          <w:p w14:paraId="02DCE68B" w14:textId="1919F404" w:rsidR="00E01EE6" w:rsidRPr="009F67AD" w:rsidRDefault="00E01EE6" w:rsidP="00B821E3">
            <w:pPr>
              <w:spacing w:after="0" w:line="240" w:lineRule="auto"/>
              <w:rPr>
                <w:rFonts w:ascii="Arial" w:hAnsi="Arial" w:cs="Arial"/>
                <w:color w:val="222222"/>
                <w:sz w:val="16"/>
                <w:szCs w:val="16"/>
              </w:rPr>
            </w:pPr>
            <w:r w:rsidRPr="009F67AD">
              <w:rPr>
                <w:rFonts w:ascii="Arial" w:hAnsi="Arial" w:cs="Arial"/>
                <w:color w:val="222222"/>
                <w:sz w:val="16"/>
                <w:szCs w:val="16"/>
              </w:rPr>
              <w:t xml:space="preserve"> </w:t>
            </w:r>
            <w:r w:rsidR="00DB72DA" w:rsidRPr="009F67AD">
              <w:rPr>
                <w:rFonts w:ascii="Arial" w:hAnsi="Arial" w:cs="Arial"/>
                <w:color w:val="222222"/>
                <w:sz w:val="16"/>
                <w:szCs w:val="16"/>
              </w:rPr>
              <w:t>1.93 (1.13)</w:t>
            </w:r>
          </w:p>
        </w:tc>
      </w:tr>
      <w:tr w:rsidR="00E01EE6" w:rsidRPr="009F67AD" w14:paraId="6F78F8F2" w14:textId="77777777" w:rsidTr="00B821E3">
        <w:trPr>
          <w:gridAfter w:val="1"/>
          <w:wAfter w:w="58" w:type="pct"/>
          <w:trHeight w:val="20"/>
        </w:trPr>
        <w:tc>
          <w:tcPr>
            <w:tcW w:w="1605" w:type="pct"/>
            <w:tcBorders>
              <w:top w:val="nil"/>
              <w:left w:val="nil"/>
              <w:bottom w:val="nil"/>
              <w:right w:val="nil"/>
            </w:tcBorders>
            <w:shd w:val="clear" w:color="auto" w:fill="auto"/>
            <w:noWrap/>
            <w:vAlign w:val="center"/>
          </w:tcPr>
          <w:p w14:paraId="5FDC80CD" w14:textId="77777777" w:rsidR="00E01EE6" w:rsidRPr="009F67AD" w:rsidRDefault="00E01EE6" w:rsidP="00B821E3">
            <w:pPr>
              <w:spacing w:after="0" w:line="240" w:lineRule="auto"/>
              <w:ind w:left="288"/>
              <w:rPr>
                <w:rFonts w:ascii="Arial" w:hAnsi="Arial" w:cs="Arial"/>
                <w:color w:val="222222"/>
                <w:sz w:val="16"/>
                <w:szCs w:val="16"/>
              </w:rPr>
            </w:pPr>
            <w:r w:rsidRPr="009F67AD">
              <w:rPr>
                <w:rFonts w:ascii="Arial" w:hAnsi="Arial" w:cs="Arial"/>
                <w:color w:val="222222"/>
                <w:sz w:val="16"/>
                <w:szCs w:val="16"/>
              </w:rPr>
              <w:t>Direct effect</w:t>
            </w:r>
          </w:p>
        </w:tc>
        <w:tc>
          <w:tcPr>
            <w:tcW w:w="1735" w:type="pct"/>
            <w:tcBorders>
              <w:top w:val="nil"/>
              <w:left w:val="nil"/>
              <w:bottom w:val="nil"/>
              <w:right w:val="nil"/>
            </w:tcBorders>
            <w:shd w:val="clear" w:color="auto" w:fill="auto"/>
            <w:noWrap/>
            <w:vAlign w:val="bottom"/>
          </w:tcPr>
          <w:p w14:paraId="29462B7D" w14:textId="77777777" w:rsidR="00E01EE6" w:rsidRPr="009F67AD" w:rsidRDefault="00E01EE6" w:rsidP="00B821E3">
            <w:pPr>
              <w:spacing w:after="0" w:line="240" w:lineRule="auto"/>
              <w:rPr>
                <w:rFonts w:ascii="Arial" w:hAnsi="Arial" w:cs="Arial"/>
                <w:color w:val="000000"/>
                <w:sz w:val="16"/>
                <w:szCs w:val="16"/>
              </w:rPr>
            </w:pPr>
            <w:r w:rsidRPr="009F67AD">
              <w:rPr>
                <w:rFonts w:ascii="Arial" w:hAnsi="Arial" w:cs="Arial"/>
                <w:color w:val="000000"/>
                <w:sz w:val="16"/>
                <w:szCs w:val="16"/>
              </w:rPr>
              <w:t>1.18 (0.92, 1.51)</w:t>
            </w:r>
          </w:p>
        </w:tc>
        <w:tc>
          <w:tcPr>
            <w:tcW w:w="1602" w:type="pct"/>
            <w:tcBorders>
              <w:top w:val="nil"/>
              <w:left w:val="nil"/>
              <w:bottom w:val="nil"/>
              <w:right w:val="nil"/>
            </w:tcBorders>
            <w:shd w:val="clear" w:color="auto" w:fill="auto"/>
            <w:noWrap/>
            <w:vAlign w:val="center"/>
          </w:tcPr>
          <w:p w14:paraId="03FF2D49" w14:textId="72B89C55" w:rsidR="00E01EE6" w:rsidRPr="009F67AD" w:rsidRDefault="00E01EE6" w:rsidP="00B821E3">
            <w:pPr>
              <w:spacing w:after="0" w:line="240" w:lineRule="auto"/>
              <w:rPr>
                <w:rFonts w:ascii="Arial" w:hAnsi="Arial" w:cs="Arial"/>
                <w:color w:val="222222"/>
                <w:sz w:val="16"/>
                <w:szCs w:val="16"/>
              </w:rPr>
            </w:pPr>
            <w:r w:rsidRPr="009F67AD">
              <w:rPr>
                <w:rFonts w:ascii="Arial" w:hAnsi="Arial" w:cs="Arial"/>
                <w:color w:val="222222"/>
                <w:sz w:val="16"/>
                <w:szCs w:val="16"/>
              </w:rPr>
              <w:t xml:space="preserve"> </w:t>
            </w:r>
            <w:r w:rsidR="00DB72DA" w:rsidRPr="009F67AD">
              <w:rPr>
                <w:rFonts w:ascii="Arial" w:hAnsi="Arial" w:cs="Arial"/>
                <w:color w:val="222222"/>
                <w:sz w:val="16"/>
                <w:szCs w:val="16"/>
              </w:rPr>
              <w:t>1.65 (1.00)</w:t>
            </w:r>
          </w:p>
        </w:tc>
      </w:tr>
      <w:tr w:rsidR="00E01EE6" w:rsidRPr="009F67AD" w14:paraId="715805F4" w14:textId="77777777" w:rsidTr="00B821E3">
        <w:trPr>
          <w:gridAfter w:val="1"/>
          <w:wAfter w:w="58" w:type="pct"/>
          <w:trHeight w:val="20"/>
        </w:trPr>
        <w:tc>
          <w:tcPr>
            <w:tcW w:w="1605" w:type="pct"/>
            <w:tcBorders>
              <w:top w:val="nil"/>
              <w:left w:val="nil"/>
              <w:bottom w:val="nil"/>
              <w:right w:val="nil"/>
            </w:tcBorders>
            <w:shd w:val="clear" w:color="auto" w:fill="auto"/>
            <w:noWrap/>
            <w:vAlign w:val="center"/>
          </w:tcPr>
          <w:p w14:paraId="0EF35B4C" w14:textId="77777777" w:rsidR="00E01EE6" w:rsidRPr="009F67AD" w:rsidRDefault="00E01EE6" w:rsidP="00B821E3">
            <w:pPr>
              <w:spacing w:after="0" w:line="240" w:lineRule="auto"/>
              <w:ind w:left="288"/>
              <w:rPr>
                <w:rFonts w:ascii="Arial" w:hAnsi="Arial" w:cs="Arial"/>
                <w:color w:val="222222"/>
                <w:sz w:val="16"/>
                <w:szCs w:val="16"/>
              </w:rPr>
            </w:pPr>
            <w:r w:rsidRPr="009F67AD">
              <w:rPr>
                <w:rFonts w:ascii="Arial" w:hAnsi="Arial" w:cs="Arial"/>
                <w:color w:val="222222"/>
                <w:sz w:val="16"/>
                <w:szCs w:val="16"/>
              </w:rPr>
              <w:t>Indirect effect</w:t>
            </w:r>
          </w:p>
        </w:tc>
        <w:tc>
          <w:tcPr>
            <w:tcW w:w="1735" w:type="pct"/>
            <w:tcBorders>
              <w:top w:val="nil"/>
              <w:left w:val="nil"/>
              <w:bottom w:val="nil"/>
              <w:right w:val="nil"/>
            </w:tcBorders>
            <w:shd w:val="clear" w:color="auto" w:fill="auto"/>
            <w:noWrap/>
            <w:vAlign w:val="bottom"/>
          </w:tcPr>
          <w:p w14:paraId="29021DFF" w14:textId="77777777" w:rsidR="00E01EE6" w:rsidRPr="009F67AD" w:rsidRDefault="00E01EE6" w:rsidP="00B821E3">
            <w:pPr>
              <w:spacing w:after="0" w:line="240" w:lineRule="auto"/>
              <w:rPr>
                <w:rFonts w:ascii="Arial" w:hAnsi="Arial" w:cs="Arial"/>
                <w:color w:val="000000"/>
                <w:sz w:val="16"/>
                <w:szCs w:val="16"/>
              </w:rPr>
            </w:pPr>
            <w:r w:rsidRPr="009F67AD">
              <w:rPr>
                <w:rFonts w:ascii="Arial" w:hAnsi="Arial" w:cs="Arial"/>
                <w:color w:val="000000"/>
                <w:sz w:val="16"/>
                <w:szCs w:val="16"/>
              </w:rPr>
              <w:t>1.10 (1.10, 1.11)</w:t>
            </w:r>
          </w:p>
        </w:tc>
        <w:tc>
          <w:tcPr>
            <w:tcW w:w="1602" w:type="pct"/>
            <w:tcBorders>
              <w:top w:val="nil"/>
              <w:left w:val="nil"/>
              <w:bottom w:val="nil"/>
              <w:right w:val="nil"/>
            </w:tcBorders>
            <w:shd w:val="clear" w:color="auto" w:fill="auto"/>
            <w:noWrap/>
            <w:vAlign w:val="center"/>
          </w:tcPr>
          <w:p w14:paraId="514579A1" w14:textId="6DD590A2" w:rsidR="00E01EE6" w:rsidRPr="009F67AD" w:rsidRDefault="00E01EE6" w:rsidP="00B821E3">
            <w:pPr>
              <w:spacing w:after="0" w:line="240" w:lineRule="auto"/>
              <w:rPr>
                <w:rFonts w:ascii="Arial" w:hAnsi="Arial" w:cs="Arial"/>
                <w:color w:val="222222"/>
                <w:sz w:val="16"/>
                <w:szCs w:val="16"/>
              </w:rPr>
            </w:pPr>
            <w:r w:rsidRPr="009F67AD">
              <w:rPr>
                <w:rFonts w:ascii="Arial" w:hAnsi="Arial" w:cs="Arial"/>
                <w:color w:val="222222"/>
                <w:sz w:val="16"/>
                <w:szCs w:val="16"/>
              </w:rPr>
              <w:t xml:space="preserve"> </w:t>
            </w:r>
            <w:r w:rsidR="00DB72DA" w:rsidRPr="009F67AD">
              <w:rPr>
                <w:rFonts w:ascii="Arial" w:hAnsi="Arial" w:cs="Arial"/>
                <w:color w:val="222222"/>
                <w:sz w:val="16"/>
                <w:szCs w:val="16"/>
              </w:rPr>
              <w:t>1.43 (1.42)</w:t>
            </w:r>
          </w:p>
        </w:tc>
      </w:tr>
      <w:tr w:rsidR="00E01EE6" w:rsidRPr="009F67AD" w14:paraId="50A78FB6" w14:textId="77777777" w:rsidTr="00B821E3">
        <w:trPr>
          <w:gridAfter w:val="1"/>
          <w:wAfter w:w="58" w:type="pct"/>
          <w:trHeight w:val="20"/>
        </w:trPr>
        <w:tc>
          <w:tcPr>
            <w:tcW w:w="1605" w:type="pct"/>
            <w:tcBorders>
              <w:top w:val="nil"/>
              <w:left w:val="nil"/>
              <w:bottom w:val="nil"/>
              <w:right w:val="nil"/>
            </w:tcBorders>
            <w:shd w:val="clear" w:color="auto" w:fill="auto"/>
            <w:noWrap/>
            <w:vAlign w:val="center"/>
          </w:tcPr>
          <w:p w14:paraId="58E95421" w14:textId="77777777" w:rsidR="00E01EE6" w:rsidRPr="009F67AD" w:rsidRDefault="00E01EE6" w:rsidP="00B821E3">
            <w:pPr>
              <w:spacing w:after="0" w:line="240" w:lineRule="auto"/>
              <w:ind w:left="288"/>
              <w:rPr>
                <w:rFonts w:ascii="Arial" w:hAnsi="Arial" w:cs="Arial"/>
                <w:color w:val="222222"/>
                <w:sz w:val="16"/>
                <w:szCs w:val="16"/>
              </w:rPr>
            </w:pPr>
            <w:r w:rsidRPr="009F67AD">
              <w:rPr>
                <w:rFonts w:ascii="Arial" w:hAnsi="Arial" w:cs="Arial"/>
                <w:color w:val="222222"/>
                <w:sz w:val="16"/>
                <w:szCs w:val="16"/>
              </w:rPr>
              <w:t>Proportion mediated</w:t>
            </w:r>
          </w:p>
        </w:tc>
        <w:tc>
          <w:tcPr>
            <w:tcW w:w="1735" w:type="pct"/>
            <w:tcBorders>
              <w:top w:val="nil"/>
              <w:left w:val="nil"/>
              <w:bottom w:val="nil"/>
              <w:right w:val="nil"/>
            </w:tcBorders>
            <w:shd w:val="clear" w:color="auto" w:fill="auto"/>
            <w:noWrap/>
            <w:vAlign w:val="bottom"/>
          </w:tcPr>
          <w:p w14:paraId="0A4D64D0" w14:textId="77777777" w:rsidR="00E01EE6" w:rsidRPr="009F67AD" w:rsidRDefault="00E01EE6" w:rsidP="00B821E3">
            <w:pPr>
              <w:spacing w:after="0" w:line="240" w:lineRule="auto"/>
              <w:rPr>
                <w:rFonts w:ascii="Arial" w:hAnsi="Arial" w:cs="Arial"/>
                <w:color w:val="000000"/>
                <w:sz w:val="16"/>
                <w:szCs w:val="16"/>
              </w:rPr>
            </w:pPr>
            <w:r w:rsidRPr="009F67AD">
              <w:rPr>
                <w:rFonts w:ascii="Arial" w:hAnsi="Arial" w:cs="Arial"/>
                <w:color w:val="000000"/>
                <w:sz w:val="16"/>
                <w:szCs w:val="16"/>
              </w:rPr>
              <w:t>39.8% (6.5%, 73.1%)</w:t>
            </w:r>
          </w:p>
        </w:tc>
        <w:tc>
          <w:tcPr>
            <w:tcW w:w="1602" w:type="pct"/>
            <w:tcBorders>
              <w:top w:val="nil"/>
              <w:left w:val="nil"/>
              <w:bottom w:val="nil"/>
              <w:right w:val="nil"/>
            </w:tcBorders>
            <w:shd w:val="clear" w:color="auto" w:fill="auto"/>
            <w:noWrap/>
            <w:vAlign w:val="center"/>
          </w:tcPr>
          <w:p w14:paraId="5621257A" w14:textId="77777777" w:rsidR="00E01EE6" w:rsidRPr="009F67AD" w:rsidRDefault="00E01EE6" w:rsidP="00B821E3">
            <w:pPr>
              <w:spacing w:after="0" w:line="240" w:lineRule="auto"/>
              <w:rPr>
                <w:rFonts w:ascii="Arial" w:hAnsi="Arial" w:cs="Arial"/>
                <w:color w:val="222222"/>
                <w:sz w:val="16"/>
                <w:szCs w:val="16"/>
              </w:rPr>
            </w:pPr>
            <w:r w:rsidRPr="009F67AD">
              <w:rPr>
                <w:rFonts w:ascii="Arial" w:hAnsi="Arial" w:cs="Arial"/>
                <w:color w:val="222222"/>
                <w:sz w:val="16"/>
                <w:szCs w:val="16"/>
              </w:rPr>
              <w:t>NA</w:t>
            </w:r>
          </w:p>
        </w:tc>
      </w:tr>
      <w:tr w:rsidR="00E01EE6" w:rsidRPr="009F67AD" w14:paraId="06123F33" w14:textId="77777777" w:rsidTr="00B821E3">
        <w:trPr>
          <w:gridAfter w:val="1"/>
          <w:wAfter w:w="58" w:type="pct"/>
          <w:trHeight w:val="20"/>
        </w:trPr>
        <w:tc>
          <w:tcPr>
            <w:tcW w:w="1605" w:type="pct"/>
            <w:tcBorders>
              <w:top w:val="nil"/>
              <w:left w:val="nil"/>
              <w:bottom w:val="nil"/>
              <w:right w:val="nil"/>
            </w:tcBorders>
            <w:shd w:val="clear" w:color="auto" w:fill="auto"/>
            <w:noWrap/>
            <w:vAlign w:val="center"/>
          </w:tcPr>
          <w:p w14:paraId="47412384" w14:textId="61C4124D" w:rsidR="00E01EE6" w:rsidRPr="009F67AD" w:rsidRDefault="00E01EE6" w:rsidP="009F67AD">
            <w:pPr>
              <w:spacing w:after="0" w:line="240" w:lineRule="auto"/>
              <w:rPr>
                <w:rFonts w:ascii="Arial" w:hAnsi="Arial" w:cs="Arial"/>
                <w:color w:val="222222"/>
                <w:sz w:val="16"/>
                <w:szCs w:val="16"/>
              </w:rPr>
            </w:pPr>
            <w:r w:rsidRPr="009F67AD">
              <w:rPr>
                <w:rFonts w:ascii="Arial" w:hAnsi="Arial" w:cs="Arial"/>
                <w:color w:val="222222"/>
                <w:sz w:val="16"/>
                <w:szCs w:val="16"/>
              </w:rPr>
              <w:t xml:space="preserve">Income quintile </w:t>
            </w:r>
            <w:r w:rsidR="009F67AD" w:rsidRPr="009F67AD">
              <w:rPr>
                <w:rFonts w:ascii="Arial" w:hAnsi="Arial" w:cs="Arial"/>
                <w:color w:val="222222"/>
                <w:sz w:val="16"/>
                <w:szCs w:val="16"/>
              </w:rPr>
              <w:t xml:space="preserve">2 </w:t>
            </w:r>
            <w:r w:rsidRPr="009F67AD">
              <w:rPr>
                <w:rFonts w:ascii="Arial" w:hAnsi="Arial" w:cs="Arial"/>
                <w:color w:val="222222"/>
                <w:sz w:val="16"/>
                <w:szCs w:val="16"/>
              </w:rPr>
              <w:t xml:space="preserve">vs. </w:t>
            </w:r>
            <w:r w:rsidR="009F67AD" w:rsidRPr="009F67AD">
              <w:rPr>
                <w:rFonts w:ascii="Arial" w:hAnsi="Arial" w:cs="Arial"/>
                <w:color w:val="222222"/>
                <w:sz w:val="16"/>
                <w:szCs w:val="16"/>
              </w:rPr>
              <w:t xml:space="preserve">5 </w:t>
            </w:r>
            <w:r w:rsidRPr="009F67AD">
              <w:rPr>
                <w:rFonts w:ascii="Arial" w:hAnsi="Arial" w:cs="Arial"/>
                <w:color w:val="222222"/>
                <w:sz w:val="16"/>
                <w:szCs w:val="16"/>
              </w:rPr>
              <w:t>(highest)</w:t>
            </w:r>
          </w:p>
        </w:tc>
        <w:tc>
          <w:tcPr>
            <w:tcW w:w="1735" w:type="pct"/>
            <w:tcBorders>
              <w:top w:val="nil"/>
              <w:left w:val="nil"/>
              <w:bottom w:val="nil"/>
              <w:right w:val="nil"/>
            </w:tcBorders>
            <w:shd w:val="clear" w:color="auto" w:fill="auto"/>
            <w:noWrap/>
            <w:vAlign w:val="center"/>
          </w:tcPr>
          <w:p w14:paraId="28FC5619" w14:textId="77777777" w:rsidR="00E01EE6" w:rsidRPr="009F67AD" w:rsidRDefault="00E01EE6" w:rsidP="00B821E3">
            <w:pPr>
              <w:spacing w:after="0" w:line="240" w:lineRule="auto"/>
              <w:rPr>
                <w:rFonts w:ascii="Arial" w:hAnsi="Arial" w:cs="Arial"/>
                <w:color w:val="000000"/>
                <w:sz w:val="16"/>
                <w:szCs w:val="16"/>
              </w:rPr>
            </w:pPr>
          </w:p>
        </w:tc>
        <w:tc>
          <w:tcPr>
            <w:tcW w:w="1602" w:type="pct"/>
            <w:tcBorders>
              <w:top w:val="nil"/>
              <w:left w:val="nil"/>
              <w:bottom w:val="nil"/>
              <w:right w:val="nil"/>
            </w:tcBorders>
            <w:shd w:val="clear" w:color="auto" w:fill="auto"/>
            <w:noWrap/>
            <w:vAlign w:val="center"/>
          </w:tcPr>
          <w:p w14:paraId="737FBA12" w14:textId="77777777" w:rsidR="00E01EE6" w:rsidRPr="009F67AD" w:rsidRDefault="00E01EE6" w:rsidP="00B821E3">
            <w:pPr>
              <w:spacing w:after="0" w:line="240" w:lineRule="auto"/>
              <w:rPr>
                <w:rFonts w:ascii="Arial" w:hAnsi="Arial" w:cs="Arial"/>
                <w:color w:val="222222"/>
                <w:sz w:val="16"/>
                <w:szCs w:val="16"/>
              </w:rPr>
            </w:pPr>
          </w:p>
        </w:tc>
      </w:tr>
      <w:tr w:rsidR="00E01EE6" w:rsidRPr="009F67AD" w14:paraId="4E74EEB6" w14:textId="77777777" w:rsidTr="00B821E3">
        <w:trPr>
          <w:gridAfter w:val="1"/>
          <w:wAfter w:w="58" w:type="pct"/>
          <w:trHeight w:val="20"/>
        </w:trPr>
        <w:tc>
          <w:tcPr>
            <w:tcW w:w="1605" w:type="pct"/>
            <w:tcBorders>
              <w:top w:val="nil"/>
              <w:left w:val="nil"/>
              <w:bottom w:val="nil"/>
              <w:right w:val="nil"/>
            </w:tcBorders>
            <w:shd w:val="clear" w:color="auto" w:fill="auto"/>
            <w:noWrap/>
            <w:vAlign w:val="center"/>
          </w:tcPr>
          <w:p w14:paraId="050F4858" w14:textId="77777777" w:rsidR="00E01EE6" w:rsidRPr="009F67AD" w:rsidRDefault="00E01EE6" w:rsidP="00B821E3">
            <w:pPr>
              <w:spacing w:after="0" w:line="240" w:lineRule="auto"/>
              <w:ind w:left="288"/>
              <w:rPr>
                <w:rFonts w:ascii="Arial" w:hAnsi="Arial" w:cs="Arial"/>
                <w:color w:val="222222"/>
                <w:sz w:val="16"/>
                <w:szCs w:val="16"/>
              </w:rPr>
            </w:pPr>
            <w:r w:rsidRPr="009F67AD">
              <w:rPr>
                <w:rFonts w:ascii="Arial" w:hAnsi="Arial" w:cs="Arial"/>
                <w:color w:val="222222"/>
                <w:sz w:val="16"/>
                <w:szCs w:val="16"/>
              </w:rPr>
              <w:t>Total effect</w:t>
            </w:r>
          </w:p>
        </w:tc>
        <w:tc>
          <w:tcPr>
            <w:tcW w:w="1735" w:type="pct"/>
            <w:tcBorders>
              <w:top w:val="nil"/>
              <w:left w:val="nil"/>
              <w:bottom w:val="nil"/>
              <w:right w:val="nil"/>
            </w:tcBorders>
            <w:shd w:val="clear" w:color="auto" w:fill="auto"/>
            <w:noWrap/>
            <w:vAlign w:val="bottom"/>
          </w:tcPr>
          <w:p w14:paraId="36571004" w14:textId="77777777" w:rsidR="00E01EE6" w:rsidRPr="009F67AD" w:rsidRDefault="00E01EE6" w:rsidP="00B821E3">
            <w:pPr>
              <w:spacing w:after="0" w:line="240" w:lineRule="auto"/>
              <w:ind w:right="80"/>
              <w:rPr>
                <w:rFonts w:ascii="Arial" w:hAnsi="Arial" w:cs="Arial"/>
                <w:color w:val="000000"/>
                <w:sz w:val="16"/>
                <w:szCs w:val="16"/>
              </w:rPr>
            </w:pPr>
            <w:r w:rsidRPr="009F67AD">
              <w:rPr>
                <w:rFonts w:ascii="Arial" w:hAnsi="Arial" w:cs="Arial"/>
                <w:color w:val="000000"/>
                <w:sz w:val="16"/>
                <w:szCs w:val="16"/>
              </w:rPr>
              <w:t>1.50 (1.15, 1.97)</w:t>
            </w:r>
          </w:p>
        </w:tc>
        <w:tc>
          <w:tcPr>
            <w:tcW w:w="1602" w:type="pct"/>
            <w:tcBorders>
              <w:top w:val="nil"/>
              <w:left w:val="nil"/>
              <w:bottom w:val="nil"/>
              <w:right w:val="nil"/>
            </w:tcBorders>
            <w:shd w:val="clear" w:color="auto" w:fill="auto"/>
            <w:noWrap/>
            <w:vAlign w:val="center"/>
          </w:tcPr>
          <w:p w14:paraId="450E3E32" w14:textId="0059C892" w:rsidR="00E01EE6" w:rsidRPr="009F67AD" w:rsidRDefault="00E01EE6" w:rsidP="00B821E3">
            <w:pPr>
              <w:spacing w:after="0" w:line="240" w:lineRule="auto"/>
              <w:rPr>
                <w:rFonts w:ascii="Arial" w:hAnsi="Arial" w:cs="Arial"/>
                <w:color w:val="222222"/>
                <w:sz w:val="16"/>
                <w:szCs w:val="16"/>
              </w:rPr>
            </w:pPr>
            <w:r w:rsidRPr="009F67AD">
              <w:rPr>
                <w:rFonts w:ascii="Arial" w:hAnsi="Arial" w:cs="Arial"/>
                <w:color w:val="222222"/>
                <w:sz w:val="16"/>
                <w:szCs w:val="16"/>
              </w:rPr>
              <w:t xml:space="preserve"> </w:t>
            </w:r>
            <w:r w:rsidR="00C45807" w:rsidRPr="009F67AD">
              <w:rPr>
                <w:rFonts w:ascii="Arial" w:hAnsi="Arial" w:cs="Arial"/>
                <w:color w:val="222222"/>
                <w:sz w:val="16"/>
                <w:szCs w:val="16"/>
              </w:rPr>
              <w:t>2.38 (1.56)</w:t>
            </w:r>
          </w:p>
        </w:tc>
      </w:tr>
      <w:tr w:rsidR="00E01EE6" w:rsidRPr="009F67AD" w14:paraId="51CB8FE0" w14:textId="77777777" w:rsidTr="00B821E3">
        <w:trPr>
          <w:gridAfter w:val="1"/>
          <w:wAfter w:w="58" w:type="pct"/>
          <w:trHeight w:val="20"/>
        </w:trPr>
        <w:tc>
          <w:tcPr>
            <w:tcW w:w="1605" w:type="pct"/>
            <w:tcBorders>
              <w:top w:val="nil"/>
              <w:left w:val="nil"/>
              <w:bottom w:val="nil"/>
              <w:right w:val="nil"/>
            </w:tcBorders>
            <w:shd w:val="clear" w:color="auto" w:fill="auto"/>
            <w:noWrap/>
            <w:vAlign w:val="center"/>
          </w:tcPr>
          <w:p w14:paraId="76F6A131" w14:textId="77777777" w:rsidR="00E01EE6" w:rsidRPr="009F67AD" w:rsidRDefault="00E01EE6" w:rsidP="00B821E3">
            <w:pPr>
              <w:spacing w:after="0" w:line="240" w:lineRule="auto"/>
              <w:ind w:left="288"/>
              <w:rPr>
                <w:rFonts w:ascii="Arial" w:hAnsi="Arial" w:cs="Arial"/>
                <w:color w:val="222222"/>
                <w:sz w:val="16"/>
                <w:szCs w:val="16"/>
              </w:rPr>
            </w:pPr>
            <w:r w:rsidRPr="009F67AD">
              <w:rPr>
                <w:rFonts w:ascii="Arial" w:hAnsi="Arial" w:cs="Arial"/>
                <w:color w:val="222222"/>
                <w:sz w:val="16"/>
                <w:szCs w:val="16"/>
              </w:rPr>
              <w:t>Direct effect</w:t>
            </w:r>
          </w:p>
        </w:tc>
        <w:tc>
          <w:tcPr>
            <w:tcW w:w="1735" w:type="pct"/>
            <w:tcBorders>
              <w:top w:val="nil"/>
              <w:left w:val="nil"/>
              <w:bottom w:val="nil"/>
              <w:right w:val="nil"/>
            </w:tcBorders>
            <w:shd w:val="clear" w:color="auto" w:fill="auto"/>
            <w:noWrap/>
            <w:vAlign w:val="bottom"/>
          </w:tcPr>
          <w:p w14:paraId="6E92D646" w14:textId="77777777" w:rsidR="00E01EE6" w:rsidRPr="009F67AD" w:rsidRDefault="00E01EE6" w:rsidP="00B821E3">
            <w:pPr>
              <w:spacing w:after="0" w:line="240" w:lineRule="auto"/>
              <w:rPr>
                <w:rFonts w:ascii="Arial" w:hAnsi="Arial" w:cs="Arial"/>
                <w:color w:val="000000"/>
                <w:sz w:val="16"/>
                <w:szCs w:val="16"/>
              </w:rPr>
            </w:pPr>
            <w:r w:rsidRPr="009F67AD">
              <w:rPr>
                <w:rFonts w:ascii="Arial" w:hAnsi="Arial" w:cs="Arial"/>
                <w:color w:val="000000"/>
                <w:sz w:val="16"/>
                <w:szCs w:val="16"/>
              </w:rPr>
              <w:t>1.31 (1.00, 1.72)</w:t>
            </w:r>
          </w:p>
        </w:tc>
        <w:tc>
          <w:tcPr>
            <w:tcW w:w="1602" w:type="pct"/>
            <w:tcBorders>
              <w:top w:val="nil"/>
              <w:left w:val="nil"/>
              <w:bottom w:val="nil"/>
              <w:right w:val="nil"/>
            </w:tcBorders>
            <w:shd w:val="clear" w:color="auto" w:fill="auto"/>
            <w:noWrap/>
            <w:vAlign w:val="center"/>
          </w:tcPr>
          <w:p w14:paraId="123336D7" w14:textId="5B0290AF" w:rsidR="00E01EE6" w:rsidRPr="009F67AD" w:rsidRDefault="00E01EE6" w:rsidP="00B821E3">
            <w:pPr>
              <w:spacing w:after="0" w:line="240" w:lineRule="auto"/>
              <w:rPr>
                <w:rFonts w:ascii="Arial" w:hAnsi="Arial" w:cs="Arial"/>
                <w:color w:val="222222"/>
                <w:sz w:val="16"/>
                <w:szCs w:val="16"/>
              </w:rPr>
            </w:pPr>
            <w:r w:rsidRPr="009F67AD">
              <w:rPr>
                <w:rFonts w:ascii="Arial" w:hAnsi="Arial" w:cs="Arial"/>
                <w:color w:val="222222"/>
                <w:sz w:val="16"/>
                <w:szCs w:val="16"/>
              </w:rPr>
              <w:t xml:space="preserve"> </w:t>
            </w:r>
            <w:r w:rsidR="00C45807" w:rsidRPr="009F67AD">
              <w:rPr>
                <w:rFonts w:ascii="Arial" w:hAnsi="Arial" w:cs="Arial"/>
                <w:color w:val="222222"/>
                <w:sz w:val="16"/>
                <w:szCs w:val="16"/>
              </w:rPr>
              <w:t>1.97 (1.08)</w:t>
            </w:r>
          </w:p>
        </w:tc>
      </w:tr>
      <w:tr w:rsidR="00E01EE6" w:rsidRPr="009F67AD" w14:paraId="6DC13F56" w14:textId="77777777" w:rsidTr="00B821E3">
        <w:trPr>
          <w:gridAfter w:val="1"/>
          <w:wAfter w:w="58" w:type="pct"/>
          <w:trHeight w:val="20"/>
        </w:trPr>
        <w:tc>
          <w:tcPr>
            <w:tcW w:w="1605" w:type="pct"/>
            <w:tcBorders>
              <w:top w:val="nil"/>
              <w:left w:val="nil"/>
              <w:bottom w:val="nil"/>
              <w:right w:val="nil"/>
            </w:tcBorders>
            <w:shd w:val="clear" w:color="auto" w:fill="auto"/>
            <w:noWrap/>
            <w:vAlign w:val="center"/>
          </w:tcPr>
          <w:p w14:paraId="095B5FF1" w14:textId="77777777" w:rsidR="00E01EE6" w:rsidRPr="009F67AD" w:rsidRDefault="00E01EE6" w:rsidP="00B821E3">
            <w:pPr>
              <w:spacing w:after="0" w:line="240" w:lineRule="auto"/>
              <w:ind w:left="288"/>
              <w:rPr>
                <w:rFonts w:ascii="Arial" w:hAnsi="Arial" w:cs="Arial"/>
                <w:color w:val="222222"/>
                <w:sz w:val="16"/>
                <w:szCs w:val="16"/>
              </w:rPr>
            </w:pPr>
            <w:r w:rsidRPr="009F67AD">
              <w:rPr>
                <w:rFonts w:ascii="Arial" w:hAnsi="Arial" w:cs="Arial"/>
                <w:color w:val="222222"/>
                <w:sz w:val="16"/>
                <w:szCs w:val="16"/>
              </w:rPr>
              <w:t>Indirect effect</w:t>
            </w:r>
          </w:p>
        </w:tc>
        <w:tc>
          <w:tcPr>
            <w:tcW w:w="1735" w:type="pct"/>
            <w:tcBorders>
              <w:top w:val="nil"/>
              <w:left w:val="nil"/>
              <w:bottom w:val="nil"/>
              <w:right w:val="nil"/>
            </w:tcBorders>
            <w:shd w:val="clear" w:color="auto" w:fill="auto"/>
            <w:noWrap/>
            <w:vAlign w:val="bottom"/>
          </w:tcPr>
          <w:p w14:paraId="117C52AE" w14:textId="77777777" w:rsidR="00E01EE6" w:rsidRPr="009F67AD" w:rsidRDefault="00E01EE6" w:rsidP="00B821E3">
            <w:pPr>
              <w:spacing w:after="0" w:line="240" w:lineRule="auto"/>
              <w:rPr>
                <w:rFonts w:ascii="Arial" w:hAnsi="Arial" w:cs="Arial"/>
                <w:color w:val="000000"/>
                <w:sz w:val="16"/>
                <w:szCs w:val="16"/>
              </w:rPr>
            </w:pPr>
            <w:r w:rsidRPr="009F67AD">
              <w:rPr>
                <w:rFonts w:ascii="Arial" w:hAnsi="Arial" w:cs="Arial"/>
                <w:color w:val="000000"/>
                <w:sz w:val="16"/>
                <w:szCs w:val="16"/>
              </w:rPr>
              <w:t>1.14 (1.14, 1.15)</w:t>
            </w:r>
          </w:p>
        </w:tc>
        <w:tc>
          <w:tcPr>
            <w:tcW w:w="1602" w:type="pct"/>
            <w:tcBorders>
              <w:top w:val="nil"/>
              <w:left w:val="nil"/>
              <w:bottom w:val="nil"/>
              <w:right w:val="nil"/>
            </w:tcBorders>
            <w:shd w:val="clear" w:color="auto" w:fill="auto"/>
            <w:noWrap/>
            <w:vAlign w:val="center"/>
          </w:tcPr>
          <w:p w14:paraId="697CA48A" w14:textId="49F401B9" w:rsidR="00E01EE6" w:rsidRPr="009F67AD" w:rsidRDefault="00E01EE6" w:rsidP="00B821E3">
            <w:pPr>
              <w:spacing w:after="0" w:line="240" w:lineRule="auto"/>
              <w:rPr>
                <w:rFonts w:ascii="Arial" w:hAnsi="Arial" w:cs="Arial"/>
                <w:color w:val="222222"/>
                <w:sz w:val="16"/>
                <w:szCs w:val="16"/>
              </w:rPr>
            </w:pPr>
            <w:r w:rsidRPr="009F67AD">
              <w:rPr>
                <w:rFonts w:ascii="Arial" w:hAnsi="Arial" w:cs="Arial"/>
                <w:color w:val="222222"/>
                <w:sz w:val="16"/>
                <w:szCs w:val="16"/>
              </w:rPr>
              <w:t xml:space="preserve"> </w:t>
            </w:r>
            <w:r w:rsidR="00C45807" w:rsidRPr="009F67AD">
              <w:rPr>
                <w:rFonts w:ascii="Arial" w:hAnsi="Arial" w:cs="Arial"/>
                <w:color w:val="222222"/>
                <w:sz w:val="16"/>
                <w:szCs w:val="16"/>
              </w:rPr>
              <w:t>1.55 (1.53)</w:t>
            </w:r>
          </w:p>
        </w:tc>
      </w:tr>
      <w:tr w:rsidR="00E01EE6" w:rsidRPr="009F67AD" w14:paraId="55F73DEE" w14:textId="77777777" w:rsidTr="00B821E3">
        <w:trPr>
          <w:gridAfter w:val="1"/>
          <w:wAfter w:w="58" w:type="pct"/>
          <w:trHeight w:val="20"/>
        </w:trPr>
        <w:tc>
          <w:tcPr>
            <w:tcW w:w="1605" w:type="pct"/>
            <w:tcBorders>
              <w:top w:val="nil"/>
              <w:left w:val="nil"/>
              <w:bottom w:val="nil"/>
              <w:right w:val="nil"/>
            </w:tcBorders>
            <w:shd w:val="clear" w:color="auto" w:fill="auto"/>
            <w:noWrap/>
            <w:vAlign w:val="center"/>
          </w:tcPr>
          <w:p w14:paraId="29A7B417" w14:textId="77777777" w:rsidR="00E01EE6" w:rsidRPr="009F67AD" w:rsidRDefault="00E01EE6" w:rsidP="00B821E3">
            <w:pPr>
              <w:spacing w:after="0" w:line="240" w:lineRule="auto"/>
              <w:ind w:left="288"/>
              <w:rPr>
                <w:rFonts w:ascii="Arial" w:hAnsi="Arial" w:cs="Arial"/>
                <w:color w:val="222222"/>
                <w:sz w:val="16"/>
                <w:szCs w:val="16"/>
              </w:rPr>
            </w:pPr>
            <w:r w:rsidRPr="009F67AD">
              <w:rPr>
                <w:rFonts w:ascii="Arial" w:hAnsi="Arial" w:cs="Arial"/>
                <w:color w:val="222222"/>
                <w:sz w:val="16"/>
                <w:szCs w:val="16"/>
              </w:rPr>
              <w:t>Proportion mediated</w:t>
            </w:r>
          </w:p>
        </w:tc>
        <w:tc>
          <w:tcPr>
            <w:tcW w:w="1735" w:type="pct"/>
            <w:tcBorders>
              <w:top w:val="nil"/>
              <w:left w:val="nil"/>
              <w:bottom w:val="nil"/>
              <w:right w:val="nil"/>
            </w:tcBorders>
            <w:shd w:val="clear" w:color="auto" w:fill="auto"/>
            <w:noWrap/>
            <w:vAlign w:val="bottom"/>
          </w:tcPr>
          <w:p w14:paraId="21B494EC" w14:textId="77777777" w:rsidR="00E01EE6" w:rsidRPr="009F67AD" w:rsidRDefault="00E01EE6" w:rsidP="00B821E3">
            <w:pPr>
              <w:spacing w:after="0" w:line="240" w:lineRule="auto"/>
              <w:rPr>
                <w:rFonts w:ascii="Arial" w:hAnsi="Arial" w:cs="Arial"/>
                <w:color w:val="000000"/>
                <w:sz w:val="16"/>
                <w:szCs w:val="16"/>
              </w:rPr>
            </w:pPr>
            <w:r w:rsidRPr="009F67AD">
              <w:rPr>
                <w:rFonts w:ascii="Arial" w:hAnsi="Arial" w:cs="Arial"/>
                <w:color w:val="000000"/>
                <w:sz w:val="16"/>
                <w:szCs w:val="16"/>
              </w:rPr>
              <w:t>37.4% (17.1%, 57.6%)</w:t>
            </w:r>
          </w:p>
        </w:tc>
        <w:tc>
          <w:tcPr>
            <w:tcW w:w="1602" w:type="pct"/>
            <w:tcBorders>
              <w:top w:val="nil"/>
              <w:left w:val="nil"/>
              <w:bottom w:val="nil"/>
              <w:right w:val="nil"/>
            </w:tcBorders>
            <w:shd w:val="clear" w:color="auto" w:fill="auto"/>
            <w:noWrap/>
            <w:vAlign w:val="center"/>
          </w:tcPr>
          <w:p w14:paraId="27C1EEEA" w14:textId="77777777" w:rsidR="00E01EE6" w:rsidRPr="009F67AD" w:rsidRDefault="00E01EE6" w:rsidP="00B821E3">
            <w:pPr>
              <w:spacing w:after="0" w:line="240" w:lineRule="auto"/>
              <w:rPr>
                <w:rFonts w:ascii="Arial" w:hAnsi="Arial" w:cs="Arial"/>
                <w:color w:val="222222"/>
                <w:sz w:val="16"/>
                <w:szCs w:val="16"/>
              </w:rPr>
            </w:pPr>
            <w:r w:rsidRPr="009F67AD">
              <w:rPr>
                <w:rFonts w:ascii="Arial" w:hAnsi="Arial" w:cs="Arial"/>
                <w:color w:val="222222"/>
                <w:sz w:val="16"/>
                <w:szCs w:val="16"/>
              </w:rPr>
              <w:t>NA</w:t>
            </w:r>
          </w:p>
        </w:tc>
      </w:tr>
      <w:tr w:rsidR="00E01EE6" w:rsidRPr="009F67AD" w14:paraId="2619A4E8" w14:textId="77777777" w:rsidTr="00B821E3">
        <w:trPr>
          <w:gridAfter w:val="1"/>
          <w:wAfter w:w="58" w:type="pct"/>
          <w:trHeight w:val="20"/>
        </w:trPr>
        <w:tc>
          <w:tcPr>
            <w:tcW w:w="1605" w:type="pct"/>
            <w:tcBorders>
              <w:top w:val="nil"/>
              <w:left w:val="nil"/>
              <w:bottom w:val="nil"/>
              <w:right w:val="nil"/>
            </w:tcBorders>
            <w:shd w:val="clear" w:color="auto" w:fill="auto"/>
            <w:noWrap/>
            <w:vAlign w:val="center"/>
          </w:tcPr>
          <w:p w14:paraId="090FB2C6" w14:textId="093479D8" w:rsidR="00E01EE6" w:rsidRPr="009F67AD" w:rsidRDefault="00E01EE6" w:rsidP="009F67AD">
            <w:pPr>
              <w:spacing w:after="0" w:line="240" w:lineRule="auto"/>
              <w:rPr>
                <w:rFonts w:ascii="Arial" w:hAnsi="Arial" w:cs="Arial"/>
                <w:color w:val="222222"/>
                <w:sz w:val="16"/>
                <w:szCs w:val="16"/>
              </w:rPr>
            </w:pPr>
            <w:r w:rsidRPr="009F67AD">
              <w:rPr>
                <w:rFonts w:ascii="Arial" w:hAnsi="Arial" w:cs="Arial"/>
                <w:color w:val="222222"/>
                <w:sz w:val="16"/>
                <w:szCs w:val="16"/>
              </w:rPr>
              <w:t xml:space="preserve">Income quintile </w:t>
            </w:r>
            <w:r w:rsidR="009F67AD" w:rsidRPr="009F67AD">
              <w:rPr>
                <w:rFonts w:ascii="Arial" w:hAnsi="Arial" w:cs="Arial"/>
                <w:color w:val="222222"/>
                <w:sz w:val="16"/>
                <w:szCs w:val="16"/>
              </w:rPr>
              <w:t xml:space="preserve">1 </w:t>
            </w:r>
            <w:r w:rsidRPr="009F67AD">
              <w:rPr>
                <w:rFonts w:ascii="Arial" w:hAnsi="Arial" w:cs="Arial"/>
                <w:color w:val="222222"/>
                <w:sz w:val="16"/>
                <w:szCs w:val="16"/>
              </w:rPr>
              <w:t xml:space="preserve">vs. </w:t>
            </w:r>
            <w:r w:rsidR="009F67AD" w:rsidRPr="009F67AD">
              <w:rPr>
                <w:rFonts w:ascii="Arial" w:hAnsi="Arial" w:cs="Arial"/>
                <w:color w:val="222222"/>
                <w:sz w:val="16"/>
                <w:szCs w:val="16"/>
              </w:rPr>
              <w:t xml:space="preserve">5 </w:t>
            </w:r>
            <w:r w:rsidRPr="009F67AD">
              <w:rPr>
                <w:rFonts w:ascii="Arial" w:hAnsi="Arial" w:cs="Arial"/>
                <w:color w:val="222222"/>
                <w:sz w:val="16"/>
                <w:szCs w:val="16"/>
              </w:rPr>
              <w:t>(highest)</w:t>
            </w:r>
          </w:p>
        </w:tc>
        <w:tc>
          <w:tcPr>
            <w:tcW w:w="1735" w:type="pct"/>
            <w:tcBorders>
              <w:top w:val="nil"/>
              <w:left w:val="nil"/>
              <w:bottom w:val="nil"/>
              <w:right w:val="nil"/>
            </w:tcBorders>
            <w:shd w:val="clear" w:color="auto" w:fill="auto"/>
            <w:noWrap/>
            <w:vAlign w:val="center"/>
          </w:tcPr>
          <w:p w14:paraId="3A4A0B34" w14:textId="77777777" w:rsidR="00E01EE6" w:rsidRPr="009F67AD" w:rsidRDefault="00E01EE6" w:rsidP="00B821E3">
            <w:pPr>
              <w:spacing w:after="0" w:line="240" w:lineRule="auto"/>
              <w:rPr>
                <w:rFonts w:ascii="Arial" w:hAnsi="Arial" w:cs="Arial"/>
                <w:color w:val="000000"/>
                <w:sz w:val="16"/>
                <w:szCs w:val="16"/>
              </w:rPr>
            </w:pPr>
          </w:p>
        </w:tc>
        <w:tc>
          <w:tcPr>
            <w:tcW w:w="1602" w:type="pct"/>
            <w:tcBorders>
              <w:top w:val="nil"/>
              <w:left w:val="nil"/>
              <w:bottom w:val="nil"/>
              <w:right w:val="nil"/>
            </w:tcBorders>
            <w:shd w:val="clear" w:color="auto" w:fill="auto"/>
            <w:noWrap/>
            <w:vAlign w:val="center"/>
          </w:tcPr>
          <w:p w14:paraId="459CA959" w14:textId="77777777" w:rsidR="00E01EE6" w:rsidRPr="009F67AD" w:rsidRDefault="00E01EE6" w:rsidP="00B821E3">
            <w:pPr>
              <w:spacing w:after="0" w:line="240" w:lineRule="auto"/>
              <w:rPr>
                <w:rFonts w:ascii="Arial" w:hAnsi="Arial" w:cs="Arial"/>
                <w:color w:val="222222"/>
                <w:sz w:val="16"/>
                <w:szCs w:val="16"/>
              </w:rPr>
            </w:pPr>
          </w:p>
        </w:tc>
      </w:tr>
      <w:tr w:rsidR="00E01EE6" w:rsidRPr="009F67AD" w14:paraId="51AC771C" w14:textId="77777777" w:rsidTr="00B821E3">
        <w:trPr>
          <w:gridAfter w:val="1"/>
          <w:wAfter w:w="58" w:type="pct"/>
          <w:trHeight w:val="20"/>
        </w:trPr>
        <w:tc>
          <w:tcPr>
            <w:tcW w:w="1605" w:type="pct"/>
            <w:tcBorders>
              <w:top w:val="nil"/>
              <w:left w:val="nil"/>
              <w:bottom w:val="nil"/>
              <w:right w:val="nil"/>
            </w:tcBorders>
            <w:shd w:val="clear" w:color="auto" w:fill="auto"/>
            <w:noWrap/>
            <w:vAlign w:val="center"/>
          </w:tcPr>
          <w:p w14:paraId="40D82F80" w14:textId="77777777" w:rsidR="00E01EE6" w:rsidRPr="009F67AD" w:rsidRDefault="00E01EE6" w:rsidP="00B821E3">
            <w:pPr>
              <w:spacing w:after="0" w:line="240" w:lineRule="auto"/>
              <w:ind w:left="288"/>
              <w:rPr>
                <w:rFonts w:ascii="Arial" w:hAnsi="Arial" w:cs="Arial"/>
                <w:color w:val="222222"/>
                <w:sz w:val="16"/>
                <w:szCs w:val="16"/>
              </w:rPr>
            </w:pPr>
            <w:r w:rsidRPr="009F67AD">
              <w:rPr>
                <w:rFonts w:ascii="Arial" w:hAnsi="Arial" w:cs="Arial"/>
                <w:color w:val="222222"/>
                <w:sz w:val="16"/>
                <w:szCs w:val="16"/>
              </w:rPr>
              <w:t>Total effect</w:t>
            </w:r>
          </w:p>
        </w:tc>
        <w:tc>
          <w:tcPr>
            <w:tcW w:w="1735" w:type="pct"/>
            <w:tcBorders>
              <w:top w:val="nil"/>
              <w:left w:val="nil"/>
              <w:bottom w:val="nil"/>
              <w:right w:val="nil"/>
            </w:tcBorders>
            <w:shd w:val="clear" w:color="auto" w:fill="auto"/>
            <w:noWrap/>
            <w:vAlign w:val="bottom"/>
          </w:tcPr>
          <w:p w14:paraId="40A30576" w14:textId="77777777" w:rsidR="00E01EE6" w:rsidRPr="009F67AD" w:rsidRDefault="00E01EE6" w:rsidP="00B821E3">
            <w:pPr>
              <w:spacing w:after="0" w:line="240" w:lineRule="auto"/>
              <w:rPr>
                <w:rFonts w:ascii="Arial" w:hAnsi="Arial" w:cs="Arial"/>
                <w:color w:val="000000"/>
                <w:sz w:val="16"/>
                <w:szCs w:val="16"/>
              </w:rPr>
            </w:pPr>
            <w:r w:rsidRPr="009F67AD">
              <w:rPr>
                <w:rFonts w:ascii="Arial" w:hAnsi="Arial" w:cs="Arial"/>
                <w:color w:val="000000"/>
                <w:sz w:val="16"/>
                <w:szCs w:val="16"/>
              </w:rPr>
              <w:t>1.52 (1.10, 2.10)</w:t>
            </w:r>
          </w:p>
        </w:tc>
        <w:tc>
          <w:tcPr>
            <w:tcW w:w="1602" w:type="pct"/>
            <w:tcBorders>
              <w:top w:val="nil"/>
              <w:left w:val="nil"/>
              <w:bottom w:val="nil"/>
              <w:right w:val="nil"/>
            </w:tcBorders>
            <w:shd w:val="clear" w:color="auto" w:fill="auto"/>
            <w:noWrap/>
            <w:vAlign w:val="bottom"/>
          </w:tcPr>
          <w:p w14:paraId="4915500A" w14:textId="77777777" w:rsidR="00E01EE6" w:rsidRPr="009F67AD" w:rsidRDefault="00E01EE6" w:rsidP="00B821E3">
            <w:pPr>
              <w:spacing w:after="0" w:line="240" w:lineRule="auto"/>
              <w:rPr>
                <w:rFonts w:ascii="Arial" w:hAnsi="Arial" w:cs="Arial"/>
                <w:color w:val="222222"/>
                <w:sz w:val="16"/>
                <w:szCs w:val="16"/>
              </w:rPr>
            </w:pPr>
            <w:r w:rsidRPr="009F67AD">
              <w:rPr>
                <w:rFonts w:ascii="Arial" w:hAnsi="Arial" w:cs="Arial"/>
                <w:color w:val="222222"/>
                <w:sz w:val="16"/>
                <w:szCs w:val="16"/>
              </w:rPr>
              <w:t>2.41 (1.44)</w:t>
            </w:r>
          </w:p>
        </w:tc>
      </w:tr>
      <w:tr w:rsidR="00E01EE6" w:rsidRPr="009F67AD" w14:paraId="267F36A4" w14:textId="77777777" w:rsidTr="00B821E3">
        <w:trPr>
          <w:gridAfter w:val="1"/>
          <w:wAfter w:w="58" w:type="pct"/>
          <w:trHeight w:val="20"/>
        </w:trPr>
        <w:tc>
          <w:tcPr>
            <w:tcW w:w="1605" w:type="pct"/>
            <w:tcBorders>
              <w:top w:val="nil"/>
              <w:left w:val="nil"/>
              <w:bottom w:val="nil"/>
              <w:right w:val="nil"/>
            </w:tcBorders>
            <w:shd w:val="clear" w:color="auto" w:fill="auto"/>
            <w:noWrap/>
            <w:vAlign w:val="center"/>
          </w:tcPr>
          <w:p w14:paraId="60624117" w14:textId="77777777" w:rsidR="00E01EE6" w:rsidRPr="009F67AD" w:rsidRDefault="00E01EE6" w:rsidP="00B821E3">
            <w:pPr>
              <w:spacing w:after="0" w:line="240" w:lineRule="auto"/>
              <w:ind w:left="288"/>
              <w:rPr>
                <w:rFonts w:ascii="Arial" w:hAnsi="Arial" w:cs="Arial"/>
                <w:color w:val="222222"/>
                <w:sz w:val="16"/>
                <w:szCs w:val="16"/>
              </w:rPr>
            </w:pPr>
            <w:r w:rsidRPr="009F67AD">
              <w:rPr>
                <w:rFonts w:ascii="Arial" w:hAnsi="Arial" w:cs="Arial"/>
                <w:color w:val="222222"/>
                <w:sz w:val="16"/>
                <w:szCs w:val="16"/>
              </w:rPr>
              <w:t>Direct effect</w:t>
            </w:r>
          </w:p>
        </w:tc>
        <w:tc>
          <w:tcPr>
            <w:tcW w:w="1735" w:type="pct"/>
            <w:tcBorders>
              <w:top w:val="nil"/>
              <w:left w:val="nil"/>
              <w:bottom w:val="nil"/>
              <w:right w:val="nil"/>
            </w:tcBorders>
            <w:shd w:val="clear" w:color="auto" w:fill="auto"/>
            <w:noWrap/>
            <w:vAlign w:val="bottom"/>
          </w:tcPr>
          <w:p w14:paraId="3467F9FB" w14:textId="77777777" w:rsidR="00E01EE6" w:rsidRPr="009F67AD" w:rsidRDefault="00E01EE6" w:rsidP="00B821E3">
            <w:pPr>
              <w:spacing w:after="0" w:line="240" w:lineRule="auto"/>
              <w:rPr>
                <w:rFonts w:ascii="Arial" w:hAnsi="Arial" w:cs="Arial"/>
                <w:color w:val="000000"/>
                <w:sz w:val="16"/>
                <w:szCs w:val="16"/>
              </w:rPr>
            </w:pPr>
            <w:r w:rsidRPr="009F67AD">
              <w:rPr>
                <w:rFonts w:ascii="Arial" w:hAnsi="Arial" w:cs="Arial"/>
                <w:color w:val="000000"/>
                <w:sz w:val="16"/>
                <w:szCs w:val="16"/>
              </w:rPr>
              <w:t>1.22 (0.88, 1.68)</w:t>
            </w:r>
          </w:p>
        </w:tc>
        <w:tc>
          <w:tcPr>
            <w:tcW w:w="1602" w:type="pct"/>
            <w:tcBorders>
              <w:top w:val="nil"/>
              <w:left w:val="nil"/>
              <w:bottom w:val="nil"/>
              <w:right w:val="nil"/>
            </w:tcBorders>
            <w:shd w:val="clear" w:color="auto" w:fill="auto"/>
            <w:noWrap/>
            <w:vAlign w:val="bottom"/>
          </w:tcPr>
          <w:p w14:paraId="13EDD7DF" w14:textId="77777777" w:rsidR="00E01EE6" w:rsidRPr="009F67AD" w:rsidRDefault="00E01EE6" w:rsidP="00B821E3">
            <w:pPr>
              <w:spacing w:after="0" w:line="240" w:lineRule="auto"/>
              <w:rPr>
                <w:rFonts w:ascii="Arial" w:hAnsi="Arial" w:cs="Arial"/>
                <w:color w:val="222222"/>
                <w:sz w:val="16"/>
                <w:szCs w:val="16"/>
              </w:rPr>
            </w:pPr>
            <w:r w:rsidRPr="009F67AD">
              <w:rPr>
                <w:rFonts w:ascii="Arial" w:hAnsi="Arial" w:cs="Arial"/>
                <w:color w:val="222222"/>
                <w:sz w:val="16"/>
                <w:szCs w:val="16"/>
              </w:rPr>
              <w:t>1.74 (1.00)</w:t>
            </w:r>
          </w:p>
        </w:tc>
      </w:tr>
      <w:tr w:rsidR="00E01EE6" w:rsidRPr="009F67AD" w14:paraId="689670AC" w14:textId="77777777" w:rsidTr="00B821E3">
        <w:trPr>
          <w:gridAfter w:val="1"/>
          <w:wAfter w:w="58" w:type="pct"/>
          <w:trHeight w:val="20"/>
        </w:trPr>
        <w:tc>
          <w:tcPr>
            <w:tcW w:w="1605" w:type="pct"/>
            <w:tcBorders>
              <w:top w:val="nil"/>
              <w:left w:val="nil"/>
              <w:bottom w:val="nil"/>
              <w:right w:val="nil"/>
            </w:tcBorders>
            <w:shd w:val="clear" w:color="auto" w:fill="auto"/>
            <w:noWrap/>
            <w:vAlign w:val="center"/>
          </w:tcPr>
          <w:p w14:paraId="796006FE" w14:textId="77777777" w:rsidR="00E01EE6" w:rsidRPr="009F67AD" w:rsidRDefault="00E01EE6" w:rsidP="00B821E3">
            <w:pPr>
              <w:spacing w:after="0" w:line="240" w:lineRule="auto"/>
              <w:ind w:left="288"/>
              <w:rPr>
                <w:rFonts w:ascii="Arial" w:hAnsi="Arial" w:cs="Arial"/>
                <w:color w:val="222222"/>
                <w:sz w:val="16"/>
                <w:szCs w:val="16"/>
              </w:rPr>
            </w:pPr>
            <w:r w:rsidRPr="009F67AD">
              <w:rPr>
                <w:rFonts w:ascii="Arial" w:hAnsi="Arial" w:cs="Arial"/>
                <w:color w:val="222222"/>
                <w:sz w:val="16"/>
                <w:szCs w:val="16"/>
              </w:rPr>
              <w:t>Indirect effect</w:t>
            </w:r>
          </w:p>
        </w:tc>
        <w:tc>
          <w:tcPr>
            <w:tcW w:w="1735" w:type="pct"/>
            <w:tcBorders>
              <w:top w:val="nil"/>
              <w:left w:val="nil"/>
              <w:bottom w:val="nil"/>
              <w:right w:val="nil"/>
            </w:tcBorders>
            <w:shd w:val="clear" w:color="auto" w:fill="auto"/>
            <w:noWrap/>
            <w:vAlign w:val="bottom"/>
          </w:tcPr>
          <w:p w14:paraId="73F9412C" w14:textId="77777777" w:rsidR="00E01EE6" w:rsidRPr="009F67AD" w:rsidRDefault="00E01EE6" w:rsidP="00B821E3">
            <w:pPr>
              <w:spacing w:after="0" w:line="240" w:lineRule="auto"/>
              <w:rPr>
                <w:rFonts w:ascii="Arial" w:hAnsi="Arial" w:cs="Arial"/>
                <w:color w:val="000000"/>
                <w:sz w:val="16"/>
                <w:szCs w:val="16"/>
              </w:rPr>
            </w:pPr>
            <w:r w:rsidRPr="009F67AD">
              <w:rPr>
                <w:rFonts w:ascii="Arial" w:hAnsi="Arial" w:cs="Arial"/>
                <w:color w:val="000000"/>
                <w:sz w:val="16"/>
                <w:szCs w:val="16"/>
              </w:rPr>
              <w:t>1.25 (1.24, 1.25)</w:t>
            </w:r>
          </w:p>
        </w:tc>
        <w:tc>
          <w:tcPr>
            <w:tcW w:w="1602" w:type="pct"/>
            <w:tcBorders>
              <w:top w:val="nil"/>
              <w:left w:val="nil"/>
              <w:bottom w:val="nil"/>
              <w:right w:val="nil"/>
            </w:tcBorders>
            <w:shd w:val="clear" w:color="auto" w:fill="auto"/>
            <w:noWrap/>
            <w:vAlign w:val="bottom"/>
          </w:tcPr>
          <w:p w14:paraId="3C461B69" w14:textId="77777777" w:rsidR="00E01EE6" w:rsidRPr="009F67AD" w:rsidRDefault="00E01EE6" w:rsidP="00B821E3">
            <w:pPr>
              <w:spacing w:after="0" w:line="240" w:lineRule="auto"/>
              <w:rPr>
                <w:rFonts w:ascii="Arial" w:hAnsi="Arial" w:cs="Arial"/>
                <w:color w:val="222222"/>
                <w:sz w:val="16"/>
                <w:szCs w:val="16"/>
              </w:rPr>
            </w:pPr>
            <w:r w:rsidRPr="009F67AD">
              <w:rPr>
                <w:rFonts w:ascii="Arial" w:hAnsi="Arial" w:cs="Arial"/>
                <w:color w:val="222222"/>
                <w:sz w:val="16"/>
                <w:szCs w:val="16"/>
              </w:rPr>
              <w:t>1.80 (1.78)</w:t>
            </w:r>
          </w:p>
        </w:tc>
      </w:tr>
      <w:tr w:rsidR="00E01EE6" w:rsidRPr="009F67AD" w14:paraId="4D4441F1" w14:textId="77777777" w:rsidTr="00B821E3">
        <w:trPr>
          <w:gridAfter w:val="1"/>
          <w:wAfter w:w="58" w:type="pct"/>
          <w:trHeight w:val="20"/>
        </w:trPr>
        <w:tc>
          <w:tcPr>
            <w:tcW w:w="1605" w:type="pct"/>
            <w:tcBorders>
              <w:top w:val="nil"/>
              <w:left w:val="nil"/>
              <w:bottom w:val="single" w:sz="8" w:space="0" w:color="auto"/>
              <w:right w:val="nil"/>
            </w:tcBorders>
            <w:shd w:val="clear" w:color="auto" w:fill="auto"/>
            <w:noWrap/>
            <w:vAlign w:val="center"/>
          </w:tcPr>
          <w:p w14:paraId="6E6D550B" w14:textId="77777777" w:rsidR="00E01EE6" w:rsidRPr="009F67AD" w:rsidRDefault="00E01EE6" w:rsidP="00B821E3">
            <w:pPr>
              <w:spacing w:after="0" w:line="240" w:lineRule="auto"/>
              <w:ind w:left="288"/>
              <w:rPr>
                <w:rFonts w:ascii="Arial" w:hAnsi="Arial" w:cs="Arial"/>
                <w:color w:val="222222"/>
                <w:sz w:val="16"/>
                <w:szCs w:val="16"/>
              </w:rPr>
            </w:pPr>
            <w:r w:rsidRPr="009F67AD">
              <w:rPr>
                <w:rFonts w:ascii="Arial" w:hAnsi="Arial" w:cs="Arial"/>
                <w:color w:val="222222"/>
                <w:sz w:val="16"/>
                <w:szCs w:val="16"/>
              </w:rPr>
              <w:t>Proportion mediated</w:t>
            </w:r>
          </w:p>
        </w:tc>
        <w:tc>
          <w:tcPr>
            <w:tcW w:w="1735" w:type="pct"/>
            <w:tcBorders>
              <w:top w:val="nil"/>
              <w:left w:val="nil"/>
              <w:bottom w:val="single" w:sz="8" w:space="0" w:color="auto"/>
              <w:right w:val="nil"/>
            </w:tcBorders>
            <w:shd w:val="clear" w:color="auto" w:fill="auto"/>
            <w:noWrap/>
            <w:vAlign w:val="bottom"/>
          </w:tcPr>
          <w:p w14:paraId="736469AD" w14:textId="77777777" w:rsidR="00E01EE6" w:rsidRPr="009F67AD" w:rsidRDefault="00E01EE6" w:rsidP="00B821E3">
            <w:pPr>
              <w:spacing w:after="0" w:line="240" w:lineRule="auto"/>
              <w:rPr>
                <w:rFonts w:ascii="Arial" w:hAnsi="Arial" w:cs="Arial"/>
                <w:color w:val="000000"/>
                <w:sz w:val="16"/>
                <w:szCs w:val="16"/>
              </w:rPr>
            </w:pPr>
            <w:r w:rsidRPr="009F67AD">
              <w:rPr>
                <w:rFonts w:ascii="Arial" w:hAnsi="Arial" w:cs="Arial"/>
                <w:color w:val="000000"/>
                <w:sz w:val="16"/>
                <w:szCs w:val="16"/>
              </w:rPr>
              <w:t>57.9% (21.9%, 94.0%)</w:t>
            </w:r>
          </w:p>
        </w:tc>
        <w:tc>
          <w:tcPr>
            <w:tcW w:w="1602" w:type="pct"/>
            <w:tcBorders>
              <w:top w:val="nil"/>
              <w:left w:val="nil"/>
              <w:bottom w:val="single" w:sz="8" w:space="0" w:color="auto"/>
              <w:right w:val="nil"/>
            </w:tcBorders>
            <w:shd w:val="clear" w:color="auto" w:fill="auto"/>
            <w:noWrap/>
            <w:vAlign w:val="center"/>
          </w:tcPr>
          <w:p w14:paraId="6E36F43A" w14:textId="77777777" w:rsidR="00E01EE6" w:rsidRPr="009F67AD" w:rsidRDefault="00E01EE6" w:rsidP="00B821E3">
            <w:pPr>
              <w:spacing w:after="0" w:line="240" w:lineRule="auto"/>
              <w:rPr>
                <w:rFonts w:ascii="Arial" w:hAnsi="Arial" w:cs="Arial"/>
                <w:color w:val="222222"/>
                <w:sz w:val="16"/>
                <w:szCs w:val="16"/>
              </w:rPr>
            </w:pPr>
            <w:r w:rsidRPr="009F67AD">
              <w:rPr>
                <w:rFonts w:ascii="Arial" w:hAnsi="Arial" w:cs="Arial"/>
                <w:color w:val="222222"/>
                <w:sz w:val="16"/>
                <w:szCs w:val="16"/>
              </w:rPr>
              <w:t>NA</w:t>
            </w:r>
          </w:p>
        </w:tc>
      </w:tr>
    </w:tbl>
    <w:p w14:paraId="162111B7" w14:textId="3D330020" w:rsidR="005306B5" w:rsidRPr="009F67AD" w:rsidRDefault="005306B5" w:rsidP="005306B5">
      <w:pPr>
        <w:spacing w:after="0" w:line="240" w:lineRule="auto"/>
        <w:rPr>
          <w:rFonts w:ascii="Arial" w:hAnsi="Arial" w:cs="Arial"/>
          <w:noProof/>
          <w:sz w:val="16"/>
          <w:szCs w:val="16"/>
        </w:rPr>
      </w:pPr>
      <w:r w:rsidRPr="009F67AD">
        <w:rPr>
          <w:rFonts w:ascii="Arial" w:hAnsi="Arial" w:cs="Arial"/>
          <w:noProof/>
          <w:sz w:val="16"/>
          <w:szCs w:val="16"/>
          <w:vertAlign w:val="superscript"/>
        </w:rPr>
        <w:t>a</w:t>
      </w:r>
      <w:r w:rsidRPr="009F67AD">
        <w:rPr>
          <w:rFonts w:ascii="Arial" w:hAnsi="Arial" w:cs="Arial"/>
          <w:noProof/>
          <w:sz w:val="16"/>
          <w:szCs w:val="16"/>
        </w:rPr>
        <w:t>Dissemination areas were ranked within each city by their median household income to create income quintiles; we ranked within city instead of within</w:t>
      </w:r>
      <w:r w:rsidR="00B40E6D" w:rsidRPr="009F67AD">
        <w:rPr>
          <w:rFonts w:ascii="Arial" w:hAnsi="Arial" w:cs="Arial"/>
          <w:noProof/>
          <w:sz w:val="16"/>
          <w:szCs w:val="16"/>
        </w:rPr>
        <w:t xml:space="preserve"> the</w:t>
      </w:r>
      <w:r w:rsidRPr="009F67AD">
        <w:rPr>
          <w:rFonts w:ascii="Arial" w:hAnsi="Arial" w:cs="Arial"/>
          <w:noProof/>
          <w:sz w:val="16"/>
          <w:szCs w:val="16"/>
        </w:rPr>
        <w:t xml:space="preserve"> entire province</w:t>
      </w:r>
      <w:r w:rsidR="00B40E6D" w:rsidRPr="009F67AD">
        <w:rPr>
          <w:rFonts w:ascii="Arial" w:hAnsi="Arial" w:cs="Arial"/>
          <w:noProof/>
          <w:sz w:val="16"/>
          <w:szCs w:val="16"/>
        </w:rPr>
        <w:t xml:space="preserve"> </w:t>
      </w:r>
      <w:r w:rsidRPr="009F67AD">
        <w:rPr>
          <w:rFonts w:ascii="Arial" w:hAnsi="Arial" w:cs="Arial"/>
          <w:noProof/>
          <w:sz w:val="16"/>
          <w:szCs w:val="16"/>
        </w:rPr>
        <w:t>to take</w:t>
      </w:r>
      <w:r w:rsidR="00B40E6D" w:rsidRPr="009F67AD">
        <w:rPr>
          <w:rFonts w:ascii="Arial" w:hAnsi="Arial" w:cs="Arial"/>
          <w:noProof/>
          <w:sz w:val="16"/>
          <w:szCs w:val="16"/>
        </w:rPr>
        <w:t xml:space="preserve"> the</w:t>
      </w:r>
      <w:r w:rsidRPr="009F67AD">
        <w:rPr>
          <w:rFonts w:ascii="Arial" w:hAnsi="Arial" w:cs="Arial"/>
          <w:noProof/>
          <w:sz w:val="16"/>
          <w:szCs w:val="16"/>
        </w:rPr>
        <w:t xml:space="preserve"> cost of living into account; a disseminaton area being in quintile 1 means it is among the </w:t>
      </w:r>
      <w:r w:rsidR="009F67AD" w:rsidRPr="009F67AD">
        <w:rPr>
          <w:rFonts w:ascii="Arial" w:hAnsi="Arial" w:cs="Arial"/>
          <w:noProof/>
          <w:sz w:val="16"/>
          <w:szCs w:val="16"/>
        </w:rPr>
        <w:t xml:space="preserve">lowest </w:t>
      </w:r>
      <w:r w:rsidRPr="009F67AD">
        <w:rPr>
          <w:rFonts w:ascii="Arial" w:hAnsi="Arial" w:cs="Arial"/>
          <w:noProof/>
          <w:sz w:val="16"/>
          <w:szCs w:val="16"/>
        </w:rPr>
        <w:t>20% of dissenmination areas in its city by median household income</w:t>
      </w:r>
      <w:r w:rsidR="00FC5E22" w:rsidRPr="009F67AD">
        <w:rPr>
          <w:rFonts w:ascii="Arial" w:hAnsi="Arial" w:cs="Arial"/>
          <w:noProof/>
          <w:sz w:val="16"/>
          <w:szCs w:val="16"/>
        </w:rPr>
        <w:t xml:space="preserve">. </w:t>
      </w:r>
    </w:p>
    <w:p w14:paraId="523568E0" w14:textId="06299071" w:rsidR="005306B5" w:rsidRPr="009F67AD" w:rsidRDefault="005306B5" w:rsidP="005306B5">
      <w:pPr>
        <w:spacing w:after="0" w:line="240" w:lineRule="auto"/>
        <w:rPr>
          <w:rFonts w:ascii="Arial" w:hAnsi="Arial" w:cs="Arial"/>
          <w:noProof/>
          <w:sz w:val="16"/>
          <w:szCs w:val="16"/>
        </w:rPr>
      </w:pPr>
      <w:r w:rsidRPr="009F67AD">
        <w:rPr>
          <w:rFonts w:ascii="Arial" w:hAnsi="Arial" w:cs="Arial"/>
          <w:noProof/>
          <w:sz w:val="16"/>
          <w:szCs w:val="16"/>
          <w:vertAlign w:val="superscript"/>
        </w:rPr>
        <w:t>b</w:t>
      </w:r>
      <w:r w:rsidRPr="009F67AD">
        <w:rPr>
          <w:rFonts w:ascii="Arial" w:hAnsi="Arial" w:cs="Arial"/>
          <w:noProof/>
          <w:sz w:val="16"/>
          <w:szCs w:val="16"/>
        </w:rPr>
        <w:t>Death within 30 days following or 7 days prior to a lab-confirmed positive SARS-CoV-2 test was considered COVID-19 death</w:t>
      </w:r>
      <w:r w:rsidR="00FC5E22" w:rsidRPr="009F67AD">
        <w:rPr>
          <w:rFonts w:ascii="Arial" w:hAnsi="Arial" w:cs="Arial"/>
          <w:noProof/>
          <w:sz w:val="16"/>
          <w:szCs w:val="16"/>
        </w:rPr>
        <w:t xml:space="preserve">. </w:t>
      </w:r>
    </w:p>
    <w:p w14:paraId="4AE43898" w14:textId="2846A632" w:rsidR="005306B5" w:rsidRPr="009F67AD" w:rsidRDefault="005306B5" w:rsidP="005306B5">
      <w:pPr>
        <w:spacing w:after="0" w:line="240" w:lineRule="auto"/>
        <w:rPr>
          <w:rFonts w:ascii="Arial" w:hAnsi="Arial" w:cs="Arial"/>
          <w:sz w:val="16"/>
          <w:szCs w:val="16"/>
        </w:rPr>
      </w:pPr>
      <w:r w:rsidRPr="009F67AD">
        <w:rPr>
          <w:rFonts w:ascii="Arial" w:hAnsi="Arial" w:cs="Arial"/>
          <w:sz w:val="16"/>
          <w:szCs w:val="16"/>
          <w:vertAlign w:val="superscript"/>
        </w:rPr>
        <w:t>c</w:t>
      </w:r>
      <w:r w:rsidR="00661330" w:rsidRPr="00661330">
        <w:rPr>
          <w:rFonts w:ascii="Arial" w:hAnsi="Arial" w:cs="Arial"/>
          <w:sz w:val="16"/>
          <w:szCs w:val="16"/>
        </w:rPr>
        <w:t>Vaccination status defined as receiving ≥ 1 dose of Johnson-Johnson vaccine or ≥ 2 doses of other vaccines.</w:t>
      </w:r>
      <w:r w:rsidR="00661330">
        <w:rPr>
          <w:rFonts w:ascii="Arial" w:hAnsi="Arial" w:cs="Arial"/>
          <w:sz w:val="16"/>
          <w:szCs w:val="16"/>
        </w:rPr>
        <w:t xml:space="preserve"> Details in Appendix text 1.</w:t>
      </w:r>
    </w:p>
    <w:p w14:paraId="0AD08E80" w14:textId="320A646D" w:rsidR="006211A1" w:rsidRPr="009F67AD" w:rsidRDefault="00901F00" w:rsidP="005306B5">
      <w:pPr>
        <w:spacing w:after="0" w:line="240" w:lineRule="auto"/>
        <w:rPr>
          <w:rFonts w:ascii="Arial" w:hAnsi="Arial" w:cs="Arial"/>
          <w:bCs/>
          <w:sz w:val="16"/>
          <w:szCs w:val="16"/>
        </w:rPr>
      </w:pPr>
      <w:r w:rsidRPr="009F67AD">
        <w:rPr>
          <w:rFonts w:ascii="Arial" w:hAnsi="Arial" w:cs="Arial"/>
          <w:sz w:val="16"/>
          <w:szCs w:val="16"/>
          <w:vertAlign w:val="superscript"/>
        </w:rPr>
        <w:t>d</w:t>
      </w:r>
      <w:r w:rsidR="005306B5" w:rsidRPr="009F67AD">
        <w:rPr>
          <w:rFonts w:ascii="Arial" w:hAnsi="Arial" w:cs="Arial"/>
          <w:sz w:val="16"/>
          <w:szCs w:val="16"/>
        </w:rPr>
        <w:t>Regression-based causal mediation analyses were employed to estimate effect decomposition, where</w:t>
      </w:r>
      <w:r w:rsidR="00B40E6D" w:rsidRPr="009F67AD">
        <w:rPr>
          <w:rFonts w:ascii="Arial" w:hAnsi="Arial" w:cs="Arial"/>
          <w:sz w:val="16"/>
          <w:szCs w:val="16"/>
        </w:rPr>
        <w:t xml:space="preserve"> the</w:t>
      </w:r>
      <w:r w:rsidR="005306B5" w:rsidRPr="009F67AD">
        <w:rPr>
          <w:rFonts w:ascii="Arial" w:hAnsi="Arial" w:cs="Arial"/>
          <w:sz w:val="16"/>
          <w:szCs w:val="16"/>
        </w:rPr>
        <w:t xml:space="preserve"> t</w:t>
      </w:r>
      <w:r w:rsidR="006211A1" w:rsidRPr="009F67AD">
        <w:rPr>
          <w:rFonts w:ascii="Arial" w:hAnsi="Arial" w:cs="Arial"/>
          <w:bCs/>
          <w:sz w:val="16"/>
          <w:szCs w:val="16"/>
        </w:rPr>
        <w:t xml:space="preserve">otal effect reflects the association between area-level income and COVID-19 death adjusting for confounders; </w:t>
      </w:r>
      <w:r w:rsidR="00B40E6D" w:rsidRPr="009F67AD">
        <w:rPr>
          <w:rFonts w:ascii="Arial" w:hAnsi="Arial" w:cs="Arial"/>
          <w:bCs/>
          <w:sz w:val="16"/>
          <w:szCs w:val="16"/>
        </w:rPr>
        <w:t xml:space="preserve">the </w:t>
      </w:r>
      <w:r w:rsidR="006211A1" w:rsidRPr="009F67AD">
        <w:rPr>
          <w:rFonts w:ascii="Arial" w:hAnsi="Arial" w:cs="Arial"/>
          <w:bCs/>
          <w:sz w:val="16"/>
          <w:szCs w:val="16"/>
        </w:rPr>
        <w:t xml:space="preserve">direct effect reflects the association between area-level income and COVID-19 death </w:t>
      </w:r>
      <w:r w:rsidR="005306B5" w:rsidRPr="009F67AD">
        <w:rPr>
          <w:rFonts w:ascii="Arial" w:hAnsi="Arial" w:cs="Arial"/>
          <w:bCs/>
          <w:sz w:val="16"/>
          <w:szCs w:val="16"/>
        </w:rPr>
        <w:t>holding</w:t>
      </w:r>
      <w:r w:rsidR="00B40E6D" w:rsidRPr="009F67AD">
        <w:rPr>
          <w:rFonts w:ascii="Arial" w:hAnsi="Arial" w:cs="Arial"/>
          <w:bCs/>
          <w:sz w:val="16"/>
          <w:szCs w:val="16"/>
        </w:rPr>
        <w:t xml:space="preserve"> the</w:t>
      </w:r>
      <w:r w:rsidR="005306B5" w:rsidRPr="009F67AD">
        <w:rPr>
          <w:rFonts w:ascii="Arial" w:hAnsi="Arial" w:cs="Arial"/>
          <w:bCs/>
          <w:sz w:val="16"/>
          <w:szCs w:val="16"/>
        </w:rPr>
        <w:t xml:space="preserve"> vaccination level the same across income</w:t>
      </w:r>
      <w:r w:rsidR="006211A1" w:rsidRPr="009F67AD">
        <w:rPr>
          <w:rFonts w:ascii="Arial" w:hAnsi="Arial" w:cs="Arial"/>
          <w:bCs/>
          <w:sz w:val="16"/>
          <w:szCs w:val="16"/>
        </w:rPr>
        <w:t>;</w:t>
      </w:r>
      <w:r w:rsidR="00B40E6D" w:rsidRPr="009F67AD">
        <w:rPr>
          <w:rFonts w:ascii="Arial" w:hAnsi="Arial" w:cs="Arial"/>
          <w:bCs/>
          <w:sz w:val="16"/>
          <w:szCs w:val="16"/>
        </w:rPr>
        <w:t xml:space="preserve"> the</w:t>
      </w:r>
      <w:r w:rsidR="006211A1" w:rsidRPr="009F67AD">
        <w:rPr>
          <w:rFonts w:ascii="Arial" w:hAnsi="Arial" w:cs="Arial"/>
          <w:bCs/>
          <w:sz w:val="16"/>
          <w:szCs w:val="16"/>
        </w:rPr>
        <w:t xml:space="preserve"> indirect effect reflects the</w:t>
      </w:r>
      <w:r w:rsidR="005306B5" w:rsidRPr="009F67AD">
        <w:rPr>
          <w:rFonts w:ascii="Arial" w:hAnsi="Arial" w:cs="Arial"/>
          <w:bCs/>
          <w:sz w:val="16"/>
          <w:szCs w:val="16"/>
        </w:rPr>
        <w:t xml:space="preserve"> association between </w:t>
      </w:r>
      <w:r w:rsidRPr="009F67AD">
        <w:rPr>
          <w:rFonts w:ascii="Arial" w:hAnsi="Arial" w:cs="Arial"/>
          <w:bCs/>
          <w:sz w:val="16"/>
          <w:szCs w:val="16"/>
        </w:rPr>
        <w:t>area-level income and COVID-19 death mediated through vaccination status;</w:t>
      </w:r>
      <w:r w:rsidR="00B40E6D" w:rsidRPr="009F67AD">
        <w:rPr>
          <w:rFonts w:ascii="Arial" w:hAnsi="Arial" w:cs="Arial"/>
          <w:bCs/>
          <w:sz w:val="16"/>
          <w:szCs w:val="16"/>
        </w:rPr>
        <w:t xml:space="preserve"> and the</w:t>
      </w:r>
      <w:r w:rsidRPr="009F67AD">
        <w:rPr>
          <w:rFonts w:ascii="Arial" w:hAnsi="Arial" w:cs="Arial"/>
          <w:bCs/>
          <w:sz w:val="16"/>
          <w:szCs w:val="16"/>
        </w:rPr>
        <w:t xml:space="preserve"> proportion mediated reflects the proportion of</w:t>
      </w:r>
      <w:r w:rsidR="00B40E6D" w:rsidRPr="009F67AD">
        <w:rPr>
          <w:rFonts w:ascii="Arial" w:hAnsi="Arial" w:cs="Arial"/>
          <w:bCs/>
          <w:sz w:val="16"/>
          <w:szCs w:val="16"/>
        </w:rPr>
        <w:t xml:space="preserve"> the</w:t>
      </w:r>
      <w:r w:rsidRPr="009F67AD">
        <w:rPr>
          <w:rFonts w:ascii="Arial" w:hAnsi="Arial" w:cs="Arial"/>
          <w:bCs/>
          <w:sz w:val="16"/>
          <w:szCs w:val="16"/>
        </w:rPr>
        <w:t xml:space="preserve"> total effect that was mediated through vaccination status</w:t>
      </w:r>
      <w:r w:rsidR="00FC5E22" w:rsidRPr="009F67AD">
        <w:rPr>
          <w:rFonts w:ascii="Arial" w:hAnsi="Arial" w:cs="Arial"/>
          <w:bCs/>
          <w:sz w:val="16"/>
          <w:szCs w:val="16"/>
        </w:rPr>
        <w:t>.</w:t>
      </w:r>
    </w:p>
    <w:p w14:paraId="5BD566AE" w14:textId="53BB7D5E" w:rsidR="00901F00" w:rsidRPr="009F67AD" w:rsidRDefault="00901F00" w:rsidP="005306B5">
      <w:pPr>
        <w:spacing w:after="0" w:line="240" w:lineRule="auto"/>
        <w:rPr>
          <w:rFonts w:ascii="Arial" w:hAnsi="Arial" w:cs="Arial"/>
          <w:sz w:val="16"/>
          <w:szCs w:val="16"/>
        </w:rPr>
      </w:pPr>
      <w:r w:rsidRPr="009F67AD">
        <w:rPr>
          <w:rFonts w:ascii="Arial" w:hAnsi="Arial" w:cs="Arial"/>
          <w:sz w:val="16"/>
          <w:szCs w:val="16"/>
          <w:vertAlign w:val="superscript"/>
        </w:rPr>
        <w:t>e</w:t>
      </w:r>
      <w:r w:rsidRPr="009F67AD">
        <w:rPr>
          <w:rFonts w:ascii="Arial" w:hAnsi="Arial" w:cs="Arial"/>
          <w:sz w:val="16"/>
          <w:szCs w:val="16"/>
        </w:rPr>
        <w:t>Adjusted for confounders including individual-level demographics (age, sex, immigration status, residing in rural vs. urban, public health unit of residence), baseline health (comorbidity index measured by the Aggregated Diagnosis Groups, past hospitalization and outpatient visits), prior infection, and other area-level social determinants of health (educational attainment, essential workers, ethnic diversity and housing condition</w:t>
      </w:r>
      <w:r w:rsidR="00FC5E22" w:rsidRPr="009F67AD">
        <w:rPr>
          <w:rFonts w:ascii="Arial" w:hAnsi="Arial" w:cs="Arial"/>
          <w:sz w:val="16"/>
          <w:szCs w:val="16"/>
        </w:rPr>
        <w:t>).</w:t>
      </w:r>
    </w:p>
    <w:p w14:paraId="76848B22" w14:textId="6060EEAA" w:rsidR="00901F00" w:rsidRPr="009F67AD" w:rsidRDefault="00901F00" w:rsidP="005306B5">
      <w:pPr>
        <w:spacing w:after="0" w:line="240" w:lineRule="auto"/>
        <w:rPr>
          <w:rFonts w:ascii="Arial" w:hAnsi="Arial" w:cs="Arial"/>
          <w:bCs/>
          <w:sz w:val="16"/>
          <w:szCs w:val="16"/>
        </w:rPr>
      </w:pPr>
      <w:r w:rsidRPr="009F67AD">
        <w:rPr>
          <w:rFonts w:ascii="Arial" w:hAnsi="Arial" w:cs="Arial"/>
          <w:bCs/>
          <w:sz w:val="16"/>
          <w:szCs w:val="16"/>
          <w:vertAlign w:val="superscript"/>
        </w:rPr>
        <w:t>f</w:t>
      </w:r>
      <w:r w:rsidRPr="009F67AD">
        <w:rPr>
          <w:rFonts w:ascii="Arial" w:hAnsi="Arial" w:cs="Arial"/>
          <w:bCs/>
          <w:sz w:val="16"/>
          <w:szCs w:val="16"/>
        </w:rPr>
        <w:t>E-value reflects the minimum strength of association (measured as</w:t>
      </w:r>
      <w:r w:rsidR="000E53F4" w:rsidRPr="009F67AD">
        <w:rPr>
          <w:rFonts w:ascii="Arial" w:hAnsi="Arial" w:cs="Arial"/>
          <w:bCs/>
          <w:sz w:val="16"/>
          <w:szCs w:val="16"/>
        </w:rPr>
        <w:t xml:space="preserve"> an</w:t>
      </w:r>
      <w:r w:rsidRPr="009F67AD">
        <w:rPr>
          <w:rFonts w:ascii="Arial" w:hAnsi="Arial" w:cs="Arial"/>
          <w:bCs/>
          <w:sz w:val="16"/>
          <w:szCs w:val="16"/>
        </w:rPr>
        <w:t xml:space="preserve"> odds ratio) required between an unmeasured confounder with both</w:t>
      </w:r>
      <w:r w:rsidR="000E53F4" w:rsidRPr="009F67AD">
        <w:rPr>
          <w:rFonts w:ascii="Arial" w:hAnsi="Arial" w:cs="Arial"/>
          <w:bCs/>
          <w:sz w:val="16"/>
          <w:szCs w:val="16"/>
        </w:rPr>
        <w:t xml:space="preserve"> an</w:t>
      </w:r>
      <w:r w:rsidRPr="009F67AD">
        <w:rPr>
          <w:rFonts w:ascii="Arial" w:hAnsi="Arial" w:cs="Arial"/>
          <w:bCs/>
          <w:sz w:val="16"/>
          <w:szCs w:val="16"/>
        </w:rPr>
        <w:t xml:space="preserve"> exposure and</w:t>
      </w:r>
      <w:r w:rsidR="000E53F4" w:rsidRPr="009F67AD">
        <w:rPr>
          <w:rFonts w:ascii="Arial" w:hAnsi="Arial" w:cs="Arial"/>
          <w:bCs/>
          <w:sz w:val="16"/>
          <w:szCs w:val="16"/>
        </w:rPr>
        <w:t xml:space="preserve"> an</w:t>
      </w:r>
      <w:r w:rsidRPr="009F67AD">
        <w:rPr>
          <w:rFonts w:ascii="Arial" w:hAnsi="Arial" w:cs="Arial"/>
          <w:bCs/>
          <w:sz w:val="16"/>
          <w:szCs w:val="16"/>
        </w:rPr>
        <w:t xml:space="preserve"> outcome to fully explain </w:t>
      </w:r>
      <w:r w:rsidR="000E53F4" w:rsidRPr="009F67AD">
        <w:rPr>
          <w:rFonts w:ascii="Arial" w:hAnsi="Arial" w:cs="Arial"/>
          <w:bCs/>
          <w:sz w:val="16"/>
          <w:szCs w:val="16"/>
        </w:rPr>
        <w:t xml:space="preserve">an </w:t>
      </w:r>
      <w:r w:rsidRPr="009F67AD">
        <w:rPr>
          <w:rFonts w:ascii="Arial" w:hAnsi="Arial" w:cs="Arial"/>
          <w:bCs/>
          <w:sz w:val="16"/>
          <w:szCs w:val="16"/>
        </w:rPr>
        <w:t xml:space="preserve">observed association. E-values from 1.0-1.5 suggest weak unmeasured confounding </w:t>
      </w:r>
      <w:r w:rsidR="000E53F4" w:rsidRPr="009F67AD">
        <w:rPr>
          <w:rFonts w:ascii="Arial" w:hAnsi="Arial" w:cs="Arial"/>
          <w:bCs/>
          <w:sz w:val="16"/>
          <w:szCs w:val="16"/>
        </w:rPr>
        <w:t xml:space="preserve">is </w:t>
      </w:r>
      <w:r w:rsidRPr="009F67AD">
        <w:rPr>
          <w:rFonts w:ascii="Arial" w:hAnsi="Arial" w:cs="Arial"/>
          <w:bCs/>
          <w:sz w:val="16"/>
          <w:szCs w:val="16"/>
        </w:rPr>
        <w:t>required to nullify the observed effect, while ranges from 1.5-3.0 and &gt;3.0 suggest moderate and strong unmeasured confounding</w:t>
      </w:r>
      <w:r w:rsidR="000E53F4" w:rsidRPr="009F67AD">
        <w:rPr>
          <w:rFonts w:ascii="Arial" w:hAnsi="Arial" w:cs="Arial"/>
          <w:bCs/>
          <w:sz w:val="16"/>
          <w:szCs w:val="16"/>
        </w:rPr>
        <w:t xml:space="preserve"> are required</w:t>
      </w:r>
      <w:r w:rsidRPr="009F67AD">
        <w:rPr>
          <w:rFonts w:ascii="Arial" w:hAnsi="Arial" w:cs="Arial"/>
          <w:bCs/>
          <w:sz w:val="16"/>
          <w:szCs w:val="16"/>
        </w:rPr>
        <w:t>, respectively.</w:t>
      </w:r>
    </w:p>
    <w:p w14:paraId="5D2A8977" w14:textId="2705225D" w:rsidR="00901F00" w:rsidRPr="00B613F4" w:rsidRDefault="00901F00" w:rsidP="00901F00">
      <w:pPr>
        <w:spacing w:after="0" w:line="240" w:lineRule="auto"/>
        <w:rPr>
          <w:rFonts w:ascii="Arial" w:hAnsi="Arial" w:cs="Arial"/>
          <w:noProof/>
          <w:sz w:val="16"/>
          <w:szCs w:val="16"/>
        </w:rPr>
      </w:pPr>
      <w:r w:rsidRPr="009F67AD">
        <w:rPr>
          <w:rFonts w:ascii="Arial" w:hAnsi="Arial" w:cs="Arial"/>
          <w:noProof/>
          <w:sz w:val="16"/>
          <w:szCs w:val="16"/>
        </w:rPr>
        <w:t>Abbreviations: CI, confidence interval; LCI, lower confidence interval</w:t>
      </w:r>
      <w:r w:rsidR="00FC5E22" w:rsidRPr="009F67AD">
        <w:rPr>
          <w:rFonts w:ascii="Arial" w:hAnsi="Arial" w:cs="Arial"/>
          <w:noProof/>
          <w:sz w:val="16"/>
          <w:szCs w:val="16"/>
        </w:rPr>
        <w:t>; NA, not applicable.</w:t>
      </w:r>
    </w:p>
    <w:p w14:paraId="413E4500" w14:textId="77777777" w:rsidR="00901F00" w:rsidRPr="00901F00" w:rsidRDefault="00901F00" w:rsidP="005306B5">
      <w:pPr>
        <w:spacing w:after="0" w:line="240" w:lineRule="auto"/>
        <w:rPr>
          <w:rFonts w:ascii="Arial" w:hAnsi="Arial" w:cs="Arial"/>
          <w:bCs/>
          <w:sz w:val="16"/>
          <w:szCs w:val="16"/>
        </w:rPr>
      </w:pPr>
    </w:p>
    <w:p w14:paraId="4EA2918B" w14:textId="1AE17FF2" w:rsidR="00B31CD1" w:rsidRDefault="00B31CD1" w:rsidP="00E01EE6">
      <w:pPr>
        <w:rPr>
          <w:rFonts w:ascii="Arial" w:hAnsi="Arial" w:cs="Arial"/>
          <w:b/>
          <w:sz w:val="20"/>
          <w:szCs w:val="20"/>
        </w:rPr>
      </w:pPr>
    </w:p>
    <w:p w14:paraId="57F62E05" w14:textId="77777777" w:rsidR="00B31CD1" w:rsidRDefault="00B31CD1">
      <w:pPr>
        <w:rPr>
          <w:rFonts w:ascii="Arial" w:hAnsi="Arial" w:cs="Arial"/>
          <w:b/>
          <w:sz w:val="20"/>
          <w:szCs w:val="20"/>
        </w:rPr>
      </w:pPr>
      <w:r>
        <w:rPr>
          <w:rFonts w:ascii="Arial" w:hAnsi="Arial" w:cs="Arial"/>
          <w:b/>
          <w:sz w:val="20"/>
          <w:szCs w:val="20"/>
        </w:rPr>
        <w:br w:type="page"/>
      </w:r>
    </w:p>
    <w:p w14:paraId="303A306B" w14:textId="1B686196" w:rsidR="008A1CEC" w:rsidRPr="00B613F4" w:rsidRDefault="008A1CEC" w:rsidP="008A1CEC">
      <w:pPr>
        <w:spacing w:after="0"/>
        <w:rPr>
          <w:rFonts w:ascii="Arial" w:hAnsi="Arial" w:cs="Arial"/>
          <w:b/>
          <w:sz w:val="20"/>
          <w:szCs w:val="20"/>
        </w:rPr>
      </w:pPr>
      <w:r w:rsidRPr="00B31CD1">
        <w:rPr>
          <w:rFonts w:ascii="Arial" w:hAnsi="Arial" w:cs="Arial"/>
          <w:b/>
          <w:sz w:val="20"/>
          <w:szCs w:val="20"/>
        </w:rPr>
        <w:lastRenderedPageBreak/>
        <w:t xml:space="preserve">Appendix Table </w:t>
      </w:r>
      <w:r w:rsidR="006F6BD2">
        <w:rPr>
          <w:rFonts w:ascii="Arial" w:hAnsi="Arial" w:cs="Arial"/>
          <w:b/>
          <w:sz w:val="20"/>
          <w:szCs w:val="20"/>
        </w:rPr>
        <w:t>6</w:t>
      </w:r>
      <w:r w:rsidRPr="00B31CD1">
        <w:rPr>
          <w:rFonts w:ascii="Arial" w:hAnsi="Arial" w:cs="Arial"/>
          <w:b/>
          <w:sz w:val="20"/>
          <w:szCs w:val="20"/>
        </w:rPr>
        <w:t xml:space="preserve">. </w:t>
      </w:r>
      <w:r w:rsidRPr="00B31CD1">
        <w:rPr>
          <w:rFonts w:ascii="Arial" w:hAnsi="Arial" w:cs="Arial"/>
          <w:bCs/>
          <w:sz w:val="20"/>
          <w:szCs w:val="20"/>
        </w:rPr>
        <w:t xml:space="preserve">Results of </w:t>
      </w:r>
      <w:r>
        <w:rPr>
          <w:rFonts w:ascii="Arial" w:hAnsi="Arial" w:cs="Arial"/>
          <w:bCs/>
          <w:sz w:val="20"/>
          <w:szCs w:val="20"/>
        </w:rPr>
        <w:t xml:space="preserve">two </w:t>
      </w:r>
      <w:r w:rsidR="00560BF0">
        <w:rPr>
          <w:rFonts w:ascii="Arial" w:hAnsi="Arial" w:cs="Arial"/>
          <w:bCs/>
          <w:sz w:val="20"/>
          <w:szCs w:val="20"/>
        </w:rPr>
        <w:t>separate</w:t>
      </w:r>
      <w:r>
        <w:rPr>
          <w:rFonts w:ascii="Arial" w:hAnsi="Arial" w:cs="Arial"/>
          <w:bCs/>
          <w:sz w:val="20"/>
          <w:szCs w:val="20"/>
        </w:rPr>
        <w:t xml:space="preserve"> </w:t>
      </w:r>
      <w:r w:rsidRPr="00B31CD1">
        <w:rPr>
          <w:rFonts w:ascii="Arial" w:hAnsi="Arial" w:cs="Arial"/>
          <w:bCs/>
          <w:sz w:val="20"/>
          <w:szCs w:val="20"/>
        </w:rPr>
        <w:t>causal mediation analyses</w:t>
      </w:r>
      <w:r w:rsidRPr="006211A1">
        <w:rPr>
          <w:rFonts w:ascii="Arial" w:hAnsi="Arial" w:cs="Arial"/>
          <w:bCs/>
          <w:sz w:val="20"/>
          <w:szCs w:val="20"/>
        </w:rPr>
        <w:t xml:space="preserve"> </w:t>
      </w:r>
      <w:r>
        <w:rPr>
          <w:rFonts w:ascii="Arial" w:hAnsi="Arial" w:cs="Arial"/>
          <w:bCs/>
          <w:sz w:val="20"/>
          <w:szCs w:val="20"/>
        </w:rPr>
        <w:t>for</w:t>
      </w:r>
      <w:r w:rsidR="000E53F4">
        <w:rPr>
          <w:rFonts w:ascii="Arial" w:hAnsi="Arial" w:cs="Arial"/>
          <w:bCs/>
          <w:sz w:val="20"/>
          <w:szCs w:val="20"/>
        </w:rPr>
        <w:t xml:space="preserve"> the</w:t>
      </w:r>
      <w:r>
        <w:rPr>
          <w:rFonts w:ascii="Arial" w:hAnsi="Arial" w:cs="Arial"/>
          <w:bCs/>
          <w:sz w:val="20"/>
          <w:szCs w:val="20"/>
        </w:rPr>
        <w:t xml:space="preserve"> relationship between area-level income</w:t>
      </w:r>
      <w:r w:rsidRPr="005306B5">
        <w:rPr>
          <w:rFonts w:ascii="Arial" w:hAnsi="Arial" w:cs="Arial"/>
          <w:bCs/>
          <w:sz w:val="20"/>
          <w:szCs w:val="20"/>
          <w:vertAlign w:val="superscript"/>
        </w:rPr>
        <w:t>a</w:t>
      </w:r>
      <w:r>
        <w:rPr>
          <w:rFonts w:ascii="Arial" w:hAnsi="Arial" w:cs="Arial"/>
          <w:bCs/>
          <w:sz w:val="20"/>
          <w:szCs w:val="20"/>
        </w:rPr>
        <w:t xml:space="preserve"> (exposure) and COVID-19 death</w:t>
      </w:r>
      <w:r w:rsidR="00BD42CC">
        <w:rPr>
          <w:rFonts w:ascii="Arial" w:hAnsi="Arial" w:cs="Arial"/>
          <w:bCs/>
          <w:sz w:val="20"/>
          <w:szCs w:val="20"/>
        </w:rPr>
        <w:t>s</w:t>
      </w:r>
      <w:r w:rsidRPr="005306B5">
        <w:rPr>
          <w:rFonts w:ascii="Arial" w:hAnsi="Arial" w:cs="Arial"/>
          <w:bCs/>
          <w:sz w:val="20"/>
          <w:szCs w:val="20"/>
          <w:vertAlign w:val="superscript"/>
        </w:rPr>
        <w:t>b</w:t>
      </w:r>
      <w:r>
        <w:rPr>
          <w:rFonts w:ascii="Arial" w:hAnsi="Arial" w:cs="Arial"/>
          <w:bCs/>
          <w:sz w:val="20"/>
          <w:szCs w:val="20"/>
        </w:rPr>
        <w:t xml:space="preserve"> (outcome) </w:t>
      </w:r>
      <w:r w:rsidR="00BD42CC">
        <w:rPr>
          <w:rFonts w:ascii="Arial" w:hAnsi="Arial" w:cs="Arial"/>
          <w:bCs/>
          <w:sz w:val="20"/>
          <w:szCs w:val="20"/>
        </w:rPr>
        <w:t xml:space="preserve">during </w:t>
      </w:r>
      <w:r>
        <w:rPr>
          <w:rFonts w:ascii="Arial" w:hAnsi="Arial" w:cs="Arial"/>
          <w:bCs/>
          <w:sz w:val="20"/>
          <w:szCs w:val="20"/>
        </w:rPr>
        <w:t xml:space="preserve">waves </w:t>
      </w:r>
      <w:r w:rsidR="002C0697">
        <w:rPr>
          <w:rFonts w:ascii="Arial" w:hAnsi="Arial" w:cs="Arial"/>
          <w:bCs/>
          <w:sz w:val="20"/>
          <w:szCs w:val="20"/>
        </w:rPr>
        <w:t>four and five</w:t>
      </w:r>
      <w:r>
        <w:rPr>
          <w:rFonts w:ascii="Arial" w:hAnsi="Arial" w:cs="Arial"/>
          <w:bCs/>
          <w:sz w:val="20"/>
          <w:szCs w:val="20"/>
        </w:rPr>
        <w:t xml:space="preserve"> (</w:t>
      </w:r>
      <w:r>
        <w:rPr>
          <w:rFonts w:ascii="Arial" w:hAnsi="Arial" w:cs="Arial"/>
          <w:sz w:val="20"/>
          <w:szCs w:val="20"/>
        </w:rPr>
        <w:t>diagnosis date between Aug 1-Dec 31, 2021</w:t>
      </w:r>
      <w:r>
        <w:rPr>
          <w:rFonts w:ascii="Arial" w:hAnsi="Arial" w:cs="Arial"/>
          <w:bCs/>
          <w:sz w:val="20"/>
          <w:szCs w:val="20"/>
        </w:rPr>
        <w:t xml:space="preserve">), with area-level essential worker </w:t>
      </w:r>
      <w:r w:rsidR="00CC3CC0">
        <w:rPr>
          <w:rFonts w:ascii="Arial" w:hAnsi="Arial" w:cs="Arial"/>
          <w:bCs/>
          <w:sz w:val="20"/>
          <w:szCs w:val="20"/>
        </w:rPr>
        <w:t xml:space="preserve">and housing density </w:t>
      </w:r>
      <w:r>
        <w:rPr>
          <w:rFonts w:ascii="Arial" w:hAnsi="Arial" w:cs="Arial"/>
          <w:bCs/>
          <w:sz w:val="20"/>
          <w:szCs w:val="20"/>
        </w:rPr>
        <w:t xml:space="preserve">measurements </w:t>
      </w:r>
      <w:r w:rsidR="000E53F4">
        <w:rPr>
          <w:rFonts w:ascii="Arial" w:hAnsi="Arial" w:cs="Arial"/>
          <w:bCs/>
          <w:sz w:val="20"/>
          <w:szCs w:val="20"/>
        </w:rPr>
        <w:t xml:space="preserve">each acting as </w:t>
      </w:r>
      <w:r w:rsidR="00FC5E22">
        <w:rPr>
          <w:rFonts w:ascii="Arial" w:hAnsi="Arial" w:cs="Arial"/>
          <w:bCs/>
          <w:sz w:val="20"/>
          <w:szCs w:val="20"/>
        </w:rPr>
        <w:t>a</w:t>
      </w:r>
      <w:r>
        <w:rPr>
          <w:rFonts w:ascii="Arial" w:hAnsi="Arial" w:cs="Arial"/>
          <w:bCs/>
          <w:sz w:val="20"/>
          <w:szCs w:val="20"/>
        </w:rPr>
        <w:t xml:space="preserve"> mediator</w:t>
      </w:r>
      <w:r w:rsidR="00FC5E22">
        <w:rPr>
          <w:rFonts w:ascii="Arial" w:hAnsi="Arial" w:cs="Arial"/>
          <w:bCs/>
          <w:sz w:val="20"/>
          <w:szCs w:val="20"/>
        </w:rPr>
        <w:t xml:space="preserve"> in each model. </w:t>
      </w:r>
    </w:p>
    <w:tbl>
      <w:tblPr>
        <w:tblStyle w:val="TableGrid"/>
        <w:tblW w:w="827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2515"/>
        <w:gridCol w:w="2610"/>
      </w:tblGrid>
      <w:tr w:rsidR="00E01EE6" w14:paraId="5F63B851" w14:textId="77777777" w:rsidTr="00B821E3">
        <w:tc>
          <w:tcPr>
            <w:tcW w:w="3150" w:type="dxa"/>
            <w:tcBorders>
              <w:top w:val="single" w:sz="4" w:space="0" w:color="auto"/>
              <w:bottom w:val="nil"/>
            </w:tcBorders>
            <w:vAlign w:val="center"/>
          </w:tcPr>
          <w:p w14:paraId="67312B8B" w14:textId="37412C96" w:rsidR="00E01EE6" w:rsidRDefault="00E01EE6" w:rsidP="00B821E3">
            <w:pPr>
              <w:rPr>
                <w:rFonts w:ascii="Arial" w:hAnsi="Arial" w:cs="Arial"/>
              </w:rPr>
            </w:pPr>
            <w:r w:rsidRPr="00B613F4">
              <w:rPr>
                <w:rFonts w:ascii="Arial" w:hAnsi="Arial" w:cs="Arial"/>
                <w:b/>
                <w:bCs/>
                <w:color w:val="222222"/>
                <w:sz w:val="16"/>
                <w:szCs w:val="16"/>
              </w:rPr>
              <w:t>Effect decomposition</w:t>
            </w:r>
            <w:r w:rsidR="008A1CEC" w:rsidRPr="008A1CEC">
              <w:rPr>
                <w:rFonts w:ascii="Arial" w:hAnsi="Arial" w:cs="Arial"/>
                <w:bCs/>
                <w:color w:val="222222"/>
                <w:sz w:val="16"/>
                <w:szCs w:val="16"/>
                <w:vertAlign w:val="superscript"/>
              </w:rPr>
              <w:t>c</w:t>
            </w:r>
          </w:p>
        </w:tc>
        <w:tc>
          <w:tcPr>
            <w:tcW w:w="5125" w:type="dxa"/>
            <w:gridSpan w:val="2"/>
            <w:tcBorders>
              <w:top w:val="single" w:sz="4" w:space="0" w:color="auto"/>
              <w:bottom w:val="single" w:sz="4" w:space="0" w:color="auto"/>
            </w:tcBorders>
          </w:tcPr>
          <w:p w14:paraId="646059D9" w14:textId="54CE1A9F" w:rsidR="00E01EE6" w:rsidRDefault="00E01EE6" w:rsidP="00B821E3">
            <w:pPr>
              <w:jc w:val="center"/>
              <w:rPr>
                <w:rFonts w:ascii="Arial" w:hAnsi="Arial" w:cs="Arial"/>
              </w:rPr>
            </w:pPr>
            <w:r w:rsidRPr="00B613F4">
              <w:rPr>
                <w:rFonts w:ascii="Arial" w:hAnsi="Arial" w:cs="Arial"/>
                <w:color w:val="222222"/>
                <w:sz w:val="16"/>
                <w:szCs w:val="16"/>
                <w:lang w:val="fr-FR"/>
              </w:rPr>
              <w:t>Adjusted</w:t>
            </w:r>
            <w:r w:rsidR="00560BF0" w:rsidRPr="00560BF0">
              <w:rPr>
                <w:rFonts w:ascii="Arial" w:hAnsi="Arial" w:cs="Arial"/>
                <w:color w:val="222222"/>
                <w:sz w:val="16"/>
                <w:szCs w:val="16"/>
                <w:vertAlign w:val="superscript"/>
                <w:lang w:val="fr-FR"/>
              </w:rPr>
              <w:t>d</w:t>
            </w:r>
            <w:r w:rsidRPr="00B613F4">
              <w:rPr>
                <w:rFonts w:ascii="Arial" w:hAnsi="Arial" w:cs="Arial"/>
                <w:color w:val="222222"/>
                <w:sz w:val="16"/>
                <w:szCs w:val="16"/>
                <w:lang w:val="fr-FR"/>
              </w:rPr>
              <w:t xml:space="preserve"> Hazard ratios or proportion mediated (95% CI)</w:t>
            </w:r>
          </w:p>
        </w:tc>
      </w:tr>
      <w:tr w:rsidR="00CC3CC0" w14:paraId="24785B26" w14:textId="77777777" w:rsidTr="00213BAB">
        <w:trPr>
          <w:trHeight w:val="20"/>
        </w:trPr>
        <w:tc>
          <w:tcPr>
            <w:tcW w:w="3150" w:type="dxa"/>
            <w:tcBorders>
              <w:top w:val="nil"/>
              <w:bottom w:val="single" w:sz="4" w:space="0" w:color="auto"/>
            </w:tcBorders>
            <w:vAlign w:val="center"/>
          </w:tcPr>
          <w:p w14:paraId="0FA2D724" w14:textId="6910B3A5" w:rsidR="00CC3CC0" w:rsidRDefault="00CC3CC0" w:rsidP="00661330">
            <w:pPr>
              <w:rPr>
                <w:rFonts w:ascii="Arial" w:hAnsi="Arial" w:cs="Arial"/>
              </w:rPr>
            </w:pPr>
            <w:r w:rsidRPr="00B613F4">
              <w:rPr>
                <w:rFonts w:ascii="Arial" w:hAnsi="Arial" w:cs="Arial"/>
                <w:color w:val="222222"/>
                <w:sz w:val="16"/>
                <w:szCs w:val="16"/>
              </w:rPr>
              <w:t xml:space="preserve">Income quintile </w:t>
            </w:r>
            <w:r w:rsidR="00661330">
              <w:rPr>
                <w:rFonts w:ascii="Arial" w:hAnsi="Arial" w:cs="Arial"/>
                <w:color w:val="222222"/>
                <w:sz w:val="16"/>
                <w:szCs w:val="16"/>
              </w:rPr>
              <w:t>1</w:t>
            </w:r>
            <w:r w:rsidR="00661330" w:rsidRPr="00B613F4">
              <w:rPr>
                <w:rFonts w:ascii="Arial" w:hAnsi="Arial" w:cs="Arial"/>
                <w:color w:val="222222"/>
                <w:sz w:val="16"/>
                <w:szCs w:val="16"/>
              </w:rPr>
              <w:t xml:space="preserve"> </w:t>
            </w:r>
            <w:r w:rsidRPr="00B613F4">
              <w:rPr>
                <w:rFonts w:ascii="Arial" w:hAnsi="Arial" w:cs="Arial"/>
                <w:color w:val="222222"/>
                <w:sz w:val="16"/>
                <w:szCs w:val="16"/>
              </w:rPr>
              <w:t xml:space="preserve">vs. </w:t>
            </w:r>
            <w:r w:rsidR="00661330">
              <w:rPr>
                <w:rFonts w:ascii="Arial" w:hAnsi="Arial" w:cs="Arial"/>
                <w:color w:val="222222"/>
                <w:sz w:val="16"/>
                <w:szCs w:val="16"/>
              </w:rPr>
              <w:t>5</w:t>
            </w:r>
            <w:r w:rsidR="00661330" w:rsidRPr="00B613F4">
              <w:rPr>
                <w:rFonts w:ascii="Arial" w:hAnsi="Arial" w:cs="Arial"/>
                <w:color w:val="222222"/>
                <w:sz w:val="16"/>
                <w:szCs w:val="16"/>
              </w:rPr>
              <w:t xml:space="preserve"> </w:t>
            </w:r>
            <w:r w:rsidRPr="00B613F4">
              <w:rPr>
                <w:rFonts w:ascii="Arial" w:hAnsi="Arial" w:cs="Arial"/>
                <w:color w:val="222222"/>
                <w:sz w:val="16"/>
                <w:szCs w:val="16"/>
              </w:rPr>
              <w:t>(highest)</w:t>
            </w:r>
          </w:p>
        </w:tc>
        <w:tc>
          <w:tcPr>
            <w:tcW w:w="2515" w:type="dxa"/>
            <w:tcBorders>
              <w:top w:val="single" w:sz="4" w:space="0" w:color="auto"/>
              <w:bottom w:val="single" w:sz="4" w:space="0" w:color="auto"/>
            </w:tcBorders>
            <w:vAlign w:val="center"/>
          </w:tcPr>
          <w:p w14:paraId="75244024" w14:textId="6B0D6FEC" w:rsidR="00CC3CC0" w:rsidRDefault="00CC3CC0" w:rsidP="00CC3CC0">
            <w:pPr>
              <w:rPr>
                <w:rFonts w:ascii="Arial" w:hAnsi="Arial" w:cs="Arial"/>
              </w:rPr>
            </w:pPr>
            <w:r>
              <w:rPr>
                <w:rFonts w:ascii="Arial" w:hAnsi="Arial" w:cs="Arial"/>
                <w:b/>
                <w:bCs/>
                <w:color w:val="222222"/>
                <w:sz w:val="16"/>
                <w:szCs w:val="16"/>
              </w:rPr>
              <w:t>Area-level essential worker</w:t>
            </w:r>
            <w:r w:rsidR="00BD42CC">
              <w:rPr>
                <w:rFonts w:ascii="Arial" w:hAnsi="Arial" w:cs="Arial"/>
                <w:b/>
                <w:bCs/>
                <w:color w:val="222222"/>
                <w:sz w:val="16"/>
                <w:szCs w:val="16"/>
              </w:rPr>
              <w:t xml:space="preserve"> </w:t>
            </w:r>
            <w:r w:rsidR="00BD42CC" w:rsidRPr="00BD42CC">
              <w:rPr>
                <w:rFonts w:ascii="Arial" w:hAnsi="Arial" w:cs="Arial"/>
                <w:bCs/>
                <w:color w:val="222222"/>
                <w:sz w:val="16"/>
                <w:szCs w:val="16"/>
              </w:rPr>
              <w:t>(quintile 5 vs. 1 (lowest))</w:t>
            </w:r>
            <w:r w:rsidRPr="00BD42CC">
              <w:rPr>
                <w:rFonts w:ascii="Arial" w:hAnsi="Arial" w:cs="Arial"/>
                <w:bCs/>
                <w:color w:val="222222"/>
                <w:sz w:val="16"/>
                <w:szCs w:val="16"/>
                <w:vertAlign w:val="superscript"/>
              </w:rPr>
              <w:t>e</w:t>
            </w:r>
          </w:p>
        </w:tc>
        <w:tc>
          <w:tcPr>
            <w:tcW w:w="2610" w:type="dxa"/>
            <w:tcBorders>
              <w:top w:val="single" w:sz="4" w:space="0" w:color="auto"/>
              <w:bottom w:val="single" w:sz="4" w:space="0" w:color="auto"/>
            </w:tcBorders>
          </w:tcPr>
          <w:p w14:paraId="2E2AAEC8" w14:textId="77777777" w:rsidR="00BD42CC" w:rsidRDefault="00CC3CC0" w:rsidP="00CC3CC0">
            <w:pPr>
              <w:rPr>
                <w:rFonts w:ascii="Arial" w:hAnsi="Arial" w:cs="Arial"/>
                <w:b/>
                <w:bCs/>
                <w:color w:val="222222"/>
                <w:sz w:val="16"/>
                <w:szCs w:val="16"/>
              </w:rPr>
            </w:pPr>
            <w:r>
              <w:rPr>
                <w:rFonts w:ascii="Arial" w:hAnsi="Arial" w:cs="Arial"/>
                <w:b/>
                <w:bCs/>
                <w:color w:val="222222"/>
                <w:sz w:val="16"/>
                <w:szCs w:val="16"/>
              </w:rPr>
              <w:t>Area-level housing density</w:t>
            </w:r>
          </w:p>
          <w:p w14:paraId="0ABD8A89" w14:textId="3E4575D5" w:rsidR="00CC3CC0" w:rsidRDefault="00BD42CC" w:rsidP="00CC3CC0">
            <w:pPr>
              <w:rPr>
                <w:rFonts w:ascii="Arial" w:hAnsi="Arial" w:cs="Arial"/>
              </w:rPr>
            </w:pPr>
            <w:r w:rsidRPr="00A33502">
              <w:rPr>
                <w:rFonts w:ascii="Arial" w:hAnsi="Arial" w:cs="Arial"/>
                <w:bCs/>
                <w:color w:val="222222"/>
                <w:sz w:val="16"/>
                <w:szCs w:val="16"/>
              </w:rPr>
              <w:t>(quintile 5 vs. 1 (lowest))</w:t>
            </w:r>
            <w:r w:rsidRPr="00BD42CC">
              <w:rPr>
                <w:rFonts w:ascii="Arial" w:hAnsi="Arial" w:cs="Arial"/>
                <w:bCs/>
                <w:color w:val="222222"/>
                <w:sz w:val="16"/>
                <w:szCs w:val="16"/>
                <w:vertAlign w:val="superscript"/>
              </w:rPr>
              <w:t>e</w:t>
            </w:r>
            <w:r>
              <w:rPr>
                <w:rFonts w:ascii="Arial" w:hAnsi="Arial" w:cs="Arial"/>
                <w:b/>
                <w:bCs/>
                <w:color w:val="222222"/>
                <w:sz w:val="16"/>
                <w:szCs w:val="16"/>
                <w:vertAlign w:val="superscript"/>
              </w:rPr>
              <w:t xml:space="preserve"> </w:t>
            </w:r>
            <w:r w:rsidR="00CC3CC0">
              <w:rPr>
                <w:rFonts w:ascii="Arial" w:hAnsi="Arial" w:cs="Arial"/>
                <w:b/>
                <w:bCs/>
                <w:color w:val="222222"/>
                <w:sz w:val="16"/>
                <w:szCs w:val="16"/>
                <w:vertAlign w:val="superscript"/>
              </w:rPr>
              <w:t>f</w:t>
            </w:r>
          </w:p>
        </w:tc>
      </w:tr>
      <w:tr w:rsidR="00CC3CC0" w14:paraId="49E539CD" w14:textId="77777777" w:rsidTr="00213BAB">
        <w:tc>
          <w:tcPr>
            <w:tcW w:w="3150" w:type="dxa"/>
            <w:tcBorders>
              <w:top w:val="single" w:sz="4" w:space="0" w:color="auto"/>
            </w:tcBorders>
            <w:vAlign w:val="center"/>
          </w:tcPr>
          <w:p w14:paraId="384D8F2E" w14:textId="77777777" w:rsidR="00CC3CC0" w:rsidRDefault="00CC3CC0" w:rsidP="00CC3CC0">
            <w:pPr>
              <w:rPr>
                <w:rFonts w:ascii="Arial" w:hAnsi="Arial" w:cs="Arial"/>
              </w:rPr>
            </w:pPr>
            <w:r w:rsidRPr="00B613F4">
              <w:rPr>
                <w:rFonts w:ascii="Arial" w:hAnsi="Arial" w:cs="Arial"/>
                <w:color w:val="222222"/>
                <w:sz w:val="16"/>
                <w:szCs w:val="16"/>
              </w:rPr>
              <w:t>Total effect</w:t>
            </w:r>
          </w:p>
        </w:tc>
        <w:tc>
          <w:tcPr>
            <w:tcW w:w="2515" w:type="dxa"/>
            <w:tcBorders>
              <w:top w:val="single" w:sz="4" w:space="0" w:color="auto"/>
            </w:tcBorders>
          </w:tcPr>
          <w:p w14:paraId="127AB167" w14:textId="77777777" w:rsidR="00CC3CC0" w:rsidRDefault="00CC3CC0" w:rsidP="00CC3CC0">
            <w:pPr>
              <w:rPr>
                <w:rFonts w:ascii="Arial" w:hAnsi="Arial" w:cs="Arial"/>
              </w:rPr>
            </w:pPr>
          </w:p>
        </w:tc>
        <w:tc>
          <w:tcPr>
            <w:tcW w:w="2610" w:type="dxa"/>
            <w:tcBorders>
              <w:top w:val="single" w:sz="4" w:space="0" w:color="auto"/>
            </w:tcBorders>
            <w:vAlign w:val="center"/>
          </w:tcPr>
          <w:p w14:paraId="07F48028" w14:textId="77777777" w:rsidR="00CC3CC0" w:rsidRDefault="00CC3CC0" w:rsidP="00CC3CC0">
            <w:pPr>
              <w:rPr>
                <w:rFonts w:ascii="Arial" w:hAnsi="Arial" w:cs="Arial"/>
              </w:rPr>
            </w:pPr>
          </w:p>
        </w:tc>
      </w:tr>
      <w:tr w:rsidR="00CC3CC0" w14:paraId="4E2B4E94" w14:textId="77777777" w:rsidTr="00B821E3">
        <w:tc>
          <w:tcPr>
            <w:tcW w:w="3150" w:type="dxa"/>
            <w:vAlign w:val="center"/>
          </w:tcPr>
          <w:p w14:paraId="79E73AF2" w14:textId="77777777" w:rsidR="00CC3CC0" w:rsidRDefault="00CC3CC0" w:rsidP="00CC3CC0">
            <w:pPr>
              <w:rPr>
                <w:rFonts w:ascii="Arial" w:hAnsi="Arial" w:cs="Arial"/>
              </w:rPr>
            </w:pPr>
            <w:r w:rsidRPr="00B613F4">
              <w:rPr>
                <w:rFonts w:ascii="Arial" w:hAnsi="Arial" w:cs="Arial"/>
                <w:color w:val="222222"/>
                <w:sz w:val="16"/>
                <w:szCs w:val="16"/>
              </w:rPr>
              <w:t>Direct effect</w:t>
            </w:r>
          </w:p>
        </w:tc>
        <w:tc>
          <w:tcPr>
            <w:tcW w:w="2515" w:type="dxa"/>
            <w:vAlign w:val="bottom"/>
          </w:tcPr>
          <w:p w14:paraId="36CD4F13" w14:textId="1D24539E" w:rsidR="00CC3CC0" w:rsidRDefault="00CC3CC0" w:rsidP="00CC3CC0">
            <w:pPr>
              <w:rPr>
                <w:rFonts w:ascii="Arial" w:hAnsi="Arial" w:cs="Arial"/>
              </w:rPr>
            </w:pPr>
            <w:r w:rsidRPr="00B613F4">
              <w:rPr>
                <w:rFonts w:ascii="Arial" w:hAnsi="Arial" w:cs="Arial"/>
                <w:color w:val="000000"/>
                <w:sz w:val="16"/>
                <w:szCs w:val="16"/>
              </w:rPr>
              <w:t>1.83 (1.34, 2.48)</w:t>
            </w:r>
          </w:p>
        </w:tc>
        <w:tc>
          <w:tcPr>
            <w:tcW w:w="2610" w:type="dxa"/>
            <w:vAlign w:val="bottom"/>
          </w:tcPr>
          <w:p w14:paraId="7D5F5ACC" w14:textId="3644407B" w:rsidR="00CC3CC0" w:rsidRDefault="00CC3CC0" w:rsidP="00CC3CC0">
            <w:pPr>
              <w:rPr>
                <w:rFonts w:ascii="Arial" w:hAnsi="Arial" w:cs="Arial"/>
              </w:rPr>
            </w:pPr>
            <w:r w:rsidRPr="00B613F4">
              <w:rPr>
                <w:rFonts w:ascii="Arial" w:hAnsi="Arial" w:cs="Arial"/>
                <w:color w:val="000000"/>
                <w:sz w:val="16"/>
                <w:szCs w:val="16"/>
              </w:rPr>
              <w:t>1.65 (1.2, 2.27)</w:t>
            </w:r>
          </w:p>
        </w:tc>
      </w:tr>
      <w:tr w:rsidR="00CC3CC0" w14:paraId="183C454F" w14:textId="77777777" w:rsidTr="00B821E3">
        <w:tc>
          <w:tcPr>
            <w:tcW w:w="3150" w:type="dxa"/>
            <w:vAlign w:val="center"/>
          </w:tcPr>
          <w:p w14:paraId="6E725104" w14:textId="77777777" w:rsidR="00CC3CC0" w:rsidRDefault="00CC3CC0" w:rsidP="00CC3CC0">
            <w:pPr>
              <w:rPr>
                <w:rFonts w:ascii="Arial" w:hAnsi="Arial" w:cs="Arial"/>
              </w:rPr>
            </w:pPr>
            <w:r w:rsidRPr="00B613F4">
              <w:rPr>
                <w:rFonts w:ascii="Arial" w:hAnsi="Arial" w:cs="Arial"/>
                <w:color w:val="222222"/>
                <w:sz w:val="16"/>
                <w:szCs w:val="16"/>
              </w:rPr>
              <w:t>Indirect effect</w:t>
            </w:r>
          </w:p>
        </w:tc>
        <w:tc>
          <w:tcPr>
            <w:tcW w:w="2515" w:type="dxa"/>
            <w:vAlign w:val="bottom"/>
          </w:tcPr>
          <w:p w14:paraId="329AEAB5" w14:textId="00B028AD" w:rsidR="00CC3CC0" w:rsidRDefault="00CC3CC0" w:rsidP="00CC3CC0">
            <w:pPr>
              <w:rPr>
                <w:rFonts w:ascii="Arial" w:hAnsi="Arial" w:cs="Arial"/>
              </w:rPr>
            </w:pPr>
            <w:r w:rsidRPr="00B613F4">
              <w:rPr>
                <w:rFonts w:ascii="Arial" w:hAnsi="Arial" w:cs="Arial"/>
                <w:color w:val="000000"/>
                <w:sz w:val="16"/>
                <w:szCs w:val="16"/>
              </w:rPr>
              <w:t>1.58 (1.15, 2.17)</w:t>
            </w:r>
          </w:p>
        </w:tc>
        <w:tc>
          <w:tcPr>
            <w:tcW w:w="2610" w:type="dxa"/>
            <w:vAlign w:val="bottom"/>
          </w:tcPr>
          <w:p w14:paraId="7C2AFD17" w14:textId="736A872C" w:rsidR="00CC3CC0" w:rsidRDefault="00CC3CC0" w:rsidP="00CC3CC0">
            <w:pPr>
              <w:rPr>
                <w:rFonts w:ascii="Arial" w:hAnsi="Arial" w:cs="Arial"/>
              </w:rPr>
            </w:pPr>
            <w:r w:rsidRPr="00B613F4">
              <w:rPr>
                <w:rFonts w:ascii="Arial" w:hAnsi="Arial" w:cs="Arial"/>
                <w:color w:val="000000"/>
                <w:sz w:val="16"/>
                <w:szCs w:val="16"/>
              </w:rPr>
              <w:t>1.59 (1.16, 2.2)</w:t>
            </w:r>
          </w:p>
        </w:tc>
      </w:tr>
      <w:tr w:rsidR="00CC3CC0" w14:paraId="29D05B42" w14:textId="77777777" w:rsidTr="00B821E3">
        <w:tc>
          <w:tcPr>
            <w:tcW w:w="3150" w:type="dxa"/>
            <w:vAlign w:val="center"/>
          </w:tcPr>
          <w:p w14:paraId="5B3B952E" w14:textId="77777777" w:rsidR="00CC3CC0" w:rsidRPr="00B613F4" w:rsidRDefault="00CC3CC0" w:rsidP="00CC3CC0">
            <w:pPr>
              <w:rPr>
                <w:rFonts w:ascii="Arial" w:hAnsi="Arial" w:cs="Arial"/>
                <w:color w:val="222222"/>
                <w:sz w:val="16"/>
                <w:szCs w:val="16"/>
              </w:rPr>
            </w:pPr>
            <w:r w:rsidRPr="00B613F4">
              <w:rPr>
                <w:rFonts w:ascii="Arial" w:hAnsi="Arial" w:cs="Arial"/>
                <w:color w:val="222222"/>
                <w:sz w:val="16"/>
                <w:szCs w:val="16"/>
              </w:rPr>
              <w:t>Proportion mediated</w:t>
            </w:r>
          </w:p>
        </w:tc>
        <w:tc>
          <w:tcPr>
            <w:tcW w:w="2515" w:type="dxa"/>
            <w:vAlign w:val="bottom"/>
          </w:tcPr>
          <w:p w14:paraId="17D6E95E" w14:textId="23656D94" w:rsidR="00CC3CC0" w:rsidRDefault="00CC3CC0" w:rsidP="00CC3CC0">
            <w:pPr>
              <w:rPr>
                <w:rFonts w:ascii="Arial" w:hAnsi="Arial" w:cs="Arial"/>
              </w:rPr>
            </w:pPr>
            <w:r w:rsidRPr="00B613F4">
              <w:rPr>
                <w:rFonts w:ascii="Arial" w:hAnsi="Arial" w:cs="Arial"/>
                <w:color w:val="000000"/>
                <w:sz w:val="16"/>
                <w:szCs w:val="16"/>
              </w:rPr>
              <w:t>1.16 (1.08, 1.24)</w:t>
            </w:r>
          </w:p>
        </w:tc>
        <w:tc>
          <w:tcPr>
            <w:tcW w:w="2610" w:type="dxa"/>
            <w:vAlign w:val="bottom"/>
          </w:tcPr>
          <w:p w14:paraId="2AC384F4" w14:textId="58D090AE" w:rsidR="00CC3CC0" w:rsidRDefault="00CC3CC0" w:rsidP="00CC3CC0">
            <w:pPr>
              <w:rPr>
                <w:rFonts w:ascii="Arial" w:hAnsi="Arial" w:cs="Arial"/>
              </w:rPr>
            </w:pPr>
            <w:r w:rsidRPr="00B613F4">
              <w:rPr>
                <w:rFonts w:ascii="Arial" w:hAnsi="Arial" w:cs="Arial"/>
                <w:color w:val="000000"/>
                <w:sz w:val="16"/>
                <w:szCs w:val="16"/>
              </w:rPr>
              <w:t>1.04 (0.99, 1.08)</w:t>
            </w:r>
          </w:p>
        </w:tc>
      </w:tr>
      <w:tr w:rsidR="00CC3CC0" w14:paraId="1150C141" w14:textId="77777777" w:rsidTr="00B821E3">
        <w:tc>
          <w:tcPr>
            <w:tcW w:w="3150" w:type="dxa"/>
            <w:vAlign w:val="center"/>
          </w:tcPr>
          <w:p w14:paraId="3949CBEB" w14:textId="77777777" w:rsidR="00CC3CC0" w:rsidRPr="00B613F4" w:rsidRDefault="00CC3CC0" w:rsidP="00CC3CC0">
            <w:pPr>
              <w:rPr>
                <w:rFonts w:ascii="Arial" w:hAnsi="Arial" w:cs="Arial"/>
                <w:color w:val="222222"/>
                <w:sz w:val="16"/>
                <w:szCs w:val="16"/>
              </w:rPr>
            </w:pPr>
          </w:p>
        </w:tc>
        <w:tc>
          <w:tcPr>
            <w:tcW w:w="2515" w:type="dxa"/>
            <w:vAlign w:val="bottom"/>
          </w:tcPr>
          <w:p w14:paraId="5F20C126" w14:textId="2594EC7D" w:rsidR="00CC3CC0" w:rsidRPr="00B613F4" w:rsidRDefault="00CC3CC0" w:rsidP="00CC3CC0">
            <w:pPr>
              <w:rPr>
                <w:rFonts w:ascii="Arial" w:hAnsi="Arial" w:cs="Arial"/>
                <w:color w:val="000000"/>
                <w:sz w:val="16"/>
                <w:szCs w:val="16"/>
              </w:rPr>
            </w:pPr>
            <w:r w:rsidRPr="00B613F4">
              <w:rPr>
                <w:rFonts w:ascii="Arial" w:hAnsi="Arial" w:cs="Arial"/>
                <w:color w:val="000000"/>
                <w:sz w:val="16"/>
                <w:szCs w:val="16"/>
              </w:rPr>
              <w:t>29.8% (12.3%, 47.2%)</w:t>
            </w:r>
          </w:p>
        </w:tc>
        <w:tc>
          <w:tcPr>
            <w:tcW w:w="2610" w:type="dxa"/>
            <w:vAlign w:val="bottom"/>
          </w:tcPr>
          <w:p w14:paraId="069EB34A" w14:textId="544B3A0D" w:rsidR="00CC3CC0" w:rsidRPr="00B613F4" w:rsidRDefault="00CC3CC0" w:rsidP="00CC3CC0">
            <w:pPr>
              <w:rPr>
                <w:rFonts w:ascii="Arial" w:hAnsi="Arial" w:cs="Arial"/>
                <w:color w:val="000000"/>
                <w:sz w:val="16"/>
                <w:szCs w:val="16"/>
              </w:rPr>
            </w:pPr>
            <w:r w:rsidRPr="00B613F4">
              <w:rPr>
                <w:rFonts w:ascii="Arial" w:hAnsi="Arial" w:cs="Arial"/>
                <w:color w:val="000000"/>
                <w:sz w:val="16"/>
                <w:szCs w:val="16"/>
              </w:rPr>
              <w:t>8.7% (-3.4%, 20.8%)</w:t>
            </w:r>
          </w:p>
        </w:tc>
      </w:tr>
    </w:tbl>
    <w:p w14:paraId="1866615F" w14:textId="0FCEE107" w:rsidR="008A1CEC" w:rsidRPr="006B74A2" w:rsidRDefault="008A1CEC" w:rsidP="008A1CEC">
      <w:pPr>
        <w:spacing w:after="0" w:line="240" w:lineRule="auto"/>
        <w:rPr>
          <w:rFonts w:ascii="Arial" w:hAnsi="Arial" w:cs="Arial"/>
          <w:noProof/>
          <w:sz w:val="16"/>
          <w:szCs w:val="16"/>
        </w:rPr>
      </w:pPr>
      <w:r>
        <w:rPr>
          <w:rFonts w:ascii="Arial" w:hAnsi="Arial" w:cs="Arial"/>
          <w:noProof/>
          <w:sz w:val="16"/>
          <w:szCs w:val="16"/>
          <w:vertAlign w:val="superscript"/>
        </w:rPr>
        <w:t>a</w:t>
      </w:r>
      <w:r w:rsidRPr="00491159">
        <w:rPr>
          <w:rFonts w:ascii="Arial" w:hAnsi="Arial" w:cs="Arial"/>
          <w:noProof/>
          <w:sz w:val="16"/>
          <w:szCs w:val="16"/>
        </w:rPr>
        <w:t>Dissemination areas were ranked within each city by their median household income to create</w:t>
      </w:r>
      <w:r>
        <w:rPr>
          <w:rFonts w:ascii="Arial" w:hAnsi="Arial" w:cs="Arial"/>
          <w:noProof/>
          <w:sz w:val="16"/>
          <w:szCs w:val="16"/>
        </w:rPr>
        <w:t xml:space="preserve"> income</w:t>
      </w:r>
      <w:r w:rsidRPr="00491159">
        <w:rPr>
          <w:rFonts w:ascii="Arial" w:hAnsi="Arial" w:cs="Arial"/>
          <w:noProof/>
          <w:sz w:val="16"/>
          <w:szCs w:val="16"/>
        </w:rPr>
        <w:t xml:space="preserve"> quintiles; we ranked within city instead of within </w:t>
      </w:r>
      <w:r w:rsidR="00B40E6D">
        <w:rPr>
          <w:rFonts w:ascii="Arial" w:hAnsi="Arial" w:cs="Arial"/>
          <w:noProof/>
          <w:sz w:val="16"/>
          <w:szCs w:val="16"/>
        </w:rPr>
        <w:t xml:space="preserve">the </w:t>
      </w:r>
      <w:r w:rsidRPr="00491159">
        <w:rPr>
          <w:rFonts w:ascii="Arial" w:hAnsi="Arial" w:cs="Arial"/>
          <w:noProof/>
          <w:sz w:val="16"/>
          <w:szCs w:val="16"/>
        </w:rPr>
        <w:t>entire province</w:t>
      </w:r>
      <w:r w:rsidR="00B40E6D">
        <w:rPr>
          <w:rFonts w:ascii="Arial" w:hAnsi="Arial" w:cs="Arial"/>
          <w:noProof/>
          <w:sz w:val="16"/>
          <w:szCs w:val="16"/>
        </w:rPr>
        <w:t xml:space="preserve"> </w:t>
      </w:r>
      <w:r w:rsidRPr="00491159">
        <w:rPr>
          <w:rFonts w:ascii="Arial" w:hAnsi="Arial" w:cs="Arial"/>
          <w:noProof/>
          <w:sz w:val="16"/>
          <w:szCs w:val="16"/>
        </w:rPr>
        <w:t xml:space="preserve">to take </w:t>
      </w:r>
      <w:r w:rsidR="00B40E6D">
        <w:rPr>
          <w:rFonts w:ascii="Arial" w:hAnsi="Arial" w:cs="Arial"/>
          <w:noProof/>
          <w:sz w:val="16"/>
          <w:szCs w:val="16"/>
        </w:rPr>
        <w:t xml:space="preserve">the </w:t>
      </w:r>
      <w:r w:rsidRPr="00491159">
        <w:rPr>
          <w:rFonts w:ascii="Arial" w:hAnsi="Arial" w:cs="Arial"/>
          <w:noProof/>
          <w:sz w:val="16"/>
          <w:szCs w:val="16"/>
        </w:rPr>
        <w:t xml:space="preserve">cost of living into account; a disseminaton area being in quintile 1 means it is among the </w:t>
      </w:r>
      <w:r w:rsidR="00BD42CC">
        <w:rPr>
          <w:rFonts w:ascii="Arial" w:hAnsi="Arial" w:cs="Arial"/>
          <w:noProof/>
          <w:sz w:val="16"/>
          <w:szCs w:val="16"/>
        </w:rPr>
        <w:t>lowest</w:t>
      </w:r>
      <w:r w:rsidR="00BD42CC" w:rsidRPr="00491159">
        <w:rPr>
          <w:rFonts w:ascii="Arial" w:hAnsi="Arial" w:cs="Arial"/>
          <w:noProof/>
          <w:sz w:val="16"/>
          <w:szCs w:val="16"/>
        </w:rPr>
        <w:t xml:space="preserve"> </w:t>
      </w:r>
      <w:r w:rsidRPr="00491159">
        <w:rPr>
          <w:rFonts w:ascii="Arial" w:hAnsi="Arial" w:cs="Arial"/>
          <w:noProof/>
          <w:sz w:val="16"/>
          <w:szCs w:val="16"/>
        </w:rPr>
        <w:t xml:space="preserve">20% of dissenmination areas in its city by median </w:t>
      </w:r>
      <w:r w:rsidRPr="00184F0C">
        <w:rPr>
          <w:rFonts w:ascii="Arial" w:hAnsi="Arial" w:cs="Arial"/>
          <w:noProof/>
          <w:sz w:val="16"/>
          <w:szCs w:val="16"/>
        </w:rPr>
        <w:t>household income</w:t>
      </w:r>
      <w:r w:rsidR="00FC5E22" w:rsidRPr="00184F0C">
        <w:rPr>
          <w:rFonts w:ascii="Arial" w:hAnsi="Arial" w:cs="Arial"/>
          <w:noProof/>
          <w:sz w:val="16"/>
          <w:szCs w:val="16"/>
        </w:rPr>
        <w:t>.</w:t>
      </w:r>
      <w:r w:rsidRPr="00184F0C">
        <w:rPr>
          <w:rFonts w:ascii="Arial" w:hAnsi="Arial" w:cs="Arial"/>
          <w:noProof/>
          <w:sz w:val="16"/>
          <w:szCs w:val="16"/>
        </w:rPr>
        <w:t xml:space="preserve"> </w:t>
      </w:r>
    </w:p>
    <w:p w14:paraId="2AB2432B" w14:textId="430B2145" w:rsidR="008A1CEC" w:rsidRPr="00C363A3" w:rsidRDefault="008A1CEC" w:rsidP="008A1CEC">
      <w:pPr>
        <w:spacing w:after="0" w:line="240" w:lineRule="auto"/>
        <w:rPr>
          <w:rFonts w:ascii="Arial" w:hAnsi="Arial" w:cs="Arial"/>
          <w:noProof/>
          <w:sz w:val="16"/>
          <w:szCs w:val="16"/>
        </w:rPr>
      </w:pPr>
      <w:r w:rsidRPr="00C363A3">
        <w:rPr>
          <w:rFonts w:ascii="Arial" w:hAnsi="Arial" w:cs="Arial"/>
          <w:noProof/>
          <w:sz w:val="16"/>
          <w:szCs w:val="16"/>
          <w:vertAlign w:val="superscript"/>
        </w:rPr>
        <w:t>b</w:t>
      </w:r>
      <w:r w:rsidRPr="00C363A3">
        <w:rPr>
          <w:rFonts w:ascii="Arial" w:hAnsi="Arial" w:cs="Arial"/>
          <w:noProof/>
          <w:sz w:val="16"/>
          <w:szCs w:val="16"/>
        </w:rPr>
        <w:t xml:space="preserve">Death within 30 days following or 7 days prior to a lab-confirmed positive </w:t>
      </w:r>
      <w:r w:rsidRPr="00BD42CC">
        <w:rPr>
          <w:rFonts w:ascii="Arial" w:hAnsi="Arial" w:cs="Arial"/>
          <w:noProof/>
          <w:sz w:val="16"/>
          <w:szCs w:val="16"/>
        </w:rPr>
        <w:t>SARS-CoV-2</w:t>
      </w:r>
      <w:r w:rsidRPr="00184F0C">
        <w:rPr>
          <w:rFonts w:ascii="Arial" w:hAnsi="Arial" w:cs="Arial"/>
          <w:noProof/>
          <w:sz w:val="16"/>
          <w:szCs w:val="16"/>
        </w:rPr>
        <w:t xml:space="preserve"> test was considered</w:t>
      </w:r>
      <w:r w:rsidR="00B40E6D" w:rsidRPr="00184F0C">
        <w:rPr>
          <w:rFonts w:ascii="Arial" w:hAnsi="Arial" w:cs="Arial"/>
          <w:noProof/>
          <w:sz w:val="16"/>
          <w:szCs w:val="16"/>
        </w:rPr>
        <w:t xml:space="preserve"> a</w:t>
      </w:r>
      <w:r w:rsidRPr="00184F0C">
        <w:rPr>
          <w:rFonts w:ascii="Arial" w:hAnsi="Arial" w:cs="Arial"/>
          <w:noProof/>
          <w:sz w:val="16"/>
          <w:szCs w:val="16"/>
        </w:rPr>
        <w:t xml:space="preserve"> COVID-19 death</w:t>
      </w:r>
      <w:r w:rsidR="00FC5E22" w:rsidRPr="006B74A2">
        <w:rPr>
          <w:rFonts w:ascii="Arial" w:hAnsi="Arial" w:cs="Arial"/>
          <w:noProof/>
          <w:sz w:val="16"/>
          <w:szCs w:val="16"/>
        </w:rPr>
        <w:t>.</w:t>
      </w:r>
    </w:p>
    <w:p w14:paraId="475A5B38" w14:textId="1D081AE0" w:rsidR="008A1CEC" w:rsidRDefault="008A1CEC" w:rsidP="008A1CEC">
      <w:pPr>
        <w:spacing w:after="0" w:line="240" w:lineRule="auto"/>
        <w:rPr>
          <w:rFonts w:ascii="Arial" w:hAnsi="Arial" w:cs="Arial"/>
          <w:bCs/>
          <w:sz w:val="16"/>
          <w:szCs w:val="16"/>
        </w:rPr>
      </w:pPr>
      <w:r w:rsidRPr="00BF68B6">
        <w:rPr>
          <w:rFonts w:ascii="Arial" w:hAnsi="Arial" w:cs="Arial"/>
          <w:sz w:val="16"/>
          <w:szCs w:val="16"/>
          <w:vertAlign w:val="superscript"/>
        </w:rPr>
        <w:t>c</w:t>
      </w:r>
      <w:r w:rsidRPr="00BF68B6">
        <w:rPr>
          <w:rFonts w:ascii="Arial" w:hAnsi="Arial" w:cs="Arial"/>
          <w:sz w:val="16"/>
          <w:szCs w:val="16"/>
        </w:rPr>
        <w:t>Regression-based causal mediation analyses were employed to estimate</w:t>
      </w:r>
      <w:r w:rsidR="00B40E6D" w:rsidRPr="00BF68B6">
        <w:rPr>
          <w:rFonts w:ascii="Arial" w:hAnsi="Arial" w:cs="Arial"/>
          <w:sz w:val="16"/>
          <w:szCs w:val="16"/>
        </w:rPr>
        <w:t xml:space="preserve"> the</w:t>
      </w:r>
      <w:r w:rsidRPr="009F67AD">
        <w:rPr>
          <w:rFonts w:ascii="Arial" w:hAnsi="Arial" w:cs="Arial"/>
          <w:sz w:val="16"/>
          <w:szCs w:val="16"/>
        </w:rPr>
        <w:t xml:space="preserve"> effect decomposition</w:t>
      </w:r>
      <w:r w:rsidRPr="00901F00">
        <w:rPr>
          <w:rFonts w:ascii="Arial" w:hAnsi="Arial" w:cs="Arial"/>
          <w:sz w:val="16"/>
          <w:szCs w:val="16"/>
        </w:rPr>
        <w:t xml:space="preserve">, </w:t>
      </w:r>
      <w:r w:rsidRPr="002005AD">
        <w:rPr>
          <w:rFonts w:ascii="Arial" w:hAnsi="Arial" w:cs="Arial"/>
          <w:sz w:val="16"/>
          <w:szCs w:val="16"/>
        </w:rPr>
        <w:t xml:space="preserve">where </w:t>
      </w:r>
      <w:r w:rsidR="00B40E6D">
        <w:rPr>
          <w:rFonts w:ascii="Arial" w:hAnsi="Arial" w:cs="Arial"/>
          <w:sz w:val="16"/>
          <w:szCs w:val="16"/>
        </w:rPr>
        <w:t xml:space="preserve">the </w:t>
      </w:r>
      <w:r w:rsidRPr="002005AD">
        <w:rPr>
          <w:rFonts w:ascii="Arial" w:hAnsi="Arial" w:cs="Arial"/>
          <w:sz w:val="16"/>
          <w:szCs w:val="16"/>
        </w:rPr>
        <w:t>t</w:t>
      </w:r>
      <w:r w:rsidRPr="002005AD">
        <w:rPr>
          <w:rFonts w:ascii="Arial" w:hAnsi="Arial" w:cs="Arial"/>
          <w:bCs/>
          <w:sz w:val="16"/>
          <w:szCs w:val="16"/>
        </w:rPr>
        <w:t>otal effect reflects the association between area-level income and COVID-19 death adjusting for confounders;</w:t>
      </w:r>
      <w:r w:rsidR="00B40E6D">
        <w:rPr>
          <w:rFonts w:ascii="Arial" w:hAnsi="Arial" w:cs="Arial"/>
          <w:bCs/>
          <w:sz w:val="16"/>
          <w:szCs w:val="16"/>
        </w:rPr>
        <w:t xml:space="preserve"> the</w:t>
      </w:r>
      <w:r w:rsidRPr="002005AD">
        <w:rPr>
          <w:rFonts w:ascii="Arial" w:hAnsi="Arial" w:cs="Arial"/>
          <w:bCs/>
          <w:sz w:val="16"/>
          <w:szCs w:val="16"/>
        </w:rPr>
        <w:t xml:space="preserve"> direct effect reflects the association between area-level income and COVID-19 death holding </w:t>
      </w:r>
      <w:r w:rsidR="00B40E6D">
        <w:rPr>
          <w:rFonts w:ascii="Arial" w:hAnsi="Arial" w:cs="Arial"/>
          <w:bCs/>
          <w:sz w:val="16"/>
          <w:szCs w:val="16"/>
        </w:rPr>
        <w:t xml:space="preserve">the </w:t>
      </w:r>
      <w:r w:rsidR="00560BF0" w:rsidRPr="002005AD">
        <w:rPr>
          <w:rFonts w:ascii="Arial" w:hAnsi="Arial" w:cs="Arial"/>
          <w:bCs/>
          <w:sz w:val="16"/>
          <w:szCs w:val="16"/>
        </w:rPr>
        <w:t>area-level mediator</w:t>
      </w:r>
      <w:r w:rsidRPr="002005AD">
        <w:rPr>
          <w:rFonts w:ascii="Arial" w:hAnsi="Arial" w:cs="Arial"/>
          <w:bCs/>
          <w:sz w:val="16"/>
          <w:szCs w:val="16"/>
        </w:rPr>
        <w:t xml:space="preserve"> the same across income;</w:t>
      </w:r>
      <w:r w:rsidR="00B40E6D">
        <w:rPr>
          <w:rFonts w:ascii="Arial" w:hAnsi="Arial" w:cs="Arial"/>
          <w:bCs/>
          <w:sz w:val="16"/>
          <w:szCs w:val="16"/>
        </w:rPr>
        <w:t xml:space="preserve"> the</w:t>
      </w:r>
      <w:r w:rsidRPr="002005AD">
        <w:rPr>
          <w:rFonts w:ascii="Arial" w:hAnsi="Arial" w:cs="Arial"/>
          <w:bCs/>
          <w:sz w:val="16"/>
          <w:szCs w:val="16"/>
        </w:rPr>
        <w:t xml:space="preserve"> indirect effect reflects the association between area-level income and COVID-19 death mediated through</w:t>
      </w:r>
      <w:r w:rsidR="00560BF0" w:rsidRPr="002005AD">
        <w:rPr>
          <w:rFonts w:ascii="Arial" w:hAnsi="Arial" w:cs="Arial"/>
          <w:bCs/>
          <w:sz w:val="16"/>
          <w:szCs w:val="16"/>
        </w:rPr>
        <w:t xml:space="preserve"> the corresponding</w:t>
      </w:r>
      <w:r w:rsidRPr="002005AD">
        <w:rPr>
          <w:rFonts w:ascii="Arial" w:hAnsi="Arial" w:cs="Arial"/>
          <w:bCs/>
          <w:sz w:val="16"/>
          <w:szCs w:val="16"/>
        </w:rPr>
        <w:t xml:space="preserve"> </w:t>
      </w:r>
      <w:r w:rsidR="00560BF0" w:rsidRPr="002005AD">
        <w:rPr>
          <w:rFonts w:ascii="Arial" w:hAnsi="Arial" w:cs="Arial"/>
          <w:bCs/>
          <w:sz w:val="16"/>
          <w:szCs w:val="16"/>
        </w:rPr>
        <w:t>area-level mediator</w:t>
      </w:r>
      <w:r w:rsidRPr="002005AD">
        <w:rPr>
          <w:rFonts w:ascii="Arial" w:hAnsi="Arial" w:cs="Arial"/>
          <w:bCs/>
          <w:sz w:val="16"/>
          <w:szCs w:val="16"/>
        </w:rPr>
        <w:t xml:space="preserve">; </w:t>
      </w:r>
      <w:r w:rsidR="00B40E6D">
        <w:rPr>
          <w:rFonts w:ascii="Arial" w:hAnsi="Arial" w:cs="Arial"/>
          <w:bCs/>
          <w:sz w:val="16"/>
          <w:szCs w:val="16"/>
        </w:rPr>
        <w:t xml:space="preserve">and the </w:t>
      </w:r>
      <w:r w:rsidRPr="002005AD">
        <w:rPr>
          <w:rFonts w:ascii="Arial" w:hAnsi="Arial" w:cs="Arial"/>
          <w:bCs/>
          <w:sz w:val="16"/>
          <w:szCs w:val="16"/>
        </w:rPr>
        <w:t>proportion mediated reflects the proportion of</w:t>
      </w:r>
      <w:r w:rsidR="00B40E6D">
        <w:rPr>
          <w:rFonts w:ascii="Arial" w:hAnsi="Arial" w:cs="Arial"/>
          <w:bCs/>
          <w:sz w:val="16"/>
          <w:szCs w:val="16"/>
        </w:rPr>
        <w:t xml:space="preserve"> the</w:t>
      </w:r>
      <w:r w:rsidRPr="002005AD">
        <w:rPr>
          <w:rFonts w:ascii="Arial" w:hAnsi="Arial" w:cs="Arial"/>
          <w:bCs/>
          <w:sz w:val="16"/>
          <w:szCs w:val="16"/>
        </w:rPr>
        <w:t xml:space="preserve"> total effect that was mediated through </w:t>
      </w:r>
      <w:r w:rsidR="00560BF0" w:rsidRPr="002005AD">
        <w:rPr>
          <w:rFonts w:ascii="Arial" w:hAnsi="Arial" w:cs="Arial"/>
          <w:bCs/>
          <w:sz w:val="16"/>
          <w:szCs w:val="16"/>
        </w:rPr>
        <w:t>the corresponding area-level mediator</w:t>
      </w:r>
      <w:r w:rsidR="00FC5E22">
        <w:rPr>
          <w:rFonts w:ascii="Arial" w:hAnsi="Arial" w:cs="Arial"/>
          <w:bCs/>
          <w:sz w:val="16"/>
          <w:szCs w:val="16"/>
        </w:rPr>
        <w:t>.</w:t>
      </w:r>
    </w:p>
    <w:p w14:paraId="633472DE" w14:textId="5AFBCFCD" w:rsidR="00560BF0" w:rsidRDefault="00560BF0" w:rsidP="00560BF0">
      <w:pPr>
        <w:spacing w:after="0" w:line="240" w:lineRule="auto"/>
        <w:rPr>
          <w:rFonts w:ascii="Arial" w:hAnsi="Arial" w:cs="Arial"/>
          <w:bCs/>
          <w:iCs/>
          <w:sz w:val="16"/>
          <w:szCs w:val="16"/>
        </w:rPr>
      </w:pPr>
      <w:r w:rsidRPr="00560BF0">
        <w:rPr>
          <w:rFonts w:ascii="Arial" w:hAnsi="Arial" w:cs="Arial"/>
          <w:sz w:val="16"/>
          <w:szCs w:val="16"/>
          <w:vertAlign w:val="superscript"/>
        </w:rPr>
        <w:t>d</w:t>
      </w:r>
      <w:r w:rsidRPr="00560BF0">
        <w:rPr>
          <w:rFonts w:ascii="Arial" w:hAnsi="Arial" w:cs="Arial"/>
          <w:sz w:val="16"/>
          <w:szCs w:val="16"/>
        </w:rPr>
        <w:t>Adjusted for confounders including individual-level demographics (age, sex, immigration status, residing in rural vs. urban, public health unit of residence), baseline health (comorbidity index measured by the Aggregated Diagnosis Groups, past hospitalization and outpatient visits), prior infection, and other area-level social determinants of health (educational attainment, essential workers (only included for the model with housing density as mediator), ethnic diversity and housing condition);</w:t>
      </w:r>
      <w:r w:rsidRPr="00560BF0">
        <w:rPr>
          <w:rFonts w:ascii="Arial" w:hAnsi="Arial" w:cs="Arial"/>
          <w:bCs/>
          <w:iCs/>
          <w:sz w:val="16"/>
          <w:szCs w:val="16"/>
        </w:rPr>
        <w:t xml:space="preserve"> we did not adjust for vaccination in the models as vaccination is in the causal pathway between exposure and outcome, as well as in the causal pathway between the mediator of interest and outcome</w:t>
      </w:r>
      <w:r w:rsidR="00FC5E22">
        <w:rPr>
          <w:rFonts w:ascii="Arial" w:hAnsi="Arial" w:cs="Arial"/>
          <w:bCs/>
          <w:iCs/>
          <w:sz w:val="16"/>
          <w:szCs w:val="16"/>
        </w:rPr>
        <w:t>.</w:t>
      </w:r>
    </w:p>
    <w:p w14:paraId="22F682BF" w14:textId="18261438" w:rsidR="00CC3CC0" w:rsidRPr="00491159" w:rsidRDefault="00CC3CC0" w:rsidP="00CC3CC0">
      <w:pPr>
        <w:spacing w:after="0" w:line="240" w:lineRule="auto"/>
        <w:rPr>
          <w:rFonts w:ascii="Arial" w:hAnsi="Arial" w:cs="Arial"/>
          <w:noProof/>
          <w:sz w:val="16"/>
          <w:szCs w:val="16"/>
        </w:rPr>
      </w:pPr>
      <w:r w:rsidRPr="00CC3CC0">
        <w:rPr>
          <w:rFonts w:ascii="Arial" w:hAnsi="Arial" w:cs="Arial"/>
          <w:noProof/>
          <w:sz w:val="16"/>
          <w:szCs w:val="16"/>
          <w:vertAlign w:val="superscript"/>
        </w:rPr>
        <w:t>e</w:t>
      </w:r>
      <w:r>
        <w:rPr>
          <w:rFonts w:ascii="Arial" w:hAnsi="Arial" w:cs="Arial"/>
          <w:noProof/>
          <w:sz w:val="16"/>
          <w:szCs w:val="16"/>
        </w:rPr>
        <w:t xml:space="preserve">Measured at the dissemination area-level; </w:t>
      </w:r>
      <w:r w:rsidRPr="00CC3CC0">
        <w:rPr>
          <w:rFonts w:ascii="Arial" w:hAnsi="Arial" w:cs="Arial"/>
          <w:noProof/>
          <w:sz w:val="16"/>
          <w:szCs w:val="16"/>
        </w:rPr>
        <w:t>1st</w:t>
      </w:r>
      <w:r w:rsidRPr="00491159">
        <w:rPr>
          <w:rFonts w:ascii="Arial" w:hAnsi="Arial" w:cs="Arial"/>
          <w:noProof/>
          <w:sz w:val="16"/>
          <w:szCs w:val="16"/>
        </w:rPr>
        <w:t xml:space="preserve"> quintile represents 0%–32.5% of working people in the area who self-identified as working in an essential job, including sales, trades, manufacturing, and agriculture; 2</w:t>
      </w:r>
      <w:r w:rsidRPr="00491159">
        <w:rPr>
          <w:rFonts w:ascii="Arial" w:hAnsi="Arial" w:cs="Arial"/>
          <w:noProof/>
          <w:sz w:val="16"/>
          <w:szCs w:val="16"/>
          <w:vertAlign w:val="superscript"/>
        </w:rPr>
        <w:t>nd</w:t>
      </w:r>
      <w:r w:rsidRPr="00491159">
        <w:rPr>
          <w:rFonts w:ascii="Arial" w:hAnsi="Arial" w:cs="Arial"/>
          <w:noProof/>
          <w:sz w:val="16"/>
          <w:szCs w:val="16"/>
        </w:rPr>
        <w:t xml:space="preserve"> quintile, 32.5%–42.3% of people; 3</w:t>
      </w:r>
      <w:r w:rsidRPr="00491159">
        <w:rPr>
          <w:rFonts w:ascii="Arial" w:hAnsi="Arial" w:cs="Arial"/>
          <w:noProof/>
          <w:sz w:val="16"/>
          <w:szCs w:val="16"/>
          <w:vertAlign w:val="superscript"/>
        </w:rPr>
        <w:t>rd</w:t>
      </w:r>
      <w:r w:rsidRPr="00491159">
        <w:rPr>
          <w:rFonts w:ascii="Arial" w:hAnsi="Arial" w:cs="Arial"/>
          <w:noProof/>
          <w:sz w:val="16"/>
          <w:szCs w:val="16"/>
        </w:rPr>
        <w:t xml:space="preserve"> quintile, 42.3%–49.8% of people; 4</w:t>
      </w:r>
      <w:r w:rsidRPr="00491159">
        <w:rPr>
          <w:rFonts w:ascii="Arial" w:hAnsi="Arial" w:cs="Arial"/>
          <w:noProof/>
          <w:sz w:val="16"/>
          <w:szCs w:val="16"/>
          <w:vertAlign w:val="superscript"/>
        </w:rPr>
        <w:t>th</w:t>
      </w:r>
      <w:r w:rsidRPr="00491159">
        <w:rPr>
          <w:rFonts w:ascii="Arial" w:hAnsi="Arial" w:cs="Arial"/>
          <w:noProof/>
          <w:sz w:val="16"/>
          <w:szCs w:val="16"/>
        </w:rPr>
        <w:t xml:space="preserve"> quintile, 50.0%–57.5% of people; and 5</w:t>
      </w:r>
      <w:r w:rsidRPr="00491159">
        <w:rPr>
          <w:rFonts w:ascii="Arial" w:hAnsi="Arial" w:cs="Arial"/>
          <w:noProof/>
          <w:sz w:val="16"/>
          <w:szCs w:val="16"/>
          <w:vertAlign w:val="superscript"/>
        </w:rPr>
        <w:t>th</w:t>
      </w:r>
      <w:r w:rsidRPr="00491159">
        <w:rPr>
          <w:rFonts w:ascii="Arial" w:hAnsi="Arial" w:cs="Arial"/>
          <w:noProof/>
          <w:sz w:val="16"/>
          <w:szCs w:val="16"/>
        </w:rPr>
        <w:t xml:space="preserve"> quintile, 57.5%–114.3% of people</w:t>
      </w:r>
      <w:r w:rsidR="00FC5E22">
        <w:rPr>
          <w:rFonts w:ascii="Arial" w:hAnsi="Arial" w:cs="Arial"/>
          <w:noProof/>
          <w:sz w:val="16"/>
          <w:szCs w:val="16"/>
        </w:rPr>
        <w:t>.</w:t>
      </w:r>
      <w:r w:rsidR="00BD42CC">
        <w:rPr>
          <w:rFonts w:ascii="Arial" w:hAnsi="Arial" w:cs="Arial"/>
          <w:noProof/>
          <w:sz w:val="16"/>
          <w:szCs w:val="16"/>
        </w:rPr>
        <w:t xml:space="preserve"> </w:t>
      </w:r>
    </w:p>
    <w:p w14:paraId="63DFB932" w14:textId="78C7CBBD" w:rsidR="00E205FA" w:rsidRPr="00560BF0" w:rsidRDefault="00CC3CC0" w:rsidP="00CC3CC0">
      <w:pPr>
        <w:spacing w:after="0"/>
        <w:rPr>
          <w:rFonts w:ascii="Arial" w:hAnsi="Arial" w:cs="Arial"/>
          <w:noProof/>
          <w:sz w:val="16"/>
          <w:szCs w:val="16"/>
        </w:rPr>
      </w:pPr>
      <w:r>
        <w:rPr>
          <w:rFonts w:ascii="Arial" w:hAnsi="Arial" w:cs="Arial"/>
          <w:color w:val="000000"/>
          <w:sz w:val="16"/>
          <w:szCs w:val="16"/>
          <w:vertAlign w:val="superscript"/>
        </w:rPr>
        <w:t xml:space="preserve">f </w:t>
      </w:r>
      <w:r>
        <w:rPr>
          <w:rFonts w:ascii="Arial" w:hAnsi="Arial" w:cs="Arial"/>
          <w:color w:val="000000"/>
          <w:sz w:val="16"/>
          <w:szCs w:val="16"/>
        </w:rPr>
        <w:t xml:space="preserve">Measured at the dissemination area-level; </w:t>
      </w:r>
      <w:r w:rsidRPr="00491159">
        <w:rPr>
          <w:rFonts w:ascii="Arial" w:hAnsi="Arial" w:cs="Arial"/>
          <w:color w:val="000000"/>
          <w:sz w:val="16"/>
          <w:szCs w:val="16"/>
        </w:rPr>
        <w:t>1</w:t>
      </w:r>
      <w:r w:rsidRPr="00491159">
        <w:rPr>
          <w:rFonts w:ascii="Arial" w:hAnsi="Arial" w:cs="Arial"/>
          <w:color w:val="000000"/>
          <w:sz w:val="16"/>
          <w:szCs w:val="16"/>
          <w:vertAlign w:val="superscript"/>
        </w:rPr>
        <w:t>st</w:t>
      </w:r>
      <w:r w:rsidRPr="00491159">
        <w:rPr>
          <w:rFonts w:ascii="Arial" w:hAnsi="Arial" w:cs="Arial"/>
          <w:color w:val="000000"/>
          <w:sz w:val="16"/>
          <w:szCs w:val="16"/>
        </w:rPr>
        <w:t xml:space="preserve"> category represents 0–2.6% of households are considered high-density housing; 2</w:t>
      </w:r>
      <w:r w:rsidRPr="00491159">
        <w:rPr>
          <w:rFonts w:ascii="Arial" w:hAnsi="Arial" w:cs="Arial"/>
          <w:color w:val="000000"/>
          <w:sz w:val="16"/>
          <w:szCs w:val="16"/>
          <w:vertAlign w:val="superscript"/>
        </w:rPr>
        <w:t>nd</w:t>
      </w:r>
      <w:r w:rsidRPr="00491159">
        <w:rPr>
          <w:rFonts w:ascii="Arial" w:hAnsi="Arial" w:cs="Arial"/>
          <w:color w:val="000000"/>
          <w:sz w:val="16"/>
          <w:szCs w:val="16"/>
        </w:rPr>
        <w:t xml:space="preserve"> category, 2.7-5.2%; 3</w:t>
      </w:r>
      <w:r w:rsidRPr="00491159">
        <w:rPr>
          <w:rFonts w:ascii="Arial" w:hAnsi="Arial" w:cs="Arial"/>
          <w:color w:val="000000"/>
          <w:sz w:val="16"/>
          <w:szCs w:val="16"/>
          <w:vertAlign w:val="superscript"/>
        </w:rPr>
        <w:t>rd</w:t>
      </w:r>
      <w:r w:rsidRPr="00491159">
        <w:rPr>
          <w:rFonts w:ascii="Arial" w:hAnsi="Arial" w:cs="Arial"/>
          <w:color w:val="000000"/>
          <w:sz w:val="16"/>
          <w:szCs w:val="16"/>
        </w:rPr>
        <w:t xml:space="preserve"> category, 5.3-8.7%; 4</w:t>
      </w:r>
      <w:r w:rsidRPr="00491159">
        <w:rPr>
          <w:rFonts w:ascii="Arial" w:hAnsi="Arial" w:cs="Arial"/>
          <w:color w:val="000000"/>
          <w:sz w:val="16"/>
          <w:szCs w:val="16"/>
          <w:vertAlign w:val="superscript"/>
        </w:rPr>
        <w:t>th</w:t>
      </w:r>
      <w:r w:rsidRPr="00491159">
        <w:rPr>
          <w:rFonts w:ascii="Arial" w:hAnsi="Arial" w:cs="Arial"/>
          <w:color w:val="000000"/>
          <w:sz w:val="16"/>
          <w:szCs w:val="16"/>
        </w:rPr>
        <w:t xml:space="preserve"> category, &gt;8.7%;</w:t>
      </w:r>
      <w:r w:rsidRPr="00491159">
        <w:rPr>
          <w:rFonts w:ascii="Arial" w:hAnsi="Arial" w:cs="Arial"/>
          <w:noProof/>
          <w:sz w:val="16"/>
          <w:szCs w:val="16"/>
        </w:rPr>
        <w:t xml:space="preserve"> the high frequency of zeros permitted the creation of only 4 categories (the lower 2 quintiles combined); ‘housing density’/‘housing suitability' refers to whether a private household is living in suitable accommodations according to the National Occupancy Standard; that is, whether the dwelling has enough bedrooms for the size and composition of the household. A household is deemed to be living in suitable accommodations (non-high-density housing) if its dwelling has enough bedrooms, as calculated using the National Occupancy Standard</w:t>
      </w:r>
      <w:r>
        <w:rPr>
          <w:rFonts w:ascii="Arial" w:hAnsi="Arial" w:cs="Arial"/>
          <w:noProof/>
          <w:sz w:val="16"/>
          <w:szCs w:val="16"/>
        </w:rPr>
        <w:t>.</w:t>
      </w:r>
    </w:p>
    <w:p w14:paraId="14D0805D" w14:textId="30387DF0" w:rsidR="00835D0A" w:rsidRDefault="00560BF0" w:rsidP="00560BF0">
      <w:pPr>
        <w:spacing w:after="0" w:line="240" w:lineRule="auto"/>
        <w:rPr>
          <w:rFonts w:ascii="Arial" w:hAnsi="Arial" w:cs="Arial"/>
          <w:noProof/>
          <w:sz w:val="16"/>
          <w:szCs w:val="16"/>
        </w:rPr>
      </w:pPr>
      <w:r w:rsidRPr="00EF1E49">
        <w:rPr>
          <w:rFonts w:ascii="Arial" w:hAnsi="Arial" w:cs="Arial"/>
          <w:noProof/>
          <w:sz w:val="16"/>
          <w:szCs w:val="16"/>
        </w:rPr>
        <w:t>Abbreviations: CI, confidence interval</w:t>
      </w:r>
      <w:r>
        <w:rPr>
          <w:rFonts w:ascii="Arial" w:hAnsi="Arial" w:cs="Arial"/>
          <w:noProof/>
          <w:sz w:val="16"/>
          <w:szCs w:val="16"/>
        </w:rPr>
        <w:t xml:space="preserve">. </w:t>
      </w:r>
    </w:p>
    <w:p w14:paraId="02443ADB" w14:textId="77777777" w:rsidR="00835D0A" w:rsidRDefault="00835D0A">
      <w:pPr>
        <w:rPr>
          <w:rFonts w:ascii="Arial" w:hAnsi="Arial" w:cs="Arial"/>
          <w:noProof/>
          <w:sz w:val="16"/>
          <w:szCs w:val="16"/>
        </w:rPr>
      </w:pPr>
      <w:r>
        <w:rPr>
          <w:rFonts w:ascii="Arial" w:hAnsi="Arial" w:cs="Arial"/>
          <w:noProof/>
          <w:sz w:val="16"/>
          <w:szCs w:val="16"/>
        </w:rPr>
        <w:br w:type="page"/>
      </w:r>
    </w:p>
    <w:p w14:paraId="748A07DD" w14:textId="2C27FE61" w:rsidR="00835D0A" w:rsidRPr="0084729A" w:rsidRDefault="00835D0A" w:rsidP="00835D0A">
      <w:pPr>
        <w:spacing w:after="0" w:line="240" w:lineRule="auto"/>
        <w:rPr>
          <w:rFonts w:ascii="Arial" w:hAnsi="Arial" w:cs="Arial"/>
          <w:sz w:val="20"/>
          <w:szCs w:val="20"/>
        </w:rPr>
      </w:pPr>
      <w:r w:rsidRPr="0084729A">
        <w:rPr>
          <w:rFonts w:ascii="Arial" w:hAnsi="Arial" w:cs="Arial"/>
          <w:b/>
          <w:sz w:val="20"/>
          <w:szCs w:val="20"/>
        </w:rPr>
        <w:lastRenderedPageBreak/>
        <w:t xml:space="preserve">Appendix Table </w:t>
      </w:r>
      <w:r w:rsidR="006F6BD2" w:rsidRPr="0084729A">
        <w:rPr>
          <w:rFonts w:ascii="Arial" w:hAnsi="Arial" w:cs="Arial"/>
          <w:b/>
          <w:sz w:val="20"/>
          <w:szCs w:val="20"/>
        </w:rPr>
        <w:t>7</w:t>
      </w:r>
      <w:r w:rsidRPr="0084729A">
        <w:rPr>
          <w:rFonts w:ascii="Arial" w:hAnsi="Arial" w:cs="Arial"/>
          <w:b/>
          <w:sz w:val="20"/>
          <w:szCs w:val="20"/>
        </w:rPr>
        <w:t xml:space="preserve">.  </w:t>
      </w:r>
      <w:r w:rsidRPr="0084729A">
        <w:rPr>
          <w:rFonts w:ascii="Arial" w:hAnsi="Arial" w:cs="Arial"/>
          <w:sz w:val="20"/>
          <w:szCs w:val="20"/>
        </w:rPr>
        <w:t xml:space="preserve">Adjusted patterns in </w:t>
      </w:r>
      <w:r w:rsidR="006F6BD2" w:rsidRPr="0084729A">
        <w:rPr>
          <w:rFonts w:ascii="Arial" w:hAnsi="Arial" w:cs="Arial"/>
          <w:sz w:val="20"/>
          <w:szCs w:val="20"/>
        </w:rPr>
        <w:t>vaccination</w:t>
      </w:r>
      <w:r w:rsidRPr="0084729A">
        <w:rPr>
          <w:rFonts w:ascii="Arial" w:hAnsi="Arial" w:cs="Arial"/>
          <w:sz w:val="20"/>
          <w:szCs w:val="20"/>
        </w:rPr>
        <w:t xml:space="preserve"> </w:t>
      </w:r>
      <w:r w:rsidR="006F6BD2" w:rsidRPr="0084729A">
        <w:rPr>
          <w:rFonts w:ascii="Arial" w:hAnsi="Arial" w:cs="Arial"/>
          <w:sz w:val="20"/>
          <w:szCs w:val="20"/>
        </w:rPr>
        <w:t xml:space="preserve">by </w:t>
      </w:r>
      <w:r w:rsidRPr="0084729A">
        <w:rPr>
          <w:rFonts w:ascii="Arial" w:hAnsi="Arial" w:cs="Arial"/>
          <w:sz w:val="20"/>
          <w:szCs w:val="20"/>
        </w:rPr>
        <w:t xml:space="preserve">the start of wave </w:t>
      </w:r>
      <w:r w:rsidR="002C0697">
        <w:rPr>
          <w:rFonts w:ascii="Arial" w:hAnsi="Arial" w:cs="Arial"/>
          <w:sz w:val="20"/>
          <w:szCs w:val="20"/>
        </w:rPr>
        <w:t>five</w:t>
      </w:r>
      <w:r w:rsidR="002C0697" w:rsidRPr="0084729A">
        <w:rPr>
          <w:rFonts w:ascii="Arial" w:hAnsi="Arial" w:cs="Arial"/>
          <w:sz w:val="20"/>
          <w:szCs w:val="20"/>
        </w:rPr>
        <w:t xml:space="preserve"> </w:t>
      </w:r>
      <w:r w:rsidRPr="0084729A">
        <w:rPr>
          <w:rFonts w:ascii="Arial" w:hAnsi="Arial" w:cs="Arial"/>
          <w:sz w:val="20"/>
          <w:szCs w:val="20"/>
        </w:rPr>
        <w:t xml:space="preserve">(December 15, 2021). </w:t>
      </w:r>
    </w:p>
    <w:tbl>
      <w:tblPr>
        <w:tblStyle w:val="TableGrid"/>
        <w:tblW w:w="3223"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6"/>
        <w:gridCol w:w="3327"/>
      </w:tblGrid>
      <w:tr w:rsidR="00835D0A" w:rsidRPr="0084729A" w14:paraId="1A3F5932" w14:textId="77777777" w:rsidTr="00EC6FDA">
        <w:trPr>
          <w:trHeight w:val="20"/>
        </w:trPr>
        <w:tc>
          <w:tcPr>
            <w:tcW w:w="2243" w:type="pct"/>
            <w:tcBorders>
              <w:top w:val="single" w:sz="4" w:space="0" w:color="auto"/>
              <w:bottom w:val="nil"/>
            </w:tcBorders>
            <w:noWrap/>
            <w:hideMark/>
          </w:tcPr>
          <w:p w14:paraId="6E5C9C4C" w14:textId="77777777" w:rsidR="00835D0A" w:rsidRPr="0084729A" w:rsidRDefault="00835D0A" w:rsidP="00835D0A">
            <w:pPr>
              <w:rPr>
                <w:rFonts w:ascii="Arial" w:hAnsi="Arial" w:cs="Arial"/>
                <w:noProof/>
                <w:sz w:val="16"/>
                <w:szCs w:val="16"/>
              </w:rPr>
            </w:pPr>
          </w:p>
        </w:tc>
        <w:tc>
          <w:tcPr>
            <w:tcW w:w="2757" w:type="pct"/>
            <w:tcBorders>
              <w:top w:val="single" w:sz="4" w:space="0" w:color="auto"/>
              <w:bottom w:val="single" w:sz="4" w:space="0" w:color="auto"/>
            </w:tcBorders>
          </w:tcPr>
          <w:p w14:paraId="261182DB" w14:textId="32875665" w:rsidR="00835D0A" w:rsidRPr="0084729A" w:rsidRDefault="006F6BD2" w:rsidP="00835D0A">
            <w:pPr>
              <w:jc w:val="center"/>
              <w:rPr>
                <w:rFonts w:ascii="Arial" w:hAnsi="Arial" w:cs="Arial"/>
                <w:bCs/>
                <w:noProof/>
                <w:sz w:val="16"/>
                <w:szCs w:val="16"/>
              </w:rPr>
            </w:pPr>
            <w:r w:rsidRPr="0084729A">
              <w:rPr>
                <w:rFonts w:ascii="Arial" w:hAnsi="Arial" w:cs="Arial"/>
                <w:bCs/>
                <w:noProof/>
                <w:sz w:val="16"/>
                <w:szCs w:val="16"/>
              </w:rPr>
              <w:t>V</w:t>
            </w:r>
            <w:r w:rsidR="00835D0A" w:rsidRPr="0084729A">
              <w:rPr>
                <w:rFonts w:ascii="Arial" w:hAnsi="Arial" w:cs="Arial"/>
                <w:bCs/>
                <w:noProof/>
                <w:sz w:val="16"/>
                <w:szCs w:val="16"/>
              </w:rPr>
              <w:t>accination status</w:t>
            </w:r>
            <w:r w:rsidR="00EC6FDA" w:rsidRPr="0084729A">
              <w:rPr>
                <w:rFonts w:ascii="Arial" w:hAnsi="Arial" w:cs="Arial"/>
                <w:bCs/>
                <w:noProof/>
                <w:sz w:val="16"/>
                <w:szCs w:val="16"/>
                <w:vertAlign w:val="superscript"/>
              </w:rPr>
              <w:t>b</w:t>
            </w:r>
          </w:p>
        </w:tc>
      </w:tr>
      <w:tr w:rsidR="00835D0A" w:rsidRPr="0084729A" w14:paraId="75F8EFD3" w14:textId="77777777" w:rsidTr="00EC6FDA">
        <w:trPr>
          <w:trHeight w:val="20"/>
        </w:trPr>
        <w:tc>
          <w:tcPr>
            <w:tcW w:w="2243" w:type="pct"/>
            <w:tcBorders>
              <w:top w:val="nil"/>
              <w:bottom w:val="nil"/>
            </w:tcBorders>
            <w:noWrap/>
          </w:tcPr>
          <w:p w14:paraId="0B4D81D9" w14:textId="77777777" w:rsidR="00835D0A" w:rsidRPr="0084729A" w:rsidRDefault="00835D0A" w:rsidP="00835D0A">
            <w:pPr>
              <w:rPr>
                <w:rFonts w:ascii="Arial" w:hAnsi="Arial" w:cs="Arial"/>
                <w:noProof/>
                <w:sz w:val="16"/>
                <w:szCs w:val="16"/>
              </w:rPr>
            </w:pPr>
            <w:r w:rsidRPr="0084729A">
              <w:rPr>
                <w:rFonts w:ascii="Arial" w:hAnsi="Arial" w:cs="Arial"/>
                <w:noProof/>
                <w:sz w:val="16"/>
                <w:szCs w:val="16"/>
              </w:rPr>
              <w:t>Area-level Income</w:t>
            </w:r>
            <w:r w:rsidRPr="0084729A">
              <w:rPr>
                <w:rFonts w:ascii="Arial" w:hAnsi="Arial" w:cs="Arial"/>
                <w:noProof/>
                <w:sz w:val="16"/>
                <w:szCs w:val="16"/>
                <w:vertAlign w:val="superscript"/>
              </w:rPr>
              <w:t xml:space="preserve">a </w:t>
            </w:r>
          </w:p>
        </w:tc>
        <w:tc>
          <w:tcPr>
            <w:tcW w:w="2757" w:type="pct"/>
            <w:tcBorders>
              <w:top w:val="single" w:sz="4" w:space="0" w:color="auto"/>
              <w:bottom w:val="nil"/>
            </w:tcBorders>
          </w:tcPr>
          <w:p w14:paraId="0BB82651" w14:textId="547029CD" w:rsidR="00835D0A" w:rsidRPr="0084729A" w:rsidRDefault="00835D0A" w:rsidP="00835D0A">
            <w:pPr>
              <w:jc w:val="center"/>
              <w:rPr>
                <w:rFonts w:ascii="Arial" w:eastAsia="Times New Roman" w:hAnsi="Arial" w:cs="Arial"/>
                <w:sz w:val="16"/>
                <w:szCs w:val="16"/>
              </w:rPr>
            </w:pPr>
          </w:p>
        </w:tc>
      </w:tr>
      <w:tr w:rsidR="00835D0A" w:rsidRPr="0084729A" w14:paraId="12A42BB3" w14:textId="77777777" w:rsidTr="00EC6FDA">
        <w:trPr>
          <w:trHeight w:val="20"/>
        </w:trPr>
        <w:tc>
          <w:tcPr>
            <w:tcW w:w="2243" w:type="pct"/>
            <w:tcBorders>
              <w:top w:val="nil"/>
              <w:bottom w:val="single" w:sz="4" w:space="0" w:color="auto"/>
            </w:tcBorders>
            <w:noWrap/>
          </w:tcPr>
          <w:p w14:paraId="6A155EF8" w14:textId="77777777" w:rsidR="00835D0A" w:rsidRPr="0084729A" w:rsidRDefault="00835D0A" w:rsidP="00835D0A">
            <w:pPr>
              <w:rPr>
                <w:rFonts w:ascii="Arial" w:eastAsia="Times New Roman" w:hAnsi="Arial" w:cs="Arial"/>
                <w:sz w:val="16"/>
                <w:szCs w:val="16"/>
              </w:rPr>
            </w:pPr>
          </w:p>
        </w:tc>
        <w:tc>
          <w:tcPr>
            <w:tcW w:w="2757" w:type="pct"/>
            <w:tcBorders>
              <w:top w:val="nil"/>
              <w:bottom w:val="single" w:sz="4" w:space="0" w:color="auto"/>
            </w:tcBorders>
          </w:tcPr>
          <w:p w14:paraId="229A7ABE" w14:textId="2D1FFDEF" w:rsidR="00835D0A" w:rsidRPr="0084729A" w:rsidRDefault="00835D0A" w:rsidP="00EC6FDA">
            <w:pPr>
              <w:jc w:val="center"/>
              <w:rPr>
                <w:rFonts w:ascii="Arial" w:hAnsi="Arial" w:cs="Arial"/>
                <w:color w:val="000000"/>
                <w:sz w:val="16"/>
                <w:szCs w:val="16"/>
              </w:rPr>
            </w:pPr>
            <w:r w:rsidRPr="0084729A">
              <w:rPr>
                <w:rFonts w:ascii="Arial" w:hAnsi="Arial" w:cs="Arial"/>
                <w:color w:val="000000"/>
                <w:sz w:val="16"/>
                <w:szCs w:val="16"/>
              </w:rPr>
              <w:t>Adjusted</w:t>
            </w:r>
            <w:r w:rsidRPr="0084729A">
              <w:rPr>
                <w:rFonts w:ascii="Arial" w:hAnsi="Arial" w:cs="Arial"/>
                <w:sz w:val="16"/>
                <w:szCs w:val="16"/>
                <w:vertAlign w:val="superscript"/>
              </w:rPr>
              <w:t xml:space="preserve"> </w:t>
            </w:r>
            <w:r w:rsidRPr="0084729A">
              <w:rPr>
                <w:rFonts w:ascii="Arial" w:hAnsi="Arial" w:cs="Arial"/>
                <w:sz w:val="16"/>
                <w:szCs w:val="16"/>
              </w:rPr>
              <w:t>odds ratio</w:t>
            </w:r>
            <w:r w:rsidR="00EC6FDA" w:rsidRPr="0084729A">
              <w:rPr>
                <w:rFonts w:ascii="Arial" w:hAnsi="Arial" w:cs="Arial"/>
                <w:sz w:val="16"/>
                <w:szCs w:val="16"/>
                <w:vertAlign w:val="superscript"/>
              </w:rPr>
              <w:t>c,d</w:t>
            </w:r>
            <w:r w:rsidRPr="0084729A">
              <w:rPr>
                <w:rFonts w:ascii="Arial" w:hAnsi="Arial" w:cs="Arial"/>
                <w:sz w:val="16"/>
                <w:szCs w:val="16"/>
                <w:vertAlign w:val="superscript"/>
              </w:rPr>
              <w:t xml:space="preserve"> </w:t>
            </w:r>
            <w:r w:rsidRPr="0084729A">
              <w:rPr>
                <w:rFonts w:ascii="Arial" w:hAnsi="Arial" w:cs="Arial"/>
                <w:sz w:val="16"/>
                <w:szCs w:val="16"/>
              </w:rPr>
              <w:t>(95% CI)</w:t>
            </w:r>
          </w:p>
        </w:tc>
      </w:tr>
      <w:tr w:rsidR="00835D0A" w:rsidRPr="0084729A" w14:paraId="3E48260F" w14:textId="77777777" w:rsidTr="00EC6FDA">
        <w:trPr>
          <w:trHeight w:val="20"/>
        </w:trPr>
        <w:tc>
          <w:tcPr>
            <w:tcW w:w="2243" w:type="pct"/>
            <w:tcBorders>
              <w:top w:val="single" w:sz="4" w:space="0" w:color="auto"/>
              <w:bottom w:val="nil"/>
            </w:tcBorders>
            <w:noWrap/>
          </w:tcPr>
          <w:p w14:paraId="3F2D329E" w14:textId="0D0A26D4" w:rsidR="00835D0A" w:rsidRPr="0084729A" w:rsidRDefault="00835D0A" w:rsidP="006F6BD2">
            <w:pPr>
              <w:rPr>
                <w:rFonts w:ascii="Arial" w:eastAsia="Times New Roman" w:hAnsi="Arial" w:cs="Arial"/>
                <w:sz w:val="16"/>
                <w:szCs w:val="16"/>
              </w:rPr>
            </w:pPr>
            <w:r w:rsidRPr="0084729A">
              <w:rPr>
                <w:rFonts w:ascii="Arial" w:eastAsia="Times New Roman" w:hAnsi="Arial" w:cs="Arial"/>
                <w:sz w:val="16"/>
                <w:szCs w:val="16"/>
              </w:rPr>
              <w:t xml:space="preserve"> Income (</w:t>
            </w:r>
            <w:r w:rsidR="006F6BD2" w:rsidRPr="0084729A">
              <w:rPr>
                <w:rFonts w:ascii="Arial" w:eastAsia="Times New Roman" w:hAnsi="Arial" w:cs="Arial"/>
                <w:sz w:val="16"/>
                <w:szCs w:val="16"/>
              </w:rPr>
              <w:t>5</w:t>
            </w:r>
            <w:r w:rsidRPr="0084729A">
              <w:rPr>
                <w:rFonts w:ascii="Arial" w:eastAsia="Times New Roman" w:hAnsi="Arial" w:cs="Arial"/>
                <w:sz w:val="16"/>
                <w:szCs w:val="16"/>
              </w:rPr>
              <w:t>= Highest)</w:t>
            </w:r>
          </w:p>
        </w:tc>
        <w:tc>
          <w:tcPr>
            <w:tcW w:w="2757" w:type="pct"/>
            <w:tcBorders>
              <w:top w:val="single" w:sz="4" w:space="0" w:color="auto"/>
              <w:bottom w:val="nil"/>
            </w:tcBorders>
          </w:tcPr>
          <w:p w14:paraId="5437D7D1" w14:textId="77777777" w:rsidR="00835D0A" w:rsidRPr="0084729A" w:rsidRDefault="00835D0A" w:rsidP="00EC6FDA">
            <w:pPr>
              <w:rPr>
                <w:rFonts w:ascii="Arial" w:hAnsi="Arial" w:cs="Arial"/>
                <w:color w:val="000000"/>
                <w:sz w:val="16"/>
                <w:szCs w:val="16"/>
              </w:rPr>
            </w:pPr>
          </w:p>
        </w:tc>
      </w:tr>
      <w:tr w:rsidR="00297459" w:rsidRPr="0084729A" w14:paraId="66061B2A" w14:textId="77777777" w:rsidTr="00AF696C">
        <w:trPr>
          <w:trHeight w:val="20"/>
        </w:trPr>
        <w:tc>
          <w:tcPr>
            <w:tcW w:w="2243" w:type="pct"/>
            <w:tcBorders>
              <w:top w:val="nil"/>
            </w:tcBorders>
            <w:noWrap/>
            <w:hideMark/>
          </w:tcPr>
          <w:p w14:paraId="70E8DCF2" w14:textId="2934206A" w:rsidR="00297459" w:rsidRPr="0084729A" w:rsidRDefault="006F6BD2" w:rsidP="006F6BD2">
            <w:pPr>
              <w:ind w:left="144"/>
              <w:rPr>
                <w:rFonts w:ascii="Arial" w:hAnsi="Arial" w:cs="Arial"/>
                <w:noProof/>
                <w:sz w:val="16"/>
                <w:szCs w:val="16"/>
              </w:rPr>
            </w:pPr>
            <w:r w:rsidRPr="0084729A">
              <w:rPr>
                <w:rFonts w:ascii="Arial" w:eastAsia="Times New Roman" w:hAnsi="Arial" w:cs="Arial"/>
                <w:sz w:val="16"/>
                <w:szCs w:val="16"/>
              </w:rPr>
              <w:t xml:space="preserve">4 </w:t>
            </w:r>
            <w:r w:rsidR="00297459" w:rsidRPr="0084729A">
              <w:rPr>
                <w:rFonts w:ascii="Arial" w:eastAsia="Times New Roman" w:hAnsi="Arial" w:cs="Arial"/>
                <w:sz w:val="16"/>
                <w:szCs w:val="16"/>
              </w:rPr>
              <w:t xml:space="preserve">vs </w:t>
            </w:r>
            <w:r w:rsidRPr="0084729A">
              <w:rPr>
                <w:rFonts w:ascii="Arial" w:eastAsia="Times New Roman" w:hAnsi="Arial" w:cs="Arial"/>
                <w:sz w:val="16"/>
                <w:szCs w:val="16"/>
              </w:rPr>
              <w:t>5</w:t>
            </w:r>
          </w:p>
        </w:tc>
        <w:tc>
          <w:tcPr>
            <w:tcW w:w="2757" w:type="pct"/>
            <w:tcBorders>
              <w:top w:val="nil"/>
            </w:tcBorders>
          </w:tcPr>
          <w:p w14:paraId="4B897A9B" w14:textId="04F81818" w:rsidR="00297459" w:rsidRPr="0084729A" w:rsidRDefault="00297459" w:rsidP="00297459">
            <w:pPr>
              <w:jc w:val="center"/>
              <w:rPr>
                <w:rFonts w:ascii="Arial" w:hAnsi="Arial" w:cs="Arial"/>
                <w:color w:val="000000"/>
                <w:sz w:val="16"/>
                <w:szCs w:val="16"/>
              </w:rPr>
            </w:pPr>
            <w:r w:rsidRPr="0084729A">
              <w:rPr>
                <w:rFonts w:ascii="Arial" w:hAnsi="Arial" w:cs="Arial"/>
                <w:sz w:val="16"/>
                <w:szCs w:val="16"/>
              </w:rPr>
              <w:t>0.94 (0.93, 0.94)</w:t>
            </w:r>
          </w:p>
        </w:tc>
      </w:tr>
      <w:tr w:rsidR="00297459" w:rsidRPr="0084729A" w14:paraId="70C9A8EB" w14:textId="77777777" w:rsidTr="00AF696C">
        <w:trPr>
          <w:trHeight w:val="20"/>
        </w:trPr>
        <w:tc>
          <w:tcPr>
            <w:tcW w:w="2243" w:type="pct"/>
            <w:noWrap/>
            <w:hideMark/>
          </w:tcPr>
          <w:p w14:paraId="134CFD17" w14:textId="4FCC3AEE" w:rsidR="00297459" w:rsidRPr="0084729A" w:rsidRDefault="00297459" w:rsidP="006F6BD2">
            <w:pPr>
              <w:ind w:left="144"/>
              <w:rPr>
                <w:rFonts w:ascii="Arial" w:hAnsi="Arial" w:cs="Arial"/>
                <w:noProof/>
                <w:sz w:val="16"/>
                <w:szCs w:val="16"/>
              </w:rPr>
            </w:pPr>
            <w:r w:rsidRPr="0084729A">
              <w:rPr>
                <w:rFonts w:ascii="Arial" w:eastAsia="Times New Roman" w:hAnsi="Arial" w:cs="Arial"/>
                <w:sz w:val="16"/>
                <w:szCs w:val="16"/>
              </w:rPr>
              <w:t xml:space="preserve">3 vs </w:t>
            </w:r>
            <w:r w:rsidR="006F6BD2" w:rsidRPr="0084729A">
              <w:rPr>
                <w:rFonts w:ascii="Arial" w:eastAsia="Times New Roman" w:hAnsi="Arial" w:cs="Arial"/>
                <w:sz w:val="16"/>
                <w:szCs w:val="16"/>
              </w:rPr>
              <w:t>5</w:t>
            </w:r>
          </w:p>
        </w:tc>
        <w:tc>
          <w:tcPr>
            <w:tcW w:w="2757" w:type="pct"/>
          </w:tcPr>
          <w:p w14:paraId="28B7F3FE" w14:textId="3CC10997" w:rsidR="00297459" w:rsidRPr="0084729A" w:rsidRDefault="00297459" w:rsidP="00297459">
            <w:pPr>
              <w:jc w:val="center"/>
              <w:rPr>
                <w:rFonts w:ascii="Arial" w:hAnsi="Arial" w:cs="Arial"/>
                <w:color w:val="000000"/>
                <w:sz w:val="16"/>
                <w:szCs w:val="16"/>
              </w:rPr>
            </w:pPr>
            <w:r w:rsidRPr="0084729A">
              <w:rPr>
                <w:rFonts w:ascii="Arial" w:hAnsi="Arial" w:cs="Arial"/>
                <w:sz w:val="16"/>
                <w:szCs w:val="16"/>
              </w:rPr>
              <w:t>0.90 (0.89, 0.90)</w:t>
            </w:r>
          </w:p>
        </w:tc>
      </w:tr>
      <w:tr w:rsidR="00297459" w:rsidRPr="0084729A" w14:paraId="6E555B67" w14:textId="77777777" w:rsidTr="00AF696C">
        <w:trPr>
          <w:trHeight w:val="20"/>
        </w:trPr>
        <w:tc>
          <w:tcPr>
            <w:tcW w:w="2243" w:type="pct"/>
            <w:noWrap/>
            <w:hideMark/>
          </w:tcPr>
          <w:p w14:paraId="0362413A" w14:textId="62314884" w:rsidR="00297459" w:rsidRPr="0084729A" w:rsidRDefault="006F6BD2" w:rsidP="006F6BD2">
            <w:pPr>
              <w:ind w:left="144"/>
              <w:rPr>
                <w:rFonts w:ascii="Arial" w:hAnsi="Arial" w:cs="Arial"/>
                <w:noProof/>
                <w:sz w:val="16"/>
                <w:szCs w:val="16"/>
              </w:rPr>
            </w:pPr>
            <w:r w:rsidRPr="0084729A">
              <w:rPr>
                <w:rFonts w:ascii="Arial" w:eastAsia="Times New Roman" w:hAnsi="Arial" w:cs="Arial"/>
                <w:sz w:val="16"/>
                <w:szCs w:val="16"/>
              </w:rPr>
              <w:t xml:space="preserve">2 </w:t>
            </w:r>
            <w:r w:rsidR="00297459" w:rsidRPr="0084729A">
              <w:rPr>
                <w:rFonts w:ascii="Arial" w:eastAsia="Times New Roman" w:hAnsi="Arial" w:cs="Arial"/>
                <w:sz w:val="16"/>
                <w:szCs w:val="16"/>
              </w:rPr>
              <w:t xml:space="preserve">vs </w:t>
            </w:r>
            <w:r w:rsidRPr="0084729A">
              <w:rPr>
                <w:rFonts w:ascii="Arial" w:eastAsia="Times New Roman" w:hAnsi="Arial" w:cs="Arial"/>
                <w:sz w:val="16"/>
                <w:szCs w:val="16"/>
              </w:rPr>
              <w:t>5</w:t>
            </w:r>
          </w:p>
        </w:tc>
        <w:tc>
          <w:tcPr>
            <w:tcW w:w="2757" w:type="pct"/>
          </w:tcPr>
          <w:p w14:paraId="1C411851" w14:textId="5499BA86" w:rsidR="00297459" w:rsidRPr="0084729A" w:rsidRDefault="00297459" w:rsidP="00297459">
            <w:pPr>
              <w:jc w:val="center"/>
              <w:rPr>
                <w:rFonts w:ascii="Arial" w:hAnsi="Arial" w:cs="Arial"/>
                <w:color w:val="000000"/>
                <w:sz w:val="16"/>
                <w:szCs w:val="16"/>
              </w:rPr>
            </w:pPr>
            <w:r w:rsidRPr="0084729A">
              <w:rPr>
                <w:rFonts w:ascii="Arial" w:hAnsi="Arial" w:cs="Arial"/>
                <w:sz w:val="16"/>
                <w:szCs w:val="16"/>
              </w:rPr>
              <w:t>0.85 (0.85, 0.86)</w:t>
            </w:r>
          </w:p>
        </w:tc>
      </w:tr>
      <w:tr w:rsidR="00297459" w:rsidRPr="0084729A" w14:paraId="0BE09296" w14:textId="77777777" w:rsidTr="00AF696C">
        <w:trPr>
          <w:trHeight w:val="20"/>
        </w:trPr>
        <w:tc>
          <w:tcPr>
            <w:tcW w:w="2243" w:type="pct"/>
            <w:noWrap/>
            <w:hideMark/>
          </w:tcPr>
          <w:p w14:paraId="5BA073E7" w14:textId="02BC4BCA" w:rsidR="00297459" w:rsidRPr="0084729A" w:rsidRDefault="006F6BD2" w:rsidP="006F6BD2">
            <w:pPr>
              <w:ind w:left="144"/>
              <w:rPr>
                <w:rFonts w:ascii="Arial" w:hAnsi="Arial" w:cs="Arial"/>
                <w:noProof/>
                <w:sz w:val="16"/>
                <w:szCs w:val="16"/>
              </w:rPr>
            </w:pPr>
            <w:r w:rsidRPr="0084729A">
              <w:rPr>
                <w:rFonts w:ascii="Arial" w:eastAsia="Times New Roman" w:hAnsi="Arial" w:cs="Arial"/>
                <w:sz w:val="16"/>
                <w:szCs w:val="16"/>
              </w:rPr>
              <w:t xml:space="preserve">1 </w:t>
            </w:r>
            <w:r w:rsidR="00297459" w:rsidRPr="0084729A">
              <w:rPr>
                <w:rFonts w:ascii="Arial" w:eastAsia="Times New Roman" w:hAnsi="Arial" w:cs="Arial"/>
                <w:sz w:val="16"/>
                <w:szCs w:val="16"/>
              </w:rPr>
              <w:t xml:space="preserve">vs </w:t>
            </w:r>
            <w:r w:rsidRPr="0084729A">
              <w:rPr>
                <w:rFonts w:ascii="Arial" w:eastAsia="Times New Roman" w:hAnsi="Arial" w:cs="Arial"/>
                <w:sz w:val="16"/>
                <w:szCs w:val="16"/>
              </w:rPr>
              <w:t>5</w:t>
            </w:r>
          </w:p>
        </w:tc>
        <w:tc>
          <w:tcPr>
            <w:tcW w:w="2757" w:type="pct"/>
          </w:tcPr>
          <w:p w14:paraId="4B9BA542" w14:textId="28958A43" w:rsidR="00297459" w:rsidRPr="0084729A" w:rsidRDefault="00297459" w:rsidP="00297459">
            <w:pPr>
              <w:jc w:val="center"/>
              <w:rPr>
                <w:rFonts w:ascii="Arial" w:hAnsi="Arial" w:cs="Arial"/>
                <w:color w:val="000000"/>
                <w:sz w:val="16"/>
                <w:szCs w:val="16"/>
              </w:rPr>
            </w:pPr>
            <w:r w:rsidRPr="0084729A">
              <w:rPr>
                <w:rFonts w:ascii="Arial" w:hAnsi="Arial" w:cs="Arial"/>
                <w:sz w:val="16"/>
                <w:szCs w:val="16"/>
              </w:rPr>
              <w:t>0.74 (0.74, 0.75)</w:t>
            </w:r>
          </w:p>
        </w:tc>
      </w:tr>
    </w:tbl>
    <w:p w14:paraId="41643FB0" w14:textId="0CB43F21" w:rsidR="00835D0A" w:rsidRPr="0084729A" w:rsidRDefault="00835D0A" w:rsidP="00835D0A">
      <w:pPr>
        <w:spacing w:after="0" w:line="240" w:lineRule="auto"/>
        <w:rPr>
          <w:rFonts w:ascii="Arial" w:hAnsi="Arial" w:cs="Arial"/>
          <w:noProof/>
          <w:sz w:val="16"/>
          <w:szCs w:val="16"/>
        </w:rPr>
      </w:pPr>
      <w:r w:rsidRPr="0084729A">
        <w:rPr>
          <w:rFonts w:ascii="Arial" w:hAnsi="Arial" w:cs="Arial"/>
          <w:noProof/>
          <w:sz w:val="16"/>
          <w:szCs w:val="16"/>
          <w:vertAlign w:val="superscript"/>
        </w:rPr>
        <w:t>a</w:t>
      </w:r>
      <w:r w:rsidRPr="0084729A">
        <w:rPr>
          <w:rFonts w:ascii="Arial" w:hAnsi="Arial" w:cs="Arial"/>
          <w:noProof/>
          <w:sz w:val="16"/>
          <w:szCs w:val="16"/>
        </w:rPr>
        <w:t xml:space="preserve">Dissemination areas were ranked within each city by their median household income to create income quintiles; we ranked within city instead of within the entire province to take the cost of living into account; a disseminaton area being in quintile 1 means it is among the </w:t>
      </w:r>
      <w:r w:rsidR="0084729A" w:rsidRPr="0084729A">
        <w:rPr>
          <w:rFonts w:ascii="Arial" w:hAnsi="Arial" w:cs="Arial"/>
          <w:noProof/>
          <w:sz w:val="16"/>
          <w:szCs w:val="16"/>
        </w:rPr>
        <w:t xml:space="preserve">lowest </w:t>
      </w:r>
      <w:r w:rsidRPr="0084729A">
        <w:rPr>
          <w:rFonts w:ascii="Arial" w:hAnsi="Arial" w:cs="Arial"/>
          <w:noProof/>
          <w:sz w:val="16"/>
          <w:szCs w:val="16"/>
        </w:rPr>
        <w:t>20% of dissenmination areas in its city by median household income</w:t>
      </w:r>
      <w:r w:rsidR="00FC5E22" w:rsidRPr="0084729A">
        <w:rPr>
          <w:rFonts w:ascii="Arial" w:hAnsi="Arial" w:cs="Arial"/>
          <w:noProof/>
          <w:sz w:val="16"/>
          <w:szCs w:val="16"/>
        </w:rPr>
        <w:t>.</w:t>
      </w:r>
      <w:r w:rsidRPr="0084729A">
        <w:rPr>
          <w:rFonts w:ascii="Arial" w:hAnsi="Arial" w:cs="Arial"/>
          <w:noProof/>
          <w:sz w:val="16"/>
          <w:szCs w:val="16"/>
        </w:rPr>
        <w:t xml:space="preserve"> </w:t>
      </w:r>
    </w:p>
    <w:p w14:paraId="3DEC0972" w14:textId="44F5B53C" w:rsidR="00835D0A" w:rsidRPr="0084729A" w:rsidRDefault="00835D0A" w:rsidP="00835D0A">
      <w:pPr>
        <w:spacing w:after="0" w:line="240" w:lineRule="auto"/>
        <w:rPr>
          <w:rFonts w:ascii="Arial" w:hAnsi="Arial" w:cs="Arial"/>
          <w:sz w:val="16"/>
          <w:szCs w:val="16"/>
        </w:rPr>
      </w:pPr>
      <w:r w:rsidRPr="0084729A">
        <w:rPr>
          <w:rFonts w:ascii="Arial" w:hAnsi="Arial" w:cs="Arial"/>
          <w:sz w:val="16"/>
          <w:szCs w:val="16"/>
          <w:vertAlign w:val="superscript"/>
        </w:rPr>
        <w:t>b</w:t>
      </w:r>
      <w:r w:rsidR="00661330" w:rsidRPr="00661330">
        <w:rPr>
          <w:rFonts w:ascii="Arial" w:hAnsi="Arial" w:cs="Arial"/>
          <w:sz w:val="16"/>
          <w:szCs w:val="16"/>
        </w:rPr>
        <w:t>Vaccination status defined as receiving ≥ 1 dose of Johnson-Johnson vaccine or ≥ 2 doses of other vaccines.</w:t>
      </w:r>
      <w:r w:rsidR="00661330">
        <w:rPr>
          <w:rFonts w:ascii="Arial" w:hAnsi="Arial" w:cs="Arial"/>
          <w:sz w:val="16"/>
          <w:szCs w:val="16"/>
        </w:rPr>
        <w:t xml:space="preserve"> Details in Appendix text 1.</w:t>
      </w:r>
    </w:p>
    <w:p w14:paraId="7DF85853" w14:textId="70294045" w:rsidR="00835D0A" w:rsidRPr="0084729A" w:rsidRDefault="00EC6FDA" w:rsidP="00835D0A">
      <w:pPr>
        <w:spacing w:after="0" w:line="240" w:lineRule="auto"/>
        <w:rPr>
          <w:rFonts w:ascii="Arial" w:hAnsi="Arial" w:cs="Arial"/>
          <w:sz w:val="16"/>
          <w:szCs w:val="16"/>
        </w:rPr>
      </w:pPr>
      <w:r w:rsidRPr="0084729A">
        <w:rPr>
          <w:rFonts w:ascii="Arial" w:hAnsi="Arial" w:cs="Arial"/>
          <w:sz w:val="16"/>
          <w:szCs w:val="16"/>
          <w:vertAlign w:val="superscript"/>
        </w:rPr>
        <w:t>c</w:t>
      </w:r>
      <w:r w:rsidR="00835D0A" w:rsidRPr="0084729A">
        <w:rPr>
          <w:rFonts w:ascii="Arial" w:hAnsi="Arial" w:cs="Arial"/>
          <w:sz w:val="16"/>
          <w:szCs w:val="16"/>
        </w:rPr>
        <w:t>Logistic regression models were used to examine the odds of being fully vaccinated</w:t>
      </w:r>
      <w:r w:rsidR="00FC5E22" w:rsidRPr="0084729A">
        <w:rPr>
          <w:rFonts w:ascii="Arial" w:hAnsi="Arial" w:cs="Arial"/>
          <w:sz w:val="16"/>
          <w:szCs w:val="16"/>
        </w:rPr>
        <w:t>.</w:t>
      </w:r>
    </w:p>
    <w:p w14:paraId="23F2D11D" w14:textId="79939278" w:rsidR="00835D0A" w:rsidRPr="0084729A" w:rsidRDefault="00EC6FDA" w:rsidP="00835D0A">
      <w:pPr>
        <w:spacing w:after="0" w:line="240" w:lineRule="auto"/>
        <w:rPr>
          <w:rFonts w:ascii="Arial" w:hAnsi="Arial" w:cs="Arial"/>
          <w:sz w:val="16"/>
          <w:szCs w:val="16"/>
        </w:rPr>
      </w:pPr>
      <w:r w:rsidRPr="0084729A">
        <w:rPr>
          <w:rFonts w:ascii="Arial" w:hAnsi="Arial" w:cs="Arial"/>
          <w:sz w:val="16"/>
          <w:szCs w:val="16"/>
          <w:vertAlign w:val="superscript"/>
        </w:rPr>
        <w:t>d</w:t>
      </w:r>
      <w:r w:rsidR="00835D0A" w:rsidRPr="0084729A">
        <w:rPr>
          <w:rFonts w:ascii="Arial" w:hAnsi="Arial" w:cs="Arial"/>
          <w:sz w:val="16"/>
          <w:szCs w:val="16"/>
        </w:rPr>
        <w:t>Adjusted for individual-level demographics (age, sex, immigration status, residing in rural vs. urban, public health unit of residence), baseline health (comorbidity index measured by the Aggregated Diagnosis Groups, past hospitalization and outpatient visits), prior infection, and other area-level social determinants of health (educational attainment, essential workers, ethnic diversity and housing condition)</w:t>
      </w:r>
      <w:r w:rsidR="00FC5E22" w:rsidRPr="0084729A">
        <w:rPr>
          <w:rFonts w:ascii="Arial" w:hAnsi="Arial" w:cs="Arial"/>
          <w:sz w:val="16"/>
          <w:szCs w:val="16"/>
        </w:rPr>
        <w:t>.</w:t>
      </w:r>
    </w:p>
    <w:p w14:paraId="6849B39C" w14:textId="77777777" w:rsidR="00835D0A" w:rsidRPr="00B613F4" w:rsidRDefault="00835D0A" w:rsidP="00835D0A">
      <w:pPr>
        <w:spacing w:after="0" w:line="240" w:lineRule="auto"/>
        <w:rPr>
          <w:rFonts w:ascii="Arial" w:hAnsi="Arial" w:cs="Arial"/>
          <w:noProof/>
          <w:sz w:val="16"/>
          <w:szCs w:val="16"/>
        </w:rPr>
      </w:pPr>
      <w:r w:rsidRPr="0084729A">
        <w:rPr>
          <w:rFonts w:ascii="Arial" w:hAnsi="Arial" w:cs="Arial"/>
          <w:noProof/>
          <w:sz w:val="16"/>
          <w:szCs w:val="16"/>
        </w:rPr>
        <w:t>Abbreviations: CI, confidence interval.</w:t>
      </w:r>
    </w:p>
    <w:p w14:paraId="400F90F3" w14:textId="77777777" w:rsidR="00560BF0" w:rsidRPr="00B613F4" w:rsidRDefault="00560BF0" w:rsidP="00560BF0">
      <w:pPr>
        <w:spacing w:after="0" w:line="240" w:lineRule="auto"/>
        <w:rPr>
          <w:rFonts w:ascii="Arial" w:hAnsi="Arial" w:cs="Arial"/>
          <w:noProof/>
          <w:sz w:val="16"/>
          <w:szCs w:val="16"/>
        </w:rPr>
      </w:pPr>
    </w:p>
    <w:p w14:paraId="621283E6" w14:textId="77777777" w:rsidR="00E01EE6" w:rsidRPr="00B613F4" w:rsidRDefault="00E01EE6" w:rsidP="00E01EE6">
      <w:pPr>
        <w:rPr>
          <w:rFonts w:ascii="Arial" w:hAnsi="Arial" w:cs="Arial"/>
        </w:rPr>
      </w:pPr>
    </w:p>
    <w:p w14:paraId="7B5AEB9D" w14:textId="11415144" w:rsidR="00E01EE6" w:rsidRPr="00B613F4" w:rsidRDefault="00CC3CC0" w:rsidP="00E01EE6">
      <w:pPr>
        <w:rPr>
          <w:rFonts w:ascii="Arial" w:hAnsi="Arial" w:cs="Arial"/>
        </w:rPr>
      </w:pPr>
      <w:r w:rsidRPr="00B613F4">
        <w:rPr>
          <w:rFonts w:ascii="Arial" w:hAnsi="Arial" w:cs="Arial"/>
        </w:rPr>
        <w:t xml:space="preserve"> </w:t>
      </w:r>
      <w:r w:rsidR="00E01EE6" w:rsidRPr="00B613F4">
        <w:rPr>
          <w:rFonts w:ascii="Arial" w:hAnsi="Arial" w:cs="Arial"/>
        </w:rPr>
        <w:br w:type="page"/>
      </w:r>
    </w:p>
    <w:p w14:paraId="6A0DD6CD" w14:textId="77777777" w:rsidR="00E01EE6" w:rsidRPr="00B613F4" w:rsidRDefault="00E01EE6" w:rsidP="00E01EE6">
      <w:pPr>
        <w:rPr>
          <w:rFonts w:ascii="Arial" w:hAnsi="Arial" w:cs="Arial"/>
        </w:rPr>
      </w:pPr>
    </w:p>
    <w:p w14:paraId="2FF65E8D" w14:textId="6872ABFE" w:rsidR="00E01EE6" w:rsidRPr="00B613F4" w:rsidRDefault="00AC0F34" w:rsidP="00E01EE6">
      <w:pPr>
        <w:rPr>
          <w:rFonts w:ascii="Arial" w:hAnsi="Arial" w:cs="Arial"/>
        </w:rPr>
      </w:pPr>
      <w:r>
        <w:rPr>
          <w:noProof/>
          <w:sz w:val="16"/>
          <w:szCs w:val="16"/>
          <w:lang w:eastAsia="zh-CN"/>
        </w:rPr>
        <w:drawing>
          <wp:inline distT="0" distB="0" distL="0" distR="0" wp14:anchorId="123D1F4B" wp14:editId="1DC28188">
            <wp:extent cx="5879604" cy="4873762"/>
            <wp:effectExtent l="0" t="0" r="698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ppendix Figure 1_flow diagram.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79604" cy="4873762"/>
                    </a:xfrm>
                    <a:prstGeom prst="rect">
                      <a:avLst/>
                    </a:prstGeom>
                  </pic:spPr>
                </pic:pic>
              </a:graphicData>
            </a:graphic>
          </wp:inline>
        </w:drawing>
      </w:r>
    </w:p>
    <w:p w14:paraId="1996062A" w14:textId="77777777" w:rsidR="00E01EE6" w:rsidRPr="00B613F4" w:rsidRDefault="00E01EE6" w:rsidP="00E01EE6">
      <w:pPr>
        <w:rPr>
          <w:rFonts w:ascii="Arial" w:hAnsi="Arial" w:cs="Arial"/>
          <w:bCs/>
          <w:iCs/>
        </w:rPr>
      </w:pPr>
    </w:p>
    <w:p w14:paraId="2B7742EA" w14:textId="66603C15" w:rsidR="00E01EE6" w:rsidRPr="00B613F4" w:rsidRDefault="00E01EE6" w:rsidP="00E01EE6">
      <w:pPr>
        <w:rPr>
          <w:rFonts w:ascii="Arial" w:hAnsi="Arial" w:cs="Arial"/>
          <w:bCs/>
          <w:iCs/>
        </w:rPr>
      </w:pPr>
      <w:r w:rsidRPr="00B613F4">
        <w:rPr>
          <w:rFonts w:ascii="Arial" w:hAnsi="Arial" w:cs="Arial"/>
          <w:b/>
          <w:bCs/>
          <w:iCs/>
        </w:rPr>
        <w:t>Appendix Figure 1.</w:t>
      </w:r>
      <w:r w:rsidRPr="00B613F4">
        <w:rPr>
          <w:rFonts w:ascii="Arial" w:hAnsi="Arial" w:cs="Arial"/>
          <w:bCs/>
          <w:iCs/>
        </w:rPr>
        <w:t xml:space="preserve"> Flow diagram showing inclusion and exclusion criteria and resulting analytic data set</w:t>
      </w:r>
      <w:r w:rsidR="00DF756F">
        <w:rPr>
          <w:rFonts w:ascii="Arial" w:hAnsi="Arial" w:cs="Arial"/>
          <w:bCs/>
          <w:iCs/>
        </w:rPr>
        <w:t>s</w:t>
      </w:r>
      <w:r w:rsidRPr="00B613F4">
        <w:rPr>
          <w:rFonts w:ascii="Arial" w:hAnsi="Arial" w:cs="Arial"/>
          <w:bCs/>
          <w:iCs/>
        </w:rPr>
        <w:t>.</w:t>
      </w:r>
    </w:p>
    <w:p w14:paraId="194ED3B1" w14:textId="77777777" w:rsidR="00E01EE6" w:rsidRPr="00B613F4" w:rsidRDefault="00E01EE6" w:rsidP="00E01EE6">
      <w:pPr>
        <w:rPr>
          <w:rFonts w:ascii="Arial" w:hAnsi="Arial" w:cs="Arial"/>
          <w:bCs/>
          <w:iCs/>
        </w:rPr>
      </w:pPr>
    </w:p>
    <w:p w14:paraId="001BE820" w14:textId="77777777" w:rsidR="00E01EE6" w:rsidRPr="00B613F4" w:rsidRDefault="00E01EE6" w:rsidP="00E01EE6">
      <w:pPr>
        <w:rPr>
          <w:rFonts w:ascii="Arial" w:hAnsi="Arial" w:cs="Arial"/>
          <w:bCs/>
          <w:iCs/>
        </w:rPr>
      </w:pPr>
      <w:r w:rsidRPr="00B613F4">
        <w:rPr>
          <w:rFonts w:ascii="Arial" w:hAnsi="Arial" w:cs="Arial"/>
          <w:bCs/>
          <w:iCs/>
        </w:rPr>
        <w:br w:type="page"/>
      </w:r>
    </w:p>
    <w:p w14:paraId="49A4B74A" w14:textId="77777777" w:rsidR="00E01EE6" w:rsidRPr="00B613F4" w:rsidRDefault="00E01EE6" w:rsidP="00E01EE6">
      <w:pPr>
        <w:rPr>
          <w:rFonts w:ascii="Arial" w:hAnsi="Arial" w:cs="Arial"/>
          <w:b/>
          <w:bCs/>
          <w:iCs/>
        </w:rPr>
      </w:pPr>
    </w:p>
    <w:p w14:paraId="4F187D68" w14:textId="117E3D9E" w:rsidR="00E01EE6" w:rsidRPr="00B613F4" w:rsidRDefault="008E4248" w:rsidP="00E01EE6">
      <w:pPr>
        <w:rPr>
          <w:rFonts w:ascii="Arial" w:hAnsi="Arial" w:cs="Arial"/>
          <w:b/>
          <w:bCs/>
          <w:iCs/>
        </w:rPr>
      </w:pPr>
      <w:r>
        <w:rPr>
          <w:rFonts w:ascii="Arial" w:hAnsi="Arial" w:cs="Arial"/>
          <w:b/>
          <w:bCs/>
          <w:iCs/>
          <w:noProof/>
          <w:lang w:eastAsia="zh-CN"/>
        </w:rPr>
        <w:drawing>
          <wp:inline distT="0" distB="0" distL="0" distR="0" wp14:anchorId="330E9E2E" wp14:editId="433C2AA2">
            <wp:extent cx="5943600" cy="302577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ppendix Figure 2_2023112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3025775"/>
                    </a:xfrm>
                    <a:prstGeom prst="rect">
                      <a:avLst/>
                    </a:prstGeom>
                  </pic:spPr>
                </pic:pic>
              </a:graphicData>
            </a:graphic>
          </wp:inline>
        </w:drawing>
      </w:r>
    </w:p>
    <w:p w14:paraId="798FD9BE" w14:textId="72072C8A" w:rsidR="00782666" w:rsidRDefault="00E01EE6" w:rsidP="00E01EE6">
      <w:pPr>
        <w:rPr>
          <w:rFonts w:ascii="Arial" w:hAnsi="Arial" w:cs="Arial"/>
          <w:bCs/>
          <w:iCs/>
        </w:rPr>
      </w:pPr>
      <w:r w:rsidRPr="00B613F4">
        <w:rPr>
          <w:rFonts w:ascii="Arial" w:hAnsi="Arial" w:cs="Arial"/>
          <w:b/>
          <w:bCs/>
          <w:iCs/>
        </w:rPr>
        <w:t>Appendix Figure 2.</w:t>
      </w:r>
      <w:r w:rsidRPr="00B613F4">
        <w:rPr>
          <w:rFonts w:ascii="Arial" w:hAnsi="Arial" w:cs="Arial"/>
          <w:bCs/>
          <w:iCs/>
        </w:rPr>
        <w:t xml:space="preserve"> </w:t>
      </w:r>
      <w:r w:rsidRPr="00B613F4">
        <w:rPr>
          <w:rFonts w:ascii="Arial" w:hAnsi="Arial" w:cs="Arial"/>
          <w:bCs/>
        </w:rPr>
        <w:t>Directed acyclic graphs</w:t>
      </w:r>
      <w:r w:rsidRPr="00B613F4">
        <w:rPr>
          <w:rFonts w:ascii="Arial" w:hAnsi="Arial" w:cs="Arial"/>
          <w:b/>
          <w:bCs/>
        </w:rPr>
        <w:t xml:space="preserve"> </w:t>
      </w:r>
      <w:r w:rsidRPr="00B613F4">
        <w:rPr>
          <w:rFonts w:ascii="Arial" w:hAnsi="Arial" w:cs="Arial"/>
          <w:bCs/>
        </w:rPr>
        <w:t>depicting the relationship between area-level income and COVID-19 death</w:t>
      </w:r>
      <w:r w:rsidR="00C14A9F">
        <w:rPr>
          <w:rFonts w:ascii="Arial" w:hAnsi="Arial" w:cs="Arial"/>
          <w:bCs/>
        </w:rPr>
        <w:t>s</w:t>
      </w:r>
      <w:r w:rsidRPr="00B613F4">
        <w:rPr>
          <w:rFonts w:ascii="Arial" w:hAnsi="Arial" w:cs="Arial"/>
          <w:b/>
          <w:bCs/>
        </w:rPr>
        <w:t xml:space="preserve"> </w:t>
      </w:r>
      <w:r w:rsidRPr="00B613F4">
        <w:rPr>
          <w:rFonts w:ascii="Arial" w:hAnsi="Arial" w:cs="Arial"/>
          <w:bCs/>
        </w:rPr>
        <w:t xml:space="preserve">as mediated by A) </w:t>
      </w:r>
      <w:r w:rsidR="001D70D0">
        <w:rPr>
          <w:rFonts w:ascii="Arial" w:hAnsi="Arial" w:cs="Arial"/>
          <w:bCs/>
        </w:rPr>
        <w:t xml:space="preserve">the </w:t>
      </w:r>
      <w:r w:rsidRPr="00B613F4">
        <w:rPr>
          <w:rFonts w:ascii="Arial" w:hAnsi="Arial" w:cs="Arial"/>
          <w:bCs/>
        </w:rPr>
        <w:t xml:space="preserve">area-level </w:t>
      </w:r>
      <w:r w:rsidR="008E4248">
        <w:rPr>
          <w:rFonts w:ascii="Arial" w:hAnsi="Arial" w:cs="Arial"/>
          <w:bCs/>
        </w:rPr>
        <w:t>essential worker measure</w:t>
      </w:r>
      <w:r w:rsidRPr="00B613F4">
        <w:rPr>
          <w:rFonts w:ascii="Arial" w:hAnsi="Arial" w:cs="Arial"/>
          <w:bCs/>
        </w:rPr>
        <w:t xml:space="preserve">, and </w:t>
      </w:r>
      <w:r w:rsidRPr="00B613F4">
        <w:rPr>
          <w:rFonts w:ascii="Arial" w:hAnsi="Arial" w:cs="Arial"/>
          <w:bCs/>
          <w:iCs/>
        </w:rPr>
        <w:t>B)</w:t>
      </w:r>
      <w:r w:rsidR="001D70D0">
        <w:rPr>
          <w:rFonts w:ascii="Arial" w:hAnsi="Arial" w:cs="Arial"/>
          <w:bCs/>
          <w:iCs/>
        </w:rPr>
        <w:t xml:space="preserve"> the</w:t>
      </w:r>
      <w:r w:rsidRPr="00B613F4">
        <w:rPr>
          <w:rFonts w:ascii="Arial" w:hAnsi="Arial" w:cs="Arial"/>
          <w:bCs/>
          <w:iCs/>
        </w:rPr>
        <w:t xml:space="preserve"> area-level </w:t>
      </w:r>
      <w:r w:rsidR="008E4248">
        <w:rPr>
          <w:rFonts w:ascii="Arial" w:hAnsi="Arial" w:cs="Arial"/>
          <w:bCs/>
          <w:iCs/>
        </w:rPr>
        <w:t>housing density measure</w:t>
      </w:r>
      <w:r w:rsidRPr="00B613F4">
        <w:rPr>
          <w:rFonts w:ascii="Arial" w:hAnsi="Arial" w:cs="Arial"/>
          <w:bCs/>
          <w:iCs/>
        </w:rPr>
        <w:t>. We adjusted for confounder</w:t>
      </w:r>
      <w:r w:rsidR="008E4248">
        <w:rPr>
          <w:rFonts w:ascii="Arial" w:hAnsi="Arial" w:cs="Arial"/>
          <w:bCs/>
          <w:iCs/>
        </w:rPr>
        <w:t>s including individual-level demographics, baseline health, prior infection, and other area-level social determinants of health</w:t>
      </w:r>
      <w:r w:rsidR="001D70D0">
        <w:rPr>
          <w:rFonts w:ascii="Arial" w:hAnsi="Arial" w:cs="Arial"/>
          <w:bCs/>
          <w:iCs/>
        </w:rPr>
        <w:t xml:space="preserve">. We did </w:t>
      </w:r>
      <w:r w:rsidRPr="00B613F4">
        <w:rPr>
          <w:rFonts w:ascii="Arial" w:hAnsi="Arial" w:cs="Arial"/>
          <w:bCs/>
          <w:iCs/>
        </w:rPr>
        <w:t>not adjust for vaccination in the models as vaccination is in the causal pathway between exposure and outcome, as well as in the causal pathway between the mediator</w:t>
      </w:r>
      <w:r w:rsidR="001D70D0">
        <w:rPr>
          <w:rFonts w:ascii="Arial" w:hAnsi="Arial" w:cs="Arial"/>
          <w:bCs/>
          <w:iCs/>
        </w:rPr>
        <w:t>s-</w:t>
      </w:r>
      <w:r w:rsidRPr="00B613F4">
        <w:rPr>
          <w:rFonts w:ascii="Arial" w:hAnsi="Arial" w:cs="Arial"/>
          <w:bCs/>
          <w:iCs/>
        </w:rPr>
        <w:t>of</w:t>
      </w:r>
      <w:r w:rsidR="001D70D0">
        <w:rPr>
          <w:rFonts w:ascii="Arial" w:hAnsi="Arial" w:cs="Arial"/>
          <w:bCs/>
          <w:iCs/>
        </w:rPr>
        <w:t>-</w:t>
      </w:r>
      <w:r w:rsidRPr="00B613F4">
        <w:rPr>
          <w:rFonts w:ascii="Arial" w:hAnsi="Arial" w:cs="Arial"/>
          <w:bCs/>
          <w:iCs/>
        </w:rPr>
        <w:t>interest and</w:t>
      </w:r>
      <w:r w:rsidR="001D70D0">
        <w:rPr>
          <w:rFonts w:ascii="Arial" w:hAnsi="Arial" w:cs="Arial"/>
          <w:bCs/>
          <w:iCs/>
        </w:rPr>
        <w:t xml:space="preserve"> the</w:t>
      </w:r>
      <w:r w:rsidRPr="00B613F4">
        <w:rPr>
          <w:rFonts w:ascii="Arial" w:hAnsi="Arial" w:cs="Arial"/>
          <w:bCs/>
          <w:iCs/>
        </w:rPr>
        <w:t xml:space="preserve"> outcome. </w:t>
      </w:r>
    </w:p>
    <w:p w14:paraId="74366610" w14:textId="77777777" w:rsidR="00782666" w:rsidRDefault="00782666">
      <w:pPr>
        <w:rPr>
          <w:rFonts w:ascii="Arial" w:hAnsi="Arial" w:cs="Arial"/>
          <w:bCs/>
          <w:iCs/>
        </w:rPr>
      </w:pPr>
      <w:r>
        <w:rPr>
          <w:rFonts w:ascii="Arial" w:hAnsi="Arial" w:cs="Arial"/>
          <w:bCs/>
          <w:iCs/>
        </w:rPr>
        <w:br w:type="page"/>
      </w:r>
    </w:p>
    <w:p w14:paraId="59FEC559" w14:textId="77777777" w:rsidR="00794B11" w:rsidRPr="003053EA" w:rsidRDefault="00794B11" w:rsidP="00794B11">
      <w:pPr>
        <w:spacing w:after="0" w:line="480" w:lineRule="auto"/>
        <w:rPr>
          <w:rFonts w:ascii="Arial" w:hAnsi="Arial" w:cs="Arial"/>
          <w:bCs/>
          <w:iCs/>
        </w:rPr>
      </w:pPr>
      <w:r w:rsidRPr="003053EA">
        <w:rPr>
          <w:rFonts w:ascii="Arial" w:hAnsi="Arial" w:cs="Arial"/>
          <w:b/>
          <w:bCs/>
          <w:iCs/>
        </w:rPr>
        <w:lastRenderedPageBreak/>
        <w:t>Appendix Text 1.</w:t>
      </w:r>
      <w:r w:rsidRPr="003053EA">
        <w:rPr>
          <w:rFonts w:ascii="Arial" w:hAnsi="Arial" w:cs="Arial"/>
          <w:bCs/>
          <w:iCs/>
        </w:rPr>
        <w:t xml:space="preserve"> Details on vaccination status classification. </w:t>
      </w:r>
    </w:p>
    <w:p w14:paraId="1DE5C4B2" w14:textId="249A6F81" w:rsidR="00794B11" w:rsidRPr="003053EA" w:rsidRDefault="00794B11" w:rsidP="00794B11">
      <w:pPr>
        <w:spacing w:after="0" w:line="480" w:lineRule="auto"/>
        <w:rPr>
          <w:rFonts w:ascii="Arial" w:hAnsi="Arial" w:cs="Arial"/>
          <w:color w:val="000000"/>
        </w:rPr>
      </w:pPr>
      <w:r w:rsidRPr="003053EA">
        <w:rPr>
          <w:rFonts w:ascii="Arial" w:hAnsi="Arial" w:cs="Arial"/>
          <w:bCs/>
          <w:iCs/>
        </w:rPr>
        <w:t xml:space="preserve">We determined individual’s vaccination status based on </w:t>
      </w:r>
      <w:r w:rsidRPr="003053EA">
        <w:rPr>
          <w:rFonts w:ascii="Arial" w:hAnsi="Arial" w:cs="Arial"/>
          <w:color w:val="000000"/>
        </w:rPr>
        <w:t xml:space="preserve">Ontario’s </w:t>
      </w:r>
      <w:r w:rsidR="006B74A2">
        <w:rPr>
          <w:rFonts w:ascii="Arial" w:hAnsi="Arial" w:cs="Arial"/>
          <w:color w:val="000000"/>
        </w:rPr>
        <w:t>COVID-19</w:t>
      </w:r>
      <w:r w:rsidRPr="003053EA">
        <w:rPr>
          <w:rFonts w:ascii="Arial" w:hAnsi="Arial" w:cs="Arial"/>
          <w:color w:val="000000"/>
        </w:rPr>
        <w:t xml:space="preserve"> vaccination </w:t>
      </w:r>
      <w:r w:rsidR="006B74A2">
        <w:rPr>
          <w:rFonts w:ascii="Arial" w:hAnsi="Arial" w:cs="Arial"/>
          <w:color w:val="000000"/>
        </w:rPr>
        <w:t>registry</w:t>
      </w:r>
      <w:r w:rsidRPr="003053EA">
        <w:rPr>
          <w:rFonts w:ascii="Arial" w:hAnsi="Arial" w:cs="Arial"/>
          <w:color w:val="000000"/>
        </w:rPr>
        <w:t xml:space="preserve">. We classified vaccination status into four categories: no vaccination, partially vaccinated, fully vaccinated without booster, and fully vaccinated with booster, based on the date of each vaccine dose in relation to the index date, and the vaccine product type. For the first dose of vaccine, we assume a 14-day lag between the date of vaccine dose administration and the date when vaccine is considered protective; for the second dose of vaccine and onward doses, we assume a 7-day lag between the date of vaccine dose administration and the date when vaccine is considered protective. </w:t>
      </w:r>
    </w:p>
    <w:p w14:paraId="12B7A095" w14:textId="77777777" w:rsidR="00794B11" w:rsidRPr="003053EA" w:rsidRDefault="00794B11" w:rsidP="00794B11">
      <w:pPr>
        <w:spacing w:after="0" w:line="480" w:lineRule="auto"/>
        <w:rPr>
          <w:rFonts w:ascii="Arial" w:hAnsi="Arial" w:cs="Arial"/>
          <w:color w:val="000000"/>
        </w:rPr>
      </w:pPr>
    </w:p>
    <w:p w14:paraId="29982549" w14:textId="77777777" w:rsidR="00794B11" w:rsidRPr="003053EA" w:rsidRDefault="00794B11" w:rsidP="00794B11">
      <w:pPr>
        <w:spacing w:after="0" w:line="480" w:lineRule="auto"/>
        <w:rPr>
          <w:rFonts w:ascii="Arial" w:hAnsi="Arial" w:cs="Arial"/>
        </w:rPr>
      </w:pPr>
      <w:r w:rsidRPr="003053EA">
        <w:rPr>
          <w:rFonts w:ascii="Arial" w:hAnsi="Arial" w:cs="Arial"/>
          <w:color w:val="000000"/>
        </w:rPr>
        <w:t xml:space="preserve">Partially vaccinated is defined as i) having </w:t>
      </w:r>
      <w:r w:rsidRPr="003053EA">
        <w:rPr>
          <w:rFonts w:ascii="Arial" w:hAnsi="Arial" w:cs="Arial"/>
        </w:rPr>
        <w:t xml:space="preserve">one dose of any vaccine other than Janssen Jcovden (Johnson &amp; Johnson) vaccine; or ii) having only two doses of a non-Health Canada-approved vaccine. </w:t>
      </w:r>
    </w:p>
    <w:p w14:paraId="4CDB1AFD" w14:textId="77777777" w:rsidR="00794B11" w:rsidRPr="003053EA" w:rsidRDefault="00794B11" w:rsidP="00794B11">
      <w:pPr>
        <w:spacing w:after="0" w:line="480" w:lineRule="auto"/>
        <w:rPr>
          <w:rFonts w:ascii="Arial" w:hAnsi="Arial" w:cs="Arial"/>
        </w:rPr>
      </w:pPr>
    </w:p>
    <w:p w14:paraId="0CA741F7" w14:textId="77777777" w:rsidR="00794B11" w:rsidRPr="003053EA" w:rsidRDefault="00794B11" w:rsidP="00794B11">
      <w:pPr>
        <w:spacing w:after="0" w:line="480" w:lineRule="auto"/>
        <w:rPr>
          <w:rFonts w:ascii="Arial" w:hAnsi="Arial" w:cs="Arial"/>
        </w:rPr>
      </w:pPr>
      <w:r w:rsidRPr="003053EA">
        <w:rPr>
          <w:rFonts w:ascii="Arial" w:hAnsi="Arial" w:cs="Arial"/>
        </w:rPr>
        <w:t xml:space="preserve">Fully vaccinated without booster is defined as i) having two doses of a Health Canada-approved vaccine (Pfizer, Moderna, or Covishield/AstraZeneca); or ii) having one dose of a Janssen Jcovden (Johnson &amp; Johnson) vaccine (1-dose product); or iii) having one dose of a non-Health Canada-approved vaccine and one dose of a Health Canada-approved vaccine (Pfizer, Moderna, Covishield/AstraZeneca). </w:t>
      </w:r>
    </w:p>
    <w:p w14:paraId="079A6358" w14:textId="77777777" w:rsidR="00794B11" w:rsidRPr="003053EA" w:rsidRDefault="00794B11" w:rsidP="00794B11">
      <w:pPr>
        <w:spacing w:after="0" w:line="480" w:lineRule="auto"/>
        <w:rPr>
          <w:rFonts w:ascii="Arial" w:hAnsi="Arial" w:cs="Arial"/>
        </w:rPr>
      </w:pPr>
    </w:p>
    <w:p w14:paraId="48E1ECCD" w14:textId="3115926A" w:rsidR="00794B11" w:rsidRPr="003053EA" w:rsidRDefault="00794B11" w:rsidP="00794B11">
      <w:pPr>
        <w:spacing w:after="0" w:line="480" w:lineRule="auto"/>
        <w:rPr>
          <w:rFonts w:ascii="Arial" w:hAnsi="Arial" w:cs="Arial"/>
        </w:rPr>
      </w:pPr>
      <w:r w:rsidRPr="003053EA">
        <w:rPr>
          <w:rFonts w:ascii="Arial" w:hAnsi="Arial" w:cs="Arial"/>
        </w:rPr>
        <w:t>Fully vaccinated with booster is defined as i) having three doses of any vaccines; or ii) having one dose of Janssen vaccine (1-dose product) plus a booster dose of any other vaccines.</w:t>
      </w:r>
    </w:p>
    <w:p w14:paraId="1E465967" w14:textId="77777777" w:rsidR="00794B11" w:rsidRPr="003053EA" w:rsidRDefault="00794B11" w:rsidP="00794B11">
      <w:pPr>
        <w:spacing w:after="0" w:line="480" w:lineRule="auto"/>
        <w:rPr>
          <w:rFonts w:ascii="Arial" w:hAnsi="Arial" w:cs="Arial"/>
        </w:rPr>
      </w:pPr>
    </w:p>
    <w:p w14:paraId="353EA9E1" w14:textId="0C2750CE" w:rsidR="00794B11" w:rsidRPr="003053EA" w:rsidRDefault="00794B11" w:rsidP="00826AA5">
      <w:pPr>
        <w:spacing w:after="0" w:line="480" w:lineRule="auto"/>
        <w:rPr>
          <w:rFonts w:ascii="Arial" w:hAnsi="Arial" w:cs="Arial"/>
          <w:b/>
          <w:bCs/>
          <w:iCs/>
        </w:rPr>
      </w:pPr>
      <w:r w:rsidRPr="003053EA">
        <w:rPr>
          <w:rFonts w:ascii="Arial" w:hAnsi="Arial" w:cs="Arial"/>
        </w:rPr>
        <w:t xml:space="preserve">For our regression analyses, we further grouped vaccination status into a binary measure to increase analytic power: fully vaccinated yes vs. no, where fully vaccinated includes fully vaccinated with and without booster. </w:t>
      </w:r>
    </w:p>
    <w:p w14:paraId="53E0F9D2" w14:textId="40FE1A91" w:rsidR="00444BC1" w:rsidRPr="003053EA" w:rsidRDefault="00444BC1" w:rsidP="00EC26D9">
      <w:pPr>
        <w:spacing w:after="0" w:line="480" w:lineRule="auto"/>
        <w:rPr>
          <w:rFonts w:ascii="Arial" w:hAnsi="Arial" w:cs="Arial"/>
          <w:bCs/>
          <w:iCs/>
        </w:rPr>
      </w:pPr>
      <w:r w:rsidRPr="003053EA">
        <w:rPr>
          <w:rFonts w:ascii="Arial" w:hAnsi="Arial" w:cs="Arial"/>
          <w:b/>
          <w:bCs/>
          <w:iCs/>
        </w:rPr>
        <w:lastRenderedPageBreak/>
        <w:t xml:space="preserve">Appendix Text </w:t>
      </w:r>
      <w:r w:rsidR="00794B11" w:rsidRPr="003053EA">
        <w:rPr>
          <w:rFonts w:ascii="Arial" w:hAnsi="Arial" w:cs="Arial"/>
          <w:b/>
          <w:bCs/>
          <w:iCs/>
        </w:rPr>
        <w:t>2</w:t>
      </w:r>
      <w:r w:rsidRPr="003053EA">
        <w:rPr>
          <w:rFonts w:ascii="Arial" w:hAnsi="Arial" w:cs="Arial"/>
          <w:b/>
          <w:bCs/>
          <w:iCs/>
        </w:rPr>
        <w:t>.</w:t>
      </w:r>
      <w:r w:rsidRPr="003053EA">
        <w:rPr>
          <w:rFonts w:ascii="Arial" w:hAnsi="Arial" w:cs="Arial"/>
          <w:bCs/>
          <w:iCs/>
        </w:rPr>
        <w:t xml:space="preserve"> Details on COVID-19 variants</w:t>
      </w:r>
      <w:r w:rsidR="001D70D0" w:rsidRPr="003053EA">
        <w:rPr>
          <w:rFonts w:ascii="Arial" w:hAnsi="Arial" w:cs="Arial"/>
          <w:bCs/>
          <w:iCs/>
        </w:rPr>
        <w:t>’</w:t>
      </w:r>
      <w:r w:rsidRPr="003053EA">
        <w:rPr>
          <w:rFonts w:ascii="Arial" w:hAnsi="Arial" w:cs="Arial"/>
          <w:bCs/>
          <w:iCs/>
        </w:rPr>
        <w:t xml:space="preserve"> classification</w:t>
      </w:r>
      <w:r w:rsidR="008D7D42" w:rsidRPr="003053EA">
        <w:rPr>
          <w:rFonts w:ascii="Arial" w:hAnsi="Arial" w:cs="Arial"/>
          <w:bCs/>
          <w:iCs/>
        </w:rPr>
        <w:t xml:space="preserve"> for diagnoses </w:t>
      </w:r>
      <w:r w:rsidR="000B7401">
        <w:rPr>
          <w:rFonts w:ascii="Arial" w:hAnsi="Arial" w:cs="Arial"/>
          <w:bCs/>
          <w:iCs/>
        </w:rPr>
        <w:t>during</w:t>
      </w:r>
      <w:r w:rsidR="000B7401" w:rsidRPr="003053EA">
        <w:rPr>
          <w:rFonts w:ascii="Arial" w:hAnsi="Arial" w:cs="Arial"/>
          <w:bCs/>
          <w:iCs/>
        </w:rPr>
        <w:t xml:space="preserve"> </w:t>
      </w:r>
      <w:r w:rsidR="008D7D42" w:rsidRPr="003053EA">
        <w:rPr>
          <w:rFonts w:ascii="Arial" w:hAnsi="Arial" w:cs="Arial"/>
          <w:bCs/>
          <w:iCs/>
        </w:rPr>
        <w:t>waves 4&amp;5 (between Aug 1, 2021 and Dec 31, 2021)</w:t>
      </w:r>
      <w:r w:rsidRPr="003053EA">
        <w:rPr>
          <w:rFonts w:ascii="Arial" w:hAnsi="Arial" w:cs="Arial"/>
          <w:bCs/>
          <w:iCs/>
        </w:rPr>
        <w:t xml:space="preserve">. </w:t>
      </w:r>
    </w:p>
    <w:p w14:paraId="423A6EDA" w14:textId="68EA0733" w:rsidR="006B6305" w:rsidRPr="003053EA" w:rsidRDefault="008D7D42" w:rsidP="00213BAB">
      <w:pPr>
        <w:pStyle w:val="Default"/>
        <w:spacing w:line="480" w:lineRule="auto"/>
        <w:rPr>
          <w:rFonts w:ascii="Arial" w:eastAsia="Times New Roman" w:hAnsi="Arial" w:cs="Arial"/>
          <w:sz w:val="22"/>
          <w:szCs w:val="22"/>
        </w:rPr>
      </w:pPr>
      <w:r w:rsidRPr="003053EA">
        <w:rPr>
          <w:rFonts w:ascii="Arial" w:eastAsia="Times New Roman" w:hAnsi="Arial" w:cs="Arial"/>
          <w:bCs/>
          <w:sz w:val="22"/>
          <w:szCs w:val="22"/>
        </w:rPr>
        <w:t xml:space="preserve">In Ontario, the variant testing </w:t>
      </w:r>
      <w:r w:rsidR="004E5474" w:rsidRPr="003053EA">
        <w:rPr>
          <w:rFonts w:ascii="Arial" w:eastAsia="Times New Roman" w:hAnsi="Arial" w:cs="Arial"/>
          <w:bCs/>
          <w:sz w:val="22"/>
          <w:szCs w:val="22"/>
        </w:rPr>
        <w:t>algorithm has changed over time</w:t>
      </w:r>
      <w:r w:rsidR="005938EC" w:rsidRPr="003053EA">
        <w:rPr>
          <w:rFonts w:ascii="Arial" w:eastAsia="Times New Roman" w:hAnsi="Arial" w:cs="Arial"/>
          <w:bCs/>
          <w:sz w:val="22"/>
          <w:szCs w:val="22"/>
        </w:rPr>
        <w:fldChar w:fldCharType="begin"/>
      </w:r>
      <w:r w:rsidR="005938EC" w:rsidRPr="003053EA">
        <w:rPr>
          <w:rFonts w:ascii="Arial" w:eastAsia="Times New Roman" w:hAnsi="Arial" w:cs="Arial"/>
          <w:bCs/>
          <w:sz w:val="22"/>
          <w:szCs w:val="22"/>
        </w:rPr>
        <w:instrText xml:space="preserve"> ADDIN ZOTERO_ITEM CSL_CITATION {"citationID":"fq5Uvr0r","properties":{"formattedCitation":"(1,2)","plainCitation":"(1,2)","noteIndex":0},"citationItems":[{"id":310,"uris":["http://zotero.org/users/11038636/items/EIKSJ3GG"],"itemData":{"id":310,"type":"article-journal","language":"en","source":"Zotero","title":"Estimating the Prevalence and Growth of SARS-CoV-2 Variants in Ontario using Mutation Profiles","URL":"https://www.publichealthontario.ca/-/media/documents/ncov/epi/covid-19-prevalence-growth-voc-mutation-epi-summary.pdf?sc_lang=en","author":[{"family":"Public Health Ontario","given":""}],"accessed":{"date-parts":[["2023",11,21]]},"issued":{"date-parts":[["2021"]]}}},{"id":417,"uris":["http://zotero.org/users/11038636/items/CGYPE3JX"],"itemData":{"id":417,"type":"article-journal","language":"en","source":"Zotero","title":"SARS-CoV-2 Genomic Surveillance in Ontario, November 20, 2023","URL":"https://www.publichealthontario.ca/-/media/documents/ncov/epi/covid-19-sars-cov2-whole-genome-sequencing-epi-summary.pdf","author":[{"family":"Public Health Ontario","given":""}],"accessed":{"date-parts":[["2023",11,22]]},"issued":{"date-parts":[["2023"]]}}}],"schema":"https://github.com/citation-style-language/schema/raw/master/csl-citation.json"} </w:instrText>
      </w:r>
      <w:r w:rsidR="005938EC" w:rsidRPr="003053EA">
        <w:rPr>
          <w:rFonts w:ascii="Arial" w:eastAsia="Times New Roman" w:hAnsi="Arial" w:cs="Arial"/>
          <w:bCs/>
          <w:sz w:val="22"/>
          <w:szCs w:val="22"/>
        </w:rPr>
        <w:fldChar w:fldCharType="separate"/>
      </w:r>
      <w:r w:rsidR="005938EC" w:rsidRPr="003053EA">
        <w:rPr>
          <w:rFonts w:ascii="Arial" w:hAnsi="Arial" w:cs="Arial"/>
          <w:sz w:val="22"/>
          <w:szCs w:val="22"/>
        </w:rPr>
        <w:t>(1,2)</w:t>
      </w:r>
      <w:r w:rsidR="005938EC" w:rsidRPr="003053EA">
        <w:rPr>
          <w:rFonts w:ascii="Arial" w:eastAsia="Times New Roman" w:hAnsi="Arial" w:cs="Arial"/>
          <w:bCs/>
          <w:sz w:val="22"/>
          <w:szCs w:val="22"/>
        </w:rPr>
        <w:fldChar w:fldCharType="end"/>
      </w:r>
      <w:r w:rsidR="005938EC" w:rsidRPr="003053EA">
        <w:rPr>
          <w:rFonts w:ascii="Arial" w:eastAsia="Times New Roman" w:hAnsi="Arial" w:cs="Arial"/>
          <w:bCs/>
          <w:sz w:val="22"/>
          <w:szCs w:val="22"/>
        </w:rPr>
        <w:t>.</w:t>
      </w:r>
      <w:r w:rsidR="004E5474" w:rsidRPr="003053EA">
        <w:rPr>
          <w:rFonts w:ascii="Arial" w:eastAsia="Times New Roman" w:hAnsi="Arial" w:cs="Arial"/>
          <w:bCs/>
          <w:sz w:val="22"/>
          <w:szCs w:val="22"/>
        </w:rPr>
        <w:t xml:space="preserve"> In the period between Aug 1, 2021 and Dec 31, 2021, the following </w:t>
      </w:r>
      <w:r w:rsidR="00776790" w:rsidRPr="003053EA">
        <w:rPr>
          <w:rFonts w:ascii="Arial" w:eastAsia="Times New Roman" w:hAnsi="Arial" w:cs="Arial"/>
          <w:bCs/>
          <w:sz w:val="22"/>
          <w:szCs w:val="22"/>
        </w:rPr>
        <w:t>screening criteria were in place</w:t>
      </w:r>
      <w:r w:rsidR="001D70D0" w:rsidRPr="003053EA">
        <w:rPr>
          <w:rFonts w:ascii="Arial" w:eastAsia="Times New Roman" w:hAnsi="Arial" w:cs="Arial"/>
          <w:bCs/>
          <w:sz w:val="22"/>
          <w:szCs w:val="22"/>
        </w:rPr>
        <w:t>:</w:t>
      </w:r>
      <w:r w:rsidR="00776790" w:rsidRPr="003053EA">
        <w:rPr>
          <w:rFonts w:ascii="Arial" w:eastAsia="Times New Roman" w:hAnsi="Arial" w:cs="Arial"/>
          <w:bCs/>
          <w:sz w:val="22"/>
          <w:szCs w:val="22"/>
        </w:rPr>
        <w:t xml:space="preserve"> </w:t>
      </w:r>
      <w:r w:rsidR="002F7FAB" w:rsidRPr="003053EA">
        <w:rPr>
          <w:rFonts w:ascii="Arial" w:eastAsia="Times New Roman" w:hAnsi="Arial" w:cs="Arial"/>
          <w:b/>
          <w:bCs/>
          <w:sz w:val="22"/>
          <w:szCs w:val="22"/>
          <w:u w:val="single"/>
        </w:rPr>
        <w:t>Aug 1</w:t>
      </w:r>
      <w:r w:rsidR="00F11F93" w:rsidRPr="003053EA">
        <w:rPr>
          <w:rFonts w:ascii="Arial" w:eastAsia="Times New Roman" w:hAnsi="Arial" w:cs="Arial"/>
          <w:b/>
          <w:bCs/>
          <w:sz w:val="22"/>
          <w:szCs w:val="22"/>
          <w:u w:val="single"/>
        </w:rPr>
        <w:t xml:space="preserve"> to Nov 11, 2021:</w:t>
      </w:r>
      <w:r w:rsidR="00F11F93" w:rsidRPr="003053EA">
        <w:rPr>
          <w:rFonts w:ascii="Arial" w:eastAsia="Times New Roman" w:hAnsi="Arial" w:cs="Arial"/>
          <w:bCs/>
          <w:sz w:val="22"/>
          <w:szCs w:val="22"/>
          <w:u w:val="single"/>
        </w:rPr>
        <w:t xml:space="preserve"> </w:t>
      </w:r>
      <w:r w:rsidR="00F11F93" w:rsidRPr="003053EA">
        <w:rPr>
          <w:rFonts w:ascii="Arial" w:eastAsia="Times New Roman" w:hAnsi="Arial" w:cs="Arial"/>
          <w:bCs/>
          <w:sz w:val="22"/>
          <w:szCs w:val="22"/>
        </w:rPr>
        <w:t xml:space="preserve">all </w:t>
      </w:r>
      <w:r w:rsidR="002C0697" w:rsidRPr="002C0697">
        <w:rPr>
          <w:rFonts w:ascii="Arial" w:eastAsia="Times New Roman" w:hAnsi="Arial" w:cs="Arial"/>
          <w:bCs/>
          <w:sz w:val="22"/>
          <w:szCs w:val="22"/>
        </w:rPr>
        <w:t>polymerase chain reaction</w:t>
      </w:r>
      <w:r w:rsidR="002C0697">
        <w:rPr>
          <w:rFonts w:ascii="Arial" w:eastAsia="Times New Roman" w:hAnsi="Arial" w:cs="Arial"/>
          <w:bCs/>
          <w:sz w:val="22"/>
          <w:szCs w:val="22"/>
        </w:rPr>
        <w:t xml:space="preserve"> (</w:t>
      </w:r>
      <w:r w:rsidR="00F11F93" w:rsidRPr="003053EA">
        <w:rPr>
          <w:rFonts w:ascii="Arial" w:eastAsia="Times New Roman" w:hAnsi="Arial" w:cs="Arial"/>
          <w:bCs/>
          <w:sz w:val="22"/>
          <w:szCs w:val="22"/>
        </w:rPr>
        <w:t>PCR</w:t>
      </w:r>
      <w:r w:rsidR="002C0697">
        <w:rPr>
          <w:rFonts w:ascii="Arial" w:eastAsia="Times New Roman" w:hAnsi="Arial" w:cs="Arial"/>
          <w:bCs/>
          <w:sz w:val="22"/>
          <w:szCs w:val="22"/>
        </w:rPr>
        <w:t>)</w:t>
      </w:r>
      <w:r w:rsidR="00F11F93" w:rsidRPr="003053EA">
        <w:rPr>
          <w:rFonts w:ascii="Arial" w:eastAsia="Times New Roman" w:hAnsi="Arial" w:cs="Arial"/>
          <w:bCs/>
          <w:sz w:val="22"/>
          <w:szCs w:val="22"/>
        </w:rPr>
        <w:t xml:space="preserve"> positive SARS-CoV-2 specimens with </w:t>
      </w:r>
      <w:r w:rsidR="002C0697">
        <w:rPr>
          <w:rFonts w:ascii="Arial" w:eastAsia="Times New Roman" w:hAnsi="Arial" w:cs="Arial"/>
          <w:bCs/>
          <w:sz w:val="22"/>
          <w:szCs w:val="22"/>
        </w:rPr>
        <w:t>cycle threshold (</w:t>
      </w:r>
      <w:r w:rsidR="00F11F93" w:rsidRPr="003053EA">
        <w:rPr>
          <w:rFonts w:ascii="Arial" w:eastAsia="Times New Roman" w:hAnsi="Arial" w:cs="Arial"/>
          <w:bCs/>
          <w:sz w:val="22"/>
          <w:szCs w:val="22"/>
        </w:rPr>
        <w:t>Ct</w:t>
      </w:r>
      <w:r w:rsidR="002C0697">
        <w:rPr>
          <w:rFonts w:ascii="Arial" w:eastAsia="Times New Roman" w:hAnsi="Arial" w:cs="Arial"/>
          <w:bCs/>
          <w:sz w:val="22"/>
          <w:szCs w:val="22"/>
        </w:rPr>
        <w:t>)</w:t>
      </w:r>
      <w:r w:rsidR="00F11F93" w:rsidRPr="003053EA">
        <w:rPr>
          <w:rFonts w:ascii="Arial" w:eastAsia="Times New Roman" w:hAnsi="Arial" w:cs="Arial"/>
          <w:bCs/>
          <w:sz w:val="22"/>
          <w:szCs w:val="22"/>
        </w:rPr>
        <w:t xml:space="preserve"> values ≤ 35 were tested for N501Y mutation and E484K mutation; but positive cases with a N501Y mutation or a E484K mutation detected </w:t>
      </w:r>
      <w:r w:rsidR="002F7FAB" w:rsidRPr="003053EA">
        <w:rPr>
          <w:rFonts w:ascii="Arial" w:eastAsia="Times New Roman" w:hAnsi="Arial" w:cs="Arial"/>
          <w:bCs/>
          <w:sz w:val="22"/>
          <w:szCs w:val="22"/>
        </w:rPr>
        <w:t xml:space="preserve">were </w:t>
      </w:r>
      <w:r w:rsidR="00F11F93" w:rsidRPr="003053EA">
        <w:rPr>
          <w:rFonts w:ascii="Arial" w:eastAsia="Times New Roman" w:hAnsi="Arial" w:cs="Arial"/>
          <w:b/>
          <w:bCs/>
          <w:sz w:val="22"/>
          <w:szCs w:val="22"/>
        </w:rPr>
        <w:t>not</w:t>
      </w:r>
      <w:r w:rsidR="00F11F93" w:rsidRPr="003053EA">
        <w:rPr>
          <w:rFonts w:ascii="Arial" w:eastAsia="Times New Roman" w:hAnsi="Arial" w:cs="Arial"/>
          <w:bCs/>
          <w:sz w:val="22"/>
          <w:szCs w:val="22"/>
        </w:rPr>
        <w:t xml:space="preserve"> reflexed for</w:t>
      </w:r>
      <w:r w:rsidR="00FA20D5" w:rsidRPr="003053EA">
        <w:rPr>
          <w:rFonts w:ascii="Arial" w:eastAsia="Times New Roman" w:hAnsi="Arial" w:cs="Arial"/>
          <w:bCs/>
          <w:sz w:val="22"/>
          <w:szCs w:val="22"/>
        </w:rPr>
        <w:t xml:space="preserve"> whole-genome sequencing</w:t>
      </w:r>
      <w:r w:rsidR="00F11F93" w:rsidRPr="003053EA">
        <w:rPr>
          <w:rFonts w:ascii="Arial" w:eastAsia="Times New Roman" w:hAnsi="Arial" w:cs="Arial"/>
          <w:bCs/>
          <w:sz w:val="22"/>
          <w:szCs w:val="22"/>
        </w:rPr>
        <w:t xml:space="preserve"> </w:t>
      </w:r>
      <w:r w:rsidR="00FA20D5" w:rsidRPr="003053EA">
        <w:rPr>
          <w:rFonts w:ascii="Arial" w:eastAsia="Times New Roman" w:hAnsi="Arial" w:cs="Arial"/>
          <w:bCs/>
          <w:sz w:val="22"/>
          <w:szCs w:val="22"/>
        </w:rPr>
        <w:t>(</w:t>
      </w:r>
      <w:r w:rsidR="00F11F93" w:rsidRPr="003053EA">
        <w:rPr>
          <w:rFonts w:ascii="Arial" w:eastAsia="Times New Roman" w:hAnsi="Arial" w:cs="Arial"/>
          <w:bCs/>
          <w:sz w:val="22"/>
          <w:szCs w:val="22"/>
        </w:rPr>
        <w:t>WGS</w:t>
      </w:r>
      <w:r w:rsidR="00FA20D5" w:rsidRPr="003053EA">
        <w:rPr>
          <w:rFonts w:ascii="Arial" w:eastAsia="Times New Roman" w:hAnsi="Arial" w:cs="Arial"/>
          <w:bCs/>
          <w:sz w:val="22"/>
          <w:szCs w:val="22"/>
        </w:rPr>
        <w:t>)</w:t>
      </w:r>
      <w:r w:rsidR="00F11F93" w:rsidRPr="003053EA">
        <w:rPr>
          <w:rFonts w:ascii="Arial" w:eastAsia="Times New Roman" w:hAnsi="Arial" w:cs="Arial"/>
          <w:bCs/>
          <w:sz w:val="22"/>
          <w:szCs w:val="22"/>
        </w:rPr>
        <w:t xml:space="preserve">; in addition, </w:t>
      </w:r>
      <w:r w:rsidR="00F11F93" w:rsidRPr="003053EA">
        <w:rPr>
          <w:rFonts w:ascii="Arial" w:eastAsia="Times New Roman" w:hAnsi="Arial" w:cs="Arial"/>
          <w:sz w:val="22"/>
          <w:szCs w:val="22"/>
        </w:rPr>
        <w:t xml:space="preserve">a proportion of </w:t>
      </w:r>
      <w:r w:rsidR="002F7FAB" w:rsidRPr="003053EA">
        <w:rPr>
          <w:rFonts w:ascii="Arial" w:eastAsia="Times New Roman" w:hAnsi="Arial" w:cs="Arial"/>
          <w:sz w:val="22"/>
          <w:szCs w:val="22"/>
          <w:u w:val="single"/>
        </w:rPr>
        <w:t>eligible (with Ct≤ 30* from the SARS-CoV-2 PCR diagnostic test and sufficient volume remaining)</w:t>
      </w:r>
      <w:r w:rsidR="002F7FAB" w:rsidRPr="003053EA">
        <w:rPr>
          <w:rFonts w:ascii="Arial" w:eastAsia="Times New Roman" w:hAnsi="Arial" w:cs="Arial"/>
          <w:sz w:val="22"/>
          <w:szCs w:val="22"/>
        </w:rPr>
        <w:t xml:space="preserve"> SARS-CoV-2 positive specimens were</w:t>
      </w:r>
      <w:r w:rsidR="00F11F93" w:rsidRPr="003053EA">
        <w:rPr>
          <w:rFonts w:ascii="Arial" w:eastAsia="Times New Roman" w:hAnsi="Arial" w:cs="Arial"/>
          <w:sz w:val="22"/>
          <w:szCs w:val="22"/>
        </w:rPr>
        <w:t xml:space="preserve"> selected for WGS;</w:t>
      </w:r>
      <w:r w:rsidR="00EC26D9" w:rsidRPr="003053EA">
        <w:rPr>
          <w:rFonts w:ascii="Arial" w:eastAsia="Times New Roman" w:hAnsi="Arial" w:cs="Arial"/>
          <w:sz w:val="22"/>
          <w:szCs w:val="22"/>
        </w:rPr>
        <w:t xml:space="preserve"> </w:t>
      </w:r>
      <w:r w:rsidR="00E0602A" w:rsidRPr="003053EA">
        <w:rPr>
          <w:rFonts w:ascii="Arial" w:eastAsia="Times New Roman" w:hAnsi="Arial" w:cs="Arial"/>
          <w:b/>
          <w:sz w:val="22"/>
          <w:szCs w:val="22"/>
          <w:u w:val="single"/>
        </w:rPr>
        <w:t>Nov 12 to Dec 5, 2021:</w:t>
      </w:r>
      <w:r w:rsidR="00E0602A" w:rsidRPr="003053EA">
        <w:rPr>
          <w:rFonts w:ascii="Arial" w:eastAsia="Times New Roman" w:hAnsi="Arial" w:cs="Arial"/>
          <w:sz w:val="22"/>
          <w:szCs w:val="22"/>
          <w:u w:val="single"/>
        </w:rPr>
        <w:t xml:space="preserve"> </w:t>
      </w:r>
      <w:r w:rsidR="001636B5" w:rsidRPr="003053EA">
        <w:rPr>
          <w:rFonts w:ascii="Arial" w:eastAsia="Times New Roman" w:hAnsi="Arial" w:cs="Arial"/>
          <w:sz w:val="22"/>
          <w:szCs w:val="22"/>
        </w:rPr>
        <w:t xml:space="preserve">PCR mutation screening was </w:t>
      </w:r>
      <w:r w:rsidR="00E0602A" w:rsidRPr="003053EA">
        <w:rPr>
          <w:rFonts w:ascii="Arial" w:eastAsia="Times New Roman" w:hAnsi="Arial" w:cs="Arial"/>
          <w:sz w:val="22"/>
          <w:szCs w:val="22"/>
        </w:rPr>
        <w:t xml:space="preserve">discontinued. </w:t>
      </w:r>
      <w:r w:rsidR="001636B5" w:rsidRPr="003053EA">
        <w:rPr>
          <w:rFonts w:ascii="Arial" w:eastAsia="Times New Roman" w:hAnsi="Arial" w:cs="Arial"/>
          <w:sz w:val="22"/>
          <w:szCs w:val="22"/>
        </w:rPr>
        <w:t>All eligible</w:t>
      </w:r>
      <w:r w:rsidR="00E0602A" w:rsidRPr="003053EA">
        <w:rPr>
          <w:rFonts w:ascii="Arial" w:eastAsia="Times New Roman" w:hAnsi="Arial" w:cs="Arial"/>
          <w:sz w:val="22"/>
          <w:szCs w:val="22"/>
        </w:rPr>
        <w:t xml:space="preserve"> SARS-CoV-2 positive specimens</w:t>
      </w:r>
      <w:r w:rsidR="001636B5" w:rsidRPr="003053EA">
        <w:rPr>
          <w:rFonts w:ascii="Arial" w:eastAsia="Times New Roman" w:hAnsi="Arial" w:cs="Arial"/>
          <w:sz w:val="22"/>
          <w:szCs w:val="22"/>
        </w:rPr>
        <w:t xml:space="preserve"> </w:t>
      </w:r>
      <w:r w:rsidR="002F7FAB" w:rsidRPr="003053EA">
        <w:rPr>
          <w:rFonts w:ascii="Arial" w:eastAsia="Times New Roman" w:hAnsi="Arial" w:cs="Arial"/>
          <w:sz w:val="22"/>
          <w:szCs w:val="22"/>
        </w:rPr>
        <w:t>were sent</w:t>
      </w:r>
      <w:r w:rsidR="00E0602A" w:rsidRPr="003053EA">
        <w:rPr>
          <w:rFonts w:ascii="Arial" w:eastAsia="Times New Roman" w:hAnsi="Arial" w:cs="Arial"/>
          <w:sz w:val="22"/>
          <w:szCs w:val="22"/>
        </w:rPr>
        <w:t xml:space="preserve"> for WGS;</w:t>
      </w:r>
      <w:r w:rsidR="00EC26D9" w:rsidRPr="003053EA">
        <w:rPr>
          <w:rFonts w:ascii="Arial" w:eastAsia="Times New Roman" w:hAnsi="Arial" w:cs="Arial"/>
          <w:sz w:val="22"/>
          <w:szCs w:val="22"/>
        </w:rPr>
        <w:t xml:space="preserve"> </w:t>
      </w:r>
      <w:r w:rsidR="00E0602A" w:rsidRPr="003053EA">
        <w:rPr>
          <w:rFonts w:ascii="Arial" w:eastAsia="Times New Roman" w:hAnsi="Arial" w:cs="Arial"/>
          <w:b/>
          <w:sz w:val="22"/>
          <w:szCs w:val="22"/>
          <w:u w:val="single"/>
        </w:rPr>
        <w:t xml:space="preserve">Dec 6 to Dec </w:t>
      </w:r>
      <w:r w:rsidR="006B6305" w:rsidRPr="003053EA">
        <w:rPr>
          <w:rFonts w:ascii="Arial" w:eastAsia="Times New Roman" w:hAnsi="Arial" w:cs="Arial"/>
          <w:b/>
          <w:sz w:val="22"/>
          <w:szCs w:val="22"/>
          <w:u w:val="single"/>
        </w:rPr>
        <w:t>29</w:t>
      </w:r>
      <w:r w:rsidR="00E0602A" w:rsidRPr="003053EA">
        <w:rPr>
          <w:rFonts w:ascii="Arial" w:eastAsia="Times New Roman" w:hAnsi="Arial" w:cs="Arial"/>
          <w:b/>
          <w:sz w:val="22"/>
          <w:szCs w:val="22"/>
          <w:u w:val="single"/>
        </w:rPr>
        <w:t>, 2021:</w:t>
      </w:r>
      <w:r w:rsidR="00E0602A" w:rsidRPr="003053EA">
        <w:rPr>
          <w:rFonts w:ascii="Arial" w:eastAsia="Times New Roman" w:hAnsi="Arial" w:cs="Arial"/>
          <w:sz w:val="22"/>
          <w:szCs w:val="22"/>
        </w:rPr>
        <w:t xml:space="preserve"> </w:t>
      </w:r>
      <w:r w:rsidR="00F43E99" w:rsidRPr="003053EA">
        <w:rPr>
          <w:rFonts w:ascii="Arial" w:eastAsia="Times New Roman" w:hAnsi="Arial" w:cs="Arial"/>
          <w:sz w:val="22"/>
          <w:szCs w:val="22"/>
        </w:rPr>
        <w:t xml:space="preserve">PCR testing for </w:t>
      </w:r>
      <w:r w:rsidR="001D70D0" w:rsidRPr="003053EA">
        <w:rPr>
          <w:rFonts w:ascii="Arial" w:eastAsia="Times New Roman" w:hAnsi="Arial" w:cs="Arial"/>
          <w:sz w:val="22"/>
          <w:szCs w:val="22"/>
        </w:rPr>
        <w:t>spike</w:t>
      </w:r>
      <w:r w:rsidR="00F43E99" w:rsidRPr="003053EA">
        <w:rPr>
          <w:rFonts w:ascii="Arial" w:eastAsia="Times New Roman" w:hAnsi="Arial" w:cs="Arial"/>
          <w:sz w:val="22"/>
          <w:szCs w:val="22"/>
        </w:rPr>
        <w:t xml:space="preserve"> gene target failure (SGTF) was implemented to screen for Omicron </w:t>
      </w:r>
      <w:r w:rsidR="00E0602A" w:rsidRPr="003053EA">
        <w:rPr>
          <w:rFonts w:ascii="Arial" w:eastAsia="Times New Roman" w:hAnsi="Arial" w:cs="Arial"/>
          <w:sz w:val="22"/>
          <w:szCs w:val="22"/>
        </w:rPr>
        <w:t xml:space="preserve">for all </w:t>
      </w:r>
      <w:r w:rsidR="00F43E99" w:rsidRPr="003053EA">
        <w:rPr>
          <w:rFonts w:ascii="Arial" w:eastAsia="Times New Roman" w:hAnsi="Arial" w:cs="Arial"/>
          <w:sz w:val="22"/>
          <w:szCs w:val="22"/>
        </w:rPr>
        <w:t>eligible SARS-CoV-2 positive specimens;</w:t>
      </w:r>
      <w:r w:rsidR="00E0602A" w:rsidRPr="003053EA">
        <w:rPr>
          <w:rFonts w:ascii="Arial" w:eastAsia="Times New Roman" w:hAnsi="Arial" w:cs="Arial"/>
          <w:sz w:val="22"/>
          <w:szCs w:val="22"/>
        </w:rPr>
        <w:t xml:space="preserve"> </w:t>
      </w:r>
      <w:r w:rsidR="00F43E99" w:rsidRPr="003053EA">
        <w:rPr>
          <w:rFonts w:ascii="Arial" w:eastAsia="Times New Roman" w:hAnsi="Arial" w:cs="Arial"/>
          <w:sz w:val="22"/>
          <w:szCs w:val="22"/>
        </w:rPr>
        <w:t>the SGTF testing laboratories then submit</w:t>
      </w:r>
      <w:r w:rsidR="002F7FAB" w:rsidRPr="003053EA">
        <w:rPr>
          <w:rFonts w:ascii="Arial" w:eastAsia="Times New Roman" w:hAnsi="Arial" w:cs="Arial"/>
          <w:sz w:val="22"/>
          <w:szCs w:val="22"/>
        </w:rPr>
        <w:t>ted</w:t>
      </w:r>
      <w:r w:rsidR="00F43E99" w:rsidRPr="003053EA">
        <w:rPr>
          <w:rFonts w:ascii="Arial" w:eastAsia="Times New Roman" w:hAnsi="Arial" w:cs="Arial"/>
          <w:sz w:val="22"/>
          <w:szCs w:val="22"/>
        </w:rPr>
        <w:t xml:space="preserve"> a proportion of eligible samples (SGTF PCR Ct≤30 and sufficient volume remaining) for WGS; </w:t>
      </w:r>
      <w:r w:rsidR="003E3526" w:rsidRPr="003053EA">
        <w:rPr>
          <w:rFonts w:ascii="Arial" w:eastAsia="Times New Roman" w:hAnsi="Arial" w:cs="Arial"/>
          <w:b/>
          <w:sz w:val="22"/>
          <w:szCs w:val="22"/>
          <w:u w:val="single"/>
        </w:rPr>
        <w:t>Dec</w:t>
      </w:r>
      <w:r w:rsidR="00F11F93" w:rsidRPr="003053EA">
        <w:rPr>
          <w:rFonts w:ascii="Arial" w:eastAsia="Times New Roman" w:hAnsi="Arial" w:cs="Arial"/>
          <w:b/>
          <w:sz w:val="22"/>
          <w:szCs w:val="22"/>
          <w:u w:val="single"/>
        </w:rPr>
        <w:t xml:space="preserve"> 3</w:t>
      </w:r>
      <w:r w:rsidR="006B6305" w:rsidRPr="003053EA">
        <w:rPr>
          <w:rFonts w:ascii="Arial" w:eastAsia="Times New Roman" w:hAnsi="Arial" w:cs="Arial"/>
          <w:b/>
          <w:sz w:val="22"/>
          <w:szCs w:val="22"/>
          <w:u w:val="single"/>
        </w:rPr>
        <w:t>0</w:t>
      </w:r>
      <w:r w:rsidR="00F11F93" w:rsidRPr="003053EA">
        <w:rPr>
          <w:rFonts w:ascii="Arial" w:eastAsia="Times New Roman" w:hAnsi="Arial" w:cs="Arial"/>
          <w:b/>
          <w:sz w:val="22"/>
          <w:szCs w:val="22"/>
          <w:u w:val="single"/>
        </w:rPr>
        <w:t>, 2021:</w:t>
      </w:r>
      <w:r w:rsidR="00F11F93" w:rsidRPr="003053EA">
        <w:rPr>
          <w:rFonts w:ascii="Arial" w:eastAsia="Times New Roman" w:hAnsi="Arial" w:cs="Arial"/>
          <w:sz w:val="22"/>
          <w:szCs w:val="22"/>
        </w:rPr>
        <w:t xml:space="preserve"> </w:t>
      </w:r>
      <w:r w:rsidR="006B6305" w:rsidRPr="003053EA">
        <w:rPr>
          <w:rFonts w:ascii="Arial" w:eastAsia="Times New Roman" w:hAnsi="Arial" w:cs="Arial"/>
          <w:sz w:val="22"/>
          <w:szCs w:val="22"/>
        </w:rPr>
        <w:t xml:space="preserve">SGTF testing of all eligible samples was discontinued in Ontario. A proportion of eligible samples were </w:t>
      </w:r>
      <w:r w:rsidR="002F7FAB" w:rsidRPr="003053EA">
        <w:rPr>
          <w:rFonts w:ascii="Arial" w:eastAsia="Times New Roman" w:hAnsi="Arial" w:cs="Arial"/>
          <w:sz w:val="22"/>
          <w:szCs w:val="22"/>
        </w:rPr>
        <w:t>sent</w:t>
      </w:r>
      <w:r w:rsidR="006B6305" w:rsidRPr="003053EA">
        <w:rPr>
          <w:rFonts w:ascii="Arial" w:eastAsia="Times New Roman" w:hAnsi="Arial" w:cs="Arial"/>
          <w:sz w:val="22"/>
          <w:szCs w:val="22"/>
        </w:rPr>
        <w:t xml:space="preserve"> for WGS; </w:t>
      </w:r>
      <w:r w:rsidR="00CC59FA" w:rsidRPr="003053EA">
        <w:rPr>
          <w:rFonts w:ascii="Arial" w:eastAsia="Times New Roman" w:hAnsi="Arial" w:cs="Arial"/>
          <w:sz w:val="22"/>
          <w:szCs w:val="22"/>
          <w:u w:val="single"/>
        </w:rPr>
        <w:t>December 31, 2021</w:t>
      </w:r>
      <w:r w:rsidR="006B6305" w:rsidRPr="003053EA">
        <w:rPr>
          <w:rFonts w:ascii="Arial" w:eastAsia="Times New Roman" w:hAnsi="Arial" w:cs="Arial"/>
          <w:sz w:val="22"/>
          <w:szCs w:val="22"/>
        </w:rPr>
        <w:t>:</w:t>
      </w:r>
      <w:r w:rsidR="00CC59FA" w:rsidRPr="003053EA">
        <w:rPr>
          <w:rFonts w:ascii="Arial" w:eastAsia="Times New Roman" w:hAnsi="Arial" w:cs="Arial"/>
          <w:sz w:val="22"/>
          <w:szCs w:val="22"/>
        </w:rPr>
        <w:t xml:space="preserve"> diagnostic PCR testing was restricted to high-risk populations.</w:t>
      </w:r>
    </w:p>
    <w:p w14:paraId="29CA28D2" w14:textId="77777777" w:rsidR="00213BAB" w:rsidRPr="003053EA" w:rsidRDefault="00213BAB" w:rsidP="00213BAB">
      <w:pPr>
        <w:spacing w:after="0" w:line="480" w:lineRule="auto"/>
        <w:rPr>
          <w:rFonts w:ascii="Arial" w:eastAsia="Times New Roman" w:hAnsi="Arial" w:cs="Arial"/>
          <w:bCs/>
        </w:rPr>
      </w:pPr>
    </w:p>
    <w:p w14:paraId="25E0C50A" w14:textId="3084BD44" w:rsidR="00444BC1" w:rsidRPr="003053EA" w:rsidRDefault="005F19C4" w:rsidP="00A018A6">
      <w:pPr>
        <w:spacing w:after="0" w:line="480" w:lineRule="auto"/>
        <w:rPr>
          <w:rFonts w:ascii="Arial" w:eastAsia="Times New Roman" w:hAnsi="Arial" w:cs="Arial"/>
          <w:bCs/>
        </w:rPr>
      </w:pPr>
      <w:r w:rsidRPr="003053EA">
        <w:rPr>
          <w:rFonts w:ascii="Arial" w:eastAsia="Times New Roman" w:hAnsi="Arial" w:cs="Arial"/>
          <w:bCs/>
        </w:rPr>
        <w:t>We classified COVID-19 variants based o</w:t>
      </w:r>
      <w:r w:rsidR="00213BAB" w:rsidRPr="003053EA">
        <w:rPr>
          <w:rFonts w:ascii="Arial" w:eastAsia="Times New Roman" w:hAnsi="Arial" w:cs="Arial"/>
          <w:bCs/>
        </w:rPr>
        <w:t>n a combination of the following and in the order listed</w:t>
      </w:r>
      <w:r w:rsidRPr="003053EA">
        <w:rPr>
          <w:rFonts w:ascii="Arial" w:eastAsia="Times New Roman" w:hAnsi="Arial" w:cs="Arial"/>
          <w:bCs/>
        </w:rPr>
        <w:t xml:space="preserve">: </w:t>
      </w:r>
      <w:r w:rsidR="006B6305" w:rsidRPr="003053EA">
        <w:rPr>
          <w:rFonts w:ascii="Arial" w:eastAsia="Times New Roman" w:hAnsi="Arial" w:cs="Arial"/>
          <w:bCs/>
        </w:rPr>
        <w:t>WGS</w:t>
      </w:r>
      <w:r w:rsidR="00213BAB" w:rsidRPr="003053EA">
        <w:rPr>
          <w:rFonts w:ascii="Arial" w:eastAsia="Times New Roman" w:hAnsi="Arial" w:cs="Arial"/>
          <w:bCs/>
        </w:rPr>
        <w:t xml:space="preserve"> data when available and conclusive; </w:t>
      </w:r>
      <w:r w:rsidRPr="003053EA">
        <w:rPr>
          <w:rFonts w:ascii="Arial" w:eastAsia="Times New Roman" w:hAnsi="Arial" w:cs="Arial"/>
          <w:bCs/>
        </w:rPr>
        <w:t>mutation screening results</w:t>
      </w:r>
      <w:r w:rsidR="006B6305" w:rsidRPr="003053EA">
        <w:rPr>
          <w:rFonts w:ascii="Arial" w:eastAsia="Times New Roman" w:hAnsi="Arial" w:cs="Arial"/>
          <w:bCs/>
        </w:rPr>
        <w:t xml:space="preserve"> when available and conclusive</w:t>
      </w:r>
      <w:r w:rsidR="00213BAB" w:rsidRPr="003053EA">
        <w:rPr>
          <w:rFonts w:ascii="Arial" w:eastAsia="Times New Roman" w:hAnsi="Arial" w:cs="Arial"/>
          <w:bCs/>
        </w:rPr>
        <w:t>;</w:t>
      </w:r>
      <w:r w:rsidRPr="003053EA">
        <w:rPr>
          <w:rFonts w:ascii="Arial" w:eastAsia="Times New Roman" w:hAnsi="Arial" w:cs="Arial"/>
          <w:bCs/>
        </w:rPr>
        <w:t xml:space="preserve"> </w:t>
      </w:r>
      <w:r w:rsidR="002F7FAB" w:rsidRPr="003053EA">
        <w:rPr>
          <w:rFonts w:ascii="Arial" w:eastAsia="Times New Roman" w:hAnsi="Arial" w:cs="Arial"/>
          <w:bCs/>
        </w:rPr>
        <w:t xml:space="preserve">mutation screening results combined with date </w:t>
      </w:r>
      <w:r w:rsidRPr="003053EA">
        <w:rPr>
          <w:rFonts w:ascii="Arial" w:eastAsia="Times New Roman" w:hAnsi="Arial" w:cs="Arial"/>
          <w:bCs/>
        </w:rPr>
        <w:t>of diagnosis</w:t>
      </w:r>
      <w:r w:rsidR="00A018A6" w:rsidRPr="003053EA">
        <w:rPr>
          <w:rFonts w:ascii="Arial" w:eastAsia="Times New Roman" w:hAnsi="Arial" w:cs="Arial"/>
          <w:bCs/>
        </w:rPr>
        <w:t xml:space="preserve">; and imputation using date of diagnosis only (details in </w:t>
      </w:r>
      <w:r w:rsidR="0003684D" w:rsidRPr="003053EA">
        <w:rPr>
          <w:rFonts w:ascii="Arial" w:eastAsia="Times New Roman" w:hAnsi="Arial" w:cs="Arial"/>
          <w:bCs/>
        </w:rPr>
        <w:t>the table below</w:t>
      </w:r>
      <w:r w:rsidR="00A018A6" w:rsidRPr="003053EA">
        <w:rPr>
          <w:rFonts w:ascii="Arial" w:eastAsia="Times New Roman" w:hAnsi="Arial" w:cs="Arial"/>
          <w:bCs/>
        </w:rPr>
        <w:t>)</w:t>
      </w:r>
      <w:r w:rsidR="002F7FAB" w:rsidRPr="003053EA">
        <w:rPr>
          <w:rFonts w:ascii="Arial" w:eastAsia="Times New Roman" w:hAnsi="Arial" w:cs="Arial"/>
          <w:bCs/>
        </w:rPr>
        <w:t xml:space="preserve">. </w:t>
      </w:r>
      <w:r w:rsidR="00A018A6" w:rsidRPr="003053EA">
        <w:rPr>
          <w:rFonts w:ascii="Arial" w:eastAsia="Times New Roman" w:hAnsi="Arial" w:cs="Arial"/>
          <w:bCs/>
        </w:rPr>
        <w:t xml:space="preserve"> </w:t>
      </w:r>
    </w:p>
    <w:tbl>
      <w:tblPr>
        <w:tblStyle w:val="TableGrid"/>
        <w:tblpPr w:leftFromText="180" w:rightFromText="180" w:vertAnchor="text" w:horzAnchor="margin" w:tblpY="-22"/>
        <w:tblW w:w="0" w:type="auto"/>
        <w:tblLook w:val="04A0" w:firstRow="1" w:lastRow="0" w:firstColumn="1" w:lastColumn="0" w:noHBand="0" w:noVBand="1"/>
      </w:tblPr>
      <w:tblGrid>
        <w:gridCol w:w="1615"/>
        <w:gridCol w:w="2700"/>
        <w:gridCol w:w="5035"/>
      </w:tblGrid>
      <w:tr w:rsidR="00A018A6" w:rsidRPr="003053EA" w14:paraId="2669BBED" w14:textId="77777777" w:rsidTr="002B2FEB">
        <w:trPr>
          <w:trHeight w:val="20"/>
        </w:trPr>
        <w:tc>
          <w:tcPr>
            <w:tcW w:w="1615" w:type="dxa"/>
          </w:tcPr>
          <w:p w14:paraId="2C274B38" w14:textId="77777777" w:rsidR="00A018A6" w:rsidRPr="003053EA" w:rsidRDefault="00A018A6" w:rsidP="002B2FEB">
            <w:pPr>
              <w:rPr>
                <w:rFonts w:ascii="Arial" w:hAnsi="Arial" w:cs="Arial"/>
                <w:sz w:val="16"/>
                <w:szCs w:val="16"/>
              </w:rPr>
            </w:pPr>
            <w:r w:rsidRPr="003053EA">
              <w:rPr>
                <w:rFonts w:ascii="Arial" w:hAnsi="Arial" w:cs="Arial"/>
                <w:sz w:val="16"/>
                <w:szCs w:val="16"/>
              </w:rPr>
              <w:lastRenderedPageBreak/>
              <w:t>Variants</w:t>
            </w:r>
          </w:p>
        </w:tc>
        <w:tc>
          <w:tcPr>
            <w:tcW w:w="2700" w:type="dxa"/>
          </w:tcPr>
          <w:p w14:paraId="7A7D722A" w14:textId="77777777" w:rsidR="00A018A6" w:rsidRPr="003053EA" w:rsidRDefault="00A018A6" w:rsidP="002B2FEB">
            <w:pPr>
              <w:rPr>
                <w:rFonts w:ascii="Arial" w:hAnsi="Arial" w:cs="Arial"/>
                <w:sz w:val="16"/>
                <w:szCs w:val="16"/>
              </w:rPr>
            </w:pPr>
            <w:r w:rsidRPr="003053EA">
              <w:rPr>
                <w:rFonts w:ascii="Arial" w:hAnsi="Arial" w:cs="Arial"/>
                <w:bCs/>
                <w:iCs/>
                <w:sz w:val="16"/>
                <w:szCs w:val="16"/>
              </w:rPr>
              <w:t>WGS or mutation screening results</w:t>
            </w:r>
          </w:p>
        </w:tc>
        <w:tc>
          <w:tcPr>
            <w:tcW w:w="5035" w:type="dxa"/>
          </w:tcPr>
          <w:p w14:paraId="3991B8C2" w14:textId="77777777" w:rsidR="00A018A6" w:rsidRPr="003053EA" w:rsidRDefault="00A018A6" w:rsidP="002B2FEB">
            <w:pPr>
              <w:rPr>
                <w:rFonts w:ascii="Arial" w:hAnsi="Arial" w:cs="Arial"/>
                <w:sz w:val="16"/>
                <w:szCs w:val="16"/>
              </w:rPr>
            </w:pPr>
            <w:r w:rsidRPr="003053EA">
              <w:rPr>
                <w:rFonts w:ascii="Arial" w:hAnsi="Arial" w:cs="Arial"/>
                <w:sz w:val="16"/>
                <w:szCs w:val="16"/>
              </w:rPr>
              <w:t xml:space="preserve">Date range </w:t>
            </w:r>
          </w:p>
        </w:tc>
      </w:tr>
      <w:tr w:rsidR="00A018A6" w:rsidRPr="003053EA" w14:paraId="6EEBF27F" w14:textId="77777777" w:rsidTr="002B2FEB">
        <w:trPr>
          <w:trHeight w:val="20"/>
        </w:trPr>
        <w:tc>
          <w:tcPr>
            <w:tcW w:w="1615" w:type="dxa"/>
          </w:tcPr>
          <w:p w14:paraId="415B3795" w14:textId="77777777" w:rsidR="00A018A6" w:rsidRPr="003053EA" w:rsidRDefault="00A018A6" w:rsidP="002B2FEB">
            <w:pPr>
              <w:rPr>
                <w:rFonts w:ascii="Arial" w:hAnsi="Arial" w:cs="Arial"/>
                <w:sz w:val="16"/>
                <w:szCs w:val="16"/>
              </w:rPr>
            </w:pPr>
            <w:r w:rsidRPr="003053EA">
              <w:rPr>
                <w:rFonts w:ascii="Arial" w:hAnsi="Arial" w:cs="Arial"/>
                <w:sz w:val="16"/>
                <w:szCs w:val="16"/>
              </w:rPr>
              <w:t>Delta</w:t>
            </w:r>
          </w:p>
        </w:tc>
        <w:tc>
          <w:tcPr>
            <w:tcW w:w="2700" w:type="dxa"/>
          </w:tcPr>
          <w:p w14:paraId="637029B7" w14:textId="77777777" w:rsidR="00A018A6" w:rsidRPr="003053EA" w:rsidRDefault="00A018A6" w:rsidP="002B2FEB">
            <w:pPr>
              <w:rPr>
                <w:rFonts w:ascii="Arial" w:hAnsi="Arial" w:cs="Arial"/>
                <w:sz w:val="16"/>
                <w:szCs w:val="16"/>
              </w:rPr>
            </w:pPr>
            <w:r w:rsidRPr="003053EA">
              <w:rPr>
                <w:rFonts w:ascii="Arial" w:hAnsi="Arial" w:cs="Arial"/>
                <w:sz w:val="16"/>
                <w:szCs w:val="16"/>
                <w:shd w:val="clear" w:color="auto" w:fill="FFFFFF"/>
              </w:rPr>
              <w:t>LINEAGE B.1.617</w:t>
            </w:r>
          </w:p>
        </w:tc>
        <w:tc>
          <w:tcPr>
            <w:tcW w:w="5035" w:type="dxa"/>
          </w:tcPr>
          <w:p w14:paraId="60FD4278" w14:textId="77777777" w:rsidR="00A018A6" w:rsidRPr="003053EA" w:rsidRDefault="00A018A6" w:rsidP="002B2FEB">
            <w:pPr>
              <w:rPr>
                <w:rFonts w:ascii="Arial" w:hAnsi="Arial" w:cs="Arial"/>
                <w:sz w:val="16"/>
                <w:szCs w:val="16"/>
              </w:rPr>
            </w:pPr>
            <w:r w:rsidRPr="003053EA">
              <w:rPr>
                <w:rFonts w:ascii="Arial" w:hAnsi="Arial" w:cs="Arial"/>
                <w:sz w:val="16"/>
                <w:szCs w:val="16"/>
              </w:rPr>
              <w:t>Not applicable (NA)</w:t>
            </w:r>
          </w:p>
        </w:tc>
      </w:tr>
      <w:tr w:rsidR="00A018A6" w:rsidRPr="003053EA" w14:paraId="1747BDAA" w14:textId="77777777" w:rsidTr="002B2FEB">
        <w:trPr>
          <w:trHeight w:val="20"/>
        </w:trPr>
        <w:tc>
          <w:tcPr>
            <w:tcW w:w="1615" w:type="dxa"/>
          </w:tcPr>
          <w:p w14:paraId="6CC2EA78" w14:textId="77777777" w:rsidR="00A018A6" w:rsidRPr="003053EA" w:rsidRDefault="00A018A6" w:rsidP="002B2FEB">
            <w:pPr>
              <w:rPr>
                <w:rFonts w:ascii="Arial" w:hAnsi="Arial" w:cs="Arial"/>
                <w:sz w:val="16"/>
                <w:szCs w:val="16"/>
              </w:rPr>
            </w:pPr>
            <w:r w:rsidRPr="003053EA">
              <w:rPr>
                <w:rFonts w:ascii="Arial" w:hAnsi="Arial" w:cs="Arial"/>
                <w:sz w:val="16"/>
                <w:szCs w:val="16"/>
              </w:rPr>
              <w:t>Delta</w:t>
            </w:r>
          </w:p>
        </w:tc>
        <w:tc>
          <w:tcPr>
            <w:tcW w:w="2700" w:type="dxa"/>
          </w:tcPr>
          <w:p w14:paraId="0CA9F303" w14:textId="77777777" w:rsidR="00A018A6" w:rsidRPr="003053EA" w:rsidRDefault="00A018A6" w:rsidP="002B2FEB">
            <w:pPr>
              <w:rPr>
                <w:rFonts w:ascii="Arial" w:hAnsi="Arial" w:cs="Arial"/>
                <w:sz w:val="16"/>
                <w:szCs w:val="16"/>
              </w:rPr>
            </w:pPr>
            <w:r w:rsidRPr="003053EA">
              <w:rPr>
                <w:rFonts w:ascii="Arial" w:hAnsi="Arial" w:cs="Arial"/>
                <w:sz w:val="16"/>
                <w:szCs w:val="16"/>
                <w:shd w:val="clear" w:color="auto" w:fill="FFFFFF"/>
              </w:rPr>
              <w:t>LINEAGE B.1.617.2</w:t>
            </w:r>
          </w:p>
        </w:tc>
        <w:tc>
          <w:tcPr>
            <w:tcW w:w="5035" w:type="dxa"/>
          </w:tcPr>
          <w:p w14:paraId="6EDC5F7A" w14:textId="77777777" w:rsidR="00A018A6" w:rsidRPr="003053EA" w:rsidRDefault="00A018A6" w:rsidP="002B2FEB">
            <w:pPr>
              <w:rPr>
                <w:rFonts w:ascii="Arial" w:hAnsi="Arial" w:cs="Arial"/>
                <w:sz w:val="16"/>
                <w:szCs w:val="16"/>
              </w:rPr>
            </w:pPr>
            <w:r w:rsidRPr="003053EA">
              <w:rPr>
                <w:rFonts w:ascii="Arial" w:hAnsi="Arial" w:cs="Arial"/>
                <w:sz w:val="16"/>
                <w:szCs w:val="16"/>
              </w:rPr>
              <w:t>NA</w:t>
            </w:r>
          </w:p>
        </w:tc>
      </w:tr>
      <w:tr w:rsidR="00A018A6" w:rsidRPr="003053EA" w14:paraId="04F15E3E" w14:textId="77777777" w:rsidTr="002B2FEB">
        <w:trPr>
          <w:trHeight w:val="20"/>
        </w:trPr>
        <w:tc>
          <w:tcPr>
            <w:tcW w:w="1615" w:type="dxa"/>
          </w:tcPr>
          <w:p w14:paraId="3643DD6D" w14:textId="77777777" w:rsidR="00A018A6" w:rsidRPr="003053EA" w:rsidRDefault="00A018A6" w:rsidP="002B2FEB">
            <w:pPr>
              <w:rPr>
                <w:rFonts w:ascii="Arial" w:hAnsi="Arial" w:cs="Arial"/>
                <w:sz w:val="16"/>
                <w:szCs w:val="16"/>
              </w:rPr>
            </w:pPr>
            <w:r w:rsidRPr="003053EA">
              <w:rPr>
                <w:rFonts w:ascii="Arial" w:hAnsi="Arial" w:cs="Arial"/>
                <w:sz w:val="16"/>
                <w:szCs w:val="16"/>
              </w:rPr>
              <w:t>Delta</w:t>
            </w:r>
          </w:p>
        </w:tc>
        <w:tc>
          <w:tcPr>
            <w:tcW w:w="2700" w:type="dxa"/>
          </w:tcPr>
          <w:p w14:paraId="6492810D" w14:textId="77777777" w:rsidR="00A018A6" w:rsidRPr="003053EA" w:rsidRDefault="00A018A6" w:rsidP="002B2FEB">
            <w:pPr>
              <w:rPr>
                <w:rFonts w:ascii="Arial" w:hAnsi="Arial" w:cs="Arial"/>
                <w:sz w:val="16"/>
                <w:szCs w:val="16"/>
              </w:rPr>
            </w:pPr>
            <w:r w:rsidRPr="003053EA">
              <w:rPr>
                <w:rFonts w:ascii="Arial" w:hAnsi="Arial" w:cs="Arial"/>
                <w:sz w:val="16"/>
                <w:szCs w:val="16"/>
                <w:shd w:val="clear" w:color="auto" w:fill="FFFFFF"/>
              </w:rPr>
              <w:t>LINEAGE AY.3</w:t>
            </w:r>
          </w:p>
        </w:tc>
        <w:tc>
          <w:tcPr>
            <w:tcW w:w="5035" w:type="dxa"/>
          </w:tcPr>
          <w:p w14:paraId="636DC37C" w14:textId="77777777" w:rsidR="00A018A6" w:rsidRPr="003053EA" w:rsidRDefault="00A018A6" w:rsidP="002B2FEB">
            <w:pPr>
              <w:rPr>
                <w:rFonts w:ascii="Arial" w:hAnsi="Arial" w:cs="Arial"/>
                <w:sz w:val="16"/>
                <w:szCs w:val="16"/>
              </w:rPr>
            </w:pPr>
            <w:r w:rsidRPr="003053EA">
              <w:rPr>
                <w:rFonts w:ascii="Arial" w:hAnsi="Arial" w:cs="Arial"/>
                <w:sz w:val="16"/>
                <w:szCs w:val="16"/>
              </w:rPr>
              <w:t>NA</w:t>
            </w:r>
          </w:p>
        </w:tc>
      </w:tr>
      <w:tr w:rsidR="00A018A6" w:rsidRPr="003053EA" w14:paraId="1C7E1CF3" w14:textId="77777777" w:rsidTr="002B2FEB">
        <w:trPr>
          <w:trHeight w:val="20"/>
        </w:trPr>
        <w:tc>
          <w:tcPr>
            <w:tcW w:w="1615" w:type="dxa"/>
          </w:tcPr>
          <w:p w14:paraId="3AB91D1B" w14:textId="77777777" w:rsidR="00A018A6" w:rsidRPr="003053EA" w:rsidRDefault="00A018A6" w:rsidP="002B2FEB">
            <w:pPr>
              <w:rPr>
                <w:rFonts w:ascii="Arial" w:hAnsi="Arial" w:cs="Arial"/>
                <w:sz w:val="16"/>
                <w:szCs w:val="16"/>
              </w:rPr>
            </w:pPr>
            <w:r w:rsidRPr="003053EA">
              <w:rPr>
                <w:rFonts w:ascii="Arial" w:hAnsi="Arial" w:cs="Arial"/>
                <w:sz w:val="16"/>
                <w:szCs w:val="16"/>
              </w:rPr>
              <w:t>Delta</w:t>
            </w:r>
          </w:p>
        </w:tc>
        <w:tc>
          <w:tcPr>
            <w:tcW w:w="2700" w:type="dxa"/>
          </w:tcPr>
          <w:p w14:paraId="6A9E7191" w14:textId="77777777" w:rsidR="00A018A6" w:rsidRPr="003053EA" w:rsidRDefault="00A018A6" w:rsidP="002B2FEB">
            <w:pPr>
              <w:rPr>
                <w:rFonts w:ascii="Arial" w:hAnsi="Arial" w:cs="Arial"/>
                <w:sz w:val="16"/>
                <w:szCs w:val="16"/>
              </w:rPr>
            </w:pPr>
            <w:r w:rsidRPr="003053EA">
              <w:rPr>
                <w:rFonts w:ascii="Arial" w:hAnsi="Arial" w:cs="Arial"/>
                <w:sz w:val="16"/>
                <w:szCs w:val="16"/>
                <w:shd w:val="clear" w:color="auto" w:fill="FFFFFF"/>
              </w:rPr>
              <w:t>MUTATION L452R+</w:t>
            </w:r>
          </w:p>
        </w:tc>
        <w:tc>
          <w:tcPr>
            <w:tcW w:w="5035" w:type="dxa"/>
          </w:tcPr>
          <w:p w14:paraId="5B77C2EE" w14:textId="77777777" w:rsidR="00A018A6" w:rsidRPr="003053EA" w:rsidRDefault="00A018A6" w:rsidP="002B2FEB">
            <w:pPr>
              <w:rPr>
                <w:rFonts w:ascii="Arial" w:hAnsi="Arial" w:cs="Arial"/>
                <w:sz w:val="16"/>
                <w:szCs w:val="16"/>
              </w:rPr>
            </w:pPr>
            <w:r w:rsidRPr="003053EA">
              <w:rPr>
                <w:rFonts w:ascii="Arial" w:hAnsi="Arial" w:cs="Arial"/>
                <w:sz w:val="16"/>
                <w:szCs w:val="16"/>
              </w:rPr>
              <w:t>NA</w:t>
            </w:r>
          </w:p>
        </w:tc>
      </w:tr>
      <w:tr w:rsidR="00A018A6" w:rsidRPr="003053EA" w14:paraId="5399FC7B" w14:textId="77777777" w:rsidTr="002B2FEB">
        <w:trPr>
          <w:trHeight w:val="20"/>
        </w:trPr>
        <w:tc>
          <w:tcPr>
            <w:tcW w:w="1615" w:type="dxa"/>
          </w:tcPr>
          <w:p w14:paraId="2D294CC0" w14:textId="77777777" w:rsidR="00A018A6" w:rsidRPr="003053EA" w:rsidRDefault="00A018A6" w:rsidP="002B2FEB">
            <w:pPr>
              <w:rPr>
                <w:rFonts w:ascii="Arial" w:hAnsi="Arial" w:cs="Arial"/>
                <w:sz w:val="16"/>
                <w:szCs w:val="16"/>
              </w:rPr>
            </w:pPr>
            <w:r w:rsidRPr="003053EA">
              <w:rPr>
                <w:rFonts w:ascii="Arial" w:hAnsi="Arial" w:cs="Arial"/>
                <w:sz w:val="16"/>
                <w:szCs w:val="16"/>
              </w:rPr>
              <w:t>Delta</w:t>
            </w:r>
          </w:p>
        </w:tc>
        <w:tc>
          <w:tcPr>
            <w:tcW w:w="2700" w:type="dxa"/>
          </w:tcPr>
          <w:p w14:paraId="24723D9D" w14:textId="77777777" w:rsidR="00A018A6" w:rsidRPr="003053EA" w:rsidRDefault="00A018A6" w:rsidP="002B2FEB">
            <w:pPr>
              <w:rPr>
                <w:rFonts w:ascii="Arial" w:hAnsi="Arial" w:cs="Arial"/>
                <w:sz w:val="16"/>
                <w:szCs w:val="16"/>
                <w:shd w:val="clear" w:color="auto" w:fill="FFFFFF"/>
              </w:rPr>
            </w:pPr>
            <w:r w:rsidRPr="003053EA">
              <w:rPr>
                <w:rFonts w:ascii="Arial" w:hAnsi="Arial" w:cs="Arial"/>
                <w:sz w:val="16"/>
                <w:szCs w:val="16"/>
                <w:shd w:val="clear" w:color="auto" w:fill="FFFFFF"/>
              </w:rPr>
              <w:t>NO S-GENE TARGET FAILURE</w:t>
            </w:r>
          </w:p>
        </w:tc>
        <w:tc>
          <w:tcPr>
            <w:tcW w:w="5035" w:type="dxa"/>
          </w:tcPr>
          <w:p w14:paraId="4DB27E09" w14:textId="77777777" w:rsidR="00A018A6" w:rsidRPr="003053EA" w:rsidRDefault="00A018A6" w:rsidP="002B2FEB">
            <w:pPr>
              <w:rPr>
                <w:rFonts w:ascii="Arial" w:hAnsi="Arial" w:cs="Arial"/>
                <w:sz w:val="16"/>
                <w:szCs w:val="16"/>
              </w:rPr>
            </w:pPr>
            <w:r w:rsidRPr="003053EA">
              <w:rPr>
                <w:rFonts w:ascii="Arial" w:hAnsi="Arial" w:cs="Arial"/>
                <w:sz w:val="16"/>
                <w:szCs w:val="16"/>
              </w:rPr>
              <w:t>NA</w:t>
            </w:r>
          </w:p>
        </w:tc>
      </w:tr>
      <w:tr w:rsidR="00A018A6" w:rsidRPr="003053EA" w14:paraId="5008CE3C" w14:textId="77777777" w:rsidTr="002B2FEB">
        <w:trPr>
          <w:trHeight w:val="20"/>
        </w:trPr>
        <w:tc>
          <w:tcPr>
            <w:tcW w:w="1615" w:type="dxa"/>
          </w:tcPr>
          <w:p w14:paraId="5577D306" w14:textId="77777777" w:rsidR="00A018A6" w:rsidRPr="003053EA" w:rsidRDefault="00A018A6" w:rsidP="002B2FEB">
            <w:pPr>
              <w:rPr>
                <w:rFonts w:ascii="Arial" w:hAnsi="Arial" w:cs="Arial"/>
                <w:sz w:val="16"/>
                <w:szCs w:val="16"/>
              </w:rPr>
            </w:pPr>
            <w:r w:rsidRPr="003053EA">
              <w:rPr>
                <w:rFonts w:ascii="Arial" w:hAnsi="Arial" w:cs="Arial"/>
                <w:sz w:val="16"/>
                <w:szCs w:val="16"/>
              </w:rPr>
              <w:t>Delta</w:t>
            </w:r>
          </w:p>
        </w:tc>
        <w:tc>
          <w:tcPr>
            <w:tcW w:w="2700" w:type="dxa"/>
          </w:tcPr>
          <w:p w14:paraId="70E76CEF" w14:textId="77777777" w:rsidR="00A018A6" w:rsidRPr="003053EA" w:rsidRDefault="00A018A6" w:rsidP="002B2FEB">
            <w:pPr>
              <w:rPr>
                <w:rFonts w:ascii="Arial" w:hAnsi="Arial" w:cs="Arial"/>
                <w:sz w:val="16"/>
                <w:szCs w:val="16"/>
              </w:rPr>
            </w:pPr>
            <w:r w:rsidRPr="003053EA">
              <w:rPr>
                <w:rFonts w:ascii="Arial" w:hAnsi="Arial" w:cs="Arial"/>
                <w:sz w:val="16"/>
                <w:szCs w:val="16"/>
                <w:shd w:val="clear" w:color="auto" w:fill="FFFFFF"/>
              </w:rPr>
              <w:t xml:space="preserve">MUTATION N501Y- AND E484K- </w:t>
            </w:r>
          </w:p>
        </w:tc>
        <w:tc>
          <w:tcPr>
            <w:tcW w:w="5035" w:type="dxa"/>
          </w:tcPr>
          <w:p w14:paraId="794B1245" w14:textId="77777777" w:rsidR="00A018A6" w:rsidRPr="003053EA" w:rsidRDefault="00A018A6" w:rsidP="002B2FEB">
            <w:pPr>
              <w:rPr>
                <w:rFonts w:ascii="Arial" w:hAnsi="Arial" w:cs="Arial"/>
                <w:sz w:val="16"/>
                <w:szCs w:val="16"/>
              </w:rPr>
            </w:pPr>
            <w:r w:rsidRPr="003053EA">
              <w:rPr>
                <w:rFonts w:ascii="Arial" w:hAnsi="Arial" w:cs="Arial"/>
                <w:sz w:val="16"/>
                <w:szCs w:val="16"/>
              </w:rPr>
              <w:t>All cases with N501Y- AND E484K- were considered as Delta in the period of waves 4&amp;5 (Aug 1-Dec 31, 2021).</w:t>
            </w:r>
          </w:p>
        </w:tc>
      </w:tr>
      <w:tr w:rsidR="00A018A6" w:rsidRPr="003053EA" w14:paraId="3D0D9B82" w14:textId="77777777" w:rsidTr="002B2FEB">
        <w:trPr>
          <w:trHeight w:val="20"/>
        </w:trPr>
        <w:tc>
          <w:tcPr>
            <w:tcW w:w="1615" w:type="dxa"/>
          </w:tcPr>
          <w:p w14:paraId="7CDCC6A9" w14:textId="77777777" w:rsidR="00A018A6" w:rsidRPr="003053EA" w:rsidRDefault="00A018A6" w:rsidP="002B2FEB">
            <w:pPr>
              <w:rPr>
                <w:rFonts w:ascii="Arial" w:hAnsi="Arial" w:cs="Arial"/>
                <w:sz w:val="16"/>
                <w:szCs w:val="16"/>
              </w:rPr>
            </w:pPr>
            <w:r w:rsidRPr="003053EA">
              <w:rPr>
                <w:rFonts w:ascii="Arial" w:hAnsi="Arial" w:cs="Arial"/>
                <w:sz w:val="16"/>
                <w:szCs w:val="16"/>
              </w:rPr>
              <w:t>Delta (imputed)</w:t>
            </w:r>
          </w:p>
        </w:tc>
        <w:tc>
          <w:tcPr>
            <w:tcW w:w="2700" w:type="dxa"/>
          </w:tcPr>
          <w:p w14:paraId="3CBE2CB1" w14:textId="77777777" w:rsidR="00A018A6" w:rsidRPr="003053EA" w:rsidRDefault="00A018A6" w:rsidP="002B2FEB">
            <w:pPr>
              <w:rPr>
                <w:rFonts w:ascii="Arial" w:hAnsi="Arial" w:cs="Arial"/>
                <w:sz w:val="16"/>
                <w:szCs w:val="16"/>
                <w:shd w:val="clear" w:color="auto" w:fill="FFFFFF"/>
              </w:rPr>
            </w:pPr>
            <w:r w:rsidRPr="003053EA">
              <w:rPr>
                <w:rFonts w:ascii="Arial" w:hAnsi="Arial" w:cs="Arial"/>
                <w:sz w:val="16"/>
                <w:szCs w:val="16"/>
                <w:shd w:val="clear" w:color="auto" w:fill="FFFFFF"/>
              </w:rPr>
              <w:t>Missing or inconclusive</w:t>
            </w:r>
          </w:p>
        </w:tc>
        <w:tc>
          <w:tcPr>
            <w:tcW w:w="5035" w:type="dxa"/>
          </w:tcPr>
          <w:p w14:paraId="66C56055" w14:textId="3747931D" w:rsidR="00A018A6" w:rsidRPr="00DE4AC1" w:rsidRDefault="00A018A6" w:rsidP="00DE4AC1">
            <w:pPr>
              <w:rPr>
                <w:rFonts w:ascii="Arial" w:hAnsi="Arial" w:cs="Arial"/>
                <w:sz w:val="16"/>
                <w:szCs w:val="16"/>
              </w:rPr>
            </w:pPr>
            <w:r w:rsidRPr="00DE4AC1">
              <w:rPr>
                <w:rFonts w:ascii="Arial" w:hAnsi="Arial" w:cs="Arial"/>
                <w:sz w:val="16"/>
                <w:szCs w:val="16"/>
              </w:rPr>
              <w:t xml:space="preserve">For cases tested positive between ’2021-08-15’ and ’2021-11-27’ because among cases with variants known, </w:t>
            </w:r>
            <w:r w:rsidR="00DE4AC1" w:rsidRPr="00DE4AC1">
              <w:rPr>
                <w:rFonts w:ascii="Arial" w:hAnsi="Arial" w:cs="Arial"/>
                <w:sz w:val="16"/>
                <w:szCs w:val="16"/>
              </w:rPr>
              <w:t>98</w:t>
            </w:r>
            <w:r w:rsidRPr="00DE4AC1">
              <w:rPr>
                <w:rFonts w:ascii="Arial" w:hAnsi="Arial" w:cs="Arial"/>
                <w:sz w:val="16"/>
                <w:szCs w:val="16"/>
              </w:rPr>
              <w:t xml:space="preserve">% were Delta during this period in our dataset. </w:t>
            </w:r>
          </w:p>
        </w:tc>
      </w:tr>
      <w:tr w:rsidR="00A018A6" w:rsidRPr="003053EA" w14:paraId="0C935519" w14:textId="77777777" w:rsidTr="002B2FEB">
        <w:trPr>
          <w:trHeight w:val="20"/>
        </w:trPr>
        <w:tc>
          <w:tcPr>
            <w:tcW w:w="1615" w:type="dxa"/>
          </w:tcPr>
          <w:p w14:paraId="4E13A304" w14:textId="77777777" w:rsidR="00A018A6" w:rsidRPr="003053EA" w:rsidRDefault="00A018A6" w:rsidP="002B2FEB">
            <w:pPr>
              <w:rPr>
                <w:rFonts w:ascii="Arial" w:hAnsi="Arial" w:cs="Arial"/>
                <w:sz w:val="16"/>
                <w:szCs w:val="16"/>
              </w:rPr>
            </w:pPr>
            <w:r w:rsidRPr="003053EA">
              <w:rPr>
                <w:rFonts w:ascii="Arial" w:hAnsi="Arial" w:cs="Arial"/>
                <w:sz w:val="16"/>
                <w:szCs w:val="16"/>
              </w:rPr>
              <w:t>Omicron</w:t>
            </w:r>
          </w:p>
        </w:tc>
        <w:tc>
          <w:tcPr>
            <w:tcW w:w="2700" w:type="dxa"/>
          </w:tcPr>
          <w:p w14:paraId="6261B3A8" w14:textId="77777777" w:rsidR="00A018A6" w:rsidRPr="003053EA" w:rsidRDefault="00A018A6" w:rsidP="002B2FEB">
            <w:pPr>
              <w:rPr>
                <w:rFonts w:ascii="Arial" w:hAnsi="Arial" w:cs="Arial"/>
                <w:sz w:val="16"/>
                <w:szCs w:val="16"/>
              </w:rPr>
            </w:pPr>
            <w:r w:rsidRPr="003053EA">
              <w:rPr>
                <w:rFonts w:ascii="Arial" w:hAnsi="Arial" w:cs="Arial"/>
                <w:sz w:val="16"/>
                <w:szCs w:val="16"/>
                <w:shd w:val="clear" w:color="auto" w:fill="FFFFFF"/>
              </w:rPr>
              <w:t xml:space="preserve">LINEAGE B.1.1.529 </w:t>
            </w:r>
          </w:p>
        </w:tc>
        <w:tc>
          <w:tcPr>
            <w:tcW w:w="5035" w:type="dxa"/>
          </w:tcPr>
          <w:p w14:paraId="593620C0" w14:textId="77777777" w:rsidR="00A018A6" w:rsidRPr="00DE4AC1" w:rsidRDefault="00A018A6" w:rsidP="002B2FEB">
            <w:pPr>
              <w:rPr>
                <w:rFonts w:ascii="Arial" w:hAnsi="Arial" w:cs="Arial"/>
                <w:sz w:val="16"/>
                <w:szCs w:val="16"/>
              </w:rPr>
            </w:pPr>
            <w:r w:rsidRPr="00DE4AC1">
              <w:rPr>
                <w:rFonts w:ascii="Arial" w:hAnsi="Arial" w:cs="Arial"/>
                <w:sz w:val="16"/>
                <w:szCs w:val="16"/>
              </w:rPr>
              <w:t>NA</w:t>
            </w:r>
          </w:p>
        </w:tc>
      </w:tr>
      <w:tr w:rsidR="00A018A6" w:rsidRPr="003053EA" w14:paraId="77D26CF3" w14:textId="77777777" w:rsidTr="002B2FEB">
        <w:trPr>
          <w:trHeight w:val="20"/>
        </w:trPr>
        <w:tc>
          <w:tcPr>
            <w:tcW w:w="1615" w:type="dxa"/>
          </w:tcPr>
          <w:p w14:paraId="0B34506A" w14:textId="77777777" w:rsidR="00A018A6" w:rsidRPr="003053EA" w:rsidRDefault="00A018A6" w:rsidP="002B2FEB">
            <w:pPr>
              <w:rPr>
                <w:rFonts w:ascii="Arial" w:hAnsi="Arial" w:cs="Arial"/>
                <w:sz w:val="16"/>
                <w:szCs w:val="16"/>
              </w:rPr>
            </w:pPr>
            <w:r w:rsidRPr="003053EA">
              <w:rPr>
                <w:rFonts w:ascii="Arial" w:hAnsi="Arial" w:cs="Arial"/>
                <w:sz w:val="16"/>
                <w:szCs w:val="16"/>
              </w:rPr>
              <w:t>Omicron</w:t>
            </w:r>
          </w:p>
        </w:tc>
        <w:tc>
          <w:tcPr>
            <w:tcW w:w="2700" w:type="dxa"/>
          </w:tcPr>
          <w:p w14:paraId="70FDAC0D" w14:textId="77777777" w:rsidR="00A018A6" w:rsidRPr="003053EA" w:rsidRDefault="00A018A6" w:rsidP="002B2FEB">
            <w:pPr>
              <w:rPr>
                <w:rFonts w:ascii="Arial" w:hAnsi="Arial" w:cs="Arial"/>
                <w:sz w:val="16"/>
                <w:szCs w:val="16"/>
              </w:rPr>
            </w:pPr>
            <w:r w:rsidRPr="003053EA">
              <w:rPr>
                <w:rFonts w:ascii="Arial" w:hAnsi="Arial" w:cs="Arial"/>
                <w:sz w:val="16"/>
                <w:szCs w:val="16"/>
                <w:shd w:val="clear" w:color="auto" w:fill="FFFFFF"/>
              </w:rPr>
              <w:t>S-GENE TARGET FAILURE</w:t>
            </w:r>
          </w:p>
        </w:tc>
        <w:tc>
          <w:tcPr>
            <w:tcW w:w="5035" w:type="dxa"/>
          </w:tcPr>
          <w:p w14:paraId="4EBE5BBE" w14:textId="77777777" w:rsidR="00A018A6" w:rsidRPr="00DE4AC1" w:rsidRDefault="00A018A6" w:rsidP="002B2FEB">
            <w:pPr>
              <w:rPr>
                <w:rFonts w:ascii="Arial" w:hAnsi="Arial" w:cs="Arial"/>
                <w:sz w:val="16"/>
                <w:szCs w:val="16"/>
              </w:rPr>
            </w:pPr>
            <w:r w:rsidRPr="00DE4AC1">
              <w:rPr>
                <w:rFonts w:ascii="Arial" w:hAnsi="Arial" w:cs="Arial"/>
                <w:sz w:val="16"/>
                <w:szCs w:val="16"/>
              </w:rPr>
              <w:t>For positive tests after Nov 22</w:t>
            </w:r>
            <w:r w:rsidRPr="00DE4AC1">
              <w:rPr>
                <w:rFonts w:ascii="Arial" w:hAnsi="Arial" w:cs="Arial"/>
                <w:sz w:val="16"/>
                <w:szCs w:val="16"/>
                <w:vertAlign w:val="superscript"/>
              </w:rPr>
              <w:t>nd</w:t>
            </w:r>
            <w:r w:rsidRPr="00DE4AC1">
              <w:rPr>
                <w:rFonts w:ascii="Arial" w:hAnsi="Arial" w:cs="Arial"/>
                <w:sz w:val="16"/>
                <w:szCs w:val="16"/>
              </w:rPr>
              <w:t xml:space="preserve"> 2021 (first reported Omicron case in Ontario)</w:t>
            </w:r>
          </w:p>
        </w:tc>
      </w:tr>
      <w:tr w:rsidR="00A018A6" w:rsidRPr="003053EA" w14:paraId="2C1F7585" w14:textId="77777777" w:rsidTr="002B2FEB">
        <w:trPr>
          <w:trHeight w:val="20"/>
        </w:trPr>
        <w:tc>
          <w:tcPr>
            <w:tcW w:w="1615" w:type="dxa"/>
          </w:tcPr>
          <w:p w14:paraId="5EAA99D1" w14:textId="77777777" w:rsidR="00A018A6" w:rsidRPr="003053EA" w:rsidRDefault="00A018A6" w:rsidP="002B2FEB">
            <w:pPr>
              <w:rPr>
                <w:rFonts w:ascii="Arial" w:hAnsi="Arial" w:cs="Arial"/>
                <w:sz w:val="16"/>
                <w:szCs w:val="16"/>
              </w:rPr>
            </w:pPr>
            <w:r w:rsidRPr="003053EA">
              <w:rPr>
                <w:rFonts w:ascii="Arial" w:hAnsi="Arial" w:cs="Arial"/>
                <w:sz w:val="16"/>
                <w:szCs w:val="16"/>
              </w:rPr>
              <w:t>Omicron</w:t>
            </w:r>
          </w:p>
        </w:tc>
        <w:tc>
          <w:tcPr>
            <w:tcW w:w="2700" w:type="dxa"/>
          </w:tcPr>
          <w:p w14:paraId="51DBC45C" w14:textId="77777777" w:rsidR="00A018A6" w:rsidRPr="003053EA" w:rsidRDefault="00A018A6" w:rsidP="002B2FEB">
            <w:pPr>
              <w:rPr>
                <w:rFonts w:ascii="Arial" w:hAnsi="Arial" w:cs="Arial"/>
                <w:sz w:val="16"/>
                <w:szCs w:val="16"/>
                <w:shd w:val="clear" w:color="auto" w:fill="FFFFFF"/>
              </w:rPr>
            </w:pPr>
            <w:r w:rsidRPr="003053EA">
              <w:rPr>
                <w:rFonts w:ascii="Arial" w:hAnsi="Arial" w:cs="Arial"/>
                <w:sz w:val="16"/>
                <w:szCs w:val="16"/>
                <w:shd w:val="clear" w:color="auto" w:fill="FFFFFF"/>
              </w:rPr>
              <w:t>MUTATION N501Y+ AND E484K-</w:t>
            </w:r>
          </w:p>
        </w:tc>
        <w:tc>
          <w:tcPr>
            <w:tcW w:w="5035" w:type="dxa"/>
          </w:tcPr>
          <w:p w14:paraId="7708EAAA" w14:textId="77777777" w:rsidR="00A018A6" w:rsidRPr="00DE4AC1" w:rsidRDefault="00A018A6" w:rsidP="002B2FEB">
            <w:pPr>
              <w:rPr>
                <w:rFonts w:ascii="Arial" w:hAnsi="Arial" w:cs="Arial"/>
                <w:sz w:val="16"/>
                <w:szCs w:val="16"/>
              </w:rPr>
            </w:pPr>
            <w:r w:rsidRPr="00DE4AC1">
              <w:rPr>
                <w:rFonts w:ascii="Arial" w:hAnsi="Arial" w:cs="Arial"/>
                <w:sz w:val="16"/>
                <w:szCs w:val="16"/>
              </w:rPr>
              <w:t>For positive tests after Nov 22</w:t>
            </w:r>
            <w:r w:rsidRPr="00DE4AC1">
              <w:rPr>
                <w:rFonts w:ascii="Arial" w:hAnsi="Arial" w:cs="Arial"/>
                <w:sz w:val="16"/>
                <w:szCs w:val="16"/>
                <w:vertAlign w:val="superscript"/>
              </w:rPr>
              <w:t>nd</w:t>
            </w:r>
            <w:r w:rsidRPr="00DE4AC1">
              <w:rPr>
                <w:rFonts w:ascii="Arial" w:hAnsi="Arial" w:cs="Arial"/>
                <w:sz w:val="16"/>
                <w:szCs w:val="16"/>
              </w:rPr>
              <w:t xml:space="preserve"> 2021 (first reported Omicron case in Ontario)</w:t>
            </w:r>
          </w:p>
        </w:tc>
      </w:tr>
      <w:tr w:rsidR="00A018A6" w:rsidRPr="003053EA" w14:paraId="23EC7314" w14:textId="77777777" w:rsidTr="002B2FEB">
        <w:trPr>
          <w:trHeight w:val="20"/>
        </w:trPr>
        <w:tc>
          <w:tcPr>
            <w:tcW w:w="1615" w:type="dxa"/>
          </w:tcPr>
          <w:p w14:paraId="4DEC293C" w14:textId="77777777" w:rsidR="00A018A6" w:rsidRPr="003053EA" w:rsidRDefault="00A018A6" w:rsidP="002B2FEB">
            <w:pPr>
              <w:rPr>
                <w:rFonts w:ascii="Arial" w:hAnsi="Arial" w:cs="Arial"/>
                <w:sz w:val="16"/>
                <w:szCs w:val="16"/>
              </w:rPr>
            </w:pPr>
            <w:r w:rsidRPr="003053EA">
              <w:rPr>
                <w:rFonts w:ascii="Arial" w:hAnsi="Arial" w:cs="Arial"/>
                <w:sz w:val="16"/>
                <w:szCs w:val="16"/>
              </w:rPr>
              <w:t>Omicron</w:t>
            </w:r>
          </w:p>
        </w:tc>
        <w:tc>
          <w:tcPr>
            <w:tcW w:w="2700" w:type="dxa"/>
          </w:tcPr>
          <w:p w14:paraId="77F6CC4B" w14:textId="77777777" w:rsidR="00A018A6" w:rsidRPr="003053EA" w:rsidRDefault="00A018A6" w:rsidP="002B2FEB">
            <w:pPr>
              <w:rPr>
                <w:rFonts w:ascii="Arial" w:hAnsi="Arial" w:cs="Arial"/>
                <w:sz w:val="16"/>
                <w:szCs w:val="16"/>
                <w:shd w:val="clear" w:color="auto" w:fill="FFFFFF"/>
              </w:rPr>
            </w:pPr>
            <w:r w:rsidRPr="003053EA">
              <w:rPr>
                <w:rFonts w:ascii="Arial" w:hAnsi="Arial" w:cs="Arial"/>
                <w:sz w:val="16"/>
                <w:szCs w:val="16"/>
                <w:shd w:val="clear" w:color="auto" w:fill="FFFFFF"/>
              </w:rPr>
              <w:t>MUTATION N501Y+</w:t>
            </w:r>
          </w:p>
        </w:tc>
        <w:tc>
          <w:tcPr>
            <w:tcW w:w="5035" w:type="dxa"/>
          </w:tcPr>
          <w:p w14:paraId="52084FDB" w14:textId="77777777" w:rsidR="00A018A6" w:rsidRPr="00DE4AC1" w:rsidRDefault="00A018A6" w:rsidP="002B2FEB">
            <w:pPr>
              <w:rPr>
                <w:rFonts w:ascii="Arial" w:hAnsi="Arial" w:cs="Arial"/>
                <w:sz w:val="16"/>
                <w:szCs w:val="16"/>
              </w:rPr>
            </w:pPr>
            <w:r w:rsidRPr="00DE4AC1">
              <w:rPr>
                <w:rFonts w:ascii="Arial" w:hAnsi="Arial" w:cs="Arial"/>
                <w:sz w:val="16"/>
                <w:szCs w:val="16"/>
              </w:rPr>
              <w:t>For positive tests after Nov 22</w:t>
            </w:r>
            <w:r w:rsidRPr="00DE4AC1">
              <w:rPr>
                <w:rFonts w:ascii="Arial" w:hAnsi="Arial" w:cs="Arial"/>
                <w:sz w:val="16"/>
                <w:szCs w:val="16"/>
                <w:vertAlign w:val="superscript"/>
              </w:rPr>
              <w:t>nd</w:t>
            </w:r>
            <w:r w:rsidRPr="00DE4AC1">
              <w:rPr>
                <w:rFonts w:ascii="Arial" w:hAnsi="Arial" w:cs="Arial"/>
                <w:sz w:val="16"/>
                <w:szCs w:val="16"/>
              </w:rPr>
              <w:t xml:space="preserve"> 2021 (first reported Omicron case in Ontario)</w:t>
            </w:r>
          </w:p>
        </w:tc>
      </w:tr>
      <w:tr w:rsidR="00A018A6" w:rsidRPr="003053EA" w14:paraId="43709BD0" w14:textId="77777777" w:rsidTr="00DE4AC1">
        <w:trPr>
          <w:trHeight w:val="58"/>
        </w:trPr>
        <w:tc>
          <w:tcPr>
            <w:tcW w:w="1615" w:type="dxa"/>
          </w:tcPr>
          <w:p w14:paraId="41079D08" w14:textId="77777777" w:rsidR="00A018A6" w:rsidRPr="003053EA" w:rsidRDefault="00A018A6" w:rsidP="002B2FEB">
            <w:pPr>
              <w:rPr>
                <w:rFonts w:ascii="Arial" w:hAnsi="Arial" w:cs="Arial"/>
                <w:sz w:val="16"/>
                <w:szCs w:val="16"/>
              </w:rPr>
            </w:pPr>
            <w:r w:rsidRPr="003053EA">
              <w:rPr>
                <w:rFonts w:ascii="Arial" w:hAnsi="Arial" w:cs="Arial"/>
                <w:sz w:val="16"/>
                <w:szCs w:val="16"/>
              </w:rPr>
              <w:t>Omicron (imputed)</w:t>
            </w:r>
          </w:p>
        </w:tc>
        <w:tc>
          <w:tcPr>
            <w:tcW w:w="2700" w:type="dxa"/>
          </w:tcPr>
          <w:p w14:paraId="5C2022C8" w14:textId="77777777" w:rsidR="00A018A6" w:rsidRPr="003053EA" w:rsidRDefault="00A018A6" w:rsidP="002B2FEB">
            <w:pPr>
              <w:rPr>
                <w:rFonts w:ascii="Arial" w:hAnsi="Arial" w:cs="Arial"/>
                <w:sz w:val="16"/>
                <w:szCs w:val="16"/>
                <w:shd w:val="clear" w:color="auto" w:fill="FFFFFF"/>
              </w:rPr>
            </w:pPr>
            <w:r w:rsidRPr="003053EA">
              <w:rPr>
                <w:rFonts w:ascii="Arial" w:hAnsi="Arial" w:cs="Arial"/>
                <w:sz w:val="16"/>
                <w:szCs w:val="16"/>
                <w:shd w:val="clear" w:color="auto" w:fill="FFFFFF"/>
              </w:rPr>
              <w:t>Missing or inconclusive</w:t>
            </w:r>
          </w:p>
        </w:tc>
        <w:tc>
          <w:tcPr>
            <w:tcW w:w="5035" w:type="dxa"/>
          </w:tcPr>
          <w:p w14:paraId="57E33B8E" w14:textId="4FE394CE" w:rsidR="00A018A6" w:rsidRPr="00DE4AC1" w:rsidRDefault="00A018A6" w:rsidP="00DE4AC1">
            <w:pPr>
              <w:rPr>
                <w:rFonts w:ascii="Arial" w:hAnsi="Arial" w:cs="Arial"/>
                <w:sz w:val="16"/>
                <w:szCs w:val="16"/>
              </w:rPr>
            </w:pPr>
            <w:r w:rsidRPr="00DE4AC1">
              <w:rPr>
                <w:rFonts w:ascii="Arial" w:hAnsi="Arial" w:cs="Arial"/>
                <w:sz w:val="16"/>
                <w:szCs w:val="16"/>
              </w:rPr>
              <w:t xml:space="preserve">For cases tested positive between ’2021-12-21 and ’2021-12-31’ because among cases with variants known, </w:t>
            </w:r>
            <w:r w:rsidR="00DE4AC1" w:rsidRPr="00DE4AC1">
              <w:rPr>
                <w:rFonts w:ascii="Arial" w:hAnsi="Arial" w:cs="Arial"/>
                <w:sz w:val="16"/>
                <w:szCs w:val="16"/>
              </w:rPr>
              <w:t>93.7</w:t>
            </w:r>
            <w:r w:rsidRPr="00DE4AC1">
              <w:rPr>
                <w:rFonts w:ascii="Arial" w:hAnsi="Arial" w:cs="Arial"/>
                <w:sz w:val="16"/>
                <w:szCs w:val="16"/>
              </w:rPr>
              <w:t xml:space="preserve">% were Omicron during this period in our dataset. </w:t>
            </w:r>
          </w:p>
        </w:tc>
      </w:tr>
    </w:tbl>
    <w:p w14:paraId="02ABCE4D" w14:textId="77777777" w:rsidR="00A018A6" w:rsidRPr="003053EA" w:rsidRDefault="00A018A6" w:rsidP="00FE1655">
      <w:pPr>
        <w:spacing w:after="0" w:line="480" w:lineRule="auto"/>
        <w:rPr>
          <w:rFonts w:ascii="Arial" w:hAnsi="Arial" w:cs="Arial"/>
          <w:b/>
          <w:bCs/>
          <w:iCs/>
        </w:rPr>
      </w:pPr>
    </w:p>
    <w:p w14:paraId="2EDFFA47" w14:textId="688AFC8F" w:rsidR="00E3690E" w:rsidRPr="003053EA" w:rsidRDefault="00E3690E">
      <w:pPr>
        <w:rPr>
          <w:rFonts w:ascii="Arial" w:hAnsi="Arial" w:cs="Arial"/>
        </w:rPr>
      </w:pPr>
      <w:r w:rsidRPr="003053EA">
        <w:rPr>
          <w:rFonts w:ascii="Arial" w:hAnsi="Arial" w:cs="Arial"/>
        </w:rPr>
        <w:br w:type="page"/>
      </w:r>
    </w:p>
    <w:p w14:paraId="3707EE9D" w14:textId="10C825E3" w:rsidR="00135E2B" w:rsidRPr="003053EA" w:rsidRDefault="00E3690E" w:rsidP="00005CD0">
      <w:pPr>
        <w:spacing w:after="0" w:line="480" w:lineRule="auto"/>
        <w:rPr>
          <w:rFonts w:ascii="Arial" w:hAnsi="Arial" w:cs="Arial"/>
        </w:rPr>
      </w:pPr>
      <w:r w:rsidRPr="003053EA">
        <w:rPr>
          <w:rFonts w:ascii="Arial" w:hAnsi="Arial" w:cs="Arial"/>
          <w:b/>
        </w:rPr>
        <w:lastRenderedPageBreak/>
        <w:t xml:space="preserve">Appendix text 3. </w:t>
      </w:r>
      <w:r w:rsidRPr="003053EA">
        <w:rPr>
          <w:rFonts w:ascii="Arial" w:hAnsi="Arial" w:cs="Arial"/>
        </w:rPr>
        <w:t xml:space="preserve">Hypothesis and interpretations regarding effect modification by vaccination on </w:t>
      </w:r>
      <w:r w:rsidR="004F2125">
        <w:rPr>
          <w:rFonts w:ascii="Arial" w:hAnsi="Arial" w:cs="Arial"/>
        </w:rPr>
        <w:t xml:space="preserve">the </w:t>
      </w:r>
      <w:r w:rsidRPr="003053EA">
        <w:rPr>
          <w:rFonts w:ascii="Arial" w:hAnsi="Arial" w:cs="Arial"/>
        </w:rPr>
        <w:t xml:space="preserve">relationship between area-level income and COVID-19 deaths. </w:t>
      </w:r>
    </w:p>
    <w:p w14:paraId="05EA2D18" w14:textId="77777777" w:rsidR="007A3D64" w:rsidRDefault="00E3690E" w:rsidP="007A3D64">
      <w:pPr>
        <w:spacing w:line="480" w:lineRule="auto"/>
        <w:rPr>
          <w:rFonts w:ascii="Arial" w:hAnsi="Arial" w:cs="Arial"/>
        </w:rPr>
      </w:pPr>
      <w:r w:rsidRPr="003053EA">
        <w:rPr>
          <w:rFonts w:ascii="Arial" w:hAnsi="Arial" w:cs="Arial"/>
          <w:u w:val="single"/>
        </w:rPr>
        <w:t>Hypothesis</w:t>
      </w:r>
      <w:r w:rsidRPr="003053EA">
        <w:rPr>
          <w:rFonts w:ascii="Arial" w:hAnsi="Arial" w:cs="Arial"/>
        </w:rPr>
        <w:t xml:space="preserve">: the magnitude of inequality in COVID-19 deaths may differ </w:t>
      </w:r>
      <w:r w:rsidR="00CD4383">
        <w:rPr>
          <w:rFonts w:ascii="Arial" w:hAnsi="Arial" w:cs="Arial"/>
        </w:rPr>
        <w:t xml:space="preserve">between subgroups with different </w:t>
      </w:r>
      <w:r w:rsidRPr="003053EA">
        <w:rPr>
          <w:rFonts w:ascii="Arial" w:hAnsi="Arial" w:cs="Arial"/>
        </w:rPr>
        <w:t xml:space="preserve">vaccination </w:t>
      </w:r>
      <w:r w:rsidR="00CD4383">
        <w:rPr>
          <w:rFonts w:ascii="Arial" w:hAnsi="Arial" w:cs="Arial"/>
        </w:rPr>
        <w:t>status</w:t>
      </w:r>
      <w:r w:rsidRPr="003053EA">
        <w:rPr>
          <w:rFonts w:ascii="Arial" w:hAnsi="Arial" w:cs="Arial"/>
        </w:rPr>
        <w:t xml:space="preserve">; such that the magnitude of inequality may be </w:t>
      </w:r>
      <w:r w:rsidR="00CD4383">
        <w:rPr>
          <w:rFonts w:ascii="Arial" w:hAnsi="Arial" w:cs="Arial"/>
        </w:rPr>
        <w:t>smaller</w:t>
      </w:r>
      <w:r w:rsidR="00CD4383" w:rsidRPr="003053EA">
        <w:rPr>
          <w:rFonts w:ascii="Arial" w:hAnsi="Arial" w:cs="Arial"/>
        </w:rPr>
        <w:t xml:space="preserve"> </w:t>
      </w:r>
      <w:r w:rsidRPr="003053EA">
        <w:rPr>
          <w:rFonts w:ascii="Arial" w:hAnsi="Arial" w:cs="Arial"/>
        </w:rPr>
        <w:t xml:space="preserve">in subgroups </w:t>
      </w:r>
      <w:r w:rsidR="00CD4383">
        <w:rPr>
          <w:rFonts w:ascii="Arial" w:hAnsi="Arial" w:cs="Arial"/>
        </w:rPr>
        <w:t>with vaccination than without vaccination</w:t>
      </w:r>
      <w:r w:rsidRPr="003053EA">
        <w:rPr>
          <w:rFonts w:ascii="Arial" w:hAnsi="Arial" w:cs="Arial"/>
        </w:rPr>
        <w:t>.</w:t>
      </w:r>
    </w:p>
    <w:p w14:paraId="08CD6458" w14:textId="55121187" w:rsidR="005D1FF7" w:rsidRPr="007A3D64" w:rsidRDefault="00C0436C" w:rsidP="007A3D64">
      <w:pPr>
        <w:spacing w:line="480" w:lineRule="auto"/>
        <w:rPr>
          <w:rFonts w:ascii="Arial" w:hAnsi="Arial" w:cs="Arial"/>
        </w:rPr>
      </w:pPr>
      <w:r>
        <w:rPr>
          <w:rFonts w:ascii="Arial" w:hAnsi="Arial" w:cs="Arial"/>
          <w:u w:val="single"/>
        </w:rPr>
        <w:t>Interpretation</w:t>
      </w:r>
      <w:r w:rsidRPr="003053EA">
        <w:rPr>
          <w:rFonts w:ascii="Arial" w:hAnsi="Arial" w:cs="Arial"/>
        </w:rPr>
        <w:t xml:space="preserve">: </w:t>
      </w:r>
      <w:r w:rsidR="005D1FF7" w:rsidRPr="007A3D64">
        <w:rPr>
          <w:rFonts w:ascii="Arial" w:hAnsi="Arial" w:cs="Arial"/>
        </w:rPr>
        <w:t>In the context of imperfect vaccine protection and potential ‘degree-type’ vaccine protection (v</w:t>
      </w:r>
      <w:r w:rsidR="005D1FF7" w:rsidRPr="007A3D64">
        <w:rPr>
          <w:rFonts w:ascii="Arial" w:hAnsi="Arial" w:cs="Arial"/>
          <w:bCs/>
          <w:shd w:val="clear" w:color="auto" w:fill="FFFFFF"/>
        </w:rPr>
        <w:t>accine-induced protection reduces infection rates by a fraction on a per-exposure basis</w:t>
      </w:r>
      <w:r w:rsidR="005D1FF7" w:rsidRPr="007A3D64">
        <w:rPr>
          <w:rFonts w:ascii="Arial" w:hAnsi="Arial" w:cs="Arial"/>
        </w:rPr>
        <w:t xml:space="preserve">), </w:t>
      </w:r>
      <w:r w:rsidR="00C20023" w:rsidRPr="007A3D64">
        <w:rPr>
          <w:rFonts w:ascii="Arial" w:hAnsi="Arial" w:cs="Arial"/>
        </w:rPr>
        <w:t>effect modification by vaccination could occur if any of the following</w:t>
      </w:r>
      <w:r>
        <w:rPr>
          <w:rFonts w:ascii="Arial" w:hAnsi="Arial" w:cs="Arial"/>
        </w:rPr>
        <w:t xml:space="preserve"> (A-C)</w:t>
      </w:r>
      <w:r w:rsidR="00C20023" w:rsidRPr="007A3D64">
        <w:rPr>
          <w:rFonts w:ascii="Arial" w:hAnsi="Arial" w:cs="Arial"/>
        </w:rPr>
        <w:t xml:space="preserve"> is true</w:t>
      </w:r>
      <w:r>
        <w:rPr>
          <w:rFonts w:ascii="Arial" w:hAnsi="Arial" w:cs="Arial"/>
        </w:rPr>
        <w:t xml:space="preserve">. However, B) is probably the most possible explanation. </w:t>
      </w:r>
    </w:p>
    <w:p w14:paraId="715EF9A5" w14:textId="6571AFDD" w:rsidR="005D1FF7" w:rsidRDefault="00C0436C" w:rsidP="007A3D64">
      <w:pPr>
        <w:pStyle w:val="ListParagraph"/>
        <w:numPr>
          <w:ilvl w:val="0"/>
          <w:numId w:val="4"/>
        </w:numPr>
        <w:spacing w:line="480" w:lineRule="auto"/>
        <w:rPr>
          <w:rFonts w:ascii="Arial" w:hAnsi="Arial" w:cs="Arial"/>
        </w:rPr>
      </w:pPr>
      <w:r>
        <w:rPr>
          <w:rFonts w:ascii="Arial" w:hAnsi="Arial" w:cs="Arial"/>
        </w:rPr>
        <w:t xml:space="preserve">A) </w:t>
      </w:r>
      <w:r w:rsidR="002B2FEB">
        <w:rPr>
          <w:rFonts w:ascii="Arial" w:hAnsi="Arial" w:cs="Arial"/>
        </w:rPr>
        <w:t>Biologically, if v</w:t>
      </w:r>
      <w:r w:rsidR="005D1FF7">
        <w:rPr>
          <w:rFonts w:ascii="Arial" w:hAnsi="Arial" w:cs="Arial"/>
        </w:rPr>
        <w:t xml:space="preserve">accination’s protection against severity is dominant </w:t>
      </w:r>
      <w:r w:rsidR="009D1D5B">
        <w:rPr>
          <w:rFonts w:ascii="Arial" w:hAnsi="Arial" w:cs="Arial"/>
        </w:rPr>
        <w:t xml:space="preserve">and overrides inequality in access and quality of care </w:t>
      </w:r>
      <w:r w:rsidR="005D1FF7">
        <w:rPr>
          <w:rFonts w:ascii="Arial" w:hAnsi="Arial" w:cs="Arial"/>
        </w:rPr>
        <w:t>(e.g.,</w:t>
      </w:r>
      <w:r w:rsidR="009D1D5B">
        <w:rPr>
          <w:rFonts w:ascii="Arial" w:hAnsi="Arial" w:cs="Arial"/>
        </w:rPr>
        <w:t xml:space="preserve"> as long as one is vaccinated, infection will</w:t>
      </w:r>
      <w:r w:rsidR="005D1FF7">
        <w:rPr>
          <w:rFonts w:ascii="Arial" w:hAnsi="Arial" w:cs="Arial"/>
        </w:rPr>
        <w:t xml:space="preserve"> not l</w:t>
      </w:r>
      <w:r w:rsidR="002B2FEB">
        <w:rPr>
          <w:rFonts w:ascii="Arial" w:hAnsi="Arial" w:cs="Arial"/>
        </w:rPr>
        <w:t>ea</w:t>
      </w:r>
      <w:r w:rsidR="005D1FF7">
        <w:rPr>
          <w:rFonts w:ascii="Arial" w:hAnsi="Arial" w:cs="Arial"/>
        </w:rPr>
        <w:t xml:space="preserve">d to death </w:t>
      </w:r>
      <w:r w:rsidR="009D1D5B">
        <w:rPr>
          <w:rFonts w:ascii="Arial" w:hAnsi="Arial" w:cs="Arial"/>
        </w:rPr>
        <w:t>regardless of</w:t>
      </w:r>
      <w:r w:rsidR="005D1FF7">
        <w:rPr>
          <w:rFonts w:ascii="Arial" w:hAnsi="Arial" w:cs="Arial"/>
        </w:rPr>
        <w:t xml:space="preserve"> access and quality of care)</w:t>
      </w:r>
      <w:r w:rsidR="00CD4383">
        <w:rPr>
          <w:rFonts w:ascii="Arial" w:hAnsi="Arial" w:cs="Arial"/>
        </w:rPr>
        <w:t>;</w:t>
      </w:r>
    </w:p>
    <w:p w14:paraId="68D861A0" w14:textId="44109BF0" w:rsidR="00CD4383" w:rsidRPr="00CD4383" w:rsidRDefault="00C0436C" w:rsidP="007A3D64">
      <w:pPr>
        <w:pStyle w:val="ListParagraph"/>
        <w:numPr>
          <w:ilvl w:val="0"/>
          <w:numId w:val="4"/>
        </w:numPr>
        <w:spacing w:line="480" w:lineRule="auto"/>
        <w:rPr>
          <w:rFonts w:ascii="Arial" w:hAnsi="Arial" w:cs="Arial"/>
        </w:rPr>
      </w:pPr>
      <w:r>
        <w:rPr>
          <w:rFonts w:ascii="Arial" w:hAnsi="Arial" w:cs="Arial"/>
        </w:rPr>
        <w:t xml:space="preserve">B) </w:t>
      </w:r>
      <w:r w:rsidR="002B2FEB" w:rsidRPr="002B2FEB">
        <w:rPr>
          <w:rFonts w:ascii="Arial" w:hAnsi="Arial" w:cs="Arial"/>
        </w:rPr>
        <w:t>If those who are vaccinated</w:t>
      </w:r>
      <w:r w:rsidR="005D1FF7" w:rsidRPr="002B2FEB">
        <w:rPr>
          <w:rFonts w:ascii="Arial" w:hAnsi="Arial" w:cs="Arial"/>
        </w:rPr>
        <w:t xml:space="preserve">, </w:t>
      </w:r>
      <w:r w:rsidR="002B2FEB" w:rsidRPr="002B2FEB">
        <w:rPr>
          <w:rFonts w:ascii="Arial" w:hAnsi="Arial" w:cs="Arial"/>
        </w:rPr>
        <w:t xml:space="preserve">are </w:t>
      </w:r>
      <w:r w:rsidR="00CD4383">
        <w:rPr>
          <w:rFonts w:ascii="Arial" w:hAnsi="Arial" w:cs="Arial"/>
        </w:rPr>
        <w:t xml:space="preserve">also </w:t>
      </w:r>
      <w:r w:rsidR="002B2FEB" w:rsidRPr="002B2FEB">
        <w:rPr>
          <w:rFonts w:ascii="Arial" w:hAnsi="Arial" w:cs="Arial"/>
        </w:rPr>
        <w:t>more likely to access care</w:t>
      </w:r>
      <w:r w:rsidR="002B2FEB">
        <w:rPr>
          <w:rFonts w:ascii="Arial" w:hAnsi="Arial" w:cs="Arial"/>
        </w:rPr>
        <w:t xml:space="preserve"> (including testing and treatment), </w:t>
      </w:r>
      <w:r w:rsidR="002B2FEB" w:rsidRPr="002B2FEB">
        <w:rPr>
          <w:rFonts w:ascii="Arial" w:hAnsi="Arial" w:cs="Arial"/>
        </w:rPr>
        <w:t>regardless of their area-level income</w:t>
      </w:r>
      <w:r w:rsidR="00CD4383">
        <w:rPr>
          <w:rFonts w:ascii="Arial" w:hAnsi="Arial" w:cs="Arial"/>
        </w:rPr>
        <w:t>;</w:t>
      </w:r>
    </w:p>
    <w:p w14:paraId="09B1A758" w14:textId="418CA3E4" w:rsidR="00CD4383" w:rsidRDefault="00C0436C" w:rsidP="007A3D64">
      <w:pPr>
        <w:pStyle w:val="ListParagraph"/>
        <w:numPr>
          <w:ilvl w:val="0"/>
          <w:numId w:val="4"/>
        </w:numPr>
        <w:spacing w:line="480" w:lineRule="auto"/>
        <w:rPr>
          <w:rFonts w:ascii="Arial" w:hAnsi="Arial" w:cs="Arial"/>
        </w:rPr>
      </w:pPr>
      <w:r>
        <w:rPr>
          <w:rFonts w:ascii="Arial" w:hAnsi="Arial" w:cs="Arial"/>
        </w:rPr>
        <w:t xml:space="preserve">C) </w:t>
      </w:r>
      <w:r w:rsidR="00C47AD0" w:rsidRPr="00CD4383">
        <w:rPr>
          <w:rFonts w:ascii="Arial" w:hAnsi="Arial" w:cs="Arial"/>
        </w:rPr>
        <w:t xml:space="preserve">If those who are vaccinated </w:t>
      </w:r>
      <w:r w:rsidR="00C20023" w:rsidRPr="00CD4383">
        <w:rPr>
          <w:rFonts w:ascii="Arial" w:hAnsi="Arial" w:cs="Arial"/>
        </w:rPr>
        <w:t xml:space="preserve">had </w:t>
      </w:r>
      <w:r w:rsidR="00E74B4E">
        <w:rPr>
          <w:rFonts w:ascii="Arial" w:hAnsi="Arial" w:cs="Arial"/>
        </w:rPr>
        <w:t>higher</w:t>
      </w:r>
      <w:r w:rsidR="00E74B4E" w:rsidRPr="00CD4383">
        <w:rPr>
          <w:rFonts w:ascii="Arial" w:hAnsi="Arial" w:cs="Arial"/>
        </w:rPr>
        <w:t xml:space="preserve"> </w:t>
      </w:r>
      <w:r w:rsidR="00C20023" w:rsidRPr="00CD4383">
        <w:rPr>
          <w:rFonts w:ascii="Arial" w:hAnsi="Arial" w:cs="Arial"/>
        </w:rPr>
        <w:t>baseline exposure risk, regardless of their area-level income</w:t>
      </w:r>
      <w:r w:rsidR="007A3D64">
        <w:rPr>
          <w:rFonts w:ascii="Arial" w:hAnsi="Arial" w:cs="Arial"/>
        </w:rPr>
        <w:t>.</w:t>
      </w:r>
      <w:bookmarkStart w:id="0" w:name="_GoBack"/>
      <w:bookmarkEnd w:id="0"/>
    </w:p>
    <w:p w14:paraId="4F2C9EB1" w14:textId="0398304B" w:rsidR="00E3690E" w:rsidRPr="00C0436C" w:rsidRDefault="00E3690E" w:rsidP="00C0436C">
      <w:pPr>
        <w:spacing w:line="480" w:lineRule="auto"/>
        <w:rPr>
          <w:rFonts w:ascii="Arial" w:hAnsi="Arial" w:cs="Arial"/>
          <w:b/>
        </w:rPr>
      </w:pPr>
      <w:r w:rsidRPr="006351D6">
        <w:rPr>
          <w:rFonts w:ascii="Arial" w:hAnsi="Arial" w:cs="Arial"/>
          <w:u w:val="single"/>
        </w:rPr>
        <w:t xml:space="preserve">Additional </w:t>
      </w:r>
      <w:r w:rsidR="001A385D">
        <w:rPr>
          <w:rFonts w:ascii="Arial" w:hAnsi="Arial" w:cs="Arial"/>
          <w:u w:val="single"/>
        </w:rPr>
        <w:t>notes</w:t>
      </w:r>
      <w:r w:rsidR="006B678B">
        <w:rPr>
          <w:rFonts w:ascii="Arial" w:hAnsi="Arial" w:cs="Arial"/>
          <w:u w:val="single"/>
        </w:rPr>
        <w:t xml:space="preserve"> on hypothesis</w:t>
      </w:r>
      <w:r w:rsidR="006351D6">
        <w:rPr>
          <w:rFonts w:ascii="Arial" w:hAnsi="Arial" w:cs="Arial"/>
        </w:rPr>
        <w:t xml:space="preserve">: </w:t>
      </w:r>
      <w:r w:rsidRPr="006351D6">
        <w:rPr>
          <w:rFonts w:ascii="Arial" w:hAnsi="Arial" w:cs="Arial"/>
        </w:rPr>
        <w:t xml:space="preserve">in the context of vaccination’s network-level impact </w:t>
      </w:r>
      <w:r w:rsidR="006351D6">
        <w:rPr>
          <w:rFonts w:ascii="Arial" w:hAnsi="Arial" w:cs="Arial"/>
        </w:rPr>
        <w:t>(interference)</w:t>
      </w:r>
      <w:r w:rsidR="007A3D64">
        <w:rPr>
          <w:rFonts w:ascii="Arial" w:hAnsi="Arial" w:cs="Arial"/>
        </w:rPr>
        <w:t xml:space="preserve"> in addition to individual-level impact</w:t>
      </w:r>
      <w:r w:rsidR="006351D6">
        <w:rPr>
          <w:rFonts w:ascii="Arial" w:hAnsi="Arial" w:cs="Arial"/>
        </w:rPr>
        <w:t xml:space="preserve">, </w:t>
      </w:r>
      <w:r w:rsidRPr="006351D6">
        <w:rPr>
          <w:rFonts w:ascii="Arial" w:hAnsi="Arial" w:cs="Arial"/>
        </w:rPr>
        <w:t>and in the context of contact-pattern correlation by area-level income</w:t>
      </w:r>
      <w:r w:rsidR="007A3D64">
        <w:rPr>
          <w:rFonts w:ascii="Arial" w:hAnsi="Arial" w:cs="Arial"/>
        </w:rPr>
        <w:t xml:space="preserve">, </w:t>
      </w:r>
      <w:r w:rsidRPr="003053EA">
        <w:rPr>
          <w:rFonts w:ascii="Arial" w:hAnsi="Arial" w:cs="Arial"/>
        </w:rPr>
        <w:t xml:space="preserve">it maybe counterintuitive to </w:t>
      </w:r>
      <w:r w:rsidR="007A3D64">
        <w:rPr>
          <w:rFonts w:ascii="Arial" w:hAnsi="Arial" w:cs="Arial"/>
        </w:rPr>
        <w:t xml:space="preserve">evaluate the social inequality patterns among subgroups with and without vaccination separately as patterns in one group likely impact patterns in the other. </w:t>
      </w:r>
      <w:r w:rsidR="00C0436C">
        <w:rPr>
          <w:rFonts w:ascii="Arial" w:hAnsi="Arial" w:cs="Arial"/>
        </w:rPr>
        <w:t xml:space="preserve">In contrast, </w:t>
      </w:r>
      <w:r w:rsidR="00C0436C" w:rsidRPr="00C0436C">
        <w:rPr>
          <w:rFonts w:ascii="Arial" w:hAnsi="Arial" w:cs="Arial"/>
        </w:rPr>
        <w:t>the role of vaccination as a mediator subsumes unobserved effects of vaccination on individuals who were not vaccinated to fully capture the population-level impact of the vaccine gap on inequalities in COVID-19 deaths.</w:t>
      </w:r>
    </w:p>
    <w:sectPr w:rsidR="00E3690E" w:rsidRPr="00C0436C">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A5FEC39" w16cex:dateUtc="2024-01-12T17:15:00Z"/>
  <w16cex:commentExtensible w16cex:durableId="5517CE99" w16cex:dateUtc="2024-01-08T20:02:00Z"/>
  <w16cex:commentExtensible w16cex:durableId="36C9229E" w16cex:dateUtc="2024-01-08T20:02:00Z"/>
  <w16cex:commentExtensible w16cex:durableId="4D013437" w16cex:dateUtc="2024-01-08T20:03:00Z"/>
  <w16cex:commentExtensible w16cex:durableId="768EB45F" w16cex:dateUtc="2024-01-08T20:03:00Z"/>
  <w16cex:commentExtensible w16cex:durableId="4A11FD91" w16cex:dateUtc="2024-01-08T20: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A83E19" w16cid:durableId="06498AF7"/>
  <w16cid:commentId w16cid:paraId="1FB1FAAD" w16cid:durableId="5A5FEC39"/>
  <w16cid:commentId w16cid:paraId="3222CFC1" w16cid:durableId="5517CE99"/>
  <w16cid:commentId w16cid:paraId="7CECBA8F" w16cid:durableId="36C9229E"/>
  <w16cid:commentId w16cid:paraId="7D864BBD" w16cid:durableId="4D013437"/>
  <w16cid:commentId w16cid:paraId="318FBAE7" w16cid:durableId="768EB45F"/>
  <w16cid:commentId w16cid:paraId="636BB708" w16cid:durableId="4A11FD9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64C574" w14:textId="77777777" w:rsidR="001D6F51" w:rsidRDefault="001D6F51" w:rsidP="00367E8B">
      <w:pPr>
        <w:spacing w:after="0" w:line="240" w:lineRule="auto"/>
      </w:pPr>
      <w:r>
        <w:separator/>
      </w:r>
    </w:p>
  </w:endnote>
  <w:endnote w:type="continuationSeparator" w:id="0">
    <w:p w14:paraId="27EF235C" w14:textId="77777777" w:rsidR="001D6F51" w:rsidRDefault="001D6F51" w:rsidP="00367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C78FE" w14:textId="77777777" w:rsidR="00C363A3" w:rsidRDefault="00C363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7951586"/>
      <w:docPartObj>
        <w:docPartGallery w:val="Page Numbers (Bottom of Page)"/>
        <w:docPartUnique/>
      </w:docPartObj>
    </w:sdtPr>
    <w:sdtEndPr>
      <w:rPr>
        <w:noProof/>
      </w:rPr>
    </w:sdtEndPr>
    <w:sdtContent>
      <w:p w14:paraId="35AD6CE3" w14:textId="3076638A" w:rsidR="00C363A3" w:rsidRDefault="00C363A3">
        <w:pPr>
          <w:pStyle w:val="Footer"/>
          <w:jc w:val="center"/>
        </w:pPr>
        <w:r>
          <w:fldChar w:fldCharType="begin"/>
        </w:r>
        <w:r>
          <w:instrText xml:space="preserve"> PAGE   \* MERGEFORMAT </w:instrText>
        </w:r>
        <w:r>
          <w:fldChar w:fldCharType="separate"/>
        </w:r>
        <w:r w:rsidR="002C0697">
          <w:rPr>
            <w:noProof/>
          </w:rPr>
          <w:t>1</w:t>
        </w:r>
        <w:r>
          <w:rPr>
            <w:noProof/>
          </w:rPr>
          <w:fldChar w:fldCharType="end"/>
        </w:r>
      </w:p>
    </w:sdtContent>
  </w:sdt>
  <w:p w14:paraId="29C71AD3" w14:textId="77777777" w:rsidR="00C363A3" w:rsidRDefault="00C363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EC4DB" w14:textId="77777777" w:rsidR="00C363A3" w:rsidRDefault="00C363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757A4D" w14:textId="77777777" w:rsidR="001D6F51" w:rsidRDefault="001D6F51" w:rsidP="00367E8B">
      <w:pPr>
        <w:spacing w:after="0" w:line="240" w:lineRule="auto"/>
      </w:pPr>
      <w:r>
        <w:separator/>
      </w:r>
    </w:p>
  </w:footnote>
  <w:footnote w:type="continuationSeparator" w:id="0">
    <w:p w14:paraId="5BA0EBDE" w14:textId="77777777" w:rsidR="001D6F51" w:rsidRDefault="001D6F51" w:rsidP="00367E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20B2A" w14:textId="77777777" w:rsidR="00C363A3" w:rsidRDefault="00C363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79127" w14:textId="77777777" w:rsidR="00C363A3" w:rsidRDefault="00C363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55B35" w14:textId="77777777" w:rsidR="00C363A3" w:rsidRDefault="00C363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5A3296"/>
    <w:multiLevelType w:val="hybridMultilevel"/>
    <w:tmpl w:val="DCC4C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6F26BB"/>
    <w:multiLevelType w:val="hybridMultilevel"/>
    <w:tmpl w:val="2C40F9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2E92B43"/>
    <w:multiLevelType w:val="hybridMultilevel"/>
    <w:tmpl w:val="C89EE3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EE3CFD"/>
    <w:multiLevelType w:val="hybridMultilevel"/>
    <w:tmpl w:val="58FE69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8E419EF"/>
    <w:multiLevelType w:val="hybridMultilevel"/>
    <w:tmpl w:val="3320B2C2"/>
    <w:lvl w:ilvl="0" w:tplc="0409000F">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017"/>
    <w:rsid w:val="00005CD0"/>
    <w:rsid w:val="00012D51"/>
    <w:rsid w:val="0003684D"/>
    <w:rsid w:val="00075DE1"/>
    <w:rsid w:val="00080C22"/>
    <w:rsid w:val="00087AD0"/>
    <w:rsid w:val="000B7401"/>
    <w:rsid w:val="000E44BF"/>
    <w:rsid w:val="000E53F4"/>
    <w:rsid w:val="000E690E"/>
    <w:rsid w:val="000E79C7"/>
    <w:rsid w:val="001109BD"/>
    <w:rsid w:val="00130E27"/>
    <w:rsid w:val="00132A60"/>
    <w:rsid w:val="00135E2B"/>
    <w:rsid w:val="001636B5"/>
    <w:rsid w:val="00180DF3"/>
    <w:rsid w:val="00184F0C"/>
    <w:rsid w:val="0019224C"/>
    <w:rsid w:val="00194F3A"/>
    <w:rsid w:val="001A385D"/>
    <w:rsid w:val="001D271B"/>
    <w:rsid w:val="001D2749"/>
    <w:rsid w:val="001D6F51"/>
    <w:rsid w:val="001D70D0"/>
    <w:rsid w:val="002005AD"/>
    <w:rsid w:val="00202A55"/>
    <w:rsid w:val="00213BAB"/>
    <w:rsid w:val="00237B73"/>
    <w:rsid w:val="00242ADD"/>
    <w:rsid w:val="00247641"/>
    <w:rsid w:val="002568BD"/>
    <w:rsid w:val="0026032E"/>
    <w:rsid w:val="002948EF"/>
    <w:rsid w:val="00297459"/>
    <w:rsid w:val="002A2DCD"/>
    <w:rsid w:val="002A5E20"/>
    <w:rsid w:val="002B2FEB"/>
    <w:rsid w:val="002B477E"/>
    <w:rsid w:val="002B5B1D"/>
    <w:rsid w:val="002C0697"/>
    <w:rsid w:val="002C7089"/>
    <w:rsid w:val="002D1C2C"/>
    <w:rsid w:val="002F7FAB"/>
    <w:rsid w:val="003053EA"/>
    <w:rsid w:val="00337808"/>
    <w:rsid w:val="003454DB"/>
    <w:rsid w:val="00354741"/>
    <w:rsid w:val="00367E8B"/>
    <w:rsid w:val="00371CD6"/>
    <w:rsid w:val="003864E0"/>
    <w:rsid w:val="003A6E5A"/>
    <w:rsid w:val="003C3C35"/>
    <w:rsid w:val="003D782D"/>
    <w:rsid w:val="003E3526"/>
    <w:rsid w:val="00444BC1"/>
    <w:rsid w:val="0046741A"/>
    <w:rsid w:val="00477886"/>
    <w:rsid w:val="004E5474"/>
    <w:rsid w:val="004F2125"/>
    <w:rsid w:val="005129E8"/>
    <w:rsid w:val="005306B5"/>
    <w:rsid w:val="00532378"/>
    <w:rsid w:val="005325D8"/>
    <w:rsid w:val="00560BF0"/>
    <w:rsid w:val="0056224C"/>
    <w:rsid w:val="00577151"/>
    <w:rsid w:val="00580499"/>
    <w:rsid w:val="005938EC"/>
    <w:rsid w:val="0059703B"/>
    <w:rsid w:val="005B1A46"/>
    <w:rsid w:val="005C044D"/>
    <w:rsid w:val="005D1FF7"/>
    <w:rsid w:val="005D41DE"/>
    <w:rsid w:val="005E5705"/>
    <w:rsid w:val="005F19C4"/>
    <w:rsid w:val="00613728"/>
    <w:rsid w:val="006211A1"/>
    <w:rsid w:val="006235B6"/>
    <w:rsid w:val="006351D6"/>
    <w:rsid w:val="0065111F"/>
    <w:rsid w:val="00661330"/>
    <w:rsid w:val="00673899"/>
    <w:rsid w:val="006B6305"/>
    <w:rsid w:val="006B678B"/>
    <w:rsid w:val="006B74A2"/>
    <w:rsid w:val="006F6BD2"/>
    <w:rsid w:val="007658CA"/>
    <w:rsid w:val="00776790"/>
    <w:rsid w:val="00782666"/>
    <w:rsid w:val="00787391"/>
    <w:rsid w:val="00794B11"/>
    <w:rsid w:val="007A3D64"/>
    <w:rsid w:val="007D2649"/>
    <w:rsid w:val="00826AA5"/>
    <w:rsid w:val="00835D0A"/>
    <w:rsid w:val="00846AA8"/>
    <w:rsid w:val="0084729A"/>
    <w:rsid w:val="00850950"/>
    <w:rsid w:val="008578A5"/>
    <w:rsid w:val="00880FFD"/>
    <w:rsid w:val="00883F18"/>
    <w:rsid w:val="008A1CEC"/>
    <w:rsid w:val="008A4261"/>
    <w:rsid w:val="008A5218"/>
    <w:rsid w:val="008C05D6"/>
    <w:rsid w:val="008C44D0"/>
    <w:rsid w:val="008D7D42"/>
    <w:rsid w:val="008E4248"/>
    <w:rsid w:val="00901F00"/>
    <w:rsid w:val="00910A01"/>
    <w:rsid w:val="00942898"/>
    <w:rsid w:val="009439D5"/>
    <w:rsid w:val="00973932"/>
    <w:rsid w:val="009865C8"/>
    <w:rsid w:val="009C7CDE"/>
    <w:rsid w:val="009D1D5B"/>
    <w:rsid w:val="009F67AD"/>
    <w:rsid w:val="00A00708"/>
    <w:rsid w:val="00A018A6"/>
    <w:rsid w:val="00A2401C"/>
    <w:rsid w:val="00A55581"/>
    <w:rsid w:val="00A60C89"/>
    <w:rsid w:val="00A65CF4"/>
    <w:rsid w:val="00A76AE9"/>
    <w:rsid w:val="00A909CA"/>
    <w:rsid w:val="00AB65AB"/>
    <w:rsid w:val="00AC0A52"/>
    <w:rsid w:val="00AC0F34"/>
    <w:rsid w:val="00AF2BA3"/>
    <w:rsid w:val="00AF696C"/>
    <w:rsid w:val="00B31CD1"/>
    <w:rsid w:val="00B40E6D"/>
    <w:rsid w:val="00B821E3"/>
    <w:rsid w:val="00B87800"/>
    <w:rsid w:val="00BC4965"/>
    <w:rsid w:val="00BD42CC"/>
    <w:rsid w:val="00BE0086"/>
    <w:rsid w:val="00BE1205"/>
    <w:rsid w:val="00BE6172"/>
    <w:rsid w:val="00BF68B6"/>
    <w:rsid w:val="00C0436C"/>
    <w:rsid w:val="00C14A9F"/>
    <w:rsid w:val="00C20023"/>
    <w:rsid w:val="00C363A3"/>
    <w:rsid w:val="00C37FAD"/>
    <w:rsid w:val="00C45807"/>
    <w:rsid w:val="00C47AD0"/>
    <w:rsid w:val="00C7288A"/>
    <w:rsid w:val="00CC17FA"/>
    <w:rsid w:val="00CC3CC0"/>
    <w:rsid w:val="00CC59FA"/>
    <w:rsid w:val="00CD4383"/>
    <w:rsid w:val="00D03017"/>
    <w:rsid w:val="00D24763"/>
    <w:rsid w:val="00D81AD5"/>
    <w:rsid w:val="00D92558"/>
    <w:rsid w:val="00DB1806"/>
    <w:rsid w:val="00DB5C49"/>
    <w:rsid w:val="00DB72DA"/>
    <w:rsid w:val="00DD4534"/>
    <w:rsid w:val="00DE4AC1"/>
    <w:rsid w:val="00DF581E"/>
    <w:rsid w:val="00DF756F"/>
    <w:rsid w:val="00E01EE6"/>
    <w:rsid w:val="00E05D99"/>
    <w:rsid w:val="00E0602A"/>
    <w:rsid w:val="00E2046A"/>
    <w:rsid w:val="00E205FA"/>
    <w:rsid w:val="00E3690E"/>
    <w:rsid w:val="00E47AB0"/>
    <w:rsid w:val="00E62303"/>
    <w:rsid w:val="00E74B4E"/>
    <w:rsid w:val="00E90E64"/>
    <w:rsid w:val="00EA6BFA"/>
    <w:rsid w:val="00EC26D9"/>
    <w:rsid w:val="00EC6FDA"/>
    <w:rsid w:val="00EE3B5C"/>
    <w:rsid w:val="00EF1E49"/>
    <w:rsid w:val="00F05E44"/>
    <w:rsid w:val="00F11F93"/>
    <w:rsid w:val="00F43E99"/>
    <w:rsid w:val="00F6224F"/>
    <w:rsid w:val="00F71888"/>
    <w:rsid w:val="00F765F9"/>
    <w:rsid w:val="00F840B1"/>
    <w:rsid w:val="00F91533"/>
    <w:rsid w:val="00F97234"/>
    <w:rsid w:val="00FA20D5"/>
    <w:rsid w:val="00FB083A"/>
    <w:rsid w:val="00FB0BEE"/>
    <w:rsid w:val="00FB5BD4"/>
    <w:rsid w:val="00FC5E22"/>
    <w:rsid w:val="00FD1E16"/>
    <w:rsid w:val="00FD5637"/>
    <w:rsid w:val="00FE16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F8D7C"/>
  <w15:chartTrackingRefBased/>
  <w15:docId w15:val="{40881438-2D12-48E6-996E-B230B2333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EE6"/>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01EE6"/>
    <w:rPr>
      <w:sz w:val="16"/>
      <w:szCs w:val="16"/>
    </w:rPr>
  </w:style>
  <w:style w:type="paragraph" w:styleId="CommentText">
    <w:name w:val="annotation text"/>
    <w:basedOn w:val="Normal"/>
    <w:link w:val="CommentTextChar"/>
    <w:uiPriority w:val="99"/>
    <w:unhideWhenUsed/>
    <w:rsid w:val="00E01EE6"/>
    <w:pPr>
      <w:spacing w:line="240" w:lineRule="auto"/>
    </w:pPr>
    <w:rPr>
      <w:sz w:val="20"/>
      <w:szCs w:val="20"/>
    </w:rPr>
  </w:style>
  <w:style w:type="character" w:customStyle="1" w:styleId="CommentTextChar">
    <w:name w:val="Comment Text Char"/>
    <w:basedOn w:val="DefaultParagraphFont"/>
    <w:link w:val="CommentText"/>
    <w:uiPriority w:val="99"/>
    <w:rsid w:val="00E01EE6"/>
    <w:rPr>
      <w:rFonts w:eastAsiaTheme="minorHAnsi"/>
      <w:sz w:val="20"/>
      <w:szCs w:val="20"/>
      <w:lang w:eastAsia="en-US"/>
    </w:rPr>
  </w:style>
  <w:style w:type="table" w:styleId="TableGrid">
    <w:name w:val="Table Grid"/>
    <w:basedOn w:val="TableNormal"/>
    <w:uiPriority w:val="39"/>
    <w:rsid w:val="00E01E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aliases w:val="Plot and figure title"/>
    <w:basedOn w:val="Normal"/>
    <w:next w:val="Normal"/>
    <w:link w:val="SubtitleChar"/>
    <w:uiPriority w:val="11"/>
    <w:qFormat/>
    <w:rsid w:val="00E01EE6"/>
    <w:pPr>
      <w:numPr>
        <w:ilvl w:val="1"/>
      </w:numPr>
      <w:spacing w:line="240" w:lineRule="auto"/>
      <w:jc w:val="both"/>
    </w:pPr>
    <w:rPr>
      <w:rFonts w:ascii="Calibri" w:eastAsiaTheme="minorEastAsia" w:hAnsi="Calibri"/>
      <w:b/>
      <w:color w:val="000000" w:themeColor="text1"/>
      <w:spacing w:val="15"/>
      <w:sz w:val="24"/>
      <w:lang w:val="en-CA"/>
    </w:rPr>
  </w:style>
  <w:style w:type="character" w:customStyle="1" w:styleId="SubtitleChar">
    <w:name w:val="Subtitle Char"/>
    <w:aliases w:val="Plot and figure title Char"/>
    <w:basedOn w:val="DefaultParagraphFont"/>
    <w:link w:val="Subtitle"/>
    <w:uiPriority w:val="11"/>
    <w:rsid w:val="00E01EE6"/>
    <w:rPr>
      <w:rFonts w:ascii="Calibri" w:hAnsi="Calibri"/>
      <w:b/>
      <w:color w:val="000000" w:themeColor="text1"/>
      <w:spacing w:val="15"/>
      <w:sz w:val="24"/>
      <w:lang w:val="en-CA" w:eastAsia="en-US"/>
    </w:rPr>
  </w:style>
  <w:style w:type="paragraph" w:styleId="BalloonText">
    <w:name w:val="Balloon Text"/>
    <w:basedOn w:val="Normal"/>
    <w:link w:val="BalloonTextChar"/>
    <w:uiPriority w:val="99"/>
    <w:semiHidden/>
    <w:unhideWhenUsed/>
    <w:rsid w:val="00E01E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1EE6"/>
    <w:rPr>
      <w:rFonts w:ascii="Segoe UI" w:eastAsiaTheme="minorHAns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6235B6"/>
    <w:rPr>
      <w:b/>
      <w:bCs/>
    </w:rPr>
  </w:style>
  <w:style w:type="character" w:customStyle="1" w:styleId="CommentSubjectChar">
    <w:name w:val="Comment Subject Char"/>
    <w:basedOn w:val="CommentTextChar"/>
    <w:link w:val="CommentSubject"/>
    <w:uiPriority w:val="99"/>
    <w:semiHidden/>
    <w:rsid w:val="006235B6"/>
    <w:rPr>
      <w:rFonts w:eastAsiaTheme="minorHAnsi"/>
      <w:b/>
      <w:bCs/>
      <w:sz w:val="20"/>
      <w:szCs w:val="20"/>
      <w:lang w:eastAsia="en-US"/>
    </w:rPr>
  </w:style>
  <w:style w:type="paragraph" w:styleId="Header">
    <w:name w:val="header"/>
    <w:basedOn w:val="Normal"/>
    <w:link w:val="HeaderChar"/>
    <w:uiPriority w:val="99"/>
    <w:unhideWhenUsed/>
    <w:rsid w:val="00367E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7E8B"/>
    <w:rPr>
      <w:rFonts w:eastAsiaTheme="minorHAnsi"/>
      <w:lang w:eastAsia="en-US"/>
    </w:rPr>
  </w:style>
  <w:style w:type="paragraph" w:styleId="Footer">
    <w:name w:val="footer"/>
    <w:basedOn w:val="Normal"/>
    <w:link w:val="FooterChar"/>
    <w:uiPriority w:val="99"/>
    <w:unhideWhenUsed/>
    <w:rsid w:val="00367E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7E8B"/>
    <w:rPr>
      <w:rFonts w:eastAsiaTheme="minorHAnsi"/>
      <w:lang w:eastAsia="en-US"/>
    </w:rPr>
  </w:style>
  <w:style w:type="paragraph" w:styleId="Revision">
    <w:name w:val="Revision"/>
    <w:hidden/>
    <w:uiPriority w:val="99"/>
    <w:semiHidden/>
    <w:rsid w:val="007D2649"/>
    <w:pPr>
      <w:spacing w:after="0" w:line="240" w:lineRule="auto"/>
    </w:pPr>
    <w:rPr>
      <w:rFonts w:eastAsiaTheme="minorHAnsi"/>
      <w:lang w:eastAsia="en-US"/>
    </w:rPr>
  </w:style>
  <w:style w:type="paragraph" w:styleId="ListParagraph">
    <w:name w:val="List Paragraph"/>
    <w:basedOn w:val="Normal"/>
    <w:uiPriority w:val="34"/>
    <w:qFormat/>
    <w:rsid w:val="00202A55"/>
    <w:pPr>
      <w:ind w:left="720"/>
      <w:contextualSpacing/>
    </w:pPr>
  </w:style>
  <w:style w:type="character" w:styleId="Hyperlink">
    <w:name w:val="Hyperlink"/>
    <w:basedOn w:val="DefaultParagraphFont"/>
    <w:uiPriority w:val="99"/>
    <w:unhideWhenUsed/>
    <w:rsid w:val="00A909CA"/>
    <w:rPr>
      <w:color w:val="0563C1" w:themeColor="hyperlink"/>
      <w:u w:val="single"/>
    </w:rPr>
  </w:style>
  <w:style w:type="character" w:customStyle="1" w:styleId="UnresolvedMention1">
    <w:name w:val="Unresolved Mention1"/>
    <w:basedOn w:val="DefaultParagraphFont"/>
    <w:uiPriority w:val="99"/>
    <w:semiHidden/>
    <w:unhideWhenUsed/>
    <w:rsid w:val="00A909CA"/>
    <w:rPr>
      <w:color w:val="605E5C"/>
      <w:shd w:val="clear" w:color="auto" w:fill="E1DFDD"/>
    </w:rPr>
  </w:style>
  <w:style w:type="paragraph" w:customStyle="1" w:styleId="Default">
    <w:name w:val="Default"/>
    <w:rsid w:val="008D7D42"/>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4E54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277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EF1B6-2ABE-4D0B-9998-E9DEAA0FF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4137</Words>
  <Characters>23587</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St. Michael Hospital</Company>
  <LinksUpToDate>false</LinksUpToDate>
  <CharactersWithSpaces>27669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Linwei Wang</dc:creator>
  <cp:keywords/>
  <dc:description/>
  <cp:lastModifiedBy>Linwei Wang</cp:lastModifiedBy>
  <cp:revision>5</cp:revision>
  <dcterms:created xsi:type="dcterms:W3CDTF">2024-01-12T17:14:00Z</dcterms:created>
  <dcterms:modified xsi:type="dcterms:W3CDTF">2024-01-15T17:39:00Z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zotero-version="6.0.30"&gt;&lt;session id="Fuw7tEbG"/&gt;&lt;style id="http://www.zotero.org/styles/vancouver" locale="en-US" hasBibliography="1" bibliographyStyleHasBeenSet="0"/&gt;&lt;prefs&gt;&lt;pref name="fieldType" value="Field"/&gt;&lt;/prefs&gt;&lt;/data&gt;</vt:lpwstr>
  </property>
</Properties>
</file>