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480C" w14:textId="0CFE66E0" w:rsidR="009F2B51" w:rsidRPr="00EC2C79" w:rsidRDefault="00F0112A" w:rsidP="009C49B7">
      <w:pPr>
        <w:pStyle w:val="Title"/>
        <w:rPr>
          <w:rFonts w:asciiTheme="minorHAnsi" w:hAnsiTheme="minorHAnsi" w:cstheme="minorHAnsi"/>
          <w:i/>
          <w:iCs/>
        </w:rPr>
      </w:pPr>
      <w:r w:rsidRPr="00EC2C79">
        <w:rPr>
          <w:rFonts w:asciiTheme="minorHAnsi" w:hAnsiTheme="minorHAnsi" w:cstheme="minorHAnsi"/>
          <w:i/>
          <w:iCs/>
        </w:rPr>
        <w:t>Supplementary Materials</w:t>
      </w:r>
    </w:p>
    <w:p w14:paraId="40FCD209" w14:textId="65033C1A" w:rsidR="00EC2C79" w:rsidRPr="00EC2C79" w:rsidRDefault="00EC2C79" w:rsidP="00EC2C79">
      <w:pPr>
        <w:ind w:firstLine="0"/>
        <w:jc w:val="center"/>
        <w:rPr>
          <w:rFonts w:asciiTheme="minorHAnsi" w:hAnsiTheme="minorHAnsi" w:cstheme="minorHAnsi"/>
          <w:i/>
          <w:iCs/>
        </w:rPr>
      </w:pPr>
      <w:r w:rsidRPr="00EC2C79">
        <w:rPr>
          <w:rFonts w:asciiTheme="minorHAnsi" w:hAnsiTheme="minorHAnsi" w:cstheme="minorHAnsi"/>
          <w:i/>
          <w:iCs/>
        </w:rPr>
        <w:t>Zhao et al., Long COVID is associated with severe cognitive slowing.</w:t>
      </w:r>
    </w:p>
    <w:p w14:paraId="757F4AA4" w14:textId="77777777" w:rsidR="0016428E" w:rsidRDefault="0016428E" w:rsidP="0016428E"/>
    <w:sdt>
      <w:sdtPr>
        <w:rPr>
          <w:rFonts w:ascii="Times New Roman" w:eastAsia="Times New Roman" w:hAnsi="Times New Roman" w:cs="Times New Roman"/>
          <w:color w:val="auto"/>
          <w:sz w:val="20"/>
          <w:szCs w:val="24"/>
          <w:lang w:val="en-GB" w:eastAsia="zh-CN"/>
        </w:rPr>
        <w:id w:val="-2003196984"/>
        <w:docPartObj>
          <w:docPartGallery w:val="Table of Contents"/>
          <w:docPartUnique/>
        </w:docPartObj>
      </w:sdtPr>
      <w:sdtEndPr>
        <w:rPr>
          <w:b/>
          <w:bCs/>
          <w:noProof/>
        </w:rPr>
      </w:sdtEndPr>
      <w:sdtContent>
        <w:p w14:paraId="6B1DD4B9" w14:textId="22B99318" w:rsidR="001211A7" w:rsidRPr="001211A7" w:rsidRDefault="001211A7" w:rsidP="001211A7">
          <w:pPr>
            <w:pStyle w:val="TOCHeading"/>
            <w:rPr>
              <w:b/>
              <w:bCs/>
              <w:color w:val="auto"/>
              <w:sz w:val="24"/>
              <w:szCs w:val="24"/>
            </w:rPr>
          </w:pPr>
          <w:r w:rsidRPr="001211A7">
            <w:rPr>
              <w:b/>
              <w:bCs/>
              <w:color w:val="auto"/>
              <w:sz w:val="24"/>
              <w:szCs w:val="24"/>
            </w:rPr>
            <w:t>Table of Contents</w:t>
          </w:r>
        </w:p>
        <w:p w14:paraId="11EAE7BC" w14:textId="10B20017" w:rsidR="00EC2C79" w:rsidRDefault="001211A7">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2080096" w:history="1">
            <w:r w:rsidR="00EC2C79" w:rsidRPr="00430F21">
              <w:rPr>
                <w:rStyle w:val="Hyperlink"/>
                <w:rFonts w:eastAsiaTheme="majorEastAsia"/>
                <w:noProof/>
              </w:rPr>
              <w:t>Participants and demographic characteristics</w:t>
            </w:r>
            <w:r w:rsidR="00EC2C79">
              <w:rPr>
                <w:noProof/>
                <w:webHidden/>
              </w:rPr>
              <w:tab/>
            </w:r>
            <w:r w:rsidR="00EC2C79">
              <w:rPr>
                <w:noProof/>
                <w:webHidden/>
              </w:rPr>
              <w:fldChar w:fldCharType="begin"/>
            </w:r>
            <w:r w:rsidR="00EC2C79">
              <w:rPr>
                <w:noProof/>
                <w:webHidden/>
              </w:rPr>
              <w:instrText xml:space="preserve"> PAGEREF _Toc152080096 \h </w:instrText>
            </w:r>
            <w:r w:rsidR="00EC2C79">
              <w:rPr>
                <w:noProof/>
                <w:webHidden/>
              </w:rPr>
            </w:r>
            <w:r w:rsidR="00EC2C79">
              <w:rPr>
                <w:noProof/>
                <w:webHidden/>
              </w:rPr>
              <w:fldChar w:fldCharType="separate"/>
            </w:r>
            <w:r w:rsidR="00EC2C79">
              <w:rPr>
                <w:noProof/>
                <w:webHidden/>
              </w:rPr>
              <w:t>1</w:t>
            </w:r>
            <w:r w:rsidR="00EC2C79">
              <w:rPr>
                <w:noProof/>
                <w:webHidden/>
              </w:rPr>
              <w:fldChar w:fldCharType="end"/>
            </w:r>
          </w:hyperlink>
        </w:p>
        <w:p w14:paraId="7BC8D1BD" w14:textId="66DF54AB"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097" w:history="1">
            <w:r w:rsidR="00EC2C79" w:rsidRPr="00430F21">
              <w:rPr>
                <w:rStyle w:val="Hyperlink"/>
                <w:rFonts w:eastAsiaTheme="majorEastAsia"/>
                <w:noProof/>
              </w:rPr>
              <w:t>Patient exclusion criteria.</w:t>
            </w:r>
            <w:r w:rsidR="00EC2C79">
              <w:rPr>
                <w:noProof/>
                <w:webHidden/>
              </w:rPr>
              <w:tab/>
            </w:r>
            <w:r w:rsidR="00EC2C79">
              <w:rPr>
                <w:noProof/>
                <w:webHidden/>
              </w:rPr>
              <w:fldChar w:fldCharType="begin"/>
            </w:r>
            <w:r w:rsidR="00EC2C79">
              <w:rPr>
                <w:noProof/>
                <w:webHidden/>
              </w:rPr>
              <w:instrText xml:space="preserve"> PAGEREF _Toc152080097 \h </w:instrText>
            </w:r>
            <w:r w:rsidR="00EC2C79">
              <w:rPr>
                <w:noProof/>
                <w:webHidden/>
              </w:rPr>
            </w:r>
            <w:r w:rsidR="00EC2C79">
              <w:rPr>
                <w:noProof/>
                <w:webHidden/>
              </w:rPr>
              <w:fldChar w:fldCharType="separate"/>
            </w:r>
            <w:r w:rsidR="00EC2C79">
              <w:rPr>
                <w:noProof/>
                <w:webHidden/>
              </w:rPr>
              <w:t>1</w:t>
            </w:r>
            <w:r w:rsidR="00EC2C79">
              <w:rPr>
                <w:noProof/>
                <w:webHidden/>
              </w:rPr>
              <w:fldChar w:fldCharType="end"/>
            </w:r>
          </w:hyperlink>
        </w:p>
        <w:p w14:paraId="62233393" w14:textId="508300B6"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098" w:history="1">
            <w:r w:rsidR="00EC2C79" w:rsidRPr="00430F21">
              <w:rPr>
                <w:rStyle w:val="Hyperlink"/>
                <w:rFonts w:eastAsiaTheme="majorEastAsia"/>
                <w:noProof/>
              </w:rPr>
              <w:t>PCC Oxford group (PCC Ox)</w:t>
            </w:r>
            <w:r w:rsidR="00EC2C79">
              <w:rPr>
                <w:noProof/>
                <w:webHidden/>
              </w:rPr>
              <w:tab/>
            </w:r>
            <w:r w:rsidR="00EC2C79">
              <w:rPr>
                <w:noProof/>
                <w:webHidden/>
              </w:rPr>
              <w:fldChar w:fldCharType="begin"/>
            </w:r>
            <w:r w:rsidR="00EC2C79">
              <w:rPr>
                <w:noProof/>
                <w:webHidden/>
              </w:rPr>
              <w:instrText xml:space="preserve"> PAGEREF _Toc152080098 \h </w:instrText>
            </w:r>
            <w:r w:rsidR="00EC2C79">
              <w:rPr>
                <w:noProof/>
                <w:webHidden/>
              </w:rPr>
            </w:r>
            <w:r w:rsidR="00EC2C79">
              <w:rPr>
                <w:noProof/>
                <w:webHidden/>
              </w:rPr>
              <w:fldChar w:fldCharType="separate"/>
            </w:r>
            <w:r w:rsidR="00EC2C79">
              <w:rPr>
                <w:noProof/>
                <w:webHidden/>
              </w:rPr>
              <w:t>2</w:t>
            </w:r>
            <w:r w:rsidR="00EC2C79">
              <w:rPr>
                <w:noProof/>
                <w:webHidden/>
              </w:rPr>
              <w:fldChar w:fldCharType="end"/>
            </w:r>
          </w:hyperlink>
        </w:p>
        <w:p w14:paraId="7B7E683D" w14:textId="40E262DA"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099" w:history="1">
            <w:r w:rsidR="00EC2C79" w:rsidRPr="00430F21">
              <w:rPr>
                <w:rStyle w:val="Hyperlink"/>
                <w:rFonts w:eastAsiaTheme="majorEastAsia"/>
                <w:noProof/>
              </w:rPr>
              <w:t>Healthy controls</w:t>
            </w:r>
            <w:r w:rsidR="00EC2C79">
              <w:rPr>
                <w:noProof/>
                <w:webHidden/>
              </w:rPr>
              <w:tab/>
            </w:r>
            <w:r w:rsidR="00EC2C79">
              <w:rPr>
                <w:noProof/>
                <w:webHidden/>
              </w:rPr>
              <w:fldChar w:fldCharType="begin"/>
            </w:r>
            <w:r w:rsidR="00EC2C79">
              <w:rPr>
                <w:noProof/>
                <w:webHidden/>
              </w:rPr>
              <w:instrText xml:space="preserve"> PAGEREF _Toc152080099 \h </w:instrText>
            </w:r>
            <w:r w:rsidR="00EC2C79">
              <w:rPr>
                <w:noProof/>
                <w:webHidden/>
              </w:rPr>
            </w:r>
            <w:r w:rsidR="00EC2C79">
              <w:rPr>
                <w:noProof/>
                <w:webHidden/>
              </w:rPr>
              <w:fldChar w:fldCharType="separate"/>
            </w:r>
            <w:r w:rsidR="00EC2C79">
              <w:rPr>
                <w:noProof/>
                <w:webHidden/>
              </w:rPr>
              <w:t>2</w:t>
            </w:r>
            <w:r w:rsidR="00EC2C79">
              <w:rPr>
                <w:noProof/>
                <w:webHidden/>
              </w:rPr>
              <w:fldChar w:fldCharType="end"/>
            </w:r>
          </w:hyperlink>
        </w:p>
        <w:p w14:paraId="3B71E432" w14:textId="4B4BFC3A"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100" w:history="1">
            <w:r w:rsidR="00EC2C79" w:rsidRPr="00430F21">
              <w:rPr>
                <w:rStyle w:val="Hyperlink"/>
                <w:rFonts w:eastAsiaTheme="majorEastAsia"/>
                <w:noProof/>
              </w:rPr>
              <w:t>Demographics and medical history</w:t>
            </w:r>
            <w:r w:rsidR="00EC2C79">
              <w:rPr>
                <w:noProof/>
                <w:webHidden/>
              </w:rPr>
              <w:tab/>
            </w:r>
            <w:r w:rsidR="00EC2C79">
              <w:rPr>
                <w:noProof/>
                <w:webHidden/>
              </w:rPr>
              <w:fldChar w:fldCharType="begin"/>
            </w:r>
            <w:r w:rsidR="00EC2C79">
              <w:rPr>
                <w:noProof/>
                <w:webHidden/>
              </w:rPr>
              <w:instrText xml:space="preserve"> PAGEREF _Toc152080100 \h </w:instrText>
            </w:r>
            <w:r w:rsidR="00EC2C79">
              <w:rPr>
                <w:noProof/>
                <w:webHidden/>
              </w:rPr>
            </w:r>
            <w:r w:rsidR="00EC2C79">
              <w:rPr>
                <w:noProof/>
                <w:webHidden/>
              </w:rPr>
              <w:fldChar w:fldCharType="separate"/>
            </w:r>
            <w:r w:rsidR="00EC2C79">
              <w:rPr>
                <w:noProof/>
                <w:webHidden/>
              </w:rPr>
              <w:t>2</w:t>
            </w:r>
            <w:r w:rsidR="00EC2C79">
              <w:rPr>
                <w:noProof/>
                <w:webHidden/>
              </w:rPr>
              <w:fldChar w:fldCharType="end"/>
            </w:r>
          </w:hyperlink>
        </w:p>
        <w:p w14:paraId="1B4C2BB5" w14:textId="0265E742"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101" w:history="1">
            <w:r w:rsidR="00EC2C79" w:rsidRPr="00430F21">
              <w:rPr>
                <w:rStyle w:val="Hyperlink"/>
                <w:rFonts w:eastAsiaTheme="majorEastAsia"/>
                <w:noProof/>
              </w:rPr>
              <w:t>Pre-existing conditions</w:t>
            </w:r>
            <w:r w:rsidR="00EC2C79">
              <w:rPr>
                <w:noProof/>
                <w:webHidden/>
              </w:rPr>
              <w:tab/>
            </w:r>
            <w:r w:rsidR="00EC2C79">
              <w:rPr>
                <w:noProof/>
                <w:webHidden/>
              </w:rPr>
              <w:fldChar w:fldCharType="begin"/>
            </w:r>
            <w:r w:rsidR="00EC2C79">
              <w:rPr>
                <w:noProof/>
                <w:webHidden/>
              </w:rPr>
              <w:instrText xml:space="preserve"> PAGEREF _Toc152080101 \h </w:instrText>
            </w:r>
            <w:r w:rsidR="00EC2C79">
              <w:rPr>
                <w:noProof/>
                <w:webHidden/>
              </w:rPr>
            </w:r>
            <w:r w:rsidR="00EC2C79">
              <w:rPr>
                <w:noProof/>
                <w:webHidden/>
              </w:rPr>
              <w:fldChar w:fldCharType="separate"/>
            </w:r>
            <w:r w:rsidR="00EC2C79">
              <w:rPr>
                <w:noProof/>
                <w:webHidden/>
              </w:rPr>
              <w:t>2</w:t>
            </w:r>
            <w:r w:rsidR="00EC2C79">
              <w:rPr>
                <w:noProof/>
                <w:webHidden/>
              </w:rPr>
              <w:fldChar w:fldCharType="end"/>
            </w:r>
          </w:hyperlink>
        </w:p>
        <w:p w14:paraId="5435748D" w14:textId="37415217" w:rsidR="00EC2C79"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80102" w:history="1">
            <w:r w:rsidR="00EC2C79" w:rsidRPr="00430F21">
              <w:rPr>
                <w:rStyle w:val="Hyperlink"/>
                <w:rFonts w:eastAsiaTheme="majorEastAsia"/>
                <w:noProof/>
              </w:rPr>
              <w:t>Experimental design</w:t>
            </w:r>
            <w:r w:rsidR="00EC2C79">
              <w:rPr>
                <w:noProof/>
                <w:webHidden/>
              </w:rPr>
              <w:tab/>
            </w:r>
            <w:r w:rsidR="00EC2C79">
              <w:rPr>
                <w:noProof/>
                <w:webHidden/>
              </w:rPr>
              <w:fldChar w:fldCharType="begin"/>
            </w:r>
            <w:r w:rsidR="00EC2C79">
              <w:rPr>
                <w:noProof/>
                <w:webHidden/>
              </w:rPr>
              <w:instrText xml:space="preserve"> PAGEREF _Toc152080102 \h </w:instrText>
            </w:r>
            <w:r w:rsidR="00EC2C79">
              <w:rPr>
                <w:noProof/>
                <w:webHidden/>
              </w:rPr>
            </w:r>
            <w:r w:rsidR="00EC2C79">
              <w:rPr>
                <w:noProof/>
                <w:webHidden/>
              </w:rPr>
              <w:fldChar w:fldCharType="separate"/>
            </w:r>
            <w:r w:rsidR="00EC2C79">
              <w:rPr>
                <w:noProof/>
                <w:webHidden/>
              </w:rPr>
              <w:t>2</w:t>
            </w:r>
            <w:r w:rsidR="00EC2C79">
              <w:rPr>
                <w:noProof/>
                <w:webHidden/>
              </w:rPr>
              <w:fldChar w:fldCharType="end"/>
            </w:r>
          </w:hyperlink>
        </w:p>
        <w:p w14:paraId="21C52F19" w14:textId="6E975C04"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103" w:history="1">
            <w:r w:rsidR="00EC2C79" w:rsidRPr="00430F21">
              <w:rPr>
                <w:rStyle w:val="Hyperlink"/>
                <w:rFonts w:eastAsiaTheme="majorEastAsia"/>
                <w:noProof/>
              </w:rPr>
              <w:t>Simple Reaction Time Task (SRT)</w:t>
            </w:r>
            <w:r w:rsidR="00EC2C79">
              <w:rPr>
                <w:noProof/>
                <w:webHidden/>
              </w:rPr>
              <w:tab/>
            </w:r>
            <w:r w:rsidR="00EC2C79">
              <w:rPr>
                <w:noProof/>
                <w:webHidden/>
              </w:rPr>
              <w:fldChar w:fldCharType="begin"/>
            </w:r>
            <w:r w:rsidR="00EC2C79">
              <w:rPr>
                <w:noProof/>
                <w:webHidden/>
              </w:rPr>
              <w:instrText xml:space="preserve"> PAGEREF _Toc152080103 \h </w:instrText>
            </w:r>
            <w:r w:rsidR="00EC2C79">
              <w:rPr>
                <w:noProof/>
                <w:webHidden/>
              </w:rPr>
            </w:r>
            <w:r w:rsidR="00EC2C79">
              <w:rPr>
                <w:noProof/>
                <w:webHidden/>
              </w:rPr>
              <w:fldChar w:fldCharType="separate"/>
            </w:r>
            <w:r w:rsidR="00EC2C79">
              <w:rPr>
                <w:noProof/>
                <w:webHidden/>
              </w:rPr>
              <w:t>2</w:t>
            </w:r>
            <w:r w:rsidR="00EC2C79">
              <w:rPr>
                <w:noProof/>
                <w:webHidden/>
              </w:rPr>
              <w:fldChar w:fldCharType="end"/>
            </w:r>
          </w:hyperlink>
        </w:p>
        <w:p w14:paraId="24AC9ED0" w14:textId="06ABE80D"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104" w:history="1">
            <w:r w:rsidR="00EC2C79" w:rsidRPr="00430F21">
              <w:rPr>
                <w:rStyle w:val="Hyperlink"/>
                <w:rFonts w:eastAsiaTheme="majorEastAsia"/>
                <w:noProof/>
              </w:rPr>
              <w:t>Number Vigilance Test (NVT)</w:t>
            </w:r>
            <w:r w:rsidR="00EC2C79">
              <w:rPr>
                <w:noProof/>
                <w:webHidden/>
              </w:rPr>
              <w:tab/>
            </w:r>
            <w:r w:rsidR="00EC2C79">
              <w:rPr>
                <w:noProof/>
                <w:webHidden/>
              </w:rPr>
              <w:fldChar w:fldCharType="begin"/>
            </w:r>
            <w:r w:rsidR="00EC2C79">
              <w:rPr>
                <w:noProof/>
                <w:webHidden/>
              </w:rPr>
              <w:instrText xml:space="preserve"> PAGEREF _Toc152080104 \h </w:instrText>
            </w:r>
            <w:r w:rsidR="00EC2C79">
              <w:rPr>
                <w:noProof/>
                <w:webHidden/>
              </w:rPr>
            </w:r>
            <w:r w:rsidR="00EC2C79">
              <w:rPr>
                <w:noProof/>
                <w:webHidden/>
              </w:rPr>
              <w:fldChar w:fldCharType="separate"/>
            </w:r>
            <w:r w:rsidR="00EC2C79">
              <w:rPr>
                <w:noProof/>
                <w:webHidden/>
              </w:rPr>
              <w:t>3</w:t>
            </w:r>
            <w:r w:rsidR="00EC2C79">
              <w:rPr>
                <w:noProof/>
                <w:webHidden/>
              </w:rPr>
              <w:fldChar w:fldCharType="end"/>
            </w:r>
          </w:hyperlink>
        </w:p>
        <w:p w14:paraId="0D55450B" w14:textId="7916C0E9"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105" w:history="1">
            <w:r w:rsidR="00EC2C79" w:rsidRPr="00430F21">
              <w:rPr>
                <w:rStyle w:val="Hyperlink"/>
                <w:rFonts w:eastAsiaTheme="majorEastAsia"/>
                <w:noProof/>
              </w:rPr>
              <w:t>Motivation and fatigue ratings with time on the NVT.</w:t>
            </w:r>
            <w:r w:rsidR="00EC2C79">
              <w:rPr>
                <w:noProof/>
                <w:webHidden/>
              </w:rPr>
              <w:tab/>
            </w:r>
            <w:r w:rsidR="00EC2C79">
              <w:rPr>
                <w:noProof/>
                <w:webHidden/>
              </w:rPr>
              <w:fldChar w:fldCharType="begin"/>
            </w:r>
            <w:r w:rsidR="00EC2C79">
              <w:rPr>
                <w:noProof/>
                <w:webHidden/>
              </w:rPr>
              <w:instrText xml:space="preserve"> PAGEREF _Toc152080105 \h </w:instrText>
            </w:r>
            <w:r w:rsidR="00EC2C79">
              <w:rPr>
                <w:noProof/>
                <w:webHidden/>
              </w:rPr>
            </w:r>
            <w:r w:rsidR="00EC2C79">
              <w:rPr>
                <w:noProof/>
                <w:webHidden/>
              </w:rPr>
              <w:fldChar w:fldCharType="separate"/>
            </w:r>
            <w:r w:rsidR="00EC2C79">
              <w:rPr>
                <w:noProof/>
                <w:webHidden/>
              </w:rPr>
              <w:t>3</w:t>
            </w:r>
            <w:r w:rsidR="00EC2C79">
              <w:rPr>
                <w:noProof/>
                <w:webHidden/>
              </w:rPr>
              <w:fldChar w:fldCharType="end"/>
            </w:r>
          </w:hyperlink>
        </w:p>
        <w:p w14:paraId="1B46624F" w14:textId="575C3448"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106" w:history="1">
            <w:r w:rsidR="00EC2C79" w:rsidRPr="00430F21">
              <w:rPr>
                <w:rStyle w:val="Hyperlink"/>
                <w:rFonts w:eastAsiaTheme="majorEastAsia"/>
                <w:noProof/>
              </w:rPr>
              <w:t>Online testing</w:t>
            </w:r>
            <w:r w:rsidR="00EC2C79">
              <w:rPr>
                <w:noProof/>
                <w:webHidden/>
              </w:rPr>
              <w:tab/>
            </w:r>
            <w:r w:rsidR="00EC2C79">
              <w:rPr>
                <w:noProof/>
                <w:webHidden/>
              </w:rPr>
              <w:fldChar w:fldCharType="begin"/>
            </w:r>
            <w:r w:rsidR="00EC2C79">
              <w:rPr>
                <w:noProof/>
                <w:webHidden/>
              </w:rPr>
              <w:instrText xml:space="preserve"> PAGEREF _Toc152080106 \h </w:instrText>
            </w:r>
            <w:r w:rsidR="00EC2C79">
              <w:rPr>
                <w:noProof/>
                <w:webHidden/>
              </w:rPr>
            </w:r>
            <w:r w:rsidR="00EC2C79">
              <w:rPr>
                <w:noProof/>
                <w:webHidden/>
              </w:rPr>
              <w:fldChar w:fldCharType="separate"/>
            </w:r>
            <w:r w:rsidR="00EC2C79">
              <w:rPr>
                <w:noProof/>
                <w:webHidden/>
              </w:rPr>
              <w:t>3</w:t>
            </w:r>
            <w:r w:rsidR="00EC2C79">
              <w:rPr>
                <w:noProof/>
                <w:webHidden/>
              </w:rPr>
              <w:fldChar w:fldCharType="end"/>
            </w:r>
          </w:hyperlink>
        </w:p>
        <w:p w14:paraId="763623B9" w14:textId="7AFA77A3"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107" w:history="1">
            <w:r w:rsidR="00EC2C79" w:rsidRPr="00430F21">
              <w:rPr>
                <w:rStyle w:val="Hyperlink"/>
                <w:rFonts w:eastAsiaTheme="majorEastAsia"/>
                <w:noProof/>
              </w:rPr>
              <w:t>Questionnaires</w:t>
            </w:r>
            <w:r w:rsidR="00EC2C79">
              <w:rPr>
                <w:noProof/>
                <w:webHidden/>
              </w:rPr>
              <w:tab/>
            </w:r>
            <w:r w:rsidR="00EC2C79">
              <w:rPr>
                <w:noProof/>
                <w:webHidden/>
              </w:rPr>
              <w:fldChar w:fldCharType="begin"/>
            </w:r>
            <w:r w:rsidR="00EC2C79">
              <w:rPr>
                <w:noProof/>
                <w:webHidden/>
              </w:rPr>
              <w:instrText xml:space="preserve"> PAGEREF _Toc152080107 \h </w:instrText>
            </w:r>
            <w:r w:rsidR="00EC2C79">
              <w:rPr>
                <w:noProof/>
                <w:webHidden/>
              </w:rPr>
            </w:r>
            <w:r w:rsidR="00EC2C79">
              <w:rPr>
                <w:noProof/>
                <w:webHidden/>
              </w:rPr>
              <w:fldChar w:fldCharType="separate"/>
            </w:r>
            <w:r w:rsidR="00EC2C79">
              <w:rPr>
                <w:noProof/>
                <w:webHidden/>
              </w:rPr>
              <w:t>3</w:t>
            </w:r>
            <w:r w:rsidR="00EC2C79">
              <w:rPr>
                <w:noProof/>
                <w:webHidden/>
              </w:rPr>
              <w:fldChar w:fldCharType="end"/>
            </w:r>
          </w:hyperlink>
        </w:p>
        <w:p w14:paraId="160564CC" w14:textId="44662584" w:rsidR="00EC2C79"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80108" w:history="1">
            <w:r w:rsidR="00EC2C79" w:rsidRPr="00430F21">
              <w:rPr>
                <w:rStyle w:val="Hyperlink"/>
                <w:rFonts w:eastAsiaTheme="majorEastAsia"/>
                <w:noProof/>
              </w:rPr>
              <w:t>Task performance metrics.</w:t>
            </w:r>
            <w:r w:rsidR="00EC2C79">
              <w:rPr>
                <w:noProof/>
                <w:webHidden/>
              </w:rPr>
              <w:tab/>
            </w:r>
            <w:r w:rsidR="00EC2C79">
              <w:rPr>
                <w:noProof/>
                <w:webHidden/>
              </w:rPr>
              <w:fldChar w:fldCharType="begin"/>
            </w:r>
            <w:r w:rsidR="00EC2C79">
              <w:rPr>
                <w:noProof/>
                <w:webHidden/>
              </w:rPr>
              <w:instrText xml:space="preserve"> PAGEREF _Toc152080108 \h </w:instrText>
            </w:r>
            <w:r w:rsidR="00EC2C79">
              <w:rPr>
                <w:noProof/>
                <w:webHidden/>
              </w:rPr>
            </w:r>
            <w:r w:rsidR="00EC2C79">
              <w:rPr>
                <w:noProof/>
                <w:webHidden/>
              </w:rPr>
              <w:fldChar w:fldCharType="separate"/>
            </w:r>
            <w:r w:rsidR="00EC2C79">
              <w:rPr>
                <w:noProof/>
                <w:webHidden/>
              </w:rPr>
              <w:t>4</w:t>
            </w:r>
            <w:r w:rsidR="00EC2C79">
              <w:rPr>
                <w:noProof/>
                <w:webHidden/>
              </w:rPr>
              <w:fldChar w:fldCharType="end"/>
            </w:r>
          </w:hyperlink>
        </w:p>
        <w:p w14:paraId="67F8B1DC" w14:textId="30640480"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109" w:history="1">
            <w:r w:rsidR="00EC2C79" w:rsidRPr="00430F21">
              <w:rPr>
                <w:rStyle w:val="Hyperlink"/>
                <w:rFonts w:eastAsiaTheme="majorEastAsia"/>
                <w:noProof/>
              </w:rPr>
              <w:t>Reaction Time (RT)</w:t>
            </w:r>
            <w:r w:rsidR="00EC2C79">
              <w:rPr>
                <w:noProof/>
                <w:webHidden/>
              </w:rPr>
              <w:tab/>
            </w:r>
            <w:r w:rsidR="00EC2C79">
              <w:rPr>
                <w:noProof/>
                <w:webHidden/>
              </w:rPr>
              <w:fldChar w:fldCharType="begin"/>
            </w:r>
            <w:r w:rsidR="00EC2C79">
              <w:rPr>
                <w:noProof/>
                <w:webHidden/>
              </w:rPr>
              <w:instrText xml:space="preserve"> PAGEREF _Toc152080109 \h </w:instrText>
            </w:r>
            <w:r w:rsidR="00EC2C79">
              <w:rPr>
                <w:noProof/>
                <w:webHidden/>
              </w:rPr>
            </w:r>
            <w:r w:rsidR="00EC2C79">
              <w:rPr>
                <w:noProof/>
                <w:webHidden/>
              </w:rPr>
              <w:fldChar w:fldCharType="separate"/>
            </w:r>
            <w:r w:rsidR="00EC2C79">
              <w:rPr>
                <w:noProof/>
                <w:webHidden/>
              </w:rPr>
              <w:t>4</w:t>
            </w:r>
            <w:r w:rsidR="00EC2C79">
              <w:rPr>
                <w:noProof/>
                <w:webHidden/>
              </w:rPr>
              <w:fldChar w:fldCharType="end"/>
            </w:r>
          </w:hyperlink>
        </w:p>
        <w:p w14:paraId="4ACC3743" w14:textId="0753B750"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110" w:history="1">
            <w:r w:rsidR="00EC2C79" w:rsidRPr="00430F21">
              <w:rPr>
                <w:rStyle w:val="Hyperlink"/>
                <w:rFonts w:eastAsiaTheme="majorEastAsia"/>
                <w:noProof/>
              </w:rPr>
              <w:t>Accuracy</w:t>
            </w:r>
            <w:r w:rsidR="00EC2C79">
              <w:rPr>
                <w:noProof/>
                <w:webHidden/>
              </w:rPr>
              <w:tab/>
            </w:r>
            <w:r w:rsidR="00EC2C79">
              <w:rPr>
                <w:noProof/>
                <w:webHidden/>
              </w:rPr>
              <w:fldChar w:fldCharType="begin"/>
            </w:r>
            <w:r w:rsidR="00EC2C79">
              <w:rPr>
                <w:noProof/>
                <w:webHidden/>
              </w:rPr>
              <w:instrText xml:space="preserve"> PAGEREF _Toc152080110 \h </w:instrText>
            </w:r>
            <w:r w:rsidR="00EC2C79">
              <w:rPr>
                <w:noProof/>
                <w:webHidden/>
              </w:rPr>
            </w:r>
            <w:r w:rsidR="00EC2C79">
              <w:rPr>
                <w:noProof/>
                <w:webHidden/>
              </w:rPr>
              <w:fldChar w:fldCharType="separate"/>
            </w:r>
            <w:r w:rsidR="00EC2C79">
              <w:rPr>
                <w:noProof/>
                <w:webHidden/>
              </w:rPr>
              <w:t>4</w:t>
            </w:r>
            <w:r w:rsidR="00EC2C79">
              <w:rPr>
                <w:noProof/>
                <w:webHidden/>
              </w:rPr>
              <w:fldChar w:fldCharType="end"/>
            </w:r>
          </w:hyperlink>
        </w:p>
        <w:p w14:paraId="1770E63A" w14:textId="167C0CCD" w:rsidR="00EC2C79"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080111" w:history="1">
            <w:r w:rsidR="00EC2C79" w:rsidRPr="00430F21">
              <w:rPr>
                <w:rStyle w:val="Hyperlink"/>
                <w:rFonts w:eastAsiaTheme="majorEastAsia"/>
                <w:noProof/>
              </w:rPr>
              <w:t>Change of RT and accuracy in NVT</w:t>
            </w:r>
            <w:r w:rsidR="00EC2C79">
              <w:rPr>
                <w:noProof/>
                <w:webHidden/>
              </w:rPr>
              <w:tab/>
            </w:r>
            <w:r w:rsidR="00EC2C79">
              <w:rPr>
                <w:noProof/>
                <w:webHidden/>
              </w:rPr>
              <w:fldChar w:fldCharType="begin"/>
            </w:r>
            <w:r w:rsidR="00EC2C79">
              <w:rPr>
                <w:noProof/>
                <w:webHidden/>
              </w:rPr>
              <w:instrText xml:space="preserve"> PAGEREF _Toc152080111 \h </w:instrText>
            </w:r>
            <w:r w:rsidR="00EC2C79">
              <w:rPr>
                <w:noProof/>
                <w:webHidden/>
              </w:rPr>
            </w:r>
            <w:r w:rsidR="00EC2C79">
              <w:rPr>
                <w:noProof/>
                <w:webHidden/>
              </w:rPr>
              <w:fldChar w:fldCharType="separate"/>
            </w:r>
            <w:r w:rsidR="00EC2C79">
              <w:rPr>
                <w:noProof/>
                <w:webHidden/>
              </w:rPr>
              <w:t>4</w:t>
            </w:r>
            <w:r w:rsidR="00EC2C79">
              <w:rPr>
                <w:noProof/>
                <w:webHidden/>
              </w:rPr>
              <w:fldChar w:fldCharType="end"/>
            </w:r>
          </w:hyperlink>
        </w:p>
        <w:p w14:paraId="7276A1AF" w14:textId="613CED39" w:rsidR="001211A7" w:rsidRDefault="001211A7">
          <w:r>
            <w:rPr>
              <w:b/>
              <w:bCs/>
              <w:noProof/>
            </w:rPr>
            <w:fldChar w:fldCharType="end"/>
          </w:r>
        </w:p>
      </w:sdtContent>
    </w:sdt>
    <w:p w14:paraId="3B9B6B75" w14:textId="77777777" w:rsidR="001211A7" w:rsidRPr="001211A7" w:rsidRDefault="001211A7" w:rsidP="001211A7">
      <w:pPr>
        <w:ind w:firstLine="0"/>
      </w:pPr>
    </w:p>
    <w:p w14:paraId="483CF4B9" w14:textId="77777777" w:rsidR="00B91EB4" w:rsidRDefault="00B91EB4" w:rsidP="00CC52C0"/>
    <w:p w14:paraId="1334558C" w14:textId="77777777" w:rsidR="00B91EB4" w:rsidRDefault="00B91EB4" w:rsidP="005C18BD">
      <w:pPr>
        <w:pStyle w:val="Heading1"/>
      </w:pPr>
      <w:bookmarkStart w:id="0" w:name="_Toc152080096"/>
      <w:r w:rsidRPr="00CC52C0">
        <w:t>Participants and demographic characteristics</w:t>
      </w:r>
      <w:bookmarkEnd w:id="0"/>
    </w:p>
    <w:p w14:paraId="58891C6A" w14:textId="4DC1DCFD" w:rsidR="00CC52C0" w:rsidRDefault="00CC52C0" w:rsidP="00E148C0">
      <w:r>
        <w:t>245 PCC patients consented to participate in the study. After confirming the SARS-CoV-2 infection through a polymerase chain reaction test, patients sought treatment at the post-COVID outpatient clinic within the Department of Internal Medicine and the Neuro-Post-COVID-Centre within the Department of Neurology at Jena University Hospital, at least 12 weeks after the initial diagnosis. All patients fulfilled the NICE criteria for post-COVID syndrome</w:t>
      </w:r>
      <w:r w:rsidR="0033191E">
        <w:rPr>
          <w:rFonts w:ascii="SimSun" w:eastAsia="SimSun" w:hAnsi="SimSun" w:cs="SimSun"/>
        </w:rPr>
        <w:t>.</w:t>
      </w:r>
      <w:r w:rsidR="00FA465A">
        <w:fldChar w:fldCharType="begin"/>
      </w:r>
      <w:r w:rsidR="00B95AC4">
        <w:instrText xml:space="preserve"> ADDIN ZOTERO_ITEM CSL_CITATION {"citationID":"j34KhqOA","properties":{"formattedCitation":"\\super 1\\nosupersub{}","plainCitation":"1","noteIndex":0},"citationItems":[{"id":12190,"uris":["http://zotero.org/users/2280436/items/8TRU8QNU"],"itemData":{"id":12190,"type":"article-journal","abstract":"&lt;p&gt;Research must be done urgently to fill the many gaps in this new “living guideline”&lt;/p&gt;","container-title":"BMJ","DOI":"10.1136/bmj.m4938","ISSN":"1756-1833","journalAbbreviation":"BMJ","language":"en","license":"Published by the BMJ Publishing Group Limited. For permission to use (where not already granted under a licence) please go to http://group.bmj.com/group/rights-licensing/permissions","note":"publisher: British Medical Journal Publishing Group\nsection: Editorial\nPMID: 33361141","page":"m4938","source":"www.bmj.com","title":"NICE guideline on long covid","volume":"371","author":[{"family":"Sivan","given":"Manoj"},{"family":"Taylor","given":"Sharon"}],"issued":{"date-parts":[["2020",12,23]]}}}],"schema":"https://github.com/citation-style-language/schema/raw/master/csl-citation.json"} </w:instrText>
      </w:r>
      <w:r w:rsidR="00FA465A">
        <w:fldChar w:fldCharType="separate"/>
      </w:r>
      <w:r w:rsidR="00B95AC4" w:rsidRPr="00B95AC4">
        <w:rPr>
          <w:vertAlign w:val="superscript"/>
        </w:rPr>
        <w:t>1</w:t>
      </w:r>
      <w:r w:rsidR="00FA465A">
        <w:fldChar w:fldCharType="end"/>
      </w:r>
      <w:r>
        <w:t xml:space="preserve"> </w:t>
      </w:r>
    </w:p>
    <w:p w14:paraId="7D15A7A1" w14:textId="77777777" w:rsidR="00E148C0" w:rsidRDefault="00CC52C0" w:rsidP="005C18BD">
      <w:pPr>
        <w:pStyle w:val="Heading2"/>
      </w:pPr>
      <w:bookmarkStart w:id="1" w:name="_Toc152080097"/>
      <w:r>
        <w:t>Patient exclusion criteria.</w:t>
      </w:r>
      <w:bookmarkEnd w:id="1"/>
      <w:r>
        <w:t xml:space="preserve"> </w:t>
      </w:r>
    </w:p>
    <w:p w14:paraId="41BC2B64" w14:textId="50751C49" w:rsidR="00DD4A2E" w:rsidRDefault="00CC52C0" w:rsidP="00801454">
      <w:r>
        <w:t>There were two exclusion criteria for PCC patients: (1) anyone who was (re-)infected with COVID-19 within 12 weeks of the day of testing. This is to avoid confounding the cognitive impairment during the acute phase of COVID-19</w:t>
      </w:r>
      <w:r w:rsidR="007D0825">
        <w:t>.</w:t>
      </w:r>
      <w:r>
        <w:t xml:space="preserve"> </w:t>
      </w:r>
      <w:r w:rsidR="0033191E">
        <w:fldChar w:fldCharType="begin"/>
      </w:r>
      <w:r w:rsidR="00B95AC4">
        <w:instrText xml:space="preserve"> ADDIN ZOTERO_ITEM CSL_CITATION {"citationID":"BoPa3Sez","properties":{"formattedCitation":"\\super 2\\uc0\\u8211{}4\\nosupersub{}","plainCitation":"2–4","noteIndex":0},"citationItems":[{"id":11447,"uris":["http://zotero.org/users/2280436/items/HY4SFKVL"],"itemData":{"id":11447,"type":"article-journal","abstract":"Introduction We conducted a systematic review and meta-analysis of the cognitive effects of coronavirus disease 2019 (COVID-19) in adults with no prior history of cognitive impairment. Methods Searches in Medline/Web of Science/Embase from January 1, 2020, to December 13, 2021, were performed following Preferred Reporting Items for Systematic Reviews and Meta-Analyses (PRISMA) guidelines. A meta-analysis of the Montreal Cognitive Assessment (MoCA) total score comparing recovered COVID-19 and healthy controls was performed. Results Oof 6202 articles, 27 studies with 2049 individuals were included (mean age = 56.05 years, evaluation time ranged from the acute phase to 7 months post-infection). Impairment in executive functions, attention, and memory were found in post-COVID-19 patients. The meta-analysis was performed with a subgroup of 290 individuals and showed a difference in MoCA score between post-COVID-19 patients versus controls (mean difference = −0.94, 95% confidence interval [CI] −1.59, −0.29; P = .0049). Discussion Patients recovered from COVID-19 have lower general cognition compared to healthy controls up to 7 months post-infection.","container-title":"Alzheimer's &amp; Dementia","DOI":"10.1002/alz.12644","ISSN":"1552-5279","issue":"5","language":"en","note":"_eprint: https://onlinelibrary.wiley.com/doi/pdf/10.1002/alz.12644","page":"1047-1066","source":"Wiley Online Library","title":"Changes in cognitive functioning after COVID-19: A systematic review and meta-analysis","title-short":"Changes in cognitive functioning after COVID-19","volume":"18","author":[{"family":"Crivelli","given":"Lucia"},{"family":"Palmer","given":"Katie"},{"family":"Calandri","given":"Ismael"},{"family":"Guekht","given":"Alla"},{"family":"Beghi","given":"Ettore"},{"family":"Carroll","given":"William"},{"family":"Frontera","given":"Jennifer"},{"family":"García-Azorín","given":"David"},{"family":"Westenberg","given":"Erica"},{"family":"Winkler","given":"Andrea Sylvia"},{"family":"Mangialasche","given":"Francesca"},{"family":"Allegri","given":"Ricardo F."},{"family":"Kivipelto","given":"Miia"}],"issued":{"date-parts":[["2022"]]}}},{"id":10005,"uris":["http://zotero.org/users/2280436/items/CMRCUTEZ"],"itemData":{"id":10005,"type":"article-journal","container-title":"EClinicalMedicine","DOI":"10.1016/j.eclinm.2021.101044","ISSN":"2589-5370","issue":"1010440","journalAbbreviation":"EClinicalMedicine","language":"English","note":"publisher: Elsevier\nPMID: 34316551","source":"www.thelancet.com","title":"Cognitive deficits in people who have recovered from COVID-19","URL":"https://www.thelancet.com/journals/eclinm/article/PIIS2589-5370(21)00324-2/fulltext","volume":"39","author":[{"family":"Hampshire","given":"Adam"},{"family":"Trender","given":"William"},{"family":"Chamberlain","given":"Samuel R."},{"family":"Jolly","given":"Amy E."},{"family":"Grant","given":"Jon E."},{"family":"Patrick","given":"Fiona"},{"family":"Mazibuko","given":"Ndaba"},{"family":"Williams","given":"Steve CR"},{"family":"Barnby","given":"Joseph M."},{"family":"Hellyer","given":"Peter"},{"family":"Mehta","given":"Mitul A."}],"accessed":{"date-parts":[["2021",9,12]]},"issued":{"date-parts":[["2021",7,22]]}}},{"id":12667,"uris":["http://zotero.org/users/2280436/items/RQ2BFNR8"],"itemData":{"id":12667,"type":"article-journal","abstract":"COVID-19 is associated with a range of neurological, cognitive, and mental health symptoms both acutely and chronically that can persist for many months after infection in people with long-COVID syndrome. Investigations of cognitive function and neuroimaging have begun to elucidate the nature of some of these symptoms. They reveal that, although cognitive deficits may be related to brain imaging abnormalities in some people, symptoms can also occur in the absence of objective cognitive deficits or neuroimaging changes. Furthermore, cognitive impairment may be detected even in asymptomatic individuals. We consider the evidence regarding symptoms, cognitive deficits, and neuroimaging, as well as their possible underlying mechanisms.","container-title":"Trends in Cognitive Sciences","DOI":"10.1016/j.tics.2023.08.008","ISSN":"1364-6613","journalAbbreviation":"Trends in Cognitive Sciences","license":"All rights reserved","source":"ScienceDirect","title":"Effects of COVID-19 on cognition and brain health","URL":"https://www.sciencedirect.com/science/article/pii/S1364661323002048","author":[{"family":"Zhao","given":"Sijia"},{"family":"Toniolo","given":"Sofia"},{"family":"Hampshire","given":"Adam"},{"family":"Husain","given":"Masud"}],"accessed":{"date-parts":[["2023",8,30]]},"issued":{"date-parts":[["2023",8,30]]}}}],"schema":"https://github.com/citation-style-language/schema/raw/master/csl-citation.json"} </w:instrText>
      </w:r>
      <w:r w:rsidR="0033191E">
        <w:fldChar w:fldCharType="separate"/>
      </w:r>
      <w:r w:rsidR="00B95AC4" w:rsidRPr="00B95AC4">
        <w:rPr>
          <w:vertAlign w:val="superscript"/>
        </w:rPr>
        <w:t>2–4</w:t>
      </w:r>
      <w:r w:rsidR="0033191E">
        <w:fldChar w:fldCharType="end"/>
      </w:r>
      <w:r>
        <w:t xml:space="preserve"> 14 patients who alleged a recent re-infection within 12 weeks of the testing day were excluded. (2) anyone who failed to complete the NVT. 37 PCC patients (16.0% of 231=245-14) abandoned the Number Vigilance test prior to completion, with the majority leaving during practise. Compared with those who completed the test, these patients did not differ in gender (28 females (75.7%), χ2(1,N=171) = 0.062, p = 0.80), but, on average, they were older (age 55.4 (SD 12.0), range from 28 to 80, 75.7% were above 50; t(92) = 3.12, p = 0.002, BF10 = 15.36), had COVID-19 more recently (number of days since infection=256.3 (SD 152.3), range from 122 to 873, t(229)=-2.50, p=0.013, BF10=3.16) and had more severe acute symptoms (WHO severity scale: mean 2.91 (SD 1.51), range 1~6, t(96)=-2.46,p=0.016, BF=3.19) and also scored significantly lower on MoCA (26.5 (1.8), range 24~30, t(92)=-2.36, p=0.021, BF10=2.34). </w:t>
      </w:r>
      <w:r w:rsidR="003855FC">
        <w:t>However, we</w:t>
      </w:r>
      <w:r>
        <w:t xml:space="preserve"> do not believe this rate to be representative of the population as a whole. Although the tasks were self-administered, the researchers gave a slightly different instruction ("try this task, but feel free to quit if you find it difficult") at the start of the data collection phase, which unintentionally encouraged dropout. Then, we standardised the instructions given to participants during the recruitment phase. We now emphasise that the task is very challenging and encourage the participant to try to complete it. There were no more </w:t>
      </w:r>
      <w:r w:rsidR="003855FC">
        <w:t>dropouts</w:t>
      </w:r>
      <w:r>
        <w:t xml:space="preserve"> after the change of </w:t>
      </w:r>
      <w:r>
        <w:lastRenderedPageBreak/>
        <w:t xml:space="preserve">the pre-test instruction. These incomplete datasets were then excluded from the further analysis. After exclusion, there were 194 PCC patients remaining. Their demographics are </w:t>
      </w:r>
      <w:r w:rsidR="003855FC">
        <w:t>shown in</w:t>
      </w:r>
      <w:r>
        <w:t xml:space="preserve"> Table 1</w:t>
      </w:r>
      <w:r w:rsidR="003855FC">
        <w:t xml:space="preserve"> in the main manuscript</w:t>
      </w:r>
      <w:r>
        <w:t xml:space="preserve">. </w:t>
      </w:r>
    </w:p>
    <w:p w14:paraId="6AD97337" w14:textId="3F3134E3" w:rsidR="00DD4A2E" w:rsidRDefault="00DD4A2E" w:rsidP="00743067">
      <w:pPr>
        <w:pStyle w:val="Heading2"/>
      </w:pPr>
      <w:bookmarkStart w:id="2" w:name="_Toc152080098"/>
      <w:r>
        <w:t>PCC Oxford group</w:t>
      </w:r>
      <w:r w:rsidR="005C18BD">
        <w:t xml:space="preserve"> (PCC Ox)</w:t>
      </w:r>
      <w:bookmarkEnd w:id="2"/>
      <w:r>
        <w:t xml:space="preserve"> </w:t>
      </w:r>
    </w:p>
    <w:p w14:paraId="10A6F82C" w14:textId="172E9B10" w:rsidR="00DD4A2E" w:rsidRDefault="00DD4A2E" w:rsidP="00DD4A2E">
      <w:pPr>
        <w:ind w:firstLine="0"/>
      </w:pPr>
      <w:r>
        <w:t xml:space="preserve">In addition to the PCC group recruited in Jena, we also tested 77 PCC patients at Long COVID clinic in Oxford, UK to replicate the generalised slowness in SRT (see more details in Results). We did not have access to their patient information at the time this manuscript was written. One patient was excluded from analysis because we did not know their age or gender. The remaining 76 PCC patients had a mean age of 44.7 years (SD=12.7) and 52 (68.4%) were female. There was no difference in gender between the Jena and Oxford PCC groups (χ2(1,N=196)=0.9, p=0.34), but PCC </w:t>
      </w:r>
      <w:r w:rsidR="0036175C">
        <w:t xml:space="preserve">Oxford </w:t>
      </w:r>
      <w:r>
        <w:t xml:space="preserve">patients were significantly younger (t(268)=2.85, p=0.005, BF=6.41). Considering the age effect on </w:t>
      </w:r>
      <w:r w:rsidR="00F23985">
        <w:t>RT, it</w:t>
      </w:r>
      <w:r>
        <w:t xml:space="preserve"> was not unexpected to find that the PCC </w:t>
      </w:r>
      <w:r w:rsidR="00B34709">
        <w:t xml:space="preserve">Oxford </w:t>
      </w:r>
      <w:r>
        <w:t xml:space="preserve">group had slightly faster raw RT, but after accounting for the age effect (normalisation), there was no difference between these two groups (see Results). </w:t>
      </w:r>
    </w:p>
    <w:p w14:paraId="39D75636" w14:textId="5A008195" w:rsidR="00016799" w:rsidRDefault="00CC52C0" w:rsidP="00743067">
      <w:pPr>
        <w:pStyle w:val="Heading2"/>
      </w:pPr>
      <w:bookmarkStart w:id="3" w:name="_Toc152080099"/>
      <w:r>
        <w:t>Healthy controls</w:t>
      </w:r>
      <w:bookmarkEnd w:id="3"/>
    </w:p>
    <w:p w14:paraId="5AD683B7" w14:textId="71D80E1D" w:rsidR="00CC52C0" w:rsidRDefault="00CC52C0" w:rsidP="00016799">
      <w:r>
        <w:t>200 healthy participants were recruited in Jena (Germany), Oxford (United Kingdom), and via an online participant recruitment platform (</w:t>
      </w:r>
      <w:hyperlink r:id="rId8" w:history="1">
        <w:r w:rsidR="00F23985" w:rsidRPr="004508E6">
          <w:rPr>
            <w:rStyle w:val="Hyperlink"/>
          </w:rPr>
          <w:t>www.prolific.co</w:t>
        </w:r>
      </w:hyperlink>
      <w:r>
        <w:t xml:space="preserve">). The primary inclusion criteria for healthy participants were (self-reported) good health and absence of any neurological/psychiatric illness or other health concerns that could affect their cognition. All control participants were unaware of the purpose of this study. Immediately after completing the online tasks, participants were asked if they experienced brain fog or had any issue with concentration, then asked if they had contracted COVID-19 before and whether they were currently experiencing PCC. </w:t>
      </w:r>
    </w:p>
    <w:p w14:paraId="7287FB5D" w14:textId="01B39ED2" w:rsidR="00CC52C0" w:rsidRDefault="00CC52C0" w:rsidP="00016799">
      <w:r>
        <w:t xml:space="preserve">13 participants who answered yes to the question “Do you consider yourself to have long COVID? (i.e., having COVID-related symptoms -- such as fatigue, brain fog -- more than 12 weeks)”, were classified as self-reported PCC. However, it was difficult to confirm </w:t>
      </w:r>
      <w:r w:rsidR="00B95AC4">
        <w:t>whether</w:t>
      </w:r>
      <w:r>
        <w:t xml:space="preserve"> these 13 participants met NICE criteria for post-COVID syndrome, like the PCC patients with an official diagnosis. Therefore, all self-reported PCC participants were excluded from further analysis. Only one participant withdrew out of the test and their information was also omitted from further analysis. Additional 11 participants were excluded due to recent COVID-19 infection. </w:t>
      </w:r>
    </w:p>
    <w:p w14:paraId="65C31099" w14:textId="77777777" w:rsidR="00CC52C0" w:rsidRDefault="00CC52C0" w:rsidP="00DD4A2E">
      <w:r>
        <w:t>After exclusion, we were left with 176 controls, who were then divided into two groups based on their previous COVID-19 infection status (yes or no to “Have you ever been infected COVID-19?”). No-COVID group included 113 participants who self-reported to be uninfected. No-PCC group included 63 participants who had COVID-19 more than 12 weeks ago but did not develop PCC. These two control groups did not differ in age (t(174)=0.26, p=0.80, BF10=0.18) or gender (</w:t>
      </w:r>
      <w:r>
        <w:rPr>
          <w:rFonts w:ascii="Cambria Math" w:hAnsi="Cambria Math" w:cs="Cambria Math"/>
        </w:rPr>
        <w:t>𝜒</w:t>
      </w:r>
      <w:r>
        <w:t xml:space="preserve">2(1,N=88) = 2.0, p=0.16). </w:t>
      </w:r>
    </w:p>
    <w:p w14:paraId="09E9A270" w14:textId="14016B6E" w:rsidR="00DD4A2E" w:rsidRDefault="00CC52C0" w:rsidP="00743067">
      <w:pPr>
        <w:pStyle w:val="Heading2"/>
      </w:pPr>
      <w:bookmarkStart w:id="4" w:name="_Toc152080100"/>
      <w:r>
        <w:t>Demographics and medical history</w:t>
      </w:r>
      <w:bookmarkEnd w:id="4"/>
    </w:p>
    <w:p w14:paraId="0760BA7E" w14:textId="40A4B612" w:rsidR="00CC52C0" w:rsidRDefault="00CC52C0" w:rsidP="00DD4A2E">
      <w:r>
        <w:t>For every participant, we know their age, gender, education level, time since COVID-19 and whether or not they experienced any concentration difficulty as part of PCC if applicable. There was no difference in age or gender. But PCC patients had fewer years in education than No-PCC or No-COVID groups (see Table 1). As expected, the prevalence of subjective concentration difficulty was significantly higher in PCC (69.6%) than No-PCC (23.8%) (χ2(1,N=150) = 41.0, p &lt; 0.001).</w:t>
      </w:r>
    </w:p>
    <w:p w14:paraId="24DF1F62" w14:textId="49E9F418" w:rsidR="00CC52C0" w:rsidRDefault="00CC52C0" w:rsidP="00DD4A2E">
      <w:r>
        <w:t xml:space="preserve">We also acquired their </w:t>
      </w:r>
      <w:r w:rsidR="00DD4A2E">
        <w:t>hospitalisation</w:t>
      </w:r>
      <w:r>
        <w:t xml:space="preserve"> history due to COVID-19 and WHO COVID-19 Severity Scale for all No-PCC participants and the vast majority of PCC patients (157 out of 194). These two groups had similar rates in </w:t>
      </w:r>
      <w:r w:rsidR="00DD4A2E">
        <w:t>hospitalisation</w:t>
      </w:r>
      <w:r>
        <w:t xml:space="preserve"> (χ2(1,N=39) = 2.6, p=0.10) but PCC patients scored higher on WHO Severity Scale (t(154)=4.22, p &lt; 0.001, BF10=458). </w:t>
      </w:r>
    </w:p>
    <w:p w14:paraId="0A83ACFA" w14:textId="075790E7" w:rsidR="00DD4A2E" w:rsidRDefault="00CC52C0" w:rsidP="00743067">
      <w:pPr>
        <w:pStyle w:val="Heading2"/>
      </w:pPr>
      <w:bookmarkStart w:id="5" w:name="_Toc152080101"/>
      <w:r>
        <w:t>Pre-existing conditions</w:t>
      </w:r>
      <w:bookmarkEnd w:id="5"/>
    </w:p>
    <w:p w14:paraId="5DFB1929" w14:textId="348DF607" w:rsidR="00DD4A2E" w:rsidRDefault="00CC52C0" w:rsidP="00DD4A2E">
      <w:r>
        <w:t xml:space="preserve">For 111 of 194 PCC patients, we also obtained their history of pre-existing neurological/psychiatric conditions. 31 of them (27.9%) had pre-existing neurological or psychiatric conditions. 16 of them had a history of depression (n=14) and/or anxiety (n=3). One had a suspected addiction to alcohol. One had a history of bulimia. Nine of them had various neurological </w:t>
      </w:r>
      <w:r w:rsidR="00DD4A2E">
        <w:t>conditions, for</w:t>
      </w:r>
      <w:r>
        <w:t xml:space="preserve"> example, migraine, tinnitus, trigeminal neuralgia, rotatory vertigo, amyloid angiopathy, fibromyalgia, polyneuropathy. Unfortunately, we did not acquire the information about pre-existing conditions from our </w:t>
      </w:r>
      <w:r w:rsidR="00DD4A2E">
        <w:t>controls but</w:t>
      </w:r>
      <w:r>
        <w:t xml:space="preserve"> based on their self-reported no history of neurological and psychiatric diseases, suggesting that </w:t>
      </w:r>
      <w:r w:rsidR="00DD4A2E">
        <w:t>they</w:t>
      </w:r>
      <w:r>
        <w:t xml:space="preserve"> would have no pre-existing conditions.</w:t>
      </w:r>
    </w:p>
    <w:p w14:paraId="25326894" w14:textId="4F422D1B" w:rsidR="00767C9C" w:rsidRDefault="00767C9C" w:rsidP="00743067">
      <w:pPr>
        <w:pStyle w:val="Heading1"/>
      </w:pPr>
      <w:bookmarkStart w:id="6" w:name="_Toc152080102"/>
      <w:r>
        <w:t>Experimental design</w:t>
      </w:r>
      <w:bookmarkEnd w:id="6"/>
    </w:p>
    <w:p w14:paraId="1C54DA15" w14:textId="77777777" w:rsidR="00CC52C0" w:rsidRDefault="00CC52C0" w:rsidP="00DD4A2E">
      <w:pPr>
        <w:pStyle w:val="Heading2"/>
      </w:pPr>
      <w:bookmarkStart w:id="7" w:name="_Toc152080103"/>
      <w:r>
        <w:t>Simple Reaction Time Task (SRT)</w:t>
      </w:r>
      <w:bookmarkEnd w:id="7"/>
    </w:p>
    <w:p w14:paraId="7E3F0D46" w14:textId="1C9C210A" w:rsidR="00CC52C0" w:rsidRDefault="00CC52C0" w:rsidP="00CC52C0">
      <w:pPr>
        <w:ind w:firstLine="0"/>
      </w:pPr>
      <w:r>
        <w:t xml:space="preserve">A large red circle was present at the centre of the grey screen. The diameter of the circle was scaled as 50% of the screen height. Once participants pressed the spacebar, the red circle disappeared and would reappear after a </w:t>
      </w:r>
      <w:r>
        <w:lastRenderedPageBreak/>
        <w:t xml:space="preserve">randomised time interval between 0.5 and 2 seconds. There </w:t>
      </w:r>
      <w:r w:rsidR="00EA07FD">
        <w:t>was</w:t>
      </w:r>
      <w:r>
        <w:t xml:space="preserve"> a total of 16 trials, with the results of the first two trials omitted from further analysis. </w:t>
      </w:r>
    </w:p>
    <w:p w14:paraId="53ED38BB" w14:textId="77777777" w:rsidR="00CC52C0" w:rsidRDefault="00CC52C0" w:rsidP="00CC52C0">
      <w:pPr>
        <w:ind w:firstLine="0"/>
      </w:pPr>
      <w:r>
        <w:t xml:space="preserve">This task was offered to a subset of participants, including 119 PCC patients (age 46.6 (SD 12.2, range 19 to 75, 80 females (67.2%)), 63 No-PCC participants (age 48.7 (10.5), 36 females), and 75 No-COVID participants (age 46.6 (11.9), 29 females). </w:t>
      </w:r>
    </w:p>
    <w:p w14:paraId="4EA632FA" w14:textId="77777777" w:rsidR="00CC52C0" w:rsidRDefault="00CC52C0" w:rsidP="00EA07FD">
      <w:pPr>
        <w:pStyle w:val="Heading2"/>
      </w:pPr>
      <w:bookmarkStart w:id="8" w:name="_Toc152080104"/>
      <w:r>
        <w:t>Number Vigilance Test (NVT)</w:t>
      </w:r>
      <w:bookmarkEnd w:id="8"/>
    </w:p>
    <w:p w14:paraId="58FE80E1" w14:textId="705BA84E" w:rsidR="00CC52C0" w:rsidRDefault="00CC52C0" w:rsidP="007B691E">
      <w:r>
        <w:t>All participants completed the NVT, an online visual sustained attention task adapted from</w:t>
      </w:r>
      <w:r w:rsidR="007B691E">
        <w:t xml:space="preserve"> </w:t>
      </w:r>
      <w:r w:rsidR="007B691E">
        <w:fldChar w:fldCharType="begin"/>
      </w:r>
      <w:r w:rsidR="00B95AC4">
        <w:instrText xml:space="preserve"> ADDIN ZOTERO_ITEM CSL_CITATION {"citationID":"bBUxCc2d","properties":{"formattedCitation":"\\super 5\\nosupersub{}","plainCitation":"5","noteIndex":0},"citationItems":[{"id":8888,"uris":["http://zotero.org/users/2280436/items/82YSBEFX"],"itemData":{"id":8888,"type":"article-journal","abstract":"Perceptual sensitivity to a visual target presented in a random continuous sequence of targets and nontargets decreased rapidly over time when stimuli were highly degraded visually but not when moderately degraded or undegraded. Large declines in sensitivity, independent of changes in response criterion, were found after only 5 minutes of observation. These rapid decrements of sensitivity to degraded targets seem to result from demands on the limited capacity of visual attention.","container-title":"Science","DOI":"10.1126/science.6836276","ISSN":"0036-8075, 1095-9203","issue":"4594","journalAbbreviation":"Science","language":"en","page":"327-329","source":"DOI.org (Crossref)","title":"Visual sustained attention: image degradation produces rapid sensitivity decrement over time","title-short":"Visual sustained attention","volume":"220","author":[{"family":"Nuechterlein","given":"K."},{"family":"Parasuraman","given":"R"},{"family":"Jiang","given":"Q"}],"issued":{"date-parts":[["1983",4,15]]}}}],"schema":"https://github.com/citation-style-language/schema/raw/master/csl-citation.json"} </w:instrText>
      </w:r>
      <w:r w:rsidR="007B691E">
        <w:fldChar w:fldCharType="separate"/>
      </w:r>
      <w:r w:rsidR="00B95AC4" w:rsidRPr="00B95AC4">
        <w:rPr>
          <w:vertAlign w:val="superscript"/>
        </w:rPr>
        <w:t>5</w:t>
      </w:r>
      <w:r w:rsidR="007B691E">
        <w:fldChar w:fldCharType="end"/>
      </w:r>
      <w:r>
        <w:t xml:space="preserve"> and described in the preceding study</w:t>
      </w:r>
      <w:r w:rsidR="00161719">
        <w:t>.</w:t>
      </w:r>
      <w:r w:rsidR="007B691E">
        <w:fldChar w:fldCharType="begin"/>
      </w:r>
      <w:r w:rsidR="00B95AC4">
        <w:instrText xml:space="preserve"> ADDIN ZOTERO_ITEM CSL_CITATION {"citationID":"VEQcGpwv","properties":{"formattedCitation":"\\super 6\\nosupersub{}","plainCitation":"6","noteIndex":0},"citationItems":[{"id":10351,"uris":["http://zotero.org/users/2280436/items/S66ZNBV8"],"itemData":{"id":10351,"type":"article-journal","abstract":"Abstract\n            Recent studies indicate that COVID-19 infection can lead to serious neurological consequences in a small percentage of individuals. However, in the months following acute illness, many more suffer from fatigue, low motivation, disturbed mood, poor sleep and cognitive symptoms, colloquially referred to as ‘brain fog’. But what about individuals who had asymptomatic to moderate COVID-19 and reported no concerns after recovering from COVID-19? Here, we examined a wide range of cognitive functions critical for daily life (including sustained attention, memory, motor control, planning, semantic reasoning, mental rotation and spatial–visual attention) in people who had previously suffered from COVID-19 but were not significantly different from a control group on self-reported fatigue, forgetfulness, sleep abnormality, motivation, depression, anxiety and personality profile. Reassuringly, COVID-19 survivors performed well in most abilities tested, including working memory, executive function, planning and mental rotation. However, they displayed significantly worse episodic memory (up to 6 months post-infection) and greater decline in vigilance with time on task (for up to 9 months). Overall, the results show that specific chronic cognitive changes following COVID-19 are evident on objective testing even amongst those who do not report a greater symptom burden. Importantly, in the sample tested here, these were not significantly different from normal after 6–9 months, demonstrating evidence of recovery over time.","container-title":"Brain Communications","DOI":"10.1093/braincomms/fcab295","ISSN":"2632-1297","issue":"1","language":"en","license":"All rights reserved","page":"fcab295","source":"DOI.org (Crossref)","title":"Rapid vigilance and episodic memory decrements in COVID-19 survivors","volume":"4","author":[{"family":"Zhao","given":"Sijia"},{"family":"Shibata","given":"Kengo"},{"family":"Hellyer","given":"Peter J."},{"family":"Trender","given":"William"},{"family":"Manohar","given":"Sanjay"},{"family":"Hampshire","given":"Adam"},{"family":"Husain","given":"Masud"}],"issued":{"date-parts":[["2022",1,4]]}}}],"schema":"https://github.com/citation-style-language/schema/raw/master/csl-citation.json"} </w:instrText>
      </w:r>
      <w:r w:rsidR="007B691E">
        <w:fldChar w:fldCharType="separate"/>
      </w:r>
      <w:r w:rsidR="00B95AC4" w:rsidRPr="00B95AC4">
        <w:rPr>
          <w:vertAlign w:val="superscript"/>
        </w:rPr>
        <w:t>6</w:t>
      </w:r>
      <w:r w:rsidR="007B691E">
        <w:fldChar w:fldCharType="end"/>
      </w:r>
      <w:r>
        <w:t xml:space="preserve"> A German version, translated by KF, was provided for German speakers. The demo is available at [https://octalportal.com/pcc/] in both English and German. </w:t>
      </w:r>
    </w:p>
    <w:p w14:paraId="6C4C2C89" w14:textId="16BBB17E" w:rsidR="008E330C" w:rsidRDefault="008E330C" w:rsidP="007B691E">
      <w:r>
        <w:t>This test was designed to examine visual sustained attention and measure vigilance decrement across minutes.</w:t>
      </w:r>
      <w:r w:rsidR="00BB0B60" w:rsidRPr="00BB0B60">
        <w:t xml:space="preserve"> </w:t>
      </w:r>
      <w:r w:rsidR="00BB0B60">
        <w:t>We previously found that even young healthy people showed rapid decrement in accuracy over a few minutes</w:t>
      </w:r>
      <w:r w:rsidR="00161719">
        <w:t>.</w:t>
      </w:r>
      <w:r w:rsidR="00BB0B60">
        <w:t xml:space="preserve"> </w:t>
      </w:r>
      <w:r w:rsidR="007B691E">
        <w:fldChar w:fldCharType="begin"/>
      </w:r>
      <w:r w:rsidR="00B95AC4">
        <w:instrText xml:space="preserve"> ADDIN ZOTERO_ITEM CSL_CITATION {"citationID":"oFFRZt2g","properties":{"formattedCitation":"\\super 6\\nosupersub{}","plainCitation":"6","noteIndex":0},"citationItems":[{"id":10351,"uris":["http://zotero.org/users/2280436/items/S66ZNBV8"],"itemData":{"id":10351,"type":"article-journal","abstract":"Abstract\n            Recent studies indicate that COVID-19 infection can lead to serious neurological consequences in a small percentage of individuals. However, in the months following acute illness, many more suffer from fatigue, low motivation, disturbed mood, poor sleep and cognitive symptoms, colloquially referred to as ‘brain fog’. But what about individuals who had asymptomatic to moderate COVID-19 and reported no concerns after recovering from COVID-19? Here, we examined a wide range of cognitive functions critical for daily life (including sustained attention, memory, motor control, planning, semantic reasoning, mental rotation and spatial–visual attention) in people who had previously suffered from COVID-19 but were not significantly different from a control group on self-reported fatigue, forgetfulness, sleep abnormality, motivation, depression, anxiety and personality profile. Reassuringly, COVID-19 survivors performed well in most abilities tested, including working memory, executive function, planning and mental rotation. However, they displayed significantly worse episodic memory (up to 6 months post-infection) and greater decline in vigilance with time on task (for up to 9 months). Overall, the results show that specific chronic cognitive changes following COVID-19 are evident on objective testing even amongst those who do not report a greater symptom burden. Importantly, in the sample tested here, these were not significantly different from normal after 6–9 months, demonstrating evidence of recovery over time.","container-title":"Brain Communications","DOI":"10.1093/braincomms/fcab295","ISSN":"2632-1297","issue":"1","language":"en","license":"All rights reserved","page":"fcab295","source":"DOI.org (Crossref)","title":"Rapid vigilance and episodic memory decrements in COVID-19 survivors","volume":"4","author":[{"family":"Zhao","given":"Sijia"},{"family":"Shibata","given":"Kengo"},{"family":"Hellyer","given":"Peter J."},{"family":"Trender","given":"William"},{"family":"Manohar","given":"Sanjay"},{"family":"Hampshire","given":"Adam"},{"family":"Husain","given":"Masud"}],"issued":{"date-parts":[["2022",1,4]]}}}],"schema":"https://github.com/citation-style-language/schema/raw/master/csl-citation.json"} </w:instrText>
      </w:r>
      <w:r w:rsidR="007B691E">
        <w:fldChar w:fldCharType="separate"/>
      </w:r>
      <w:r w:rsidR="00B95AC4" w:rsidRPr="00B95AC4">
        <w:rPr>
          <w:vertAlign w:val="superscript"/>
        </w:rPr>
        <w:t>6</w:t>
      </w:r>
      <w:r w:rsidR="007B691E">
        <w:fldChar w:fldCharType="end"/>
      </w:r>
      <w:r w:rsidR="00BB0B60" w:rsidRPr="00BB0B60">
        <w:t xml:space="preserve"> </w:t>
      </w:r>
      <w:r w:rsidR="00BB0B60">
        <w:t>In our previous study, 53 young No-PCC participants (i.e., infected with mild COVID-19 but did not experience post-COVID conditions) showed slightly but significantly worse accuracy at the end of the vigilance test compared to uninfected age-matched healthy controls.</w:t>
      </w:r>
    </w:p>
    <w:p w14:paraId="4A36AA78" w14:textId="2BE9BFE7" w:rsidR="003759E5" w:rsidRDefault="007B7EF2" w:rsidP="007B691E">
      <w:r>
        <w:t xml:space="preserve">In the original version of the task, </w:t>
      </w:r>
      <w:r w:rsidR="00DC51B2">
        <w:t xml:space="preserve">a single digit (0-9) was presented at the centre of the screen for 50 </w:t>
      </w:r>
      <w:r w:rsidR="00161719">
        <w:t>millisecond</w:t>
      </w:r>
      <w:r w:rsidR="000C0E99">
        <w:t>s</w:t>
      </w:r>
      <w:r w:rsidR="00DC51B2">
        <w:t xml:space="preserve"> every second. Participants were instructed to press the spacebar on their keyboard as soon as they saw “0” (the target, presented randomly with a probability of 25%); no response was required for other digits. A semi-transparent jittered checkerboard pattern masked the digits. </w:t>
      </w:r>
    </w:p>
    <w:p w14:paraId="6E6B0BF6" w14:textId="0CDBECF3" w:rsidR="004B1FC0" w:rsidRDefault="003759E5" w:rsidP="007B691E">
      <w:r>
        <w:t>During pilot testing, we found that the original task used for online young volunteers</w:t>
      </w:r>
      <w:r w:rsidR="00190018">
        <w:t xml:space="preserve"> </w:t>
      </w:r>
      <w:r w:rsidR="00190018">
        <w:fldChar w:fldCharType="begin"/>
      </w:r>
      <w:r w:rsidR="00B95AC4">
        <w:instrText xml:space="preserve"> ADDIN ZOTERO_ITEM CSL_CITATION {"citationID":"pfhWQUVF","properties":{"formattedCitation":"\\super 6\\nosupersub{}","plainCitation":"6","noteIndex":0},"citationItems":[{"id":10351,"uris":["http://zotero.org/users/2280436/items/S66ZNBV8"],"itemData":{"id":10351,"type":"article-journal","abstract":"Abstract\n            Recent studies indicate that COVID-19 infection can lead to serious neurological consequences in a small percentage of individuals. However, in the months following acute illness, many more suffer from fatigue, low motivation, disturbed mood, poor sleep and cognitive symptoms, colloquially referred to as ‘brain fog’. But what about individuals who had asymptomatic to moderate COVID-19 and reported no concerns after recovering from COVID-19? Here, we examined a wide range of cognitive functions critical for daily life (including sustained attention, memory, motor control, planning, semantic reasoning, mental rotation and spatial–visual attention) in people who had previously suffered from COVID-19 but were not significantly different from a control group on self-reported fatigue, forgetfulness, sleep abnormality, motivation, depression, anxiety and personality profile. Reassuringly, COVID-19 survivors performed well in most abilities tested, including working memory, executive function, planning and mental rotation. However, they displayed significantly worse episodic memory (up to 6 months post-infection) and greater decline in vigilance with time on task (for up to 9 months). Overall, the results show that specific chronic cognitive changes following COVID-19 are evident on objective testing even amongst those who do not report a greater symptom burden. Importantly, in the sample tested here, these were not significantly different from normal after 6–9 months, demonstrating evidence of recovery over time.","container-title":"Brain Communications","DOI":"10.1093/braincomms/fcab295","ISSN":"2632-1297","issue":"1","language":"en","license":"All rights reserved","page":"fcab295","source":"DOI.org (Crossref)","title":"Rapid vigilance and episodic memory decrements in COVID-19 survivors","volume":"4","author":[{"family":"Zhao","given":"Sijia"},{"family":"Shibata","given":"Kengo"},{"family":"Hellyer","given":"Peter J."},{"family":"Trender","given":"William"},{"family":"Manohar","given":"Sanjay"},{"family":"Hampshire","given":"Adam"},{"family":"Husain","given":"Masud"}],"issued":{"date-parts":[["2022",1,4]]}}}],"schema":"https://github.com/citation-style-language/schema/raw/master/csl-citation.json"} </w:instrText>
      </w:r>
      <w:r w:rsidR="00190018">
        <w:fldChar w:fldCharType="separate"/>
      </w:r>
      <w:r w:rsidR="00B95AC4" w:rsidRPr="00B95AC4">
        <w:rPr>
          <w:vertAlign w:val="superscript"/>
        </w:rPr>
        <w:t>6</w:t>
      </w:r>
      <w:r w:rsidR="00190018">
        <w:fldChar w:fldCharType="end"/>
      </w:r>
      <w:r>
        <w:t xml:space="preserve"> might lead to frustration in clinical PCC patients due to its difficulty. </w:t>
      </w:r>
      <w:r w:rsidR="004B1FC0">
        <w:t>Another</w:t>
      </w:r>
      <w:r w:rsidR="007A71DD">
        <w:t xml:space="preserve"> recent work</w:t>
      </w:r>
      <w:r w:rsidR="007D0825">
        <w:t xml:space="preserve"> </w:t>
      </w:r>
      <w:r>
        <w:t xml:space="preserve">found that PCC patients (n = 40) needed more time to process multiple letters than uninfected controls, suggesting a general slowness in their visual processing. </w:t>
      </w:r>
      <w:r w:rsidR="007D0825">
        <w:fldChar w:fldCharType="begin"/>
      </w:r>
      <w:r w:rsidR="00B95AC4">
        <w:instrText xml:space="preserve"> ADDIN ZOTERO_ITEM CSL_CITATION {"citationID":"nuAg3kUQ","properties":{"formattedCitation":"\\super 7\\nosupersub{}","plainCitation":"7","noteIndex":0},"citationItems":[{"id":12637,"uris":["http://zotero.org/users/2280436/items/BFC2V22E"],"itemData":{"id":12637,"type":"article-journal","abstract":"Knowledge on the nature of post-COVID neurological sequelae often manifesting as cognitive dysfunction and fatigue is still unsatisfactory.","container-title":"Journal of Neurology","DOI":"10.1007/s00415-023-11819-7","ISSN":"1432-1459","journalAbbreviation":"J Neurol","language":"en","source":"Springer Link","title":"A hypoarousal model of neurological post-COVID syndrome: the relation between mental fatigue, the level of central nervous activation and cognitive processing speed","title-short":"A hypoarousal model of neurological post-COVID syndrome","URL":"https://doi.org/10.1007/s00415-023-11819-7","author":[{"family":"Martin","given":"Eva Maria"},{"family":"Rupprecht","given":"Sven"},{"family":"Schrenk","given":"Simon"},{"family":"Kattlun","given":"Fabian"},{"family":"Utech","given":"Isabelle"},{"family":"Radscheidt","given":"Monique"},{"family":"Brodoehl","given":"Stefan"},{"family":"Schwab","given":"Matthias"},{"family":"Reuken","given":"Philipp A."},{"family":"Stallmach","given":"Andreas"},{"family":"Habekost","given":"Thomas"},{"family":"Finke","given":"Kathrin"}],"accessed":{"date-parts":[["2023",8,17]]},"issued":{"date-parts":[["2023",6,25]]}}}],"schema":"https://github.com/citation-style-language/schema/raw/master/csl-citation.json"} </w:instrText>
      </w:r>
      <w:r w:rsidR="007D0825">
        <w:fldChar w:fldCharType="separate"/>
      </w:r>
      <w:r w:rsidR="00B95AC4" w:rsidRPr="00B95AC4">
        <w:rPr>
          <w:vertAlign w:val="superscript"/>
        </w:rPr>
        <w:t>7</w:t>
      </w:r>
      <w:r w:rsidR="007D0825">
        <w:fldChar w:fldCharType="end"/>
      </w:r>
      <w:r w:rsidR="007D0825">
        <w:t xml:space="preserve"> </w:t>
      </w:r>
      <w:r>
        <w:t xml:space="preserve">Thus, here we extended the presentation duration of each digit from 50 to 100 milliseconds. Despite this adjustment, the current version of NVT was still demanding as even the uninfected group performed below ceiling in the first minutes on average (mean baseline accuracy=80.7±1.4%, t-test below 100% t(112)=-14.1,p&lt;0.0001, BF10&gt;1000) and 63.7% of uninfected participants performed below 90%. </w:t>
      </w:r>
    </w:p>
    <w:p w14:paraId="36A30C55" w14:textId="1AEF697B" w:rsidR="00CC52C0" w:rsidRDefault="00CC52C0" w:rsidP="007B691E">
      <w:r>
        <w:t>The practice phase consisted of 90 trials, equivalent to 90 seconds</w:t>
      </w:r>
      <w:r w:rsidR="00F573D0">
        <w:t xml:space="preserve"> </w:t>
      </w:r>
      <w:r>
        <w:t xml:space="preserve">and feedback </w:t>
      </w:r>
      <w:r w:rsidR="00F573D0">
        <w:t xml:space="preserve">(a tick or a cross) </w:t>
      </w:r>
      <w:r>
        <w:t>was provided after each trial. The first 12 practice trials were highly visible stimuli</w:t>
      </w:r>
      <w:r w:rsidR="00E34433">
        <w:t xml:space="preserve"> (</w:t>
      </w:r>
      <w:r w:rsidR="004D3808">
        <w:t>not masked with semi-transparent</w:t>
      </w:r>
      <w:r w:rsidR="00E34433">
        <w:t xml:space="preserve"> checkerboard</w:t>
      </w:r>
      <w:r w:rsidR="004D3808">
        <w:t>s</w:t>
      </w:r>
      <w:r w:rsidR="00324B90">
        <w:t>),</w:t>
      </w:r>
      <w:r>
        <w:t xml:space="preserve"> and participants were required to get 100% accuracy to proceed. Subsequent non-practice trials and blocks contained no feedback. In total, each participant completed 540 trials, divided into 9 blocks, each containing 60 trials and lasting one minute.</w:t>
      </w:r>
    </w:p>
    <w:p w14:paraId="281CF57E" w14:textId="77777777" w:rsidR="00CC52C0" w:rsidRDefault="00CC52C0" w:rsidP="00CC52C0">
      <w:pPr>
        <w:ind w:firstLine="0"/>
      </w:pPr>
    </w:p>
    <w:p w14:paraId="4D110EA3" w14:textId="7164DBCF" w:rsidR="004B1FC0" w:rsidRDefault="00CC52C0" w:rsidP="00F12742">
      <w:pPr>
        <w:pStyle w:val="Heading2"/>
      </w:pPr>
      <w:bookmarkStart w:id="9" w:name="_Toc152080105"/>
      <w:r>
        <w:t xml:space="preserve">Motivation and fatigue ratings with time on the </w:t>
      </w:r>
      <w:r w:rsidR="004B1FC0">
        <w:t>NVT</w:t>
      </w:r>
      <w:r>
        <w:t>.</w:t>
      </w:r>
      <w:bookmarkEnd w:id="9"/>
      <w:r>
        <w:t xml:space="preserve"> </w:t>
      </w:r>
    </w:p>
    <w:p w14:paraId="260CA269" w14:textId="1BB6C0D9" w:rsidR="00CC52C0" w:rsidRDefault="00CC52C0" w:rsidP="00CC52C0">
      <w:pPr>
        <w:ind w:firstLine="0"/>
      </w:pPr>
      <w:r>
        <w:t xml:space="preserve">After each minute during testing, participants were asked to report their level of fatigue (“How tired do you feel now?”) and motivation (“How motivated do you feel?”) using a visual analogue scale. Responses were registered by clicking on the appropriate position on each scale. After completing all ratings, a “confirm” button appeared at the bottom of the screen, allowing participants to validate their ratings and start the next block. To control the time between blocks and to reduce variance between participants, a 15-second countdown timer was displayed at the top of the screen, and the next block would begin automatically once the timer lapsed. </w:t>
      </w:r>
    </w:p>
    <w:p w14:paraId="7248988E" w14:textId="77777777" w:rsidR="00B356CE" w:rsidRDefault="00B356CE" w:rsidP="00CC52C0">
      <w:pPr>
        <w:ind w:firstLine="0"/>
      </w:pPr>
    </w:p>
    <w:p w14:paraId="47FE7E87" w14:textId="64DC4450" w:rsidR="00B356CE" w:rsidRDefault="00B356CE" w:rsidP="00FB6DDE">
      <w:pPr>
        <w:pStyle w:val="Heading2"/>
      </w:pPr>
      <w:bookmarkStart w:id="10" w:name="_Toc152080106"/>
      <w:r>
        <w:t>Online testing</w:t>
      </w:r>
      <w:bookmarkEnd w:id="10"/>
    </w:p>
    <w:p w14:paraId="018F9D7A" w14:textId="5834CEB2" w:rsidR="00B356CE" w:rsidRPr="006552A1" w:rsidRDefault="00B356CE" w:rsidP="00B356CE">
      <w:pPr>
        <w:ind w:firstLine="0"/>
      </w:pPr>
      <w:r>
        <w:t>Both tasks were implemented using PsychoPy v2021.1.2. and hosted on the web-based platform Pavlovia (pavlovia.org). The choice of PsychoPy/PsychoJs was driven by its high timing precision for browser-based experiments</w:t>
      </w:r>
      <w:r w:rsidR="00177C30">
        <w:t xml:space="preserve">. </w:t>
      </w:r>
      <w:r w:rsidR="00190018">
        <w:fldChar w:fldCharType="begin"/>
      </w:r>
      <w:r w:rsidR="00B95AC4">
        <w:instrText xml:space="preserve"> ADDIN ZOTERO_ITEM CSL_CITATION {"citationID":"3eAMza4N","properties":{"formattedCitation":"\\super 8\\nosupersub{}","plainCitation":"8","noteIndex":0},"citationItems":[{"id":12620,"uris":["http://zotero.org/users/2280436/items/XJ3H6P8N"],"itemData":{"id":12620,"type":"article-journal","abstract":"Many researchers in the behavioral sciences depend on research software that presents stimuli, and records response times, with sub-millisecond precision. There are a large number of software packages with which to conduct these behavioral experiments and measure response times and performance of participants. Very little information is available, however, on what timing performance they achieve in practice. Here we report a wide-ranging study looking at the precision and accuracy of visual and auditory stimulus timing and response times, measured with a Black Box Toolkit. We compared a range of popular packages: PsychoPy, E-Prime®, NBS Presentation®, Psychophysics Toolbox, OpenSesame, Expyriment, Gorilla, jsPsych, Lab.js and Testable. Where possible, the packages were tested on Windows, macOS, and Ubuntu, and in a range of browsers for the online studies, to try to identify common patterns in performance. Among the lab-based experiments, Psychtoolbox, PsychoPy, Presentation and E-Prime provided the best timing, all with mean precision under 1 millisecond across the visual, audio and response measures. OpenSesame had slightly less precision across the board, but most notably in audio stimuli and Expyriment had rather poor precision. Across operating systems, the pattern was that precision was generally very slightly better under Ubuntu than Windows, and that macOS was the worst, at least for visual stimuli, for all packages. Online studies did not deliver the same level of precision as lab-based systems, with slightly more variability in all measurements. That said, PsychoPy and Gorilla, broadly the best performers, were achieving very close to millisecond precision on several browser/operating system combinations. For response times (measured using a high-performance button box), most of the packages achieved precision at least under 10 ms in all browsers, with PsychoPy achieving a precision under 3.5 ms in all. There was considerable variability between OS/browser combinations, especially in audio-visual synchrony which is the least precise aspect of the browser-based experiments. Nonetheless, the data indicate that online methods can be suitable for a wide range of studies, with due thought about the sources of variability that result. The results, from over 110,000 trials, highlight the wide range of timing qualities that can occur even in these dedicated software packages for the task. We stress the importance of scientists making their own timing validation measurements for their own stimuli and computer configuration.","container-title":"PeerJ","DOI":"10.7717/peerj.9414","ISSN":"2167-8359","journalAbbreviation":"PeerJ","note":"PMID: 33005482\nPMCID: PMC7512138","page":"e9414","source":"PubMed Central","title":"The timing mega-study: comparing a range of experiment generators, both lab-based and online","title-short":"The timing mega-study","volume":"8","author":[{"family":"Bridges","given":"David"},{"family":"Pitiot","given":"Alain"},{"family":"MacAskill","given":"Michael R."},{"family":"Peirce","given":"Jonathan W."}],"issued":{"date-parts":[["2020",7,20]]}}}],"schema":"https://github.com/citation-style-language/schema/raw/master/csl-citation.json"} </w:instrText>
      </w:r>
      <w:r w:rsidR="00190018">
        <w:fldChar w:fldCharType="separate"/>
      </w:r>
      <w:r w:rsidR="00B95AC4" w:rsidRPr="00B95AC4">
        <w:rPr>
          <w:vertAlign w:val="superscript"/>
        </w:rPr>
        <w:t>8</w:t>
      </w:r>
      <w:r w:rsidR="00190018">
        <w:fldChar w:fldCharType="end"/>
      </w:r>
      <w:r>
        <w:t xml:space="preserve"> We instructed all participants to use the Chrome browser on a desktop/laptop computer with a keyboard in order to minimise the potential differences in psychomotor response caused by way to response (keyboard, mouse clicking or finger tap) and devices (phone, </w:t>
      </w:r>
      <w:r w:rsidR="0016428E">
        <w:t>iPad</w:t>
      </w:r>
      <w:r>
        <w:t xml:space="preserve"> or laptop). However, the tasks can be completed on other devices and reaction times have been shown to be reliable across browsers</w:t>
      </w:r>
      <w:r w:rsidR="00177C30">
        <w:t>.</w:t>
      </w:r>
      <w:r w:rsidR="00190018">
        <w:t xml:space="preserve"> </w:t>
      </w:r>
      <w:r w:rsidR="00190018">
        <w:fldChar w:fldCharType="begin"/>
      </w:r>
      <w:r w:rsidR="00B95AC4">
        <w:instrText xml:space="preserve"> ADDIN ZOTERO_ITEM CSL_CITATION {"citationID":"vOvxzPyg","properties":{"formattedCitation":"\\super 6,8\\nosupersub{}","plainCitation":"6,8","noteIndex":0},"citationItems":[{"id":10351,"uris":["http://zotero.org/users/2280436/items/S66ZNBV8"],"itemData":{"id":10351,"type":"article-journal","abstract":"Abstract\n            Recent studies indicate that COVID-19 infection can lead to serious neurological consequences in a small percentage of individuals. However, in the months following acute illness, many more suffer from fatigue, low motivation, disturbed mood, poor sleep and cognitive symptoms, colloquially referred to as ‘brain fog’. But what about individuals who had asymptomatic to moderate COVID-19 and reported no concerns after recovering from COVID-19? Here, we examined a wide range of cognitive functions critical for daily life (including sustained attention, memory, motor control, planning, semantic reasoning, mental rotation and spatial–visual attention) in people who had previously suffered from COVID-19 but were not significantly different from a control group on self-reported fatigue, forgetfulness, sleep abnormality, motivation, depression, anxiety and personality profile. Reassuringly, COVID-19 survivors performed well in most abilities tested, including working memory, executive function, planning and mental rotation. However, they displayed significantly worse episodic memory (up to 6 months post-infection) and greater decline in vigilance with time on task (for up to 9 months). Overall, the results show that specific chronic cognitive changes following COVID-19 are evident on objective testing even amongst those who do not report a greater symptom burden. Importantly, in the sample tested here, these were not significantly different from normal after 6–9 months, demonstrating evidence of recovery over time.","container-title":"Brain Communications","DOI":"10.1093/braincomms/fcab295","ISSN":"2632-1297","issue":"1","language":"en","license":"All rights reserved","page":"fcab295","source":"DOI.org (Crossref)","title":"Rapid vigilance and episodic memory decrements in COVID-19 survivors","volume":"4","author":[{"family":"Zhao","given":"Sijia"},{"family":"Shibata","given":"Kengo"},{"family":"Hellyer","given":"Peter J."},{"family":"Trender","given":"William"},{"family":"Manohar","given":"Sanjay"},{"family":"Hampshire","given":"Adam"},{"family":"Husain","given":"Masud"}],"issued":{"date-parts":[["2022",1,4]]}}},{"id":12620,"uris":["http://zotero.org/users/2280436/items/XJ3H6P8N"],"itemData":{"id":12620,"type":"article-journal","abstract":"Many researchers in the behavioral sciences depend on research software that presents stimuli, and records response times, with sub-millisecond precision. There are a large number of software packages with which to conduct these behavioral experiments and measure response times and performance of participants. Very little information is available, however, on what timing performance they achieve in practice. Here we report a wide-ranging study looking at the precision and accuracy of visual and auditory stimulus timing and response times, measured with a Black Box Toolkit. We compared a range of popular packages: PsychoPy, E-Prime®, NBS Presentation®, Psychophysics Toolbox, OpenSesame, Expyriment, Gorilla, jsPsych, Lab.js and Testable. Where possible, the packages were tested on Windows, macOS, and Ubuntu, and in a range of browsers for the online studies, to try to identify common patterns in performance. Among the lab-based experiments, Psychtoolbox, PsychoPy, Presentation and E-Prime provided the best timing, all with mean precision under 1 millisecond across the visual, audio and response measures. OpenSesame had slightly less precision across the board, but most notably in audio stimuli and Expyriment had rather poor precision. Across operating systems, the pattern was that precision was generally very slightly better under Ubuntu than Windows, and that macOS was the worst, at least for visual stimuli, for all packages. Online studies did not deliver the same level of precision as lab-based systems, with slightly more variability in all measurements. That said, PsychoPy and Gorilla, broadly the best performers, were achieving very close to millisecond precision on several browser/operating system combinations. For response times (measured using a high-performance button box), most of the packages achieved precision at least under 10 ms in all browsers, with PsychoPy achieving a precision under 3.5 ms in all. There was considerable variability between OS/browser combinations, especially in audio-visual synchrony which is the least precise aspect of the browser-based experiments. Nonetheless, the data indicate that online methods can be suitable for a wide range of studies, with due thought about the sources of variability that result. The results, from over 110,000 trials, highlight the wide range of timing qualities that can occur even in these dedicated software packages for the task. We stress the importance of scientists making their own timing validation measurements for their own stimuli and computer configuration.","container-title":"PeerJ","DOI":"10.7717/peerj.9414","ISSN":"2167-8359","journalAbbreviation":"PeerJ","note":"PMID: 33005482\nPMCID: PMC7512138","page":"e9414","source":"PubMed Central","title":"The timing mega-study: comparing a range of experiment generators, both lab-based and online","title-short":"The timing mega-study","volume":"8","author":[{"family":"Bridges","given":"David"},{"family":"Pitiot","given":"Alain"},{"family":"MacAskill","given":"Michael R."},{"family":"Peirce","given":"Jonathan W."}],"issued":{"date-parts":[["2020",7,20]]}}}],"schema":"https://github.com/citation-style-language/schema/raw/master/csl-citation.json"} </w:instrText>
      </w:r>
      <w:r w:rsidR="00190018">
        <w:fldChar w:fldCharType="separate"/>
      </w:r>
      <w:r w:rsidR="00B95AC4" w:rsidRPr="00B95AC4">
        <w:rPr>
          <w:vertAlign w:val="superscript"/>
        </w:rPr>
        <w:t>6,8</w:t>
      </w:r>
      <w:r w:rsidR="00190018">
        <w:fldChar w:fldCharType="end"/>
      </w:r>
    </w:p>
    <w:p w14:paraId="4DB71C46" w14:textId="77777777" w:rsidR="00767C9C" w:rsidRDefault="00767C9C" w:rsidP="00CC52C0">
      <w:pPr>
        <w:ind w:firstLine="0"/>
      </w:pPr>
    </w:p>
    <w:p w14:paraId="4382D05E" w14:textId="71359218" w:rsidR="00CC52C0" w:rsidRDefault="00CC52C0" w:rsidP="003E740C">
      <w:pPr>
        <w:pStyle w:val="Heading2"/>
      </w:pPr>
      <w:bookmarkStart w:id="11" w:name="_Toc152080107"/>
      <w:r>
        <w:t>Questionnaires</w:t>
      </w:r>
      <w:bookmarkEnd w:id="11"/>
    </w:p>
    <w:p w14:paraId="0C8076A0" w14:textId="77777777" w:rsidR="00CC52C0" w:rsidRDefault="00CC52C0" w:rsidP="00CC52C0">
      <w:pPr>
        <w:ind w:firstLine="0"/>
      </w:pPr>
      <w:r>
        <w:t>All participants completed two questionnaires for measuring depression level (Patient Health Questionnaire-9, PHQ-9) and their sleep quality (Pittsburgh Sleep Quality Index, PSQI).</w:t>
      </w:r>
    </w:p>
    <w:p w14:paraId="37538EC0" w14:textId="77777777" w:rsidR="00CC52C0" w:rsidRDefault="00CC52C0" w:rsidP="00CC52C0">
      <w:pPr>
        <w:ind w:firstLine="0"/>
      </w:pPr>
    </w:p>
    <w:p w14:paraId="1B981F30" w14:textId="4CB9A331" w:rsidR="00CC52C0" w:rsidRDefault="00F66669" w:rsidP="00CC52C0">
      <w:pPr>
        <w:ind w:firstLine="0"/>
      </w:pPr>
      <w:r>
        <w:t xml:space="preserve">For all </w:t>
      </w:r>
      <w:r w:rsidR="00CC52C0">
        <w:t>PCC patients</w:t>
      </w:r>
      <w:r>
        <w:t xml:space="preserve"> from Jena, the following mental health symptoms were also quantitatively measured using questionnaires:</w:t>
      </w:r>
    </w:p>
    <w:p w14:paraId="35F13A32" w14:textId="48D6AB82" w:rsidR="00CC52C0" w:rsidRDefault="00CC52C0" w:rsidP="009C7052">
      <w:pPr>
        <w:pStyle w:val="ListParagraph"/>
        <w:numPr>
          <w:ilvl w:val="0"/>
          <w:numId w:val="2"/>
        </w:numPr>
      </w:pPr>
      <w:r>
        <w:lastRenderedPageBreak/>
        <w:t>Anxiety was assessed by the anxiety subscale of the German version of the Hospital Anxiety and Depression Scale (HADS-D)</w:t>
      </w:r>
      <w:r w:rsidR="00F66669">
        <w:fldChar w:fldCharType="begin"/>
      </w:r>
      <w:r w:rsidR="00B95AC4">
        <w:instrText xml:space="preserve"> ADDIN ZOTERO_ITEM CSL_CITATION {"citationID":"OdDApCwm","properties":{"formattedCitation":"\\super 9,10\\nosupersub{}","plainCitation":"9,10","noteIndex":0},"citationItems":[{"id":12327,"uris":["http://zotero.org/users/2280436/items/5B2756V5"],"itemData":{"id":12327,"type":"book","abstract":"Deutsche Adaptation der \"Hospital anxiety and depression scale (HADS)\" von R.P. Snaith and A.S. Zigmond. - Literaturverz. S. 49 - 56","edition":"3., aktual. u. neu normierte Aufl.","event-place":"Bern","publisher":"Huber","publisher-place":"Bern","source":"SLUB Dresden","title":"Hospital anxiety and depression scale deutsche Version; HADS-D","author":[{"family":"Herrmann-Lingen","given":"Christoph"},{"family":"Buss","given":"Ullrich"},{"family":"Snaith","given":"Philip"},{"family":"Herrmann-Lingen","given":"Christoph"}],"issued":{"date-parts":[["2011"]]}}},{"id":8967,"uris":["http://zotero.org/users/2280436/items/BCEQ6TPX"],"itemData":{"id":8967,"type":"article-journal","abstract":"ABSTRACT– A self-assessment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departments.","container-title":"Acta Psychiatrica Scandinavica","DOI":"https://doi.org/10.1111/j.1600-0447.1983.tb09716.x","ISSN":"1600-0447","issue":"6","language":"en","note":"_eprint: https://onlinelibrary.wiley.com/doi/pdf/10.1111/j.1600-0447.1983.tb09716.x","page":"361-370","source":"Wiley Online Library","title":"The Hospital Anxiety and Depression Scale","volume":"67","author":[{"family":"Zigmond","given":"A. S."},{"family":"Snaith","given":"R. P."}],"issued":{"date-parts":[["1983"]]}}}],"schema":"https://github.com/citation-style-language/schema/raw/master/csl-citation.json"} </w:instrText>
      </w:r>
      <w:r w:rsidR="00F66669">
        <w:fldChar w:fldCharType="separate"/>
      </w:r>
      <w:r w:rsidR="00B95AC4" w:rsidRPr="00B95AC4">
        <w:rPr>
          <w:vertAlign w:val="superscript"/>
        </w:rPr>
        <w:t>9,10</w:t>
      </w:r>
      <w:r w:rsidR="00F66669">
        <w:fldChar w:fldCharType="end"/>
      </w:r>
      <w:r>
        <w:t xml:space="preserve"> which consists of 7 items. Scores range between 0 and 24 with higher scores indicating higher levels of anxiety.</w:t>
      </w:r>
    </w:p>
    <w:p w14:paraId="02526E21" w14:textId="45C6F479" w:rsidR="00CC52C0" w:rsidRDefault="00CC52C0" w:rsidP="009C7052">
      <w:pPr>
        <w:pStyle w:val="ListParagraph"/>
        <w:numPr>
          <w:ilvl w:val="0"/>
          <w:numId w:val="2"/>
        </w:numPr>
      </w:pPr>
      <w:r>
        <w:t>Depression was also assessed by the depression subscale of the German HADS</w:t>
      </w:r>
      <w:r w:rsidR="00F66669">
        <w:fldChar w:fldCharType="begin"/>
      </w:r>
      <w:r w:rsidR="00B95AC4">
        <w:instrText xml:space="preserve"> ADDIN ZOTERO_ITEM CSL_CITATION {"citationID":"f5oRobFV","properties":{"formattedCitation":"\\super 9,10\\nosupersub{}","plainCitation":"9,10","noteIndex":0},"citationItems":[{"id":12327,"uris":["http://zotero.org/users/2280436/items/5B2756V5"],"itemData":{"id":12327,"type":"book","abstract":"Deutsche Adaptation der \"Hospital anxiety and depression scale (HADS)\" von R.P. Snaith and A.S. Zigmond. - Literaturverz. S. 49 - 56","edition":"3., aktual. u. neu normierte Aufl.","event-place":"Bern","publisher":"Huber","publisher-place":"Bern","source":"SLUB Dresden","title":"Hospital anxiety and depression scale deutsche Version; HADS-D","author":[{"family":"Herrmann-Lingen","given":"Christoph"},{"family":"Buss","given":"Ullrich"},{"family":"Snaith","given":"Philip"},{"family":"Herrmann-Lingen","given":"Christoph"}],"issued":{"date-parts":[["2011"]]}}},{"id":8967,"uris":["http://zotero.org/users/2280436/items/BCEQ6TPX"],"itemData":{"id":8967,"type":"article-journal","abstract":"ABSTRACT– A self-assessment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departments.","container-title":"Acta Psychiatrica Scandinavica","DOI":"https://doi.org/10.1111/j.1600-0447.1983.tb09716.x","ISSN":"1600-0447","issue":"6","language":"en","note":"_eprint: https://onlinelibrary.wiley.com/doi/pdf/10.1111/j.1600-0447.1983.tb09716.x","page":"361-370","source":"Wiley Online Library","title":"The Hospital Anxiety and Depression Scale","volume":"67","author":[{"family":"Zigmond","given":"A. S."},{"family":"Snaith","given":"R. P."}],"issued":{"date-parts":[["1983"]]}}}],"schema":"https://github.com/citation-style-language/schema/raw/master/csl-citation.json"} </w:instrText>
      </w:r>
      <w:r w:rsidR="00F66669">
        <w:fldChar w:fldCharType="separate"/>
      </w:r>
      <w:r w:rsidR="00B95AC4" w:rsidRPr="00B95AC4">
        <w:rPr>
          <w:vertAlign w:val="superscript"/>
        </w:rPr>
        <w:t>9,10</w:t>
      </w:r>
      <w:r w:rsidR="00F66669">
        <w:fldChar w:fldCharType="end"/>
      </w:r>
      <w:r>
        <w:t xml:space="preserve"> that consists of 7 items. Scores range between 0 and 24 with higher scores indicating higher levels of depressive symptoms.</w:t>
      </w:r>
    </w:p>
    <w:p w14:paraId="2F5792EC" w14:textId="789A0C4C" w:rsidR="00CC52C0" w:rsidRDefault="00CC52C0" w:rsidP="009C7052">
      <w:pPr>
        <w:pStyle w:val="ListParagraph"/>
        <w:numPr>
          <w:ilvl w:val="0"/>
          <w:numId w:val="2"/>
        </w:numPr>
      </w:pPr>
      <w:r>
        <w:t>Fatigue was assessed by two questionnaires: the Fatigue Assessment Scale (FAS)</w:t>
      </w:r>
      <w:r w:rsidR="00F66669">
        <w:fldChar w:fldCharType="begin"/>
      </w:r>
      <w:r w:rsidR="00B95AC4">
        <w:instrText xml:space="preserve"> ADDIN ZOTERO_ITEM CSL_CITATION {"citationID":"4qA3rHzW","properties":{"formattedCitation":"\\super 11\\nosupersub{}","plainCitation":"11","noteIndex":0},"citationItems":[{"id":12330,"uris":["http://zotero.org/users/2280436/items/I8HMCGSG"],"itemData":{"id":12330,"type":"article-journal","abstract":"Objective: The main aim of this study was to examine the dimensionality and psychometric qualities of a new 10-item fatigue measure, the Fatigue Assessment Scale (FAS). Methods: As part of a longitudinal study, the respondents, all workers with at least 20 working hours per week, completed the FAS, four related fatigue measures, a depression questionnaire, and an emotional stability scale. Results: The FAS had a high internal consistency. The pattern of correlations and factor analysis showed good convergent and divergent validity. The FAS correlated strongly with the other fatigue scales. In a factor analysis of the five fatigue questionnaires, the FAS had the highest factor loading on a clear one-factor solution. Moreover, factor analyses revealed that fatigue, on the one hand, and depression and emotional stability, on the other hand, are separate constructs. Finally, it was shown that 8 out of the 10 FAS items were unbiased concerning gender; two had a uniform bias. Conclusions: The FAS represents a potentially valuable assessment instrument with promising internal consistency reliability and validity. Gender bias in the FAS does not have consequences for use of the FAS.","container-title":"Journal of Psychosomatic Research","DOI":"10.1016/S0022-3999(02)00392-6","ISSN":"0022-3999","issue":"4","journalAbbreviation":"Journal of Psychosomatic Research","language":"en","page":"345-352","source":"ScienceDirect","title":"Psychometric qualities of a brief self-rated fatigue measure: The Fatigue Assessment Scale","title-short":"Psychometric qualities of a brief self-rated fatigue measure","volume":"54","author":[{"family":"Michielsen","given":"Helen J"},{"family":"De Vries","given":"Jolanda"},{"family":"Van Heck","given":"Guus L"}],"issued":{"date-parts":[["2003",4,1]]}}}],"schema":"https://github.com/citation-style-language/schema/raw/master/csl-citation.json"} </w:instrText>
      </w:r>
      <w:r w:rsidR="00F66669">
        <w:fldChar w:fldCharType="separate"/>
      </w:r>
      <w:r w:rsidR="00B95AC4" w:rsidRPr="00B95AC4">
        <w:rPr>
          <w:vertAlign w:val="superscript"/>
        </w:rPr>
        <w:t>11</w:t>
      </w:r>
      <w:r w:rsidR="00F66669">
        <w:fldChar w:fldCharType="end"/>
      </w:r>
      <w:r>
        <w:t xml:space="preserve"> and the Brief Fatigue Inventory (BFI)</w:t>
      </w:r>
      <w:r w:rsidR="00F66669">
        <w:fldChar w:fldCharType="begin"/>
      </w:r>
      <w:r w:rsidR="00B95AC4">
        <w:instrText xml:space="preserve"> ADDIN ZOTERO_ITEM CSL_CITATION {"citationID":"VcjZoSyn","properties":{"formattedCitation":"\\super 12\\nosupersub{}","plainCitation":"12","noteIndex":0},"citationItems":[{"id":12332,"uris":["http://zotero.org/users/2280436/items/IFK39HHL"],"itemData":{"id":12332,"type":"article-journal","abstract":"BACKGROUND Fatigue is a major disease and treatment burden for cancer patients. Several scales have been created to measure fatigue, but many are long and difficult for very ill patients to complete, or they are not easy to translate for non-English speaking patients. The Brief Fatigue Inventory was developed for the rapid assessment of fatigue severity for use in both clinical screening and clinical trials. METHODS The study enrolled 305 consecutive, consenting adult inpatients and outpatients with cancer who could understand and complete the self-report measures used in the study. The same instruments also were administered to 290 community-dwelling adults to obtain a comparison sample. Research staff completed a form that indicated the primary site and stage of the cancer, rated the Eastern Cooperative Oncology Group performance status of the patient, described the characteristics of the pain, and described the current pain treatment being provided to the patients. RESULTS The BFI was shown to be an internally stable (reliable) measure that tapped a single dimension, best interpreted as severity of fatigue. It correlated highly with similar fatigue measures. Greater than 98% of patients were able to complete it. A range of scores defining severe fatigue was identified. CONCLUSIONS The BFI is a reliable instrument that allows for the rapid assessment of fatigue level in cancer patients and identifies those patients with severe fatigue. Cancer 1999;85:1186–96. © 1999 American Cancer Society.","container-title":"Cancer","DOI":"10.1002/(SICI)1097-0142(19990301)85:5&lt;1186::AID-CNCR24&gt;3.0.CO;2-N","ISSN":"1097-0142","issue":"5","language":"en","license":"Copyright © 1999 American Cancer Society","note":"_eprint: https://onlinelibrary.wiley.com/doi/pdf/10.1002/%28SICI%291097-0142%2819990301%2985%3A5%3C1186%3A%3AAID-CNCR24%3E3.0.CO%3B2-N","page":"1186-1196","source":"Wiley Online Library","title":"The rapid assessment of fatigue severity in cancer patients","volume":"85","author":[{"family":"Mendoza","given":"Tito R."},{"family":"Wang","given":"X. Shelley"},{"family":"Cleeland","given":"Charles S."},{"family":"Morrissey","given":"Marilyn"},{"family":"Johnson","given":"Beth A."},{"family":"Wendt","given":"Judy K."},{"family":"Huber","given":"Stephen L."}],"issued":{"date-parts":[["1999"]]}}}],"schema":"https://github.com/citation-style-language/schema/raw/master/csl-citation.json"} </w:instrText>
      </w:r>
      <w:r w:rsidR="00F66669">
        <w:fldChar w:fldCharType="separate"/>
      </w:r>
      <w:r w:rsidR="00B95AC4" w:rsidRPr="00B95AC4">
        <w:rPr>
          <w:vertAlign w:val="superscript"/>
        </w:rPr>
        <w:t>12</w:t>
      </w:r>
      <w:r w:rsidR="00F66669">
        <w:fldChar w:fldCharType="end"/>
      </w:r>
      <w:r>
        <w:t xml:space="preserve"> with higher scores associated with higher levels of fatigue.</w:t>
      </w:r>
    </w:p>
    <w:p w14:paraId="4DAC44A6" w14:textId="47DCB1B3" w:rsidR="00CC52C0" w:rsidRDefault="00CC52C0" w:rsidP="009C7052">
      <w:pPr>
        <w:pStyle w:val="ListParagraph"/>
        <w:numPr>
          <w:ilvl w:val="0"/>
          <w:numId w:val="2"/>
        </w:numPr>
      </w:pPr>
      <w:r>
        <w:t>Daytime sleepiness was measured by the German version of the Epworth Sleepiness Scale (ESS)</w:t>
      </w:r>
      <w:r w:rsidR="00F66669">
        <w:fldChar w:fldCharType="begin"/>
      </w:r>
      <w:r w:rsidR="00B95AC4">
        <w:instrText xml:space="preserve"> ADDIN ZOTERO_ITEM CSL_CITATION {"citationID":"12wZwyaG","properties":{"formattedCitation":"\\super 13\\nosupersub{}","plainCitation":"13","noteIndex":0},"citationItems":[{"id":12335,"uris":["http://zotero.org/users/2280436/items/BMZ55Z72"],"itemData":{"id":12335,"type":"article-journal","abstract":"Background: The Epworth Sleepiness Scale (ESS) is a questionnaire widely used in English speaking countries for assessment of subjective daytime sleepiness. Objective: Our purpose was to translate and validate the ESS for use in German-speaking countries. Methods: A German translation of the ESS was administered to 159 healthy German-speaking Swiss and to 174 patients with various sleep disorders. Results: The mean ± SD of ESS scores in normals was 5.7 ± 3.0, in patients it was 13.0 ± 5.1 (p &amp;lt; 0.001). Scores were not correlated with age or gender but with the percentage of time spent at an oxygen saturation &amp;lt;90% (R = 0.35, p &amp;lt; 0.001), and the respiratory disturbance index (R = 0.26, p &amp;lt; 0.001) in primary snorers and sleep apnea patients. Item analysis confirmed internal consistency of the scale (Cronbach α = 0.60 in normals, and 0.83 in patients). Follow-up scores in 25 sleep apnea patients on treatment showed a reduction by 7 ± 5 points (p &amp;lt; 0.05). Conclusions: Our data validate the ESS for application in German-speaking populations. The simplicity, reliability and the apparent lack of relevant influences of language and cultural background on performance of the ESS makes it a valuable tool for clinical management and research.","container-title":"Respiration","DOI":"10.1159/000029408","ISSN":"0025-7931","issue":"5","journalAbbreviation":"Respiration","page":"440-447","source":"Silverchair","title":"German Version of the Epworth Sleepiness Scale","volume":"66","author":[{"family":"Bloch","given":"Konrad E."},{"family":"Schoch","given":"Otto D."},{"family":"Zhang","given":"Jinnong N."},{"family":"Russi","given":"Erich W."}],"issued":{"date-parts":[["1999",9,15]]}}}],"schema":"https://github.com/citation-style-language/schema/raw/master/csl-citation.json"} </w:instrText>
      </w:r>
      <w:r w:rsidR="00F66669">
        <w:fldChar w:fldCharType="separate"/>
      </w:r>
      <w:r w:rsidR="00B95AC4" w:rsidRPr="00B95AC4">
        <w:rPr>
          <w:vertAlign w:val="superscript"/>
        </w:rPr>
        <w:t>13</w:t>
      </w:r>
      <w:r w:rsidR="00F66669">
        <w:fldChar w:fldCharType="end"/>
      </w:r>
      <w:r>
        <w:t xml:space="preserve"> consisting of 8 items asking for the probability of falling asleep from 1 (unlikely) to 3 (very likely) in 8 different situations. Scores range between 0 and 24 with higher scores indicating higher sleepiness and a score of ≥ 10 indicating excessive daytime sleepiness.</w:t>
      </w:r>
    </w:p>
    <w:p w14:paraId="64D267C6" w14:textId="580B54F4" w:rsidR="00CC52C0" w:rsidRDefault="00CC52C0" w:rsidP="009C7052">
      <w:pPr>
        <w:pStyle w:val="ListParagraph"/>
        <w:numPr>
          <w:ilvl w:val="0"/>
          <w:numId w:val="2"/>
        </w:numPr>
      </w:pPr>
      <w:r>
        <w:t xml:space="preserve">Post-Traumatic Stress (PTSD) was assessed with the German version of the </w:t>
      </w:r>
      <w:r w:rsidR="0016428E">
        <w:t>post-traumatic</w:t>
      </w:r>
      <w:r>
        <w:t xml:space="preserve"> stress-scale-14 (PTSS-14)</w:t>
      </w:r>
      <w:r w:rsidR="00637CD9">
        <w:t>.</w:t>
      </w:r>
      <w:r w:rsidR="00F66669">
        <w:fldChar w:fldCharType="begin"/>
      </w:r>
      <w:r w:rsidR="00B95AC4">
        <w:instrText xml:space="preserve"> ADDIN ZOTERO_ITEM CSL_CITATION {"citationID":"VNccBzHK","properties":{"formattedCitation":"\\super 14,15\\nosupersub{}","plainCitation":"14,15","noteIndex":0},"citationItems":[{"id":12661,"uris":["http://zotero.org/users/2280436/items/TIK67XRH"],"itemData":{"id":12661,"type":"article-journal","abstract":"Thieme E-Books &amp; E-Journals","container-title":"AINS - Anästhesiologie · Intensivmedizin · Notfallmedizin · Schmerztherapie","DOI":"10.1055/s-0030-1268870","ISSN":"0939-2661, 1439-1074","issue":"11/12","journalAbbreviation":"Anästhesiol Intensivmed Notfallmed Schmerzther","language":"de","license":"© Georg Thieme Verlag Stuttgart · New York","note":"publisher: © Georg Thieme Verlag Stuttgart · New York","page":"688-695","source":"www.thieme-connect.de","title":"Die posttraumatische Stressskala-14 (PTSS-14) – Validierung der richtlinienkonformen Übersetzung für den deutschsprachigen Raum","volume":"45","author":[{"family":"Radtke","given":"Finn M."},{"family":"Franck","given":"Martin"},{"family":"Drews","given":"Tanja"},{"family":"Weiß-Gerlach","given":"Edith"},{"family":"Twigg","given":"Emma"},{"family":"Harbeck-Seu","given":"Anja"},{"family":"Krampe","given":"Henning"},{"family":"Spies","given":"Claudia D."}],"issued":{"date-parts":[["2010",11]]}}},{"id":12662,"uris":["http://zotero.org/users/2280436/items/729VMAPB"],"itemData":{"id":12662,"type":"article-journal","abstract":"BACKGROUND: Although rates vary across studies, research in recent years shows that prevalence of post-traumatic stress disorder (PTSD) following intensive care unit (ICU) can be high. Presently no screening tool assessing all three PTSD symptom categories has been validated in ICU patients. The aim of the study was to conduct a preliminary validation of such a measure, the UK- Post-Traumatic Stress Syndrome 14-Questions Inventory (UK-PTSS-14).\nMETHODS: A case series cohort study performed at two ICUs in two UK district general hospitals. The UK-PTSS-14 was administered at three time-points (4-14 days, 2 months and 3 months post-ICU discharge). At time-point three participants also completed the Post-traumatic Stress Diagnostic Scale (PDS) and the Impact of Events Scale (IES).\nRESULTS: Forty-four patients completed the 3-month follow up. The UK-PTSS-14 was internally reliable at all three time-points (Cronbach's alpha=0.89, 0.86 and 0.84, respectively). Test-retest reliability was highest between time-points two and three (ICC=0.90). Concurrent validity at time-point three was high against the PDS (r=0.86) and the IES (r=0.71). Predictive validity was highest at time-point two (r=0.85 with the PDS and r=0.71 with the IES). Receiver operator characteristic curve analysis suggested the highest levels of sensitivity (86%) and specificity (97%) for diagnosis of PTSD were at time-point two, with an optimum decision threshold of 45 points.\nCONCLUSION: This preliminary validation study suggests that the UK-PTSS-14 could be reliably used as a screening instrument at 2 months post-discharge from the ICU to identify those patients in need of referral to specialist psychological services.","container-title":"Acta Anaesthesiologica Scandinavica","DOI":"10.1111/j.1399-6576.2007.01531.x","ISSN":"1399-6576","issue":"2","journalAbbreviation":"Acta Anaesthesiol Scand","language":"eng","note":"PMID: 18005373","page":"202-208","source":"PubMed","title":"Use of a screening questionnaire for post-traumatic stress disorder (PTSD) on a sample of UK ICU patients","volume":"52","author":[{"family":"Twigg","given":"E."},{"family":"Humphris","given":"G."},{"family":"Jones","given":"C."},{"family":"Bramwell","given":"R."},{"family":"Griffiths","given":"R. D."}],"issued":{"date-parts":[["2008",2]]}}}],"schema":"https://github.com/citation-style-language/schema/raw/master/csl-citation.json"} </w:instrText>
      </w:r>
      <w:r w:rsidR="00F66669">
        <w:fldChar w:fldCharType="separate"/>
      </w:r>
      <w:r w:rsidR="00B95AC4" w:rsidRPr="00B95AC4">
        <w:rPr>
          <w:vertAlign w:val="superscript"/>
        </w:rPr>
        <w:t>14,15</w:t>
      </w:r>
      <w:r w:rsidR="00F66669">
        <w:fldChar w:fldCharType="end"/>
      </w:r>
    </w:p>
    <w:p w14:paraId="3A6BB61D" w14:textId="2147BC31" w:rsidR="00CC52C0" w:rsidRDefault="00CC52C0" w:rsidP="00A60BE8">
      <w:pPr>
        <w:pStyle w:val="ListParagraph"/>
        <w:numPr>
          <w:ilvl w:val="0"/>
          <w:numId w:val="2"/>
        </w:numPr>
      </w:pPr>
      <w:r>
        <w:t>Premorbid IQ was assessed using the Mehrfachwahl-Wortschatz-Intelligenztest (MWT-B)</w:t>
      </w:r>
      <w:r w:rsidR="00637CD9">
        <w:t>.</w:t>
      </w:r>
      <w:r w:rsidR="002144C8">
        <w:fldChar w:fldCharType="begin"/>
      </w:r>
      <w:r w:rsidR="00B95AC4">
        <w:instrText xml:space="preserve"> ADDIN ZOTERO_ITEM CSL_CITATION {"citationID":"YAvlxXxs","properties":{"formattedCitation":"\\super 16\\nosupersub{}","plainCitation":"16","noteIndex":0},"citationItems":[{"id":12664,"uris":["http://zotero.org/users/2280436/items/NH3WH4JC"],"itemData":{"id":12664,"type":"document","publisher":"Spitta","title":"Mehrfachwahl-Wortschatz-Intelligenztest: MWT-B","author":[{"family":"Lehrl","given":"S"}],"issued":{"date-parts":[["1999"]]}}}],"schema":"https://github.com/citation-style-language/schema/raw/master/csl-citation.json"} </w:instrText>
      </w:r>
      <w:r w:rsidR="002144C8">
        <w:fldChar w:fldCharType="separate"/>
      </w:r>
      <w:r w:rsidR="00B95AC4" w:rsidRPr="00B95AC4">
        <w:rPr>
          <w:vertAlign w:val="superscript"/>
        </w:rPr>
        <w:t>16</w:t>
      </w:r>
      <w:r w:rsidR="002144C8">
        <w:fldChar w:fldCharType="end"/>
      </w:r>
      <w:r>
        <w:t xml:space="preserve"> In this </w:t>
      </w:r>
      <w:r w:rsidR="0016428E">
        <w:t>multiple-choice</w:t>
      </w:r>
      <w:r>
        <w:t xml:space="preserve"> vocabulary test, participants recognised a German word from a list of four fictitious words. The sum of correctly recognised words (full score 37) was used as a measure of crystallised intelligence.</w:t>
      </w:r>
    </w:p>
    <w:p w14:paraId="05041E22" w14:textId="56F27C52" w:rsidR="008E5ED1" w:rsidRDefault="008E5ED1" w:rsidP="008E5ED1">
      <w:pPr>
        <w:ind w:firstLine="0"/>
      </w:pPr>
    </w:p>
    <w:p w14:paraId="00A3BFDF" w14:textId="6DAE5A43" w:rsidR="008E5ED1" w:rsidRDefault="008E5ED1" w:rsidP="00324B90">
      <w:pPr>
        <w:pStyle w:val="Heading1"/>
      </w:pPr>
      <w:r>
        <w:t>References for Supplementary Materials</w:t>
      </w:r>
    </w:p>
    <w:p w14:paraId="79CEC28A" w14:textId="77777777" w:rsidR="00B95AC4" w:rsidRPr="00B95AC4" w:rsidRDefault="00324B90" w:rsidP="00B95AC4">
      <w:pPr>
        <w:pStyle w:val="Bibliography"/>
      </w:pPr>
      <w:r>
        <w:fldChar w:fldCharType="begin"/>
      </w:r>
      <w:r w:rsidR="00B95AC4">
        <w:instrText xml:space="preserve"> ADDIN ZOTERO_BIBL {"uncited":[],"omitted":[],"custom":[]} CSL_BIBLIOGRAPHY </w:instrText>
      </w:r>
      <w:r>
        <w:fldChar w:fldCharType="separate"/>
      </w:r>
      <w:r w:rsidR="00B95AC4" w:rsidRPr="00B95AC4">
        <w:t>1</w:t>
      </w:r>
      <w:r w:rsidR="00B95AC4" w:rsidRPr="00B95AC4">
        <w:tab/>
        <w:t xml:space="preserve">Sivan M, Taylor S. NICE guideline on long covid. </w:t>
      </w:r>
      <w:r w:rsidR="00B95AC4" w:rsidRPr="00B95AC4">
        <w:rPr>
          <w:i/>
          <w:iCs/>
        </w:rPr>
        <w:t>BMJ</w:t>
      </w:r>
      <w:r w:rsidR="00B95AC4" w:rsidRPr="00B95AC4">
        <w:t xml:space="preserve"> 2020; </w:t>
      </w:r>
      <w:r w:rsidR="00B95AC4" w:rsidRPr="00B95AC4">
        <w:rPr>
          <w:b/>
          <w:bCs/>
        </w:rPr>
        <w:t>371</w:t>
      </w:r>
      <w:r w:rsidR="00B95AC4" w:rsidRPr="00B95AC4">
        <w:t>: m4938.</w:t>
      </w:r>
    </w:p>
    <w:p w14:paraId="0C0A30E1" w14:textId="77777777" w:rsidR="00B95AC4" w:rsidRPr="00B95AC4" w:rsidRDefault="00B95AC4" w:rsidP="00B95AC4">
      <w:pPr>
        <w:pStyle w:val="Bibliography"/>
      </w:pPr>
      <w:r w:rsidRPr="00B95AC4">
        <w:t>2</w:t>
      </w:r>
      <w:r w:rsidRPr="00B95AC4">
        <w:tab/>
        <w:t xml:space="preserve">Crivelli L, Palmer K, Calandri I, </w:t>
      </w:r>
      <w:r w:rsidRPr="00B95AC4">
        <w:rPr>
          <w:i/>
          <w:iCs/>
        </w:rPr>
        <w:t>et al.</w:t>
      </w:r>
      <w:r w:rsidRPr="00B95AC4">
        <w:t xml:space="preserve"> Changes in cognitive functioning after COVID-19: A systematic review and meta-analysis. </w:t>
      </w:r>
      <w:r w:rsidRPr="00B95AC4">
        <w:rPr>
          <w:i/>
          <w:iCs/>
        </w:rPr>
        <w:t>Alzheimer’s &amp; Dementia</w:t>
      </w:r>
      <w:r w:rsidRPr="00B95AC4">
        <w:t xml:space="preserve"> 2022; </w:t>
      </w:r>
      <w:r w:rsidRPr="00B95AC4">
        <w:rPr>
          <w:b/>
          <w:bCs/>
        </w:rPr>
        <w:t>18</w:t>
      </w:r>
      <w:r w:rsidRPr="00B95AC4">
        <w:t>: 1047–66.</w:t>
      </w:r>
    </w:p>
    <w:p w14:paraId="7E01EE3E" w14:textId="77777777" w:rsidR="00B95AC4" w:rsidRPr="00B95AC4" w:rsidRDefault="00B95AC4" w:rsidP="00B95AC4">
      <w:pPr>
        <w:pStyle w:val="Bibliography"/>
      </w:pPr>
      <w:r w:rsidRPr="00B95AC4">
        <w:t>3</w:t>
      </w:r>
      <w:r w:rsidRPr="00B95AC4">
        <w:tab/>
        <w:t xml:space="preserve">Hampshire A, Trender W, Chamberlain SR, </w:t>
      </w:r>
      <w:r w:rsidRPr="00B95AC4">
        <w:rPr>
          <w:i/>
          <w:iCs/>
        </w:rPr>
        <w:t>et al.</w:t>
      </w:r>
      <w:r w:rsidRPr="00B95AC4">
        <w:t xml:space="preserve"> Cognitive deficits in people who have recovered from COVID-19. </w:t>
      </w:r>
      <w:r w:rsidRPr="00B95AC4">
        <w:rPr>
          <w:i/>
          <w:iCs/>
        </w:rPr>
        <w:t>EClinicalMedicine</w:t>
      </w:r>
      <w:r w:rsidRPr="00B95AC4">
        <w:t xml:space="preserve"> 2021; </w:t>
      </w:r>
      <w:r w:rsidRPr="00B95AC4">
        <w:rPr>
          <w:b/>
          <w:bCs/>
        </w:rPr>
        <w:t>39</w:t>
      </w:r>
      <w:r w:rsidRPr="00B95AC4">
        <w:t>. DOI:10.1016/j.eclinm.2021.101044.</w:t>
      </w:r>
    </w:p>
    <w:p w14:paraId="2B1DBDCE" w14:textId="77777777" w:rsidR="00B95AC4" w:rsidRPr="00B95AC4" w:rsidRDefault="00B95AC4" w:rsidP="00B95AC4">
      <w:pPr>
        <w:pStyle w:val="Bibliography"/>
      </w:pPr>
      <w:r w:rsidRPr="00B95AC4">
        <w:t>4</w:t>
      </w:r>
      <w:r w:rsidRPr="00B95AC4">
        <w:tab/>
        <w:t xml:space="preserve">Zhao S, Toniolo S, Hampshire A, Husain M. Effects of COVID-19 on cognition and brain health. </w:t>
      </w:r>
      <w:r w:rsidRPr="00B95AC4">
        <w:rPr>
          <w:i/>
          <w:iCs/>
        </w:rPr>
        <w:t>Trends in Cognitive Sciences</w:t>
      </w:r>
      <w:r w:rsidRPr="00B95AC4">
        <w:t xml:space="preserve"> 2023; published online Aug 30. DOI:10.1016/j.tics.2023.08.008.</w:t>
      </w:r>
    </w:p>
    <w:p w14:paraId="2F07564A" w14:textId="77777777" w:rsidR="00B95AC4" w:rsidRPr="00B95AC4" w:rsidRDefault="00B95AC4" w:rsidP="00B95AC4">
      <w:pPr>
        <w:pStyle w:val="Bibliography"/>
      </w:pPr>
      <w:r w:rsidRPr="00B95AC4">
        <w:t>5</w:t>
      </w:r>
      <w:r w:rsidRPr="00B95AC4">
        <w:tab/>
        <w:t xml:space="preserve">Nuechterlein K, Parasuraman R, Jiang Q. Visual sustained attention: image degradation produces rapid sensitivity decrement over time. </w:t>
      </w:r>
      <w:r w:rsidRPr="00B95AC4">
        <w:rPr>
          <w:i/>
          <w:iCs/>
        </w:rPr>
        <w:t>Science</w:t>
      </w:r>
      <w:r w:rsidRPr="00B95AC4">
        <w:t xml:space="preserve"> 1983; </w:t>
      </w:r>
      <w:r w:rsidRPr="00B95AC4">
        <w:rPr>
          <w:b/>
          <w:bCs/>
        </w:rPr>
        <w:t>220</w:t>
      </w:r>
      <w:r w:rsidRPr="00B95AC4">
        <w:t>: 327–9.</w:t>
      </w:r>
    </w:p>
    <w:p w14:paraId="47860F2D" w14:textId="77777777" w:rsidR="00B95AC4" w:rsidRPr="00B95AC4" w:rsidRDefault="00B95AC4" w:rsidP="00B95AC4">
      <w:pPr>
        <w:pStyle w:val="Bibliography"/>
      </w:pPr>
      <w:r w:rsidRPr="00B95AC4">
        <w:t>6</w:t>
      </w:r>
      <w:r w:rsidRPr="00B95AC4">
        <w:tab/>
        <w:t xml:space="preserve">Zhao S, Shibata K, Hellyer PJ, </w:t>
      </w:r>
      <w:r w:rsidRPr="00B95AC4">
        <w:rPr>
          <w:i/>
          <w:iCs/>
        </w:rPr>
        <w:t>et al.</w:t>
      </w:r>
      <w:r w:rsidRPr="00B95AC4">
        <w:t xml:space="preserve"> Rapid vigilance and episodic memory decrements in COVID-19 survivors. </w:t>
      </w:r>
      <w:r w:rsidRPr="00B95AC4">
        <w:rPr>
          <w:i/>
          <w:iCs/>
        </w:rPr>
        <w:t>Brain Communications</w:t>
      </w:r>
      <w:r w:rsidRPr="00B95AC4">
        <w:t xml:space="preserve"> 2022; </w:t>
      </w:r>
      <w:r w:rsidRPr="00B95AC4">
        <w:rPr>
          <w:b/>
          <w:bCs/>
        </w:rPr>
        <w:t>4</w:t>
      </w:r>
      <w:r w:rsidRPr="00B95AC4">
        <w:t>: fcab295.</w:t>
      </w:r>
    </w:p>
    <w:p w14:paraId="7D011752" w14:textId="77777777" w:rsidR="00B95AC4" w:rsidRPr="00B95AC4" w:rsidRDefault="00B95AC4" w:rsidP="00B95AC4">
      <w:pPr>
        <w:pStyle w:val="Bibliography"/>
      </w:pPr>
      <w:r w:rsidRPr="00B95AC4">
        <w:t>7</w:t>
      </w:r>
      <w:r w:rsidRPr="00B95AC4">
        <w:tab/>
        <w:t xml:space="preserve">Martin EM, Rupprecht S, Schrenk S, </w:t>
      </w:r>
      <w:r w:rsidRPr="00B95AC4">
        <w:rPr>
          <w:i/>
          <w:iCs/>
        </w:rPr>
        <w:t>et al.</w:t>
      </w:r>
      <w:r w:rsidRPr="00B95AC4">
        <w:t xml:space="preserve"> A hypoarousal model of neurological post-COVID syndrome: the relation between mental fatigue, the level of central nervous activation and cognitive processing speed. </w:t>
      </w:r>
      <w:r w:rsidRPr="00B95AC4">
        <w:rPr>
          <w:i/>
          <w:iCs/>
        </w:rPr>
        <w:t>J Neurol</w:t>
      </w:r>
      <w:r w:rsidRPr="00B95AC4">
        <w:t xml:space="preserve"> 2023; published online June 25. DOI:10.1007/s00415-023-11819-7.</w:t>
      </w:r>
    </w:p>
    <w:p w14:paraId="2DE8AD29" w14:textId="77777777" w:rsidR="00B95AC4" w:rsidRPr="00B95AC4" w:rsidRDefault="00B95AC4" w:rsidP="00B95AC4">
      <w:pPr>
        <w:pStyle w:val="Bibliography"/>
      </w:pPr>
      <w:r w:rsidRPr="00B95AC4">
        <w:t>8</w:t>
      </w:r>
      <w:r w:rsidRPr="00B95AC4">
        <w:tab/>
        <w:t xml:space="preserve">Bridges D, Pitiot A, MacAskill MR, Peirce JW. The timing mega-study: comparing a range of experiment generators, both lab-based and online. </w:t>
      </w:r>
      <w:r w:rsidRPr="00B95AC4">
        <w:rPr>
          <w:i/>
          <w:iCs/>
        </w:rPr>
        <w:t>PeerJ</w:t>
      </w:r>
      <w:r w:rsidRPr="00B95AC4">
        <w:t xml:space="preserve"> 2020; </w:t>
      </w:r>
      <w:r w:rsidRPr="00B95AC4">
        <w:rPr>
          <w:b/>
          <w:bCs/>
        </w:rPr>
        <w:t>8</w:t>
      </w:r>
      <w:r w:rsidRPr="00B95AC4">
        <w:t>: e9414.</w:t>
      </w:r>
    </w:p>
    <w:p w14:paraId="5247C7D9" w14:textId="77777777" w:rsidR="00B95AC4" w:rsidRPr="00B95AC4" w:rsidRDefault="00B95AC4" w:rsidP="00B95AC4">
      <w:pPr>
        <w:pStyle w:val="Bibliography"/>
      </w:pPr>
      <w:r w:rsidRPr="00B95AC4">
        <w:t>9</w:t>
      </w:r>
      <w:r w:rsidRPr="00B95AC4">
        <w:tab/>
        <w:t>Herrmann-Lingen C, Buss U, Snaith P, Herrmann-Lingen C. Hospital anxiety and depression scale deutsche Version; HADS-D, 3., aktual. u. neu normierte Aufl. Bern: Huber, 2011.</w:t>
      </w:r>
    </w:p>
    <w:p w14:paraId="26CAB463" w14:textId="77777777" w:rsidR="00B95AC4" w:rsidRPr="00B95AC4" w:rsidRDefault="00B95AC4" w:rsidP="00B95AC4">
      <w:pPr>
        <w:pStyle w:val="Bibliography"/>
      </w:pPr>
      <w:r w:rsidRPr="00B95AC4">
        <w:t>10</w:t>
      </w:r>
      <w:r w:rsidRPr="00B95AC4">
        <w:tab/>
        <w:t xml:space="preserve">Zigmond AS, Snaith RP. The Hospital Anxiety and Depression Scale. </w:t>
      </w:r>
      <w:r w:rsidRPr="00B95AC4">
        <w:rPr>
          <w:i/>
          <w:iCs/>
        </w:rPr>
        <w:t>Acta Psychiatrica Scandinavica</w:t>
      </w:r>
      <w:r w:rsidRPr="00B95AC4">
        <w:t xml:space="preserve"> 1983; </w:t>
      </w:r>
      <w:r w:rsidRPr="00B95AC4">
        <w:rPr>
          <w:b/>
          <w:bCs/>
        </w:rPr>
        <w:t>67</w:t>
      </w:r>
      <w:r w:rsidRPr="00B95AC4">
        <w:t>: 361–70.</w:t>
      </w:r>
    </w:p>
    <w:p w14:paraId="49770AAA" w14:textId="77777777" w:rsidR="00B95AC4" w:rsidRPr="00B95AC4" w:rsidRDefault="00B95AC4" w:rsidP="00B95AC4">
      <w:pPr>
        <w:pStyle w:val="Bibliography"/>
      </w:pPr>
      <w:r w:rsidRPr="00B95AC4">
        <w:t>11</w:t>
      </w:r>
      <w:r w:rsidRPr="00B95AC4">
        <w:tab/>
        <w:t xml:space="preserve">Michielsen HJ, De Vries J, Van Heck GL. Psychometric qualities of a brief self-rated fatigue measure: The Fatigue Assessment Scale. </w:t>
      </w:r>
      <w:r w:rsidRPr="00B95AC4">
        <w:rPr>
          <w:i/>
          <w:iCs/>
        </w:rPr>
        <w:t>Journal of Psychosomatic Research</w:t>
      </w:r>
      <w:r w:rsidRPr="00B95AC4">
        <w:t xml:space="preserve"> 2003; </w:t>
      </w:r>
      <w:r w:rsidRPr="00B95AC4">
        <w:rPr>
          <w:b/>
          <w:bCs/>
        </w:rPr>
        <w:t>54</w:t>
      </w:r>
      <w:r w:rsidRPr="00B95AC4">
        <w:t>: 345–52.</w:t>
      </w:r>
    </w:p>
    <w:p w14:paraId="76E0E748" w14:textId="77777777" w:rsidR="00B95AC4" w:rsidRPr="00B95AC4" w:rsidRDefault="00B95AC4" w:rsidP="00B95AC4">
      <w:pPr>
        <w:pStyle w:val="Bibliography"/>
      </w:pPr>
      <w:r w:rsidRPr="00B95AC4">
        <w:t>12</w:t>
      </w:r>
      <w:r w:rsidRPr="00B95AC4">
        <w:tab/>
        <w:t xml:space="preserve">Mendoza TR, Wang XS, Cleeland CS, </w:t>
      </w:r>
      <w:r w:rsidRPr="00B95AC4">
        <w:rPr>
          <w:i/>
          <w:iCs/>
        </w:rPr>
        <w:t>et al.</w:t>
      </w:r>
      <w:r w:rsidRPr="00B95AC4">
        <w:t xml:space="preserve"> The rapid assessment of fatigue severity in cancer patients. </w:t>
      </w:r>
      <w:r w:rsidRPr="00B95AC4">
        <w:rPr>
          <w:i/>
          <w:iCs/>
        </w:rPr>
        <w:t>Cancer</w:t>
      </w:r>
      <w:r w:rsidRPr="00B95AC4">
        <w:t xml:space="preserve"> 1999; </w:t>
      </w:r>
      <w:r w:rsidRPr="00B95AC4">
        <w:rPr>
          <w:b/>
          <w:bCs/>
        </w:rPr>
        <w:t>85</w:t>
      </w:r>
      <w:r w:rsidRPr="00B95AC4">
        <w:t>: 1186–96.</w:t>
      </w:r>
    </w:p>
    <w:p w14:paraId="2D15B8F5" w14:textId="77777777" w:rsidR="00B95AC4" w:rsidRPr="00B95AC4" w:rsidRDefault="00B95AC4" w:rsidP="00B95AC4">
      <w:pPr>
        <w:pStyle w:val="Bibliography"/>
      </w:pPr>
      <w:r w:rsidRPr="00B95AC4">
        <w:lastRenderedPageBreak/>
        <w:t>13</w:t>
      </w:r>
      <w:r w:rsidRPr="00B95AC4">
        <w:tab/>
        <w:t xml:space="preserve">Bloch KE, Schoch OD, Zhang JN, Russi EW. German Version of the Epworth Sleepiness Scale. </w:t>
      </w:r>
      <w:r w:rsidRPr="00B95AC4">
        <w:rPr>
          <w:i/>
          <w:iCs/>
        </w:rPr>
        <w:t>Respiration</w:t>
      </w:r>
      <w:r w:rsidRPr="00B95AC4">
        <w:t xml:space="preserve"> 1999; </w:t>
      </w:r>
      <w:r w:rsidRPr="00B95AC4">
        <w:rPr>
          <w:b/>
          <w:bCs/>
        </w:rPr>
        <w:t>66</w:t>
      </w:r>
      <w:r w:rsidRPr="00B95AC4">
        <w:t>: 440–7.</w:t>
      </w:r>
    </w:p>
    <w:p w14:paraId="356555F6" w14:textId="77777777" w:rsidR="00B95AC4" w:rsidRPr="00B95AC4" w:rsidRDefault="00B95AC4" w:rsidP="00B95AC4">
      <w:pPr>
        <w:pStyle w:val="Bibliography"/>
      </w:pPr>
      <w:r w:rsidRPr="00B95AC4">
        <w:t>14</w:t>
      </w:r>
      <w:r w:rsidRPr="00B95AC4">
        <w:tab/>
        <w:t xml:space="preserve">Radtke FM, Franck M, Drews T, </w:t>
      </w:r>
      <w:r w:rsidRPr="00B95AC4">
        <w:rPr>
          <w:i/>
          <w:iCs/>
        </w:rPr>
        <w:t>et al.</w:t>
      </w:r>
      <w:r w:rsidRPr="00B95AC4">
        <w:t xml:space="preserve"> Die posttraumatische Stressskala-14 (PTSS-14) – Validierung der richtlinienkonformen Übersetzung für den deutschsprachigen Raum. </w:t>
      </w:r>
      <w:r w:rsidRPr="00B95AC4">
        <w:rPr>
          <w:i/>
          <w:iCs/>
        </w:rPr>
        <w:t>Anästhesiol Intensivmed Notfallmed Schmerzther</w:t>
      </w:r>
      <w:r w:rsidRPr="00B95AC4">
        <w:t xml:space="preserve"> 2010; </w:t>
      </w:r>
      <w:r w:rsidRPr="00B95AC4">
        <w:rPr>
          <w:b/>
          <w:bCs/>
        </w:rPr>
        <w:t>45</w:t>
      </w:r>
      <w:r w:rsidRPr="00B95AC4">
        <w:t>: 688–95.</w:t>
      </w:r>
    </w:p>
    <w:p w14:paraId="0B9F98BC" w14:textId="77777777" w:rsidR="00B95AC4" w:rsidRPr="00B95AC4" w:rsidRDefault="00B95AC4" w:rsidP="00B95AC4">
      <w:pPr>
        <w:pStyle w:val="Bibliography"/>
      </w:pPr>
      <w:r w:rsidRPr="00B95AC4">
        <w:t>15</w:t>
      </w:r>
      <w:r w:rsidRPr="00B95AC4">
        <w:tab/>
        <w:t xml:space="preserve">Twigg E, Humphris G, Jones C, Bramwell R, Griffiths RD. Use of a screening questionnaire for post-traumatic stress disorder (PTSD) on a sample of UK ICU patients. </w:t>
      </w:r>
      <w:r w:rsidRPr="00B95AC4">
        <w:rPr>
          <w:i/>
          <w:iCs/>
        </w:rPr>
        <w:t>Acta Anaesthesiol Scand</w:t>
      </w:r>
      <w:r w:rsidRPr="00B95AC4">
        <w:t xml:space="preserve"> 2008; </w:t>
      </w:r>
      <w:r w:rsidRPr="00B95AC4">
        <w:rPr>
          <w:b/>
          <w:bCs/>
        </w:rPr>
        <w:t>52</w:t>
      </w:r>
      <w:r w:rsidRPr="00B95AC4">
        <w:t>: 202–8.</w:t>
      </w:r>
    </w:p>
    <w:p w14:paraId="04B31A06" w14:textId="77777777" w:rsidR="00B95AC4" w:rsidRPr="00B95AC4" w:rsidRDefault="00B95AC4" w:rsidP="00B95AC4">
      <w:pPr>
        <w:pStyle w:val="Bibliography"/>
      </w:pPr>
      <w:r w:rsidRPr="00B95AC4">
        <w:t>16</w:t>
      </w:r>
      <w:r w:rsidRPr="00B95AC4">
        <w:tab/>
        <w:t>Lehrl S. Mehrfachwahl-Wortschatz-Intelligenztest: MWT-B. 1999.</w:t>
      </w:r>
    </w:p>
    <w:p w14:paraId="0FC4CB65" w14:textId="45F9CE0E" w:rsidR="00324B90" w:rsidRPr="00324B90" w:rsidRDefault="00324B90" w:rsidP="00324B90">
      <w:pPr>
        <w:ind w:firstLine="0"/>
      </w:pPr>
      <w:r>
        <w:fldChar w:fldCharType="end"/>
      </w:r>
    </w:p>
    <w:sectPr w:rsidR="00324B90" w:rsidRPr="00324B90" w:rsidSect="00A07C6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436A" w14:textId="77777777" w:rsidR="006567C0" w:rsidRDefault="006567C0" w:rsidP="00CC52C0">
      <w:r>
        <w:separator/>
      </w:r>
    </w:p>
  </w:endnote>
  <w:endnote w:type="continuationSeparator" w:id="0">
    <w:p w14:paraId="79C6830C" w14:textId="77777777" w:rsidR="006567C0" w:rsidRDefault="006567C0" w:rsidP="00CC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MF NianZhen(Noncommercial)">
    <w:panose1 w:val="00000000000000000000"/>
    <w:charset w:val="86"/>
    <w:family w:val="auto"/>
    <w:pitch w:val="variable"/>
    <w:sig w:usb0="00000001" w:usb1="080F0000" w:usb2="00000012" w:usb3="00000000" w:csb0="00040000" w:csb1="00000000"/>
  </w:font>
  <w:font w:name="Avenir Next LT Pro">
    <w:charset w:val="00"/>
    <w:family w:val="swiss"/>
    <w:pitch w:val="variable"/>
    <w:sig w:usb0="800000EF" w:usb1="5000204A" w:usb2="00000000" w:usb3="00000000" w:csb0="0000009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511721"/>
      <w:docPartObj>
        <w:docPartGallery w:val="Page Numbers (Bottom of Page)"/>
        <w:docPartUnique/>
      </w:docPartObj>
    </w:sdtPr>
    <w:sdtContent>
      <w:sdt>
        <w:sdtPr>
          <w:id w:val="1728636285"/>
          <w:docPartObj>
            <w:docPartGallery w:val="Page Numbers (Top of Page)"/>
            <w:docPartUnique/>
          </w:docPartObj>
        </w:sdtPr>
        <w:sdtContent>
          <w:p w14:paraId="49D95DA2" w14:textId="77EC57DF" w:rsidR="0016428E" w:rsidRDefault="0016428E">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A1295AE" w14:textId="77777777" w:rsidR="00D35106" w:rsidRDefault="00D35106" w:rsidP="00CC5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EFC9" w14:textId="77777777" w:rsidR="006567C0" w:rsidRDefault="006567C0" w:rsidP="00CC52C0">
      <w:r>
        <w:separator/>
      </w:r>
    </w:p>
  </w:footnote>
  <w:footnote w:type="continuationSeparator" w:id="0">
    <w:p w14:paraId="387A7F3A" w14:textId="77777777" w:rsidR="006567C0" w:rsidRDefault="006567C0" w:rsidP="00CC5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7FF"/>
    <w:multiLevelType w:val="hybridMultilevel"/>
    <w:tmpl w:val="708E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F3D52"/>
    <w:multiLevelType w:val="multilevel"/>
    <w:tmpl w:val="688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258337">
    <w:abstractNumId w:val="1"/>
  </w:num>
  <w:num w:numId="2" w16cid:durableId="49769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tbA0NDYyMjYytzBU0lEKTi0uzszPAykwrgUATy8sTSwAAAA="/>
  </w:docVars>
  <w:rsids>
    <w:rsidRoot w:val="00F0112A"/>
    <w:rsid w:val="00016799"/>
    <w:rsid w:val="000C0E99"/>
    <w:rsid w:val="001211A7"/>
    <w:rsid w:val="00161719"/>
    <w:rsid w:val="0016428E"/>
    <w:rsid w:val="00177C30"/>
    <w:rsid w:val="00190018"/>
    <w:rsid w:val="002144C8"/>
    <w:rsid w:val="002468DF"/>
    <w:rsid w:val="002D0647"/>
    <w:rsid w:val="002E2E68"/>
    <w:rsid w:val="00324B90"/>
    <w:rsid w:val="0033191E"/>
    <w:rsid w:val="0036175C"/>
    <w:rsid w:val="003759E5"/>
    <w:rsid w:val="003855FC"/>
    <w:rsid w:val="003E740C"/>
    <w:rsid w:val="003F130E"/>
    <w:rsid w:val="00451324"/>
    <w:rsid w:val="004B1FC0"/>
    <w:rsid w:val="004D3504"/>
    <w:rsid w:val="004D3808"/>
    <w:rsid w:val="004E45E5"/>
    <w:rsid w:val="004F1C38"/>
    <w:rsid w:val="005A5BEE"/>
    <w:rsid w:val="005C18BD"/>
    <w:rsid w:val="00637CD9"/>
    <w:rsid w:val="00651FFD"/>
    <w:rsid w:val="006552A1"/>
    <w:rsid w:val="006567C0"/>
    <w:rsid w:val="007312AE"/>
    <w:rsid w:val="00743067"/>
    <w:rsid w:val="00767C9C"/>
    <w:rsid w:val="00777710"/>
    <w:rsid w:val="007A71DD"/>
    <w:rsid w:val="007A7540"/>
    <w:rsid w:val="007B691E"/>
    <w:rsid w:val="007B7EF2"/>
    <w:rsid w:val="007C1D13"/>
    <w:rsid w:val="007D0825"/>
    <w:rsid w:val="00801454"/>
    <w:rsid w:val="008E330C"/>
    <w:rsid w:val="008E5ED1"/>
    <w:rsid w:val="009C49B7"/>
    <w:rsid w:val="009C7052"/>
    <w:rsid w:val="009F2B51"/>
    <w:rsid w:val="00A07C6F"/>
    <w:rsid w:val="00A60BE8"/>
    <w:rsid w:val="00B34709"/>
    <w:rsid w:val="00B356CE"/>
    <w:rsid w:val="00B91EB4"/>
    <w:rsid w:val="00B95AC4"/>
    <w:rsid w:val="00BB0B60"/>
    <w:rsid w:val="00C42D5D"/>
    <w:rsid w:val="00C65240"/>
    <w:rsid w:val="00CC52C0"/>
    <w:rsid w:val="00D35106"/>
    <w:rsid w:val="00DC51B2"/>
    <w:rsid w:val="00DD4A2E"/>
    <w:rsid w:val="00E01AAB"/>
    <w:rsid w:val="00E148C0"/>
    <w:rsid w:val="00E34433"/>
    <w:rsid w:val="00E53212"/>
    <w:rsid w:val="00E7030C"/>
    <w:rsid w:val="00EA07FD"/>
    <w:rsid w:val="00EC2C79"/>
    <w:rsid w:val="00F0112A"/>
    <w:rsid w:val="00F12742"/>
    <w:rsid w:val="00F23985"/>
    <w:rsid w:val="00F573D0"/>
    <w:rsid w:val="00F66669"/>
    <w:rsid w:val="00FA465A"/>
    <w:rsid w:val="00FB6DDE"/>
    <w:rsid w:val="00FD2D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446C"/>
  <w15:chartTrackingRefBased/>
  <w15:docId w15:val="{B5E3A3AB-99EF-4E43-8FFD-BD53B78C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2E"/>
    <w:pPr>
      <w:ind w:firstLine="720"/>
      <w:jc w:val="both"/>
    </w:pPr>
    <w:rPr>
      <w:rFonts w:ascii="Times New Roman" w:eastAsia="Times New Roman" w:hAnsi="Times New Roman" w:cs="Times New Roman"/>
      <w:kern w:val="0"/>
      <w:sz w:val="20"/>
      <w14:ligatures w14:val="none"/>
    </w:rPr>
  </w:style>
  <w:style w:type="paragraph" w:styleId="Heading1">
    <w:name w:val="heading 1"/>
    <w:basedOn w:val="Normal"/>
    <w:next w:val="Normal"/>
    <w:link w:val="Heading1Char"/>
    <w:uiPriority w:val="9"/>
    <w:qFormat/>
    <w:rsid w:val="00CC52C0"/>
    <w:pPr>
      <w:keepNext/>
      <w:keepLines/>
      <w:spacing w:before="240"/>
      <w:ind w:firstLine="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65240"/>
    <w:pPr>
      <w:keepNext/>
      <w:keepLines/>
      <w:spacing w:before="120"/>
      <w:ind w:firstLine="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E148C0"/>
    <w:pPr>
      <w:keepNext/>
      <w:keepLines/>
      <w:spacing w:before="40"/>
      <w:outlineLvl w:val="2"/>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标题 1"/>
    <w:next w:val="Normal"/>
    <w:uiPriority w:val="9"/>
    <w:unhideWhenUsed/>
    <w:rsid w:val="007A7540"/>
    <w:pPr>
      <w:spacing w:before="260" w:after="260"/>
      <w:outlineLvl w:val="0"/>
    </w:pPr>
    <w:rPr>
      <w:rFonts w:ascii="MF NianZhen(Noncommercial)" w:eastAsia="MF NianZhen(Noncommercial)" w:hAnsi="MF NianZhen(Noncommercial)"/>
      <w:b/>
      <w:bCs/>
      <w:sz w:val="96"/>
      <w:szCs w:val="96"/>
    </w:rPr>
  </w:style>
  <w:style w:type="paragraph" w:customStyle="1" w:styleId="2">
    <w:name w:val="标题 2"/>
    <w:next w:val="Normal"/>
    <w:uiPriority w:val="9"/>
    <w:unhideWhenUsed/>
    <w:rsid w:val="007A7540"/>
    <w:pPr>
      <w:spacing w:before="260" w:after="260"/>
      <w:outlineLvl w:val="1"/>
    </w:pPr>
    <w:rPr>
      <w:rFonts w:ascii="MF NianZhen(Noncommercial)" w:eastAsia="MF NianZhen(Noncommercial)"/>
      <w:b/>
      <w:bCs/>
      <w:sz w:val="40"/>
      <w:szCs w:val="40"/>
    </w:rPr>
  </w:style>
  <w:style w:type="paragraph" w:customStyle="1" w:styleId="3">
    <w:name w:val="标题 3"/>
    <w:next w:val="Normal"/>
    <w:uiPriority w:val="9"/>
    <w:unhideWhenUsed/>
    <w:rsid w:val="007A7540"/>
    <w:pPr>
      <w:spacing w:before="260" w:after="260"/>
      <w:outlineLvl w:val="2"/>
    </w:pPr>
    <w:rPr>
      <w:rFonts w:ascii="MF NianZhen(Noncommercial)" w:eastAsia="MF NianZhen(Noncommercial)"/>
      <w:b/>
      <w:bCs/>
      <w:color w:val="FF098A"/>
      <w:sz w:val="32"/>
      <w:szCs w:val="32"/>
    </w:rPr>
  </w:style>
  <w:style w:type="paragraph" w:customStyle="1" w:styleId="4">
    <w:name w:val="石墨文档标题 4"/>
    <w:next w:val="Normal"/>
    <w:uiPriority w:val="9"/>
    <w:unhideWhenUsed/>
    <w:rsid w:val="007A7540"/>
    <w:pPr>
      <w:spacing w:before="260" w:after="260"/>
      <w:outlineLvl w:val="3"/>
    </w:pPr>
    <w:rPr>
      <w:b/>
      <w:bCs/>
    </w:rPr>
  </w:style>
  <w:style w:type="character" w:styleId="Emphasis">
    <w:name w:val="Emphasis"/>
    <w:basedOn w:val="DefaultParagraphFont"/>
    <w:uiPriority w:val="20"/>
    <w:qFormat/>
    <w:rsid w:val="00777710"/>
    <w:rPr>
      <w:i/>
      <w:iCs/>
    </w:rPr>
  </w:style>
  <w:style w:type="paragraph" w:styleId="IntenseQuote">
    <w:name w:val="Intense Quote"/>
    <w:basedOn w:val="Normal"/>
    <w:next w:val="Normal"/>
    <w:link w:val="IntenseQuoteChar"/>
    <w:uiPriority w:val="30"/>
    <w:qFormat/>
    <w:rsid w:val="00777710"/>
    <w:pPr>
      <w:pBdr>
        <w:top w:val="single" w:sz="4" w:space="10" w:color="4E67C8" w:themeColor="accent1"/>
        <w:bottom w:val="single" w:sz="4" w:space="10" w:color="4E67C8" w:themeColor="accent1"/>
      </w:pBdr>
      <w:spacing w:before="360" w:after="360"/>
      <w:ind w:left="864" w:right="864"/>
      <w:jc w:val="center"/>
    </w:pPr>
    <w:rPr>
      <w:i/>
      <w:iCs/>
      <w:color w:val="4E67C8" w:themeColor="accent1"/>
    </w:rPr>
  </w:style>
  <w:style w:type="character" w:customStyle="1" w:styleId="IntenseQuoteChar">
    <w:name w:val="Intense Quote Char"/>
    <w:basedOn w:val="DefaultParagraphFont"/>
    <w:link w:val="IntenseQuote"/>
    <w:uiPriority w:val="30"/>
    <w:rsid w:val="00777710"/>
    <w:rPr>
      <w:rFonts w:ascii="Avenir Next LT Pro" w:hAnsi="Avenir Next LT Pro"/>
      <w:i/>
      <w:iCs/>
      <w:color w:val="4E67C8" w:themeColor="accent1"/>
    </w:rPr>
  </w:style>
  <w:style w:type="character" w:styleId="SubtleEmphasis">
    <w:name w:val="Subtle Emphasis"/>
    <w:basedOn w:val="DefaultParagraphFont"/>
    <w:uiPriority w:val="19"/>
    <w:qFormat/>
    <w:rsid w:val="00777710"/>
    <w:rPr>
      <w:i/>
      <w:iCs/>
      <w:color w:val="404040" w:themeColor="text1" w:themeTint="BF"/>
    </w:rPr>
  </w:style>
  <w:style w:type="character" w:styleId="IntenseEmphasis">
    <w:name w:val="Intense Emphasis"/>
    <w:basedOn w:val="DefaultParagraphFont"/>
    <w:uiPriority w:val="21"/>
    <w:qFormat/>
    <w:rsid w:val="00777710"/>
    <w:rPr>
      <w:i/>
      <w:iCs/>
      <w:color w:val="4E67C8" w:themeColor="accent1"/>
    </w:rPr>
  </w:style>
  <w:style w:type="character" w:customStyle="1" w:styleId="Heading1Char">
    <w:name w:val="Heading 1 Char"/>
    <w:basedOn w:val="DefaultParagraphFont"/>
    <w:link w:val="Heading1"/>
    <w:uiPriority w:val="9"/>
    <w:rsid w:val="00CC52C0"/>
    <w:rPr>
      <w:rFonts w:ascii="Times New Roman" w:eastAsiaTheme="majorEastAsia" w:hAnsi="Times New Roman" w:cstheme="majorBidi"/>
      <w:b/>
      <w:kern w:val="0"/>
      <w:sz w:val="20"/>
      <w:szCs w:val="32"/>
      <w14:ligatures w14:val="none"/>
    </w:rPr>
  </w:style>
  <w:style w:type="character" w:customStyle="1" w:styleId="Heading2Char">
    <w:name w:val="Heading 2 Char"/>
    <w:basedOn w:val="DefaultParagraphFont"/>
    <w:link w:val="Heading2"/>
    <w:uiPriority w:val="9"/>
    <w:rsid w:val="00C65240"/>
    <w:rPr>
      <w:rFonts w:asciiTheme="majorHAnsi" w:eastAsiaTheme="majorEastAsia" w:hAnsiTheme="majorHAnsi" w:cstheme="majorBidi"/>
      <w:b/>
      <w:kern w:val="0"/>
      <w:sz w:val="20"/>
      <w:szCs w:val="26"/>
      <w14:ligatures w14:val="none"/>
    </w:rPr>
  </w:style>
  <w:style w:type="paragraph" w:styleId="Header">
    <w:name w:val="header"/>
    <w:basedOn w:val="Normal"/>
    <w:link w:val="HeaderChar"/>
    <w:uiPriority w:val="99"/>
    <w:unhideWhenUsed/>
    <w:rsid w:val="00D35106"/>
    <w:pPr>
      <w:tabs>
        <w:tab w:val="center" w:pos="4513"/>
        <w:tab w:val="right" w:pos="9026"/>
      </w:tabs>
    </w:pPr>
  </w:style>
  <w:style w:type="character" w:customStyle="1" w:styleId="HeaderChar">
    <w:name w:val="Header Char"/>
    <w:basedOn w:val="DefaultParagraphFont"/>
    <w:link w:val="Header"/>
    <w:uiPriority w:val="99"/>
    <w:rsid w:val="00D35106"/>
    <w:rPr>
      <w:rFonts w:ascii="Corbel" w:hAnsi="Corbel"/>
    </w:rPr>
  </w:style>
  <w:style w:type="paragraph" w:styleId="Footer">
    <w:name w:val="footer"/>
    <w:basedOn w:val="Normal"/>
    <w:link w:val="FooterChar"/>
    <w:uiPriority w:val="99"/>
    <w:unhideWhenUsed/>
    <w:rsid w:val="00D35106"/>
    <w:pPr>
      <w:tabs>
        <w:tab w:val="center" w:pos="4513"/>
        <w:tab w:val="right" w:pos="9026"/>
      </w:tabs>
    </w:pPr>
  </w:style>
  <w:style w:type="character" w:customStyle="1" w:styleId="FooterChar">
    <w:name w:val="Footer Char"/>
    <w:basedOn w:val="DefaultParagraphFont"/>
    <w:link w:val="Footer"/>
    <w:uiPriority w:val="99"/>
    <w:rsid w:val="00D35106"/>
    <w:rPr>
      <w:rFonts w:ascii="Corbel" w:hAnsi="Corbel"/>
    </w:rPr>
  </w:style>
  <w:style w:type="character" w:customStyle="1" w:styleId="Heading3Char">
    <w:name w:val="Heading 3 Char"/>
    <w:basedOn w:val="DefaultParagraphFont"/>
    <w:link w:val="Heading3"/>
    <w:uiPriority w:val="9"/>
    <w:rsid w:val="00E148C0"/>
    <w:rPr>
      <w:rFonts w:asciiTheme="majorHAnsi" w:eastAsiaTheme="majorEastAsia" w:hAnsiTheme="majorHAnsi" w:cstheme="majorBidi"/>
      <w:b/>
      <w:kern w:val="0"/>
      <w:sz w:val="20"/>
      <w14:ligatures w14:val="none"/>
    </w:rPr>
  </w:style>
  <w:style w:type="paragraph" w:styleId="NormalWeb">
    <w:name w:val="Normal (Web)"/>
    <w:basedOn w:val="Normal"/>
    <w:uiPriority w:val="99"/>
    <w:unhideWhenUsed/>
    <w:rsid w:val="00B91EB4"/>
    <w:pPr>
      <w:spacing w:before="100" w:beforeAutospacing="1" w:after="100" w:afterAutospacing="1"/>
    </w:pPr>
  </w:style>
  <w:style w:type="character" w:styleId="Hyperlink">
    <w:name w:val="Hyperlink"/>
    <w:basedOn w:val="DefaultParagraphFont"/>
    <w:uiPriority w:val="99"/>
    <w:unhideWhenUsed/>
    <w:rsid w:val="00B91EB4"/>
    <w:rPr>
      <w:color w:val="0000FF"/>
      <w:u w:val="single"/>
    </w:rPr>
  </w:style>
  <w:style w:type="paragraph" w:styleId="Title">
    <w:name w:val="Title"/>
    <w:basedOn w:val="Normal"/>
    <w:next w:val="Normal"/>
    <w:link w:val="TitleChar"/>
    <w:uiPriority w:val="10"/>
    <w:qFormat/>
    <w:rsid w:val="009C49B7"/>
    <w:pPr>
      <w:ind w:firstLine="0"/>
      <w:contextualSpacing/>
      <w:jc w:val="center"/>
    </w:pPr>
    <w:rPr>
      <w:rFonts w:asciiTheme="majorHAnsi" w:eastAsiaTheme="majorEastAsia" w:hAnsiTheme="majorHAnsi" w:cstheme="majorBidi"/>
      <w:spacing w:val="-10"/>
      <w:kern w:val="28"/>
      <w:sz w:val="24"/>
    </w:rPr>
  </w:style>
  <w:style w:type="character" w:customStyle="1" w:styleId="TitleChar">
    <w:name w:val="Title Char"/>
    <w:basedOn w:val="DefaultParagraphFont"/>
    <w:link w:val="Title"/>
    <w:uiPriority w:val="10"/>
    <w:rsid w:val="009C49B7"/>
    <w:rPr>
      <w:rFonts w:asciiTheme="majorHAnsi" w:eastAsiaTheme="majorEastAsia" w:hAnsiTheme="majorHAnsi" w:cstheme="majorBidi"/>
      <w:spacing w:val="-10"/>
      <w:kern w:val="28"/>
      <w14:ligatures w14:val="none"/>
    </w:rPr>
  </w:style>
  <w:style w:type="paragraph" w:styleId="ListParagraph">
    <w:name w:val="List Paragraph"/>
    <w:basedOn w:val="Normal"/>
    <w:uiPriority w:val="34"/>
    <w:qFormat/>
    <w:rsid w:val="009C7052"/>
    <w:pPr>
      <w:ind w:left="720"/>
      <w:contextualSpacing/>
    </w:pPr>
  </w:style>
  <w:style w:type="paragraph" w:styleId="TOCHeading">
    <w:name w:val="TOC Heading"/>
    <w:basedOn w:val="Heading1"/>
    <w:next w:val="Normal"/>
    <w:uiPriority w:val="39"/>
    <w:unhideWhenUsed/>
    <w:qFormat/>
    <w:rsid w:val="001211A7"/>
    <w:pPr>
      <w:spacing w:line="259" w:lineRule="auto"/>
      <w:jc w:val="left"/>
      <w:outlineLvl w:val="9"/>
    </w:pPr>
    <w:rPr>
      <w:rFonts w:asciiTheme="majorHAnsi" w:hAnsiTheme="majorHAnsi"/>
      <w:b w:val="0"/>
      <w:color w:val="31479E" w:themeColor="accent1" w:themeShade="BF"/>
      <w:sz w:val="32"/>
      <w:lang w:val="en-US" w:eastAsia="en-US"/>
    </w:rPr>
  </w:style>
  <w:style w:type="paragraph" w:styleId="TOC2">
    <w:name w:val="toc 2"/>
    <w:basedOn w:val="Normal"/>
    <w:next w:val="Normal"/>
    <w:autoRedefine/>
    <w:uiPriority w:val="39"/>
    <w:unhideWhenUsed/>
    <w:rsid w:val="001211A7"/>
    <w:pPr>
      <w:spacing w:after="100"/>
      <w:ind w:left="200"/>
    </w:pPr>
  </w:style>
  <w:style w:type="paragraph" w:styleId="TOC3">
    <w:name w:val="toc 3"/>
    <w:basedOn w:val="Normal"/>
    <w:next w:val="Normal"/>
    <w:autoRedefine/>
    <w:uiPriority w:val="39"/>
    <w:unhideWhenUsed/>
    <w:rsid w:val="001211A7"/>
    <w:pPr>
      <w:spacing w:after="100"/>
      <w:ind w:left="400"/>
    </w:pPr>
  </w:style>
  <w:style w:type="paragraph" w:styleId="TOC1">
    <w:name w:val="toc 1"/>
    <w:basedOn w:val="Normal"/>
    <w:next w:val="Normal"/>
    <w:autoRedefine/>
    <w:uiPriority w:val="39"/>
    <w:unhideWhenUsed/>
    <w:rsid w:val="001211A7"/>
    <w:pPr>
      <w:spacing w:after="100"/>
    </w:pPr>
  </w:style>
  <w:style w:type="character" w:styleId="UnresolvedMention">
    <w:name w:val="Unresolved Mention"/>
    <w:basedOn w:val="DefaultParagraphFont"/>
    <w:uiPriority w:val="99"/>
    <w:semiHidden/>
    <w:unhideWhenUsed/>
    <w:rsid w:val="00F23985"/>
    <w:rPr>
      <w:color w:val="605E5C"/>
      <w:shd w:val="clear" w:color="auto" w:fill="E1DFDD"/>
    </w:rPr>
  </w:style>
  <w:style w:type="paragraph" w:styleId="Bibliography">
    <w:name w:val="Bibliography"/>
    <w:basedOn w:val="Normal"/>
    <w:next w:val="Normal"/>
    <w:uiPriority w:val="37"/>
    <w:unhideWhenUsed/>
    <w:rsid w:val="00324B90"/>
    <w:pPr>
      <w:tabs>
        <w:tab w:val="left" w:pos="264"/>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lific.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 Supplementary">
      <a:majorFont>
        <a:latin typeface="Times New Roman"/>
        <a:ea typeface="等线 Light"/>
        <a:cs typeface=""/>
      </a:majorFont>
      <a:minorFont>
        <a:latin typeface="Times New Roman"/>
        <a:ea typeface="等线"/>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0EF1B-C8A4-406D-BEE4-93ECDA2C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8827</Words>
  <Characters>50318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Sijia Zhao</dc:creator>
  <cp:keywords/>
  <dc:description/>
  <cp:lastModifiedBy>Sijia Zhao</cp:lastModifiedBy>
  <cp:revision>40</cp:revision>
  <dcterms:created xsi:type="dcterms:W3CDTF">2023-11-28T15:28:00Z</dcterms:created>
  <dcterms:modified xsi:type="dcterms:W3CDTF">2023-11-28T16:40:00Z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id="gpuNAdXO"/&gt;&lt;style id="http://www.zotero.org/styles/the-lancet" hasBibliography="1" bibliographyStyleHasBeenSet="1"/&gt;&lt;prefs&gt;&lt;pref name="fieldType" value="Field"/&gt;&lt;/prefs&gt;&lt;/data&gt;</vt:lpwstr>
  </property>
</Properties>
</file>