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532F1" w14:textId="0A354CC1" w:rsidR="00E96B9B" w:rsidRPr="00E96B9B" w:rsidRDefault="00E96B9B" w:rsidP="00945055">
      <w:pPr>
        <w:pStyle w:val="Heading1"/>
      </w:pPr>
      <w:r w:rsidRPr="00E96B9B">
        <w:t>Supplemental Methods</w:t>
      </w:r>
    </w:p>
    <w:p w14:paraId="1232AC0B" w14:textId="77777777" w:rsidR="00AB53F5" w:rsidRPr="00AB53F5" w:rsidRDefault="00AB53F5" w:rsidP="00E96B9B">
      <w:pPr>
        <w:rPr>
          <w:b/>
          <w:bCs/>
          <w:sz w:val="24"/>
          <w:szCs w:val="24"/>
        </w:rPr>
      </w:pPr>
      <w:r w:rsidRPr="00AB53F5">
        <w:rPr>
          <w:b/>
          <w:bCs/>
          <w:sz w:val="24"/>
          <w:szCs w:val="24"/>
        </w:rPr>
        <w:t>Construction of educational mobility variables</w:t>
      </w:r>
    </w:p>
    <w:p w14:paraId="7BD78DD6" w14:textId="68677073" w:rsidR="00E96B9B" w:rsidRDefault="00E96B9B" w:rsidP="00E96B9B">
      <w:pPr>
        <w:rPr>
          <w:sz w:val="24"/>
          <w:szCs w:val="24"/>
        </w:rPr>
      </w:pPr>
      <w:r>
        <w:rPr>
          <w:sz w:val="24"/>
          <w:szCs w:val="24"/>
        </w:rPr>
        <w:t xml:space="preserve">Educational attainment was measured differently in the Original, Offspring, and Gen3 Framingham cohorts. We harmonized measures of educational attainment and calculated educational mobility </w:t>
      </w:r>
      <w:r w:rsidRPr="005D4DBC">
        <w:rPr>
          <w:sz w:val="24"/>
          <w:szCs w:val="24"/>
        </w:rPr>
        <w:t>following the method used by Liu and colleagues</w:t>
      </w:r>
      <w:r w:rsidR="00B95AD6">
        <w:rPr>
          <w:sz w:val="24"/>
          <w:szCs w:val="24"/>
        </w:rPr>
        <w:t xml:space="preserve"> (18)</w:t>
      </w:r>
      <w:r>
        <w:rPr>
          <w:sz w:val="24"/>
          <w:szCs w:val="24"/>
        </w:rPr>
        <w:t xml:space="preserve">. </w:t>
      </w:r>
    </w:p>
    <w:p w14:paraId="0B0A9EE7" w14:textId="77777777" w:rsidR="006825BC" w:rsidRDefault="00604F46" w:rsidP="00E96B9B">
      <w:r>
        <w:rPr>
          <w:sz w:val="24"/>
          <w:szCs w:val="24"/>
        </w:rPr>
        <w:t>W</w:t>
      </w:r>
      <w:r w:rsidRPr="005D4DBC">
        <w:rPr>
          <w:sz w:val="24"/>
          <w:szCs w:val="24"/>
        </w:rPr>
        <w:t xml:space="preserve">e converted the educational levels of participants and their parents to Z-scores based on the means and standard deviations of other Framingham Heart Study participants born within five years of the index participant’s year of </w:t>
      </w:r>
      <w:r w:rsidRPr="001A3504">
        <w:rPr>
          <w:sz w:val="24"/>
          <w:szCs w:val="24"/>
        </w:rPr>
        <w:t xml:space="preserve">birth. </w:t>
      </w:r>
      <w:r w:rsidR="00DA1D04" w:rsidRPr="001A3504">
        <w:rPr>
          <w:sz w:val="24"/>
          <w:szCs w:val="24"/>
        </w:rPr>
        <w:t>Mean and standard deviation of educational attainment (in years) are shown in the table below:</w:t>
      </w:r>
      <w:r w:rsidR="006825BC" w:rsidRPr="006825BC">
        <w:t xml:space="preserve"> </w:t>
      </w:r>
    </w:p>
    <w:p w14:paraId="53F57769" w14:textId="0481C149" w:rsidR="00604F46" w:rsidRDefault="001A3504" w:rsidP="00E96B9B">
      <w:pPr>
        <w:rPr>
          <w:sz w:val="24"/>
          <w:szCs w:val="24"/>
        </w:rPr>
      </w:pPr>
      <w:r w:rsidRPr="001A3504">
        <w:rPr>
          <w:noProof/>
          <w:sz w:val="24"/>
          <w:szCs w:val="24"/>
        </w:rPr>
        <w:drawing>
          <wp:inline distT="0" distB="0" distL="0" distR="0" wp14:anchorId="00E0BD1A" wp14:editId="75E484E7">
            <wp:extent cx="5943600" cy="1316990"/>
            <wp:effectExtent l="0" t="0" r="0" b="0"/>
            <wp:docPr id="1985373523" name="Picture 1985373523">
              <a:extLst xmlns:a="http://schemas.openxmlformats.org/drawingml/2006/main">
                <a:ext uri="{FF2B5EF4-FFF2-40B4-BE49-F238E27FC236}">
                  <a16:creationId xmlns:a16="http://schemas.microsoft.com/office/drawing/2014/main" id="{17681C28-9CA5-6DBF-41B7-D68175139B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7681C28-9CA5-6DBF-41B7-D68175139B78}"/>
                        </a:ext>
                      </a:extLst>
                    </pic:cNvPr>
                    <pic:cNvPicPr>
                      <a:picLocks noChangeAspect="1"/>
                    </pic:cNvPicPr>
                  </pic:nvPicPr>
                  <pic:blipFill>
                    <a:blip r:embed="rId5"/>
                    <a:stretch>
                      <a:fillRect/>
                    </a:stretch>
                  </pic:blipFill>
                  <pic:spPr>
                    <a:xfrm>
                      <a:off x="0" y="0"/>
                      <a:ext cx="5943600" cy="1316990"/>
                    </a:xfrm>
                    <a:prstGeom prst="rect">
                      <a:avLst/>
                    </a:prstGeom>
                  </pic:spPr>
                </pic:pic>
              </a:graphicData>
            </a:graphic>
          </wp:inline>
        </w:drawing>
      </w:r>
    </w:p>
    <w:p w14:paraId="27086E8B" w14:textId="1B776F50" w:rsidR="006E4460" w:rsidRPr="005D5C14" w:rsidRDefault="00803818" w:rsidP="00803818">
      <w:pPr>
        <w:jc w:val="both"/>
        <w:rPr>
          <w:color w:val="000000" w:themeColor="text1"/>
          <w:sz w:val="24"/>
          <w:szCs w:val="24"/>
        </w:rPr>
      </w:pPr>
      <w:r>
        <w:rPr>
          <w:noProof/>
        </w:rPr>
        <w:drawing>
          <wp:anchor distT="0" distB="0" distL="114300" distR="114300" simplePos="0" relativeHeight="251658240" behindDoc="0" locked="0" layoutInCell="1" allowOverlap="1" wp14:anchorId="63DEC4E9" wp14:editId="2D65129D">
            <wp:simplePos x="0" y="0"/>
            <wp:positionH relativeFrom="margin">
              <wp:posOffset>2735580</wp:posOffset>
            </wp:positionH>
            <wp:positionV relativeFrom="paragraph">
              <wp:posOffset>48260</wp:posOffset>
            </wp:positionV>
            <wp:extent cx="3205480" cy="2289175"/>
            <wp:effectExtent l="0" t="0" r="0" b="0"/>
            <wp:wrapSquare wrapText="bothSides"/>
            <wp:docPr id="366406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5480" cy="228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460" w:rsidRPr="006E4460">
        <w:rPr>
          <w:sz w:val="24"/>
          <w:szCs w:val="24"/>
        </w:rPr>
        <w:t xml:space="preserve">The </w:t>
      </w:r>
      <w:r w:rsidR="006E4460">
        <w:rPr>
          <w:sz w:val="24"/>
          <w:szCs w:val="24"/>
        </w:rPr>
        <w:t xml:space="preserve">first two rows of the </w:t>
      </w:r>
      <w:r w:rsidR="006E4460" w:rsidRPr="006E4460">
        <w:rPr>
          <w:sz w:val="24"/>
          <w:szCs w:val="24"/>
        </w:rPr>
        <w:t xml:space="preserve">figure </w:t>
      </w:r>
      <w:r w:rsidR="00D61591">
        <w:rPr>
          <w:sz w:val="24"/>
          <w:szCs w:val="24"/>
        </w:rPr>
        <w:t>(right)</w:t>
      </w:r>
      <w:r w:rsidR="006E4460" w:rsidRPr="006E4460">
        <w:rPr>
          <w:sz w:val="24"/>
          <w:szCs w:val="24"/>
        </w:rPr>
        <w:t xml:space="preserve"> </w:t>
      </w:r>
      <w:r w:rsidR="00E170AC">
        <w:rPr>
          <w:sz w:val="24"/>
          <w:szCs w:val="24"/>
        </w:rPr>
        <w:t>show</w:t>
      </w:r>
      <w:r w:rsidR="006E4460" w:rsidRPr="006E4460">
        <w:rPr>
          <w:sz w:val="24"/>
          <w:szCs w:val="24"/>
        </w:rPr>
        <w:t xml:space="preserve"> the distribution of unstandardized and sex- and birth-cohort-standardized educational attainment and parental educational attainment in the Offspring and Gen3 cohorts of the Framingham Heart Study</w:t>
      </w:r>
      <w:r w:rsidR="00E170AC">
        <w:rPr>
          <w:sz w:val="24"/>
          <w:szCs w:val="24"/>
        </w:rPr>
        <w:t>. The last row of the figure shows mobility distribution based on subtracting parents’ raw years of education from that of participants (left), as well as subtracting the standardized measures (right).</w:t>
      </w:r>
      <w:r w:rsidR="005D5C14">
        <w:rPr>
          <w:sz w:val="24"/>
          <w:szCs w:val="24"/>
        </w:rPr>
        <w:t xml:space="preserve"> Both Offspring and Gen3 cohort members were upwardly educationally mobile: </w:t>
      </w:r>
      <w:r w:rsidR="005D5C14" w:rsidRPr="00D8713B">
        <w:rPr>
          <w:sz w:val="24"/>
          <w:szCs w:val="24"/>
        </w:rPr>
        <w:t xml:space="preserve">Offspring cohort </w:t>
      </w:r>
      <w:r w:rsidR="005D5C14">
        <w:rPr>
          <w:sz w:val="24"/>
          <w:szCs w:val="24"/>
        </w:rPr>
        <w:t xml:space="preserve">members achieved </w:t>
      </w:r>
      <w:r w:rsidR="005D5C14" w:rsidRPr="00D8713B">
        <w:rPr>
          <w:sz w:val="24"/>
          <w:szCs w:val="24"/>
        </w:rPr>
        <w:t xml:space="preserve">an average of </w:t>
      </w:r>
      <w:r w:rsidR="005D5C14">
        <w:rPr>
          <w:sz w:val="24"/>
          <w:szCs w:val="24"/>
        </w:rPr>
        <w:t xml:space="preserve">3 </w:t>
      </w:r>
      <w:r w:rsidR="005D5C14" w:rsidRPr="00D8713B">
        <w:rPr>
          <w:sz w:val="24"/>
          <w:szCs w:val="24"/>
        </w:rPr>
        <w:t xml:space="preserve">more years of education than their </w:t>
      </w:r>
      <w:r w:rsidR="00010C99">
        <w:rPr>
          <w:sz w:val="24"/>
          <w:szCs w:val="24"/>
        </w:rPr>
        <w:t xml:space="preserve">highest-achieving </w:t>
      </w:r>
      <w:r w:rsidR="005D5C14" w:rsidRPr="00D8713B">
        <w:rPr>
          <w:sz w:val="24"/>
          <w:szCs w:val="24"/>
        </w:rPr>
        <w:t>parent</w:t>
      </w:r>
      <w:r w:rsidR="005D5C14">
        <w:rPr>
          <w:sz w:val="24"/>
          <w:szCs w:val="24"/>
        </w:rPr>
        <w:t xml:space="preserve">, while </w:t>
      </w:r>
      <w:r w:rsidR="005D5C14" w:rsidRPr="00D8713B">
        <w:rPr>
          <w:sz w:val="24"/>
          <w:szCs w:val="24"/>
        </w:rPr>
        <w:t xml:space="preserve">Gen3 cohort </w:t>
      </w:r>
      <w:r w:rsidR="005D5C14">
        <w:rPr>
          <w:sz w:val="24"/>
          <w:szCs w:val="24"/>
        </w:rPr>
        <w:t>members achieved</w:t>
      </w:r>
      <w:r w:rsidR="005D5C14" w:rsidRPr="00D8713B">
        <w:rPr>
          <w:sz w:val="24"/>
          <w:szCs w:val="24"/>
        </w:rPr>
        <w:t xml:space="preserve"> an </w:t>
      </w:r>
      <w:r w:rsidR="005D5C14" w:rsidRPr="006863C2">
        <w:rPr>
          <w:sz w:val="24"/>
          <w:szCs w:val="24"/>
        </w:rPr>
        <w:t>average of 0.4 more y</w:t>
      </w:r>
      <w:r w:rsidR="005D5C14" w:rsidRPr="00D8713B">
        <w:rPr>
          <w:sz w:val="24"/>
          <w:szCs w:val="24"/>
        </w:rPr>
        <w:t xml:space="preserve">ears of education than their </w:t>
      </w:r>
      <w:r w:rsidR="00010C99">
        <w:rPr>
          <w:sz w:val="24"/>
          <w:szCs w:val="24"/>
        </w:rPr>
        <w:t>highest-achieving parent</w:t>
      </w:r>
      <w:r w:rsidR="005D5C14">
        <w:rPr>
          <w:sz w:val="24"/>
          <w:szCs w:val="24"/>
        </w:rPr>
        <w:t xml:space="preserve">. </w:t>
      </w:r>
    </w:p>
    <w:p w14:paraId="18EE4202" w14:textId="77777777" w:rsidR="007E298E" w:rsidRDefault="006D1C35" w:rsidP="00C61B98">
      <w:pPr>
        <w:rPr>
          <w:sz w:val="24"/>
          <w:szCs w:val="24"/>
        </w:rPr>
      </w:pPr>
      <w:r w:rsidRPr="00162AE0">
        <w:rPr>
          <w:sz w:val="24"/>
          <w:szCs w:val="24"/>
        </w:rPr>
        <w:t xml:space="preserve">In the Offspring cohort for whom comprehensive </w:t>
      </w:r>
      <w:r w:rsidR="00185462">
        <w:rPr>
          <w:sz w:val="24"/>
          <w:szCs w:val="24"/>
        </w:rPr>
        <w:t>mortality</w:t>
      </w:r>
      <w:r w:rsidRPr="00162AE0">
        <w:rPr>
          <w:sz w:val="24"/>
          <w:szCs w:val="24"/>
        </w:rPr>
        <w:t xml:space="preserve"> </w:t>
      </w:r>
      <w:r w:rsidR="00185462">
        <w:rPr>
          <w:sz w:val="24"/>
          <w:szCs w:val="24"/>
        </w:rPr>
        <w:t>follow-up was available</w:t>
      </w:r>
      <w:r w:rsidRPr="00162AE0">
        <w:rPr>
          <w:sz w:val="24"/>
          <w:szCs w:val="24"/>
        </w:rPr>
        <w:t xml:space="preserve">, participants with a faster Pace of Aging were more likely to </w:t>
      </w:r>
      <w:r>
        <w:rPr>
          <w:sz w:val="24"/>
          <w:szCs w:val="24"/>
        </w:rPr>
        <w:t>die (HR 1.</w:t>
      </w:r>
      <w:r w:rsidR="00DF469A">
        <w:rPr>
          <w:sz w:val="24"/>
          <w:szCs w:val="24"/>
        </w:rPr>
        <w:t>61</w:t>
      </w:r>
      <w:r>
        <w:rPr>
          <w:sz w:val="24"/>
          <w:szCs w:val="24"/>
        </w:rPr>
        <w:t>, 95%CI</w:t>
      </w:r>
      <w:proofErr w:type="gramStart"/>
      <w:r>
        <w:rPr>
          <w:sz w:val="24"/>
          <w:szCs w:val="24"/>
        </w:rPr>
        <w:t>=[</w:t>
      </w:r>
      <w:proofErr w:type="gramEnd"/>
      <w:r>
        <w:rPr>
          <w:sz w:val="24"/>
          <w:szCs w:val="24"/>
        </w:rPr>
        <w:t>1.4</w:t>
      </w:r>
      <w:r w:rsidR="00DF469A">
        <w:rPr>
          <w:sz w:val="24"/>
          <w:szCs w:val="24"/>
        </w:rPr>
        <w:t>9</w:t>
      </w:r>
      <w:r>
        <w:rPr>
          <w:sz w:val="24"/>
          <w:szCs w:val="24"/>
        </w:rPr>
        <w:t xml:space="preserve">,1.74], </w:t>
      </w:r>
      <w:r w:rsidRPr="00162AE0">
        <w:rPr>
          <w:sz w:val="24"/>
          <w:szCs w:val="24"/>
        </w:rPr>
        <w:t>p&lt;0.001</w:t>
      </w:r>
      <w:r>
        <w:rPr>
          <w:sz w:val="24"/>
          <w:szCs w:val="24"/>
        </w:rPr>
        <w:t xml:space="preserve">) </w:t>
      </w:r>
      <w:r w:rsidRPr="00162AE0">
        <w:rPr>
          <w:sz w:val="24"/>
          <w:szCs w:val="24"/>
        </w:rPr>
        <w:t>than those with a slower Pace of Aging.</w:t>
      </w:r>
      <w:r w:rsidR="00D11B8F">
        <w:rPr>
          <w:sz w:val="24"/>
          <w:szCs w:val="24"/>
        </w:rPr>
        <w:t xml:space="preserve"> Effect-sizes were similar to those previously reported (</w:t>
      </w:r>
      <w:r w:rsidR="00D11B8F" w:rsidRPr="00246962">
        <w:rPr>
          <w:sz w:val="24"/>
          <w:szCs w:val="24"/>
        </w:rPr>
        <w:t>Belsky et al.</w:t>
      </w:r>
      <w:r w:rsidR="00246962" w:rsidRPr="00246962">
        <w:rPr>
          <w:sz w:val="24"/>
          <w:szCs w:val="24"/>
        </w:rPr>
        <w:t xml:space="preserve"> mo</w:t>
      </w:r>
      <w:r w:rsidR="00246962">
        <w:rPr>
          <w:sz w:val="24"/>
          <w:szCs w:val="24"/>
        </w:rPr>
        <w:t>rtality HR=1.65 [1.51-1.79]</w:t>
      </w:r>
      <w:r w:rsidR="00D11B8F">
        <w:rPr>
          <w:sz w:val="24"/>
          <w:szCs w:val="24"/>
        </w:rPr>
        <w:t xml:space="preserve">). </w:t>
      </w:r>
    </w:p>
    <w:p w14:paraId="2C90FE68" w14:textId="77777777" w:rsidR="0023422A" w:rsidRDefault="0023422A" w:rsidP="00C61B98">
      <w:pPr>
        <w:rPr>
          <w:b/>
          <w:bCs/>
          <w:sz w:val="24"/>
          <w:szCs w:val="24"/>
        </w:rPr>
      </w:pPr>
      <w:r>
        <w:rPr>
          <w:b/>
          <w:bCs/>
          <w:sz w:val="24"/>
          <w:szCs w:val="24"/>
        </w:rPr>
        <w:br w:type="page"/>
      </w:r>
    </w:p>
    <w:p w14:paraId="643B4699" w14:textId="1DBE6763" w:rsidR="00AB53F5" w:rsidRPr="00AB53F5" w:rsidRDefault="00AB53F5" w:rsidP="00C61B98">
      <w:pPr>
        <w:rPr>
          <w:b/>
          <w:bCs/>
          <w:sz w:val="24"/>
          <w:szCs w:val="24"/>
        </w:rPr>
      </w:pPr>
      <w:r>
        <w:rPr>
          <w:b/>
          <w:bCs/>
          <w:sz w:val="24"/>
          <w:szCs w:val="24"/>
        </w:rPr>
        <w:lastRenderedPageBreak/>
        <w:t>Construction</w:t>
      </w:r>
      <w:r w:rsidRPr="00AB53F5">
        <w:rPr>
          <w:b/>
          <w:bCs/>
          <w:sz w:val="24"/>
          <w:szCs w:val="24"/>
        </w:rPr>
        <w:t xml:space="preserve"> of DNA-methylation</w:t>
      </w:r>
      <w:r>
        <w:rPr>
          <w:b/>
          <w:bCs/>
          <w:sz w:val="24"/>
          <w:szCs w:val="24"/>
        </w:rPr>
        <w:t xml:space="preserve"> data</w:t>
      </w:r>
    </w:p>
    <w:p w14:paraId="5110551D" w14:textId="062ADFFD" w:rsidR="00AB53F5" w:rsidRPr="00BE0853" w:rsidRDefault="00AB53F5" w:rsidP="00AB53F5">
      <w:pPr>
        <w:spacing w:line="360" w:lineRule="auto"/>
        <w:rPr>
          <w:sz w:val="24"/>
          <w:szCs w:val="24"/>
        </w:rPr>
      </w:pPr>
      <w:proofErr w:type="spellStart"/>
      <w:r w:rsidRPr="00C22534">
        <w:rPr>
          <w:sz w:val="24"/>
          <w:szCs w:val="24"/>
        </w:rPr>
        <w:t>DNAm</w:t>
      </w:r>
      <w:proofErr w:type="spellEnd"/>
      <w:r w:rsidRPr="00C22534">
        <w:rPr>
          <w:sz w:val="24"/>
          <w:szCs w:val="24"/>
        </w:rPr>
        <w:t xml:space="preserve"> was measured from whole-blood </w:t>
      </w:r>
      <w:proofErr w:type="spellStart"/>
      <w:r w:rsidRPr="00C22534">
        <w:rPr>
          <w:sz w:val="24"/>
          <w:szCs w:val="24"/>
        </w:rPr>
        <w:t>buffycoat</w:t>
      </w:r>
      <w:proofErr w:type="spellEnd"/>
      <w:r w:rsidRPr="00C22534">
        <w:rPr>
          <w:sz w:val="24"/>
          <w:szCs w:val="24"/>
        </w:rPr>
        <w:t xml:space="preserve"> samples collected at Visit 8 (2005-2008) for the Offspring Cohort and visit 2 (2009-2011) for the Gen3 cohort using the Infinium HumanMethylation450 </w:t>
      </w:r>
      <w:proofErr w:type="spellStart"/>
      <w:r w:rsidRPr="00C22534">
        <w:rPr>
          <w:sz w:val="24"/>
          <w:szCs w:val="24"/>
        </w:rPr>
        <w:t>BeadChip</w:t>
      </w:r>
      <w:proofErr w:type="spellEnd"/>
      <w:r w:rsidRPr="00C22534">
        <w:rPr>
          <w:sz w:val="24"/>
          <w:szCs w:val="24"/>
        </w:rPr>
        <w:t xml:space="preserve"> (Illumina). Processing and normalization of </w:t>
      </w:r>
      <w:proofErr w:type="spellStart"/>
      <w:r w:rsidRPr="00C22534">
        <w:rPr>
          <w:sz w:val="24"/>
          <w:szCs w:val="24"/>
        </w:rPr>
        <w:t>DNAm</w:t>
      </w:r>
      <w:proofErr w:type="spellEnd"/>
      <w:r w:rsidRPr="00C22534">
        <w:rPr>
          <w:sz w:val="24"/>
          <w:szCs w:val="24"/>
        </w:rPr>
        <w:t xml:space="preserve"> data has been described previously</w:t>
      </w:r>
      <w:r w:rsidR="00C22534" w:rsidRPr="00C22534">
        <w:rPr>
          <w:sz w:val="24"/>
          <w:szCs w:val="24"/>
        </w:rPr>
        <w:t xml:space="preserve"> (70).</w:t>
      </w:r>
      <w:r w:rsidRPr="00C22534">
        <w:rPr>
          <w:sz w:val="24"/>
          <w:szCs w:val="24"/>
        </w:rPr>
        <w:t xml:space="preserve"> Briefly, data were normalized using the “</w:t>
      </w:r>
      <w:proofErr w:type="spellStart"/>
      <w:r w:rsidRPr="00C22534">
        <w:rPr>
          <w:sz w:val="24"/>
          <w:szCs w:val="24"/>
        </w:rPr>
        <w:t>dasen</w:t>
      </w:r>
      <w:proofErr w:type="spellEnd"/>
      <w:r w:rsidRPr="00C22534">
        <w:rPr>
          <w:sz w:val="24"/>
          <w:szCs w:val="24"/>
        </w:rPr>
        <w:t>” method in the ‘</w:t>
      </w:r>
      <w:proofErr w:type="spellStart"/>
      <w:r w:rsidRPr="00C22534">
        <w:rPr>
          <w:sz w:val="24"/>
          <w:szCs w:val="24"/>
        </w:rPr>
        <w:t>wateRmelon</w:t>
      </w:r>
      <w:proofErr w:type="spellEnd"/>
      <w:r w:rsidRPr="00C22534">
        <w:rPr>
          <w:sz w:val="24"/>
          <w:szCs w:val="24"/>
        </w:rPr>
        <w:t>’ R package30 and subjected to downstream QC. Samples with missing rate &gt;1% at p&lt;0.01, poor SNP matching to the 65 SNP control probe locations, and outliers by multidimensional scaling techniques were excluded. Probes with missing rate of &gt;20% at p&lt;0.01 were also excluded.</w:t>
      </w:r>
    </w:p>
    <w:p w14:paraId="77FFD787" w14:textId="2CFC404B" w:rsidR="00AB53F5" w:rsidRDefault="00AB53F5" w:rsidP="00C61B98">
      <w:pPr>
        <w:rPr>
          <w:sz w:val="24"/>
          <w:szCs w:val="24"/>
        </w:rPr>
      </w:pPr>
      <w:r>
        <w:rPr>
          <w:sz w:val="24"/>
          <w:szCs w:val="24"/>
        </w:rPr>
        <w:t xml:space="preserve"> </w:t>
      </w:r>
    </w:p>
    <w:p w14:paraId="57A22C74" w14:textId="7384F6BB" w:rsidR="00AB53F5" w:rsidRPr="00734CE6" w:rsidRDefault="00AB53F5" w:rsidP="00C61B98">
      <w:pPr>
        <w:rPr>
          <w:strike/>
          <w:sz w:val="24"/>
          <w:szCs w:val="24"/>
        </w:rPr>
        <w:sectPr w:rsidR="00AB53F5" w:rsidRPr="00734CE6">
          <w:pgSz w:w="12240" w:h="15840"/>
          <w:pgMar w:top="1440" w:right="1440" w:bottom="1440" w:left="1440" w:header="720" w:footer="720" w:gutter="0"/>
          <w:cols w:space="720"/>
          <w:docGrid w:linePitch="360"/>
        </w:sectPr>
      </w:pPr>
    </w:p>
    <w:p w14:paraId="5EB38C01" w14:textId="1FA7B5B4" w:rsidR="00945055" w:rsidRDefault="00945055" w:rsidP="00945055">
      <w:pPr>
        <w:pStyle w:val="Heading1"/>
      </w:pPr>
      <w:r w:rsidRPr="00E96B9B">
        <w:lastRenderedPageBreak/>
        <w:t xml:space="preserve">Supplemental </w:t>
      </w:r>
      <w:r>
        <w:t>Tables</w:t>
      </w:r>
    </w:p>
    <w:p w14:paraId="6F23EB2C" w14:textId="5AA919A2" w:rsidR="00C61B98" w:rsidRDefault="00D73261" w:rsidP="00C61B98">
      <w:r>
        <w:rPr>
          <w:b/>
          <w:bCs/>
        </w:rPr>
        <w:t xml:space="preserve">Supplemental </w:t>
      </w:r>
      <w:r w:rsidR="00C61B98" w:rsidRPr="007E00D0">
        <w:rPr>
          <w:b/>
          <w:bCs/>
        </w:rPr>
        <w:t xml:space="preserve">Table </w:t>
      </w:r>
      <w:r w:rsidR="004767DA">
        <w:rPr>
          <w:b/>
          <w:bCs/>
        </w:rPr>
        <w:t>S</w:t>
      </w:r>
      <w:r>
        <w:rPr>
          <w:b/>
          <w:bCs/>
        </w:rPr>
        <w:t>1</w:t>
      </w:r>
      <w:r w:rsidR="00C61B98" w:rsidRPr="007E00D0">
        <w:rPr>
          <w:b/>
          <w:bCs/>
        </w:rPr>
        <w:t>. Associations of educational attainment</w:t>
      </w:r>
      <w:r w:rsidR="00D51C66">
        <w:rPr>
          <w:b/>
          <w:bCs/>
        </w:rPr>
        <w:t>, parental education,</w:t>
      </w:r>
      <w:r w:rsidR="00C61B98" w:rsidRPr="007E00D0">
        <w:rPr>
          <w:b/>
          <w:bCs/>
        </w:rPr>
        <w:t xml:space="preserve"> and educational mobility with </w:t>
      </w:r>
      <w:r w:rsidR="003D62B8">
        <w:rPr>
          <w:b/>
          <w:bCs/>
        </w:rPr>
        <w:t>biological aging</w:t>
      </w:r>
      <w:r w:rsidR="003D62B8" w:rsidRPr="00C64ED4">
        <w:rPr>
          <w:b/>
          <w:bCs/>
        </w:rPr>
        <w:t xml:space="preserve"> </w:t>
      </w:r>
      <w:r w:rsidR="00C61B98" w:rsidRPr="007E00D0">
        <w:rPr>
          <w:b/>
          <w:bCs/>
        </w:rPr>
        <w:t xml:space="preserve">in Offspring and Gen3 Framingham Study participants. </w:t>
      </w:r>
      <w:r w:rsidR="00C61B98" w:rsidRPr="007E00D0">
        <w:t xml:space="preserve">Effect-sizes are age- and sex-adjusted Pearson's r correlations estimated from linear regression, and are interpretable as the standard-deviation unit increase in </w:t>
      </w:r>
      <w:r w:rsidR="000F07A3">
        <w:t>biological aging or pace or aging</w:t>
      </w:r>
      <w:r w:rsidR="00C61B98" w:rsidRPr="007E00D0">
        <w:t xml:space="preserve"> associated with a 1-SD increase in educational attainment or educational mobility. Educational attainment and mobility appear to have modest but statistically significant effects on the </w:t>
      </w:r>
      <w:r w:rsidR="00C61B98">
        <w:t>P</w:t>
      </w:r>
      <w:r w:rsidR="00C61B98" w:rsidRPr="007E00D0">
        <w:t xml:space="preserve">ace of </w:t>
      </w:r>
      <w:r w:rsidR="00C61B98">
        <w:t>A</w:t>
      </w:r>
      <w:r w:rsidR="00C61B98" w:rsidRPr="007E00D0">
        <w:t>ging in both Offspring and Gen3 cohorts.</w:t>
      </w:r>
    </w:p>
    <w:p w14:paraId="6A2B8818" w14:textId="1A7141F3" w:rsidR="00FB6693" w:rsidRDefault="00FB6693" w:rsidP="00C61B98">
      <w:r w:rsidRPr="00FB6693">
        <w:rPr>
          <w:noProof/>
        </w:rPr>
        <w:drawing>
          <wp:inline distT="0" distB="0" distL="0" distR="0" wp14:anchorId="05FBBD61" wp14:editId="1AC2CFB2">
            <wp:extent cx="5943600" cy="2964180"/>
            <wp:effectExtent l="0" t="0" r="0" b="7620"/>
            <wp:docPr id="2" name="Picture 1">
              <a:extLst xmlns:a="http://schemas.openxmlformats.org/drawingml/2006/main">
                <a:ext uri="{FF2B5EF4-FFF2-40B4-BE49-F238E27FC236}">
                  <a16:creationId xmlns:a16="http://schemas.microsoft.com/office/drawing/2014/main" id="{73653C39-E533-17BE-6747-0A79B1FD0D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3653C39-E533-17BE-6747-0A79B1FD0D12}"/>
                        </a:ext>
                      </a:extLst>
                    </pic:cNvPr>
                    <pic:cNvPicPr>
                      <a:picLocks noChangeAspect="1"/>
                    </pic:cNvPicPr>
                  </pic:nvPicPr>
                  <pic:blipFill rotWithShape="1">
                    <a:blip r:embed="rId7"/>
                    <a:srcRect t="5754"/>
                    <a:stretch/>
                  </pic:blipFill>
                  <pic:spPr bwMode="auto">
                    <a:xfrm>
                      <a:off x="0" y="0"/>
                      <a:ext cx="5943600" cy="2964180"/>
                    </a:xfrm>
                    <a:prstGeom prst="rect">
                      <a:avLst/>
                    </a:prstGeom>
                    <a:ln>
                      <a:noFill/>
                    </a:ln>
                    <a:extLst>
                      <a:ext uri="{53640926-AAD7-44D8-BBD7-CCE9431645EC}">
                        <a14:shadowObscured xmlns:a14="http://schemas.microsoft.com/office/drawing/2010/main"/>
                      </a:ext>
                    </a:extLst>
                  </pic:spPr>
                </pic:pic>
              </a:graphicData>
            </a:graphic>
          </wp:inline>
        </w:drawing>
      </w:r>
    </w:p>
    <w:p w14:paraId="30AB0A0B" w14:textId="45D6428D" w:rsidR="00687BC8" w:rsidRDefault="00687BC8" w:rsidP="00574AE4">
      <w:pPr>
        <w:jc w:val="center"/>
        <w:rPr>
          <w:b/>
          <w:bCs/>
        </w:rPr>
      </w:pPr>
    </w:p>
    <w:p w14:paraId="330AB5ED" w14:textId="77777777" w:rsidR="00A6273B" w:rsidRDefault="00A6273B" w:rsidP="00C61B98">
      <w:pPr>
        <w:rPr>
          <w:b/>
          <w:bCs/>
        </w:rPr>
        <w:sectPr w:rsidR="00A6273B">
          <w:pgSz w:w="12240" w:h="15840"/>
          <w:pgMar w:top="1440" w:right="1440" w:bottom="1440" w:left="1440" w:header="720" w:footer="720" w:gutter="0"/>
          <w:cols w:space="720"/>
          <w:docGrid w:linePitch="360"/>
        </w:sectPr>
      </w:pPr>
    </w:p>
    <w:p w14:paraId="5001EA86" w14:textId="708E73BF" w:rsidR="00C61B98" w:rsidRDefault="00D73261" w:rsidP="00C61B98">
      <w:r>
        <w:rPr>
          <w:b/>
          <w:bCs/>
        </w:rPr>
        <w:lastRenderedPageBreak/>
        <w:t xml:space="preserve">Supplemental </w:t>
      </w:r>
      <w:r w:rsidR="00C61B98" w:rsidRPr="00C64ED4">
        <w:rPr>
          <w:b/>
          <w:bCs/>
        </w:rPr>
        <w:t xml:space="preserve">Table </w:t>
      </w:r>
      <w:r w:rsidR="004767DA">
        <w:rPr>
          <w:b/>
          <w:bCs/>
        </w:rPr>
        <w:t>S</w:t>
      </w:r>
      <w:r>
        <w:rPr>
          <w:b/>
          <w:bCs/>
        </w:rPr>
        <w:t>2</w:t>
      </w:r>
      <w:r w:rsidR="00C61B98" w:rsidRPr="00C64ED4">
        <w:rPr>
          <w:b/>
          <w:bCs/>
        </w:rPr>
        <w:t xml:space="preserve">. Fixed-effects regression of </w:t>
      </w:r>
      <w:r w:rsidR="003D62B8">
        <w:rPr>
          <w:b/>
          <w:bCs/>
        </w:rPr>
        <w:t>biological aging</w:t>
      </w:r>
      <w:r w:rsidR="00C61B98" w:rsidRPr="00C64ED4">
        <w:rPr>
          <w:b/>
          <w:bCs/>
        </w:rPr>
        <w:t xml:space="preserve"> on education</w:t>
      </w:r>
      <w:r w:rsidR="00C61B98">
        <w:rPr>
          <w:b/>
          <w:bCs/>
        </w:rPr>
        <w:t xml:space="preserve"> within sibling clusters</w:t>
      </w:r>
      <w:r w:rsidR="00C61B98" w:rsidRPr="00C64ED4">
        <w:t xml:space="preserve">. </w:t>
      </w:r>
      <w:r w:rsidR="00C61B98">
        <w:t xml:space="preserve">Effect-sizes are interpretable as the </w:t>
      </w:r>
      <w:r w:rsidR="00C61B98" w:rsidRPr="007E00D0">
        <w:t xml:space="preserve">standard-deviation unit increase in </w:t>
      </w:r>
      <w:r w:rsidR="0078127F">
        <w:t xml:space="preserve">biological-age advancement or </w:t>
      </w:r>
      <w:r w:rsidR="00C61B98" w:rsidRPr="007E00D0">
        <w:t>pace of aging associated with a 1-SD increase in educational attainment</w:t>
      </w:r>
      <w:r w:rsidR="00C61B98">
        <w:t xml:space="preserve"> for among siblings who share the same parents. Because siblings </w:t>
      </w:r>
      <w:r w:rsidR="00C61B98" w:rsidRPr="00C64ED4">
        <w:t>who share the same parents share the same expected educational attainment</w:t>
      </w:r>
      <w:r w:rsidR="00C61B98">
        <w:t xml:space="preserve">, results provide </w:t>
      </w:r>
      <w:r w:rsidR="00C61B98" w:rsidRPr="00C64ED4">
        <w:t>further evidence that educational mobility is associated with slower biological aging</w:t>
      </w:r>
    </w:p>
    <w:p w14:paraId="530127B5" w14:textId="77777777" w:rsidR="001B3667" w:rsidRDefault="00394A72" w:rsidP="00D346A0">
      <w:pPr>
        <w:jc w:val="center"/>
      </w:pPr>
      <w:r w:rsidRPr="00394A72">
        <w:rPr>
          <w:noProof/>
        </w:rPr>
        <w:drawing>
          <wp:inline distT="0" distB="0" distL="0" distR="0" wp14:anchorId="24BF1D0F" wp14:editId="01E862C0">
            <wp:extent cx="5943600" cy="3021965"/>
            <wp:effectExtent l="0" t="0" r="0" b="6985"/>
            <wp:docPr id="1157034243" name="Picture 1157034243">
              <a:extLst xmlns:a="http://schemas.openxmlformats.org/drawingml/2006/main">
                <a:ext uri="{FF2B5EF4-FFF2-40B4-BE49-F238E27FC236}">
                  <a16:creationId xmlns:a16="http://schemas.microsoft.com/office/drawing/2014/main" id="{0A12DF36-77E0-743B-FBED-72907C8AA3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12DF36-77E0-743B-FBED-72907C8AA3CE}"/>
                        </a:ext>
                      </a:extLst>
                    </pic:cNvPr>
                    <pic:cNvPicPr>
                      <a:picLocks noChangeAspect="1"/>
                    </pic:cNvPicPr>
                  </pic:nvPicPr>
                  <pic:blipFill rotWithShape="1">
                    <a:blip r:embed="rId8"/>
                    <a:srcRect t="18496"/>
                    <a:stretch/>
                  </pic:blipFill>
                  <pic:spPr bwMode="auto">
                    <a:xfrm>
                      <a:off x="0" y="0"/>
                      <a:ext cx="5943600" cy="3021965"/>
                    </a:xfrm>
                    <a:prstGeom prst="rect">
                      <a:avLst/>
                    </a:prstGeom>
                    <a:ln>
                      <a:noFill/>
                    </a:ln>
                    <a:extLst>
                      <a:ext uri="{53640926-AAD7-44D8-BBD7-CCE9431645EC}">
                        <a14:shadowObscured xmlns:a14="http://schemas.microsoft.com/office/drawing/2010/main"/>
                      </a:ext>
                    </a:extLst>
                  </pic:spPr>
                </pic:pic>
              </a:graphicData>
            </a:graphic>
          </wp:inline>
        </w:drawing>
      </w:r>
    </w:p>
    <w:p w14:paraId="060C8057" w14:textId="77777777" w:rsidR="00B61F22" w:rsidRDefault="00B61F22" w:rsidP="003D62B8">
      <w:pPr>
        <w:spacing w:after="0" w:line="240" w:lineRule="auto"/>
        <w:rPr>
          <w:b/>
          <w:bCs/>
        </w:rPr>
      </w:pPr>
    </w:p>
    <w:p w14:paraId="28A43BE2" w14:textId="77777777" w:rsidR="00B61F22" w:rsidRDefault="00B61F22" w:rsidP="003D62B8">
      <w:pPr>
        <w:spacing w:after="0" w:line="240" w:lineRule="auto"/>
        <w:rPr>
          <w:b/>
          <w:bCs/>
        </w:rPr>
        <w:sectPr w:rsidR="00B61F22">
          <w:pgSz w:w="12240" w:h="15840"/>
          <w:pgMar w:top="1440" w:right="1440" w:bottom="1440" w:left="1440" w:header="720" w:footer="720" w:gutter="0"/>
          <w:cols w:space="720"/>
          <w:docGrid w:linePitch="360"/>
        </w:sectPr>
      </w:pPr>
    </w:p>
    <w:p w14:paraId="32A3C1F6" w14:textId="6241815C" w:rsidR="003D62B8" w:rsidRPr="00945055" w:rsidRDefault="003D62B8" w:rsidP="003D62B8">
      <w:pPr>
        <w:spacing w:after="0" w:line="240" w:lineRule="auto"/>
        <w:rPr>
          <w:b/>
          <w:bCs/>
        </w:rPr>
      </w:pPr>
      <w:r w:rsidRPr="00AC3B7A">
        <w:rPr>
          <w:b/>
          <w:bCs/>
        </w:rPr>
        <w:lastRenderedPageBreak/>
        <w:t xml:space="preserve">Supplemental Table </w:t>
      </w:r>
      <w:r>
        <w:rPr>
          <w:b/>
          <w:bCs/>
        </w:rPr>
        <w:t>S</w:t>
      </w:r>
      <w:r w:rsidRPr="00AC3B7A">
        <w:rPr>
          <w:b/>
          <w:bCs/>
        </w:rPr>
        <w:t xml:space="preserve">3. Associations of </w:t>
      </w:r>
      <w:r>
        <w:rPr>
          <w:b/>
          <w:bCs/>
        </w:rPr>
        <w:t>biological aging</w:t>
      </w:r>
      <w:r w:rsidRPr="00AC3B7A">
        <w:rPr>
          <w:b/>
          <w:bCs/>
        </w:rPr>
        <w:t>, educational attainment, and educational mobility with</w:t>
      </w:r>
      <w:r>
        <w:rPr>
          <w:b/>
          <w:bCs/>
        </w:rPr>
        <w:t xml:space="preserve"> overall </w:t>
      </w:r>
      <w:r w:rsidRPr="00AC3B7A">
        <w:rPr>
          <w:b/>
          <w:bCs/>
        </w:rPr>
        <w:t>survival in the Framingham Offspring cohort.</w:t>
      </w:r>
      <w:r>
        <w:t xml:space="preserve"> The table shows age-adjusted hazard ratios estimated from Cox proportional hazards regression. Hazard ratios are interpretable as the change in mortality risk associated with a 1-SD increase in the pace of aging, in educational attainment, or educational mobility. Slower biological aging, educational attainment, and upward educational mobility are associated with overall survival.</w:t>
      </w:r>
    </w:p>
    <w:p w14:paraId="6A128040" w14:textId="77777777" w:rsidR="003D62B8" w:rsidRDefault="003D62B8">
      <w:pPr>
        <w:spacing w:after="0" w:line="240" w:lineRule="auto"/>
        <w:rPr>
          <w:b/>
          <w:bCs/>
        </w:rPr>
      </w:pPr>
    </w:p>
    <w:p w14:paraId="5BECF77A" w14:textId="0AA36AB8" w:rsidR="003D62B8" w:rsidRDefault="00B31EF0" w:rsidP="00E81B01">
      <w:pPr>
        <w:spacing w:after="0" w:line="240" w:lineRule="auto"/>
        <w:jc w:val="center"/>
        <w:rPr>
          <w:b/>
          <w:bCs/>
        </w:rPr>
      </w:pPr>
      <w:r w:rsidRPr="00B31EF0">
        <w:rPr>
          <w:b/>
          <w:bCs/>
          <w:noProof/>
        </w:rPr>
        <w:drawing>
          <wp:inline distT="0" distB="0" distL="0" distR="0" wp14:anchorId="3A41D7D5" wp14:editId="160F355D">
            <wp:extent cx="4656569" cy="2873749"/>
            <wp:effectExtent l="0" t="0" r="0" b="3175"/>
            <wp:docPr id="3" name="Picture 2">
              <a:extLst xmlns:a="http://schemas.openxmlformats.org/drawingml/2006/main">
                <a:ext uri="{FF2B5EF4-FFF2-40B4-BE49-F238E27FC236}">
                  <a16:creationId xmlns:a16="http://schemas.microsoft.com/office/drawing/2014/main" id="{DDD22E6A-9E77-8A91-1079-18DDDD0A11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DD22E6A-9E77-8A91-1079-18DDDD0A1143}"/>
                        </a:ext>
                      </a:extLst>
                    </pic:cNvPr>
                    <pic:cNvPicPr>
                      <a:picLocks noChangeAspect="1"/>
                    </pic:cNvPicPr>
                  </pic:nvPicPr>
                  <pic:blipFill rotWithShape="1">
                    <a:blip r:embed="rId9"/>
                    <a:srcRect t="17267"/>
                    <a:stretch/>
                  </pic:blipFill>
                  <pic:spPr bwMode="auto">
                    <a:xfrm>
                      <a:off x="0" y="0"/>
                      <a:ext cx="4666315" cy="2879764"/>
                    </a:xfrm>
                    <a:prstGeom prst="rect">
                      <a:avLst/>
                    </a:prstGeom>
                    <a:ln>
                      <a:noFill/>
                    </a:ln>
                    <a:extLst>
                      <a:ext uri="{53640926-AAD7-44D8-BBD7-CCE9431645EC}">
                        <a14:shadowObscured xmlns:a14="http://schemas.microsoft.com/office/drawing/2010/main"/>
                      </a:ext>
                    </a:extLst>
                  </pic:spPr>
                </pic:pic>
              </a:graphicData>
            </a:graphic>
          </wp:inline>
        </w:drawing>
      </w:r>
    </w:p>
    <w:p w14:paraId="38FB05E8" w14:textId="77777777" w:rsidR="003D62B8" w:rsidRDefault="003D62B8">
      <w:pPr>
        <w:spacing w:after="0" w:line="240" w:lineRule="auto"/>
        <w:rPr>
          <w:b/>
          <w:bCs/>
        </w:rPr>
      </w:pPr>
    </w:p>
    <w:p w14:paraId="153B09C6" w14:textId="62CEF788" w:rsidR="00974BAD" w:rsidRDefault="00751DF0">
      <w:pPr>
        <w:spacing w:after="0" w:line="240" w:lineRule="auto"/>
        <w:rPr>
          <w:b/>
          <w:bCs/>
        </w:rPr>
      </w:pPr>
      <w:r>
        <w:rPr>
          <w:b/>
          <w:bCs/>
        </w:rPr>
        <w:t xml:space="preserve">Supplemental Table S4. </w:t>
      </w:r>
      <w:r w:rsidR="00974BAD" w:rsidRPr="00974BAD">
        <w:rPr>
          <w:b/>
          <w:bCs/>
        </w:rPr>
        <w:t xml:space="preserve">Tests of DNA-methylation biological aging measures as mediators of educational gradients in mortality risk. </w:t>
      </w:r>
      <w:r w:rsidR="00974BAD" w:rsidRPr="00974BAD">
        <w:t xml:space="preserve">The table shows results of mediational analysis following the approach of Valeri and Vanderweele (2013).  The first table row shows the controlled direct effect (CDE), second row shows the pure natural direct effect (PNDE), third row shows the total natural direct effect (TNDE), fourth row shows the pure natural indirect effect (PNDE), fifth row shows the total natural indirect effect (TNIE), sixth row shows the total effect (TE), last row shows the proportion mediated (PM). For estimates of the controlled direct effect, the value of the mediator (biological-age) is set to </w:t>
      </w:r>
      <w:proofErr w:type="spellStart"/>
      <w:proofErr w:type="gramStart"/>
      <w:r w:rsidR="00974BAD" w:rsidRPr="00974BAD">
        <w:t>zero.Because</w:t>
      </w:r>
      <w:proofErr w:type="spellEnd"/>
      <w:proofErr w:type="gramEnd"/>
      <w:r w:rsidR="00974BAD" w:rsidRPr="00974BAD">
        <w:t xml:space="preserve"> there is no established gold standard of biological aging, we repeated our primary analysis of the pace of aging measure using four additional DNA-methylation aging “clocks” which have similarly been shown to predict morbidity and mortality in diverse samples, and which have been shown to be sensitive to a range of socioenvironmental exposures. Note that the total effect is equal to the sum of the pure natural direct effect and the total natural indirect effect (PNDE + TNIE), and to the sum of the total natural direct effect and the pure natural indirect effect (TNDE + PNIE).</w:t>
      </w:r>
    </w:p>
    <w:p w14:paraId="0FD674D9" w14:textId="77777777" w:rsidR="00974BAD" w:rsidRDefault="00974BAD">
      <w:pPr>
        <w:spacing w:after="0" w:line="240" w:lineRule="auto"/>
        <w:rPr>
          <w:i/>
          <w:iCs/>
        </w:rPr>
      </w:pPr>
    </w:p>
    <w:p w14:paraId="6191C02A" w14:textId="77777777" w:rsidR="00945055" w:rsidRDefault="00751DF0" w:rsidP="00945055">
      <w:pPr>
        <w:spacing w:after="0" w:line="240" w:lineRule="auto"/>
        <w:rPr>
          <w:i/>
          <w:iCs/>
        </w:rPr>
      </w:pPr>
      <w:r w:rsidRPr="00974BAD">
        <w:rPr>
          <w:i/>
          <w:iCs/>
        </w:rPr>
        <w:t>See Excel file.</w:t>
      </w:r>
    </w:p>
    <w:p w14:paraId="4216DAB3" w14:textId="77777777" w:rsidR="00945055" w:rsidRDefault="00945055" w:rsidP="00945055">
      <w:pPr>
        <w:spacing w:after="0" w:line="240" w:lineRule="auto"/>
        <w:rPr>
          <w:i/>
          <w:iCs/>
        </w:rPr>
      </w:pPr>
    </w:p>
    <w:p w14:paraId="71A7658D" w14:textId="77777777" w:rsidR="004F1C92" w:rsidRDefault="004F1C92" w:rsidP="00945055">
      <w:pPr>
        <w:spacing w:after="0" w:line="240" w:lineRule="auto"/>
        <w:rPr>
          <w:b/>
          <w:bCs/>
        </w:rPr>
        <w:sectPr w:rsidR="004F1C92">
          <w:pgSz w:w="12240" w:h="15840"/>
          <w:pgMar w:top="1440" w:right="1440" w:bottom="1440" w:left="1440" w:header="720" w:footer="720" w:gutter="0"/>
          <w:cols w:space="720"/>
          <w:docGrid w:linePitch="360"/>
        </w:sectPr>
      </w:pPr>
    </w:p>
    <w:p w14:paraId="6A0DAAAA" w14:textId="75BDB7E0" w:rsidR="00945055" w:rsidRDefault="00751DF0" w:rsidP="00945055">
      <w:pPr>
        <w:spacing w:after="0" w:line="240" w:lineRule="auto"/>
      </w:pPr>
      <w:r>
        <w:rPr>
          <w:b/>
          <w:bCs/>
        </w:rPr>
        <w:lastRenderedPageBreak/>
        <w:t>Supplemental Table S5. Cell-count-adjusted a</w:t>
      </w:r>
      <w:r w:rsidRPr="007E00D0">
        <w:rPr>
          <w:b/>
          <w:bCs/>
        </w:rPr>
        <w:t>ssociations of educational attainment</w:t>
      </w:r>
      <w:r>
        <w:rPr>
          <w:b/>
          <w:bCs/>
        </w:rPr>
        <w:t>, parental education,</w:t>
      </w:r>
      <w:r w:rsidRPr="007E00D0">
        <w:rPr>
          <w:b/>
          <w:bCs/>
        </w:rPr>
        <w:t xml:space="preserve"> and educational mobility with </w:t>
      </w:r>
      <w:r w:rsidR="000D0034">
        <w:rPr>
          <w:b/>
          <w:bCs/>
        </w:rPr>
        <w:t>biological aging</w:t>
      </w:r>
      <w:r w:rsidRPr="007E00D0">
        <w:rPr>
          <w:b/>
          <w:bCs/>
        </w:rPr>
        <w:t xml:space="preserve"> in Offspring and Gen3 Framingham Study participants. </w:t>
      </w:r>
      <w:r w:rsidRPr="007E00D0">
        <w:t xml:space="preserve">Effect-sizes are age- and sex-adjusted Pearson's r correlations estimated from linear regression, and are interpretable as the standard-deviation unit increase in pace of aging associated with a 1-SD increase in educational attainment or educational mobility. Educational attainment and mobility appear to have modest but statistically significant effects on the </w:t>
      </w:r>
      <w:r>
        <w:t>P</w:t>
      </w:r>
      <w:r w:rsidRPr="007E00D0">
        <w:t xml:space="preserve">ace of </w:t>
      </w:r>
      <w:r>
        <w:t>A</w:t>
      </w:r>
      <w:r w:rsidRPr="007E00D0">
        <w:t>ging in both Offspring and Gen3 cohorts</w:t>
      </w:r>
      <w:r w:rsidR="00945055">
        <w:t>.</w:t>
      </w:r>
    </w:p>
    <w:p w14:paraId="659E4BD0" w14:textId="77777777" w:rsidR="0004567F" w:rsidRDefault="0004567F" w:rsidP="00945055">
      <w:pPr>
        <w:spacing w:after="0" w:line="240" w:lineRule="auto"/>
      </w:pPr>
    </w:p>
    <w:p w14:paraId="5032DB71" w14:textId="00659F5C" w:rsidR="00D00B65" w:rsidRDefault="0004567F" w:rsidP="00945055">
      <w:pPr>
        <w:spacing w:after="0" w:line="240" w:lineRule="auto"/>
      </w:pPr>
      <w:r w:rsidRPr="0004567F">
        <w:rPr>
          <w:noProof/>
        </w:rPr>
        <w:drawing>
          <wp:inline distT="0" distB="0" distL="0" distR="0" wp14:anchorId="559F34BB" wp14:editId="6994C552">
            <wp:extent cx="5943600" cy="2943669"/>
            <wp:effectExtent l="0" t="0" r="0" b="9525"/>
            <wp:docPr id="1269692981" name="Picture 1269692981">
              <a:extLst xmlns:a="http://schemas.openxmlformats.org/drawingml/2006/main">
                <a:ext uri="{FF2B5EF4-FFF2-40B4-BE49-F238E27FC236}">
                  <a16:creationId xmlns:a16="http://schemas.microsoft.com/office/drawing/2014/main" id="{6A19D141-477F-B22B-00CC-5A994F58E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A19D141-477F-B22B-00CC-5A994F58E173}"/>
                        </a:ext>
                      </a:extLst>
                    </pic:cNvPr>
                    <pic:cNvPicPr>
                      <a:picLocks noChangeAspect="1"/>
                    </pic:cNvPicPr>
                  </pic:nvPicPr>
                  <pic:blipFill rotWithShape="1">
                    <a:blip r:embed="rId10"/>
                    <a:srcRect t="10937"/>
                    <a:stretch/>
                  </pic:blipFill>
                  <pic:spPr bwMode="auto">
                    <a:xfrm>
                      <a:off x="0" y="0"/>
                      <a:ext cx="5943600" cy="2943669"/>
                    </a:xfrm>
                    <a:prstGeom prst="rect">
                      <a:avLst/>
                    </a:prstGeom>
                    <a:ln>
                      <a:noFill/>
                    </a:ln>
                    <a:extLst>
                      <a:ext uri="{53640926-AAD7-44D8-BBD7-CCE9431645EC}">
                        <a14:shadowObscured xmlns:a14="http://schemas.microsoft.com/office/drawing/2010/main"/>
                      </a:ext>
                    </a:extLst>
                  </pic:spPr>
                </pic:pic>
              </a:graphicData>
            </a:graphic>
          </wp:inline>
        </w:drawing>
      </w:r>
    </w:p>
    <w:p w14:paraId="5E8687BD" w14:textId="77777777" w:rsidR="00945055" w:rsidRDefault="00945055" w:rsidP="00945055">
      <w:pPr>
        <w:spacing w:after="0" w:line="240" w:lineRule="auto"/>
      </w:pPr>
    </w:p>
    <w:p w14:paraId="3DEFBDBF" w14:textId="77777777" w:rsidR="004F1C92" w:rsidRDefault="004F1C92" w:rsidP="00945055">
      <w:pPr>
        <w:spacing w:after="0" w:line="240" w:lineRule="auto"/>
        <w:rPr>
          <w:b/>
          <w:bCs/>
        </w:rPr>
        <w:sectPr w:rsidR="004F1C92">
          <w:pgSz w:w="12240" w:h="15840"/>
          <w:pgMar w:top="1440" w:right="1440" w:bottom="1440" w:left="1440" w:header="720" w:footer="720" w:gutter="0"/>
          <w:cols w:space="720"/>
          <w:docGrid w:linePitch="360"/>
        </w:sectPr>
      </w:pPr>
    </w:p>
    <w:p w14:paraId="76C27F1F" w14:textId="14AA6756" w:rsidR="00891CE6" w:rsidRDefault="00751DF0" w:rsidP="00945055">
      <w:pPr>
        <w:spacing w:after="0" w:line="240" w:lineRule="auto"/>
      </w:pPr>
      <w:r>
        <w:rPr>
          <w:b/>
          <w:bCs/>
        </w:rPr>
        <w:lastRenderedPageBreak/>
        <w:t xml:space="preserve">Supplemental Table S6. </w:t>
      </w:r>
      <w:r w:rsidRPr="00751DF0">
        <w:rPr>
          <w:b/>
          <w:bCs/>
        </w:rPr>
        <w:t>Cell-count adjusted associations</w:t>
      </w:r>
      <w:r w:rsidRPr="00AC3B7A">
        <w:rPr>
          <w:b/>
          <w:bCs/>
        </w:rPr>
        <w:t xml:space="preserve"> of </w:t>
      </w:r>
      <w:r w:rsidR="000D0034">
        <w:rPr>
          <w:b/>
          <w:bCs/>
        </w:rPr>
        <w:t>biological aging</w:t>
      </w:r>
      <w:r w:rsidRPr="00AC3B7A">
        <w:rPr>
          <w:b/>
          <w:bCs/>
        </w:rPr>
        <w:t xml:space="preserve">, educational attainment, and educational mobility with </w:t>
      </w:r>
      <w:r>
        <w:rPr>
          <w:b/>
          <w:bCs/>
        </w:rPr>
        <w:t xml:space="preserve">overall </w:t>
      </w:r>
      <w:r w:rsidRPr="00AC3B7A">
        <w:rPr>
          <w:b/>
          <w:bCs/>
        </w:rPr>
        <w:t>survival in the Framingham Offspring cohort.</w:t>
      </w:r>
      <w:r>
        <w:t xml:space="preserve"> The table shows age-adjusted hazard ratios estimated from Cox proportional hazards regression. Hazard ratios are interpretable as the change in </w:t>
      </w:r>
      <w:r w:rsidR="00AC40B5">
        <w:t>mortality</w:t>
      </w:r>
      <w:r>
        <w:t xml:space="preserve"> risk associated with a 1-SD increase in the pace of aging, in educational attainment, or educational mobility. Slower biological aging, educational attainment, and upward educational mobility are associated with longer overall survival.</w:t>
      </w:r>
    </w:p>
    <w:p w14:paraId="7E11E4E8" w14:textId="77777777" w:rsidR="002C4786" w:rsidRDefault="002C4786" w:rsidP="00945055">
      <w:pPr>
        <w:spacing w:after="0" w:line="240" w:lineRule="auto"/>
      </w:pPr>
    </w:p>
    <w:p w14:paraId="5A743A99" w14:textId="4DA7315B" w:rsidR="00FB34FD" w:rsidRDefault="002C4786" w:rsidP="004F1C92">
      <w:pPr>
        <w:jc w:val="center"/>
        <w:rPr>
          <w:b/>
          <w:bCs/>
        </w:rPr>
        <w:sectPr w:rsidR="00FB34FD">
          <w:pgSz w:w="12240" w:h="15840"/>
          <w:pgMar w:top="1440" w:right="1440" w:bottom="1440" w:left="1440" w:header="720" w:footer="720" w:gutter="0"/>
          <w:cols w:space="720"/>
          <w:docGrid w:linePitch="360"/>
        </w:sectPr>
      </w:pPr>
      <w:r w:rsidRPr="002C4786">
        <w:rPr>
          <w:b/>
          <w:bCs/>
          <w:noProof/>
        </w:rPr>
        <w:drawing>
          <wp:inline distT="0" distB="0" distL="0" distR="0" wp14:anchorId="221D476D" wp14:editId="50E40320">
            <wp:extent cx="5045177" cy="3095687"/>
            <wp:effectExtent l="0" t="0" r="3175" b="9525"/>
            <wp:docPr id="1342687073" name="Picture 1342687073">
              <a:extLst xmlns:a="http://schemas.openxmlformats.org/drawingml/2006/main">
                <a:ext uri="{FF2B5EF4-FFF2-40B4-BE49-F238E27FC236}">
                  <a16:creationId xmlns:a16="http://schemas.microsoft.com/office/drawing/2014/main" id="{663CB264-40C0-7C42-2BB4-3B01B092C3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63CB264-40C0-7C42-2BB4-3B01B092C316}"/>
                        </a:ext>
                      </a:extLst>
                    </pic:cNvPr>
                    <pic:cNvPicPr>
                      <a:picLocks noChangeAspect="1"/>
                    </pic:cNvPicPr>
                  </pic:nvPicPr>
                  <pic:blipFill rotWithShape="1">
                    <a:blip r:embed="rId11"/>
                    <a:srcRect t="11697"/>
                    <a:stretch/>
                  </pic:blipFill>
                  <pic:spPr bwMode="auto">
                    <a:xfrm>
                      <a:off x="0" y="0"/>
                      <a:ext cx="5051192" cy="3099378"/>
                    </a:xfrm>
                    <a:prstGeom prst="rect">
                      <a:avLst/>
                    </a:prstGeom>
                    <a:ln>
                      <a:noFill/>
                    </a:ln>
                    <a:extLst>
                      <a:ext uri="{53640926-AAD7-44D8-BBD7-CCE9431645EC}">
                        <a14:shadowObscured xmlns:a14="http://schemas.microsoft.com/office/drawing/2010/main"/>
                      </a:ext>
                    </a:extLst>
                  </pic:spPr>
                </pic:pic>
              </a:graphicData>
            </a:graphic>
          </wp:inline>
        </w:drawing>
      </w:r>
    </w:p>
    <w:p w14:paraId="6D11502C" w14:textId="02E74FC6" w:rsidR="00891CE6" w:rsidRDefault="000D7A07" w:rsidP="000D7A07">
      <w:r>
        <w:rPr>
          <w:b/>
          <w:bCs/>
        </w:rPr>
        <w:lastRenderedPageBreak/>
        <w:t>Supplemental Table S</w:t>
      </w:r>
      <w:r w:rsidR="00851CD9">
        <w:rPr>
          <w:b/>
          <w:bCs/>
        </w:rPr>
        <w:t>7</w:t>
      </w:r>
      <w:r>
        <w:rPr>
          <w:b/>
          <w:bCs/>
        </w:rPr>
        <w:t>. Smoking-adjusted a</w:t>
      </w:r>
      <w:r w:rsidRPr="007E00D0">
        <w:rPr>
          <w:b/>
          <w:bCs/>
        </w:rPr>
        <w:t>ssociations of educational attainment</w:t>
      </w:r>
      <w:r>
        <w:rPr>
          <w:b/>
          <w:bCs/>
        </w:rPr>
        <w:t>, parental education,</w:t>
      </w:r>
      <w:r w:rsidRPr="007E00D0">
        <w:rPr>
          <w:b/>
          <w:bCs/>
        </w:rPr>
        <w:t xml:space="preserve"> and educational mobility with </w:t>
      </w:r>
      <w:r w:rsidR="000D0034">
        <w:rPr>
          <w:b/>
          <w:bCs/>
        </w:rPr>
        <w:t>biological aging</w:t>
      </w:r>
      <w:r w:rsidR="000D0034" w:rsidRPr="007E00D0">
        <w:rPr>
          <w:b/>
          <w:bCs/>
        </w:rPr>
        <w:t xml:space="preserve"> </w:t>
      </w:r>
      <w:r w:rsidRPr="007E00D0">
        <w:rPr>
          <w:b/>
          <w:bCs/>
        </w:rPr>
        <w:t xml:space="preserve">in Offspring and Gen3 Framingham Study participants. </w:t>
      </w:r>
      <w:r w:rsidRPr="007E00D0">
        <w:t xml:space="preserve">Effect-sizes are age- and sex-adjusted Pearson's r correlations estimated from linear regression, and are interpretable as the standard-deviation unit increase in pace of aging associated with a 1-SD increase in educational attainment or educational mobility. Educational attainment and mobility appear to have modest but statistically significant effects on the </w:t>
      </w:r>
      <w:r>
        <w:t>P</w:t>
      </w:r>
      <w:r w:rsidRPr="007E00D0">
        <w:t xml:space="preserve">ace of </w:t>
      </w:r>
      <w:r>
        <w:t>A</w:t>
      </w:r>
      <w:r w:rsidRPr="007E00D0">
        <w:t>ging in both Offspring and Gen3 cohorts.</w:t>
      </w:r>
    </w:p>
    <w:p w14:paraId="75082425" w14:textId="661F295F" w:rsidR="00907441" w:rsidRDefault="00347F60" w:rsidP="000D7A07">
      <w:r w:rsidRPr="00347F60">
        <w:rPr>
          <w:noProof/>
        </w:rPr>
        <w:drawing>
          <wp:inline distT="0" distB="0" distL="0" distR="0" wp14:anchorId="54830DA2" wp14:editId="3CE66058">
            <wp:extent cx="5943600" cy="4013152"/>
            <wp:effectExtent l="0" t="0" r="0" b="6985"/>
            <wp:docPr id="1649957285" name="Picture 1649957285">
              <a:extLst xmlns:a="http://schemas.openxmlformats.org/drawingml/2006/main">
                <a:ext uri="{FF2B5EF4-FFF2-40B4-BE49-F238E27FC236}">
                  <a16:creationId xmlns:a16="http://schemas.microsoft.com/office/drawing/2014/main" id="{370B69EA-DACA-9FF0-959C-50F3C6816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70B69EA-DACA-9FF0-959C-50F3C6816937}"/>
                        </a:ext>
                      </a:extLst>
                    </pic:cNvPr>
                    <pic:cNvPicPr>
                      <a:picLocks noChangeAspect="1"/>
                    </pic:cNvPicPr>
                  </pic:nvPicPr>
                  <pic:blipFill rotWithShape="1">
                    <a:blip r:embed="rId12"/>
                    <a:srcRect t="9353"/>
                    <a:stretch/>
                  </pic:blipFill>
                  <pic:spPr bwMode="auto">
                    <a:xfrm>
                      <a:off x="0" y="0"/>
                      <a:ext cx="5943600" cy="4013152"/>
                    </a:xfrm>
                    <a:prstGeom prst="rect">
                      <a:avLst/>
                    </a:prstGeom>
                    <a:ln>
                      <a:noFill/>
                    </a:ln>
                    <a:extLst>
                      <a:ext uri="{53640926-AAD7-44D8-BBD7-CCE9431645EC}">
                        <a14:shadowObscured xmlns:a14="http://schemas.microsoft.com/office/drawing/2010/main"/>
                      </a:ext>
                    </a:extLst>
                  </pic:spPr>
                </pic:pic>
              </a:graphicData>
            </a:graphic>
          </wp:inline>
        </w:drawing>
      </w:r>
    </w:p>
    <w:p w14:paraId="37F8EF87" w14:textId="77777777" w:rsidR="001B3667" w:rsidRDefault="001B3667" w:rsidP="000D7A07">
      <w:pPr>
        <w:rPr>
          <w:b/>
          <w:bCs/>
        </w:rPr>
        <w:sectPr w:rsidR="001B3667">
          <w:pgSz w:w="12240" w:h="15840"/>
          <w:pgMar w:top="1440" w:right="1440" w:bottom="1440" w:left="1440" w:header="720" w:footer="720" w:gutter="0"/>
          <w:cols w:space="720"/>
          <w:docGrid w:linePitch="360"/>
        </w:sectPr>
      </w:pPr>
    </w:p>
    <w:p w14:paraId="7DD9A02F" w14:textId="40827D5B" w:rsidR="000D7A07" w:rsidRDefault="000D7A07" w:rsidP="000D7A07">
      <w:r>
        <w:rPr>
          <w:b/>
          <w:bCs/>
        </w:rPr>
        <w:lastRenderedPageBreak/>
        <w:t>Supplemental Table S</w:t>
      </w:r>
      <w:r w:rsidR="00851CD9">
        <w:rPr>
          <w:b/>
          <w:bCs/>
        </w:rPr>
        <w:t>8</w:t>
      </w:r>
      <w:r>
        <w:rPr>
          <w:b/>
          <w:bCs/>
        </w:rPr>
        <w:t>. Smoking-</w:t>
      </w:r>
      <w:r w:rsidRPr="00751DF0">
        <w:rPr>
          <w:b/>
          <w:bCs/>
        </w:rPr>
        <w:t>adjusted associations</w:t>
      </w:r>
      <w:r w:rsidRPr="00AC3B7A">
        <w:rPr>
          <w:b/>
          <w:bCs/>
        </w:rPr>
        <w:t xml:space="preserve"> of </w:t>
      </w:r>
      <w:r w:rsidR="000D0034">
        <w:rPr>
          <w:b/>
          <w:bCs/>
        </w:rPr>
        <w:t>biological aging</w:t>
      </w:r>
      <w:r w:rsidRPr="00AC3B7A">
        <w:rPr>
          <w:b/>
          <w:bCs/>
        </w:rPr>
        <w:t>, educational attainment, and educational mobility with</w:t>
      </w:r>
      <w:r>
        <w:rPr>
          <w:b/>
          <w:bCs/>
        </w:rPr>
        <w:t xml:space="preserve"> overall </w:t>
      </w:r>
      <w:r w:rsidRPr="00AC3B7A">
        <w:rPr>
          <w:b/>
          <w:bCs/>
        </w:rPr>
        <w:t>survival in the Framingham Offspring cohort.</w:t>
      </w:r>
      <w:r>
        <w:t xml:space="preserve"> The table shows age-adjusted hazard ratios estimated from Cox proportional hazards regression. Hazard ratios are interpretable as the change in </w:t>
      </w:r>
      <w:r w:rsidR="00AC40B5">
        <w:t>mortality</w:t>
      </w:r>
      <w:r>
        <w:t xml:space="preserve"> risk associated with a 1-SD increase in the pace of aging, in educational attainment, or educational mobility. Slower biological aging, educational attainment, and upward educational mobility are associated with longer overall survival.</w:t>
      </w:r>
    </w:p>
    <w:p w14:paraId="2DE75AC4" w14:textId="20B0DB01" w:rsidR="00891CE6" w:rsidRDefault="00347F60" w:rsidP="00945055">
      <w:pPr>
        <w:jc w:val="center"/>
      </w:pPr>
      <w:r w:rsidRPr="00347F60">
        <w:rPr>
          <w:noProof/>
        </w:rPr>
        <w:drawing>
          <wp:inline distT="0" distB="0" distL="0" distR="0" wp14:anchorId="3BCE6FBC" wp14:editId="1BB64ADB">
            <wp:extent cx="4941396" cy="3278038"/>
            <wp:effectExtent l="0" t="0" r="0" b="0"/>
            <wp:docPr id="529762801" name="Picture 529762801">
              <a:extLst xmlns:a="http://schemas.openxmlformats.org/drawingml/2006/main">
                <a:ext uri="{FF2B5EF4-FFF2-40B4-BE49-F238E27FC236}">
                  <a16:creationId xmlns:a16="http://schemas.microsoft.com/office/drawing/2014/main" id="{C8B397EF-C378-D29C-2620-4237D4CED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8B397EF-C378-D29C-2620-4237D4CED6AF}"/>
                        </a:ext>
                      </a:extLst>
                    </pic:cNvPr>
                    <pic:cNvPicPr>
                      <a:picLocks noChangeAspect="1"/>
                    </pic:cNvPicPr>
                  </pic:nvPicPr>
                  <pic:blipFill rotWithShape="1">
                    <a:blip r:embed="rId13"/>
                    <a:srcRect t="17507"/>
                    <a:stretch/>
                  </pic:blipFill>
                  <pic:spPr bwMode="auto">
                    <a:xfrm>
                      <a:off x="0" y="0"/>
                      <a:ext cx="4954007" cy="3286404"/>
                    </a:xfrm>
                    <a:prstGeom prst="rect">
                      <a:avLst/>
                    </a:prstGeom>
                    <a:ln>
                      <a:noFill/>
                    </a:ln>
                    <a:extLst>
                      <a:ext uri="{53640926-AAD7-44D8-BBD7-CCE9431645EC}">
                        <a14:shadowObscured xmlns:a14="http://schemas.microsoft.com/office/drawing/2010/main"/>
                      </a:ext>
                    </a:extLst>
                  </pic:spPr>
                </pic:pic>
              </a:graphicData>
            </a:graphic>
          </wp:inline>
        </w:drawing>
      </w:r>
    </w:p>
    <w:p w14:paraId="541871A8" w14:textId="77777777" w:rsidR="004F1C92" w:rsidRDefault="004F1C92" w:rsidP="00974BAD">
      <w:pPr>
        <w:spacing w:after="0" w:line="240" w:lineRule="auto"/>
        <w:rPr>
          <w:b/>
          <w:bCs/>
        </w:rPr>
        <w:sectPr w:rsidR="004F1C92">
          <w:pgSz w:w="12240" w:h="15840"/>
          <w:pgMar w:top="1440" w:right="1440" w:bottom="1440" w:left="1440" w:header="720" w:footer="720" w:gutter="0"/>
          <w:cols w:space="720"/>
          <w:docGrid w:linePitch="360"/>
        </w:sectPr>
      </w:pPr>
    </w:p>
    <w:p w14:paraId="18E3E98F" w14:textId="0039F814" w:rsidR="00907441" w:rsidRPr="00907441" w:rsidRDefault="00907441" w:rsidP="00907441">
      <w:pPr>
        <w:pStyle w:val="Heading1"/>
      </w:pPr>
      <w:r w:rsidRPr="00E96B9B">
        <w:lastRenderedPageBreak/>
        <w:t xml:space="preserve">Supplemental </w:t>
      </w:r>
      <w:r>
        <w:t>Figures</w:t>
      </w:r>
    </w:p>
    <w:p w14:paraId="492C37C7" w14:textId="77777777" w:rsidR="00180FA0" w:rsidRDefault="00180FA0" w:rsidP="00180FA0">
      <w:pPr>
        <w:rPr>
          <w:b/>
          <w:bCs/>
        </w:rPr>
      </w:pPr>
    </w:p>
    <w:p w14:paraId="73A96DF6" w14:textId="2240F43D" w:rsidR="00BF03E4" w:rsidRDefault="00BF03E4" w:rsidP="00BF03E4">
      <w:r>
        <w:rPr>
          <w:b/>
          <w:bCs/>
        </w:rPr>
        <w:t xml:space="preserve">Supplemental </w:t>
      </w:r>
      <w:r w:rsidRPr="00476239">
        <w:rPr>
          <w:b/>
          <w:bCs/>
        </w:rPr>
        <w:t xml:space="preserve">Figure </w:t>
      </w:r>
      <w:r w:rsidR="004767DA">
        <w:rPr>
          <w:b/>
          <w:bCs/>
        </w:rPr>
        <w:t>S</w:t>
      </w:r>
      <w:r w:rsidR="00180FA0">
        <w:rPr>
          <w:b/>
          <w:bCs/>
        </w:rPr>
        <w:t>1</w:t>
      </w:r>
      <w:r w:rsidRPr="00476239">
        <w:rPr>
          <w:b/>
          <w:bCs/>
        </w:rPr>
        <w:t xml:space="preserve">. Intrafamilial education correlation matrices. </w:t>
      </w:r>
      <w:r w:rsidRPr="00476239">
        <w:t>Histograms on the diagonal line show the distribution of participants’ own educational attainment and that of their mother, father, and siblings. Pearson’s r correlations are shown above the diagonal line, with corresponding scatterplots and lines of best fit below. Participants’ own educational attainment was moderately correlated with their parents’ educational attainment (r 0.</w:t>
      </w:r>
      <w:r w:rsidR="00FD5708">
        <w:t>31-0.36</w:t>
      </w:r>
      <w:r w:rsidRPr="00476239">
        <w:t>) and highly correlated with their siblings’ educational attainment (r 0.73-0.7</w:t>
      </w:r>
      <w:r>
        <w:t>5</w:t>
      </w:r>
      <w:r w:rsidRPr="00476239">
        <w:t>).</w:t>
      </w:r>
    </w:p>
    <w:p w14:paraId="45EC61E4" w14:textId="68883A0E" w:rsidR="00BF03E4" w:rsidRDefault="00FD5708" w:rsidP="00BC1012">
      <w:pPr>
        <w:jc w:val="center"/>
      </w:pPr>
      <w:r>
        <w:rPr>
          <w:noProof/>
        </w:rPr>
        <w:drawing>
          <wp:inline distT="0" distB="0" distL="0" distR="0" wp14:anchorId="596F16AD" wp14:editId="5E4A6EC4">
            <wp:extent cx="3651885" cy="5200650"/>
            <wp:effectExtent l="0" t="0" r="5715" b="0"/>
            <wp:docPr id="3255147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1885" cy="5200650"/>
                    </a:xfrm>
                    <a:prstGeom prst="rect">
                      <a:avLst/>
                    </a:prstGeom>
                    <a:noFill/>
                  </pic:spPr>
                </pic:pic>
              </a:graphicData>
            </a:graphic>
          </wp:inline>
        </w:drawing>
      </w:r>
    </w:p>
    <w:p w14:paraId="1874347C" w14:textId="06C82298" w:rsidR="00BF03E4" w:rsidRDefault="00BF03E4" w:rsidP="00BF03E4">
      <w:pPr>
        <w:jc w:val="center"/>
      </w:pPr>
    </w:p>
    <w:p w14:paraId="1AE34780" w14:textId="5606F583" w:rsidR="0079214B" w:rsidRDefault="00BF03E4" w:rsidP="00FC7670">
      <w:pPr>
        <w:rPr>
          <w:b/>
          <w:bCs/>
        </w:rPr>
        <w:sectPr w:rsidR="0079214B">
          <w:pgSz w:w="12240" w:h="15840"/>
          <w:pgMar w:top="1440" w:right="1440" w:bottom="1440" w:left="1440" w:header="720" w:footer="720" w:gutter="0"/>
          <w:cols w:space="720"/>
          <w:docGrid w:linePitch="360"/>
        </w:sectPr>
      </w:pPr>
      <w:r>
        <w:rPr>
          <w:b/>
          <w:bCs/>
        </w:rPr>
        <w:br w:type="page"/>
      </w:r>
    </w:p>
    <w:p w14:paraId="084DE0A6" w14:textId="42EEF76D" w:rsidR="00751DF0" w:rsidRPr="0079214B" w:rsidRDefault="00751DF0" w:rsidP="00751DF0">
      <w:r>
        <w:rPr>
          <w:b/>
          <w:bCs/>
        </w:rPr>
        <w:lastRenderedPageBreak/>
        <w:t xml:space="preserve">Supplemental </w:t>
      </w:r>
      <w:r w:rsidRPr="006B058D">
        <w:rPr>
          <w:b/>
          <w:bCs/>
        </w:rPr>
        <w:t xml:space="preserve">Figure </w:t>
      </w:r>
      <w:r w:rsidR="00096F0E">
        <w:rPr>
          <w:b/>
          <w:bCs/>
        </w:rPr>
        <w:t>S</w:t>
      </w:r>
      <w:r w:rsidR="00180FA0">
        <w:rPr>
          <w:b/>
          <w:bCs/>
        </w:rPr>
        <w:t>2</w:t>
      </w:r>
      <w:r w:rsidRPr="006B058D">
        <w:rPr>
          <w:b/>
          <w:bCs/>
        </w:rPr>
        <w:t xml:space="preserve">. Associations of educational mobility and DunedinPACE </w:t>
      </w:r>
      <w:r>
        <w:rPr>
          <w:b/>
          <w:bCs/>
        </w:rPr>
        <w:t xml:space="preserve">by social origins </w:t>
      </w:r>
      <w:r w:rsidRPr="006B058D">
        <w:rPr>
          <w:b/>
          <w:bCs/>
        </w:rPr>
        <w:t xml:space="preserve">in Offspring and Gen3 Framingham study participants. </w:t>
      </w:r>
      <w:r w:rsidRPr="006B058D">
        <w:t>This figure shows associations of educational mobility with faster pace of aging</w:t>
      </w:r>
      <w:r>
        <w:t>, stratified by parental educational attainment. E</w:t>
      </w:r>
      <w:r w:rsidRPr="006B058D">
        <w:t xml:space="preserve">ffect-sizes are Pearson’s r correlations, denominated in standard-deviation units of pace of aging. </w:t>
      </w:r>
      <w:r>
        <w:t xml:space="preserve">Observed returns of educational mobility to healthy aging were observed regardless of social origins, </w:t>
      </w:r>
      <w:r w:rsidRPr="006B058D">
        <w:t>with similar effect-sizes across Offspring and Gen3 Framingham study participants.</w:t>
      </w:r>
    </w:p>
    <w:p w14:paraId="6503553B" w14:textId="2C47BFD1" w:rsidR="00751DF0" w:rsidRDefault="001614A4" w:rsidP="00751DF0">
      <w:pPr>
        <w:jc w:val="center"/>
        <w:rPr>
          <w:b/>
          <w:bCs/>
        </w:rPr>
      </w:pPr>
      <w:r>
        <w:rPr>
          <w:b/>
          <w:bCs/>
          <w:noProof/>
        </w:rPr>
        <w:drawing>
          <wp:inline distT="0" distB="0" distL="0" distR="0" wp14:anchorId="56A09958" wp14:editId="0E03DB36">
            <wp:extent cx="4567049" cy="3019647"/>
            <wp:effectExtent l="0" t="0" r="5080" b="9525"/>
            <wp:docPr id="18516613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3311" cy="3023787"/>
                    </a:xfrm>
                    <a:prstGeom prst="rect">
                      <a:avLst/>
                    </a:prstGeom>
                    <a:noFill/>
                  </pic:spPr>
                </pic:pic>
              </a:graphicData>
            </a:graphic>
          </wp:inline>
        </w:drawing>
      </w:r>
    </w:p>
    <w:p w14:paraId="5DFE922C" w14:textId="77777777" w:rsidR="00CF5561" w:rsidRDefault="00CF5561" w:rsidP="00751DF0">
      <w:pPr>
        <w:jc w:val="center"/>
        <w:rPr>
          <w:b/>
          <w:bCs/>
        </w:rPr>
      </w:pPr>
    </w:p>
    <w:p w14:paraId="5896C160" w14:textId="4F3C8940" w:rsidR="000D1C7F" w:rsidRDefault="000D1C7F" w:rsidP="00751DF0">
      <w:pPr>
        <w:jc w:val="center"/>
        <w:rPr>
          <w:b/>
          <w:bCs/>
        </w:rPr>
      </w:pPr>
    </w:p>
    <w:p w14:paraId="04701401" w14:textId="7545316C" w:rsidR="00CF5561" w:rsidRDefault="00CF5561" w:rsidP="00751DF0">
      <w:pPr>
        <w:jc w:val="center"/>
        <w:rPr>
          <w:b/>
          <w:bCs/>
        </w:rPr>
      </w:pPr>
    </w:p>
    <w:sectPr w:rsidR="00CF55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3E4"/>
    <w:rsid w:val="00010AFC"/>
    <w:rsid w:val="00010C99"/>
    <w:rsid w:val="00013663"/>
    <w:rsid w:val="0004567F"/>
    <w:rsid w:val="00096F0E"/>
    <w:rsid w:val="00097CA7"/>
    <w:rsid w:val="000D0034"/>
    <w:rsid w:val="000D1AFA"/>
    <w:rsid w:val="000D1C7F"/>
    <w:rsid w:val="000D3F69"/>
    <w:rsid w:val="000D7A07"/>
    <w:rsid w:val="000F07A3"/>
    <w:rsid w:val="00144F91"/>
    <w:rsid w:val="001614A4"/>
    <w:rsid w:val="001656D1"/>
    <w:rsid w:val="00166B70"/>
    <w:rsid w:val="00180FA0"/>
    <w:rsid w:val="00185462"/>
    <w:rsid w:val="00197934"/>
    <w:rsid w:val="001A3504"/>
    <w:rsid w:val="001B3667"/>
    <w:rsid w:val="00215D63"/>
    <w:rsid w:val="0023422A"/>
    <w:rsid w:val="00246962"/>
    <w:rsid w:val="0027670F"/>
    <w:rsid w:val="00292D5F"/>
    <w:rsid w:val="002C4786"/>
    <w:rsid w:val="002D0DEB"/>
    <w:rsid w:val="002D251B"/>
    <w:rsid w:val="002E09BD"/>
    <w:rsid w:val="00301E7D"/>
    <w:rsid w:val="00316CA8"/>
    <w:rsid w:val="00347F60"/>
    <w:rsid w:val="00357100"/>
    <w:rsid w:val="00383F4D"/>
    <w:rsid w:val="003922CB"/>
    <w:rsid w:val="00394A72"/>
    <w:rsid w:val="00397902"/>
    <w:rsid w:val="003A34F4"/>
    <w:rsid w:val="003C3D4E"/>
    <w:rsid w:val="003D62B8"/>
    <w:rsid w:val="003D636A"/>
    <w:rsid w:val="003E42AA"/>
    <w:rsid w:val="0040740B"/>
    <w:rsid w:val="004356C3"/>
    <w:rsid w:val="00455965"/>
    <w:rsid w:val="004713F1"/>
    <w:rsid w:val="004767DA"/>
    <w:rsid w:val="004A4736"/>
    <w:rsid w:val="004B536F"/>
    <w:rsid w:val="004C0AA0"/>
    <w:rsid w:val="004D2794"/>
    <w:rsid w:val="004F1C92"/>
    <w:rsid w:val="004F4475"/>
    <w:rsid w:val="005365E1"/>
    <w:rsid w:val="00574AE4"/>
    <w:rsid w:val="005D5C14"/>
    <w:rsid w:val="005F57C4"/>
    <w:rsid w:val="00604F46"/>
    <w:rsid w:val="0061783C"/>
    <w:rsid w:val="00635B5A"/>
    <w:rsid w:val="006825BC"/>
    <w:rsid w:val="00687BC8"/>
    <w:rsid w:val="006C2D94"/>
    <w:rsid w:val="006D1C35"/>
    <w:rsid w:val="006E1F5D"/>
    <w:rsid w:val="006E4460"/>
    <w:rsid w:val="00701FDA"/>
    <w:rsid w:val="00723132"/>
    <w:rsid w:val="00730BDD"/>
    <w:rsid w:val="00734CE6"/>
    <w:rsid w:val="00751DF0"/>
    <w:rsid w:val="00765D1F"/>
    <w:rsid w:val="0078127F"/>
    <w:rsid w:val="007813D8"/>
    <w:rsid w:val="0079214B"/>
    <w:rsid w:val="007E298E"/>
    <w:rsid w:val="007E68F4"/>
    <w:rsid w:val="007E6911"/>
    <w:rsid w:val="00803818"/>
    <w:rsid w:val="00830C4F"/>
    <w:rsid w:val="00850C1E"/>
    <w:rsid w:val="00851CD9"/>
    <w:rsid w:val="00880BB7"/>
    <w:rsid w:val="00891CE6"/>
    <w:rsid w:val="008B2106"/>
    <w:rsid w:val="00907441"/>
    <w:rsid w:val="0091085C"/>
    <w:rsid w:val="00945055"/>
    <w:rsid w:val="00971C7A"/>
    <w:rsid w:val="00974BAD"/>
    <w:rsid w:val="00A47E82"/>
    <w:rsid w:val="00A6273B"/>
    <w:rsid w:val="00AB53F5"/>
    <w:rsid w:val="00AC3B7A"/>
    <w:rsid w:val="00AC40B5"/>
    <w:rsid w:val="00AC4957"/>
    <w:rsid w:val="00B31EF0"/>
    <w:rsid w:val="00B61F22"/>
    <w:rsid w:val="00B82A03"/>
    <w:rsid w:val="00B90FC1"/>
    <w:rsid w:val="00B95AD6"/>
    <w:rsid w:val="00BA06EE"/>
    <w:rsid w:val="00BA0C48"/>
    <w:rsid w:val="00BA2D6B"/>
    <w:rsid w:val="00BB25C8"/>
    <w:rsid w:val="00BC1012"/>
    <w:rsid w:val="00BE5A04"/>
    <w:rsid w:val="00BF03E4"/>
    <w:rsid w:val="00BF768A"/>
    <w:rsid w:val="00C22534"/>
    <w:rsid w:val="00C42A10"/>
    <w:rsid w:val="00C61B98"/>
    <w:rsid w:val="00C7099E"/>
    <w:rsid w:val="00CE42C2"/>
    <w:rsid w:val="00CE4AF9"/>
    <w:rsid w:val="00CF5561"/>
    <w:rsid w:val="00D00B65"/>
    <w:rsid w:val="00D11B8F"/>
    <w:rsid w:val="00D207DD"/>
    <w:rsid w:val="00D24B62"/>
    <w:rsid w:val="00D346A0"/>
    <w:rsid w:val="00D42CA9"/>
    <w:rsid w:val="00D51C66"/>
    <w:rsid w:val="00D61591"/>
    <w:rsid w:val="00D73261"/>
    <w:rsid w:val="00DA1D04"/>
    <w:rsid w:val="00DB1BE9"/>
    <w:rsid w:val="00DC68C5"/>
    <w:rsid w:val="00DF469A"/>
    <w:rsid w:val="00E1342A"/>
    <w:rsid w:val="00E170AC"/>
    <w:rsid w:val="00E26212"/>
    <w:rsid w:val="00E30312"/>
    <w:rsid w:val="00E313AA"/>
    <w:rsid w:val="00E81B01"/>
    <w:rsid w:val="00E84033"/>
    <w:rsid w:val="00E96B9B"/>
    <w:rsid w:val="00F00782"/>
    <w:rsid w:val="00FA77C6"/>
    <w:rsid w:val="00FB34FD"/>
    <w:rsid w:val="00FB6693"/>
    <w:rsid w:val="00FC7670"/>
    <w:rsid w:val="00FD3502"/>
    <w:rsid w:val="00FD5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16F92"/>
  <w15:docId w15:val="{0D6762A5-6E73-4B33-BC6B-FFDB18B70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3E4"/>
    <w:pPr>
      <w:spacing w:after="160" w:line="259" w:lineRule="auto"/>
    </w:pPr>
    <w:rPr>
      <w:sz w:val="22"/>
      <w:szCs w:val="22"/>
    </w:rPr>
  </w:style>
  <w:style w:type="paragraph" w:styleId="Heading1">
    <w:name w:val="heading 1"/>
    <w:basedOn w:val="Normal"/>
    <w:next w:val="Normal"/>
    <w:link w:val="Heading1Char"/>
    <w:uiPriority w:val="9"/>
    <w:qFormat/>
    <w:rsid w:val="009450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F03E4"/>
    <w:rPr>
      <w:sz w:val="16"/>
      <w:szCs w:val="16"/>
    </w:rPr>
  </w:style>
  <w:style w:type="character" w:customStyle="1" w:styleId="Heading1Char">
    <w:name w:val="Heading 1 Char"/>
    <w:basedOn w:val="DefaultParagraphFont"/>
    <w:link w:val="Heading1"/>
    <w:uiPriority w:val="9"/>
    <w:rsid w:val="00945055"/>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semiHidden/>
    <w:unhideWhenUsed/>
    <w:rsid w:val="00010C99"/>
    <w:pPr>
      <w:spacing w:line="240" w:lineRule="auto"/>
    </w:pPr>
    <w:rPr>
      <w:sz w:val="20"/>
      <w:szCs w:val="20"/>
    </w:rPr>
  </w:style>
  <w:style w:type="character" w:customStyle="1" w:styleId="CommentTextChar">
    <w:name w:val="Comment Text Char"/>
    <w:basedOn w:val="DefaultParagraphFont"/>
    <w:link w:val="CommentText"/>
    <w:uiPriority w:val="99"/>
    <w:semiHidden/>
    <w:rsid w:val="00010C99"/>
    <w:rPr>
      <w:sz w:val="20"/>
      <w:szCs w:val="20"/>
    </w:rPr>
  </w:style>
  <w:style w:type="paragraph" w:styleId="CommentSubject">
    <w:name w:val="annotation subject"/>
    <w:basedOn w:val="CommentText"/>
    <w:next w:val="CommentText"/>
    <w:link w:val="CommentSubjectChar"/>
    <w:uiPriority w:val="99"/>
    <w:semiHidden/>
    <w:unhideWhenUsed/>
    <w:rsid w:val="00010C99"/>
    <w:rPr>
      <w:b/>
      <w:bCs/>
    </w:rPr>
  </w:style>
  <w:style w:type="character" w:customStyle="1" w:styleId="CommentSubjectChar">
    <w:name w:val="Comment Subject Char"/>
    <w:basedOn w:val="CommentTextChar"/>
    <w:link w:val="CommentSubject"/>
    <w:uiPriority w:val="99"/>
    <w:semiHidden/>
    <w:rsid w:val="00010C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47462-A627-44F0-BC9E-ECB5E0110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11</Pages>
  <Words>1339</Words>
  <Characters>7635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Graf, Gloria H.</cp:lastModifiedBy>
  <cp:revision>42</cp:revision>
  <dcterms:created xsi:type="dcterms:W3CDTF">2023-09-06T18:23:00Z</dcterms:created>
  <dcterms:modified xsi:type="dcterms:W3CDTF">2023-10-10T16:26:00Z</dcterms:modified>
</cp:coreProperties>
</file>