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61BB" w14:textId="7E2AB70C" w:rsidR="00184DAD" w:rsidRDefault="00184DAD" w:rsidP="000A02EC">
      <w:pPr>
        <w:spacing w:line="360" w:lineRule="auto"/>
        <w:rPr>
          <w:rFonts w:ascii="Times New Roman" w:hAnsi="Times New Roman" w:cs="Times New Roman"/>
          <w:b/>
          <w:bCs/>
          <w:sz w:val="20"/>
          <w:szCs w:val="20"/>
          <w:lang w:val="en-GB"/>
        </w:rPr>
      </w:pPr>
      <w:bookmarkStart w:id="0" w:name="_Hlk149587745"/>
      <w:bookmarkEnd w:id="0"/>
      <w:r w:rsidRPr="00184DAD">
        <w:rPr>
          <w:rFonts w:ascii="Times New Roman" w:hAnsi="Times New Roman" w:cs="Times New Roman"/>
          <w:b/>
          <w:bCs/>
          <w:sz w:val="20"/>
          <w:szCs w:val="20"/>
          <w:lang w:val="en-GB"/>
        </w:rPr>
        <w:t>Prognostic impact and causality of age on oncological outcomes in women with endometrial cancer: a multimethod analysis of the randomised PORTEC-1, -2 and -3 trials</w:t>
      </w:r>
    </w:p>
    <w:p w14:paraId="3F13B7C2" w14:textId="7B1578D4" w:rsidR="000607BD" w:rsidRPr="00332C38" w:rsidRDefault="00184DAD" w:rsidP="00184DAD">
      <w:pPr>
        <w:spacing w:line="360" w:lineRule="auto"/>
        <w:rPr>
          <w:rFonts w:ascii="Times New Roman" w:hAnsi="Times New Roman" w:cs="Times New Roman"/>
          <w:b/>
          <w:bCs/>
          <w:i/>
          <w:iCs/>
          <w:sz w:val="24"/>
          <w:szCs w:val="24"/>
        </w:rPr>
      </w:pPr>
      <w:r w:rsidRPr="00184DAD">
        <w:rPr>
          <w:rFonts w:ascii="Times New Roman" w:hAnsi="Times New Roman" w:cs="Times New Roman"/>
          <w:b/>
          <w:bCs/>
          <w:sz w:val="20"/>
          <w:szCs w:val="20"/>
        </w:rPr>
        <w:t>Wakkerman F.C. et al.</w:t>
      </w:r>
      <w:r>
        <w:rPr>
          <w:rFonts w:ascii="Times New Roman" w:hAnsi="Times New Roman" w:cs="Times New Roman"/>
          <w:b/>
          <w:bCs/>
          <w:sz w:val="20"/>
          <w:szCs w:val="20"/>
        </w:rPr>
        <w:t xml:space="preserve"> </w:t>
      </w:r>
      <w:r w:rsidRPr="00184DAD">
        <w:rPr>
          <w:rFonts w:ascii="Times New Roman" w:hAnsi="Times New Roman" w:cs="Times New Roman"/>
          <w:b/>
          <w:bCs/>
          <w:sz w:val="20"/>
          <w:szCs w:val="20"/>
        </w:rPr>
        <w:t> </w:t>
      </w:r>
    </w:p>
    <w:p w14:paraId="58219AEF" w14:textId="77777777" w:rsidR="00EB1395" w:rsidRDefault="00EB1395" w:rsidP="000A02EC">
      <w:pPr>
        <w:spacing w:line="360" w:lineRule="auto"/>
        <w:rPr>
          <w:rFonts w:ascii="Times New Roman" w:hAnsi="Times New Roman" w:cs="Times New Roman"/>
          <w:b/>
          <w:bCs/>
          <w:sz w:val="24"/>
          <w:szCs w:val="24"/>
        </w:rPr>
      </w:pPr>
    </w:p>
    <w:p w14:paraId="158ADE77" w14:textId="77777777" w:rsidR="00184DAD" w:rsidRDefault="00184DAD" w:rsidP="000A02EC">
      <w:pPr>
        <w:spacing w:line="360" w:lineRule="auto"/>
        <w:rPr>
          <w:rFonts w:ascii="Times New Roman" w:hAnsi="Times New Roman" w:cs="Times New Roman"/>
          <w:b/>
          <w:bCs/>
          <w:sz w:val="24"/>
          <w:szCs w:val="24"/>
        </w:rPr>
      </w:pPr>
    </w:p>
    <w:p w14:paraId="11B66C66" w14:textId="77777777" w:rsidR="00184DAD" w:rsidRPr="00332C38" w:rsidRDefault="00184DAD" w:rsidP="000A02EC">
      <w:pPr>
        <w:spacing w:line="360" w:lineRule="auto"/>
        <w:rPr>
          <w:rFonts w:ascii="Times New Roman" w:hAnsi="Times New Roman" w:cs="Times New Roman"/>
          <w:b/>
          <w:bCs/>
          <w:sz w:val="24"/>
          <w:szCs w:val="24"/>
        </w:rPr>
      </w:pPr>
    </w:p>
    <w:p w14:paraId="5557052E" w14:textId="72292457" w:rsidR="00C41AB5" w:rsidRPr="00EB1395" w:rsidRDefault="00CC2A58" w:rsidP="000A02EC">
      <w:pPr>
        <w:spacing w:line="360" w:lineRule="auto"/>
        <w:rPr>
          <w:rFonts w:ascii="Times New Roman" w:hAnsi="Times New Roman" w:cs="Times New Roman"/>
          <w:b/>
          <w:bCs/>
          <w:sz w:val="24"/>
          <w:szCs w:val="24"/>
          <w:lang w:val="en-US"/>
        </w:rPr>
      </w:pPr>
      <w:r w:rsidRPr="00EB1395">
        <w:rPr>
          <w:rFonts w:ascii="Times New Roman" w:hAnsi="Times New Roman" w:cs="Times New Roman"/>
          <w:b/>
          <w:bCs/>
          <w:sz w:val="24"/>
          <w:szCs w:val="24"/>
          <w:lang w:val="en-US"/>
        </w:rPr>
        <w:t xml:space="preserve">Supplementary appendix </w:t>
      </w:r>
    </w:p>
    <w:sdt>
      <w:sdtPr>
        <w:rPr>
          <w:rFonts w:asciiTheme="minorHAnsi" w:eastAsiaTheme="minorHAnsi" w:hAnsiTheme="minorHAnsi" w:cstheme="minorBidi"/>
          <w:color w:val="auto"/>
          <w:sz w:val="22"/>
          <w:szCs w:val="22"/>
          <w:lang w:val="en-GB"/>
        </w:rPr>
        <w:id w:val="818626252"/>
        <w:docPartObj>
          <w:docPartGallery w:val="Table of Contents"/>
          <w:docPartUnique/>
        </w:docPartObj>
      </w:sdtPr>
      <w:sdtEndPr>
        <w:rPr>
          <w:b/>
          <w:bCs/>
        </w:rPr>
      </w:sdtEndPr>
      <w:sdtContent>
        <w:p w14:paraId="69BDC4EE" w14:textId="386B90B2" w:rsidR="0018156F" w:rsidRPr="00EB1395" w:rsidRDefault="0018156F">
          <w:pPr>
            <w:pStyle w:val="TOCHeading"/>
            <w:rPr>
              <w:rFonts w:ascii="Times New Roman" w:hAnsi="Times New Roman" w:cs="Times New Roman"/>
              <w:b/>
              <w:bCs/>
              <w:color w:val="auto"/>
              <w:sz w:val="20"/>
              <w:szCs w:val="20"/>
            </w:rPr>
          </w:pPr>
          <w:r w:rsidRPr="00EB1395">
            <w:rPr>
              <w:rFonts w:ascii="Times New Roman" w:hAnsi="Times New Roman" w:cs="Times New Roman"/>
              <w:b/>
              <w:bCs/>
              <w:color w:val="auto"/>
              <w:sz w:val="20"/>
              <w:szCs w:val="20"/>
              <w:lang w:val="en-GB"/>
            </w:rPr>
            <w:t>Table of Contents</w:t>
          </w:r>
        </w:p>
        <w:p w14:paraId="7271550E" w14:textId="63A1CE17" w:rsidR="0018156F" w:rsidRPr="00EB1395" w:rsidRDefault="0018156F">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r w:rsidRPr="00EB1395">
            <w:rPr>
              <w:rFonts w:ascii="Times New Roman" w:hAnsi="Times New Roman" w:cs="Times New Roman"/>
              <w:sz w:val="20"/>
              <w:szCs w:val="20"/>
            </w:rPr>
            <w:fldChar w:fldCharType="begin"/>
          </w:r>
          <w:r w:rsidRPr="00EB1395">
            <w:rPr>
              <w:rFonts w:ascii="Times New Roman" w:hAnsi="Times New Roman" w:cs="Times New Roman"/>
              <w:sz w:val="20"/>
              <w:szCs w:val="20"/>
            </w:rPr>
            <w:instrText xml:space="preserve"> TOC \o "1-3" \h \z \u </w:instrText>
          </w:r>
          <w:r w:rsidRPr="00EB1395">
            <w:rPr>
              <w:rFonts w:ascii="Times New Roman" w:hAnsi="Times New Roman" w:cs="Times New Roman"/>
              <w:sz w:val="20"/>
              <w:szCs w:val="20"/>
            </w:rPr>
            <w:fldChar w:fldCharType="separate"/>
          </w:r>
          <w:hyperlink w:anchor="_Toc149307263" w:history="1">
            <w:r w:rsidRPr="00EB1395">
              <w:rPr>
                <w:rStyle w:val="Hyperlink"/>
                <w:rFonts w:ascii="Times New Roman" w:hAnsi="Times New Roman" w:cs="Times New Roman"/>
                <w:noProof/>
                <w:sz w:val="20"/>
                <w:szCs w:val="20"/>
                <w:lang w:val="en-US"/>
              </w:rPr>
              <w:t>Supplementary figure 1. CONSORT flowchart PORTEC -1, -2 and -3</w:t>
            </w:r>
            <w:r w:rsidRPr="00EB1395">
              <w:rPr>
                <w:rFonts w:ascii="Times New Roman" w:hAnsi="Times New Roman" w:cs="Times New Roman"/>
                <w:noProof/>
                <w:webHidden/>
                <w:sz w:val="20"/>
                <w:szCs w:val="20"/>
              </w:rPr>
              <w:tab/>
            </w:r>
            <w:r w:rsidRPr="00EB1395">
              <w:rPr>
                <w:rFonts w:ascii="Times New Roman" w:hAnsi="Times New Roman" w:cs="Times New Roman"/>
                <w:noProof/>
                <w:webHidden/>
                <w:sz w:val="20"/>
                <w:szCs w:val="20"/>
              </w:rPr>
              <w:fldChar w:fldCharType="begin"/>
            </w:r>
            <w:r w:rsidRPr="00EB1395">
              <w:rPr>
                <w:rFonts w:ascii="Times New Roman" w:hAnsi="Times New Roman" w:cs="Times New Roman"/>
                <w:noProof/>
                <w:webHidden/>
                <w:sz w:val="20"/>
                <w:szCs w:val="20"/>
              </w:rPr>
              <w:instrText xml:space="preserve"> PAGEREF _Toc149307263 \h </w:instrText>
            </w:r>
            <w:r w:rsidRPr="00EB1395">
              <w:rPr>
                <w:rFonts w:ascii="Times New Roman" w:hAnsi="Times New Roman" w:cs="Times New Roman"/>
                <w:noProof/>
                <w:webHidden/>
                <w:sz w:val="20"/>
                <w:szCs w:val="20"/>
              </w:rPr>
            </w:r>
            <w:r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w:t>
            </w:r>
            <w:r w:rsidRPr="00EB1395">
              <w:rPr>
                <w:rFonts w:ascii="Times New Roman" w:hAnsi="Times New Roman" w:cs="Times New Roman"/>
                <w:noProof/>
                <w:webHidden/>
                <w:sz w:val="20"/>
                <w:szCs w:val="20"/>
              </w:rPr>
              <w:fldChar w:fldCharType="end"/>
            </w:r>
          </w:hyperlink>
        </w:p>
        <w:p w14:paraId="00D8E011" w14:textId="3D825D2A"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4" w:history="1">
            <w:r w:rsidR="0018156F" w:rsidRPr="00EB1395">
              <w:rPr>
                <w:rStyle w:val="Hyperlink"/>
                <w:rFonts w:ascii="Times New Roman" w:hAnsi="Times New Roman" w:cs="Times New Roman"/>
                <w:noProof/>
                <w:sz w:val="20"/>
                <w:szCs w:val="20"/>
                <w:lang w:val="en-US"/>
              </w:rPr>
              <w:t>Data Supplement 1. Assessment of molecular class</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_Toc149307264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2</w:t>
            </w:r>
            <w:r w:rsidR="0018156F" w:rsidRPr="00EB1395">
              <w:rPr>
                <w:rFonts w:ascii="Times New Roman" w:hAnsi="Times New Roman" w:cs="Times New Roman"/>
                <w:noProof/>
                <w:webHidden/>
                <w:sz w:val="20"/>
                <w:szCs w:val="20"/>
              </w:rPr>
              <w:fldChar w:fldCharType="end"/>
            </w:r>
          </w:hyperlink>
        </w:p>
        <w:p w14:paraId="1B18A7E5" w14:textId="326DAA73"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5" w:history="1">
            <w:r w:rsidR="0018156F" w:rsidRPr="00EB1395">
              <w:rPr>
                <w:rStyle w:val="Hyperlink"/>
                <w:rFonts w:ascii="Times New Roman" w:hAnsi="Times New Roman" w:cs="Times New Roman"/>
                <w:noProof/>
                <w:sz w:val="20"/>
                <w:szCs w:val="20"/>
                <w:lang w:val="en-US"/>
              </w:rPr>
              <w:t>Data Supplement 2. Methods AutoCI</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_Toc149307265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2</w:t>
            </w:r>
            <w:r w:rsidR="0018156F" w:rsidRPr="00EB1395">
              <w:rPr>
                <w:rFonts w:ascii="Times New Roman" w:hAnsi="Times New Roman" w:cs="Times New Roman"/>
                <w:noProof/>
                <w:webHidden/>
                <w:sz w:val="20"/>
                <w:szCs w:val="20"/>
              </w:rPr>
              <w:fldChar w:fldCharType="end"/>
            </w:r>
          </w:hyperlink>
        </w:p>
        <w:p w14:paraId="1BEDCD1E" w14:textId="4EB5F220"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6" w:history="1">
            <w:r w:rsidR="0018156F" w:rsidRPr="00EB1395">
              <w:rPr>
                <w:rStyle w:val="Hyperlink"/>
                <w:rFonts w:ascii="Times New Roman" w:hAnsi="Times New Roman" w:cs="Times New Roman"/>
                <w:noProof/>
                <w:sz w:val="20"/>
                <w:szCs w:val="20"/>
                <w:lang w:val="en-US"/>
              </w:rPr>
              <w:t>Supplementary Table 1. Clinicopathological and molecular characteristics by age in the PORTEC-1 trial</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_Toc149307266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4</w:t>
            </w:r>
            <w:r w:rsidR="0018156F" w:rsidRPr="00EB1395">
              <w:rPr>
                <w:rFonts w:ascii="Times New Roman" w:hAnsi="Times New Roman" w:cs="Times New Roman"/>
                <w:noProof/>
                <w:webHidden/>
                <w:sz w:val="20"/>
                <w:szCs w:val="20"/>
              </w:rPr>
              <w:fldChar w:fldCharType="end"/>
            </w:r>
          </w:hyperlink>
        </w:p>
        <w:p w14:paraId="0CE2BD79" w14:textId="3D5C9BF9"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7" w:history="1">
            <w:r w:rsidR="0018156F" w:rsidRPr="00EB1395">
              <w:rPr>
                <w:rStyle w:val="Hyperlink"/>
                <w:rFonts w:ascii="Times New Roman" w:hAnsi="Times New Roman" w:cs="Times New Roman"/>
                <w:noProof/>
                <w:sz w:val="20"/>
                <w:szCs w:val="20"/>
                <w:lang w:val="en-GB"/>
              </w:rPr>
              <w:t>Supplementary Table 2. Clinicopathological and molecular characteristics by age in the PORTEC-2 trial</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_Toc149307267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5</w:t>
            </w:r>
            <w:r w:rsidR="0018156F" w:rsidRPr="00EB1395">
              <w:rPr>
                <w:rFonts w:ascii="Times New Roman" w:hAnsi="Times New Roman" w:cs="Times New Roman"/>
                <w:noProof/>
                <w:webHidden/>
                <w:sz w:val="20"/>
                <w:szCs w:val="20"/>
              </w:rPr>
              <w:fldChar w:fldCharType="end"/>
            </w:r>
          </w:hyperlink>
        </w:p>
        <w:p w14:paraId="718B8450" w14:textId="1E02FDAF"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8" w:history="1">
            <w:r w:rsidR="0018156F" w:rsidRPr="00EB1395">
              <w:rPr>
                <w:rStyle w:val="Hyperlink"/>
                <w:rFonts w:ascii="Times New Roman" w:hAnsi="Times New Roman" w:cs="Times New Roman"/>
                <w:noProof/>
                <w:sz w:val="20"/>
                <w:szCs w:val="20"/>
                <w:lang w:val="en-GB"/>
              </w:rPr>
              <w:t>Supplementary Table 3. Clinicopathological and molecular characteristics by age in the PORTEC-3 trial</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_Toc149307268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6</w:t>
            </w:r>
            <w:r w:rsidR="0018156F" w:rsidRPr="00EB1395">
              <w:rPr>
                <w:rFonts w:ascii="Times New Roman" w:hAnsi="Times New Roman" w:cs="Times New Roman"/>
                <w:noProof/>
                <w:webHidden/>
                <w:sz w:val="20"/>
                <w:szCs w:val="20"/>
              </w:rPr>
              <w:fldChar w:fldCharType="end"/>
            </w:r>
          </w:hyperlink>
        </w:p>
        <w:p w14:paraId="105FDFD9" w14:textId="4817FBAB"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69" w:history="1">
            <w:r w:rsidR="0018156F" w:rsidRPr="00EB1395">
              <w:rPr>
                <w:rStyle w:val="Hyperlink"/>
                <w:rFonts w:ascii="Times New Roman" w:hAnsi="Times New Roman" w:cs="Times New Roman"/>
                <w:noProof/>
                <w:sz w:val="20"/>
                <w:szCs w:val="20"/>
                <w:lang w:val="en-US"/>
              </w:rPr>
              <w:t xml:space="preserve">Supplementary figure 2. Cumulative incidence, secondary outcomes  </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_Toc149307269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7</w:t>
            </w:r>
            <w:r w:rsidR="0018156F" w:rsidRPr="00EB1395">
              <w:rPr>
                <w:rFonts w:ascii="Times New Roman" w:hAnsi="Times New Roman" w:cs="Times New Roman"/>
                <w:noProof/>
                <w:webHidden/>
                <w:sz w:val="20"/>
                <w:szCs w:val="20"/>
              </w:rPr>
              <w:fldChar w:fldCharType="end"/>
            </w:r>
          </w:hyperlink>
        </w:p>
        <w:p w14:paraId="491B3D8E" w14:textId="449A9C24"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0" w:history="1">
            <w:r w:rsidR="0018156F" w:rsidRPr="00EB1395">
              <w:rPr>
                <w:rStyle w:val="Hyperlink"/>
                <w:rFonts w:ascii="Times New Roman" w:hAnsi="Times New Roman" w:cs="Times New Roman"/>
                <w:noProof/>
                <w:sz w:val="20"/>
                <w:szCs w:val="20"/>
                <w:lang w:val="en-GB"/>
              </w:rPr>
              <w:t>Supplementary Table 4. Time-dependent AUC and Brier score for all outcomes</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_Toc149307270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8</w:t>
            </w:r>
            <w:r w:rsidR="0018156F" w:rsidRPr="00EB1395">
              <w:rPr>
                <w:rFonts w:ascii="Times New Roman" w:hAnsi="Times New Roman" w:cs="Times New Roman"/>
                <w:noProof/>
                <w:webHidden/>
                <w:sz w:val="20"/>
                <w:szCs w:val="20"/>
              </w:rPr>
              <w:fldChar w:fldCharType="end"/>
            </w:r>
          </w:hyperlink>
        </w:p>
        <w:p w14:paraId="3515537E" w14:textId="0A89E295"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1" w:history="1">
            <w:r w:rsidR="0018156F" w:rsidRPr="00EB1395">
              <w:rPr>
                <w:rStyle w:val="Hyperlink"/>
                <w:rFonts w:ascii="Times New Roman" w:hAnsi="Times New Roman" w:cs="Times New Roman"/>
                <w:noProof/>
                <w:sz w:val="20"/>
                <w:szCs w:val="20"/>
                <w:lang w:val="en-US"/>
              </w:rPr>
              <w:t>Supplementary Figure 3. Correlation of age with the risk of secondary outcomes by statistical inference</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_Toc149307271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9</w:t>
            </w:r>
            <w:r w:rsidR="0018156F" w:rsidRPr="00EB1395">
              <w:rPr>
                <w:rFonts w:ascii="Times New Roman" w:hAnsi="Times New Roman" w:cs="Times New Roman"/>
                <w:noProof/>
                <w:webHidden/>
                <w:sz w:val="20"/>
                <w:szCs w:val="20"/>
              </w:rPr>
              <w:fldChar w:fldCharType="end"/>
            </w:r>
          </w:hyperlink>
        </w:p>
        <w:p w14:paraId="0E30D9A0" w14:textId="5D1D6549"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2" w:history="1">
            <w:r w:rsidR="0018156F" w:rsidRPr="00EB1395">
              <w:rPr>
                <w:rStyle w:val="Hyperlink"/>
                <w:rFonts w:ascii="Times New Roman" w:hAnsi="Times New Roman" w:cs="Times New Roman"/>
                <w:noProof/>
                <w:sz w:val="20"/>
                <w:szCs w:val="20"/>
                <w:lang w:val="en-US"/>
              </w:rPr>
              <w:t>Supplementary figure 4. Correlation of age with the risk of secondary outcomes using an AutoCI model</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_Toc149307272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10</w:t>
            </w:r>
            <w:r w:rsidR="0018156F" w:rsidRPr="00EB1395">
              <w:rPr>
                <w:rFonts w:ascii="Times New Roman" w:hAnsi="Times New Roman" w:cs="Times New Roman"/>
                <w:noProof/>
                <w:webHidden/>
                <w:sz w:val="20"/>
                <w:szCs w:val="20"/>
              </w:rPr>
              <w:fldChar w:fldCharType="end"/>
            </w:r>
          </w:hyperlink>
        </w:p>
        <w:p w14:paraId="0319823B" w14:textId="27547398"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3" w:history="1">
            <w:r w:rsidR="0018156F" w:rsidRPr="00EB1395">
              <w:rPr>
                <w:rStyle w:val="Hyperlink"/>
                <w:rFonts w:ascii="Times New Roman" w:hAnsi="Times New Roman" w:cs="Times New Roman"/>
                <w:noProof/>
                <w:sz w:val="20"/>
                <w:szCs w:val="20"/>
                <w:lang w:val="en-US"/>
              </w:rPr>
              <w:t xml:space="preserve">Data Supplement 3. </w:t>
            </w:r>
            <w:r w:rsidR="0018156F" w:rsidRPr="00EB1395">
              <w:rPr>
                <w:rStyle w:val="Hyperlink"/>
                <w:rFonts w:ascii="Times New Roman" w:hAnsi="Times New Roman" w:cs="Times New Roman"/>
                <w:noProof/>
                <w:sz w:val="20"/>
                <w:szCs w:val="20"/>
                <w:lang w:val="en-GB"/>
              </w:rPr>
              <w:t>Methods systematic literature search</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_Toc149307273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11</w:t>
            </w:r>
            <w:r w:rsidR="0018156F" w:rsidRPr="00EB1395">
              <w:rPr>
                <w:rFonts w:ascii="Times New Roman" w:hAnsi="Times New Roman" w:cs="Times New Roman"/>
                <w:noProof/>
                <w:webHidden/>
                <w:sz w:val="20"/>
                <w:szCs w:val="20"/>
              </w:rPr>
              <w:fldChar w:fldCharType="end"/>
            </w:r>
          </w:hyperlink>
        </w:p>
        <w:p w14:paraId="04A5C045" w14:textId="441107AE"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4" w:history="1">
            <w:r w:rsidR="0018156F" w:rsidRPr="00EB1395">
              <w:rPr>
                <w:rStyle w:val="Hyperlink"/>
                <w:rFonts w:ascii="Times New Roman" w:hAnsi="Times New Roman" w:cs="Times New Roman"/>
                <w:noProof/>
                <w:sz w:val="20"/>
                <w:szCs w:val="20"/>
                <w:lang w:val="en-GB"/>
              </w:rPr>
              <w:t>Data Supplement 4. Search string</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_Toc149307274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13</w:t>
            </w:r>
            <w:r w:rsidR="0018156F" w:rsidRPr="00EB1395">
              <w:rPr>
                <w:rFonts w:ascii="Times New Roman" w:hAnsi="Times New Roman" w:cs="Times New Roman"/>
                <w:noProof/>
                <w:webHidden/>
                <w:sz w:val="20"/>
                <w:szCs w:val="20"/>
              </w:rPr>
              <w:fldChar w:fldCharType="end"/>
            </w:r>
          </w:hyperlink>
        </w:p>
        <w:p w14:paraId="65CDB856" w14:textId="79FBF2A3"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5" w:history="1">
            <w:r w:rsidR="0018156F" w:rsidRPr="00EB1395">
              <w:rPr>
                <w:rStyle w:val="Hyperlink"/>
                <w:rFonts w:ascii="Times New Roman" w:hAnsi="Times New Roman" w:cs="Times New Roman"/>
                <w:noProof/>
                <w:sz w:val="20"/>
                <w:szCs w:val="20"/>
                <w:lang w:val="en-US"/>
              </w:rPr>
              <w:t>Supplementary Table 5. Results systematic literature search</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_Toc149307275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15</w:t>
            </w:r>
            <w:r w:rsidR="0018156F" w:rsidRPr="00EB1395">
              <w:rPr>
                <w:rFonts w:ascii="Times New Roman" w:hAnsi="Times New Roman" w:cs="Times New Roman"/>
                <w:noProof/>
                <w:webHidden/>
                <w:sz w:val="20"/>
                <w:szCs w:val="20"/>
              </w:rPr>
              <w:fldChar w:fldCharType="end"/>
            </w:r>
          </w:hyperlink>
        </w:p>
        <w:p w14:paraId="20259E97" w14:textId="594AD90D" w:rsidR="0018156F" w:rsidRPr="00EB1395" w:rsidRDefault="00A4759B">
          <w:pPr>
            <w:pStyle w:val="TOC1"/>
            <w:tabs>
              <w:tab w:val="right" w:leader="dot" w:pos="9016"/>
            </w:tabs>
            <w:rPr>
              <w:rFonts w:ascii="Times New Roman" w:eastAsiaTheme="minorEastAsia" w:hAnsi="Times New Roman" w:cs="Times New Roman"/>
              <w:noProof/>
              <w:kern w:val="2"/>
              <w:sz w:val="20"/>
              <w:szCs w:val="20"/>
              <w:lang w:val="en-NL" w:eastAsia="en-NL"/>
              <w14:ligatures w14:val="standardContextual"/>
            </w:rPr>
          </w:pPr>
          <w:hyperlink w:anchor="_Toc149307276" w:history="1">
            <w:r w:rsidR="0018156F" w:rsidRPr="00EB1395">
              <w:rPr>
                <w:rStyle w:val="Hyperlink"/>
                <w:rFonts w:ascii="Times New Roman" w:hAnsi="Times New Roman" w:cs="Times New Roman"/>
                <w:noProof/>
                <w:sz w:val="20"/>
                <w:szCs w:val="20"/>
                <w:lang w:val="en-US"/>
              </w:rPr>
              <w:t>Supplemental references</w:t>
            </w:r>
            <w:r w:rsidR="0018156F" w:rsidRPr="00EB1395">
              <w:rPr>
                <w:rFonts w:ascii="Times New Roman" w:hAnsi="Times New Roman" w:cs="Times New Roman"/>
                <w:noProof/>
                <w:webHidden/>
                <w:sz w:val="20"/>
                <w:szCs w:val="20"/>
              </w:rPr>
              <w:tab/>
            </w:r>
            <w:r w:rsidR="0018156F" w:rsidRPr="00EB1395">
              <w:rPr>
                <w:rFonts w:ascii="Times New Roman" w:hAnsi="Times New Roman" w:cs="Times New Roman"/>
                <w:noProof/>
                <w:webHidden/>
                <w:sz w:val="20"/>
                <w:szCs w:val="20"/>
              </w:rPr>
              <w:fldChar w:fldCharType="begin"/>
            </w:r>
            <w:r w:rsidR="0018156F" w:rsidRPr="00EB1395">
              <w:rPr>
                <w:rFonts w:ascii="Times New Roman" w:hAnsi="Times New Roman" w:cs="Times New Roman"/>
                <w:noProof/>
                <w:webHidden/>
                <w:sz w:val="20"/>
                <w:szCs w:val="20"/>
              </w:rPr>
              <w:instrText xml:space="preserve"> PAGEREF _Toc149307276 \h </w:instrText>
            </w:r>
            <w:r w:rsidR="0018156F" w:rsidRPr="00EB1395">
              <w:rPr>
                <w:rFonts w:ascii="Times New Roman" w:hAnsi="Times New Roman" w:cs="Times New Roman"/>
                <w:noProof/>
                <w:webHidden/>
                <w:sz w:val="20"/>
                <w:szCs w:val="20"/>
              </w:rPr>
            </w:r>
            <w:r w:rsidR="0018156F" w:rsidRPr="00EB1395">
              <w:rPr>
                <w:rFonts w:ascii="Times New Roman" w:hAnsi="Times New Roman" w:cs="Times New Roman"/>
                <w:noProof/>
                <w:webHidden/>
                <w:sz w:val="20"/>
                <w:szCs w:val="20"/>
              </w:rPr>
              <w:fldChar w:fldCharType="separate"/>
            </w:r>
            <w:r w:rsidR="0046391A">
              <w:rPr>
                <w:rFonts w:ascii="Times New Roman" w:hAnsi="Times New Roman" w:cs="Times New Roman"/>
                <w:noProof/>
                <w:webHidden/>
                <w:sz w:val="20"/>
                <w:szCs w:val="20"/>
              </w:rPr>
              <w:t>16</w:t>
            </w:r>
            <w:r w:rsidR="0018156F" w:rsidRPr="00EB1395">
              <w:rPr>
                <w:rFonts w:ascii="Times New Roman" w:hAnsi="Times New Roman" w:cs="Times New Roman"/>
                <w:noProof/>
                <w:webHidden/>
                <w:sz w:val="20"/>
                <w:szCs w:val="20"/>
              </w:rPr>
              <w:fldChar w:fldCharType="end"/>
            </w:r>
          </w:hyperlink>
        </w:p>
        <w:p w14:paraId="3038DD64" w14:textId="14F96F3B" w:rsidR="0018156F" w:rsidRDefault="0018156F">
          <w:r w:rsidRPr="00EB1395">
            <w:rPr>
              <w:rFonts w:ascii="Times New Roman" w:hAnsi="Times New Roman" w:cs="Times New Roman"/>
              <w:b/>
              <w:bCs/>
              <w:sz w:val="20"/>
              <w:szCs w:val="20"/>
              <w:lang w:val="en-GB"/>
            </w:rPr>
            <w:fldChar w:fldCharType="end"/>
          </w:r>
        </w:p>
      </w:sdtContent>
    </w:sdt>
    <w:p w14:paraId="15EF7FD4" w14:textId="1E8B7E9C" w:rsidR="00862753" w:rsidRPr="004550E5" w:rsidRDefault="00862753">
      <w:pPr>
        <w:rPr>
          <w:rFonts w:ascii="Times New Roman" w:hAnsi="Times New Roman" w:cs="Times New Roman"/>
          <w:sz w:val="20"/>
          <w:szCs w:val="20"/>
        </w:rPr>
      </w:pPr>
    </w:p>
    <w:p w14:paraId="7446A849" w14:textId="4EBB3AB6" w:rsidR="00C64659" w:rsidRPr="004550E5" w:rsidRDefault="00C64659">
      <w:pPr>
        <w:rPr>
          <w:rFonts w:ascii="Times New Roman" w:hAnsi="Times New Roman" w:cs="Times New Roman"/>
          <w:sz w:val="20"/>
          <w:szCs w:val="20"/>
        </w:rPr>
      </w:pPr>
      <w:r w:rsidRPr="004550E5">
        <w:rPr>
          <w:rFonts w:ascii="Times New Roman" w:hAnsi="Times New Roman" w:cs="Times New Roman"/>
          <w:b/>
          <w:bCs/>
          <w:sz w:val="20"/>
          <w:szCs w:val="20"/>
          <w:lang w:val="en-US"/>
        </w:rPr>
        <w:br w:type="page"/>
      </w:r>
    </w:p>
    <w:p w14:paraId="46D3004C" w14:textId="24B7C89D" w:rsidR="000A02EC" w:rsidRPr="00836762" w:rsidRDefault="000A02EC" w:rsidP="00F7309E">
      <w:pPr>
        <w:pStyle w:val="Heading1"/>
        <w:rPr>
          <w:lang w:val="en-US"/>
        </w:rPr>
      </w:pPr>
      <w:bookmarkStart w:id="1" w:name="_Toc137065018"/>
      <w:bookmarkStart w:id="2" w:name="_Toc146143696"/>
      <w:bookmarkStart w:id="3" w:name="_Toc149307263"/>
      <w:r w:rsidRPr="00836762">
        <w:rPr>
          <w:lang w:val="en-US"/>
        </w:rPr>
        <w:lastRenderedPageBreak/>
        <w:t>Supplementary figure 1</w:t>
      </w:r>
      <w:r w:rsidR="00166581" w:rsidRPr="00836762">
        <w:rPr>
          <w:lang w:val="en-US"/>
        </w:rPr>
        <w:t>.</w:t>
      </w:r>
      <w:r w:rsidRPr="00836762">
        <w:rPr>
          <w:lang w:val="en-US"/>
        </w:rPr>
        <w:t xml:space="preserve"> CONSORT flowchart PORTEC -1, -2 and -3</w:t>
      </w:r>
      <w:bookmarkEnd w:id="1"/>
      <w:bookmarkEnd w:id="2"/>
      <w:bookmarkEnd w:id="3"/>
      <w:r w:rsidRPr="00836762">
        <w:rPr>
          <w:lang w:val="en-US"/>
        </w:rPr>
        <w:t xml:space="preserve"> </w:t>
      </w:r>
    </w:p>
    <w:p w14:paraId="1B079EAE" w14:textId="3997EE93" w:rsidR="00F7309E" w:rsidRDefault="00DB0C19" w:rsidP="000A02EC">
      <w:pPr>
        <w:spacing w:line="360" w:lineRule="auto"/>
        <w:rPr>
          <w:b/>
          <w:bCs/>
          <w:lang w:val="en-US"/>
        </w:rPr>
      </w:pPr>
      <w:r w:rsidRPr="00DB0C19">
        <w:rPr>
          <w:b/>
          <w:bCs/>
          <w:noProof/>
          <w:lang w:val="en-US"/>
        </w:rPr>
        <w:drawing>
          <wp:anchor distT="0" distB="0" distL="114300" distR="114300" simplePos="0" relativeHeight="251676672" behindDoc="1" locked="0" layoutInCell="1" allowOverlap="1" wp14:anchorId="3B2F5ABC" wp14:editId="3FB6170B">
            <wp:simplePos x="0" y="0"/>
            <wp:positionH relativeFrom="page">
              <wp:posOffset>60960</wp:posOffset>
            </wp:positionH>
            <wp:positionV relativeFrom="paragraph">
              <wp:posOffset>185420</wp:posOffset>
            </wp:positionV>
            <wp:extent cx="7422185" cy="2032000"/>
            <wp:effectExtent l="0" t="0" r="7620" b="6350"/>
            <wp:wrapTight wrapText="bothSides">
              <wp:wrapPolygon edited="0">
                <wp:start x="0" y="0"/>
                <wp:lineTo x="0" y="21465"/>
                <wp:lineTo x="21567" y="21465"/>
                <wp:lineTo x="215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22185" cy="2032000"/>
                    </a:xfrm>
                    <a:prstGeom prst="rect">
                      <a:avLst/>
                    </a:prstGeom>
                  </pic:spPr>
                </pic:pic>
              </a:graphicData>
            </a:graphic>
            <wp14:sizeRelH relativeFrom="margin">
              <wp14:pctWidth>0</wp14:pctWidth>
            </wp14:sizeRelH>
            <wp14:sizeRelV relativeFrom="margin">
              <wp14:pctHeight>0</wp14:pctHeight>
            </wp14:sizeRelV>
          </wp:anchor>
        </w:drawing>
      </w:r>
    </w:p>
    <w:p w14:paraId="0DC496AB" w14:textId="7653675E" w:rsidR="00F7309E" w:rsidRDefault="00F7309E">
      <w:pPr>
        <w:rPr>
          <w:b/>
          <w:bCs/>
          <w:lang w:val="en-US"/>
        </w:rPr>
      </w:pPr>
      <w:r>
        <w:rPr>
          <w:b/>
          <w:bCs/>
          <w:lang w:val="en-US"/>
        </w:rPr>
        <w:br w:type="page"/>
      </w:r>
    </w:p>
    <w:p w14:paraId="6338FCAF" w14:textId="76440356" w:rsidR="00725457" w:rsidRDefault="00725457" w:rsidP="00F7309E">
      <w:pPr>
        <w:pStyle w:val="Heading1"/>
        <w:rPr>
          <w:lang w:val="en-US"/>
        </w:rPr>
      </w:pPr>
      <w:bookmarkStart w:id="4" w:name="_Toc146143697"/>
      <w:bookmarkStart w:id="5" w:name="_Toc149307264"/>
      <w:bookmarkStart w:id="6" w:name="_Toc137065019"/>
      <w:r>
        <w:rPr>
          <w:lang w:val="en-US"/>
        </w:rPr>
        <w:lastRenderedPageBreak/>
        <w:t>Data Supplement 1. Assessment of molecular class</w:t>
      </w:r>
      <w:bookmarkEnd w:id="4"/>
      <w:bookmarkEnd w:id="5"/>
      <w:r>
        <w:rPr>
          <w:lang w:val="en-US"/>
        </w:rPr>
        <w:t xml:space="preserve"> </w:t>
      </w:r>
    </w:p>
    <w:p w14:paraId="2A40FE44" w14:textId="77777777" w:rsidR="00DE402F" w:rsidRPr="00DE402F" w:rsidRDefault="00DE402F" w:rsidP="009413B8">
      <w:pPr>
        <w:rPr>
          <w:lang w:val="en-US"/>
        </w:rPr>
      </w:pPr>
    </w:p>
    <w:p w14:paraId="1495F3F4" w14:textId="6571A5B9" w:rsidR="00CE6720" w:rsidRDefault="00774FE8" w:rsidP="001F0C7B">
      <w:pPr>
        <w:spacing w:line="360" w:lineRule="auto"/>
        <w:rPr>
          <w:rFonts w:ascii="Times New Roman" w:hAnsi="Times New Roman" w:cs="Times New Roman"/>
          <w:sz w:val="20"/>
          <w:szCs w:val="20"/>
          <w:lang w:val="en-GB"/>
        </w:rPr>
      </w:pPr>
      <w:r w:rsidRPr="00774FE8">
        <w:rPr>
          <w:rFonts w:ascii="Times New Roman" w:hAnsi="Times New Roman" w:cs="Times New Roman"/>
          <w:sz w:val="20"/>
          <w:szCs w:val="20"/>
          <w:lang w:val="en-GB"/>
        </w:rPr>
        <w:t>All cases with available tumour material were assessed for pathogenic variants in the exonuclease domain of DNA polymerase-ε (POLEmut), by Sanger sequencing in PORTEC-1 and -2 and next-generation sequencing in PORTEC-3.</w:t>
      </w:r>
      <w:r w:rsidRPr="00774FE8">
        <w:rPr>
          <w:rFonts w:ascii="Times New Roman" w:hAnsi="Times New Roman" w:cs="Times New Roman"/>
          <w:noProof/>
          <w:sz w:val="20"/>
          <w:szCs w:val="20"/>
          <w:vertAlign w:val="superscript"/>
          <w:lang w:val="en-GB"/>
        </w:rPr>
        <w:t>1, 2</w:t>
      </w:r>
      <w:r w:rsidRPr="00774FE8">
        <w:rPr>
          <w:rFonts w:ascii="Times New Roman" w:hAnsi="Times New Roman" w:cs="Times New Roman"/>
          <w:sz w:val="20"/>
          <w:szCs w:val="20"/>
          <w:lang w:val="en-GB"/>
        </w:rPr>
        <w:t xml:space="preserve"> Any tumour with one of the eleven established pathogenic variants was considered ‘POLEmut’ EC.</w:t>
      </w:r>
      <w:r w:rsidRPr="00774FE8">
        <w:rPr>
          <w:rFonts w:ascii="Times New Roman" w:hAnsi="Times New Roman" w:cs="Times New Roman"/>
          <w:noProof/>
          <w:sz w:val="20"/>
          <w:szCs w:val="20"/>
          <w:vertAlign w:val="superscript"/>
          <w:lang w:val="en-GB"/>
        </w:rPr>
        <w:t>3</w:t>
      </w:r>
      <w:r w:rsidRPr="00774FE8">
        <w:rPr>
          <w:rFonts w:ascii="Times New Roman" w:hAnsi="Times New Roman" w:cs="Times New Roman"/>
          <w:sz w:val="20"/>
          <w:szCs w:val="20"/>
          <w:lang w:val="en-GB"/>
        </w:rPr>
        <w:t xml:space="preserve"> Tumours that were POLE-wildtype, were classified as MMRd if immunohistochemical staining (IHC) for MMR proteins (MLH1, PMS2, MSH2, and MSH6) showed loss of nuclear staining in &gt;10% of the tumour cells.</w:t>
      </w:r>
      <w:r w:rsidRPr="00774FE8">
        <w:rPr>
          <w:rFonts w:ascii="Times New Roman" w:hAnsi="Times New Roman" w:cs="Times New Roman"/>
          <w:noProof/>
          <w:sz w:val="20"/>
          <w:szCs w:val="20"/>
          <w:vertAlign w:val="superscript"/>
          <w:lang w:val="en-GB"/>
        </w:rPr>
        <w:t>1, 4, 5</w:t>
      </w:r>
      <w:r w:rsidRPr="00774FE8">
        <w:rPr>
          <w:rFonts w:ascii="Times New Roman" w:hAnsi="Times New Roman" w:cs="Times New Roman"/>
          <w:sz w:val="20"/>
          <w:szCs w:val="20"/>
          <w:lang w:val="en-GB"/>
        </w:rPr>
        <w:t xml:space="preserve"> If MMR IHC was not evaluable (failed or ambiguous cases), microsatellite instability (MSI) was assessed using the MSI analysis system, version 1.2 (Promega, Madison, WI). POLE wild type, MMR-proficient tumours were classified as p53abn if IHC showed mutant overexpression, or a null mutant, or cytoplasmic pattern. If p53 immunohistochemistry was ambiguous or had failed, TP53 mutational status was assessed by NGS.</w:t>
      </w:r>
      <w:r w:rsidRPr="00774FE8">
        <w:rPr>
          <w:rFonts w:ascii="Times New Roman" w:hAnsi="Times New Roman" w:cs="Times New Roman"/>
          <w:noProof/>
          <w:sz w:val="20"/>
          <w:szCs w:val="20"/>
          <w:vertAlign w:val="superscript"/>
          <w:lang w:val="en-GB"/>
        </w:rPr>
        <w:t>6</w:t>
      </w:r>
      <w:r w:rsidRPr="00774FE8">
        <w:rPr>
          <w:rFonts w:ascii="Times New Roman" w:hAnsi="Times New Roman" w:cs="Times New Roman"/>
          <w:sz w:val="20"/>
          <w:szCs w:val="20"/>
          <w:lang w:val="en-GB"/>
        </w:rPr>
        <w:t xml:space="preserve"> Tumours that were POLE wildtype, MMR proficient and p53 wildtype were classified as no specific molecular profile ‘NSMP EC’.</w:t>
      </w:r>
      <w:r w:rsidRPr="00774FE8">
        <w:rPr>
          <w:rFonts w:ascii="Times New Roman" w:hAnsi="Times New Roman" w:cs="Times New Roman"/>
          <w:noProof/>
          <w:sz w:val="20"/>
          <w:szCs w:val="20"/>
          <w:vertAlign w:val="superscript"/>
          <w:lang w:val="en-GB"/>
        </w:rPr>
        <w:t>7, 8</w:t>
      </w:r>
    </w:p>
    <w:p w14:paraId="6A290CCF" w14:textId="7BE6CBDF" w:rsidR="00F7309E" w:rsidRPr="002A2F3A" w:rsidRDefault="00CE6720" w:rsidP="002A2F3A">
      <w:pPr>
        <w:spacing w:line="360" w:lineRule="auto"/>
        <w:rPr>
          <w:lang w:val="en-GB"/>
        </w:rPr>
      </w:pPr>
      <w:r>
        <w:rPr>
          <w:rFonts w:ascii="Times New Roman" w:hAnsi="Times New Roman" w:cs="Times New Roman"/>
          <w:sz w:val="20"/>
          <w:szCs w:val="20"/>
          <w:lang w:val="en-GB"/>
        </w:rPr>
        <w:t>IHC staining for ER was performed on whole slides and was considered positive if more than 10% of the tumour showed positive nuclear staining. This cut-off is most commonly used for the assessment of ER expression in EC cases.</w:t>
      </w:r>
      <w:r w:rsidR="009A33C5" w:rsidRPr="009A33C5">
        <w:rPr>
          <w:rFonts w:ascii="Times New Roman" w:hAnsi="Times New Roman" w:cs="Times New Roman"/>
          <w:noProof/>
          <w:sz w:val="20"/>
          <w:szCs w:val="20"/>
          <w:vertAlign w:val="superscript"/>
          <w:lang w:val="en-GB"/>
        </w:rPr>
        <w:t>9-11</w:t>
      </w:r>
      <w:r>
        <w:rPr>
          <w:rFonts w:ascii="Times New Roman" w:hAnsi="Times New Roman" w:cs="Times New Roman"/>
          <w:sz w:val="20"/>
          <w:szCs w:val="20"/>
          <w:lang w:val="en-GB"/>
        </w:rPr>
        <w:t xml:space="preserve"> </w:t>
      </w:r>
      <w:bookmarkEnd w:id="6"/>
    </w:p>
    <w:p w14:paraId="1E088870" w14:textId="77777777" w:rsidR="00F7309E" w:rsidRPr="00F7309E" w:rsidRDefault="00F7309E" w:rsidP="00F7309E">
      <w:pPr>
        <w:rPr>
          <w:lang w:val="en-US"/>
        </w:rPr>
      </w:pPr>
    </w:p>
    <w:p w14:paraId="79DEABAD" w14:textId="00D6E713" w:rsidR="00F7309E" w:rsidRDefault="000A02EC" w:rsidP="00725457">
      <w:pPr>
        <w:pStyle w:val="Heading1"/>
        <w:rPr>
          <w:lang w:val="en-US"/>
        </w:rPr>
      </w:pPr>
      <w:bookmarkStart w:id="7" w:name="_Toc146143699"/>
      <w:bookmarkStart w:id="8" w:name="_Toc149307265"/>
      <w:bookmarkStart w:id="9" w:name="_Toc137065020"/>
      <w:r w:rsidRPr="00836762">
        <w:rPr>
          <w:lang w:val="en-US"/>
        </w:rPr>
        <w:t xml:space="preserve">Data Supplement </w:t>
      </w:r>
      <w:r w:rsidR="002A2F3A">
        <w:rPr>
          <w:lang w:val="en-US"/>
        </w:rPr>
        <w:t>2</w:t>
      </w:r>
      <w:r w:rsidR="00166581" w:rsidRPr="00836762">
        <w:rPr>
          <w:lang w:val="en-US"/>
        </w:rPr>
        <w:t>.</w:t>
      </w:r>
      <w:r w:rsidRPr="00836762">
        <w:rPr>
          <w:lang w:val="en-US"/>
        </w:rPr>
        <w:t xml:space="preserve"> Methods AutoCI</w:t>
      </w:r>
      <w:bookmarkEnd w:id="7"/>
      <w:bookmarkEnd w:id="8"/>
      <w:r w:rsidRPr="00836762">
        <w:rPr>
          <w:lang w:val="en-US"/>
        </w:rPr>
        <w:t xml:space="preserve"> </w:t>
      </w:r>
      <w:bookmarkEnd w:id="9"/>
    </w:p>
    <w:p w14:paraId="069F0F0E" w14:textId="77777777" w:rsidR="00DE402F" w:rsidRPr="00DE402F" w:rsidRDefault="00DE402F" w:rsidP="009413B8">
      <w:pPr>
        <w:rPr>
          <w:lang w:val="en-US"/>
        </w:rPr>
      </w:pPr>
    </w:p>
    <w:p w14:paraId="6069E77B" w14:textId="6443779B" w:rsidR="00F7309E" w:rsidRPr="00F7309E" w:rsidRDefault="00F7309E" w:rsidP="00F7309E">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I</w:t>
      </w:r>
      <w:r w:rsidRPr="00F7309E">
        <w:rPr>
          <w:rFonts w:ascii="Times New Roman" w:hAnsi="Times New Roman" w:cs="Times New Roman"/>
          <w:sz w:val="20"/>
          <w:szCs w:val="20"/>
          <w:lang w:val="en-GB"/>
        </w:rPr>
        <w:t>n a recent causal inference study</w:t>
      </w:r>
      <w:r w:rsidR="009A33C5" w:rsidRPr="009A33C5">
        <w:rPr>
          <w:rFonts w:ascii="Times New Roman" w:hAnsi="Times New Roman" w:cs="Times New Roman"/>
          <w:noProof/>
          <w:sz w:val="20"/>
          <w:szCs w:val="20"/>
          <w:vertAlign w:val="superscript"/>
          <w:lang w:val="en-GB"/>
        </w:rPr>
        <w:t>12</w:t>
      </w:r>
      <w:r w:rsidRPr="00F7309E">
        <w:rPr>
          <w:rFonts w:ascii="Times New Roman" w:hAnsi="Times New Roman" w:cs="Times New Roman"/>
          <w:sz w:val="20"/>
          <w:szCs w:val="20"/>
          <w:lang w:val="en-GB"/>
        </w:rPr>
        <w:t>, researchers have demonstrated that AutoCI can be used to correctly quantify the causal likelihood of variables of interest for PORTEC -1 and -2. Importantly, the identification performance remains consistent in the presence of hidden confounders. Motivated by these observations, it is therefore natural to adapt the existing AutoCI model to the PORTEC -1, -2 and -3 cohorts, with the emphasis on the investigation of</w:t>
      </w:r>
      <w:r w:rsidR="00477DC7">
        <w:rPr>
          <w:rFonts w:ascii="Times New Roman" w:hAnsi="Times New Roman" w:cs="Times New Roman"/>
          <w:sz w:val="20"/>
          <w:szCs w:val="20"/>
          <w:lang w:val="en-GB"/>
        </w:rPr>
        <w:t xml:space="preserve"> the</w:t>
      </w:r>
      <w:r w:rsidRPr="00F7309E">
        <w:rPr>
          <w:rFonts w:ascii="Times New Roman" w:hAnsi="Times New Roman" w:cs="Times New Roman"/>
          <w:sz w:val="20"/>
          <w:szCs w:val="20"/>
          <w:lang w:val="en-GB"/>
        </w:rPr>
        <w:t xml:space="preserve"> age variable.   </w:t>
      </w:r>
    </w:p>
    <w:p w14:paraId="59E238B1" w14:textId="46C0DDAD" w:rsidR="00F7309E"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Instead of treating the age as the binary variable in</w:t>
      </w:r>
      <w:r w:rsidR="009A33C5" w:rsidRPr="009A33C5">
        <w:rPr>
          <w:rFonts w:ascii="Times New Roman" w:hAnsi="Times New Roman" w:cs="Times New Roman"/>
          <w:noProof/>
          <w:sz w:val="20"/>
          <w:szCs w:val="20"/>
          <w:vertAlign w:val="superscript"/>
          <w:lang w:val="en-GB"/>
        </w:rPr>
        <w:t>12</w:t>
      </w:r>
      <w:r w:rsidRPr="00F7309E">
        <w:rPr>
          <w:rFonts w:ascii="Times New Roman" w:hAnsi="Times New Roman" w:cs="Times New Roman"/>
          <w:sz w:val="20"/>
          <w:szCs w:val="20"/>
          <w:lang w:val="en-GB"/>
        </w:rPr>
        <w:t>, here we split the patients into three age groups, e.g., &lt;60 years (baseline), 60-70 years, &gt;70 years, so we can carry out a comparable causal analysis to the statistical counterpart. To depict the continuous HR trend, we also take the raw age value as another variant of input formality for training the model (See Figure 2 in manuscript). For the outcomes</w:t>
      </w:r>
      <w:r w:rsidR="00C85D06">
        <w:rPr>
          <w:rFonts w:ascii="Times New Roman" w:hAnsi="Times New Roman" w:cs="Times New Roman"/>
          <w:sz w:val="20"/>
          <w:szCs w:val="20"/>
          <w:lang w:val="en-GB"/>
        </w:rPr>
        <w:t>,</w:t>
      </w:r>
      <w:r w:rsidRPr="00F7309E">
        <w:rPr>
          <w:rFonts w:ascii="Times New Roman" w:hAnsi="Times New Roman" w:cs="Times New Roman"/>
          <w:sz w:val="20"/>
          <w:szCs w:val="20"/>
          <w:lang w:val="en-GB"/>
        </w:rPr>
        <w:t xml:space="preserve"> overall recurrence, EC-specific death, distant metastasis and locoregional recurrence, we further include stage, histotype and grade, LVSI, molecular group and adjuvant treatment as input variables. For the outcomes</w:t>
      </w:r>
      <w:r w:rsidR="00C85D06">
        <w:rPr>
          <w:rFonts w:ascii="Times New Roman" w:hAnsi="Times New Roman" w:cs="Times New Roman"/>
          <w:sz w:val="20"/>
          <w:szCs w:val="20"/>
          <w:lang w:val="en-GB"/>
        </w:rPr>
        <w:t>,</w:t>
      </w:r>
      <w:r w:rsidRPr="00F7309E">
        <w:rPr>
          <w:rFonts w:ascii="Times New Roman" w:hAnsi="Times New Roman" w:cs="Times New Roman"/>
          <w:sz w:val="20"/>
          <w:szCs w:val="20"/>
          <w:lang w:val="en-GB"/>
        </w:rPr>
        <w:t xml:space="preserve"> pelvic and vaginal recurrence, we take stage, LVSI, molecular group and adjuvant treatment as input variables.    </w:t>
      </w:r>
    </w:p>
    <w:p w14:paraId="56A5C46D" w14:textId="528AAFD6" w:rsidR="00F7309E"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In the existing AutoCI paper</w:t>
      </w:r>
      <w:r w:rsidR="009A33C5" w:rsidRPr="009A33C5">
        <w:rPr>
          <w:rFonts w:ascii="Times New Roman" w:hAnsi="Times New Roman" w:cs="Times New Roman"/>
          <w:noProof/>
          <w:sz w:val="20"/>
          <w:szCs w:val="20"/>
          <w:vertAlign w:val="superscript"/>
          <w:lang w:val="en-GB"/>
        </w:rPr>
        <w:t>12</w:t>
      </w:r>
      <w:r w:rsidRPr="00F7309E">
        <w:rPr>
          <w:rFonts w:ascii="Times New Roman" w:hAnsi="Times New Roman" w:cs="Times New Roman"/>
          <w:sz w:val="20"/>
          <w:szCs w:val="20"/>
          <w:lang w:val="en-GB"/>
        </w:rPr>
        <w:t xml:space="preserve">, ablative studies on (type-safe) neural architecture search have been conducted and the model that combines a causal weight layer and a multilayer perceptron (MLP) was demonstrated to be sufficient and successful in learning meaningful causal associations that link to the EC recurrence. Based on these findings, we directly utilise this optimal model and customise it to three PORTEC cohorts in this study.   </w:t>
      </w:r>
    </w:p>
    <w:p w14:paraId="306D798B" w14:textId="700520FE" w:rsidR="00F7309E"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Thanks to the differentiable property of Cox proportional hazards introduced in Katzman et al</w:t>
      </w:r>
      <w:r>
        <w:rPr>
          <w:rFonts w:ascii="Times New Roman" w:hAnsi="Times New Roman" w:cs="Times New Roman"/>
          <w:sz w:val="20"/>
          <w:szCs w:val="20"/>
          <w:lang w:val="en-GB"/>
        </w:rPr>
        <w:t>.</w:t>
      </w:r>
      <w:r w:rsidR="009A33C5" w:rsidRPr="009A33C5">
        <w:rPr>
          <w:rFonts w:ascii="Times New Roman" w:hAnsi="Times New Roman" w:cs="Times New Roman"/>
          <w:noProof/>
          <w:sz w:val="20"/>
          <w:szCs w:val="20"/>
          <w:vertAlign w:val="superscript"/>
          <w:lang w:val="en-GB"/>
        </w:rPr>
        <w:t>13</w:t>
      </w:r>
      <w:r w:rsidRPr="00F7309E">
        <w:rPr>
          <w:rFonts w:ascii="Times New Roman" w:hAnsi="Times New Roman" w:cs="Times New Roman"/>
          <w:sz w:val="20"/>
          <w:szCs w:val="20"/>
          <w:lang w:val="en-GB"/>
        </w:rPr>
        <w:t xml:space="preserve"> and the implementation instantiated in the pycox package, we train the neural network with the Cox proportional </w:t>
      </w:r>
      <w:r w:rsidRPr="00F7309E">
        <w:rPr>
          <w:rFonts w:ascii="Times New Roman" w:hAnsi="Times New Roman" w:cs="Times New Roman"/>
          <w:sz w:val="20"/>
          <w:szCs w:val="20"/>
          <w:lang w:val="en-GB"/>
        </w:rPr>
        <w:lastRenderedPageBreak/>
        <w:t>hazards loss. Similar to the previous AutoCI paper</w:t>
      </w:r>
      <w:r w:rsidR="009A33C5" w:rsidRPr="009A33C5">
        <w:rPr>
          <w:rFonts w:ascii="Times New Roman" w:hAnsi="Times New Roman" w:cs="Times New Roman"/>
          <w:noProof/>
          <w:sz w:val="20"/>
          <w:szCs w:val="20"/>
          <w:vertAlign w:val="superscript"/>
          <w:lang w:val="en-GB"/>
        </w:rPr>
        <w:t>12</w:t>
      </w:r>
      <w:r w:rsidRPr="00F7309E">
        <w:rPr>
          <w:rFonts w:ascii="Times New Roman" w:hAnsi="Times New Roman" w:cs="Times New Roman"/>
          <w:sz w:val="20"/>
          <w:szCs w:val="20"/>
          <w:lang w:val="en-GB"/>
        </w:rPr>
        <w:t>, we then apply the maximum Frechet inception score (FID), that is, the maximum of FIDs computed on PORTEC 1-3 data batches individually to determine the influence coming from the hypothetical exclusion of a given variable. Provided that the maximum FID increases significantly after the age variable is missing, we confirm that the age variable is causally related to oncological outcome(s). Following the recommendations suggested in</w:t>
      </w:r>
      <w:r w:rsidR="009A33C5" w:rsidRPr="009A33C5">
        <w:rPr>
          <w:rFonts w:ascii="Times New Roman" w:hAnsi="Times New Roman" w:cs="Times New Roman"/>
          <w:noProof/>
          <w:sz w:val="20"/>
          <w:szCs w:val="20"/>
          <w:vertAlign w:val="superscript"/>
          <w:lang w:val="en-GB"/>
        </w:rPr>
        <w:t>12</w:t>
      </w:r>
      <w:r w:rsidRPr="00F7309E">
        <w:rPr>
          <w:rFonts w:ascii="Times New Roman" w:hAnsi="Times New Roman" w:cs="Times New Roman"/>
          <w:sz w:val="20"/>
          <w:szCs w:val="20"/>
          <w:lang w:val="en-GB"/>
        </w:rPr>
        <w:t xml:space="preserve">, the whole training process takes 8 epoches in the warm-up stage and then another 8 epochs for filtering out non-causal variables. In the meantime, we apply the popular Adam optimiser for updating the learnable weights during the training session and use the default hyper-parameter configurations. </w:t>
      </w:r>
    </w:p>
    <w:p w14:paraId="72DC8B35" w14:textId="77777777" w:rsidR="00F7309E"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To improve the reproducibility and reliability of model performance, all experiments are repeated 16 times and the collection of gradients with respect to each input variable are recorded as meaningful proxies for HR computation. Such a practice is driven by the non-linearity property of modern neural network in contrast to the common linearity assumption required by the Cox model. With the collection of gradients in hand, we report the mean HR together with the 95% CI and p-value (See Table 3 in manuscript).</w:t>
      </w:r>
    </w:p>
    <w:p w14:paraId="11D5558F" w14:textId="40CDB0AF" w:rsidR="00F7309E"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 xml:space="preserve">In summary, our codes are implemented with the Python language and built upon the Python packages including pytorch, numpy, pandas, scipy and pycox. For more implementation details we refer interested readers to </w:t>
      </w:r>
      <w:hyperlink r:id="rId9" w:history="1">
        <w:r w:rsidRPr="00F2601B">
          <w:rPr>
            <w:rStyle w:val="Hyperlink"/>
            <w:rFonts w:ascii="Times New Roman" w:hAnsi="Times New Roman" w:cs="Times New Roman"/>
            <w:sz w:val="20"/>
            <w:szCs w:val="20"/>
            <w:lang w:val="en-GB"/>
          </w:rPr>
          <w:t>https://github.com/CTPLab/AutoCI</w:t>
        </w:r>
      </w:hyperlink>
      <w:r>
        <w:rPr>
          <w:rFonts w:ascii="Times New Roman" w:hAnsi="Times New Roman" w:cs="Times New Roman"/>
          <w:sz w:val="20"/>
          <w:szCs w:val="20"/>
          <w:lang w:val="en-GB"/>
        </w:rPr>
        <w:t xml:space="preserve"> </w:t>
      </w:r>
      <w:r w:rsidRPr="00F7309E">
        <w:rPr>
          <w:rFonts w:ascii="Times New Roman" w:hAnsi="Times New Roman" w:cs="Times New Roman"/>
          <w:sz w:val="20"/>
          <w:szCs w:val="20"/>
          <w:lang w:val="en-GB"/>
        </w:rPr>
        <w:t xml:space="preserve">and </w:t>
      </w:r>
      <w:hyperlink r:id="rId10" w:history="1">
        <w:r w:rsidRPr="00F2601B">
          <w:rPr>
            <w:rStyle w:val="Hyperlink"/>
            <w:rFonts w:ascii="Times New Roman" w:hAnsi="Times New Roman" w:cs="Times New Roman"/>
            <w:sz w:val="20"/>
            <w:szCs w:val="20"/>
            <w:lang w:val="en-GB"/>
          </w:rPr>
          <w:t>https://github.com/havakv/pycox</w:t>
        </w:r>
      </w:hyperlink>
      <w:r>
        <w:rPr>
          <w:rFonts w:ascii="Times New Roman" w:hAnsi="Times New Roman" w:cs="Times New Roman"/>
          <w:sz w:val="20"/>
          <w:szCs w:val="20"/>
          <w:lang w:val="en-GB"/>
        </w:rPr>
        <w:t xml:space="preserve"> </w:t>
      </w:r>
      <w:r w:rsidRPr="00F7309E">
        <w:rPr>
          <w:rFonts w:ascii="Times New Roman" w:hAnsi="Times New Roman" w:cs="Times New Roman"/>
          <w:sz w:val="20"/>
          <w:szCs w:val="20"/>
          <w:lang w:val="en-GB"/>
        </w:rPr>
        <w:t xml:space="preserve">. </w:t>
      </w:r>
    </w:p>
    <w:p w14:paraId="6CEDB465" w14:textId="4040189B" w:rsidR="000A02EC" w:rsidRPr="00F7309E" w:rsidRDefault="00F7309E" w:rsidP="00F7309E">
      <w:pPr>
        <w:spacing w:line="360" w:lineRule="auto"/>
        <w:rPr>
          <w:rFonts w:ascii="Times New Roman" w:hAnsi="Times New Roman" w:cs="Times New Roman"/>
          <w:sz w:val="20"/>
          <w:szCs w:val="20"/>
          <w:lang w:val="en-GB"/>
        </w:rPr>
      </w:pPr>
      <w:r w:rsidRPr="00F7309E">
        <w:rPr>
          <w:rFonts w:ascii="Times New Roman" w:hAnsi="Times New Roman" w:cs="Times New Roman"/>
          <w:sz w:val="20"/>
          <w:szCs w:val="20"/>
          <w:lang w:val="en-GB"/>
        </w:rPr>
        <w:t>Taking both the causal and statistical analysis as a whole, we provide a comprehensive and in-depth investigation on the (causal) role of age variable played in a variety of EC outcomes.</w:t>
      </w:r>
    </w:p>
    <w:p w14:paraId="762E7AD4" w14:textId="77777777" w:rsidR="000A02EC" w:rsidRDefault="000A02EC" w:rsidP="000A02EC">
      <w:pPr>
        <w:spacing w:line="360" w:lineRule="auto"/>
        <w:rPr>
          <w:b/>
          <w:bCs/>
          <w:lang w:val="en-US"/>
        </w:rPr>
      </w:pPr>
    </w:p>
    <w:p w14:paraId="702B05D5" w14:textId="77777777" w:rsidR="000A02EC" w:rsidRDefault="000A02EC" w:rsidP="000A02EC">
      <w:pPr>
        <w:spacing w:line="360" w:lineRule="auto"/>
        <w:rPr>
          <w:b/>
          <w:bCs/>
          <w:lang w:val="en-US"/>
        </w:rPr>
      </w:pPr>
    </w:p>
    <w:p w14:paraId="3D8BAF18" w14:textId="77777777" w:rsidR="000A02EC" w:rsidRDefault="000A02EC" w:rsidP="000A02EC">
      <w:pPr>
        <w:spacing w:line="360" w:lineRule="auto"/>
        <w:rPr>
          <w:b/>
          <w:bCs/>
          <w:lang w:val="en-US"/>
        </w:rPr>
      </w:pPr>
    </w:p>
    <w:p w14:paraId="32C90928" w14:textId="77777777" w:rsidR="000A02EC" w:rsidRDefault="000A02EC" w:rsidP="000A02EC">
      <w:pPr>
        <w:spacing w:line="360" w:lineRule="auto"/>
        <w:rPr>
          <w:b/>
          <w:bCs/>
          <w:lang w:val="en-US"/>
        </w:rPr>
      </w:pPr>
    </w:p>
    <w:p w14:paraId="65710A69" w14:textId="77777777" w:rsidR="000A02EC" w:rsidRDefault="000A02EC" w:rsidP="000A02EC">
      <w:pPr>
        <w:spacing w:line="360" w:lineRule="auto"/>
        <w:rPr>
          <w:b/>
          <w:bCs/>
          <w:lang w:val="en-US"/>
        </w:rPr>
      </w:pPr>
    </w:p>
    <w:p w14:paraId="3CA957E7" w14:textId="77777777" w:rsidR="000A02EC" w:rsidRDefault="000A02EC" w:rsidP="000A02EC">
      <w:pPr>
        <w:spacing w:line="360" w:lineRule="auto"/>
        <w:rPr>
          <w:b/>
          <w:bCs/>
          <w:lang w:val="en-US"/>
        </w:rPr>
      </w:pPr>
    </w:p>
    <w:p w14:paraId="479E1920" w14:textId="2865A6CF" w:rsidR="000A02EC" w:rsidRDefault="000A02EC" w:rsidP="000A02EC">
      <w:pPr>
        <w:spacing w:line="360" w:lineRule="auto"/>
        <w:rPr>
          <w:b/>
          <w:bCs/>
          <w:lang w:val="en-US"/>
        </w:rPr>
      </w:pPr>
    </w:p>
    <w:p w14:paraId="5EBD1044" w14:textId="3AE20C2B" w:rsidR="008C611C" w:rsidRDefault="008C611C" w:rsidP="000A02EC">
      <w:pPr>
        <w:spacing w:line="360" w:lineRule="auto"/>
        <w:rPr>
          <w:b/>
          <w:bCs/>
          <w:lang w:val="en-US"/>
        </w:rPr>
      </w:pPr>
    </w:p>
    <w:p w14:paraId="0CF9A331" w14:textId="5FF652E9" w:rsidR="008C611C" w:rsidRDefault="008C611C" w:rsidP="000A02EC">
      <w:pPr>
        <w:spacing w:line="360" w:lineRule="auto"/>
        <w:rPr>
          <w:b/>
          <w:bCs/>
          <w:lang w:val="en-US"/>
        </w:rPr>
      </w:pPr>
    </w:p>
    <w:p w14:paraId="07D792C2" w14:textId="77777777" w:rsidR="008C611C" w:rsidRDefault="008C611C" w:rsidP="000A02EC">
      <w:pPr>
        <w:spacing w:line="360" w:lineRule="auto"/>
        <w:rPr>
          <w:b/>
          <w:bCs/>
          <w:lang w:val="en-US"/>
        </w:rPr>
      </w:pPr>
    </w:p>
    <w:p w14:paraId="038A8C5A" w14:textId="37099222" w:rsidR="00032D9B" w:rsidRDefault="00032D9B">
      <w:pPr>
        <w:rPr>
          <w:b/>
          <w:bCs/>
          <w:lang w:val="en-US"/>
        </w:rPr>
      </w:pPr>
    </w:p>
    <w:tbl>
      <w:tblPr>
        <w:tblpPr w:leftFromText="141" w:rightFromText="141" w:vertAnchor="page" w:horzAnchor="margin" w:tblpY="2361"/>
        <w:tblW w:w="8180" w:type="dxa"/>
        <w:tblCellMar>
          <w:left w:w="70" w:type="dxa"/>
          <w:right w:w="70" w:type="dxa"/>
        </w:tblCellMar>
        <w:tblLook w:val="04A0" w:firstRow="1" w:lastRow="0" w:firstColumn="1" w:lastColumn="0" w:noHBand="0" w:noVBand="1"/>
      </w:tblPr>
      <w:tblGrid>
        <w:gridCol w:w="2740"/>
        <w:gridCol w:w="1360"/>
        <w:gridCol w:w="1360"/>
        <w:gridCol w:w="1360"/>
        <w:gridCol w:w="1360"/>
      </w:tblGrid>
      <w:tr w:rsidR="00032D9B" w:rsidRPr="00032D9B" w14:paraId="795A2F4D" w14:textId="77777777" w:rsidTr="006B7E70">
        <w:trPr>
          <w:trHeight w:val="300"/>
        </w:trPr>
        <w:tc>
          <w:tcPr>
            <w:tcW w:w="2740" w:type="dxa"/>
            <w:tcBorders>
              <w:top w:val="single" w:sz="4" w:space="0" w:color="auto"/>
              <w:left w:val="single" w:sz="4" w:space="0" w:color="auto"/>
              <w:bottom w:val="nil"/>
              <w:right w:val="nil"/>
            </w:tcBorders>
            <w:shd w:val="clear" w:color="auto" w:fill="auto"/>
            <w:noWrap/>
            <w:vAlign w:val="bottom"/>
            <w:hideMark/>
          </w:tcPr>
          <w:p w14:paraId="5D6920F1" w14:textId="4F7C4A3D"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lastRenderedPageBreak/>
              <w:t>Age groups</w:t>
            </w:r>
            <w:r w:rsidR="006B7E70">
              <w:rPr>
                <w:rFonts w:ascii="Times New Roman" w:eastAsia="Times New Roman" w:hAnsi="Times New Roman" w:cs="Times New Roman"/>
                <w:b/>
                <w:bCs/>
                <w:color w:val="000000"/>
                <w:sz w:val="20"/>
                <w:szCs w:val="20"/>
                <w:lang w:eastAsia="nl-NL"/>
              </w:rPr>
              <w:t xml:space="preserve"> (years)</w:t>
            </w:r>
          </w:p>
        </w:tc>
        <w:tc>
          <w:tcPr>
            <w:tcW w:w="1360" w:type="dxa"/>
            <w:tcBorders>
              <w:top w:val="single" w:sz="4" w:space="0" w:color="auto"/>
              <w:left w:val="nil"/>
              <w:bottom w:val="nil"/>
              <w:right w:val="nil"/>
            </w:tcBorders>
            <w:shd w:val="clear" w:color="auto" w:fill="auto"/>
            <w:noWrap/>
            <w:vAlign w:val="bottom"/>
            <w:hideMark/>
          </w:tcPr>
          <w:p w14:paraId="2521931F"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&lt;60</w:t>
            </w:r>
          </w:p>
        </w:tc>
        <w:tc>
          <w:tcPr>
            <w:tcW w:w="1360" w:type="dxa"/>
            <w:tcBorders>
              <w:top w:val="single" w:sz="4" w:space="0" w:color="auto"/>
              <w:left w:val="nil"/>
              <w:bottom w:val="nil"/>
              <w:right w:val="nil"/>
            </w:tcBorders>
            <w:shd w:val="clear" w:color="auto" w:fill="auto"/>
            <w:noWrap/>
            <w:vAlign w:val="bottom"/>
            <w:hideMark/>
          </w:tcPr>
          <w:p w14:paraId="1415D060"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60-&lt;70</w:t>
            </w:r>
          </w:p>
        </w:tc>
        <w:tc>
          <w:tcPr>
            <w:tcW w:w="1360" w:type="dxa"/>
            <w:tcBorders>
              <w:top w:val="single" w:sz="4" w:space="0" w:color="auto"/>
              <w:left w:val="nil"/>
              <w:bottom w:val="nil"/>
              <w:right w:val="nil"/>
            </w:tcBorders>
            <w:shd w:val="clear" w:color="auto" w:fill="auto"/>
            <w:noWrap/>
            <w:vAlign w:val="bottom"/>
            <w:hideMark/>
          </w:tcPr>
          <w:p w14:paraId="23E7AAA0"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≥70</w:t>
            </w:r>
          </w:p>
        </w:tc>
        <w:tc>
          <w:tcPr>
            <w:tcW w:w="1360" w:type="dxa"/>
            <w:tcBorders>
              <w:top w:val="single" w:sz="4" w:space="0" w:color="auto"/>
              <w:left w:val="nil"/>
              <w:bottom w:val="nil"/>
              <w:right w:val="single" w:sz="4" w:space="0" w:color="auto"/>
            </w:tcBorders>
            <w:shd w:val="clear" w:color="auto" w:fill="auto"/>
            <w:noWrap/>
            <w:vAlign w:val="bottom"/>
            <w:hideMark/>
          </w:tcPr>
          <w:p w14:paraId="09897500"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p value</w:t>
            </w:r>
          </w:p>
        </w:tc>
      </w:tr>
      <w:tr w:rsidR="00032D9B" w:rsidRPr="00032D9B" w14:paraId="25B054DF" w14:textId="77777777" w:rsidTr="006B7E70">
        <w:trPr>
          <w:trHeight w:val="300"/>
        </w:trPr>
        <w:tc>
          <w:tcPr>
            <w:tcW w:w="2740" w:type="dxa"/>
            <w:tcBorders>
              <w:top w:val="nil"/>
              <w:left w:val="single" w:sz="4" w:space="0" w:color="auto"/>
              <w:bottom w:val="single" w:sz="4" w:space="0" w:color="auto"/>
              <w:right w:val="nil"/>
            </w:tcBorders>
            <w:shd w:val="clear" w:color="auto" w:fill="auto"/>
            <w:noWrap/>
            <w:vAlign w:val="bottom"/>
            <w:hideMark/>
          </w:tcPr>
          <w:p w14:paraId="13D5A6EB"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c>
          <w:tcPr>
            <w:tcW w:w="1360" w:type="dxa"/>
            <w:tcBorders>
              <w:top w:val="nil"/>
              <w:left w:val="nil"/>
              <w:bottom w:val="single" w:sz="4" w:space="0" w:color="auto"/>
              <w:right w:val="nil"/>
            </w:tcBorders>
            <w:shd w:val="clear" w:color="auto" w:fill="auto"/>
            <w:noWrap/>
            <w:vAlign w:val="bottom"/>
            <w:hideMark/>
          </w:tcPr>
          <w:p w14:paraId="06714849"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n=200</w:t>
            </w:r>
          </w:p>
        </w:tc>
        <w:tc>
          <w:tcPr>
            <w:tcW w:w="1360" w:type="dxa"/>
            <w:tcBorders>
              <w:top w:val="nil"/>
              <w:left w:val="nil"/>
              <w:bottom w:val="single" w:sz="4" w:space="0" w:color="auto"/>
              <w:right w:val="nil"/>
            </w:tcBorders>
            <w:shd w:val="clear" w:color="auto" w:fill="auto"/>
            <w:noWrap/>
            <w:vAlign w:val="bottom"/>
            <w:hideMark/>
          </w:tcPr>
          <w:p w14:paraId="42EED3DD"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n=271</w:t>
            </w:r>
          </w:p>
        </w:tc>
        <w:tc>
          <w:tcPr>
            <w:tcW w:w="1360" w:type="dxa"/>
            <w:tcBorders>
              <w:top w:val="nil"/>
              <w:left w:val="nil"/>
              <w:bottom w:val="single" w:sz="4" w:space="0" w:color="auto"/>
              <w:right w:val="nil"/>
            </w:tcBorders>
            <w:shd w:val="clear" w:color="auto" w:fill="auto"/>
            <w:noWrap/>
            <w:vAlign w:val="bottom"/>
            <w:hideMark/>
          </w:tcPr>
          <w:p w14:paraId="5F4299BA"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n=243</w:t>
            </w:r>
          </w:p>
        </w:tc>
        <w:tc>
          <w:tcPr>
            <w:tcW w:w="1360" w:type="dxa"/>
            <w:tcBorders>
              <w:top w:val="nil"/>
              <w:left w:val="nil"/>
              <w:bottom w:val="single" w:sz="4" w:space="0" w:color="auto"/>
              <w:right w:val="single" w:sz="4" w:space="0" w:color="auto"/>
            </w:tcBorders>
            <w:shd w:val="clear" w:color="auto" w:fill="auto"/>
            <w:noWrap/>
            <w:vAlign w:val="bottom"/>
            <w:hideMark/>
          </w:tcPr>
          <w:p w14:paraId="1910699C"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 </w:t>
            </w:r>
          </w:p>
        </w:tc>
      </w:tr>
      <w:tr w:rsidR="00032D9B" w:rsidRPr="00032D9B" w14:paraId="3B5FE275" w14:textId="77777777" w:rsidTr="006B7E70">
        <w:trPr>
          <w:trHeight w:val="345"/>
        </w:trPr>
        <w:tc>
          <w:tcPr>
            <w:tcW w:w="4100" w:type="dxa"/>
            <w:gridSpan w:val="2"/>
            <w:tcBorders>
              <w:top w:val="nil"/>
              <w:left w:val="single" w:sz="4" w:space="0" w:color="auto"/>
              <w:bottom w:val="nil"/>
              <w:right w:val="nil"/>
            </w:tcBorders>
            <w:shd w:val="clear" w:color="auto" w:fill="auto"/>
            <w:noWrap/>
            <w:vAlign w:val="bottom"/>
            <w:hideMark/>
          </w:tcPr>
          <w:p w14:paraId="78B4C89F"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Randomly allocated treatment</w:t>
            </w:r>
          </w:p>
        </w:tc>
        <w:tc>
          <w:tcPr>
            <w:tcW w:w="1360" w:type="dxa"/>
            <w:tcBorders>
              <w:top w:val="nil"/>
              <w:left w:val="nil"/>
              <w:bottom w:val="nil"/>
              <w:right w:val="nil"/>
            </w:tcBorders>
            <w:shd w:val="clear" w:color="auto" w:fill="auto"/>
            <w:noWrap/>
            <w:vAlign w:val="bottom"/>
            <w:hideMark/>
          </w:tcPr>
          <w:p w14:paraId="4A818541"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65E1F470"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286B671F"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0.25</w:t>
            </w:r>
            <w:r w:rsidRPr="00032D9B">
              <w:rPr>
                <w:rFonts w:ascii="Times New Roman" w:eastAsia="Times New Roman" w:hAnsi="Times New Roman" w:cs="Times New Roman"/>
                <w:b/>
                <w:bCs/>
                <w:color w:val="000000"/>
                <w:sz w:val="20"/>
                <w:szCs w:val="20"/>
                <w:vertAlign w:val="superscript"/>
                <w:lang w:eastAsia="nl-NL"/>
              </w:rPr>
              <w:t>1</w:t>
            </w:r>
          </w:p>
        </w:tc>
      </w:tr>
      <w:tr w:rsidR="00032D9B" w:rsidRPr="00032D9B" w14:paraId="103048D1"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687F864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None</w:t>
            </w:r>
          </w:p>
        </w:tc>
        <w:tc>
          <w:tcPr>
            <w:tcW w:w="1360" w:type="dxa"/>
            <w:tcBorders>
              <w:top w:val="nil"/>
              <w:left w:val="nil"/>
              <w:bottom w:val="nil"/>
              <w:right w:val="nil"/>
            </w:tcBorders>
            <w:shd w:val="clear" w:color="auto" w:fill="auto"/>
            <w:noWrap/>
            <w:vAlign w:val="bottom"/>
            <w:hideMark/>
          </w:tcPr>
          <w:p w14:paraId="7F505C70"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107 (53.5%)</w:t>
            </w:r>
          </w:p>
        </w:tc>
        <w:tc>
          <w:tcPr>
            <w:tcW w:w="1360" w:type="dxa"/>
            <w:tcBorders>
              <w:top w:val="nil"/>
              <w:left w:val="nil"/>
              <w:bottom w:val="nil"/>
              <w:right w:val="nil"/>
            </w:tcBorders>
            <w:shd w:val="clear" w:color="auto" w:fill="auto"/>
            <w:noWrap/>
            <w:vAlign w:val="bottom"/>
            <w:hideMark/>
          </w:tcPr>
          <w:p w14:paraId="48F7296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135 (49.8%)</w:t>
            </w:r>
          </w:p>
        </w:tc>
        <w:tc>
          <w:tcPr>
            <w:tcW w:w="1360" w:type="dxa"/>
            <w:tcBorders>
              <w:top w:val="nil"/>
              <w:left w:val="nil"/>
              <w:bottom w:val="nil"/>
              <w:right w:val="nil"/>
            </w:tcBorders>
            <w:shd w:val="clear" w:color="auto" w:fill="auto"/>
            <w:noWrap/>
            <w:vAlign w:val="bottom"/>
            <w:hideMark/>
          </w:tcPr>
          <w:p w14:paraId="4CFD1470"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118 (48.6%)</w:t>
            </w:r>
          </w:p>
        </w:tc>
        <w:tc>
          <w:tcPr>
            <w:tcW w:w="1360" w:type="dxa"/>
            <w:tcBorders>
              <w:top w:val="nil"/>
              <w:left w:val="nil"/>
              <w:bottom w:val="nil"/>
              <w:right w:val="single" w:sz="4" w:space="0" w:color="auto"/>
            </w:tcBorders>
            <w:shd w:val="clear" w:color="auto" w:fill="auto"/>
            <w:noWrap/>
            <w:vAlign w:val="bottom"/>
            <w:hideMark/>
          </w:tcPr>
          <w:p w14:paraId="2405DE5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0D631EDD"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276621C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External beam RT</w:t>
            </w:r>
          </w:p>
        </w:tc>
        <w:tc>
          <w:tcPr>
            <w:tcW w:w="1360" w:type="dxa"/>
            <w:tcBorders>
              <w:top w:val="nil"/>
              <w:left w:val="nil"/>
              <w:bottom w:val="nil"/>
              <w:right w:val="nil"/>
            </w:tcBorders>
            <w:shd w:val="clear" w:color="auto" w:fill="auto"/>
            <w:noWrap/>
            <w:vAlign w:val="bottom"/>
            <w:hideMark/>
          </w:tcPr>
          <w:p w14:paraId="142B0E2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93 (46.5%)</w:t>
            </w:r>
          </w:p>
        </w:tc>
        <w:tc>
          <w:tcPr>
            <w:tcW w:w="1360" w:type="dxa"/>
            <w:tcBorders>
              <w:top w:val="nil"/>
              <w:left w:val="nil"/>
              <w:bottom w:val="nil"/>
              <w:right w:val="nil"/>
            </w:tcBorders>
            <w:shd w:val="clear" w:color="auto" w:fill="auto"/>
            <w:noWrap/>
            <w:vAlign w:val="bottom"/>
            <w:hideMark/>
          </w:tcPr>
          <w:p w14:paraId="52CA20B1"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136 (50.2%)</w:t>
            </w:r>
          </w:p>
        </w:tc>
        <w:tc>
          <w:tcPr>
            <w:tcW w:w="1360" w:type="dxa"/>
            <w:tcBorders>
              <w:top w:val="nil"/>
              <w:left w:val="nil"/>
              <w:bottom w:val="nil"/>
              <w:right w:val="nil"/>
            </w:tcBorders>
            <w:shd w:val="clear" w:color="auto" w:fill="auto"/>
            <w:noWrap/>
            <w:vAlign w:val="bottom"/>
            <w:hideMark/>
          </w:tcPr>
          <w:p w14:paraId="2F55072F"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125 (51.4%)</w:t>
            </w:r>
          </w:p>
        </w:tc>
        <w:tc>
          <w:tcPr>
            <w:tcW w:w="1360" w:type="dxa"/>
            <w:tcBorders>
              <w:top w:val="nil"/>
              <w:left w:val="nil"/>
              <w:bottom w:val="nil"/>
              <w:right w:val="single" w:sz="4" w:space="0" w:color="auto"/>
            </w:tcBorders>
            <w:shd w:val="clear" w:color="auto" w:fill="auto"/>
            <w:noWrap/>
            <w:vAlign w:val="bottom"/>
            <w:hideMark/>
          </w:tcPr>
          <w:p w14:paraId="6C016A97"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0DA4DEF8" w14:textId="77777777" w:rsidTr="006B7E70">
        <w:trPr>
          <w:trHeight w:val="345"/>
        </w:trPr>
        <w:tc>
          <w:tcPr>
            <w:tcW w:w="2740" w:type="dxa"/>
            <w:tcBorders>
              <w:top w:val="nil"/>
              <w:left w:val="single" w:sz="4" w:space="0" w:color="auto"/>
              <w:bottom w:val="nil"/>
              <w:right w:val="nil"/>
            </w:tcBorders>
            <w:shd w:val="clear" w:color="auto" w:fill="auto"/>
            <w:noWrap/>
            <w:vAlign w:val="bottom"/>
            <w:hideMark/>
          </w:tcPr>
          <w:p w14:paraId="2EA3CF71" w14:textId="6D25F956"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Stage</w:t>
            </w:r>
            <w:r w:rsidR="0002655F">
              <w:rPr>
                <w:rFonts w:ascii="Times New Roman" w:eastAsia="Times New Roman" w:hAnsi="Times New Roman" w:cs="Times New Roman"/>
                <w:b/>
                <w:bCs/>
                <w:color w:val="000000"/>
                <w:sz w:val="20"/>
                <w:szCs w:val="20"/>
                <w:lang w:eastAsia="nl-NL"/>
              </w:rPr>
              <w:t xml:space="preserve"> (FIGO 2009)</w:t>
            </w:r>
          </w:p>
        </w:tc>
        <w:tc>
          <w:tcPr>
            <w:tcW w:w="1360" w:type="dxa"/>
            <w:tcBorders>
              <w:top w:val="nil"/>
              <w:left w:val="nil"/>
              <w:bottom w:val="nil"/>
              <w:right w:val="nil"/>
            </w:tcBorders>
            <w:shd w:val="clear" w:color="auto" w:fill="auto"/>
            <w:noWrap/>
            <w:vAlign w:val="bottom"/>
            <w:hideMark/>
          </w:tcPr>
          <w:p w14:paraId="5D59DCA5"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5B72816D"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nil"/>
            </w:tcBorders>
            <w:shd w:val="clear" w:color="auto" w:fill="auto"/>
            <w:noWrap/>
            <w:vAlign w:val="bottom"/>
            <w:hideMark/>
          </w:tcPr>
          <w:p w14:paraId="52DC2A7B"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6356A27F"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&lt;0.0001</w:t>
            </w:r>
            <w:r w:rsidRPr="00032D9B">
              <w:rPr>
                <w:rFonts w:ascii="Times New Roman" w:eastAsia="Times New Roman" w:hAnsi="Times New Roman" w:cs="Times New Roman"/>
                <w:b/>
                <w:bCs/>
                <w:color w:val="000000"/>
                <w:sz w:val="20"/>
                <w:szCs w:val="20"/>
                <w:vertAlign w:val="superscript"/>
                <w:lang w:eastAsia="nl-NL"/>
              </w:rPr>
              <w:t>1</w:t>
            </w:r>
          </w:p>
        </w:tc>
      </w:tr>
      <w:tr w:rsidR="00032D9B" w:rsidRPr="00032D9B" w14:paraId="2FAA558E"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090A9B1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IA</w:t>
            </w:r>
          </w:p>
        </w:tc>
        <w:tc>
          <w:tcPr>
            <w:tcW w:w="1360" w:type="dxa"/>
            <w:tcBorders>
              <w:top w:val="nil"/>
              <w:left w:val="nil"/>
              <w:bottom w:val="nil"/>
              <w:right w:val="nil"/>
            </w:tcBorders>
            <w:shd w:val="clear" w:color="auto" w:fill="auto"/>
            <w:noWrap/>
            <w:vAlign w:val="bottom"/>
            <w:hideMark/>
          </w:tcPr>
          <w:p w14:paraId="76ECE11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107 (53.5%)</w:t>
            </w:r>
          </w:p>
        </w:tc>
        <w:tc>
          <w:tcPr>
            <w:tcW w:w="1360" w:type="dxa"/>
            <w:tcBorders>
              <w:top w:val="nil"/>
              <w:left w:val="nil"/>
              <w:bottom w:val="nil"/>
              <w:right w:val="nil"/>
            </w:tcBorders>
            <w:shd w:val="clear" w:color="auto" w:fill="auto"/>
            <w:noWrap/>
            <w:vAlign w:val="bottom"/>
            <w:hideMark/>
          </w:tcPr>
          <w:p w14:paraId="7884862C"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104 (38.4%)</w:t>
            </w:r>
          </w:p>
        </w:tc>
        <w:tc>
          <w:tcPr>
            <w:tcW w:w="1360" w:type="dxa"/>
            <w:tcBorders>
              <w:top w:val="nil"/>
              <w:left w:val="nil"/>
              <w:bottom w:val="nil"/>
              <w:right w:val="nil"/>
            </w:tcBorders>
            <w:shd w:val="clear" w:color="auto" w:fill="auto"/>
            <w:noWrap/>
            <w:vAlign w:val="bottom"/>
            <w:hideMark/>
          </w:tcPr>
          <w:p w14:paraId="0F1C3D3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83 (34.2%)</w:t>
            </w:r>
          </w:p>
        </w:tc>
        <w:tc>
          <w:tcPr>
            <w:tcW w:w="1360" w:type="dxa"/>
            <w:tcBorders>
              <w:top w:val="nil"/>
              <w:left w:val="nil"/>
              <w:bottom w:val="nil"/>
              <w:right w:val="single" w:sz="4" w:space="0" w:color="auto"/>
            </w:tcBorders>
            <w:shd w:val="clear" w:color="auto" w:fill="auto"/>
            <w:noWrap/>
            <w:vAlign w:val="bottom"/>
            <w:hideMark/>
          </w:tcPr>
          <w:p w14:paraId="496480B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603F5DDE"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34A0EC1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IB</w:t>
            </w:r>
          </w:p>
        </w:tc>
        <w:tc>
          <w:tcPr>
            <w:tcW w:w="1360" w:type="dxa"/>
            <w:tcBorders>
              <w:top w:val="nil"/>
              <w:left w:val="nil"/>
              <w:bottom w:val="nil"/>
              <w:right w:val="nil"/>
            </w:tcBorders>
            <w:shd w:val="clear" w:color="auto" w:fill="auto"/>
            <w:noWrap/>
            <w:vAlign w:val="bottom"/>
            <w:hideMark/>
          </w:tcPr>
          <w:p w14:paraId="1C8E47D0"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93 (46.5%)</w:t>
            </w:r>
          </w:p>
        </w:tc>
        <w:tc>
          <w:tcPr>
            <w:tcW w:w="1360" w:type="dxa"/>
            <w:tcBorders>
              <w:top w:val="nil"/>
              <w:left w:val="nil"/>
              <w:bottom w:val="nil"/>
              <w:right w:val="nil"/>
            </w:tcBorders>
            <w:shd w:val="clear" w:color="auto" w:fill="auto"/>
            <w:noWrap/>
            <w:vAlign w:val="bottom"/>
            <w:hideMark/>
          </w:tcPr>
          <w:p w14:paraId="1965AA0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167 (61.6%)</w:t>
            </w:r>
          </w:p>
        </w:tc>
        <w:tc>
          <w:tcPr>
            <w:tcW w:w="1360" w:type="dxa"/>
            <w:tcBorders>
              <w:top w:val="nil"/>
              <w:left w:val="nil"/>
              <w:bottom w:val="nil"/>
              <w:right w:val="nil"/>
            </w:tcBorders>
            <w:shd w:val="clear" w:color="auto" w:fill="auto"/>
            <w:noWrap/>
            <w:vAlign w:val="bottom"/>
            <w:hideMark/>
          </w:tcPr>
          <w:p w14:paraId="6C39134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160 (65.8%)</w:t>
            </w:r>
          </w:p>
        </w:tc>
        <w:tc>
          <w:tcPr>
            <w:tcW w:w="1360" w:type="dxa"/>
            <w:tcBorders>
              <w:top w:val="nil"/>
              <w:left w:val="nil"/>
              <w:bottom w:val="nil"/>
              <w:right w:val="single" w:sz="4" w:space="0" w:color="auto"/>
            </w:tcBorders>
            <w:shd w:val="clear" w:color="auto" w:fill="auto"/>
            <w:noWrap/>
            <w:vAlign w:val="bottom"/>
            <w:hideMark/>
          </w:tcPr>
          <w:p w14:paraId="64A670B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00075BFF" w14:textId="77777777" w:rsidTr="006B7E70">
        <w:trPr>
          <w:trHeight w:val="345"/>
        </w:trPr>
        <w:tc>
          <w:tcPr>
            <w:tcW w:w="2740" w:type="dxa"/>
            <w:tcBorders>
              <w:top w:val="nil"/>
              <w:left w:val="single" w:sz="4" w:space="0" w:color="auto"/>
              <w:bottom w:val="nil"/>
              <w:right w:val="nil"/>
            </w:tcBorders>
            <w:shd w:val="clear" w:color="auto" w:fill="auto"/>
            <w:noWrap/>
            <w:vAlign w:val="bottom"/>
            <w:hideMark/>
          </w:tcPr>
          <w:p w14:paraId="7A0106BB"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Histograde</w:t>
            </w:r>
          </w:p>
        </w:tc>
        <w:tc>
          <w:tcPr>
            <w:tcW w:w="1360" w:type="dxa"/>
            <w:tcBorders>
              <w:top w:val="nil"/>
              <w:left w:val="nil"/>
              <w:bottom w:val="nil"/>
              <w:right w:val="nil"/>
            </w:tcBorders>
            <w:shd w:val="clear" w:color="auto" w:fill="auto"/>
            <w:noWrap/>
            <w:vAlign w:val="bottom"/>
            <w:hideMark/>
          </w:tcPr>
          <w:p w14:paraId="146C2228"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13671381"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nil"/>
            </w:tcBorders>
            <w:shd w:val="clear" w:color="auto" w:fill="auto"/>
            <w:noWrap/>
            <w:vAlign w:val="bottom"/>
            <w:hideMark/>
          </w:tcPr>
          <w:p w14:paraId="7463ED77"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3899D183"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0.82</w:t>
            </w:r>
            <w:r w:rsidRPr="00032D9B">
              <w:rPr>
                <w:rFonts w:ascii="Times New Roman" w:eastAsia="Times New Roman" w:hAnsi="Times New Roman" w:cs="Times New Roman"/>
                <w:b/>
                <w:bCs/>
                <w:color w:val="000000"/>
                <w:sz w:val="20"/>
                <w:szCs w:val="20"/>
                <w:vertAlign w:val="superscript"/>
                <w:lang w:eastAsia="nl-NL"/>
              </w:rPr>
              <w:t>2</w:t>
            </w:r>
          </w:p>
        </w:tc>
      </w:tr>
      <w:tr w:rsidR="00032D9B" w:rsidRPr="00032D9B" w14:paraId="23580667"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3560EB1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Grade 1-2 EEC</w:t>
            </w:r>
          </w:p>
        </w:tc>
        <w:tc>
          <w:tcPr>
            <w:tcW w:w="1360" w:type="dxa"/>
            <w:tcBorders>
              <w:top w:val="nil"/>
              <w:left w:val="nil"/>
              <w:bottom w:val="nil"/>
              <w:right w:val="nil"/>
            </w:tcBorders>
            <w:shd w:val="clear" w:color="auto" w:fill="auto"/>
            <w:noWrap/>
            <w:vAlign w:val="bottom"/>
            <w:hideMark/>
          </w:tcPr>
          <w:p w14:paraId="6228176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167 (83.5%)</w:t>
            </w:r>
          </w:p>
        </w:tc>
        <w:tc>
          <w:tcPr>
            <w:tcW w:w="1360" w:type="dxa"/>
            <w:tcBorders>
              <w:top w:val="nil"/>
              <w:left w:val="nil"/>
              <w:bottom w:val="nil"/>
              <w:right w:val="nil"/>
            </w:tcBorders>
            <w:shd w:val="clear" w:color="auto" w:fill="auto"/>
            <w:noWrap/>
            <w:vAlign w:val="bottom"/>
            <w:hideMark/>
          </w:tcPr>
          <w:p w14:paraId="371641B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228 (84.1%)</w:t>
            </w:r>
          </w:p>
        </w:tc>
        <w:tc>
          <w:tcPr>
            <w:tcW w:w="1360" w:type="dxa"/>
            <w:tcBorders>
              <w:top w:val="nil"/>
              <w:left w:val="nil"/>
              <w:bottom w:val="nil"/>
              <w:right w:val="nil"/>
            </w:tcBorders>
            <w:shd w:val="clear" w:color="auto" w:fill="auto"/>
            <w:noWrap/>
            <w:vAlign w:val="bottom"/>
            <w:hideMark/>
          </w:tcPr>
          <w:p w14:paraId="6BE453B6"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206 (84.8%)</w:t>
            </w:r>
          </w:p>
        </w:tc>
        <w:tc>
          <w:tcPr>
            <w:tcW w:w="1360" w:type="dxa"/>
            <w:tcBorders>
              <w:top w:val="nil"/>
              <w:left w:val="nil"/>
              <w:bottom w:val="nil"/>
              <w:right w:val="single" w:sz="4" w:space="0" w:color="auto"/>
            </w:tcBorders>
            <w:shd w:val="clear" w:color="auto" w:fill="auto"/>
            <w:noWrap/>
            <w:vAlign w:val="bottom"/>
            <w:hideMark/>
          </w:tcPr>
          <w:p w14:paraId="316C507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7A98E07A"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02FA6C1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Grade 3 EEC</w:t>
            </w:r>
          </w:p>
        </w:tc>
        <w:tc>
          <w:tcPr>
            <w:tcW w:w="1360" w:type="dxa"/>
            <w:tcBorders>
              <w:top w:val="nil"/>
              <w:left w:val="nil"/>
              <w:bottom w:val="nil"/>
              <w:right w:val="nil"/>
            </w:tcBorders>
            <w:shd w:val="clear" w:color="auto" w:fill="auto"/>
            <w:noWrap/>
            <w:vAlign w:val="bottom"/>
            <w:hideMark/>
          </w:tcPr>
          <w:p w14:paraId="5C11A3EB"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28 (14.0%)</w:t>
            </w:r>
          </w:p>
        </w:tc>
        <w:tc>
          <w:tcPr>
            <w:tcW w:w="1360" w:type="dxa"/>
            <w:tcBorders>
              <w:top w:val="nil"/>
              <w:left w:val="nil"/>
              <w:bottom w:val="nil"/>
              <w:right w:val="nil"/>
            </w:tcBorders>
            <w:shd w:val="clear" w:color="auto" w:fill="auto"/>
            <w:noWrap/>
            <w:vAlign w:val="bottom"/>
            <w:hideMark/>
          </w:tcPr>
          <w:p w14:paraId="2BCA47F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37 (13.7%)</w:t>
            </w:r>
          </w:p>
        </w:tc>
        <w:tc>
          <w:tcPr>
            <w:tcW w:w="1360" w:type="dxa"/>
            <w:tcBorders>
              <w:top w:val="nil"/>
              <w:left w:val="nil"/>
              <w:bottom w:val="nil"/>
              <w:right w:val="nil"/>
            </w:tcBorders>
            <w:shd w:val="clear" w:color="auto" w:fill="auto"/>
            <w:noWrap/>
            <w:vAlign w:val="bottom"/>
            <w:hideMark/>
          </w:tcPr>
          <w:p w14:paraId="0A3888AF"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30 (12.3%)</w:t>
            </w:r>
          </w:p>
        </w:tc>
        <w:tc>
          <w:tcPr>
            <w:tcW w:w="1360" w:type="dxa"/>
            <w:tcBorders>
              <w:top w:val="nil"/>
              <w:left w:val="nil"/>
              <w:bottom w:val="nil"/>
              <w:right w:val="single" w:sz="4" w:space="0" w:color="auto"/>
            </w:tcBorders>
            <w:shd w:val="clear" w:color="auto" w:fill="auto"/>
            <w:noWrap/>
            <w:vAlign w:val="bottom"/>
            <w:hideMark/>
          </w:tcPr>
          <w:p w14:paraId="35E057E6"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460AACEB"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55E8A4E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NEEC</w:t>
            </w:r>
          </w:p>
        </w:tc>
        <w:tc>
          <w:tcPr>
            <w:tcW w:w="1360" w:type="dxa"/>
            <w:tcBorders>
              <w:top w:val="nil"/>
              <w:left w:val="nil"/>
              <w:bottom w:val="nil"/>
              <w:right w:val="nil"/>
            </w:tcBorders>
            <w:shd w:val="clear" w:color="auto" w:fill="auto"/>
            <w:noWrap/>
            <w:vAlign w:val="bottom"/>
            <w:hideMark/>
          </w:tcPr>
          <w:p w14:paraId="590BF4A2"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5 (2.5%)</w:t>
            </w:r>
          </w:p>
        </w:tc>
        <w:tc>
          <w:tcPr>
            <w:tcW w:w="1360" w:type="dxa"/>
            <w:tcBorders>
              <w:top w:val="nil"/>
              <w:left w:val="nil"/>
              <w:bottom w:val="nil"/>
              <w:right w:val="nil"/>
            </w:tcBorders>
            <w:shd w:val="clear" w:color="auto" w:fill="auto"/>
            <w:noWrap/>
            <w:vAlign w:val="bottom"/>
            <w:hideMark/>
          </w:tcPr>
          <w:p w14:paraId="3AB4D13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6 (2.2%)</w:t>
            </w:r>
          </w:p>
        </w:tc>
        <w:tc>
          <w:tcPr>
            <w:tcW w:w="1360" w:type="dxa"/>
            <w:tcBorders>
              <w:top w:val="nil"/>
              <w:left w:val="nil"/>
              <w:bottom w:val="nil"/>
              <w:right w:val="nil"/>
            </w:tcBorders>
            <w:shd w:val="clear" w:color="auto" w:fill="auto"/>
            <w:noWrap/>
            <w:vAlign w:val="bottom"/>
            <w:hideMark/>
          </w:tcPr>
          <w:p w14:paraId="45CA9660"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7 (2.9%)</w:t>
            </w:r>
          </w:p>
        </w:tc>
        <w:tc>
          <w:tcPr>
            <w:tcW w:w="1360" w:type="dxa"/>
            <w:tcBorders>
              <w:top w:val="nil"/>
              <w:left w:val="nil"/>
              <w:bottom w:val="nil"/>
              <w:right w:val="single" w:sz="4" w:space="0" w:color="auto"/>
            </w:tcBorders>
            <w:shd w:val="clear" w:color="auto" w:fill="auto"/>
            <w:noWrap/>
            <w:vAlign w:val="bottom"/>
            <w:hideMark/>
          </w:tcPr>
          <w:p w14:paraId="07F7BC97"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14D2B7FB" w14:textId="77777777" w:rsidTr="006B7E70">
        <w:trPr>
          <w:trHeight w:val="345"/>
        </w:trPr>
        <w:tc>
          <w:tcPr>
            <w:tcW w:w="4100" w:type="dxa"/>
            <w:gridSpan w:val="2"/>
            <w:tcBorders>
              <w:top w:val="nil"/>
              <w:left w:val="single" w:sz="4" w:space="0" w:color="auto"/>
              <w:bottom w:val="nil"/>
              <w:right w:val="nil"/>
            </w:tcBorders>
            <w:shd w:val="clear" w:color="auto" w:fill="auto"/>
            <w:noWrap/>
            <w:vAlign w:val="bottom"/>
            <w:hideMark/>
          </w:tcPr>
          <w:p w14:paraId="229898D3"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Lymphovascular space invasion</w:t>
            </w:r>
            <w:r w:rsidRPr="00032D9B">
              <w:rPr>
                <w:rFonts w:ascii="Times New Roman" w:eastAsia="Times New Roman" w:hAnsi="Times New Roman" w:cs="Times New Roman"/>
                <w:b/>
                <w:bCs/>
                <w:color w:val="000000"/>
                <w:sz w:val="20"/>
                <w:szCs w:val="20"/>
                <w:vertAlign w:val="superscript"/>
                <w:lang w:eastAsia="nl-NL"/>
              </w:rPr>
              <w:t>3</w:t>
            </w:r>
          </w:p>
        </w:tc>
        <w:tc>
          <w:tcPr>
            <w:tcW w:w="1360" w:type="dxa"/>
            <w:tcBorders>
              <w:top w:val="nil"/>
              <w:left w:val="nil"/>
              <w:bottom w:val="nil"/>
              <w:right w:val="nil"/>
            </w:tcBorders>
            <w:shd w:val="clear" w:color="auto" w:fill="auto"/>
            <w:noWrap/>
            <w:vAlign w:val="bottom"/>
            <w:hideMark/>
          </w:tcPr>
          <w:p w14:paraId="532BAE3E"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4DC86753"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1C30BD16"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0.90</w:t>
            </w:r>
            <w:r w:rsidRPr="00032D9B">
              <w:rPr>
                <w:rFonts w:ascii="Times New Roman" w:eastAsia="Times New Roman" w:hAnsi="Times New Roman" w:cs="Times New Roman"/>
                <w:b/>
                <w:bCs/>
                <w:color w:val="000000"/>
                <w:sz w:val="20"/>
                <w:szCs w:val="20"/>
                <w:vertAlign w:val="superscript"/>
                <w:lang w:eastAsia="nl-NL"/>
              </w:rPr>
              <w:t>1</w:t>
            </w:r>
          </w:p>
        </w:tc>
      </w:tr>
      <w:tr w:rsidR="00032D9B" w:rsidRPr="00032D9B" w14:paraId="096C1BAF"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72E8DA7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None or focal </w:t>
            </w:r>
          </w:p>
        </w:tc>
        <w:tc>
          <w:tcPr>
            <w:tcW w:w="1360" w:type="dxa"/>
            <w:tcBorders>
              <w:top w:val="nil"/>
              <w:left w:val="nil"/>
              <w:bottom w:val="nil"/>
              <w:right w:val="nil"/>
            </w:tcBorders>
            <w:shd w:val="clear" w:color="auto" w:fill="auto"/>
            <w:noWrap/>
            <w:vAlign w:val="bottom"/>
            <w:hideMark/>
          </w:tcPr>
          <w:p w14:paraId="6A130A75"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140 (95.2%)</w:t>
            </w:r>
          </w:p>
        </w:tc>
        <w:tc>
          <w:tcPr>
            <w:tcW w:w="1360" w:type="dxa"/>
            <w:tcBorders>
              <w:top w:val="nil"/>
              <w:left w:val="nil"/>
              <w:bottom w:val="nil"/>
              <w:right w:val="nil"/>
            </w:tcBorders>
            <w:shd w:val="clear" w:color="auto" w:fill="auto"/>
            <w:noWrap/>
            <w:vAlign w:val="bottom"/>
            <w:hideMark/>
          </w:tcPr>
          <w:p w14:paraId="77851FE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203 (94.9%)</w:t>
            </w:r>
          </w:p>
        </w:tc>
        <w:tc>
          <w:tcPr>
            <w:tcW w:w="1360" w:type="dxa"/>
            <w:tcBorders>
              <w:top w:val="nil"/>
              <w:left w:val="nil"/>
              <w:bottom w:val="nil"/>
              <w:right w:val="nil"/>
            </w:tcBorders>
            <w:shd w:val="clear" w:color="auto" w:fill="auto"/>
            <w:noWrap/>
            <w:vAlign w:val="bottom"/>
            <w:hideMark/>
          </w:tcPr>
          <w:p w14:paraId="4926460C"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194 (96.0%)</w:t>
            </w:r>
          </w:p>
        </w:tc>
        <w:tc>
          <w:tcPr>
            <w:tcW w:w="1360" w:type="dxa"/>
            <w:tcBorders>
              <w:top w:val="nil"/>
              <w:left w:val="nil"/>
              <w:bottom w:val="nil"/>
              <w:right w:val="single" w:sz="4" w:space="0" w:color="auto"/>
            </w:tcBorders>
            <w:shd w:val="clear" w:color="auto" w:fill="auto"/>
            <w:noWrap/>
            <w:vAlign w:val="bottom"/>
            <w:hideMark/>
          </w:tcPr>
          <w:p w14:paraId="5C5A25E1"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3082FC85"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136EAE1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Substantial </w:t>
            </w:r>
          </w:p>
        </w:tc>
        <w:tc>
          <w:tcPr>
            <w:tcW w:w="1360" w:type="dxa"/>
            <w:tcBorders>
              <w:top w:val="nil"/>
              <w:left w:val="nil"/>
              <w:bottom w:val="nil"/>
              <w:right w:val="nil"/>
            </w:tcBorders>
            <w:shd w:val="clear" w:color="auto" w:fill="auto"/>
            <w:noWrap/>
            <w:vAlign w:val="bottom"/>
            <w:hideMark/>
          </w:tcPr>
          <w:p w14:paraId="181A687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7 (4.8%)</w:t>
            </w:r>
          </w:p>
        </w:tc>
        <w:tc>
          <w:tcPr>
            <w:tcW w:w="1360" w:type="dxa"/>
            <w:tcBorders>
              <w:top w:val="nil"/>
              <w:left w:val="nil"/>
              <w:bottom w:val="nil"/>
              <w:right w:val="nil"/>
            </w:tcBorders>
            <w:shd w:val="clear" w:color="auto" w:fill="auto"/>
            <w:noWrap/>
            <w:vAlign w:val="bottom"/>
            <w:hideMark/>
          </w:tcPr>
          <w:p w14:paraId="4825DC6B"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11 (5.1%)</w:t>
            </w:r>
          </w:p>
        </w:tc>
        <w:tc>
          <w:tcPr>
            <w:tcW w:w="1360" w:type="dxa"/>
            <w:tcBorders>
              <w:top w:val="nil"/>
              <w:left w:val="nil"/>
              <w:bottom w:val="nil"/>
              <w:right w:val="nil"/>
            </w:tcBorders>
            <w:shd w:val="clear" w:color="auto" w:fill="auto"/>
            <w:noWrap/>
            <w:vAlign w:val="bottom"/>
            <w:hideMark/>
          </w:tcPr>
          <w:p w14:paraId="6F85CA2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8 (4.0%)</w:t>
            </w:r>
          </w:p>
        </w:tc>
        <w:tc>
          <w:tcPr>
            <w:tcW w:w="1360" w:type="dxa"/>
            <w:tcBorders>
              <w:top w:val="nil"/>
              <w:left w:val="nil"/>
              <w:bottom w:val="nil"/>
              <w:right w:val="single" w:sz="4" w:space="0" w:color="auto"/>
            </w:tcBorders>
            <w:shd w:val="clear" w:color="auto" w:fill="auto"/>
            <w:noWrap/>
            <w:vAlign w:val="bottom"/>
            <w:hideMark/>
          </w:tcPr>
          <w:p w14:paraId="7AA895A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54399647" w14:textId="77777777" w:rsidTr="006B7E70">
        <w:trPr>
          <w:trHeight w:val="345"/>
        </w:trPr>
        <w:tc>
          <w:tcPr>
            <w:tcW w:w="2740" w:type="dxa"/>
            <w:tcBorders>
              <w:top w:val="nil"/>
              <w:left w:val="single" w:sz="4" w:space="0" w:color="auto"/>
              <w:bottom w:val="nil"/>
              <w:right w:val="nil"/>
            </w:tcBorders>
            <w:shd w:val="clear" w:color="auto" w:fill="auto"/>
            <w:noWrap/>
            <w:vAlign w:val="bottom"/>
            <w:hideMark/>
          </w:tcPr>
          <w:p w14:paraId="2C1E38BC"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Molecular class</w:t>
            </w:r>
            <w:r w:rsidRPr="00032D9B">
              <w:rPr>
                <w:rFonts w:ascii="Times New Roman" w:eastAsia="Times New Roman" w:hAnsi="Times New Roman" w:cs="Times New Roman"/>
                <w:b/>
                <w:bCs/>
                <w:color w:val="000000"/>
                <w:sz w:val="20"/>
                <w:szCs w:val="20"/>
                <w:vertAlign w:val="superscript"/>
                <w:lang w:eastAsia="nl-NL"/>
              </w:rPr>
              <w:t>4</w:t>
            </w:r>
          </w:p>
        </w:tc>
        <w:tc>
          <w:tcPr>
            <w:tcW w:w="1360" w:type="dxa"/>
            <w:tcBorders>
              <w:top w:val="nil"/>
              <w:left w:val="nil"/>
              <w:bottom w:val="nil"/>
              <w:right w:val="nil"/>
            </w:tcBorders>
            <w:shd w:val="clear" w:color="auto" w:fill="auto"/>
            <w:noWrap/>
            <w:vAlign w:val="bottom"/>
            <w:hideMark/>
          </w:tcPr>
          <w:p w14:paraId="1E73438A"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46F2C44C"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nil"/>
            </w:tcBorders>
            <w:shd w:val="clear" w:color="auto" w:fill="auto"/>
            <w:noWrap/>
            <w:vAlign w:val="bottom"/>
            <w:hideMark/>
          </w:tcPr>
          <w:p w14:paraId="6A61762B"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37FF324D"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&lt;0.0001</w:t>
            </w:r>
            <w:r w:rsidRPr="00032D9B">
              <w:rPr>
                <w:rFonts w:ascii="Times New Roman" w:eastAsia="Times New Roman" w:hAnsi="Times New Roman" w:cs="Times New Roman"/>
                <w:b/>
                <w:bCs/>
                <w:color w:val="000000"/>
                <w:sz w:val="20"/>
                <w:szCs w:val="20"/>
                <w:vertAlign w:val="superscript"/>
                <w:lang w:eastAsia="nl-NL"/>
              </w:rPr>
              <w:t>2</w:t>
            </w:r>
          </w:p>
        </w:tc>
      </w:tr>
      <w:tr w:rsidR="00032D9B" w:rsidRPr="00032D9B" w14:paraId="582A1CE7"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4047079F"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i/>
                <w:iCs/>
                <w:color w:val="000000"/>
                <w:sz w:val="20"/>
                <w:szCs w:val="20"/>
                <w:lang w:eastAsia="nl-NL"/>
              </w:rPr>
              <w:t xml:space="preserve">   POLE</w:t>
            </w:r>
            <w:r w:rsidRPr="00032D9B">
              <w:rPr>
                <w:rFonts w:ascii="Times New Roman" w:eastAsia="Times New Roman" w:hAnsi="Times New Roman" w:cs="Times New Roman"/>
                <w:color w:val="000000"/>
                <w:sz w:val="20"/>
                <w:szCs w:val="20"/>
                <w:lang w:eastAsia="nl-NL"/>
              </w:rPr>
              <w:t>mut</w:t>
            </w:r>
          </w:p>
        </w:tc>
        <w:tc>
          <w:tcPr>
            <w:tcW w:w="1360" w:type="dxa"/>
            <w:tcBorders>
              <w:top w:val="nil"/>
              <w:left w:val="nil"/>
              <w:bottom w:val="nil"/>
              <w:right w:val="nil"/>
            </w:tcBorders>
            <w:shd w:val="clear" w:color="auto" w:fill="auto"/>
            <w:noWrap/>
            <w:vAlign w:val="bottom"/>
            <w:hideMark/>
          </w:tcPr>
          <w:p w14:paraId="7FFC32D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26 (19.8%)</w:t>
            </w:r>
          </w:p>
        </w:tc>
        <w:tc>
          <w:tcPr>
            <w:tcW w:w="1360" w:type="dxa"/>
            <w:tcBorders>
              <w:top w:val="nil"/>
              <w:left w:val="nil"/>
              <w:bottom w:val="nil"/>
              <w:right w:val="nil"/>
            </w:tcBorders>
            <w:shd w:val="clear" w:color="auto" w:fill="auto"/>
            <w:noWrap/>
            <w:vAlign w:val="bottom"/>
            <w:hideMark/>
          </w:tcPr>
          <w:p w14:paraId="0936E794"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9 (4.9%)</w:t>
            </w:r>
          </w:p>
        </w:tc>
        <w:tc>
          <w:tcPr>
            <w:tcW w:w="1360" w:type="dxa"/>
            <w:tcBorders>
              <w:top w:val="nil"/>
              <w:left w:val="nil"/>
              <w:bottom w:val="nil"/>
              <w:right w:val="nil"/>
            </w:tcBorders>
            <w:shd w:val="clear" w:color="auto" w:fill="auto"/>
            <w:noWrap/>
            <w:vAlign w:val="bottom"/>
            <w:hideMark/>
          </w:tcPr>
          <w:p w14:paraId="1A5ED64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7 (4.1%)</w:t>
            </w:r>
          </w:p>
        </w:tc>
        <w:tc>
          <w:tcPr>
            <w:tcW w:w="1360" w:type="dxa"/>
            <w:tcBorders>
              <w:top w:val="nil"/>
              <w:left w:val="nil"/>
              <w:bottom w:val="nil"/>
              <w:right w:val="single" w:sz="4" w:space="0" w:color="auto"/>
            </w:tcBorders>
            <w:shd w:val="clear" w:color="auto" w:fill="auto"/>
            <w:noWrap/>
            <w:vAlign w:val="bottom"/>
            <w:hideMark/>
          </w:tcPr>
          <w:p w14:paraId="434F66D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442BD053"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62A3A3FB"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MMRd</w:t>
            </w:r>
          </w:p>
        </w:tc>
        <w:tc>
          <w:tcPr>
            <w:tcW w:w="1360" w:type="dxa"/>
            <w:tcBorders>
              <w:top w:val="nil"/>
              <w:left w:val="nil"/>
              <w:bottom w:val="nil"/>
              <w:right w:val="nil"/>
            </w:tcBorders>
            <w:shd w:val="clear" w:color="auto" w:fill="auto"/>
            <w:noWrap/>
            <w:vAlign w:val="bottom"/>
            <w:hideMark/>
          </w:tcPr>
          <w:p w14:paraId="3AD6BAC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32 (24.4%)</w:t>
            </w:r>
          </w:p>
        </w:tc>
        <w:tc>
          <w:tcPr>
            <w:tcW w:w="1360" w:type="dxa"/>
            <w:tcBorders>
              <w:top w:val="nil"/>
              <w:left w:val="nil"/>
              <w:bottom w:val="nil"/>
              <w:right w:val="nil"/>
            </w:tcBorders>
            <w:shd w:val="clear" w:color="auto" w:fill="auto"/>
            <w:noWrap/>
            <w:vAlign w:val="bottom"/>
            <w:hideMark/>
          </w:tcPr>
          <w:p w14:paraId="5AC797DD"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53 (29.1%)</w:t>
            </w:r>
          </w:p>
        </w:tc>
        <w:tc>
          <w:tcPr>
            <w:tcW w:w="1360" w:type="dxa"/>
            <w:tcBorders>
              <w:top w:val="nil"/>
              <w:left w:val="nil"/>
              <w:bottom w:val="nil"/>
              <w:right w:val="nil"/>
            </w:tcBorders>
            <w:shd w:val="clear" w:color="auto" w:fill="auto"/>
            <w:noWrap/>
            <w:vAlign w:val="bottom"/>
            <w:hideMark/>
          </w:tcPr>
          <w:p w14:paraId="3619EF00"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52 (30.4%)</w:t>
            </w:r>
          </w:p>
        </w:tc>
        <w:tc>
          <w:tcPr>
            <w:tcW w:w="1360" w:type="dxa"/>
            <w:tcBorders>
              <w:top w:val="nil"/>
              <w:left w:val="nil"/>
              <w:bottom w:val="nil"/>
              <w:right w:val="single" w:sz="4" w:space="0" w:color="auto"/>
            </w:tcBorders>
            <w:shd w:val="clear" w:color="auto" w:fill="auto"/>
            <w:noWrap/>
            <w:vAlign w:val="bottom"/>
            <w:hideMark/>
          </w:tcPr>
          <w:p w14:paraId="1BF29431"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6B897857"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5FE3E6A7"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p53abn</w:t>
            </w:r>
          </w:p>
        </w:tc>
        <w:tc>
          <w:tcPr>
            <w:tcW w:w="1360" w:type="dxa"/>
            <w:tcBorders>
              <w:top w:val="nil"/>
              <w:left w:val="nil"/>
              <w:bottom w:val="nil"/>
              <w:right w:val="nil"/>
            </w:tcBorders>
            <w:shd w:val="clear" w:color="auto" w:fill="auto"/>
            <w:noWrap/>
            <w:vAlign w:val="bottom"/>
            <w:hideMark/>
          </w:tcPr>
          <w:p w14:paraId="45148117"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6 (4.6%)</w:t>
            </w:r>
          </w:p>
        </w:tc>
        <w:tc>
          <w:tcPr>
            <w:tcW w:w="1360" w:type="dxa"/>
            <w:tcBorders>
              <w:top w:val="nil"/>
              <w:left w:val="nil"/>
              <w:bottom w:val="nil"/>
              <w:right w:val="nil"/>
            </w:tcBorders>
            <w:shd w:val="clear" w:color="auto" w:fill="auto"/>
            <w:noWrap/>
            <w:vAlign w:val="bottom"/>
            <w:hideMark/>
          </w:tcPr>
          <w:p w14:paraId="3EA922D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14 (7.7%)</w:t>
            </w:r>
          </w:p>
        </w:tc>
        <w:tc>
          <w:tcPr>
            <w:tcW w:w="1360" w:type="dxa"/>
            <w:tcBorders>
              <w:top w:val="nil"/>
              <w:left w:val="nil"/>
              <w:bottom w:val="nil"/>
              <w:right w:val="nil"/>
            </w:tcBorders>
            <w:shd w:val="clear" w:color="auto" w:fill="auto"/>
            <w:noWrap/>
            <w:vAlign w:val="bottom"/>
            <w:hideMark/>
          </w:tcPr>
          <w:p w14:paraId="79A9DFD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20 (11.7%)</w:t>
            </w:r>
          </w:p>
        </w:tc>
        <w:tc>
          <w:tcPr>
            <w:tcW w:w="1360" w:type="dxa"/>
            <w:tcBorders>
              <w:top w:val="nil"/>
              <w:left w:val="nil"/>
              <w:bottom w:val="nil"/>
              <w:right w:val="single" w:sz="4" w:space="0" w:color="auto"/>
            </w:tcBorders>
            <w:shd w:val="clear" w:color="auto" w:fill="auto"/>
            <w:noWrap/>
            <w:vAlign w:val="bottom"/>
            <w:hideMark/>
          </w:tcPr>
          <w:p w14:paraId="04FCA66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2919EC6B" w14:textId="77777777" w:rsidTr="006B7E70">
        <w:trPr>
          <w:trHeight w:val="300"/>
        </w:trPr>
        <w:tc>
          <w:tcPr>
            <w:tcW w:w="2740" w:type="dxa"/>
            <w:tcBorders>
              <w:top w:val="nil"/>
              <w:left w:val="single" w:sz="4" w:space="0" w:color="auto"/>
              <w:bottom w:val="nil"/>
              <w:right w:val="nil"/>
            </w:tcBorders>
            <w:shd w:val="clear" w:color="auto" w:fill="auto"/>
            <w:noWrap/>
            <w:vAlign w:val="bottom"/>
            <w:hideMark/>
          </w:tcPr>
          <w:p w14:paraId="13DA8C28"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xml:space="preserve">   NSMP</w:t>
            </w:r>
          </w:p>
        </w:tc>
        <w:tc>
          <w:tcPr>
            <w:tcW w:w="1360" w:type="dxa"/>
            <w:tcBorders>
              <w:top w:val="nil"/>
              <w:left w:val="nil"/>
              <w:bottom w:val="nil"/>
              <w:right w:val="nil"/>
            </w:tcBorders>
            <w:shd w:val="clear" w:color="auto" w:fill="auto"/>
            <w:noWrap/>
            <w:vAlign w:val="bottom"/>
            <w:hideMark/>
          </w:tcPr>
          <w:p w14:paraId="423F9965"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67 (51.1%)</w:t>
            </w:r>
          </w:p>
        </w:tc>
        <w:tc>
          <w:tcPr>
            <w:tcW w:w="1360" w:type="dxa"/>
            <w:tcBorders>
              <w:top w:val="nil"/>
              <w:left w:val="nil"/>
              <w:bottom w:val="nil"/>
              <w:right w:val="nil"/>
            </w:tcBorders>
            <w:shd w:val="clear" w:color="auto" w:fill="auto"/>
            <w:noWrap/>
            <w:vAlign w:val="bottom"/>
            <w:hideMark/>
          </w:tcPr>
          <w:p w14:paraId="1CECA0B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106 (58.2%)</w:t>
            </w:r>
          </w:p>
        </w:tc>
        <w:tc>
          <w:tcPr>
            <w:tcW w:w="1360" w:type="dxa"/>
            <w:tcBorders>
              <w:top w:val="nil"/>
              <w:left w:val="nil"/>
              <w:bottom w:val="nil"/>
              <w:right w:val="nil"/>
            </w:tcBorders>
            <w:shd w:val="clear" w:color="auto" w:fill="auto"/>
            <w:noWrap/>
            <w:vAlign w:val="bottom"/>
            <w:hideMark/>
          </w:tcPr>
          <w:p w14:paraId="3CDF65D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92 (53.8%)</w:t>
            </w:r>
          </w:p>
        </w:tc>
        <w:tc>
          <w:tcPr>
            <w:tcW w:w="1360" w:type="dxa"/>
            <w:tcBorders>
              <w:top w:val="nil"/>
              <w:left w:val="nil"/>
              <w:bottom w:val="nil"/>
              <w:right w:val="single" w:sz="4" w:space="0" w:color="auto"/>
            </w:tcBorders>
            <w:shd w:val="clear" w:color="auto" w:fill="auto"/>
            <w:noWrap/>
            <w:vAlign w:val="bottom"/>
            <w:hideMark/>
          </w:tcPr>
          <w:p w14:paraId="61523075"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622D4897" w14:textId="77777777" w:rsidTr="006B7E70">
        <w:trPr>
          <w:trHeight w:val="345"/>
        </w:trPr>
        <w:tc>
          <w:tcPr>
            <w:tcW w:w="2740" w:type="dxa"/>
            <w:tcBorders>
              <w:top w:val="nil"/>
              <w:left w:val="single" w:sz="4" w:space="0" w:color="auto"/>
              <w:bottom w:val="nil"/>
              <w:right w:val="nil"/>
            </w:tcBorders>
            <w:shd w:val="clear" w:color="auto" w:fill="auto"/>
            <w:noWrap/>
            <w:vAlign w:val="bottom"/>
            <w:hideMark/>
          </w:tcPr>
          <w:p w14:paraId="628F9EA2"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ER status</w:t>
            </w:r>
            <w:r w:rsidRPr="00032D9B">
              <w:rPr>
                <w:rFonts w:ascii="Times New Roman" w:eastAsia="Times New Roman" w:hAnsi="Times New Roman" w:cs="Times New Roman"/>
                <w:b/>
                <w:bCs/>
                <w:color w:val="000000"/>
                <w:sz w:val="20"/>
                <w:szCs w:val="20"/>
                <w:vertAlign w:val="superscript"/>
                <w:lang w:eastAsia="nl-NL"/>
              </w:rPr>
              <w:t>5</w:t>
            </w:r>
          </w:p>
        </w:tc>
        <w:tc>
          <w:tcPr>
            <w:tcW w:w="1360" w:type="dxa"/>
            <w:tcBorders>
              <w:top w:val="nil"/>
              <w:left w:val="nil"/>
              <w:bottom w:val="nil"/>
              <w:right w:val="nil"/>
            </w:tcBorders>
            <w:shd w:val="clear" w:color="auto" w:fill="auto"/>
            <w:noWrap/>
            <w:vAlign w:val="bottom"/>
            <w:hideMark/>
          </w:tcPr>
          <w:p w14:paraId="3AC59DEB" w14:textId="77777777"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p>
        </w:tc>
        <w:tc>
          <w:tcPr>
            <w:tcW w:w="1360" w:type="dxa"/>
            <w:tcBorders>
              <w:top w:val="nil"/>
              <w:left w:val="nil"/>
              <w:bottom w:val="nil"/>
              <w:right w:val="nil"/>
            </w:tcBorders>
            <w:shd w:val="clear" w:color="auto" w:fill="auto"/>
            <w:noWrap/>
            <w:vAlign w:val="bottom"/>
            <w:hideMark/>
          </w:tcPr>
          <w:p w14:paraId="4A481DE2"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nil"/>
            </w:tcBorders>
            <w:shd w:val="clear" w:color="auto" w:fill="auto"/>
            <w:noWrap/>
            <w:vAlign w:val="bottom"/>
            <w:hideMark/>
          </w:tcPr>
          <w:p w14:paraId="4BAF34F4" w14:textId="77777777" w:rsidR="00032D9B" w:rsidRPr="00032D9B" w:rsidRDefault="00032D9B" w:rsidP="006B7E70">
            <w:pPr>
              <w:spacing w:after="0" w:line="240" w:lineRule="auto"/>
              <w:rPr>
                <w:rFonts w:ascii="Times New Roman" w:eastAsia="Times New Roman" w:hAnsi="Times New Roman" w:cs="Times New Roman"/>
                <w:sz w:val="20"/>
                <w:szCs w:val="20"/>
                <w:lang w:eastAsia="nl-NL"/>
              </w:rPr>
            </w:pPr>
          </w:p>
        </w:tc>
        <w:tc>
          <w:tcPr>
            <w:tcW w:w="1360" w:type="dxa"/>
            <w:tcBorders>
              <w:top w:val="nil"/>
              <w:left w:val="nil"/>
              <w:bottom w:val="nil"/>
              <w:right w:val="single" w:sz="4" w:space="0" w:color="auto"/>
            </w:tcBorders>
            <w:shd w:val="clear" w:color="auto" w:fill="auto"/>
            <w:noWrap/>
            <w:vAlign w:val="bottom"/>
            <w:hideMark/>
          </w:tcPr>
          <w:p w14:paraId="1B8F43EB"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r w:rsidR="00032D9B" w:rsidRPr="00032D9B" w14:paraId="605A0E6E" w14:textId="77777777" w:rsidTr="006B7E70">
        <w:trPr>
          <w:trHeight w:val="345"/>
        </w:trPr>
        <w:tc>
          <w:tcPr>
            <w:tcW w:w="2740" w:type="dxa"/>
            <w:tcBorders>
              <w:top w:val="nil"/>
              <w:left w:val="single" w:sz="4" w:space="0" w:color="auto"/>
              <w:right w:val="nil"/>
            </w:tcBorders>
            <w:shd w:val="clear" w:color="auto" w:fill="auto"/>
            <w:noWrap/>
            <w:vAlign w:val="bottom"/>
            <w:hideMark/>
          </w:tcPr>
          <w:p w14:paraId="7E46A7DC" w14:textId="77777777" w:rsidR="00032D9B" w:rsidRPr="0053341C" w:rsidRDefault="00032D9B" w:rsidP="006B7E7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Negative</w:t>
            </w:r>
          </w:p>
        </w:tc>
        <w:tc>
          <w:tcPr>
            <w:tcW w:w="1360" w:type="dxa"/>
            <w:tcBorders>
              <w:top w:val="nil"/>
              <w:left w:val="nil"/>
              <w:right w:val="nil"/>
            </w:tcBorders>
            <w:shd w:val="clear" w:color="auto" w:fill="auto"/>
            <w:noWrap/>
            <w:vAlign w:val="bottom"/>
            <w:hideMark/>
          </w:tcPr>
          <w:p w14:paraId="77A2AF69"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8 (7.3%)</w:t>
            </w:r>
          </w:p>
        </w:tc>
        <w:tc>
          <w:tcPr>
            <w:tcW w:w="1360" w:type="dxa"/>
            <w:tcBorders>
              <w:top w:val="nil"/>
              <w:left w:val="nil"/>
              <w:right w:val="nil"/>
            </w:tcBorders>
            <w:shd w:val="clear" w:color="auto" w:fill="auto"/>
            <w:noWrap/>
            <w:vAlign w:val="bottom"/>
            <w:hideMark/>
          </w:tcPr>
          <w:p w14:paraId="37303F2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 (6.2%)</w:t>
            </w:r>
          </w:p>
        </w:tc>
        <w:tc>
          <w:tcPr>
            <w:tcW w:w="1360" w:type="dxa"/>
            <w:tcBorders>
              <w:top w:val="nil"/>
              <w:left w:val="nil"/>
              <w:right w:val="nil"/>
            </w:tcBorders>
            <w:shd w:val="clear" w:color="auto" w:fill="auto"/>
            <w:noWrap/>
            <w:vAlign w:val="bottom"/>
            <w:hideMark/>
          </w:tcPr>
          <w:p w14:paraId="50F3F703"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11 (7.1%)</w:t>
            </w:r>
          </w:p>
        </w:tc>
        <w:tc>
          <w:tcPr>
            <w:tcW w:w="1360" w:type="dxa"/>
            <w:tcBorders>
              <w:top w:val="nil"/>
              <w:left w:val="nil"/>
              <w:right w:val="single" w:sz="4" w:space="0" w:color="auto"/>
            </w:tcBorders>
            <w:shd w:val="clear" w:color="auto" w:fill="auto"/>
            <w:noWrap/>
            <w:vAlign w:val="bottom"/>
            <w:hideMark/>
          </w:tcPr>
          <w:p w14:paraId="3A58163E" w14:textId="33D6CF76" w:rsidR="00032D9B" w:rsidRPr="00032D9B" w:rsidRDefault="00032D9B" w:rsidP="006B7E70">
            <w:pPr>
              <w:spacing w:after="0" w:line="240" w:lineRule="auto"/>
              <w:rPr>
                <w:rFonts w:ascii="Times New Roman" w:eastAsia="Times New Roman" w:hAnsi="Times New Roman" w:cs="Times New Roman"/>
                <w:b/>
                <w:bCs/>
                <w:color w:val="000000"/>
                <w:sz w:val="20"/>
                <w:szCs w:val="20"/>
                <w:lang w:eastAsia="nl-NL"/>
              </w:rPr>
            </w:pPr>
            <w:r w:rsidRPr="00032D9B">
              <w:rPr>
                <w:rFonts w:ascii="Times New Roman" w:eastAsia="Times New Roman" w:hAnsi="Times New Roman" w:cs="Times New Roman"/>
                <w:b/>
                <w:bCs/>
                <w:color w:val="000000"/>
                <w:sz w:val="20"/>
                <w:szCs w:val="20"/>
                <w:lang w:eastAsia="nl-NL"/>
              </w:rPr>
              <w:t>0.98</w:t>
            </w:r>
            <w:r w:rsidRPr="00032D9B">
              <w:rPr>
                <w:rFonts w:ascii="Times New Roman" w:eastAsia="Times New Roman" w:hAnsi="Times New Roman" w:cs="Times New Roman"/>
                <w:b/>
                <w:bCs/>
                <w:color w:val="000000"/>
                <w:sz w:val="20"/>
                <w:szCs w:val="20"/>
                <w:vertAlign w:val="superscript"/>
                <w:lang w:eastAsia="nl-NL"/>
              </w:rPr>
              <w:t>1</w:t>
            </w:r>
          </w:p>
        </w:tc>
      </w:tr>
      <w:tr w:rsidR="00032D9B" w:rsidRPr="00032D9B" w14:paraId="66999A71" w14:textId="77777777" w:rsidTr="006B7E70">
        <w:trPr>
          <w:trHeight w:val="300"/>
        </w:trPr>
        <w:tc>
          <w:tcPr>
            <w:tcW w:w="2740" w:type="dxa"/>
            <w:tcBorders>
              <w:top w:val="nil"/>
              <w:left w:val="single" w:sz="4" w:space="0" w:color="auto"/>
              <w:bottom w:val="single" w:sz="4" w:space="0" w:color="auto"/>
              <w:right w:val="nil"/>
            </w:tcBorders>
            <w:shd w:val="clear" w:color="auto" w:fill="auto"/>
            <w:noWrap/>
            <w:vAlign w:val="bottom"/>
            <w:hideMark/>
          </w:tcPr>
          <w:p w14:paraId="79E87DDB" w14:textId="1037A255" w:rsidR="00032D9B" w:rsidRPr="00A41977" w:rsidRDefault="00032D9B" w:rsidP="006B7E70">
            <w:pPr>
              <w:spacing w:after="0" w:line="240" w:lineRule="auto"/>
              <w:rPr>
                <w:rFonts w:ascii="Times New Roman" w:eastAsia="Times New Roman" w:hAnsi="Times New Roman" w:cs="Times New Roman"/>
                <w:color w:val="000000"/>
                <w:sz w:val="20"/>
                <w:szCs w:val="20"/>
                <w:vertAlign w:val="superscript"/>
                <w:lang w:val="en-GB" w:eastAsia="nl-NL"/>
              </w:rPr>
            </w:pPr>
            <w:r w:rsidRPr="0053341C">
              <w:rPr>
                <w:rFonts w:ascii="Times New Roman" w:eastAsia="Times New Roman" w:hAnsi="Times New Roman" w:cs="Times New Roman"/>
                <w:color w:val="000000"/>
                <w:sz w:val="20"/>
                <w:szCs w:val="20"/>
                <w:lang w:val="en-GB" w:eastAsia="nl-NL"/>
              </w:rPr>
              <w:t xml:space="preserve">   Positive</w:t>
            </w:r>
            <w:r w:rsidR="00A41977">
              <w:rPr>
                <w:rFonts w:ascii="Times New Roman" w:eastAsia="Times New Roman" w:hAnsi="Times New Roman" w:cs="Times New Roman"/>
                <w:color w:val="000000"/>
                <w:sz w:val="20"/>
                <w:szCs w:val="20"/>
                <w:vertAlign w:val="superscript"/>
                <w:lang w:val="en-GB" w:eastAsia="nl-NL"/>
              </w:rPr>
              <w:t>6</w:t>
            </w:r>
          </w:p>
        </w:tc>
        <w:tc>
          <w:tcPr>
            <w:tcW w:w="1360" w:type="dxa"/>
            <w:tcBorders>
              <w:top w:val="nil"/>
              <w:left w:val="nil"/>
              <w:bottom w:val="single" w:sz="4" w:space="0" w:color="auto"/>
              <w:right w:val="nil"/>
            </w:tcBorders>
            <w:shd w:val="clear" w:color="auto" w:fill="auto"/>
            <w:noWrap/>
            <w:vAlign w:val="bottom"/>
            <w:hideMark/>
          </w:tcPr>
          <w:p w14:paraId="673129FA"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102 (92.7%)</w:t>
            </w:r>
          </w:p>
        </w:tc>
        <w:tc>
          <w:tcPr>
            <w:tcW w:w="1360" w:type="dxa"/>
            <w:tcBorders>
              <w:top w:val="nil"/>
              <w:left w:val="nil"/>
              <w:bottom w:val="single" w:sz="4" w:space="0" w:color="auto"/>
              <w:right w:val="nil"/>
            </w:tcBorders>
            <w:shd w:val="clear" w:color="auto" w:fill="auto"/>
            <w:noWrap/>
            <w:vAlign w:val="bottom"/>
            <w:hideMark/>
          </w:tcPr>
          <w:p w14:paraId="6424398E"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151 (93.8%)</w:t>
            </w:r>
          </w:p>
        </w:tc>
        <w:tc>
          <w:tcPr>
            <w:tcW w:w="1360" w:type="dxa"/>
            <w:tcBorders>
              <w:top w:val="nil"/>
              <w:left w:val="nil"/>
              <w:bottom w:val="single" w:sz="4" w:space="0" w:color="auto"/>
              <w:right w:val="nil"/>
            </w:tcBorders>
            <w:shd w:val="clear" w:color="auto" w:fill="auto"/>
            <w:noWrap/>
            <w:vAlign w:val="bottom"/>
            <w:hideMark/>
          </w:tcPr>
          <w:p w14:paraId="5CC0DF57"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143 (92.9%)</w:t>
            </w:r>
          </w:p>
        </w:tc>
        <w:tc>
          <w:tcPr>
            <w:tcW w:w="1360" w:type="dxa"/>
            <w:tcBorders>
              <w:top w:val="nil"/>
              <w:left w:val="nil"/>
              <w:bottom w:val="single" w:sz="4" w:space="0" w:color="auto"/>
              <w:right w:val="single" w:sz="4" w:space="0" w:color="auto"/>
            </w:tcBorders>
            <w:shd w:val="clear" w:color="auto" w:fill="auto"/>
            <w:noWrap/>
            <w:vAlign w:val="bottom"/>
            <w:hideMark/>
          </w:tcPr>
          <w:p w14:paraId="6E44F5E1" w14:textId="77777777" w:rsidR="00032D9B" w:rsidRPr="00032D9B" w:rsidRDefault="00032D9B" w:rsidP="006B7E70">
            <w:pPr>
              <w:spacing w:after="0" w:line="240" w:lineRule="auto"/>
              <w:rPr>
                <w:rFonts w:ascii="Times New Roman" w:eastAsia="Times New Roman" w:hAnsi="Times New Roman" w:cs="Times New Roman"/>
                <w:color w:val="000000"/>
                <w:sz w:val="20"/>
                <w:szCs w:val="20"/>
                <w:lang w:eastAsia="nl-NL"/>
              </w:rPr>
            </w:pPr>
            <w:r w:rsidRPr="00032D9B">
              <w:rPr>
                <w:rFonts w:ascii="Times New Roman" w:eastAsia="Times New Roman" w:hAnsi="Times New Roman" w:cs="Times New Roman"/>
                <w:color w:val="000000"/>
                <w:sz w:val="20"/>
                <w:szCs w:val="20"/>
                <w:lang w:eastAsia="nl-NL"/>
              </w:rPr>
              <w:t> </w:t>
            </w:r>
          </w:p>
        </w:tc>
      </w:tr>
    </w:tbl>
    <w:p w14:paraId="1BC6AB3A" w14:textId="52E1B0FE" w:rsidR="00032D9B" w:rsidRPr="00836762" w:rsidRDefault="00032D9B" w:rsidP="00F7309E">
      <w:pPr>
        <w:pStyle w:val="Heading1"/>
        <w:rPr>
          <w:lang w:val="en-US"/>
        </w:rPr>
      </w:pPr>
      <w:bookmarkStart w:id="10" w:name="_Toc137065021"/>
      <w:bookmarkStart w:id="11" w:name="_Toc146143700"/>
      <w:bookmarkStart w:id="12" w:name="_Toc149307266"/>
      <w:r w:rsidRPr="00836762">
        <w:rPr>
          <w:lang w:val="en-US"/>
        </w:rPr>
        <w:t>Supplementary Table 1. Clinicopathological and molecular characteristics by age in the PORTEC-1 trial</w:t>
      </w:r>
      <w:bookmarkEnd w:id="10"/>
      <w:bookmarkEnd w:id="11"/>
      <w:bookmarkEnd w:id="12"/>
    </w:p>
    <w:p w14:paraId="344D2164" w14:textId="77777777" w:rsidR="00DE402F" w:rsidRDefault="00DE402F" w:rsidP="00DE402F">
      <w:pPr>
        <w:pStyle w:val="NoSpacing"/>
        <w:rPr>
          <w:rFonts w:ascii="Times New Roman" w:hAnsi="Times New Roman" w:cs="Times New Roman"/>
          <w:sz w:val="20"/>
          <w:szCs w:val="20"/>
          <w:lang w:val="en-GB"/>
        </w:rPr>
      </w:pPr>
    </w:p>
    <w:p w14:paraId="40394139" w14:textId="77777777" w:rsidR="006B7E70" w:rsidRDefault="006B7E70" w:rsidP="00DE402F">
      <w:pPr>
        <w:pStyle w:val="NoSpacing"/>
        <w:rPr>
          <w:rFonts w:ascii="Times New Roman" w:hAnsi="Times New Roman" w:cs="Times New Roman"/>
          <w:sz w:val="20"/>
          <w:szCs w:val="20"/>
          <w:lang w:val="en-GB"/>
        </w:rPr>
      </w:pPr>
    </w:p>
    <w:p w14:paraId="7A333CBA" w14:textId="77777777" w:rsidR="006B7E70" w:rsidRDefault="006B7E70" w:rsidP="00DE402F">
      <w:pPr>
        <w:pStyle w:val="NoSpacing"/>
        <w:rPr>
          <w:rFonts w:ascii="Times New Roman" w:hAnsi="Times New Roman" w:cs="Times New Roman"/>
          <w:sz w:val="20"/>
          <w:szCs w:val="20"/>
          <w:lang w:val="en-GB"/>
        </w:rPr>
      </w:pPr>
    </w:p>
    <w:p w14:paraId="0B5A0BAC" w14:textId="77777777" w:rsidR="006B7E70" w:rsidRDefault="006B7E70" w:rsidP="00DE402F">
      <w:pPr>
        <w:pStyle w:val="NoSpacing"/>
        <w:rPr>
          <w:rFonts w:ascii="Times New Roman" w:hAnsi="Times New Roman" w:cs="Times New Roman"/>
          <w:sz w:val="20"/>
          <w:szCs w:val="20"/>
          <w:lang w:val="en-GB"/>
        </w:rPr>
      </w:pPr>
    </w:p>
    <w:p w14:paraId="6BD37E04" w14:textId="77777777" w:rsidR="006B7E70" w:rsidRDefault="006B7E70" w:rsidP="00DE402F">
      <w:pPr>
        <w:pStyle w:val="NoSpacing"/>
        <w:rPr>
          <w:rFonts w:ascii="Times New Roman" w:hAnsi="Times New Roman" w:cs="Times New Roman"/>
          <w:sz w:val="20"/>
          <w:szCs w:val="20"/>
          <w:lang w:val="en-GB"/>
        </w:rPr>
      </w:pPr>
    </w:p>
    <w:p w14:paraId="41F4CC62" w14:textId="77777777" w:rsidR="006B7E70" w:rsidRDefault="006B7E70" w:rsidP="00DE402F">
      <w:pPr>
        <w:pStyle w:val="NoSpacing"/>
        <w:rPr>
          <w:rFonts w:ascii="Times New Roman" w:hAnsi="Times New Roman" w:cs="Times New Roman"/>
          <w:sz w:val="20"/>
          <w:szCs w:val="20"/>
          <w:lang w:val="en-GB"/>
        </w:rPr>
      </w:pPr>
    </w:p>
    <w:p w14:paraId="6C1837D5" w14:textId="77777777" w:rsidR="006B7E70" w:rsidRDefault="006B7E70" w:rsidP="00DE402F">
      <w:pPr>
        <w:pStyle w:val="NoSpacing"/>
        <w:rPr>
          <w:rFonts w:ascii="Times New Roman" w:hAnsi="Times New Roman" w:cs="Times New Roman"/>
          <w:sz w:val="20"/>
          <w:szCs w:val="20"/>
          <w:lang w:val="en-GB"/>
        </w:rPr>
      </w:pPr>
    </w:p>
    <w:p w14:paraId="014FE88A" w14:textId="77777777" w:rsidR="006B7E70" w:rsidRDefault="006B7E70" w:rsidP="00DE402F">
      <w:pPr>
        <w:pStyle w:val="NoSpacing"/>
        <w:rPr>
          <w:rFonts w:ascii="Times New Roman" w:hAnsi="Times New Roman" w:cs="Times New Roman"/>
          <w:sz w:val="20"/>
          <w:szCs w:val="20"/>
          <w:lang w:val="en-GB"/>
        </w:rPr>
      </w:pPr>
    </w:p>
    <w:p w14:paraId="54C8D67D" w14:textId="77777777" w:rsidR="006B7E70" w:rsidRDefault="006B7E70" w:rsidP="00DE402F">
      <w:pPr>
        <w:pStyle w:val="NoSpacing"/>
        <w:rPr>
          <w:rFonts w:ascii="Times New Roman" w:hAnsi="Times New Roman" w:cs="Times New Roman"/>
          <w:sz w:val="20"/>
          <w:szCs w:val="20"/>
          <w:lang w:val="en-GB"/>
        </w:rPr>
      </w:pPr>
    </w:p>
    <w:p w14:paraId="670F96B6" w14:textId="77777777" w:rsidR="006B7E70" w:rsidRDefault="006B7E70" w:rsidP="00DE402F">
      <w:pPr>
        <w:pStyle w:val="NoSpacing"/>
        <w:rPr>
          <w:rFonts w:ascii="Times New Roman" w:hAnsi="Times New Roman" w:cs="Times New Roman"/>
          <w:sz w:val="20"/>
          <w:szCs w:val="20"/>
          <w:lang w:val="en-GB"/>
        </w:rPr>
      </w:pPr>
    </w:p>
    <w:p w14:paraId="342FC877" w14:textId="77777777" w:rsidR="006B7E70" w:rsidRDefault="006B7E70" w:rsidP="00DE402F">
      <w:pPr>
        <w:pStyle w:val="NoSpacing"/>
        <w:rPr>
          <w:rFonts w:ascii="Times New Roman" w:hAnsi="Times New Roman" w:cs="Times New Roman"/>
          <w:sz w:val="20"/>
          <w:szCs w:val="20"/>
          <w:lang w:val="en-GB"/>
        </w:rPr>
      </w:pPr>
    </w:p>
    <w:p w14:paraId="78CE9C91" w14:textId="77777777" w:rsidR="006B7E70" w:rsidRDefault="006B7E70" w:rsidP="00DE402F">
      <w:pPr>
        <w:pStyle w:val="NoSpacing"/>
        <w:rPr>
          <w:rFonts w:ascii="Times New Roman" w:hAnsi="Times New Roman" w:cs="Times New Roman"/>
          <w:sz w:val="20"/>
          <w:szCs w:val="20"/>
          <w:lang w:val="en-GB"/>
        </w:rPr>
      </w:pPr>
    </w:p>
    <w:p w14:paraId="5EB0DFBB" w14:textId="77777777" w:rsidR="006B7E70" w:rsidRDefault="006B7E70" w:rsidP="00DE402F">
      <w:pPr>
        <w:pStyle w:val="NoSpacing"/>
        <w:rPr>
          <w:rFonts w:ascii="Times New Roman" w:hAnsi="Times New Roman" w:cs="Times New Roman"/>
          <w:sz w:val="20"/>
          <w:szCs w:val="20"/>
          <w:lang w:val="en-GB"/>
        </w:rPr>
      </w:pPr>
    </w:p>
    <w:p w14:paraId="6B146078" w14:textId="77777777" w:rsidR="006B7E70" w:rsidRDefault="006B7E70" w:rsidP="00DE402F">
      <w:pPr>
        <w:pStyle w:val="NoSpacing"/>
        <w:rPr>
          <w:rFonts w:ascii="Times New Roman" w:hAnsi="Times New Roman" w:cs="Times New Roman"/>
          <w:sz w:val="20"/>
          <w:szCs w:val="20"/>
          <w:lang w:val="en-GB"/>
        </w:rPr>
      </w:pPr>
    </w:p>
    <w:p w14:paraId="4B103002" w14:textId="77777777" w:rsidR="006B7E70" w:rsidRDefault="006B7E70" w:rsidP="00DE402F">
      <w:pPr>
        <w:pStyle w:val="NoSpacing"/>
        <w:rPr>
          <w:rFonts w:ascii="Times New Roman" w:hAnsi="Times New Roman" w:cs="Times New Roman"/>
          <w:sz w:val="20"/>
          <w:szCs w:val="20"/>
          <w:lang w:val="en-GB"/>
        </w:rPr>
      </w:pPr>
    </w:p>
    <w:p w14:paraId="17343E0F" w14:textId="77777777" w:rsidR="006B7E70" w:rsidRDefault="006B7E70" w:rsidP="00DE402F">
      <w:pPr>
        <w:pStyle w:val="NoSpacing"/>
        <w:rPr>
          <w:rFonts w:ascii="Times New Roman" w:hAnsi="Times New Roman" w:cs="Times New Roman"/>
          <w:sz w:val="20"/>
          <w:szCs w:val="20"/>
          <w:lang w:val="en-GB"/>
        </w:rPr>
      </w:pPr>
    </w:p>
    <w:p w14:paraId="3A1FC424" w14:textId="77777777" w:rsidR="006B7E70" w:rsidRDefault="006B7E70" w:rsidP="00DE402F">
      <w:pPr>
        <w:pStyle w:val="NoSpacing"/>
        <w:rPr>
          <w:rFonts w:ascii="Times New Roman" w:hAnsi="Times New Roman" w:cs="Times New Roman"/>
          <w:sz w:val="20"/>
          <w:szCs w:val="20"/>
          <w:lang w:val="en-GB"/>
        </w:rPr>
      </w:pPr>
    </w:p>
    <w:p w14:paraId="77957F75" w14:textId="77777777" w:rsidR="006B7E70" w:rsidRDefault="006B7E70" w:rsidP="00DE402F">
      <w:pPr>
        <w:pStyle w:val="NoSpacing"/>
        <w:rPr>
          <w:rFonts w:ascii="Times New Roman" w:hAnsi="Times New Roman" w:cs="Times New Roman"/>
          <w:sz w:val="20"/>
          <w:szCs w:val="20"/>
          <w:lang w:val="en-GB"/>
        </w:rPr>
      </w:pPr>
    </w:p>
    <w:p w14:paraId="4E7890DC" w14:textId="77777777" w:rsidR="006B7E70" w:rsidRDefault="006B7E70" w:rsidP="00DE402F">
      <w:pPr>
        <w:pStyle w:val="NoSpacing"/>
        <w:rPr>
          <w:rFonts w:ascii="Times New Roman" w:hAnsi="Times New Roman" w:cs="Times New Roman"/>
          <w:sz w:val="20"/>
          <w:szCs w:val="20"/>
          <w:lang w:val="en-GB"/>
        </w:rPr>
      </w:pPr>
    </w:p>
    <w:p w14:paraId="11FB2CE5" w14:textId="77777777" w:rsidR="006B7E70" w:rsidRDefault="006B7E70" w:rsidP="00DE402F">
      <w:pPr>
        <w:pStyle w:val="NoSpacing"/>
        <w:rPr>
          <w:rFonts w:ascii="Times New Roman" w:hAnsi="Times New Roman" w:cs="Times New Roman"/>
          <w:sz w:val="20"/>
          <w:szCs w:val="20"/>
          <w:lang w:val="en-GB"/>
        </w:rPr>
      </w:pPr>
    </w:p>
    <w:p w14:paraId="7A88EC01" w14:textId="77777777" w:rsidR="006B7E70" w:rsidRDefault="006B7E70" w:rsidP="00DE402F">
      <w:pPr>
        <w:pStyle w:val="NoSpacing"/>
        <w:rPr>
          <w:rFonts w:ascii="Times New Roman" w:hAnsi="Times New Roman" w:cs="Times New Roman"/>
          <w:sz w:val="20"/>
          <w:szCs w:val="20"/>
          <w:lang w:val="en-GB"/>
        </w:rPr>
      </w:pPr>
    </w:p>
    <w:p w14:paraId="58ED6CD0" w14:textId="77777777" w:rsidR="006B7E70" w:rsidRDefault="006B7E70" w:rsidP="00DE402F">
      <w:pPr>
        <w:pStyle w:val="NoSpacing"/>
        <w:rPr>
          <w:rFonts w:ascii="Times New Roman" w:hAnsi="Times New Roman" w:cs="Times New Roman"/>
          <w:sz w:val="20"/>
          <w:szCs w:val="20"/>
          <w:lang w:val="en-GB"/>
        </w:rPr>
      </w:pPr>
    </w:p>
    <w:p w14:paraId="533B3C51" w14:textId="77777777" w:rsidR="006B7E70" w:rsidRDefault="006B7E70" w:rsidP="00DE402F">
      <w:pPr>
        <w:pStyle w:val="NoSpacing"/>
        <w:rPr>
          <w:rFonts w:ascii="Times New Roman" w:hAnsi="Times New Roman" w:cs="Times New Roman"/>
          <w:sz w:val="20"/>
          <w:szCs w:val="20"/>
          <w:lang w:val="en-GB"/>
        </w:rPr>
      </w:pPr>
    </w:p>
    <w:p w14:paraId="0424C93F" w14:textId="77777777" w:rsidR="006B7E70" w:rsidRDefault="006B7E70" w:rsidP="00DE402F">
      <w:pPr>
        <w:pStyle w:val="NoSpacing"/>
        <w:rPr>
          <w:rFonts w:ascii="Times New Roman" w:hAnsi="Times New Roman" w:cs="Times New Roman"/>
          <w:sz w:val="20"/>
          <w:szCs w:val="20"/>
          <w:lang w:val="en-GB"/>
        </w:rPr>
      </w:pPr>
    </w:p>
    <w:p w14:paraId="1D1DF91B" w14:textId="77777777" w:rsidR="006B7E70" w:rsidRDefault="006B7E70" w:rsidP="00DE402F">
      <w:pPr>
        <w:pStyle w:val="NoSpacing"/>
        <w:rPr>
          <w:rFonts w:ascii="Times New Roman" w:hAnsi="Times New Roman" w:cs="Times New Roman"/>
          <w:sz w:val="20"/>
          <w:szCs w:val="20"/>
          <w:lang w:val="en-GB"/>
        </w:rPr>
      </w:pPr>
    </w:p>
    <w:p w14:paraId="7BC17FE7" w14:textId="77777777" w:rsidR="006B4C91" w:rsidRDefault="006B4C91" w:rsidP="00DE402F">
      <w:pPr>
        <w:pStyle w:val="NoSpacing"/>
        <w:rPr>
          <w:rFonts w:ascii="Times New Roman" w:hAnsi="Times New Roman" w:cs="Times New Roman"/>
          <w:sz w:val="20"/>
          <w:szCs w:val="20"/>
          <w:lang w:val="en-GB"/>
        </w:rPr>
      </w:pPr>
    </w:p>
    <w:p w14:paraId="557B7D3F" w14:textId="77777777" w:rsidR="006B4C91" w:rsidRDefault="006B4C91" w:rsidP="00DE402F">
      <w:pPr>
        <w:pStyle w:val="NoSpacing"/>
        <w:rPr>
          <w:rFonts w:ascii="Times New Roman" w:hAnsi="Times New Roman" w:cs="Times New Roman"/>
          <w:sz w:val="20"/>
          <w:szCs w:val="20"/>
          <w:lang w:val="en-GB"/>
        </w:rPr>
      </w:pPr>
    </w:p>
    <w:p w14:paraId="4EFFC6C8" w14:textId="77777777" w:rsidR="006B4C91" w:rsidRDefault="006B4C91" w:rsidP="00DE402F">
      <w:pPr>
        <w:pStyle w:val="NoSpacing"/>
        <w:rPr>
          <w:rFonts w:ascii="Times New Roman" w:hAnsi="Times New Roman" w:cs="Times New Roman"/>
          <w:sz w:val="20"/>
          <w:szCs w:val="20"/>
          <w:lang w:val="en-GB"/>
        </w:rPr>
      </w:pPr>
    </w:p>
    <w:p w14:paraId="291FE057" w14:textId="77777777" w:rsidR="006B7E70" w:rsidRDefault="006B7E70" w:rsidP="00DE402F">
      <w:pPr>
        <w:pStyle w:val="NoSpacing"/>
        <w:rPr>
          <w:rFonts w:ascii="Times New Roman" w:hAnsi="Times New Roman" w:cs="Times New Roman"/>
          <w:sz w:val="20"/>
          <w:szCs w:val="20"/>
          <w:lang w:val="en-GB"/>
        </w:rPr>
      </w:pPr>
    </w:p>
    <w:p w14:paraId="1E77752E" w14:textId="77777777" w:rsidR="006B7E70" w:rsidRDefault="006B7E70" w:rsidP="00DE402F">
      <w:pPr>
        <w:pStyle w:val="NoSpacing"/>
        <w:rPr>
          <w:rFonts w:ascii="Times New Roman" w:hAnsi="Times New Roman" w:cs="Times New Roman"/>
          <w:sz w:val="20"/>
          <w:szCs w:val="20"/>
          <w:lang w:val="en-GB"/>
        </w:rPr>
      </w:pPr>
    </w:p>
    <w:p w14:paraId="4C24F288" w14:textId="77777777" w:rsidR="006B7E70" w:rsidRDefault="006B7E70" w:rsidP="00DE402F">
      <w:pPr>
        <w:pStyle w:val="NoSpacing"/>
        <w:rPr>
          <w:rFonts w:ascii="Times New Roman" w:hAnsi="Times New Roman" w:cs="Times New Roman"/>
          <w:sz w:val="20"/>
          <w:szCs w:val="20"/>
          <w:lang w:val="en-GB"/>
        </w:rPr>
      </w:pPr>
    </w:p>
    <w:p w14:paraId="7B85A801" w14:textId="77777777" w:rsidR="006B7E70" w:rsidRDefault="006B7E70" w:rsidP="00DE402F">
      <w:pPr>
        <w:pStyle w:val="NoSpacing"/>
        <w:rPr>
          <w:rFonts w:ascii="Times New Roman" w:hAnsi="Times New Roman" w:cs="Times New Roman"/>
          <w:sz w:val="20"/>
          <w:szCs w:val="20"/>
          <w:lang w:val="en-GB"/>
        </w:rPr>
      </w:pPr>
    </w:p>
    <w:p w14:paraId="1EE9802A" w14:textId="77777777" w:rsidR="006B7E70" w:rsidRDefault="006B7E70" w:rsidP="00DE402F">
      <w:pPr>
        <w:pStyle w:val="NoSpacing"/>
        <w:rPr>
          <w:rFonts w:ascii="Times New Roman" w:hAnsi="Times New Roman" w:cs="Times New Roman"/>
          <w:sz w:val="20"/>
          <w:szCs w:val="20"/>
          <w:lang w:val="en-GB"/>
        </w:rPr>
      </w:pPr>
    </w:p>
    <w:p w14:paraId="4EA7029A" w14:textId="77777777" w:rsidR="006B7E70" w:rsidRDefault="006B7E70" w:rsidP="00DE402F">
      <w:pPr>
        <w:pStyle w:val="NoSpacing"/>
        <w:rPr>
          <w:rFonts w:ascii="Times New Roman" w:hAnsi="Times New Roman" w:cs="Times New Roman"/>
          <w:sz w:val="20"/>
          <w:szCs w:val="20"/>
          <w:lang w:val="en-GB"/>
        </w:rPr>
      </w:pPr>
    </w:p>
    <w:p w14:paraId="45D501F6" w14:textId="77777777" w:rsidR="006B7E70" w:rsidRDefault="006B7E70" w:rsidP="00DE402F">
      <w:pPr>
        <w:pStyle w:val="NoSpacing"/>
        <w:rPr>
          <w:rFonts w:ascii="Times New Roman" w:hAnsi="Times New Roman" w:cs="Times New Roman"/>
          <w:sz w:val="20"/>
          <w:szCs w:val="20"/>
          <w:lang w:val="en-GB"/>
        </w:rPr>
      </w:pPr>
    </w:p>
    <w:p w14:paraId="3A9C548C" w14:textId="4F7D08A0" w:rsidR="00DE402F" w:rsidRPr="0053341C" w:rsidRDefault="00DE402F" w:rsidP="00DE402F">
      <w:pPr>
        <w:pStyle w:val="NoSpacing"/>
        <w:rPr>
          <w:rFonts w:ascii="Times New Roman" w:hAnsi="Times New Roman" w:cs="Times New Roman"/>
          <w:sz w:val="20"/>
          <w:szCs w:val="20"/>
          <w:lang w:val="en-GB"/>
        </w:rPr>
      </w:pPr>
      <w:r w:rsidRPr="0053341C">
        <w:rPr>
          <w:rFonts w:ascii="Times New Roman" w:hAnsi="Times New Roman" w:cs="Times New Roman"/>
          <w:sz w:val="20"/>
          <w:szCs w:val="20"/>
          <w:lang w:val="en-GB"/>
        </w:rPr>
        <w:t xml:space="preserve">Data are n (%). Definition of abbreviations: </w:t>
      </w:r>
      <w:r w:rsidR="00A4759B">
        <w:rPr>
          <w:rFonts w:ascii="Times New Roman" w:hAnsi="Times New Roman" w:cs="Times New Roman"/>
          <w:sz w:val="20"/>
          <w:szCs w:val="20"/>
          <w:lang w:val="en-GB"/>
        </w:rPr>
        <w:t xml:space="preserve">RT = radiotherapy. </w:t>
      </w:r>
      <w:r w:rsidRPr="0053341C">
        <w:rPr>
          <w:rFonts w:ascii="Times New Roman" w:hAnsi="Times New Roman" w:cs="Times New Roman"/>
          <w:sz w:val="20"/>
          <w:szCs w:val="20"/>
          <w:lang w:val="en-GB"/>
        </w:rPr>
        <w:t xml:space="preserve">EEC = endometrioid endometrial cancer. NEEC = non-endometrioid endometrial cancer. </w:t>
      </w:r>
      <w:r w:rsidRPr="0053341C">
        <w:rPr>
          <w:rFonts w:ascii="Times New Roman" w:hAnsi="Times New Roman" w:cs="Times New Roman"/>
          <w:i/>
          <w:iCs/>
          <w:sz w:val="20"/>
          <w:szCs w:val="20"/>
          <w:lang w:val="en-GB"/>
        </w:rPr>
        <w:t>POLE</w:t>
      </w:r>
      <w:r w:rsidRPr="0053341C">
        <w:rPr>
          <w:rFonts w:ascii="Times New Roman" w:hAnsi="Times New Roman" w:cs="Times New Roman"/>
          <w:sz w:val="20"/>
          <w:szCs w:val="20"/>
          <w:lang w:val="en-GB"/>
        </w:rPr>
        <w:t xml:space="preserve">mut = </w:t>
      </w:r>
      <w:r w:rsidRPr="0053341C">
        <w:rPr>
          <w:rFonts w:ascii="Times New Roman" w:hAnsi="Times New Roman" w:cs="Times New Roman"/>
          <w:i/>
          <w:iCs/>
          <w:sz w:val="20"/>
          <w:szCs w:val="20"/>
          <w:lang w:val="en-GB"/>
        </w:rPr>
        <w:t>POLE</w:t>
      </w:r>
      <w:r w:rsidRPr="0053341C">
        <w:rPr>
          <w:rFonts w:ascii="Times New Roman" w:hAnsi="Times New Roman" w:cs="Times New Roman"/>
          <w:sz w:val="20"/>
          <w:szCs w:val="20"/>
          <w:lang w:val="en-GB"/>
        </w:rPr>
        <w:t xml:space="preserve">-ultramutated. MMRd = mismatch-repair deficient. p53abn = p53 abnormal. NSMP = no specific molecular profile. </w:t>
      </w:r>
    </w:p>
    <w:p w14:paraId="1A64485E" w14:textId="1B1F86E1" w:rsidR="00DE402F" w:rsidRPr="0053341C" w:rsidRDefault="00DE402F" w:rsidP="00DE402F">
      <w:pPr>
        <w:pStyle w:val="NoSpacing"/>
        <w:rPr>
          <w:rFonts w:ascii="Times New Roman" w:hAnsi="Times New Roman" w:cs="Times New Roman"/>
          <w:sz w:val="20"/>
          <w:szCs w:val="20"/>
          <w:lang w:val="en-GB"/>
        </w:rPr>
      </w:pPr>
      <w:r w:rsidRPr="0053341C">
        <w:rPr>
          <w:rFonts w:ascii="Times New Roman" w:hAnsi="Times New Roman" w:cs="Times New Roman"/>
          <w:sz w:val="20"/>
          <w:szCs w:val="20"/>
          <w:lang w:val="en-GB"/>
        </w:rPr>
        <w:t>1) Mann-Whitney U test. 2) Kruskal-Wallis test. 3) 151 missing. 4) 230 missing. 5) 289 missing.</w:t>
      </w:r>
      <w:r>
        <w:rPr>
          <w:rFonts w:ascii="Times New Roman" w:hAnsi="Times New Roman" w:cs="Times New Roman"/>
          <w:sz w:val="20"/>
          <w:szCs w:val="20"/>
          <w:lang w:val="en-GB"/>
        </w:rPr>
        <w:t xml:space="preserve"> 6) </w:t>
      </w:r>
      <w:r w:rsidRPr="00A41977">
        <w:rPr>
          <w:rFonts w:ascii="Times New Roman" w:hAnsi="Times New Roman" w:cs="Times New Roman"/>
          <w:sz w:val="20"/>
          <w:szCs w:val="20"/>
          <w:lang w:val="en-GB"/>
        </w:rPr>
        <w:t xml:space="preserve">&gt;10% nuclear ER expression </w:t>
      </w:r>
      <w:r w:rsidR="00477DC7">
        <w:rPr>
          <w:rFonts w:ascii="Times New Roman" w:hAnsi="Times New Roman" w:cs="Times New Roman"/>
          <w:sz w:val="20"/>
          <w:szCs w:val="20"/>
          <w:lang w:val="en-GB"/>
        </w:rPr>
        <w:t>was</w:t>
      </w:r>
      <w:r w:rsidRPr="00A41977">
        <w:rPr>
          <w:rFonts w:ascii="Times New Roman" w:hAnsi="Times New Roman" w:cs="Times New Roman"/>
          <w:sz w:val="20"/>
          <w:szCs w:val="20"/>
          <w:lang w:val="en-GB"/>
        </w:rPr>
        <w:t xml:space="preserve"> considered ER positive.</w:t>
      </w:r>
    </w:p>
    <w:p w14:paraId="037C9A91" w14:textId="5E425EF3" w:rsidR="00032D9B" w:rsidRPr="0053341C" w:rsidRDefault="00032D9B" w:rsidP="000A02EC">
      <w:pPr>
        <w:spacing w:line="360" w:lineRule="auto"/>
        <w:rPr>
          <w:b/>
          <w:bCs/>
          <w:lang w:val="en-GB"/>
        </w:rPr>
      </w:pPr>
    </w:p>
    <w:p w14:paraId="33418BE9" w14:textId="74A1383E" w:rsidR="00032D9B" w:rsidRPr="0053341C" w:rsidRDefault="00032D9B" w:rsidP="000A02EC">
      <w:pPr>
        <w:spacing w:line="360" w:lineRule="auto"/>
        <w:rPr>
          <w:b/>
          <w:bCs/>
          <w:lang w:val="en-GB"/>
        </w:rPr>
      </w:pPr>
    </w:p>
    <w:p w14:paraId="67F7911E" w14:textId="1F8709A3" w:rsidR="00032D9B" w:rsidRPr="0053341C" w:rsidRDefault="00032D9B" w:rsidP="000A02EC">
      <w:pPr>
        <w:spacing w:line="360" w:lineRule="auto"/>
        <w:rPr>
          <w:b/>
          <w:bCs/>
          <w:lang w:val="en-GB"/>
        </w:rPr>
      </w:pPr>
    </w:p>
    <w:p w14:paraId="1A896E9C" w14:textId="25651996" w:rsidR="00032D9B" w:rsidRPr="0053341C" w:rsidRDefault="00032D9B" w:rsidP="000A02EC">
      <w:pPr>
        <w:spacing w:line="360" w:lineRule="auto"/>
        <w:rPr>
          <w:b/>
          <w:bCs/>
          <w:lang w:val="en-GB"/>
        </w:rPr>
      </w:pPr>
    </w:p>
    <w:p w14:paraId="32934AD6" w14:textId="57AAC82F" w:rsidR="00032D9B" w:rsidRPr="0053341C" w:rsidRDefault="00032D9B" w:rsidP="000A02EC">
      <w:pPr>
        <w:spacing w:line="360" w:lineRule="auto"/>
        <w:rPr>
          <w:b/>
          <w:bCs/>
          <w:lang w:val="en-GB"/>
        </w:rPr>
      </w:pPr>
    </w:p>
    <w:p w14:paraId="4DCEA81D" w14:textId="0C142FBD" w:rsidR="00032D9B" w:rsidRPr="0053341C" w:rsidRDefault="00032D9B" w:rsidP="000A02EC">
      <w:pPr>
        <w:spacing w:line="360" w:lineRule="auto"/>
        <w:rPr>
          <w:b/>
          <w:bCs/>
          <w:lang w:val="en-GB"/>
        </w:rPr>
      </w:pPr>
    </w:p>
    <w:p w14:paraId="7D7818E8" w14:textId="036085C7" w:rsidR="00032D9B" w:rsidRDefault="00032D9B" w:rsidP="000A02EC">
      <w:pPr>
        <w:spacing w:line="360" w:lineRule="auto"/>
        <w:rPr>
          <w:b/>
          <w:bCs/>
          <w:lang w:val="en-GB"/>
        </w:rPr>
      </w:pPr>
    </w:p>
    <w:p w14:paraId="6590DB49" w14:textId="77777777" w:rsidR="002A2F3A" w:rsidRPr="0053341C" w:rsidRDefault="002A2F3A" w:rsidP="000A02EC">
      <w:pPr>
        <w:spacing w:line="360" w:lineRule="auto"/>
        <w:rPr>
          <w:b/>
          <w:bCs/>
          <w:lang w:val="en-GB"/>
        </w:rPr>
      </w:pPr>
    </w:p>
    <w:p w14:paraId="5E338AA0" w14:textId="297521C5" w:rsidR="00032D9B" w:rsidRDefault="007B3010" w:rsidP="007B3010">
      <w:pPr>
        <w:pStyle w:val="Heading1"/>
        <w:rPr>
          <w:lang w:val="en-GB"/>
        </w:rPr>
      </w:pPr>
      <w:bookmarkStart w:id="13" w:name="_Toc137065022"/>
      <w:bookmarkStart w:id="14" w:name="_Toc146143701"/>
      <w:bookmarkStart w:id="15" w:name="_Toc149307267"/>
      <w:r w:rsidRPr="0053341C">
        <w:rPr>
          <w:lang w:val="en-GB"/>
        </w:rPr>
        <w:lastRenderedPageBreak/>
        <w:t>Supplementary Table 2. Clinicopathological and molecular characteristics by age in the PORTEC-2 trial</w:t>
      </w:r>
      <w:bookmarkEnd w:id="13"/>
      <w:bookmarkEnd w:id="14"/>
      <w:bookmarkEnd w:id="15"/>
    </w:p>
    <w:p w14:paraId="0D9D5AB0" w14:textId="77777777" w:rsidR="00DE402F" w:rsidRPr="00DE402F" w:rsidRDefault="00DE402F" w:rsidP="00DE402F">
      <w:pPr>
        <w:rPr>
          <w:lang w:val="en-GB"/>
        </w:rPr>
      </w:pPr>
    </w:p>
    <w:tbl>
      <w:tblPr>
        <w:tblW w:w="8660" w:type="dxa"/>
        <w:tblCellMar>
          <w:left w:w="70" w:type="dxa"/>
          <w:right w:w="70" w:type="dxa"/>
        </w:tblCellMar>
        <w:tblLook w:val="04A0" w:firstRow="1" w:lastRow="0" w:firstColumn="1" w:lastColumn="0" w:noHBand="0" w:noVBand="1"/>
      </w:tblPr>
      <w:tblGrid>
        <w:gridCol w:w="2920"/>
        <w:gridCol w:w="1320"/>
        <w:gridCol w:w="1320"/>
        <w:gridCol w:w="1320"/>
        <w:gridCol w:w="1780"/>
      </w:tblGrid>
      <w:tr w:rsidR="007B3010" w:rsidRPr="0053341C" w14:paraId="622075E6" w14:textId="77777777" w:rsidTr="007B3010">
        <w:trPr>
          <w:trHeight w:val="300"/>
        </w:trPr>
        <w:tc>
          <w:tcPr>
            <w:tcW w:w="2920" w:type="dxa"/>
            <w:tcBorders>
              <w:top w:val="single" w:sz="4" w:space="0" w:color="auto"/>
              <w:left w:val="single" w:sz="4" w:space="0" w:color="auto"/>
              <w:bottom w:val="nil"/>
              <w:right w:val="nil"/>
            </w:tcBorders>
            <w:shd w:val="clear" w:color="auto" w:fill="auto"/>
            <w:noWrap/>
            <w:vAlign w:val="bottom"/>
            <w:hideMark/>
          </w:tcPr>
          <w:p w14:paraId="1E8DBE74" w14:textId="7C52F0B3"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Age groups</w:t>
            </w:r>
            <w:r w:rsidR="006B7E70">
              <w:rPr>
                <w:rFonts w:ascii="Times New Roman" w:eastAsia="Times New Roman" w:hAnsi="Times New Roman" w:cs="Times New Roman"/>
                <w:b/>
                <w:bCs/>
                <w:color w:val="000000"/>
                <w:sz w:val="20"/>
                <w:szCs w:val="20"/>
                <w:lang w:val="en-GB" w:eastAsia="nl-NL"/>
              </w:rPr>
              <w:t xml:space="preserve"> (years)</w:t>
            </w:r>
          </w:p>
        </w:tc>
        <w:tc>
          <w:tcPr>
            <w:tcW w:w="1320" w:type="dxa"/>
            <w:tcBorders>
              <w:top w:val="single" w:sz="4" w:space="0" w:color="auto"/>
              <w:left w:val="nil"/>
              <w:bottom w:val="nil"/>
              <w:right w:val="nil"/>
            </w:tcBorders>
            <w:shd w:val="clear" w:color="auto" w:fill="auto"/>
            <w:noWrap/>
            <w:vAlign w:val="bottom"/>
            <w:hideMark/>
          </w:tcPr>
          <w:p w14:paraId="3ED0305F"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&lt;60</w:t>
            </w:r>
          </w:p>
        </w:tc>
        <w:tc>
          <w:tcPr>
            <w:tcW w:w="1320" w:type="dxa"/>
            <w:tcBorders>
              <w:top w:val="single" w:sz="4" w:space="0" w:color="auto"/>
              <w:left w:val="nil"/>
              <w:bottom w:val="nil"/>
              <w:right w:val="nil"/>
            </w:tcBorders>
            <w:shd w:val="clear" w:color="auto" w:fill="auto"/>
            <w:noWrap/>
            <w:vAlign w:val="bottom"/>
            <w:hideMark/>
          </w:tcPr>
          <w:p w14:paraId="53DC8A3F"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60-&lt;70</w:t>
            </w:r>
          </w:p>
        </w:tc>
        <w:tc>
          <w:tcPr>
            <w:tcW w:w="1320" w:type="dxa"/>
            <w:tcBorders>
              <w:top w:val="single" w:sz="4" w:space="0" w:color="auto"/>
              <w:left w:val="nil"/>
              <w:bottom w:val="nil"/>
              <w:right w:val="nil"/>
            </w:tcBorders>
            <w:shd w:val="clear" w:color="auto" w:fill="auto"/>
            <w:noWrap/>
            <w:vAlign w:val="bottom"/>
            <w:hideMark/>
          </w:tcPr>
          <w:p w14:paraId="4EB075A4"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≥70</w:t>
            </w:r>
          </w:p>
        </w:tc>
        <w:tc>
          <w:tcPr>
            <w:tcW w:w="1780" w:type="dxa"/>
            <w:tcBorders>
              <w:top w:val="single" w:sz="4" w:space="0" w:color="auto"/>
              <w:left w:val="nil"/>
              <w:bottom w:val="nil"/>
              <w:right w:val="single" w:sz="4" w:space="0" w:color="auto"/>
            </w:tcBorders>
            <w:shd w:val="clear" w:color="auto" w:fill="auto"/>
            <w:noWrap/>
            <w:vAlign w:val="bottom"/>
            <w:hideMark/>
          </w:tcPr>
          <w:p w14:paraId="629DFDDA" w14:textId="7EBDF4F9"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p value</w:t>
            </w:r>
          </w:p>
        </w:tc>
      </w:tr>
      <w:tr w:rsidR="007B3010" w:rsidRPr="0053341C" w14:paraId="6C94E757" w14:textId="77777777" w:rsidTr="007B3010">
        <w:trPr>
          <w:trHeight w:val="300"/>
        </w:trPr>
        <w:tc>
          <w:tcPr>
            <w:tcW w:w="2920" w:type="dxa"/>
            <w:tcBorders>
              <w:top w:val="nil"/>
              <w:left w:val="single" w:sz="4" w:space="0" w:color="auto"/>
              <w:bottom w:val="single" w:sz="4" w:space="0" w:color="auto"/>
              <w:right w:val="nil"/>
            </w:tcBorders>
            <w:shd w:val="clear" w:color="auto" w:fill="auto"/>
            <w:noWrap/>
            <w:vAlign w:val="bottom"/>
            <w:hideMark/>
          </w:tcPr>
          <w:p w14:paraId="1257F35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c>
          <w:tcPr>
            <w:tcW w:w="1320" w:type="dxa"/>
            <w:tcBorders>
              <w:top w:val="nil"/>
              <w:left w:val="nil"/>
              <w:bottom w:val="single" w:sz="4" w:space="0" w:color="auto"/>
              <w:right w:val="nil"/>
            </w:tcBorders>
            <w:shd w:val="clear" w:color="auto" w:fill="auto"/>
            <w:noWrap/>
            <w:vAlign w:val="bottom"/>
            <w:hideMark/>
          </w:tcPr>
          <w:p w14:paraId="53200576"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n=32</w:t>
            </w:r>
          </w:p>
        </w:tc>
        <w:tc>
          <w:tcPr>
            <w:tcW w:w="1320" w:type="dxa"/>
            <w:tcBorders>
              <w:top w:val="nil"/>
              <w:left w:val="nil"/>
              <w:bottom w:val="single" w:sz="4" w:space="0" w:color="auto"/>
              <w:right w:val="nil"/>
            </w:tcBorders>
            <w:shd w:val="clear" w:color="auto" w:fill="auto"/>
            <w:noWrap/>
            <w:vAlign w:val="bottom"/>
            <w:hideMark/>
          </w:tcPr>
          <w:p w14:paraId="0E7E4F12"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n=200</w:t>
            </w:r>
          </w:p>
        </w:tc>
        <w:tc>
          <w:tcPr>
            <w:tcW w:w="1320" w:type="dxa"/>
            <w:tcBorders>
              <w:top w:val="nil"/>
              <w:left w:val="nil"/>
              <w:bottom w:val="single" w:sz="4" w:space="0" w:color="auto"/>
              <w:right w:val="nil"/>
            </w:tcBorders>
            <w:shd w:val="clear" w:color="auto" w:fill="auto"/>
            <w:noWrap/>
            <w:vAlign w:val="bottom"/>
            <w:hideMark/>
          </w:tcPr>
          <w:p w14:paraId="1EAC18CB"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n=195</w:t>
            </w:r>
          </w:p>
        </w:tc>
        <w:tc>
          <w:tcPr>
            <w:tcW w:w="1780" w:type="dxa"/>
            <w:tcBorders>
              <w:top w:val="nil"/>
              <w:left w:val="nil"/>
              <w:bottom w:val="single" w:sz="4" w:space="0" w:color="auto"/>
              <w:right w:val="single" w:sz="4" w:space="0" w:color="auto"/>
            </w:tcBorders>
            <w:shd w:val="clear" w:color="auto" w:fill="auto"/>
            <w:noWrap/>
            <w:vAlign w:val="bottom"/>
            <w:hideMark/>
          </w:tcPr>
          <w:p w14:paraId="4B3FE083"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 </w:t>
            </w:r>
          </w:p>
        </w:tc>
      </w:tr>
      <w:tr w:rsidR="007B3010" w:rsidRPr="0053341C" w14:paraId="595005EA"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277BE812"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Randomly allocated treatment</w:t>
            </w:r>
          </w:p>
        </w:tc>
        <w:tc>
          <w:tcPr>
            <w:tcW w:w="1320" w:type="dxa"/>
            <w:tcBorders>
              <w:top w:val="nil"/>
              <w:left w:val="nil"/>
              <w:bottom w:val="nil"/>
              <w:right w:val="nil"/>
            </w:tcBorders>
            <w:shd w:val="clear" w:color="auto" w:fill="auto"/>
            <w:noWrap/>
            <w:vAlign w:val="bottom"/>
            <w:hideMark/>
          </w:tcPr>
          <w:p w14:paraId="5782D0EE"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509624DC"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2B10E311"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41E3C02B"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0.38</w:t>
            </w:r>
            <w:r w:rsidRPr="0053341C">
              <w:rPr>
                <w:rFonts w:ascii="Times New Roman" w:eastAsia="Times New Roman" w:hAnsi="Times New Roman" w:cs="Times New Roman"/>
                <w:b/>
                <w:bCs/>
                <w:color w:val="000000"/>
                <w:sz w:val="20"/>
                <w:szCs w:val="20"/>
                <w:vertAlign w:val="superscript"/>
                <w:lang w:val="en-GB" w:eastAsia="nl-NL"/>
              </w:rPr>
              <w:t>1</w:t>
            </w:r>
          </w:p>
        </w:tc>
      </w:tr>
      <w:tr w:rsidR="007B3010" w:rsidRPr="0053341C" w14:paraId="598ECB8A"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DFFC91B"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External beam RT</w:t>
            </w:r>
          </w:p>
        </w:tc>
        <w:tc>
          <w:tcPr>
            <w:tcW w:w="1320" w:type="dxa"/>
            <w:tcBorders>
              <w:top w:val="nil"/>
              <w:left w:val="nil"/>
              <w:bottom w:val="nil"/>
              <w:right w:val="nil"/>
            </w:tcBorders>
            <w:shd w:val="clear" w:color="auto" w:fill="auto"/>
            <w:noWrap/>
            <w:vAlign w:val="bottom"/>
            <w:hideMark/>
          </w:tcPr>
          <w:p w14:paraId="08D30E9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16 (50.0%)</w:t>
            </w:r>
          </w:p>
        </w:tc>
        <w:tc>
          <w:tcPr>
            <w:tcW w:w="1320" w:type="dxa"/>
            <w:tcBorders>
              <w:top w:val="nil"/>
              <w:left w:val="nil"/>
              <w:bottom w:val="nil"/>
              <w:right w:val="nil"/>
            </w:tcBorders>
            <w:shd w:val="clear" w:color="auto" w:fill="auto"/>
            <w:noWrap/>
            <w:vAlign w:val="bottom"/>
            <w:hideMark/>
          </w:tcPr>
          <w:p w14:paraId="23E475F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107 (53.5%)</w:t>
            </w:r>
          </w:p>
        </w:tc>
        <w:tc>
          <w:tcPr>
            <w:tcW w:w="1320" w:type="dxa"/>
            <w:tcBorders>
              <w:top w:val="nil"/>
              <w:left w:val="nil"/>
              <w:bottom w:val="nil"/>
              <w:right w:val="nil"/>
            </w:tcBorders>
            <w:shd w:val="clear" w:color="auto" w:fill="auto"/>
            <w:noWrap/>
            <w:vAlign w:val="bottom"/>
            <w:hideMark/>
          </w:tcPr>
          <w:p w14:paraId="0E8EC29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91 (46.7%)</w:t>
            </w:r>
          </w:p>
        </w:tc>
        <w:tc>
          <w:tcPr>
            <w:tcW w:w="1780" w:type="dxa"/>
            <w:tcBorders>
              <w:top w:val="nil"/>
              <w:left w:val="nil"/>
              <w:bottom w:val="nil"/>
              <w:right w:val="single" w:sz="4" w:space="0" w:color="auto"/>
            </w:tcBorders>
            <w:shd w:val="clear" w:color="auto" w:fill="auto"/>
            <w:noWrap/>
            <w:vAlign w:val="bottom"/>
            <w:hideMark/>
          </w:tcPr>
          <w:p w14:paraId="15CC4C1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093CA58"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5623632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Brachytherapy</w:t>
            </w:r>
          </w:p>
        </w:tc>
        <w:tc>
          <w:tcPr>
            <w:tcW w:w="1320" w:type="dxa"/>
            <w:tcBorders>
              <w:top w:val="nil"/>
              <w:left w:val="nil"/>
              <w:bottom w:val="nil"/>
              <w:right w:val="nil"/>
            </w:tcBorders>
            <w:shd w:val="clear" w:color="auto" w:fill="auto"/>
            <w:noWrap/>
            <w:vAlign w:val="bottom"/>
            <w:hideMark/>
          </w:tcPr>
          <w:p w14:paraId="269F5F81"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16 (50.0%)</w:t>
            </w:r>
          </w:p>
        </w:tc>
        <w:tc>
          <w:tcPr>
            <w:tcW w:w="1320" w:type="dxa"/>
            <w:tcBorders>
              <w:top w:val="nil"/>
              <w:left w:val="nil"/>
              <w:bottom w:val="nil"/>
              <w:right w:val="nil"/>
            </w:tcBorders>
            <w:shd w:val="clear" w:color="auto" w:fill="auto"/>
            <w:noWrap/>
            <w:vAlign w:val="bottom"/>
            <w:hideMark/>
          </w:tcPr>
          <w:p w14:paraId="4B1FA244"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93 (46.5%)</w:t>
            </w:r>
          </w:p>
        </w:tc>
        <w:tc>
          <w:tcPr>
            <w:tcW w:w="1320" w:type="dxa"/>
            <w:tcBorders>
              <w:top w:val="nil"/>
              <w:left w:val="nil"/>
              <w:bottom w:val="nil"/>
              <w:right w:val="nil"/>
            </w:tcBorders>
            <w:shd w:val="clear" w:color="auto" w:fill="auto"/>
            <w:noWrap/>
            <w:vAlign w:val="bottom"/>
            <w:hideMark/>
          </w:tcPr>
          <w:p w14:paraId="17A0F2B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104 (53.3%)</w:t>
            </w:r>
          </w:p>
        </w:tc>
        <w:tc>
          <w:tcPr>
            <w:tcW w:w="1780" w:type="dxa"/>
            <w:tcBorders>
              <w:top w:val="nil"/>
              <w:left w:val="nil"/>
              <w:bottom w:val="nil"/>
              <w:right w:val="single" w:sz="4" w:space="0" w:color="auto"/>
            </w:tcBorders>
            <w:shd w:val="clear" w:color="auto" w:fill="auto"/>
            <w:noWrap/>
            <w:vAlign w:val="bottom"/>
            <w:hideMark/>
          </w:tcPr>
          <w:p w14:paraId="148BC1B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0FE2F5F"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50C680A3" w14:textId="37D62336"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Stage</w:t>
            </w:r>
            <w:r w:rsidR="0002655F">
              <w:rPr>
                <w:rFonts w:ascii="Times New Roman" w:eastAsia="Times New Roman" w:hAnsi="Times New Roman" w:cs="Times New Roman"/>
                <w:b/>
                <w:bCs/>
                <w:color w:val="000000"/>
                <w:sz w:val="20"/>
                <w:szCs w:val="20"/>
                <w:lang w:val="en-GB" w:eastAsia="nl-NL"/>
              </w:rPr>
              <w:t xml:space="preserve"> (FIGO 2009)</w:t>
            </w:r>
          </w:p>
        </w:tc>
        <w:tc>
          <w:tcPr>
            <w:tcW w:w="1320" w:type="dxa"/>
            <w:tcBorders>
              <w:top w:val="nil"/>
              <w:left w:val="nil"/>
              <w:bottom w:val="nil"/>
              <w:right w:val="nil"/>
            </w:tcBorders>
            <w:shd w:val="clear" w:color="auto" w:fill="auto"/>
            <w:noWrap/>
            <w:vAlign w:val="bottom"/>
            <w:hideMark/>
          </w:tcPr>
          <w:p w14:paraId="6A41D1EB"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7A1F0301"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12C32704"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63BC7C6C"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0.005</w:t>
            </w:r>
            <w:r w:rsidRPr="0053341C">
              <w:rPr>
                <w:rFonts w:ascii="Times New Roman" w:eastAsia="Times New Roman" w:hAnsi="Times New Roman" w:cs="Times New Roman"/>
                <w:b/>
                <w:bCs/>
                <w:color w:val="000000"/>
                <w:sz w:val="20"/>
                <w:szCs w:val="20"/>
                <w:vertAlign w:val="superscript"/>
                <w:lang w:val="en-GB" w:eastAsia="nl-NL"/>
              </w:rPr>
              <w:t>2</w:t>
            </w:r>
          </w:p>
        </w:tc>
      </w:tr>
      <w:tr w:rsidR="007B3010" w:rsidRPr="0053341C" w14:paraId="5E14FD50"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426C3E2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IA</w:t>
            </w:r>
          </w:p>
        </w:tc>
        <w:tc>
          <w:tcPr>
            <w:tcW w:w="1320" w:type="dxa"/>
            <w:tcBorders>
              <w:top w:val="nil"/>
              <w:left w:val="nil"/>
              <w:bottom w:val="nil"/>
              <w:right w:val="nil"/>
            </w:tcBorders>
            <w:shd w:val="clear" w:color="auto" w:fill="auto"/>
            <w:noWrap/>
            <w:vAlign w:val="bottom"/>
            <w:hideMark/>
          </w:tcPr>
          <w:p w14:paraId="4D9A4F6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18 (56.3%)</w:t>
            </w:r>
          </w:p>
        </w:tc>
        <w:tc>
          <w:tcPr>
            <w:tcW w:w="1320" w:type="dxa"/>
            <w:tcBorders>
              <w:top w:val="nil"/>
              <w:left w:val="nil"/>
              <w:bottom w:val="nil"/>
              <w:right w:val="nil"/>
            </w:tcBorders>
            <w:shd w:val="clear" w:color="auto" w:fill="auto"/>
            <w:noWrap/>
            <w:vAlign w:val="bottom"/>
            <w:hideMark/>
          </w:tcPr>
          <w:p w14:paraId="33E5742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31 (15.5%)</w:t>
            </w:r>
          </w:p>
        </w:tc>
        <w:tc>
          <w:tcPr>
            <w:tcW w:w="1320" w:type="dxa"/>
            <w:tcBorders>
              <w:top w:val="nil"/>
              <w:left w:val="nil"/>
              <w:bottom w:val="nil"/>
              <w:right w:val="nil"/>
            </w:tcBorders>
            <w:shd w:val="clear" w:color="auto" w:fill="auto"/>
            <w:noWrap/>
            <w:vAlign w:val="bottom"/>
            <w:hideMark/>
          </w:tcPr>
          <w:p w14:paraId="04A572BB"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22 (11.3%) </w:t>
            </w:r>
          </w:p>
        </w:tc>
        <w:tc>
          <w:tcPr>
            <w:tcW w:w="1780" w:type="dxa"/>
            <w:tcBorders>
              <w:top w:val="nil"/>
              <w:left w:val="nil"/>
              <w:bottom w:val="nil"/>
              <w:right w:val="single" w:sz="4" w:space="0" w:color="auto"/>
            </w:tcBorders>
            <w:shd w:val="clear" w:color="auto" w:fill="auto"/>
            <w:noWrap/>
            <w:vAlign w:val="bottom"/>
            <w:hideMark/>
          </w:tcPr>
          <w:p w14:paraId="5A2F27C1"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2C8A98F"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646DCF9"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IB</w:t>
            </w:r>
          </w:p>
        </w:tc>
        <w:tc>
          <w:tcPr>
            <w:tcW w:w="1320" w:type="dxa"/>
            <w:tcBorders>
              <w:top w:val="nil"/>
              <w:left w:val="nil"/>
              <w:bottom w:val="nil"/>
              <w:right w:val="nil"/>
            </w:tcBorders>
            <w:shd w:val="clear" w:color="auto" w:fill="auto"/>
            <w:noWrap/>
            <w:vAlign w:val="bottom"/>
            <w:hideMark/>
          </w:tcPr>
          <w:p w14:paraId="47982069"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13 (40.6%)</w:t>
            </w:r>
          </w:p>
        </w:tc>
        <w:tc>
          <w:tcPr>
            <w:tcW w:w="1320" w:type="dxa"/>
            <w:tcBorders>
              <w:top w:val="nil"/>
              <w:left w:val="nil"/>
              <w:bottom w:val="nil"/>
              <w:right w:val="nil"/>
            </w:tcBorders>
            <w:shd w:val="clear" w:color="auto" w:fill="auto"/>
            <w:noWrap/>
            <w:vAlign w:val="bottom"/>
            <w:hideMark/>
          </w:tcPr>
          <w:p w14:paraId="322041D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168 (84.0%)</w:t>
            </w:r>
          </w:p>
        </w:tc>
        <w:tc>
          <w:tcPr>
            <w:tcW w:w="1320" w:type="dxa"/>
            <w:tcBorders>
              <w:top w:val="nil"/>
              <w:left w:val="nil"/>
              <w:bottom w:val="nil"/>
              <w:right w:val="nil"/>
            </w:tcBorders>
            <w:shd w:val="clear" w:color="auto" w:fill="auto"/>
            <w:noWrap/>
            <w:vAlign w:val="bottom"/>
            <w:hideMark/>
          </w:tcPr>
          <w:p w14:paraId="1A8A01C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170 (87.2%)</w:t>
            </w:r>
          </w:p>
        </w:tc>
        <w:tc>
          <w:tcPr>
            <w:tcW w:w="1780" w:type="dxa"/>
            <w:tcBorders>
              <w:top w:val="nil"/>
              <w:left w:val="nil"/>
              <w:bottom w:val="nil"/>
              <w:right w:val="single" w:sz="4" w:space="0" w:color="auto"/>
            </w:tcBorders>
            <w:shd w:val="clear" w:color="auto" w:fill="auto"/>
            <w:noWrap/>
            <w:vAlign w:val="bottom"/>
            <w:hideMark/>
          </w:tcPr>
          <w:p w14:paraId="3B73567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46283D6"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771DB1BB"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II</w:t>
            </w:r>
          </w:p>
        </w:tc>
        <w:tc>
          <w:tcPr>
            <w:tcW w:w="1320" w:type="dxa"/>
            <w:tcBorders>
              <w:top w:val="nil"/>
              <w:left w:val="nil"/>
              <w:bottom w:val="nil"/>
              <w:right w:val="nil"/>
            </w:tcBorders>
            <w:shd w:val="clear" w:color="auto" w:fill="auto"/>
            <w:noWrap/>
            <w:vAlign w:val="bottom"/>
            <w:hideMark/>
          </w:tcPr>
          <w:p w14:paraId="49384A8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0 (0%)</w:t>
            </w:r>
          </w:p>
        </w:tc>
        <w:tc>
          <w:tcPr>
            <w:tcW w:w="1320" w:type="dxa"/>
            <w:tcBorders>
              <w:top w:val="nil"/>
              <w:left w:val="nil"/>
              <w:bottom w:val="nil"/>
              <w:right w:val="nil"/>
            </w:tcBorders>
            <w:shd w:val="clear" w:color="auto" w:fill="auto"/>
            <w:noWrap/>
            <w:vAlign w:val="bottom"/>
            <w:hideMark/>
          </w:tcPr>
          <w:p w14:paraId="0F8FA64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 (0.5%)</w:t>
            </w:r>
          </w:p>
        </w:tc>
        <w:tc>
          <w:tcPr>
            <w:tcW w:w="1320" w:type="dxa"/>
            <w:tcBorders>
              <w:top w:val="nil"/>
              <w:left w:val="nil"/>
              <w:bottom w:val="nil"/>
              <w:right w:val="nil"/>
            </w:tcBorders>
            <w:shd w:val="clear" w:color="auto" w:fill="auto"/>
            <w:noWrap/>
            <w:vAlign w:val="bottom"/>
            <w:hideMark/>
          </w:tcPr>
          <w:p w14:paraId="14EA18E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1 (0.5%) </w:t>
            </w:r>
          </w:p>
        </w:tc>
        <w:tc>
          <w:tcPr>
            <w:tcW w:w="1780" w:type="dxa"/>
            <w:tcBorders>
              <w:top w:val="nil"/>
              <w:left w:val="nil"/>
              <w:bottom w:val="nil"/>
              <w:right w:val="single" w:sz="4" w:space="0" w:color="auto"/>
            </w:tcBorders>
            <w:shd w:val="clear" w:color="auto" w:fill="auto"/>
            <w:noWrap/>
            <w:vAlign w:val="bottom"/>
            <w:hideMark/>
          </w:tcPr>
          <w:p w14:paraId="73CB2BF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215EA17D"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268922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III</w:t>
            </w:r>
          </w:p>
        </w:tc>
        <w:tc>
          <w:tcPr>
            <w:tcW w:w="1320" w:type="dxa"/>
            <w:tcBorders>
              <w:top w:val="nil"/>
              <w:left w:val="nil"/>
              <w:bottom w:val="nil"/>
              <w:right w:val="nil"/>
            </w:tcBorders>
            <w:shd w:val="clear" w:color="auto" w:fill="auto"/>
            <w:noWrap/>
            <w:vAlign w:val="bottom"/>
            <w:hideMark/>
          </w:tcPr>
          <w:p w14:paraId="60BC44E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 (3.1%)</w:t>
            </w:r>
          </w:p>
        </w:tc>
        <w:tc>
          <w:tcPr>
            <w:tcW w:w="1320" w:type="dxa"/>
            <w:tcBorders>
              <w:top w:val="nil"/>
              <w:left w:val="nil"/>
              <w:bottom w:val="nil"/>
              <w:right w:val="nil"/>
            </w:tcBorders>
            <w:shd w:val="clear" w:color="auto" w:fill="auto"/>
            <w:noWrap/>
            <w:vAlign w:val="bottom"/>
            <w:hideMark/>
          </w:tcPr>
          <w:p w14:paraId="31AC1E1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0 (0%)</w:t>
            </w:r>
          </w:p>
        </w:tc>
        <w:tc>
          <w:tcPr>
            <w:tcW w:w="1320" w:type="dxa"/>
            <w:tcBorders>
              <w:top w:val="nil"/>
              <w:left w:val="nil"/>
              <w:bottom w:val="nil"/>
              <w:right w:val="nil"/>
            </w:tcBorders>
            <w:shd w:val="clear" w:color="auto" w:fill="auto"/>
            <w:noWrap/>
            <w:vAlign w:val="bottom"/>
            <w:hideMark/>
          </w:tcPr>
          <w:p w14:paraId="330C5AB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 (1.0%)</w:t>
            </w:r>
          </w:p>
        </w:tc>
        <w:tc>
          <w:tcPr>
            <w:tcW w:w="1780" w:type="dxa"/>
            <w:tcBorders>
              <w:top w:val="nil"/>
              <w:left w:val="nil"/>
              <w:bottom w:val="nil"/>
              <w:right w:val="single" w:sz="4" w:space="0" w:color="auto"/>
            </w:tcBorders>
            <w:shd w:val="clear" w:color="auto" w:fill="auto"/>
            <w:noWrap/>
            <w:vAlign w:val="bottom"/>
            <w:hideMark/>
          </w:tcPr>
          <w:p w14:paraId="7BFFDA1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208A09B1"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4665F913"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Histograde</w:t>
            </w:r>
          </w:p>
        </w:tc>
        <w:tc>
          <w:tcPr>
            <w:tcW w:w="1320" w:type="dxa"/>
            <w:tcBorders>
              <w:top w:val="nil"/>
              <w:left w:val="nil"/>
              <w:bottom w:val="nil"/>
              <w:right w:val="nil"/>
            </w:tcBorders>
            <w:shd w:val="clear" w:color="auto" w:fill="auto"/>
            <w:noWrap/>
            <w:vAlign w:val="bottom"/>
            <w:hideMark/>
          </w:tcPr>
          <w:p w14:paraId="51111E60"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18C725DD"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2B0452B9"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5FE648F7"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0.25</w:t>
            </w:r>
            <w:r w:rsidRPr="0053341C">
              <w:rPr>
                <w:rFonts w:ascii="Times New Roman" w:eastAsia="Times New Roman" w:hAnsi="Times New Roman" w:cs="Times New Roman"/>
                <w:b/>
                <w:bCs/>
                <w:color w:val="000000"/>
                <w:sz w:val="20"/>
                <w:szCs w:val="20"/>
                <w:vertAlign w:val="superscript"/>
                <w:lang w:val="en-GB" w:eastAsia="nl-NL"/>
              </w:rPr>
              <w:t>2</w:t>
            </w:r>
          </w:p>
        </w:tc>
      </w:tr>
      <w:tr w:rsidR="007B3010" w:rsidRPr="0053341C" w14:paraId="1A6CC5C3"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AA29C9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Grade 1-2 EEC</w:t>
            </w:r>
          </w:p>
        </w:tc>
        <w:tc>
          <w:tcPr>
            <w:tcW w:w="1320" w:type="dxa"/>
            <w:tcBorders>
              <w:top w:val="nil"/>
              <w:left w:val="nil"/>
              <w:bottom w:val="nil"/>
              <w:right w:val="nil"/>
            </w:tcBorders>
            <w:shd w:val="clear" w:color="auto" w:fill="auto"/>
            <w:noWrap/>
            <w:vAlign w:val="bottom"/>
            <w:hideMark/>
          </w:tcPr>
          <w:p w14:paraId="7B5E767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29 (90.6%)</w:t>
            </w:r>
          </w:p>
        </w:tc>
        <w:tc>
          <w:tcPr>
            <w:tcW w:w="1320" w:type="dxa"/>
            <w:tcBorders>
              <w:top w:val="nil"/>
              <w:left w:val="nil"/>
              <w:bottom w:val="nil"/>
              <w:right w:val="nil"/>
            </w:tcBorders>
            <w:shd w:val="clear" w:color="auto" w:fill="auto"/>
            <w:noWrap/>
            <w:vAlign w:val="bottom"/>
            <w:hideMark/>
          </w:tcPr>
          <w:p w14:paraId="71F4A29A"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173 (86.5%)</w:t>
            </w:r>
          </w:p>
        </w:tc>
        <w:tc>
          <w:tcPr>
            <w:tcW w:w="1320" w:type="dxa"/>
            <w:tcBorders>
              <w:top w:val="nil"/>
              <w:left w:val="nil"/>
              <w:bottom w:val="nil"/>
              <w:right w:val="nil"/>
            </w:tcBorders>
            <w:shd w:val="clear" w:color="auto" w:fill="auto"/>
            <w:noWrap/>
            <w:vAlign w:val="bottom"/>
            <w:hideMark/>
          </w:tcPr>
          <w:p w14:paraId="510EDE4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172 (88.2%)</w:t>
            </w:r>
          </w:p>
        </w:tc>
        <w:tc>
          <w:tcPr>
            <w:tcW w:w="1780" w:type="dxa"/>
            <w:tcBorders>
              <w:top w:val="nil"/>
              <w:left w:val="nil"/>
              <w:bottom w:val="nil"/>
              <w:right w:val="single" w:sz="4" w:space="0" w:color="auto"/>
            </w:tcBorders>
            <w:shd w:val="clear" w:color="auto" w:fill="auto"/>
            <w:noWrap/>
            <w:vAlign w:val="bottom"/>
            <w:hideMark/>
          </w:tcPr>
          <w:p w14:paraId="427194F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04BBB9DA"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59EB913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Grade 3 EEC</w:t>
            </w:r>
          </w:p>
        </w:tc>
        <w:tc>
          <w:tcPr>
            <w:tcW w:w="1320" w:type="dxa"/>
            <w:tcBorders>
              <w:top w:val="nil"/>
              <w:left w:val="nil"/>
              <w:bottom w:val="nil"/>
              <w:right w:val="nil"/>
            </w:tcBorders>
            <w:shd w:val="clear" w:color="auto" w:fill="auto"/>
            <w:noWrap/>
            <w:vAlign w:val="bottom"/>
            <w:hideMark/>
          </w:tcPr>
          <w:p w14:paraId="3D2FFBB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 (6.3%)</w:t>
            </w:r>
          </w:p>
        </w:tc>
        <w:tc>
          <w:tcPr>
            <w:tcW w:w="1320" w:type="dxa"/>
            <w:tcBorders>
              <w:top w:val="nil"/>
              <w:left w:val="nil"/>
              <w:bottom w:val="nil"/>
              <w:right w:val="nil"/>
            </w:tcBorders>
            <w:shd w:val="clear" w:color="auto" w:fill="auto"/>
            <w:noWrap/>
            <w:vAlign w:val="bottom"/>
            <w:hideMark/>
          </w:tcPr>
          <w:p w14:paraId="74D7C56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24 (12.0%)</w:t>
            </w:r>
          </w:p>
        </w:tc>
        <w:tc>
          <w:tcPr>
            <w:tcW w:w="1320" w:type="dxa"/>
            <w:tcBorders>
              <w:top w:val="nil"/>
              <w:left w:val="nil"/>
              <w:bottom w:val="nil"/>
              <w:right w:val="nil"/>
            </w:tcBorders>
            <w:shd w:val="clear" w:color="auto" w:fill="auto"/>
            <w:noWrap/>
            <w:vAlign w:val="bottom"/>
            <w:hideMark/>
          </w:tcPr>
          <w:p w14:paraId="14BC4C1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15 (7.7%)</w:t>
            </w:r>
          </w:p>
        </w:tc>
        <w:tc>
          <w:tcPr>
            <w:tcW w:w="1780" w:type="dxa"/>
            <w:tcBorders>
              <w:top w:val="nil"/>
              <w:left w:val="nil"/>
              <w:bottom w:val="nil"/>
              <w:right w:val="single" w:sz="4" w:space="0" w:color="auto"/>
            </w:tcBorders>
            <w:shd w:val="clear" w:color="auto" w:fill="auto"/>
            <w:noWrap/>
            <w:vAlign w:val="bottom"/>
            <w:hideMark/>
          </w:tcPr>
          <w:p w14:paraId="16C0FD22"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3DABFB0A"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30D5920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NEEC</w:t>
            </w:r>
          </w:p>
        </w:tc>
        <w:tc>
          <w:tcPr>
            <w:tcW w:w="1320" w:type="dxa"/>
            <w:tcBorders>
              <w:top w:val="nil"/>
              <w:left w:val="nil"/>
              <w:bottom w:val="nil"/>
              <w:right w:val="nil"/>
            </w:tcBorders>
            <w:shd w:val="clear" w:color="auto" w:fill="auto"/>
            <w:noWrap/>
            <w:vAlign w:val="bottom"/>
            <w:hideMark/>
          </w:tcPr>
          <w:p w14:paraId="0C4FC201"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 (3.1%)</w:t>
            </w:r>
          </w:p>
        </w:tc>
        <w:tc>
          <w:tcPr>
            <w:tcW w:w="1320" w:type="dxa"/>
            <w:tcBorders>
              <w:top w:val="nil"/>
              <w:left w:val="nil"/>
              <w:bottom w:val="nil"/>
              <w:right w:val="nil"/>
            </w:tcBorders>
            <w:shd w:val="clear" w:color="auto" w:fill="auto"/>
            <w:noWrap/>
            <w:vAlign w:val="bottom"/>
            <w:hideMark/>
          </w:tcPr>
          <w:p w14:paraId="6AD2615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3 (1.5%)</w:t>
            </w:r>
          </w:p>
        </w:tc>
        <w:tc>
          <w:tcPr>
            <w:tcW w:w="1320" w:type="dxa"/>
            <w:tcBorders>
              <w:top w:val="nil"/>
              <w:left w:val="nil"/>
              <w:bottom w:val="nil"/>
              <w:right w:val="nil"/>
            </w:tcBorders>
            <w:shd w:val="clear" w:color="auto" w:fill="auto"/>
            <w:noWrap/>
            <w:vAlign w:val="bottom"/>
            <w:hideMark/>
          </w:tcPr>
          <w:p w14:paraId="23EC998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8 (4.1%)</w:t>
            </w:r>
          </w:p>
        </w:tc>
        <w:tc>
          <w:tcPr>
            <w:tcW w:w="1780" w:type="dxa"/>
            <w:tcBorders>
              <w:top w:val="nil"/>
              <w:left w:val="nil"/>
              <w:bottom w:val="nil"/>
              <w:right w:val="single" w:sz="4" w:space="0" w:color="auto"/>
            </w:tcBorders>
            <w:shd w:val="clear" w:color="auto" w:fill="auto"/>
            <w:noWrap/>
            <w:vAlign w:val="bottom"/>
            <w:hideMark/>
          </w:tcPr>
          <w:p w14:paraId="46C9902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FC6CBD1"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09CA846E"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Myometrial invasion</w:t>
            </w:r>
          </w:p>
        </w:tc>
        <w:tc>
          <w:tcPr>
            <w:tcW w:w="1320" w:type="dxa"/>
            <w:tcBorders>
              <w:top w:val="nil"/>
              <w:left w:val="nil"/>
              <w:bottom w:val="nil"/>
              <w:right w:val="nil"/>
            </w:tcBorders>
            <w:shd w:val="clear" w:color="auto" w:fill="auto"/>
            <w:noWrap/>
            <w:vAlign w:val="bottom"/>
            <w:hideMark/>
          </w:tcPr>
          <w:p w14:paraId="3947229D"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7907B2C7"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37628304"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5948FAB5"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&lt;0.0001</w:t>
            </w:r>
            <w:r w:rsidRPr="0053341C">
              <w:rPr>
                <w:rFonts w:ascii="Times New Roman" w:eastAsia="Times New Roman" w:hAnsi="Times New Roman" w:cs="Times New Roman"/>
                <w:b/>
                <w:bCs/>
                <w:color w:val="000000"/>
                <w:sz w:val="20"/>
                <w:szCs w:val="20"/>
                <w:vertAlign w:val="superscript"/>
                <w:lang w:val="en-GB" w:eastAsia="nl-NL"/>
              </w:rPr>
              <w:t>1</w:t>
            </w:r>
          </w:p>
        </w:tc>
      </w:tr>
      <w:tr w:rsidR="007B3010" w:rsidRPr="0053341C" w14:paraId="5127F450"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885F78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&lt; 50%</w:t>
            </w:r>
          </w:p>
        </w:tc>
        <w:tc>
          <w:tcPr>
            <w:tcW w:w="1320" w:type="dxa"/>
            <w:tcBorders>
              <w:top w:val="nil"/>
              <w:left w:val="nil"/>
              <w:bottom w:val="nil"/>
              <w:right w:val="nil"/>
            </w:tcBorders>
            <w:shd w:val="clear" w:color="auto" w:fill="auto"/>
            <w:noWrap/>
            <w:vAlign w:val="bottom"/>
            <w:hideMark/>
          </w:tcPr>
          <w:p w14:paraId="7674DCE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19 (59.4%)</w:t>
            </w:r>
          </w:p>
        </w:tc>
        <w:tc>
          <w:tcPr>
            <w:tcW w:w="1320" w:type="dxa"/>
            <w:tcBorders>
              <w:top w:val="nil"/>
              <w:left w:val="nil"/>
              <w:bottom w:val="nil"/>
              <w:right w:val="nil"/>
            </w:tcBorders>
            <w:shd w:val="clear" w:color="auto" w:fill="auto"/>
            <w:noWrap/>
            <w:vAlign w:val="bottom"/>
            <w:hideMark/>
          </w:tcPr>
          <w:p w14:paraId="7C4AE62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31 (15.5%)</w:t>
            </w:r>
          </w:p>
        </w:tc>
        <w:tc>
          <w:tcPr>
            <w:tcW w:w="1320" w:type="dxa"/>
            <w:tcBorders>
              <w:top w:val="nil"/>
              <w:left w:val="nil"/>
              <w:bottom w:val="nil"/>
              <w:right w:val="nil"/>
            </w:tcBorders>
            <w:shd w:val="clear" w:color="auto" w:fill="auto"/>
            <w:noWrap/>
            <w:vAlign w:val="bottom"/>
            <w:hideMark/>
          </w:tcPr>
          <w:p w14:paraId="606D33F9"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21 (10.8%)</w:t>
            </w:r>
          </w:p>
        </w:tc>
        <w:tc>
          <w:tcPr>
            <w:tcW w:w="1780" w:type="dxa"/>
            <w:tcBorders>
              <w:top w:val="nil"/>
              <w:left w:val="nil"/>
              <w:bottom w:val="nil"/>
              <w:right w:val="single" w:sz="4" w:space="0" w:color="auto"/>
            </w:tcBorders>
            <w:shd w:val="clear" w:color="auto" w:fill="auto"/>
            <w:noWrap/>
            <w:vAlign w:val="bottom"/>
            <w:hideMark/>
          </w:tcPr>
          <w:p w14:paraId="586FB96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0F72E014"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04D489B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 50% </w:t>
            </w:r>
          </w:p>
        </w:tc>
        <w:tc>
          <w:tcPr>
            <w:tcW w:w="1320" w:type="dxa"/>
            <w:tcBorders>
              <w:top w:val="nil"/>
              <w:left w:val="nil"/>
              <w:bottom w:val="nil"/>
              <w:right w:val="nil"/>
            </w:tcBorders>
            <w:shd w:val="clear" w:color="auto" w:fill="auto"/>
            <w:noWrap/>
            <w:vAlign w:val="bottom"/>
            <w:hideMark/>
          </w:tcPr>
          <w:p w14:paraId="68B4E7FB"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13 (40.6)</w:t>
            </w:r>
          </w:p>
        </w:tc>
        <w:tc>
          <w:tcPr>
            <w:tcW w:w="1320" w:type="dxa"/>
            <w:tcBorders>
              <w:top w:val="nil"/>
              <w:left w:val="nil"/>
              <w:bottom w:val="nil"/>
              <w:right w:val="nil"/>
            </w:tcBorders>
            <w:shd w:val="clear" w:color="auto" w:fill="auto"/>
            <w:noWrap/>
            <w:vAlign w:val="bottom"/>
            <w:hideMark/>
          </w:tcPr>
          <w:p w14:paraId="7F347D9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169 (84.5%)</w:t>
            </w:r>
          </w:p>
        </w:tc>
        <w:tc>
          <w:tcPr>
            <w:tcW w:w="1320" w:type="dxa"/>
            <w:tcBorders>
              <w:top w:val="nil"/>
              <w:left w:val="nil"/>
              <w:bottom w:val="nil"/>
              <w:right w:val="nil"/>
            </w:tcBorders>
            <w:shd w:val="clear" w:color="auto" w:fill="auto"/>
            <w:noWrap/>
            <w:vAlign w:val="bottom"/>
            <w:hideMark/>
          </w:tcPr>
          <w:p w14:paraId="1BC3224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174 (89.2%)</w:t>
            </w:r>
          </w:p>
        </w:tc>
        <w:tc>
          <w:tcPr>
            <w:tcW w:w="1780" w:type="dxa"/>
            <w:tcBorders>
              <w:top w:val="nil"/>
              <w:left w:val="nil"/>
              <w:bottom w:val="nil"/>
              <w:right w:val="single" w:sz="4" w:space="0" w:color="auto"/>
            </w:tcBorders>
            <w:shd w:val="clear" w:color="auto" w:fill="auto"/>
            <w:noWrap/>
            <w:vAlign w:val="bottom"/>
            <w:hideMark/>
          </w:tcPr>
          <w:p w14:paraId="2806298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6A7B501B" w14:textId="77777777" w:rsidTr="007B3010">
        <w:trPr>
          <w:trHeight w:val="345"/>
        </w:trPr>
        <w:tc>
          <w:tcPr>
            <w:tcW w:w="4240" w:type="dxa"/>
            <w:gridSpan w:val="2"/>
            <w:tcBorders>
              <w:top w:val="nil"/>
              <w:left w:val="single" w:sz="4" w:space="0" w:color="auto"/>
              <w:bottom w:val="nil"/>
              <w:right w:val="nil"/>
            </w:tcBorders>
            <w:shd w:val="clear" w:color="auto" w:fill="auto"/>
            <w:noWrap/>
            <w:vAlign w:val="bottom"/>
            <w:hideMark/>
          </w:tcPr>
          <w:p w14:paraId="450B2B2B"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Lymphovascular space invasion</w:t>
            </w:r>
            <w:r w:rsidRPr="0053341C">
              <w:rPr>
                <w:rFonts w:ascii="Times New Roman" w:eastAsia="Times New Roman" w:hAnsi="Times New Roman" w:cs="Times New Roman"/>
                <w:b/>
                <w:bCs/>
                <w:color w:val="000000"/>
                <w:sz w:val="20"/>
                <w:szCs w:val="20"/>
                <w:vertAlign w:val="superscript"/>
                <w:lang w:val="en-GB" w:eastAsia="nl-NL"/>
              </w:rPr>
              <w:t>3</w:t>
            </w:r>
          </w:p>
        </w:tc>
        <w:tc>
          <w:tcPr>
            <w:tcW w:w="1320" w:type="dxa"/>
            <w:tcBorders>
              <w:top w:val="nil"/>
              <w:left w:val="nil"/>
              <w:bottom w:val="nil"/>
              <w:right w:val="nil"/>
            </w:tcBorders>
            <w:shd w:val="clear" w:color="auto" w:fill="auto"/>
            <w:noWrap/>
            <w:vAlign w:val="bottom"/>
            <w:hideMark/>
          </w:tcPr>
          <w:p w14:paraId="5883EA89"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57C96269"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63D12B69"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0.68</w:t>
            </w:r>
            <w:r w:rsidRPr="0053341C">
              <w:rPr>
                <w:rFonts w:ascii="Times New Roman" w:eastAsia="Times New Roman" w:hAnsi="Times New Roman" w:cs="Times New Roman"/>
                <w:b/>
                <w:bCs/>
                <w:color w:val="000000"/>
                <w:sz w:val="20"/>
                <w:szCs w:val="20"/>
                <w:vertAlign w:val="superscript"/>
                <w:lang w:val="en-GB" w:eastAsia="nl-NL"/>
              </w:rPr>
              <w:t>1</w:t>
            </w:r>
          </w:p>
        </w:tc>
      </w:tr>
      <w:tr w:rsidR="007B3010" w:rsidRPr="0053341C" w14:paraId="0F2BACC6"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17BD0A6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None or focal </w:t>
            </w:r>
          </w:p>
        </w:tc>
        <w:tc>
          <w:tcPr>
            <w:tcW w:w="1320" w:type="dxa"/>
            <w:tcBorders>
              <w:top w:val="nil"/>
              <w:left w:val="nil"/>
              <w:bottom w:val="nil"/>
              <w:right w:val="nil"/>
            </w:tcBorders>
            <w:shd w:val="clear" w:color="auto" w:fill="auto"/>
            <w:noWrap/>
            <w:vAlign w:val="bottom"/>
            <w:hideMark/>
          </w:tcPr>
          <w:p w14:paraId="4A44EF2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28 (90.3%)</w:t>
            </w:r>
          </w:p>
        </w:tc>
        <w:tc>
          <w:tcPr>
            <w:tcW w:w="1320" w:type="dxa"/>
            <w:tcBorders>
              <w:top w:val="nil"/>
              <w:left w:val="nil"/>
              <w:bottom w:val="nil"/>
              <w:right w:val="nil"/>
            </w:tcBorders>
            <w:shd w:val="clear" w:color="auto" w:fill="auto"/>
            <w:noWrap/>
            <w:vAlign w:val="bottom"/>
            <w:hideMark/>
          </w:tcPr>
          <w:p w14:paraId="51978DEC"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175 (95.1%)</w:t>
            </w:r>
          </w:p>
        </w:tc>
        <w:tc>
          <w:tcPr>
            <w:tcW w:w="1320" w:type="dxa"/>
            <w:tcBorders>
              <w:top w:val="nil"/>
              <w:left w:val="nil"/>
              <w:bottom w:val="nil"/>
              <w:right w:val="nil"/>
            </w:tcBorders>
            <w:shd w:val="clear" w:color="auto" w:fill="auto"/>
            <w:noWrap/>
            <w:vAlign w:val="bottom"/>
            <w:hideMark/>
          </w:tcPr>
          <w:p w14:paraId="3E2C8002"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170 (95.5%)</w:t>
            </w:r>
          </w:p>
        </w:tc>
        <w:tc>
          <w:tcPr>
            <w:tcW w:w="1780" w:type="dxa"/>
            <w:tcBorders>
              <w:top w:val="nil"/>
              <w:left w:val="nil"/>
              <w:bottom w:val="nil"/>
              <w:right w:val="single" w:sz="4" w:space="0" w:color="auto"/>
            </w:tcBorders>
            <w:shd w:val="clear" w:color="auto" w:fill="auto"/>
            <w:noWrap/>
            <w:vAlign w:val="bottom"/>
            <w:hideMark/>
          </w:tcPr>
          <w:p w14:paraId="4C37AE6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11D5833B"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198FD03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Substantial</w:t>
            </w:r>
          </w:p>
        </w:tc>
        <w:tc>
          <w:tcPr>
            <w:tcW w:w="1320" w:type="dxa"/>
            <w:tcBorders>
              <w:top w:val="nil"/>
              <w:left w:val="nil"/>
              <w:bottom w:val="nil"/>
              <w:right w:val="nil"/>
            </w:tcBorders>
            <w:shd w:val="clear" w:color="auto" w:fill="auto"/>
            <w:noWrap/>
            <w:vAlign w:val="bottom"/>
            <w:hideMark/>
          </w:tcPr>
          <w:p w14:paraId="3D34A9B9"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3 (9.7%)</w:t>
            </w:r>
          </w:p>
        </w:tc>
        <w:tc>
          <w:tcPr>
            <w:tcW w:w="1320" w:type="dxa"/>
            <w:tcBorders>
              <w:top w:val="nil"/>
              <w:left w:val="nil"/>
              <w:bottom w:val="nil"/>
              <w:right w:val="nil"/>
            </w:tcBorders>
            <w:shd w:val="clear" w:color="auto" w:fill="auto"/>
            <w:noWrap/>
            <w:vAlign w:val="bottom"/>
            <w:hideMark/>
          </w:tcPr>
          <w:p w14:paraId="285FF7D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9 (4.9%)</w:t>
            </w:r>
          </w:p>
        </w:tc>
        <w:tc>
          <w:tcPr>
            <w:tcW w:w="1320" w:type="dxa"/>
            <w:tcBorders>
              <w:top w:val="nil"/>
              <w:left w:val="nil"/>
              <w:bottom w:val="nil"/>
              <w:right w:val="nil"/>
            </w:tcBorders>
            <w:shd w:val="clear" w:color="auto" w:fill="auto"/>
            <w:noWrap/>
            <w:vAlign w:val="bottom"/>
            <w:hideMark/>
          </w:tcPr>
          <w:p w14:paraId="04B3166C"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8 (4.5%)</w:t>
            </w:r>
          </w:p>
        </w:tc>
        <w:tc>
          <w:tcPr>
            <w:tcW w:w="1780" w:type="dxa"/>
            <w:tcBorders>
              <w:top w:val="nil"/>
              <w:left w:val="nil"/>
              <w:bottom w:val="nil"/>
              <w:right w:val="single" w:sz="4" w:space="0" w:color="auto"/>
            </w:tcBorders>
            <w:shd w:val="clear" w:color="auto" w:fill="auto"/>
            <w:noWrap/>
            <w:vAlign w:val="bottom"/>
            <w:hideMark/>
          </w:tcPr>
          <w:p w14:paraId="656FEC9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5A4A568"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47181E63"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Molecular class</w:t>
            </w:r>
            <w:r w:rsidRPr="0053341C">
              <w:rPr>
                <w:rFonts w:ascii="Times New Roman" w:eastAsia="Times New Roman" w:hAnsi="Times New Roman" w:cs="Times New Roman"/>
                <w:b/>
                <w:bCs/>
                <w:color w:val="000000"/>
                <w:sz w:val="20"/>
                <w:szCs w:val="20"/>
                <w:vertAlign w:val="superscript"/>
                <w:lang w:val="en-GB" w:eastAsia="nl-NL"/>
              </w:rPr>
              <w:t>4</w:t>
            </w:r>
          </w:p>
        </w:tc>
        <w:tc>
          <w:tcPr>
            <w:tcW w:w="1320" w:type="dxa"/>
            <w:tcBorders>
              <w:top w:val="nil"/>
              <w:left w:val="nil"/>
              <w:bottom w:val="nil"/>
              <w:right w:val="nil"/>
            </w:tcBorders>
            <w:shd w:val="clear" w:color="auto" w:fill="auto"/>
            <w:noWrap/>
            <w:vAlign w:val="bottom"/>
            <w:hideMark/>
          </w:tcPr>
          <w:p w14:paraId="03529F66"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13B9C0F5"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582C339F"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32C54995"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0.80</w:t>
            </w:r>
            <w:r w:rsidRPr="0053341C">
              <w:rPr>
                <w:rFonts w:ascii="Times New Roman" w:eastAsia="Times New Roman" w:hAnsi="Times New Roman" w:cs="Times New Roman"/>
                <w:b/>
                <w:bCs/>
                <w:color w:val="000000"/>
                <w:sz w:val="20"/>
                <w:szCs w:val="20"/>
                <w:vertAlign w:val="superscript"/>
                <w:lang w:val="en-GB" w:eastAsia="nl-NL"/>
              </w:rPr>
              <w:t>2</w:t>
            </w:r>
          </w:p>
        </w:tc>
      </w:tr>
      <w:tr w:rsidR="007B3010" w:rsidRPr="0053341C" w14:paraId="6F83E63F"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286A5D2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w:t>
            </w:r>
            <w:r w:rsidRPr="0053341C">
              <w:rPr>
                <w:rFonts w:ascii="Times New Roman" w:eastAsia="Times New Roman" w:hAnsi="Times New Roman" w:cs="Times New Roman"/>
                <w:i/>
                <w:iCs/>
                <w:color w:val="000000"/>
                <w:sz w:val="20"/>
                <w:szCs w:val="20"/>
                <w:lang w:val="en-GB" w:eastAsia="nl-NL"/>
              </w:rPr>
              <w:t>POLE</w:t>
            </w:r>
            <w:r w:rsidRPr="0053341C">
              <w:rPr>
                <w:rFonts w:ascii="Times New Roman" w:eastAsia="Times New Roman" w:hAnsi="Times New Roman" w:cs="Times New Roman"/>
                <w:color w:val="000000"/>
                <w:sz w:val="20"/>
                <w:szCs w:val="20"/>
                <w:lang w:val="en-GB" w:eastAsia="nl-NL"/>
              </w:rPr>
              <w:t>mut</w:t>
            </w:r>
          </w:p>
        </w:tc>
        <w:tc>
          <w:tcPr>
            <w:tcW w:w="1320" w:type="dxa"/>
            <w:tcBorders>
              <w:top w:val="nil"/>
              <w:left w:val="nil"/>
              <w:bottom w:val="nil"/>
              <w:right w:val="nil"/>
            </w:tcBorders>
            <w:shd w:val="clear" w:color="auto" w:fill="auto"/>
            <w:noWrap/>
            <w:vAlign w:val="bottom"/>
            <w:hideMark/>
          </w:tcPr>
          <w:p w14:paraId="13854B6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0 (0%)</w:t>
            </w:r>
          </w:p>
        </w:tc>
        <w:tc>
          <w:tcPr>
            <w:tcW w:w="1320" w:type="dxa"/>
            <w:tcBorders>
              <w:top w:val="nil"/>
              <w:left w:val="nil"/>
              <w:bottom w:val="nil"/>
              <w:right w:val="nil"/>
            </w:tcBorders>
            <w:shd w:val="clear" w:color="auto" w:fill="auto"/>
            <w:noWrap/>
            <w:vAlign w:val="bottom"/>
            <w:hideMark/>
          </w:tcPr>
          <w:p w14:paraId="7BA9C5B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12 (6.5%)</w:t>
            </w:r>
          </w:p>
        </w:tc>
        <w:tc>
          <w:tcPr>
            <w:tcW w:w="1320" w:type="dxa"/>
            <w:tcBorders>
              <w:top w:val="nil"/>
              <w:left w:val="nil"/>
              <w:bottom w:val="nil"/>
              <w:right w:val="nil"/>
            </w:tcBorders>
            <w:shd w:val="clear" w:color="auto" w:fill="auto"/>
            <w:noWrap/>
            <w:vAlign w:val="bottom"/>
            <w:hideMark/>
          </w:tcPr>
          <w:p w14:paraId="3B13ED61"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12 (6.6%)</w:t>
            </w:r>
          </w:p>
        </w:tc>
        <w:tc>
          <w:tcPr>
            <w:tcW w:w="1780" w:type="dxa"/>
            <w:tcBorders>
              <w:top w:val="nil"/>
              <w:left w:val="nil"/>
              <w:bottom w:val="nil"/>
              <w:right w:val="single" w:sz="4" w:space="0" w:color="auto"/>
            </w:tcBorders>
            <w:shd w:val="clear" w:color="auto" w:fill="auto"/>
            <w:noWrap/>
            <w:vAlign w:val="bottom"/>
            <w:hideMark/>
          </w:tcPr>
          <w:p w14:paraId="068676B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0B7ABBF5"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3224F47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MMRd</w:t>
            </w:r>
          </w:p>
        </w:tc>
        <w:tc>
          <w:tcPr>
            <w:tcW w:w="1320" w:type="dxa"/>
            <w:tcBorders>
              <w:top w:val="nil"/>
              <w:left w:val="nil"/>
              <w:bottom w:val="nil"/>
              <w:right w:val="nil"/>
            </w:tcBorders>
            <w:shd w:val="clear" w:color="auto" w:fill="auto"/>
            <w:noWrap/>
            <w:vAlign w:val="bottom"/>
            <w:hideMark/>
          </w:tcPr>
          <w:p w14:paraId="4EC2B97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10 (33.3%)</w:t>
            </w:r>
          </w:p>
        </w:tc>
        <w:tc>
          <w:tcPr>
            <w:tcW w:w="1320" w:type="dxa"/>
            <w:tcBorders>
              <w:top w:val="nil"/>
              <w:left w:val="nil"/>
              <w:bottom w:val="nil"/>
              <w:right w:val="nil"/>
            </w:tcBorders>
            <w:shd w:val="clear" w:color="auto" w:fill="auto"/>
            <w:noWrap/>
            <w:vAlign w:val="bottom"/>
            <w:hideMark/>
          </w:tcPr>
          <w:p w14:paraId="1F51F45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47 (25.5%)</w:t>
            </w:r>
          </w:p>
        </w:tc>
        <w:tc>
          <w:tcPr>
            <w:tcW w:w="1320" w:type="dxa"/>
            <w:tcBorders>
              <w:top w:val="nil"/>
              <w:left w:val="nil"/>
              <w:bottom w:val="nil"/>
              <w:right w:val="nil"/>
            </w:tcBorders>
            <w:shd w:val="clear" w:color="auto" w:fill="auto"/>
            <w:noWrap/>
            <w:vAlign w:val="bottom"/>
            <w:hideMark/>
          </w:tcPr>
          <w:p w14:paraId="26171C2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53 (29.1%)</w:t>
            </w:r>
          </w:p>
        </w:tc>
        <w:tc>
          <w:tcPr>
            <w:tcW w:w="1780" w:type="dxa"/>
            <w:tcBorders>
              <w:top w:val="nil"/>
              <w:left w:val="nil"/>
              <w:bottom w:val="nil"/>
              <w:right w:val="single" w:sz="4" w:space="0" w:color="auto"/>
            </w:tcBorders>
            <w:shd w:val="clear" w:color="auto" w:fill="auto"/>
            <w:noWrap/>
            <w:vAlign w:val="bottom"/>
            <w:hideMark/>
          </w:tcPr>
          <w:p w14:paraId="5F9FAB4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4BB14E98"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7E894E7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p53abn</w:t>
            </w:r>
          </w:p>
        </w:tc>
        <w:tc>
          <w:tcPr>
            <w:tcW w:w="1320" w:type="dxa"/>
            <w:tcBorders>
              <w:top w:val="nil"/>
              <w:left w:val="nil"/>
              <w:bottom w:val="nil"/>
              <w:right w:val="nil"/>
            </w:tcBorders>
            <w:shd w:val="clear" w:color="auto" w:fill="auto"/>
            <w:noWrap/>
            <w:vAlign w:val="bottom"/>
            <w:hideMark/>
          </w:tcPr>
          <w:p w14:paraId="7494085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 (3.3%)</w:t>
            </w:r>
          </w:p>
        </w:tc>
        <w:tc>
          <w:tcPr>
            <w:tcW w:w="1320" w:type="dxa"/>
            <w:tcBorders>
              <w:top w:val="nil"/>
              <w:left w:val="nil"/>
              <w:bottom w:val="nil"/>
              <w:right w:val="nil"/>
            </w:tcBorders>
            <w:shd w:val="clear" w:color="auto" w:fill="auto"/>
            <w:noWrap/>
            <w:vAlign w:val="bottom"/>
            <w:hideMark/>
          </w:tcPr>
          <w:p w14:paraId="6E11CF9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14 (7.6%)</w:t>
            </w:r>
          </w:p>
        </w:tc>
        <w:tc>
          <w:tcPr>
            <w:tcW w:w="1320" w:type="dxa"/>
            <w:tcBorders>
              <w:top w:val="nil"/>
              <w:left w:val="nil"/>
              <w:bottom w:val="nil"/>
              <w:right w:val="nil"/>
            </w:tcBorders>
            <w:shd w:val="clear" w:color="auto" w:fill="auto"/>
            <w:noWrap/>
            <w:vAlign w:val="bottom"/>
            <w:hideMark/>
          </w:tcPr>
          <w:p w14:paraId="3C55E524"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15 (8.2%)</w:t>
            </w:r>
          </w:p>
        </w:tc>
        <w:tc>
          <w:tcPr>
            <w:tcW w:w="1780" w:type="dxa"/>
            <w:tcBorders>
              <w:top w:val="nil"/>
              <w:left w:val="nil"/>
              <w:bottom w:val="nil"/>
              <w:right w:val="single" w:sz="4" w:space="0" w:color="auto"/>
            </w:tcBorders>
            <w:shd w:val="clear" w:color="auto" w:fill="auto"/>
            <w:noWrap/>
            <w:vAlign w:val="bottom"/>
            <w:hideMark/>
          </w:tcPr>
          <w:p w14:paraId="464477B6"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52F520AF" w14:textId="77777777" w:rsidTr="007B3010">
        <w:trPr>
          <w:trHeight w:val="300"/>
        </w:trPr>
        <w:tc>
          <w:tcPr>
            <w:tcW w:w="2920" w:type="dxa"/>
            <w:tcBorders>
              <w:top w:val="nil"/>
              <w:left w:val="single" w:sz="4" w:space="0" w:color="auto"/>
              <w:bottom w:val="nil"/>
              <w:right w:val="nil"/>
            </w:tcBorders>
            <w:shd w:val="clear" w:color="auto" w:fill="auto"/>
            <w:noWrap/>
            <w:vAlign w:val="bottom"/>
            <w:hideMark/>
          </w:tcPr>
          <w:p w14:paraId="6C20F00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NSMP</w:t>
            </w:r>
          </w:p>
        </w:tc>
        <w:tc>
          <w:tcPr>
            <w:tcW w:w="1320" w:type="dxa"/>
            <w:tcBorders>
              <w:top w:val="nil"/>
              <w:left w:val="nil"/>
              <w:bottom w:val="nil"/>
              <w:right w:val="nil"/>
            </w:tcBorders>
            <w:shd w:val="clear" w:color="auto" w:fill="auto"/>
            <w:noWrap/>
            <w:vAlign w:val="bottom"/>
            <w:hideMark/>
          </w:tcPr>
          <w:p w14:paraId="46A49847"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19 (63.3%)</w:t>
            </w:r>
          </w:p>
        </w:tc>
        <w:tc>
          <w:tcPr>
            <w:tcW w:w="1320" w:type="dxa"/>
            <w:tcBorders>
              <w:top w:val="nil"/>
              <w:left w:val="nil"/>
              <w:bottom w:val="nil"/>
              <w:right w:val="nil"/>
            </w:tcBorders>
            <w:shd w:val="clear" w:color="auto" w:fill="auto"/>
            <w:noWrap/>
            <w:vAlign w:val="bottom"/>
            <w:hideMark/>
          </w:tcPr>
          <w:p w14:paraId="3372B8EE"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111 (60.3%)</w:t>
            </w:r>
          </w:p>
        </w:tc>
        <w:tc>
          <w:tcPr>
            <w:tcW w:w="1320" w:type="dxa"/>
            <w:tcBorders>
              <w:top w:val="nil"/>
              <w:left w:val="nil"/>
              <w:bottom w:val="nil"/>
              <w:right w:val="nil"/>
            </w:tcBorders>
            <w:shd w:val="clear" w:color="auto" w:fill="auto"/>
            <w:noWrap/>
            <w:vAlign w:val="bottom"/>
            <w:hideMark/>
          </w:tcPr>
          <w:p w14:paraId="532D53D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102 (56.0%)</w:t>
            </w:r>
          </w:p>
        </w:tc>
        <w:tc>
          <w:tcPr>
            <w:tcW w:w="1780" w:type="dxa"/>
            <w:tcBorders>
              <w:top w:val="nil"/>
              <w:left w:val="nil"/>
              <w:bottom w:val="nil"/>
              <w:right w:val="single" w:sz="4" w:space="0" w:color="auto"/>
            </w:tcBorders>
            <w:shd w:val="clear" w:color="auto" w:fill="auto"/>
            <w:noWrap/>
            <w:vAlign w:val="bottom"/>
            <w:hideMark/>
          </w:tcPr>
          <w:p w14:paraId="0CF5F643"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2C3670B3" w14:textId="77777777" w:rsidTr="007B3010">
        <w:trPr>
          <w:trHeight w:val="345"/>
        </w:trPr>
        <w:tc>
          <w:tcPr>
            <w:tcW w:w="2920" w:type="dxa"/>
            <w:tcBorders>
              <w:top w:val="nil"/>
              <w:left w:val="single" w:sz="4" w:space="0" w:color="auto"/>
              <w:bottom w:val="nil"/>
              <w:right w:val="nil"/>
            </w:tcBorders>
            <w:shd w:val="clear" w:color="auto" w:fill="auto"/>
            <w:noWrap/>
            <w:vAlign w:val="bottom"/>
            <w:hideMark/>
          </w:tcPr>
          <w:p w14:paraId="20F3CA32"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ER status</w:t>
            </w:r>
            <w:r w:rsidRPr="0053341C">
              <w:rPr>
                <w:rFonts w:ascii="Times New Roman" w:eastAsia="Times New Roman" w:hAnsi="Times New Roman" w:cs="Times New Roman"/>
                <w:b/>
                <w:bCs/>
                <w:color w:val="000000"/>
                <w:sz w:val="20"/>
                <w:szCs w:val="20"/>
                <w:vertAlign w:val="superscript"/>
                <w:lang w:val="en-GB" w:eastAsia="nl-NL"/>
              </w:rPr>
              <w:t>5</w:t>
            </w:r>
          </w:p>
        </w:tc>
        <w:tc>
          <w:tcPr>
            <w:tcW w:w="1320" w:type="dxa"/>
            <w:tcBorders>
              <w:top w:val="nil"/>
              <w:left w:val="nil"/>
              <w:bottom w:val="nil"/>
              <w:right w:val="nil"/>
            </w:tcBorders>
            <w:shd w:val="clear" w:color="auto" w:fill="auto"/>
            <w:noWrap/>
            <w:vAlign w:val="bottom"/>
            <w:hideMark/>
          </w:tcPr>
          <w:p w14:paraId="43A093DD" w14:textId="77777777"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p>
        </w:tc>
        <w:tc>
          <w:tcPr>
            <w:tcW w:w="1320" w:type="dxa"/>
            <w:tcBorders>
              <w:top w:val="nil"/>
              <w:left w:val="nil"/>
              <w:bottom w:val="nil"/>
              <w:right w:val="nil"/>
            </w:tcBorders>
            <w:shd w:val="clear" w:color="auto" w:fill="auto"/>
            <w:noWrap/>
            <w:vAlign w:val="bottom"/>
            <w:hideMark/>
          </w:tcPr>
          <w:p w14:paraId="02556BDE"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320" w:type="dxa"/>
            <w:tcBorders>
              <w:top w:val="nil"/>
              <w:left w:val="nil"/>
              <w:bottom w:val="nil"/>
              <w:right w:val="nil"/>
            </w:tcBorders>
            <w:shd w:val="clear" w:color="auto" w:fill="auto"/>
            <w:noWrap/>
            <w:vAlign w:val="bottom"/>
            <w:hideMark/>
          </w:tcPr>
          <w:p w14:paraId="2217CA50" w14:textId="77777777" w:rsidR="007B3010" w:rsidRPr="0053341C" w:rsidRDefault="007B3010" w:rsidP="007B3010">
            <w:pPr>
              <w:spacing w:after="0" w:line="240" w:lineRule="auto"/>
              <w:rPr>
                <w:rFonts w:ascii="Times New Roman" w:eastAsia="Times New Roman" w:hAnsi="Times New Roman" w:cs="Times New Roman"/>
                <w:sz w:val="20"/>
                <w:szCs w:val="20"/>
                <w:lang w:val="en-GB" w:eastAsia="nl-NL"/>
              </w:rPr>
            </w:pPr>
          </w:p>
        </w:tc>
        <w:tc>
          <w:tcPr>
            <w:tcW w:w="1780" w:type="dxa"/>
            <w:tcBorders>
              <w:top w:val="nil"/>
              <w:left w:val="nil"/>
              <w:bottom w:val="nil"/>
              <w:right w:val="single" w:sz="4" w:space="0" w:color="auto"/>
            </w:tcBorders>
            <w:shd w:val="clear" w:color="auto" w:fill="auto"/>
            <w:noWrap/>
            <w:vAlign w:val="bottom"/>
            <w:hideMark/>
          </w:tcPr>
          <w:p w14:paraId="05B92E6B" w14:textId="374FD2EC" w:rsidR="007B3010" w:rsidRPr="0053341C" w:rsidRDefault="007B3010" w:rsidP="007B3010">
            <w:pPr>
              <w:spacing w:after="0" w:line="240" w:lineRule="auto"/>
              <w:rPr>
                <w:rFonts w:ascii="Times New Roman" w:eastAsia="Times New Roman" w:hAnsi="Times New Roman" w:cs="Times New Roman"/>
                <w:b/>
                <w:bCs/>
                <w:color w:val="000000"/>
                <w:sz w:val="20"/>
                <w:szCs w:val="20"/>
                <w:lang w:val="en-GB" w:eastAsia="nl-NL"/>
              </w:rPr>
            </w:pPr>
            <w:r w:rsidRPr="0053341C">
              <w:rPr>
                <w:rFonts w:ascii="Times New Roman" w:eastAsia="Times New Roman" w:hAnsi="Times New Roman" w:cs="Times New Roman"/>
                <w:b/>
                <w:bCs/>
                <w:color w:val="000000"/>
                <w:sz w:val="20"/>
                <w:szCs w:val="20"/>
                <w:lang w:val="en-GB" w:eastAsia="nl-NL"/>
              </w:rPr>
              <w:t>0.1</w:t>
            </w:r>
            <w:r w:rsidR="00DE402F">
              <w:rPr>
                <w:rFonts w:ascii="Times New Roman" w:eastAsia="Times New Roman" w:hAnsi="Times New Roman" w:cs="Times New Roman"/>
                <w:b/>
                <w:bCs/>
                <w:color w:val="000000"/>
                <w:sz w:val="20"/>
                <w:szCs w:val="20"/>
                <w:lang w:val="en-GB" w:eastAsia="nl-NL"/>
              </w:rPr>
              <w:t>4</w:t>
            </w:r>
            <w:r w:rsidRPr="0053341C">
              <w:rPr>
                <w:rFonts w:ascii="Times New Roman" w:eastAsia="Times New Roman" w:hAnsi="Times New Roman" w:cs="Times New Roman"/>
                <w:b/>
                <w:bCs/>
                <w:color w:val="000000"/>
                <w:sz w:val="20"/>
                <w:szCs w:val="20"/>
                <w:vertAlign w:val="superscript"/>
                <w:lang w:val="en-GB" w:eastAsia="nl-NL"/>
              </w:rPr>
              <w:t>1</w:t>
            </w:r>
          </w:p>
        </w:tc>
      </w:tr>
      <w:tr w:rsidR="007B3010" w:rsidRPr="0053341C" w14:paraId="7A80FF89" w14:textId="77777777" w:rsidTr="007B3010">
        <w:trPr>
          <w:trHeight w:val="300"/>
        </w:trPr>
        <w:tc>
          <w:tcPr>
            <w:tcW w:w="2920" w:type="dxa"/>
            <w:tcBorders>
              <w:top w:val="nil"/>
              <w:left w:val="single" w:sz="4" w:space="0" w:color="auto"/>
              <w:right w:val="nil"/>
            </w:tcBorders>
            <w:shd w:val="clear" w:color="auto" w:fill="auto"/>
            <w:noWrap/>
            <w:vAlign w:val="bottom"/>
            <w:hideMark/>
          </w:tcPr>
          <w:p w14:paraId="3F8E54D9"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xml:space="preserve">   Negative</w:t>
            </w:r>
          </w:p>
        </w:tc>
        <w:tc>
          <w:tcPr>
            <w:tcW w:w="1320" w:type="dxa"/>
            <w:tcBorders>
              <w:top w:val="nil"/>
              <w:left w:val="nil"/>
              <w:right w:val="nil"/>
            </w:tcBorders>
            <w:shd w:val="clear" w:color="auto" w:fill="auto"/>
            <w:noWrap/>
            <w:vAlign w:val="bottom"/>
            <w:hideMark/>
          </w:tcPr>
          <w:p w14:paraId="5259F028"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 (3.7%)</w:t>
            </w:r>
          </w:p>
        </w:tc>
        <w:tc>
          <w:tcPr>
            <w:tcW w:w="1320" w:type="dxa"/>
            <w:tcBorders>
              <w:top w:val="nil"/>
              <w:left w:val="nil"/>
              <w:right w:val="nil"/>
            </w:tcBorders>
            <w:shd w:val="clear" w:color="auto" w:fill="auto"/>
            <w:noWrap/>
            <w:vAlign w:val="bottom"/>
            <w:hideMark/>
          </w:tcPr>
          <w:p w14:paraId="5F5F1AE0"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6 (3.2%)</w:t>
            </w:r>
          </w:p>
        </w:tc>
        <w:tc>
          <w:tcPr>
            <w:tcW w:w="1320" w:type="dxa"/>
            <w:tcBorders>
              <w:top w:val="nil"/>
              <w:left w:val="nil"/>
              <w:right w:val="nil"/>
            </w:tcBorders>
            <w:shd w:val="clear" w:color="auto" w:fill="auto"/>
            <w:noWrap/>
            <w:vAlign w:val="bottom"/>
            <w:hideMark/>
          </w:tcPr>
          <w:p w14:paraId="5E96F63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11 (5.9%)</w:t>
            </w:r>
          </w:p>
        </w:tc>
        <w:tc>
          <w:tcPr>
            <w:tcW w:w="1780" w:type="dxa"/>
            <w:tcBorders>
              <w:top w:val="nil"/>
              <w:left w:val="nil"/>
              <w:right w:val="single" w:sz="4" w:space="0" w:color="auto"/>
            </w:tcBorders>
            <w:shd w:val="clear" w:color="auto" w:fill="auto"/>
            <w:noWrap/>
            <w:vAlign w:val="bottom"/>
            <w:hideMark/>
          </w:tcPr>
          <w:p w14:paraId="60716D7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r w:rsidR="007B3010" w:rsidRPr="0053341C" w14:paraId="1D26D6BB" w14:textId="77777777" w:rsidTr="007B3010">
        <w:trPr>
          <w:trHeight w:val="300"/>
        </w:trPr>
        <w:tc>
          <w:tcPr>
            <w:tcW w:w="2920" w:type="dxa"/>
            <w:tcBorders>
              <w:top w:val="nil"/>
              <w:left w:val="single" w:sz="4" w:space="0" w:color="auto"/>
              <w:bottom w:val="single" w:sz="4" w:space="0" w:color="auto"/>
              <w:right w:val="nil"/>
            </w:tcBorders>
            <w:shd w:val="clear" w:color="auto" w:fill="auto"/>
            <w:noWrap/>
            <w:vAlign w:val="bottom"/>
            <w:hideMark/>
          </w:tcPr>
          <w:p w14:paraId="41D82966" w14:textId="12BA165A" w:rsidR="007B3010" w:rsidRPr="00A41977" w:rsidRDefault="007B3010" w:rsidP="007B3010">
            <w:pPr>
              <w:spacing w:after="0" w:line="240" w:lineRule="auto"/>
              <w:rPr>
                <w:rFonts w:ascii="Times New Roman" w:eastAsia="Times New Roman" w:hAnsi="Times New Roman" w:cs="Times New Roman"/>
                <w:color w:val="000000"/>
                <w:sz w:val="20"/>
                <w:szCs w:val="20"/>
                <w:vertAlign w:val="superscript"/>
                <w:lang w:val="en-GB" w:eastAsia="nl-NL"/>
              </w:rPr>
            </w:pPr>
            <w:r w:rsidRPr="0053341C">
              <w:rPr>
                <w:rFonts w:ascii="Times New Roman" w:eastAsia="Times New Roman" w:hAnsi="Times New Roman" w:cs="Times New Roman"/>
                <w:color w:val="000000"/>
                <w:sz w:val="20"/>
                <w:szCs w:val="20"/>
                <w:lang w:val="en-GB" w:eastAsia="nl-NL"/>
              </w:rPr>
              <w:t xml:space="preserve">   Positive</w:t>
            </w:r>
            <w:r w:rsidR="00A41977">
              <w:rPr>
                <w:rFonts w:ascii="Times New Roman" w:eastAsia="Times New Roman" w:hAnsi="Times New Roman" w:cs="Times New Roman"/>
                <w:color w:val="000000"/>
                <w:sz w:val="20"/>
                <w:szCs w:val="20"/>
                <w:vertAlign w:val="superscript"/>
                <w:lang w:val="en-GB" w:eastAsia="nl-NL"/>
              </w:rPr>
              <w:t>6</w:t>
            </w:r>
          </w:p>
        </w:tc>
        <w:tc>
          <w:tcPr>
            <w:tcW w:w="1320" w:type="dxa"/>
            <w:tcBorders>
              <w:top w:val="nil"/>
              <w:left w:val="nil"/>
              <w:bottom w:val="single" w:sz="4" w:space="0" w:color="auto"/>
              <w:right w:val="nil"/>
            </w:tcBorders>
            <w:shd w:val="clear" w:color="auto" w:fill="auto"/>
            <w:noWrap/>
            <w:vAlign w:val="bottom"/>
            <w:hideMark/>
          </w:tcPr>
          <w:p w14:paraId="1CB906FF"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26 (96.3%)</w:t>
            </w:r>
          </w:p>
        </w:tc>
        <w:tc>
          <w:tcPr>
            <w:tcW w:w="1320" w:type="dxa"/>
            <w:tcBorders>
              <w:top w:val="nil"/>
              <w:left w:val="nil"/>
              <w:bottom w:val="single" w:sz="4" w:space="0" w:color="auto"/>
              <w:right w:val="nil"/>
            </w:tcBorders>
            <w:shd w:val="clear" w:color="auto" w:fill="auto"/>
            <w:noWrap/>
            <w:vAlign w:val="bottom"/>
            <w:hideMark/>
          </w:tcPr>
          <w:p w14:paraId="014E2F6B"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182 (96.8%)</w:t>
            </w:r>
          </w:p>
        </w:tc>
        <w:tc>
          <w:tcPr>
            <w:tcW w:w="1320" w:type="dxa"/>
            <w:tcBorders>
              <w:top w:val="nil"/>
              <w:left w:val="nil"/>
              <w:bottom w:val="single" w:sz="4" w:space="0" w:color="auto"/>
              <w:right w:val="nil"/>
            </w:tcBorders>
            <w:shd w:val="clear" w:color="auto" w:fill="auto"/>
            <w:noWrap/>
            <w:vAlign w:val="bottom"/>
            <w:hideMark/>
          </w:tcPr>
          <w:p w14:paraId="2F7DD9FD"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177 (94.1%)</w:t>
            </w:r>
          </w:p>
        </w:tc>
        <w:tc>
          <w:tcPr>
            <w:tcW w:w="1780" w:type="dxa"/>
            <w:tcBorders>
              <w:top w:val="nil"/>
              <w:left w:val="nil"/>
              <w:bottom w:val="single" w:sz="4" w:space="0" w:color="auto"/>
              <w:right w:val="single" w:sz="4" w:space="0" w:color="auto"/>
            </w:tcBorders>
            <w:shd w:val="clear" w:color="auto" w:fill="auto"/>
            <w:noWrap/>
            <w:vAlign w:val="bottom"/>
            <w:hideMark/>
          </w:tcPr>
          <w:p w14:paraId="0A2088A5" w14:textId="77777777" w:rsidR="007B3010" w:rsidRPr="0053341C" w:rsidRDefault="007B3010" w:rsidP="007B3010">
            <w:pPr>
              <w:spacing w:after="0" w:line="240" w:lineRule="auto"/>
              <w:rPr>
                <w:rFonts w:ascii="Times New Roman" w:eastAsia="Times New Roman" w:hAnsi="Times New Roman" w:cs="Times New Roman"/>
                <w:color w:val="000000"/>
                <w:sz w:val="20"/>
                <w:szCs w:val="20"/>
                <w:lang w:val="en-GB" w:eastAsia="nl-NL"/>
              </w:rPr>
            </w:pPr>
            <w:r w:rsidRPr="0053341C">
              <w:rPr>
                <w:rFonts w:ascii="Times New Roman" w:eastAsia="Times New Roman" w:hAnsi="Times New Roman" w:cs="Times New Roman"/>
                <w:color w:val="000000"/>
                <w:sz w:val="20"/>
                <w:szCs w:val="20"/>
                <w:lang w:val="en-GB" w:eastAsia="nl-NL"/>
              </w:rPr>
              <w:t> </w:t>
            </w:r>
          </w:p>
        </w:tc>
      </w:tr>
    </w:tbl>
    <w:p w14:paraId="168A363F" w14:textId="77777777" w:rsidR="00DE402F" w:rsidRDefault="00DE402F" w:rsidP="007B3010">
      <w:pPr>
        <w:pStyle w:val="NoSpacing"/>
        <w:rPr>
          <w:rFonts w:ascii="Times New Roman" w:hAnsi="Times New Roman" w:cs="Times New Roman"/>
          <w:sz w:val="20"/>
          <w:szCs w:val="20"/>
          <w:lang w:val="en-GB"/>
        </w:rPr>
      </w:pPr>
    </w:p>
    <w:p w14:paraId="34EFD93B" w14:textId="1B44C19B" w:rsidR="007B3010" w:rsidRPr="0053341C" w:rsidRDefault="007B3010" w:rsidP="007B3010">
      <w:pPr>
        <w:pStyle w:val="NoSpacing"/>
        <w:rPr>
          <w:rFonts w:ascii="Times New Roman" w:hAnsi="Times New Roman" w:cs="Times New Roman"/>
          <w:sz w:val="20"/>
          <w:szCs w:val="20"/>
          <w:lang w:val="en-GB"/>
        </w:rPr>
      </w:pPr>
      <w:r w:rsidRPr="0053341C">
        <w:rPr>
          <w:rFonts w:ascii="Times New Roman" w:hAnsi="Times New Roman" w:cs="Times New Roman"/>
          <w:sz w:val="20"/>
          <w:szCs w:val="20"/>
          <w:lang w:val="en-GB"/>
        </w:rPr>
        <w:t xml:space="preserve">Data are n (%). Definition of abbreviations: </w:t>
      </w:r>
      <w:r w:rsidR="00A4759B">
        <w:rPr>
          <w:rFonts w:ascii="Times New Roman" w:hAnsi="Times New Roman" w:cs="Times New Roman"/>
          <w:sz w:val="20"/>
          <w:szCs w:val="20"/>
          <w:lang w:val="en-GB"/>
        </w:rPr>
        <w:t xml:space="preserve">RT = radiotherapy. </w:t>
      </w:r>
      <w:r w:rsidRPr="0053341C">
        <w:rPr>
          <w:rFonts w:ascii="Times New Roman" w:hAnsi="Times New Roman" w:cs="Times New Roman"/>
          <w:sz w:val="20"/>
          <w:szCs w:val="20"/>
          <w:lang w:val="en-GB"/>
        </w:rPr>
        <w:t xml:space="preserve">EEC = endometrioid endometrial cancer. NEEC = non-endometrioid endometrial cancer. POLEmut = POLE-ultramutated. MMRd = mismatch-repair deficient. p53abn = p53 abnormal. NSMP = no specific molecular profile. </w:t>
      </w:r>
    </w:p>
    <w:p w14:paraId="350C5FA0" w14:textId="0541AE95" w:rsidR="00032D9B" w:rsidRPr="0053341C" w:rsidRDefault="007B3010" w:rsidP="007B3010">
      <w:pPr>
        <w:pStyle w:val="NoSpacing"/>
        <w:rPr>
          <w:lang w:val="en-GB"/>
        </w:rPr>
      </w:pPr>
      <w:r w:rsidRPr="0053341C">
        <w:rPr>
          <w:rFonts w:ascii="Times New Roman" w:hAnsi="Times New Roman" w:cs="Times New Roman"/>
          <w:sz w:val="20"/>
          <w:szCs w:val="20"/>
          <w:lang w:val="en-GB"/>
        </w:rPr>
        <w:t>1) Mann-Whitney U test. 2) Kruskal-Wallis test. 3) 34 missing. 4) 31 missing. 5) 24 missing.</w:t>
      </w:r>
      <w:r w:rsidRPr="0053341C">
        <w:rPr>
          <w:lang w:val="en-GB"/>
        </w:rPr>
        <w:t xml:space="preserve"> </w:t>
      </w:r>
      <w:r w:rsidR="00A41977">
        <w:rPr>
          <w:lang w:val="en-GB"/>
        </w:rPr>
        <w:t xml:space="preserve">6) </w:t>
      </w:r>
      <w:r w:rsidR="00A41977" w:rsidRPr="00A41977">
        <w:rPr>
          <w:rFonts w:ascii="Times New Roman" w:hAnsi="Times New Roman" w:cs="Times New Roman"/>
          <w:sz w:val="20"/>
          <w:szCs w:val="20"/>
          <w:lang w:val="en-GB"/>
        </w:rPr>
        <w:t xml:space="preserve">&gt;10% nuclear ER expression </w:t>
      </w:r>
      <w:r w:rsidR="00477DC7">
        <w:rPr>
          <w:rFonts w:ascii="Times New Roman" w:hAnsi="Times New Roman" w:cs="Times New Roman"/>
          <w:sz w:val="20"/>
          <w:szCs w:val="20"/>
          <w:lang w:val="en-GB"/>
        </w:rPr>
        <w:t>was</w:t>
      </w:r>
      <w:r w:rsidR="00A41977" w:rsidRPr="00A41977">
        <w:rPr>
          <w:rFonts w:ascii="Times New Roman" w:hAnsi="Times New Roman" w:cs="Times New Roman"/>
          <w:sz w:val="20"/>
          <w:szCs w:val="20"/>
          <w:lang w:val="en-GB"/>
        </w:rPr>
        <w:t xml:space="preserve"> considered ER positive.</w:t>
      </w:r>
      <w:r w:rsidR="00A41977" w:rsidRPr="00A41977">
        <w:rPr>
          <w:lang w:val="en-GB"/>
        </w:rPr>
        <w:t xml:space="preserve"> </w:t>
      </w:r>
      <w:r w:rsidR="00032D9B" w:rsidRPr="0053341C">
        <w:rPr>
          <w:lang w:val="en-GB"/>
        </w:rPr>
        <w:br w:type="page"/>
      </w:r>
    </w:p>
    <w:tbl>
      <w:tblPr>
        <w:tblpPr w:leftFromText="141" w:rightFromText="141" w:tblpY="435"/>
        <w:tblW w:w="8680" w:type="dxa"/>
        <w:tblCellMar>
          <w:left w:w="70" w:type="dxa"/>
          <w:right w:w="70" w:type="dxa"/>
        </w:tblCellMar>
        <w:tblLook w:val="04A0" w:firstRow="1" w:lastRow="0" w:firstColumn="1" w:lastColumn="0" w:noHBand="0" w:noVBand="1"/>
      </w:tblPr>
      <w:tblGrid>
        <w:gridCol w:w="2840"/>
        <w:gridCol w:w="1460"/>
        <w:gridCol w:w="1460"/>
        <w:gridCol w:w="1460"/>
        <w:gridCol w:w="1460"/>
      </w:tblGrid>
      <w:tr w:rsidR="0053341C" w:rsidRPr="0053341C" w14:paraId="3106E49B" w14:textId="77777777" w:rsidTr="0053341C">
        <w:trPr>
          <w:trHeight w:val="300"/>
        </w:trPr>
        <w:tc>
          <w:tcPr>
            <w:tcW w:w="2840" w:type="dxa"/>
            <w:tcBorders>
              <w:top w:val="single" w:sz="4" w:space="0" w:color="auto"/>
              <w:left w:val="single" w:sz="4" w:space="0" w:color="auto"/>
              <w:bottom w:val="nil"/>
              <w:right w:val="nil"/>
            </w:tcBorders>
            <w:shd w:val="clear" w:color="auto" w:fill="auto"/>
            <w:noWrap/>
            <w:vAlign w:val="bottom"/>
            <w:hideMark/>
          </w:tcPr>
          <w:p w14:paraId="66018E19" w14:textId="159CDBE3"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lastRenderedPageBreak/>
              <w:t>Age groups</w:t>
            </w:r>
            <w:r w:rsidR="006B7E70">
              <w:rPr>
                <w:rFonts w:ascii="Times New Roman" w:eastAsia="Times New Roman" w:hAnsi="Times New Roman" w:cs="Times New Roman"/>
                <w:b/>
                <w:bCs/>
                <w:color w:val="000000"/>
                <w:sz w:val="20"/>
                <w:szCs w:val="20"/>
                <w:lang w:eastAsia="nl-NL"/>
              </w:rPr>
              <w:t xml:space="preserve"> (years)</w:t>
            </w:r>
          </w:p>
        </w:tc>
        <w:tc>
          <w:tcPr>
            <w:tcW w:w="1460" w:type="dxa"/>
            <w:tcBorders>
              <w:top w:val="single" w:sz="4" w:space="0" w:color="auto"/>
              <w:left w:val="nil"/>
              <w:bottom w:val="nil"/>
              <w:right w:val="nil"/>
            </w:tcBorders>
            <w:shd w:val="clear" w:color="auto" w:fill="auto"/>
            <w:noWrap/>
            <w:vAlign w:val="bottom"/>
            <w:hideMark/>
          </w:tcPr>
          <w:p w14:paraId="64B55488"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&lt;60</w:t>
            </w:r>
          </w:p>
        </w:tc>
        <w:tc>
          <w:tcPr>
            <w:tcW w:w="1460" w:type="dxa"/>
            <w:tcBorders>
              <w:top w:val="single" w:sz="4" w:space="0" w:color="auto"/>
              <w:left w:val="nil"/>
              <w:bottom w:val="nil"/>
              <w:right w:val="nil"/>
            </w:tcBorders>
            <w:shd w:val="clear" w:color="auto" w:fill="auto"/>
            <w:noWrap/>
            <w:vAlign w:val="bottom"/>
            <w:hideMark/>
          </w:tcPr>
          <w:p w14:paraId="1B78E47D"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60-&lt;70</w:t>
            </w:r>
          </w:p>
        </w:tc>
        <w:tc>
          <w:tcPr>
            <w:tcW w:w="1460" w:type="dxa"/>
            <w:tcBorders>
              <w:top w:val="single" w:sz="4" w:space="0" w:color="auto"/>
              <w:left w:val="nil"/>
              <w:bottom w:val="nil"/>
              <w:right w:val="nil"/>
            </w:tcBorders>
            <w:shd w:val="clear" w:color="auto" w:fill="auto"/>
            <w:noWrap/>
            <w:vAlign w:val="bottom"/>
            <w:hideMark/>
          </w:tcPr>
          <w:p w14:paraId="07E2454A"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≥70</w:t>
            </w:r>
          </w:p>
        </w:tc>
        <w:tc>
          <w:tcPr>
            <w:tcW w:w="1460" w:type="dxa"/>
            <w:tcBorders>
              <w:top w:val="single" w:sz="4" w:space="0" w:color="auto"/>
              <w:left w:val="nil"/>
              <w:bottom w:val="nil"/>
              <w:right w:val="single" w:sz="4" w:space="0" w:color="auto"/>
            </w:tcBorders>
            <w:shd w:val="clear" w:color="auto" w:fill="auto"/>
            <w:noWrap/>
            <w:vAlign w:val="bottom"/>
            <w:hideMark/>
          </w:tcPr>
          <w:p w14:paraId="0E88CC00"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p value</w:t>
            </w:r>
          </w:p>
        </w:tc>
      </w:tr>
      <w:tr w:rsidR="0053341C" w:rsidRPr="0053341C" w14:paraId="1C0FBF17"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707CE88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c>
          <w:tcPr>
            <w:tcW w:w="1460" w:type="dxa"/>
            <w:tcBorders>
              <w:top w:val="nil"/>
              <w:left w:val="nil"/>
              <w:bottom w:val="nil"/>
              <w:right w:val="nil"/>
            </w:tcBorders>
            <w:shd w:val="clear" w:color="auto" w:fill="auto"/>
            <w:noWrap/>
            <w:vAlign w:val="bottom"/>
            <w:hideMark/>
          </w:tcPr>
          <w:p w14:paraId="02F12AD5"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n=268</w:t>
            </w:r>
          </w:p>
        </w:tc>
        <w:tc>
          <w:tcPr>
            <w:tcW w:w="1460" w:type="dxa"/>
            <w:tcBorders>
              <w:top w:val="nil"/>
              <w:left w:val="nil"/>
              <w:bottom w:val="nil"/>
              <w:right w:val="nil"/>
            </w:tcBorders>
            <w:shd w:val="clear" w:color="auto" w:fill="auto"/>
            <w:noWrap/>
            <w:vAlign w:val="bottom"/>
            <w:hideMark/>
          </w:tcPr>
          <w:p w14:paraId="7904F23C"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n=272</w:t>
            </w:r>
          </w:p>
        </w:tc>
        <w:tc>
          <w:tcPr>
            <w:tcW w:w="1460" w:type="dxa"/>
            <w:tcBorders>
              <w:top w:val="nil"/>
              <w:left w:val="nil"/>
              <w:bottom w:val="nil"/>
              <w:right w:val="nil"/>
            </w:tcBorders>
            <w:shd w:val="clear" w:color="auto" w:fill="auto"/>
            <w:noWrap/>
            <w:vAlign w:val="bottom"/>
            <w:hideMark/>
          </w:tcPr>
          <w:p w14:paraId="4DCDE53B"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n=120</w:t>
            </w:r>
          </w:p>
        </w:tc>
        <w:tc>
          <w:tcPr>
            <w:tcW w:w="1460" w:type="dxa"/>
            <w:tcBorders>
              <w:top w:val="nil"/>
              <w:left w:val="nil"/>
              <w:bottom w:val="nil"/>
              <w:right w:val="single" w:sz="4" w:space="0" w:color="auto"/>
            </w:tcBorders>
            <w:shd w:val="clear" w:color="auto" w:fill="auto"/>
            <w:noWrap/>
            <w:vAlign w:val="bottom"/>
            <w:hideMark/>
          </w:tcPr>
          <w:p w14:paraId="6EDFD588"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 </w:t>
            </w:r>
          </w:p>
        </w:tc>
      </w:tr>
      <w:tr w:rsidR="0053341C" w:rsidRPr="0053341C" w14:paraId="0BE06965" w14:textId="77777777" w:rsidTr="0053341C">
        <w:trPr>
          <w:trHeight w:val="345"/>
        </w:trPr>
        <w:tc>
          <w:tcPr>
            <w:tcW w:w="2840" w:type="dxa"/>
            <w:tcBorders>
              <w:top w:val="single" w:sz="4" w:space="0" w:color="auto"/>
              <w:left w:val="single" w:sz="4" w:space="0" w:color="auto"/>
              <w:bottom w:val="nil"/>
              <w:right w:val="nil"/>
            </w:tcBorders>
            <w:shd w:val="clear" w:color="auto" w:fill="auto"/>
            <w:noWrap/>
            <w:vAlign w:val="bottom"/>
            <w:hideMark/>
          </w:tcPr>
          <w:p w14:paraId="2322926D"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 xml:space="preserve">Lymphadenectomy </w:t>
            </w:r>
          </w:p>
        </w:tc>
        <w:tc>
          <w:tcPr>
            <w:tcW w:w="1460" w:type="dxa"/>
            <w:tcBorders>
              <w:top w:val="single" w:sz="4" w:space="0" w:color="auto"/>
              <w:left w:val="nil"/>
              <w:bottom w:val="nil"/>
              <w:right w:val="nil"/>
            </w:tcBorders>
            <w:shd w:val="clear" w:color="auto" w:fill="auto"/>
            <w:noWrap/>
            <w:vAlign w:val="bottom"/>
            <w:hideMark/>
          </w:tcPr>
          <w:p w14:paraId="0058148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c>
          <w:tcPr>
            <w:tcW w:w="1460" w:type="dxa"/>
            <w:tcBorders>
              <w:top w:val="single" w:sz="4" w:space="0" w:color="auto"/>
              <w:left w:val="nil"/>
              <w:bottom w:val="nil"/>
              <w:right w:val="nil"/>
            </w:tcBorders>
            <w:shd w:val="clear" w:color="auto" w:fill="auto"/>
            <w:noWrap/>
            <w:vAlign w:val="bottom"/>
            <w:hideMark/>
          </w:tcPr>
          <w:p w14:paraId="4E172F1E"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c>
          <w:tcPr>
            <w:tcW w:w="1460" w:type="dxa"/>
            <w:tcBorders>
              <w:top w:val="single" w:sz="4" w:space="0" w:color="auto"/>
              <w:left w:val="nil"/>
              <w:bottom w:val="nil"/>
              <w:right w:val="nil"/>
            </w:tcBorders>
            <w:shd w:val="clear" w:color="auto" w:fill="auto"/>
            <w:noWrap/>
            <w:vAlign w:val="bottom"/>
            <w:hideMark/>
          </w:tcPr>
          <w:p w14:paraId="6A7769B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c>
          <w:tcPr>
            <w:tcW w:w="1460" w:type="dxa"/>
            <w:tcBorders>
              <w:top w:val="single" w:sz="4" w:space="0" w:color="auto"/>
              <w:left w:val="nil"/>
              <w:bottom w:val="nil"/>
              <w:right w:val="single" w:sz="4" w:space="0" w:color="auto"/>
            </w:tcBorders>
            <w:shd w:val="clear" w:color="auto" w:fill="auto"/>
            <w:noWrap/>
            <w:vAlign w:val="bottom"/>
            <w:hideMark/>
          </w:tcPr>
          <w:p w14:paraId="021F7537"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0.62</w:t>
            </w:r>
            <w:r w:rsidRPr="0053341C">
              <w:rPr>
                <w:rFonts w:ascii="Times New Roman" w:eastAsia="Times New Roman" w:hAnsi="Times New Roman" w:cs="Times New Roman"/>
                <w:b/>
                <w:bCs/>
                <w:color w:val="000000"/>
                <w:sz w:val="20"/>
                <w:szCs w:val="20"/>
                <w:vertAlign w:val="superscript"/>
                <w:lang w:eastAsia="nl-NL"/>
              </w:rPr>
              <w:t>1</w:t>
            </w:r>
          </w:p>
        </w:tc>
      </w:tr>
      <w:tr w:rsidR="0053341C" w:rsidRPr="0053341C" w14:paraId="3515D40D"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3B37F3D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Not performed</w:t>
            </w:r>
          </w:p>
        </w:tc>
        <w:tc>
          <w:tcPr>
            <w:tcW w:w="1460" w:type="dxa"/>
            <w:tcBorders>
              <w:top w:val="nil"/>
              <w:left w:val="nil"/>
              <w:bottom w:val="nil"/>
              <w:right w:val="nil"/>
            </w:tcBorders>
            <w:shd w:val="clear" w:color="auto" w:fill="auto"/>
            <w:noWrap/>
            <w:vAlign w:val="bottom"/>
            <w:hideMark/>
          </w:tcPr>
          <w:p w14:paraId="6C91D5F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116 (43.3%)</w:t>
            </w:r>
          </w:p>
        </w:tc>
        <w:tc>
          <w:tcPr>
            <w:tcW w:w="1460" w:type="dxa"/>
            <w:tcBorders>
              <w:top w:val="nil"/>
              <w:left w:val="nil"/>
              <w:bottom w:val="nil"/>
              <w:right w:val="nil"/>
            </w:tcBorders>
            <w:shd w:val="clear" w:color="auto" w:fill="auto"/>
            <w:noWrap/>
            <w:vAlign w:val="bottom"/>
            <w:hideMark/>
          </w:tcPr>
          <w:p w14:paraId="31CA13A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111 (40.8%)</w:t>
            </w:r>
          </w:p>
        </w:tc>
        <w:tc>
          <w:tcPr>
            <w:tcW w:w="1460" w:type="dxa"/>
            <w:tcBorders>
              <w:top w:val="nil"/>
              <w:left w:val="nil"/>
              <w:bottom w:val="nil"/>
              <w:right w:val="nil"/>
            </w:tcBorders>
            <w:shd w:val="clear" w:color="auto" w:fill="auto"/>
            <w:noWrap/>
            <w:vAlign w:val="bottom"/>
            <w:hideMark/>
          </w:tcPr>
          <w:p w14:paraId="306022F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54 (45.0%)</w:t>
            </w:r>
          </w:p>
        </w:tc>
        <w:tc>
          <w:tcPr>
            <w:tcW w:w="1460" w:type="dxa"/>
            <w:tcBorders>
              <w:top w:val="nil"/>
              <w:left w:val="nil"/>
              <w:bottom w:val="nil"/>
              <w:right w:val="single" w:sz="4" w:space="0" w:color="auto"/>
            </w:tcBorders>
            <w:shd w:val="clear" w:color="auto" w:fill="auto"/>
            <w:noWrap/>
            <w:vAlign w:val="bottom"/>
            <w:hideMark/>
          </w:tcPr>
          <w:p w14:paraId="732A33E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68F2F421"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2174B3F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Performed</w:t>
            </w:r>
          </w:p>
        </w:tc>
        <w:tc>
          <w:tcPr>
            <w:tcW w:w="1460" w:type="dxa"/>
            <w:tcBorders>
              <w:top w:val="nil"/>
              <w:left w:val="nil"/>
              <w:bottom w:val="nil"/>
              <w:right w:val="nil"/>
            </w:tcBorders>
            <w:shd w:val="clear" w:color="auto" w:fill="auto"/>
            <w:noWrap/>
            <w:vAlign w:val="bottom"/>
            <w:hideMark/>
          </w:tcPr>
          <w:p w14:paraId="1527E76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152 (56.7%)</w:t>
            </w:r>
          </w:p>
        </w:tc>
        <w:tc>
          <w:tcPr>
            <w:tcW w:w="1460" w:type="dxa"/>
            <w:tcBorders>
              <w:top w:val="nil"/>
              <w:left w:val="nil"/>
              <w:bottom w:val="nil"/>
              <w:right w:val="nil"/>
            </w:tcBorders>
            <w:shd w:val="clear" w:color="auto" w:fill="auto"/>
            <w:noWrap/>
            <w:vAlign w:val="bottom"/>
            <w:hideMark/>
          </w:tcPr>
          <w:p w14:paraId="36E49BB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161 (59.2%)</w:t>
            </w:r>
          </w:p>
        </w:tc>
        <w:tc>
          <w:tcPr>
            <w:tcW w:w="1460" w:type="dxa"/>
            <w:tcBorders>
              <w:top w:val="nil"/>
              <w:left w:val="nil"/>
              <w:bottom w:val="nil"/>
              <w:right w:val="nil"/>
            </w:tcBorders>
            <w:shd w:val="clear" w:color="auto" w:fill="auto"/>
            <w:noWrap/>
            <w:vAlign w:val="bottom"/>
            <w:hideMark/>
          </w:tcPr>
          <w:p w14:paraId="7B3620F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66 (55.0%)</w:t>
            </w:r>
          </w:p>
        </w:tc>
        <w:tc>
          <w:tcPr>
            <w:tcW w:w="1460" w:type="dxa"/>
            <w:tcBorders>
              <w:top w:val="nil"/>
              <w:left w:val="nil"/>
              <w:bottom w:val="nil"/>
              <w:right w:val="single" w:sz="4" w:space="0" w:color="auto"/>
            </w:tcBorders>
            <w:shd w:val="clear" w:color="auto" w:fill="auto"/>
            <w:noWrap/>
            <w:vAlign w:val="bottom"/>
            <w:hideMark/>
          </w:tcPr>
          <w:p w14:paraId="669B254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06CCF877" w14:textId="77777777" w:rsidTr="0053341C">
        <w:trPr>
          <w:trHeight w:val="345"/>
        </w:trPr>
        <w:tc>
          <w:tcPr>
            <w:tcW w:w="4300" w:type="dxa"/>
            <w:gridSpan w:val="2"/>
            <w:tcBorders>
              <w:top w:val="nil"/>
              <w:left w:val="single" w:sz="4" w:space="0" w:color="auto"/>
              <w:bottom w:val="nil"/>
              <w:right w:val="nil"/>
            </w:tcBorders>
            <w:shd w:val="clear" w:color="auto" w:fill="auto"/>
            <w:noWrap/>
            <w:vAlign w:val="bottom"/>
            <w:hideMark/>
          </w:tcPr>
          <w:p w14:paraId="4B8C8B2D"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Randomly allocated treatment</w:t>
            </w:r>
          </w:p>
        </w:tc>
        <w:tc>
          <w:tcPr>
            <w:tcW w:w="1460" w:type="dxa"/>
            <w:tcBorders>
              <w:top w:val="nil"/>
              <w:left w:val="nil"/>
              <w:bottom w:val="nil"/>
              <w:right w:val="nil"/>
            </w:tcBorders>
            <w:shd w:val="clear" w:color="auto" w:fill="auto"/>
            <w:noWrap/>
            <w:vAlign w:val="bottom"/>
            <w:hideMark/>
          </w:tcPr>
          <w:p w14:paraId="69C41A7B"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338D86C"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56D364C0"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0.68</w:t>
            </w:r>
            <w:r w:rsidRPr="0053341C">
              <w:rPr>
                <w:rFonts w:ascii="Times New Roman" w:eastAsia="Times New Roman" w:hAnsi="Times New Roman" w:cs="Times New Roman"/>
                <w:b/>
                <w:bCs/>
                <w:color w:val="000000"/>
                <w:sz w:val="20"/>
                <w:szCs w:val="20"/>
                <w:vertAlign w:val="superscript"/>
                <w:lang w:eastAsia="nl-NL"/>
              </w:rPr>
              <w:t>1</w:t>
            </w:r>
          </w:p>
        </w:tc>
      </w:tr>
      <w:tr w:rsidR="0053341C" w:rsidRPr="0053341C" w14:paraId="3248B70A"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0064912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External beam RT</w:t>
            </w:r>
          </w:p>
        </w:tc>
        <w:tc>
          <w:tcPr>
            <w:tcW w:w="1460" w:type="dxa"/>
            <w:tcBorders>
              <w:top w:val="nil"/>
              <w:left w:val="nil"/>
              <w:bottom w:val="nil"/>
              <w:right w:val="nil"/>
            </w:tcBorders>
            <w:shd w:val="clear" w:color="auto" w:fill="auto"/>
            <w:noWrap/>
            <w:vAlign w:val="bottom"/>
            <w:hideMark/>
          </w:tcPr>
          <w:p w14:paraId="2D202C5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140 (52.2%)</w:t>
            </w:r>
          </w:p>
        </w:tc>
        <w:tc>
          <w:tcPr>
            <w:tcW w:w="1460" w:type="dxa"/>
            <w:tcBorders>
              <w:top w:val="nil"/>
              <w:left w:val="nil"/>
              <w:bottom w:val="nil"/>
              <w:right w:val="nil"/>
            </w:tcBorders>
            <w:shd w:val="clear" w:color="auto" w:fill="auto"/>
            <w:noWrap/>
            <w:vAlign w:val="bottom"/>
            <w:hideMark/>
          </w:tcPr>
          <w:p w14:paraId="465152B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128 (47.1%)</w:t>
            </w:r>
          </w:p>
        </w:tc>
        <w:tc>
          <w:tcPr>
            <w:tcW w:w="1460" w:type="dxa"/>
            <w:tcBorders>
              <w:top w:val="nil"/>
              <w:left w:val="nil"/>
              <w:bottom w:val="nil"/>
              <w:right w:val="nil"/>
            </w:tcBorders>
            <w:shd w:val="clear" w:color="auto" w:fill="auto"/>
            <w:noWrap/>
            <w:vAlign w:val="bottom"/>
            <w:hideMark/>
          </w:tcPr>
          <w:p w14:paraId="38DFAB59"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62 (51.7%)</w:t>
            </w:r>
          </w:p>
        </w:tc>
        <w:tc>
          <w:tcPr>
            <w:tcW w:w="1460" w:type="dxa"/>
            <w:tcBorders>
              <w:top w:val="nil"/>
              <w:left w:val="nil"/>
              <w:bottom w:val="nil"/>
              <w:right w:val="single" w:sz="4" w:space="0" w:color="auto"/>
            </w:tcBorders>
            <w:shd w:val="clear" w:color="auto" w:fill="auto"/>
            <w:noWrap/>
            <w:vAlign w:val="bottom"/>
            <w:hideMark/>
          </w:tcPr>
          <w:p w14:paraId="77BD3FE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7A34F983"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2AA2D0E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Chemoradiation</w:t>
            </w:r>
          </w:p>
        </w:tc>
        <w:tc>
          <w:tcPr>
            <w:tcW w:w="1460" w:type="dxa"/>
            <w:tcBorders>
              <w:top w:val="nil"/>
              <w:left w:val="nil"/>
              <w:bottom w:val="nil"/>
              <w:right w:val="nil"/>
            </w:tcBorders>
            <w:shd w:val="clear" w:color="auto" w:fill="auto"/>
            <w:noWrap/>
            <w:vAlign w:val="bottom"/>
            <w:hideMark/>
          </w:tcPr>
          <w:p w14:paraId="4333FDD6"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128 (47.8%)</w:t>
            </w:r>
          </w:p>
        </w:tc>
        <w:tc>
          <w:tcPr>
            <w:tcW w:w="1460" w:type="dxa"/>
            <w:tcBorders>
              <w:top w:val="nil"/>
              <w:left w:val="nil"/>
              <w:bottom w:val="nil"/>
              <w:right w:val="nil"/>
            </w:tcBorders>
            <w:shd w:val="clear" w:color="auto" w:fill="auto"/>
            <w:noWrap/>
            <w:vAlign w:val="bottom"/>
            <w:hideMark/>
          </w:tcPr>
          <w:p w14:paraId="3C9DDA2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144 (52.9%)</w:t>
            </w:r>
          </w:p>
        </w:tc>
        <w:tc>
          <w:tcPr>
            <w:tcW w:w="1460" w:type="dxa"/>
            <w:tcBorders>
              <w:top w:val="nil"/>
              <w:left w:val="nil"/>
              <w:bottom w:val="nil"/>
              <w:right w:val="nil"/>
            </w:tcBorders>
            <w:shd w:val="clear" w:color="auto" w:fill="auto"/>
            <w:noWrap/>
            <w:vAlign w:val="bottom"/>
            <w:hideMark/>
          </w:tcPr>
          <w:p w14:paraId="0EC5E03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58 (48.3%)</w:t>
            </w:r>
          </w:p>
        </w:tc>
        <w:tc>
          <w:tcPr>
            <w:tcW w:w="1460" w:type="dxa"/>
            <w:tcBorders>
              <w:top w:val="nil"/>
              <w:left w:val="nil"/>
              <w:bottom w:val="nil"/>
              <w:right w:val="single" w:sz="4" w:space="0" w:color="auto"/>
            </w:tcBorders>
            <w:shd w:val="clear" w:color="auto" w:fill="auto"/>
            <w:noWrap/>
            <w:vAlign w:val="bottom"/>
            <w:hideMark/>
          </w:tcPr>
          <w:p w14:paraId="583812C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20B88BFB"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5D5510A6" w14:textId="47AF61D9"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Stage</w:t>
            </w:r>
            <w:r w:rsidR="0002655F">
              <w:rPr>
                <w:rFonts w:ascii="Times New Roman" w:eastAsia="Times New Roman" w:hAnsi="Times New Roman" w:cs="Times New Roman"/>
                <w:b/>
                <w:bCs/>
                <w:color w:val="000000"/>
                <w:sz w:val="20"/>
                <w:szCs w:val="20"/>
                <w:lang w:eastAsia="nl-NL"/>
              </w:rPr>
              <w:t xml:space="preserve"> (FIGO 2009)</w:t>
            </w:r>
          </w:p>
        </w:tc>
        <w:tc>
          <w:tcPr>
            <w:tcW w:w="1460" w:type="dxa"/>
            <w:tcBorders>
              <w:top w:val="nil"/>
              <w:left w:val="nil"/>
              <w:bottom w:val="nil"/>
              <w:right w:val="nil"/>
            </w:tcBorders>
            <w:shd w:val="clear" w:color="auto" w:fill="auto"/>
            <w:noWrap/>
            <w:vAlign w:val="bottom"/>
            <w:hideMark/>
          </w:tcPr>
          <w:p w14:paraId="236C861A"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561461A"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FCAFED4"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399EEB60"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0.11</w:t>
            </w:r>
            <w:r w:rsidRPr="0053341C">
              <w:rPr>
                <w:rFonts w:ascii="Times New Roman" w:eastAsia="Times New Roman" w:hAnsi="Times New Roman" w:cs="Times New Roman"/>
                <w:b/>
                <w:bCs/>
                <w:color w:val="000000"/>
                <w:sz w:val="20"/>
                <w:szCs w:val="20"/>
                <w:vertAlign w:val="superscript"/>
                <w:lang w:eastAsia="nl-NL"/>
              </w:rPr>
              <w:t>2</w:t>
            </w:r>
          </w:p>
        </w:tc>
      </w:tr>
      <w:tr w:rsidR="0053341C" w:rsidRPr="0053341C" w14:paraId="1F6C4CAF"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62DEE84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IA</w:t>
            </w:r>
          </w:p>
        </w:tc>
        <w:tc>
          <w:tcPr>
            <w:tcW w:w="1460" w:type="dxa"/>
            <w:tcBorders>
              <w:top w:val="nil"/>
              <w:left w:val="nil"/>
              <w:bottom w:val="nil"/>
              <w:right w:val="nil"/>
            </w:tcBorders>
            <w:shd w:val="clear" w:color="auto" w:fill="auto"/>
            <w:noWrap/>
            <w:vAlign w:val="bottom"/>
            <w:hideMark/>
          </w:tcPr>
          <w:p w14:paraId="1C830D8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25 (9.3%)</w:t>
            </w:r>
          </w:p>
        </w:tc>
        <w:tc>
          <w:tcPr>
            <w:tcW w:w="1460" w:type="dxa"/>
            <w:tcBorders>
              <w:top w:val="nil"/>
              <w:left w:val="nil"/>
              <w:bottom w:val="nil"/>
              <w:right w:val="nil"/>
            </w:tcBorders>
            <w:shd w:val="clear" w:color="auto" w:fill="auto"/>
            <w:noWrap/>
            <w:vAlign w:val="bottom"/>
            <w:hideMark/>
          </w:tcPr>
          <w:p w14:paraId="6AAA739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37 (13.6%)</w:t>
            </w:r>
          </w:p>
        </w:tc>
        <w:tc>
          <w:tcPr>
            <w:tcW w:w="1460" w:type="dxa"/>
            <w:tcBorders>
              <w:top w:val="nil"/>
              <w:left w:val="nil"/>
              <w:bottom w:val="nil"/>
              <w:right w:val="nil"/>
            </w:tcBorders>
            <w:shd w:val="clear" w:color="auto" w:fill="auto"/>
            <w:noWrap/>
            <w:vAlign w:val="bottom"/>
            <w:hideMark/>
          </w:tcPr>
          <w:p w14:paraId="2821649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16 (13.3%)</w:t>
            </w:r>
          </w:p>
        </w:tc>
        <w:tc>
          <w:tcPr>
            <w:tcW w:w="1460" w:type="dxa"/>
            <w:tcBorders>
              <w:top w:val="nil"/>
              <w:left w:val="nil"/>
              <w:bottom w:val="nil"/>
              <w:right w:val="single" w:sz="4" w:space="0" w:color="auto"/>
            </w:tcBorders>
            <w:shd w:val="clear" w:color="auto" w:fill="auto"/>
            <w:noWrap/>
            <w:vAlign w:val="bottom"/>
            <w:hideMark/>
          </w:tcPr>
          <w:p w14:paraId="241D9F1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785F9328"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18C6929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IB</w:t>
            </w:r>
          </w:p>
        </w:tc>
        <w:tc>
          <w:tcPr>
            <w:tcW w:w="1460" w:type="dxa"/>
            <w:tcBorders>
              <w:top w:val="nil"/>
              <w:left w:val="nil"/>
              <w:bottom w:val="nil"/>
              <w:right w:val="nil"/>
            </w:tcBorders>
            <w:shd w:val="clear" w:color="auto" w:fill="auto"/>
            <w:noWrap/>
            <w:vAlign w:val="bottom"/>
            <w:hideMark/>
          </w:tcPr>
          <w:p w14:paraId="14F198F9"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47 (17.5%)</w:t>
            </w:r>
          </w:p>
        </w:tc>
        <w:tc>
          <w:tcPr>
            <w:tcW w:w="1460" w:type="dxa"/>
            <w:tcBorders>
              <w:top w:val="nil"/>
              <w:left w:val="nil"/>
              <w:bottom w:val="nil"/>
              <w:right w:val="nil"/>
            </w:tcBorders>
            <w:shd w:val="clear" w:color="auto" w:fill="auto"/>
            <w:noWrap/>
            <w:vAlign w:val="bottom"/>
            <w:hideMark/>
          </w:tcPr>
          <w:p w14:paraId="1386493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45 (16.5%)</w:t>
            </w:r>
          </w:p>
        </w:tc>
        <w:tc>
          <w:tcPr>
            <w:tcW w:w="1460" w:type="dxa"/>
            <w:tcBorders>
              <w:top w:val="nil"/>
              <w:left w:val="nil"/>
              <w:bottom w:val="nil"/>
              <w:right w:val="nil"/>
            </w:tcBorders>
            <w:shd w:val="clear" w:color="auto" w:fill="auto"/>
            <w:noWrap/>
            <w:vAlign w:val="bottom"/>
            <w:hideMark/>
          </w:tcPr>
          <w:p w14:paraId="21B2DA9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25 (20.8%)</w:t>
            </w:r>
          </w:p>
        </w:tc>
        <w:tc>
          <w:tcPr>
            <w:tcW w:w="1460" w:type="dxa"/>
            <w:tcBorders>
              <w:top w:val="nil"/>
              <w:left w:val="nil"/>
              <w:bottom w:val="nil"/>
              <w:right w:val="single" w:sz="4" w:space="0" w:color="auto"/>
            </w:tcBorders>
            <w:shd w:val="clear" w:color="auto" w:fill="auto"/>
            <w:noWrap/>
            <w:vAlign w:val="bottom"/>
            <w:hideMark/>
          </w:tcPr>
          <w:p w14:paraId="6579452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4F49B44E"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059D4E2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II</w:t>
            </w:r>
          </w:p>
        </w:tc>
        <w:tc>
          <w:tcPr>
            <w:tcW w:w="1460" w:type="dxa"/>
            <w:tcBorders>
              <w:top w:val="nil"/>
              <w:left w:val="nil"/>
              <w:bottom w:val="nil"/>
              <w:right w:val="nil"/>
            </w:tcBorders>
            <w:shd w:val="clear" w:color="auto" w:fill="auto"/>
            <w:noWrap/>
            <w:vAlign w:val="bottom"/>
            <w:hideMark/>
          </w:tcPr>
          <w:p w14:paraId="7ECB37B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70 (26.1%)</w:t>
            </w:r>
          </w:p>
        </w:tc>
        <w:tc>
          <w:tcPr>
            <w:tcW w:w="1460" w:type="dxa"/>
            <w:tcBorders>
              <w:top w:val="nil"/>
              <w:left w:val="nil"/>
              <w:bottom w:val="nil"/>
              <w:right w:val="nil"/>
            </w:tcBorders>
            <w:shd w:val="clear" w:color="auto" w:fill="auto"/>
            <w:noWrap/>
            <w:vAlign w:val="bottom"/>
            <w:hideMark/>
          </w:tcPr>
          <w:p w14:paraId="5524EDE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73 (26.8%)</w:t>
            </w:r>
          </w:p>
        </w:tc>
        <w:tc>
          <w:tcPr>
            <w:tcW w:w="1460" w:type="dxa"/>
            <w:tcBorders>
              <w:top w:val="nil"/>
              <w:left w:val="nil"/>
              <w:bottom w:val="nil"/>
              <w:right w:val="nil"/>
            </w:tcBorders>
            <w:shd w:val="clear" w:color="auto" w:fill="auto"/>
            <w:noWrap/>
            <w:vAlign w:val="bottom"/>
            <w:hideMark/>
          </w:tcPr>
          <w:p w14:paraId="04C8688E"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27 (22.5%)</w:t>
            </w:r>
          </w:p>
        </w:tc>
        <w:tc>
          <w:tcPr>
            <w:tcW w:w="1460" w:type="dxa"/>
            <w:tcBorders>
              <w:top w:val="nil"/>
              <w:left w:val="nil"/>
              <w:bottom w:val="nil"/>
              <w:right w:val="single" w:sz="4" w:space="0" w:color="auto"/>
            </w:tcBorders>
            <w:shd w:val="clear" w:color="auto" w:fill="auto"/>
            <w:noWrap/>
            <w:vAlign w:val="bottom"/>
            <w:hideMark/>
          </w:tcPr>
          <w:p w14:paraId="175FBFB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383E980D"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5996E75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III</w:t>
            </w:r>
          </w:p>
        </w:tc>
        <w:tc>
          <w:tcPr>
            <w:tcW w:w="1460" w:type="dxa"/>
            <w:tcBorders>
              <w:top w:val="nil"/>
              <w:left w:val="nil"/>
              <w:bottom w:val="nil"/>
              <w:right w:val="nil"/>
            </w:tcBorders>
            <w:shd w:val="clear" w:color="auto" w:fill="auto"/>
            <w:noWrap/>
            <w:vAlign w:val="bottom"/>
            <w:hideMark/>
          </w:tcPr>
          <w:p w14:paraId="0D3671C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126 (47.0%)</w:t>
            </w:r>
          </w:p>
        </w:tc>
        <w:tc>
          <w:tcPr>
            <w:tcW w:w="1460" w:type="dxa"/>
            <w:tcBorders>
              <w:top w:val="nil"/>
              <w:left w:val="nil"/>
              <w:bottom w:val="nil"/>
              <w:right w:val="nil"/>
            </w:tcBorders>
            <w:shd w:val="clear" w:color="auto" w:fill="auto"/>
            <w:noWrap/>
            <w:vAlign w:val="bottom"/>
            <w:hideMark/>
          </w:tcPr>
          <w:p w14:paraId="7CB8232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117 (43.0%)</w:t>
            </w:r>
          </w:p>
        </w:tc>
        <w:tc>
          <w:tcPr>
            <w:tcW w:w="1460" w:type="dxa"/>
            <w:tcBorders>
              <w:top w:val="nil"/>
              <w:left w:val="nil"/>
              <w:bottom w:val="nil"/>
              <w:right w:val="nil"/>
            </w:tcBorders>
            <w:shd w:val="clear" w:color="auto" w:fill="auto"/>
            <w:noWrap/>
            <w:vAlign w:val="bottom"/>
            <w:hideMark/>
          </w:tcPr>
          <w:p w14:paraId="3F29880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52 (43.3%)</w:t>
            </w:r>
          </w:p>
        </w:tc>
        <w:tc>
          <w:tcPr>
            <w:tcW w:w="1460" w:type="dxa"/>
            <w:tcBorders>
              <w:top w:val="nil"/>
              <w:left w:val="nil"/>
              <w:bottom w:val="nil"/>
              <w:right w:val="single" w:sz="4" w:space="0" w:color="auto"/>
            </w:tcBorders>
            <w:shd w:val="clear" w:color="auto" w:fill="auto"/>
            <w:noWrap/>
            <w:vAlign w:val="bottom"/>
            <w:hideMark/>
          </w:tcPr>
          <w:p w14:paraId="37544DE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08ACCBFC"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545BF679"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Histograde</w:t>
            </w:r>
          </w:p>
        </w:tc>
        <w:tc>
          <w:tcPr>
            <w:tcW w:w="1460" w:type="dxa"/>
            <w:tcBorders>
              <w:top w:val="nil"/>
              <w:left w:val="nil"/>
              <w:bottom w:val="nil"/>
              <w:right w:val="nil"/>
            </w:tcBorders>
            <w:shd w:val="clear" w:color="auto" w:fill="auto"/>
            <w:noWrap/>
            <w:vAlign w:val="bottom"/>
            <w:hideMark/>
          </w:tcPr>
          <w:p w14:paraId="670B724C"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3D2CAE7E"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62EEC4A"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012BCEE5"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&lt;0.0001</w:t>
            </w:r>
            <w:r w:rsidRPr="0053341C">
              <w:rPr>
                <w:rFonts w:ascii="Times New Roman" w:eastAsia="Times New Roman" w:hAnsi="Times New Roman" w:cs="Times New Roman"/>
                <w:b/>
                <w:bCs/>
                <w:color w:val="000000"/>
                <w:sz w:val="20"/>
                <w:szCs w:val="20"/>
                <w:vertAlign w:val="superscript"/>
                <w:lang w:eastAsia="nl-NL"/>
              </w:rPr>
              <w:t>2</w:t>
            </w:r>
          </w:p>
        </w:tc>
      </w:tr>
      <w:tr w:rsidR="0053341C" w:rsidRPr="0053341C" w14:paraId="546A7FEA"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681A3D2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Grade 1-2 EEC</w:t>
            </w:r>
          </w:p>
        </w:tc>
        <w:tc>
          <w:tcPr>
            <w:tcW w:w="1460" w:type="dxa"/>
            <w:tcBorders>
              <w:top w:val="nil"/>
              <w:left w:val="nil"/>
              <w:bottom w:val="nil"/>
              <w:right w:val="nil"/>
            </w:tcBorders>
            <w:shd w:val="clear" w:color="auto" w:fill="auto"/>
            <w:noWrap/>
            <w:vAlign w:val="bottom"/>
            <w:hideMark/>
          </w:tcPr>
          <w:p w14:paraId="51A8751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122 (45.5%)</w:t>
            </w:r>
          </w:p>
        </w:tc>
        <w:tc>
          <w:tcPr>
            <w:tcW w:w="1460" w:type="dxa"/>
            <w:tcBorders>
              <w:top w:val="nil"/>
              <w:left w:val="nil"/>
              <w:bottom w:val="nil"/>
              <w:right w:val="nil"/>
            </w:tcBorders>
            <w:shd w:val="clear" w:color="auto" w:fill="auto"/>
            <w:noWrap/>
            <w:vAlign w:val="bottom"/>
            <w:hideMark/>
          </w:tcPr>
          <w:p w14:paraId="469FED6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101 (37.1%)</w:t>
            </w:r>
          </w:p>
        </w:tc>
        <w:tc>
          <w:tcPr>
            <w:tcW w:w="1460" w:type="dxa"/>
            <w:tcBorders>
              <w:top w:val="nil"/>
              <w:left w:val="nil"/>
              <w:bottom w:val="nil"/>
              <w:right w:val="nil"/>
            </w:tcBorders>
            <w:shd w:val="clear" w:color="auto" w:fill="auto"/>
            <w:noWrap/>
            <w:vAlign w:val="bottom"/>
            <w:hideMark/>
          </w:tcPr>
          <w:p w14:paraId="0062AB2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34 (28.3%)</w:t>
            </w:r>
          </w:p>
        </w:tc>
        <w:tc>
          <w:tcPr>
            <w:tcW w:w="1460" w:type="dxa"/>
            <w:tcBorders>
              <w:top w:val="nil"/>
              <w:left w:val="nil"/>
              <w:bottom w:val="nil"/>
              <w:right w:val="single" w:sz="4" w:space="0" w:color="auto"/>
            </w:tcBorders>
            <w:shd w:val="clear" w:color="auto" w:fill="auto"/>
            <w:noWrap/>
            <w:vAlign w:val="bottom"/>
            <w:hideMark/>
          </w:tcPr>
          <w:p w14:paraId="644C0BB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64359413"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14BA15B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Grade 3 EEC</w:t>
            </w:r>
          </w:p>
        </w:tc>
        <w:tc>
          <w:tcPr>
            <w:tcW w:w="1460" w:type="dxa"/>
            <w:tcBorders>
              <w:top w:val="nil"/>
              <w:left w:val="nil"/>
              <w:bottom w:val="nil"/>
              <w:right w:val="nil"/>
            </w:tcBorders>
            <w:shd w:val="clear" w:color="auto" w:fill="auto"/>
            <w:noWrap/>
            <w:vAlign w:val="bottom"/>
            <w:hideMark/>
          </w:tcPr>
          <w:p w14:paraId="41DFE1E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83 (31.0%)</w:t>
            </w:r>
          </w:p>
        </w:tc>
        <w:tc>
          <w:tcPr>
            <w:tcW w:w="1460" w:type="dxa"/>
            <w:tcBorders>
              <w:top w:val="nil"/>
              <w:left w:val="nil"/>
              <w:bottom w:val="nil"/>
              <w:right w:val="nil"/>
            </w:tcBorders>
            <w:shd w:val="clear" w:color="auto" w:fill="auto"/>
            <w:noWrap/>
            <w:vAlign w:val="bottom"/>
            <w:hideMark/>
          </w:tcPr>
          <w:p w14:paraId="44EB0FC6"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73 (26.8%)</w:t>
            </w:r>
          </w:p>
        </w:tc>
        <w:tc>
          <w:tcPr>
            <w:tcW w:w="1460" w:type="dxa"/>
            <w:tcBorders>
              <w:top w:val="nil"/>
              <w:left w:val="nil"/>
              <w:bottom w:val="nil"/>
              <w:right w:val="nil"/>
            </w:tcBorders>
            <w:shd w:val="clear" w:color="auto" w:fill="auto"/>
            <w:noWrap/>
            <w:vAlign w:val="bottom"/>
            <w:hideMark/>
          </w:tcPr>
          <w:p w14:paraId="08C8EE2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29 (24.2%)</w:t>
            </w:r>
          </w:p>
        </w:tc>
        <w:tc>
          <w:tcPr>
            <w:tcW w:w="1460" w:type="dxa"/>
            <w:tcBorders>
              <w:top w:val="nil"/>
              <w:left w:val="nil"/>
              <w:bottom w:val="nil"/>
              <w:right w:val="single" w:sz="4" w:space="0" w:color="auto"/>
            </w:tcBorders>
            <w:shd w:val="clear" w:color="auto" w:fill="auto"/>
            <w:noWrap/>
            <w:vAlign w:val="bottom"/>
            <w:hideMark/>
          </w:tcPr>
          <w:p w14:paraId="1F64419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4BDDB31F"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767E82A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SEC</w:t>
            </w:r>
          </w:p>
        </w:tc>
        <w:tc>
          <w:tcPr>
            <w:tcW w:w="1460" w:type="dxa"/>
            <w:tcBorders>
              <w:top w:val="nil"/>
              <w:left w:val="nil"/>
              <w:bottom w:val="nil"/>
              <w:right w:val="nil"/>
            </w:tcBorders>
            <w:shd w:val="clear" w:color="auto" w:fill="auto"/>
            <w:noWrap/>
            <w:vAlign w:val="bottom"/>
            <w:hideMark/>
          </w:tcPr>
          <w:p w14:paraId="6E67342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25 (9.3%)</w:t>
            </w:r>
          </w:p>
        </w:tc>
        <w:tc>
          <w:tcPr>
            <w:tcW w:w="1460" w:type="dxa"/>
            <w:tcBorders>
              <w:top w:val="nil"/>
              <w:left w:val="nil"/>
              <w:bottom w:val="nil"/>
              <w:right w:val="nil"/>
            </w:tcBorders>
            <w:shd w:val="clear" w:color="auto" w:fill="auto"/>
            <w:noWrap/>
            <w:vAlign w:val="bottom"/>
            <w:hideMark/>
          </w:tcPr>
          <w:p w14:paraId="0847D2B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48 (17.6%)</w:t>
            </w:r>
          </w:p>
        </w:tc>
        <w:tc>
          <w:tcPr>
            <w:tcW w:w="1460" w:type="dxa"/>
            <w:tcBorders>
              <w:top w:val="nil"/>
              <w:left w:val="nil"/>
              <w:bottom w:val="nil"/>
              <w:right w:val="nil"/>
            </w:tcBorders>
            <w:shd w:val="clear" w:color="auto" w:fill="auto"/>
            <w:noWrap/>
            <w:vAlign w:val="bottom"/>
            <w:hideMark/>
          </w:tcPr>
          <w:p w14:paraId="466CAD7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32 (26.7%)</w:t>
            </w:r>
          </w:p>
        </w:tc>
        <w:tc>
          <w:tcPr>
            <w:tcW w:w="1460" w:type="dxa"/>
            <w:tcBorders>
              <w:top w:val="nil"/>
              <w:left w:val="nil"/>
              <w:bottom w:val="nil"/>
              <w:right w:val="single" w:sz="4" w:space="0" w:color="auto"/>
            </w:tcBorders>
            <w:shd w:val="clear" w:color="auto" w:fill="auto"/>
            <w:noWrap/>
            <w:vAlign w:val="bottom"/>
            <w:hideMark/>
          </w:tcPr>
          <w:p w14:paraId="5248BF3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49182A88"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132D80E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CCC</w:t>
            </w:r>
          </w:p>
        </w:tc>
        <w:tc>
          <w:tcPr>
            <w:tcW w:w="1460" w:type="dxa"/>
            <w:tcBorders>
              <w:top w:val="nil"/>
              <w:left w:val="nil"/>
              <w:bottom w:val="nil"/>
              <w:right w:val="nil"/>
            </w:tcBorders>
            <w:shd w:val="clear" w:color="auto" w:fill="auto"/>
            <w:noWrap/>
            <w:vAlign w:val="bottom"/>
            <w:hideMark/>
          </w:tcPr>
          <w:p w14:paraId="53B80E0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23 (8.6%)</w:t>
            </w:r>
          </w:p>
        </w:tc>
        <w:tc>
          <w:tcPr>
            <w:tcW w:w="1460" w:type="dxa"/>
            <w:tcBorders>
              <w:top w:val="nil"/>
              <w:left w:val="nil"/>
              <w:bottom w:val="nil"/>
              <w:right w:val="nil"/>
            </w:tcBorders>
            <w:shd w:val="clear" w:color="auto" w:fill="auto"/>
            <w:noWrap/>
            <w:vAlign w:val="bottom"/>
            <w:hideMark/>
          </w:tcPr>
          <w:p w14:paraId="56FF7ED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26 (9.6%)</w:t>
            </w:r>
          </w:p>
        </w:tc>
        <w:tc>
          <w:tcPr>
            <w:tcW w:w="1460" w:type="dxa"/>
            <w:tcBorders>
              <w:top w:val="nil"/>
              <w:left w:val="nil"/>
              <w:bottom w:val="nil"/>
              <w:right w:val="nil"/>
            </w:tcBorders>
            <w:shd w:val="clear" w:color="auto" w:fill="auto"/>
            <w:noWrap/>
            <w:vAlign w:val="bottom"/>
            <w:hideMark/>
          </w:tcPr>
          <w:p w14:paraId="22B18C1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13 (10.8%)</w:t>
            </w:r>
          </w:p>
        </w:tc>
        <w:tc>
          <w:tcPr>
            <w:tcW w:w="1460" w:type="dxa"/>
            <w:tcBorders>
              <w:top w:val="nil"/>
              <w:left w:val="nil"/>
              <w:bottom w:val="nil"/>
              <w:right w:val="single" w:sz="4" w:space="0" w:color="auto"/>
            </w:tcBorders>
            <w:shd w:val="clear" w:color="auto" w:fill="auto"/>
            <w:noWrap/>
            <w:vAlign w:val="bottom"/>
            <w:hideMark/>
          </w:tcPr>
          <w:p w14:paraId="1059337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3C8A2C00"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3F24762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Other</w:t>
            </w:r>
            <w:r w:rsidRPr="0053341C">
              <w:rPr>
                <w:rFonts w:ascii="Times New Roman" w:eastAsia="Times New Roman" w:hAnsi="Times New Roman" w:cs="Times New Roman"/>
                <w:color w:val="000000"/>
                <w:sz w:val="20"/>
                <w:szCs w:val="20"/>
                <w:vertAlign w:val="superscript"/>
                <w:lang w:eastAsia="nl-NL"/>
              </w:rPr>
              <w:t>6</w:t>
            </w:r>
          </w:p>
        </w:tc>
        <w:tc>
          <w:tcPr>
            <w:tcW w:w="1460" w:type="dxa"/>
            <w:tcBorders>
              <w:top w:val="nil"/>
              <w:left w:val="nil"/>
              <w:bottom w:val="nil"/>
              <w:right w:val="nil"/>
            </w:tcBorders>
            <w:shd w:val="clear" w:color="auto" w:fill="auto"/>
            <w:noWrap/>
            <w:vAlign w:val="bottom"/>
            <w:hideMark/>
          </w:tcPr>
          <w:p w14:paraId="74D497D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15 (5.6%)</w:t>
            </w:r>
          </w:p>
        </w:tc>
        <w:tc>
          <w:tcPr>
            <w:tcW w:w="1460" w:type="dxa"/>
            <w:tcBorders>
              <w:top w:val="nil"/>
              <w:left w:val="nil"/>
              <w:bottom w:val="nil"/>
              <w:right w:val="nil"/>
            </w:tcBorders>
            <w:shd w:val="clear" w:color="auto" w:fill="auto"/>
            <w:noWrap/>
            <w:vAlign w:val="bottom"/>
            <w:hideMark/>
          </w:tcPr>
          <w:p w14:paraId="1AD21AB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24 (8.8%)</w:t>
            </w:r>
          </w:p>
        </w:tc>
        <w:tc>
          <w:tcPr>
            <w:tcW w:w="1460" w:type="dxa"/>
            <w:tcBorders>
              <w:top w:val="nil"/>
              <w:left w:val="nil"/>
              <w:bottom w:val="nil"/>
              <w:right w:val="nil"/>
            </w:tcBorders>
            <w:shd w:val="clear" w:color="auto" w:fill="auto"/>
            <w:noWrap/>
            <w:vAlign w:val="bottom"/>
            <w:hideMark/>
          </w:tcPr>
          <w:p w14:paraId="095822B9"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 (10.0%)</w:t>
            </w:r>
          </w:p>
        </w:tc>
        <w:tc>
          <w:tcPr>
            <w:tcW w:w="1460" w:type="dxa"/>
            <w:tcBorders>
              <w:top w:val="nil"/>
              <w:left w:val="nil"/>
              <w:bottom w:val="nil"/>
              <w:right w:val="single" w:sz="4" w:space="0" w:color="auto"/>
            </w:tcBorders>
            <w:shd w:val="clear" w:color="auto" w:fill="auto"/>
            <w:noWrap/>
            <w:vAlign w:val="bottom"/>
            <w:hideMark/>
          </w:tcPr>
          <w:p w14:paraId="1538BBD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778788E9"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1BC6C522"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Myometrial invasion</w:t>
            </w:r>
            <w:r w:rsidRPr="0053341C">
              <w:rPr>
                <w:rFonts w:ascii="Times New Roman" w:eastAsia="Times New Roman" w:hAnsi="Times New Roman" w:cs="Times New Roman"/>
                <w:b/>
                <w:bCs/>
                <w:color w:val="000000"/>
                <w:sz w:val="20"/>
                <w:szCs w:val="20"/>
                <w:vertAlign w:val="superscript"/>
                <w:lang w:eastAsia="nl-NL"/>
              </w:rPr>
              <w:t>3</w:t>
            </w:r>
          </w:p>
        </w:tc>
        <w:tc>
          <w:tcPr>
            <w:tcW w:w="1460" w:type="dxa"/>
            <w:tcBorders>
              <w:top w:val="nil"/>
              <w:left w:val="nil"/>
              <w:bottom w:val="nil"/>
              <w:right w:val="nil"/>
            </w:tcBorders>
            <w:shd w:val="clear" w:color="auto" w:fill="auto"/>
            <w:noWrap/>
            <w:vAlign w:val="bottom"/>
            <w:hideMark/>
          </w:tcPr>
          <w:p w14:paraId="3385679E"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FE4F011"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2CDA8395"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55F6C8F0"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0.07</w:t>
            </w:r>
            <w:r w:rsidRPr="0053341C">
              <w:rPr>
                <w:rFonts w:ascii="Times New Roman" w:eastAsia="Times New Roman" w:hAnsi="Times New Roman" w:cs="Times New Roman"/>
                <w:b/>
                <w:bCs/>
                <w:color w:val="000000"/>
                <w:sz w:val="20"/>
                <w:szCs w:val="20"/>
                <w:vertAlign w:val="superscript"/>
                <w:lang w:eastAsia="nl-NL"/>
              </w:rPr>
              <w:t>1</w:t>
            </w:r>
          </w:p>
        </w:tc>
      </w:tr>
      <w:tr w:rsidR="0053341C" w:rsidRPr="0053341C" w14:paraId="36042D32"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259C37C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&lt; 50%</w:t>
            </w:r>
          </w:p>
        </w:tc>
        <w:tc>
          <w:tcPr>
            <w:tcW w:w="1460" w:type="dxa"/>
            <w:tcBorders>
              <w:top w:val="nil"/>
              <w:left w:val="nil"/>
              <w:bottom w:val="nil"/>
              <w:right w:val="nil"/>
            </w:tcBorders>
            <w:shd w:val="clear" w:color="auto" w:fill="auto"/>
            <w:noWrap/>
            <w:vAlign w:val="bottom"/>
            <w:hideMark/>
          </w:tcPr>
          <w:p w14:paraId="75156F56"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105 (39.5%)</w:t>
            </w:r>
          </w:p>
        </w:tc>
        <w:tc>
          <w:tcPr>
            <w:tcW w:w="1460" w:type="dxa"/>
            <w:tcBorders>
              <w:top w:val="nil"/>
              <w:left w:val="nil"/>
              <w:bottom w:val="nil"/>
              <w:right w:val="nil"/>
            </w:tcBorders>
            <w:shd w:val="clear" w:color="auto" w:fill="auto"/>
            <w:noWrap/>
            <w:vAlign w:val="bottom"/>
            <w:hideMark/>
          </w:tcPr>
          <w:p w14:paraId="525D3B7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98 (36.2%)</w:t>
            </w:r>
          </w:p>
        </w:tc>
        <w:tc>
          <w:tcPr>
            <w:tcW w:w="1460" w:type="dxa"/>
            <w:tcBorders>
              <w:top w:val="nil"/>
              <w:left w:val="nil"/>
              <w:bottom w:val="nil"/>
              <w:right w:val="nil"/>
            </w:tcBorders>
            <w:shd w:val="clear" w:color="auto" w:fill="auto"/>
            <w:noWrap/>
            <w:vAlign w:val="bottom"/>
            <w:hideMark/>
          </w:tcPr>
          <w:p w14:paraId="5DBF1C9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36 (30.0%)</w:t>
            </w:r>
          </w:p>
        </w:tc>
        <w:tc>
          <w:tcPr>
            <w:tcW w:w="1460" w:type="dxa"/>
            <w:tcBorders>
              <w:top w:val="nil"/>
              <w:left w:val="nil"/>
              <w:bottom w:val="nil"/>
              <w:right w:val="single" w:sz="4" w:space="0" w:color="auto"/>
            </w:tcBorders>
            <w:shd w:val="clear" w:color="auto" w:fill="auto"/>
            <w:noWrap/>
            <w:vAlign w:val="bottom"/>
            <w:hideMark/>
          </w:tcPr>
          <w:p w14:paraId="07B7ECC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5F9BE9C9"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59469DE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 50% </w:t>
            </w:r>
          </w:p>
        </w:tc>
        <w:tc>
          <w:tcPr>
            <w:tcW w:w="1460" w:type="dxa"/>
            <w:tcBorders>
              <w:top w:val="nil"/>
              <w:left w:val="nil"/>
              <w:bottom w:val="nil"/>
              <w:right w:val="nil"/>
            </w:tcBorders>
            <w:shd w:val="clear" w:color="auto" w:fill="auto"/>
            <w:noWrap/>
            <w:vAlign w:val="bottom"/>
            <w:hideMark/>
          </w:tcPr>
          <w:p w14:paraId="0524460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161 (60.5%)</w:t>
            </w:r>
          </w:p>
        </w:tc>
        <w:tc>
          <w:tcPr>
            <w:tcW w:w="1460" w:type="dxa"/>
            <w:tcBorders>
              <w:top w:val="nil"/>
              <w:left w:val="nil"/>
              <w:bottom w:val="nil"/>
              <w:right w:val="nil"/>
            </w:tcBorders>
            <w:shd w:val="clear" w:color="auto" w:fill="auto"/>
            <w:noWrap/>
            <w:vAlign w:val="bottom"/>
            <w:hideMark/>
          </w:tcPr>
          <w:p w14:paraId="5B9EC98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173 (63.8%)</w:t>
            </w:r>
          </w:p>
        </w:tc>
        <w:tc>
          <w:tcPr>
            <w:tcW w:w="1460" w:type="dxa"/>
            <w:tcBorders>
              <w:top w:val="nil"/>
              <w:left w:val="nil"/>
              <w:bottom w:val="nil"/>
              <w:right w:val="nil"/>
            </w:tcBorders>
            <w:shd w:val="clear" w:color="auto" w:fill="auto"/>
            <w:noWrap/>
            <w:vAlign w:val="bottom"/>
            <w:hideMark/>
          </w:tcPr>
          <w:p w14:paraId="75A694E9"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84 (70.0%)</w:t>
            </w:r>
          </w:p>
        </w:tc>
        <w:tc>
          <w:tcPr>
            <w:tcW w:w="1460" w:type="dxa"/>
            <w:tcBorders>
              <w:top w:val="nil"/>
              <w:left w:val="nil"/>
              <w:bottom w:val="nil"/>
              <w:right w:val="single" w:sz="4" w:space="0" w:color="auto"/>
            </w:tcBorders>
            <w:shd w:val="clear" w:color="auto" w:fill="auto"/>
            <w:noWrap/>
            <w:vAlign w:val="bottom"/>
            <w:hideMark/>
          </w:tcPr>
          <w:p w14:paraId="12ABB06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465E9892" w14:textId="77777777" w:rsidTr="0053341C">
        <w:trPr>
          <w:trHeight w:val="345"/>
        </w:trPr>
        <w:tc>
          <w:tcPr>
            <w:tcW w:w="4300" w:type="dxa"/>
            <w:gridSpan w:val="2"/>
            <w:tcBorders>
              <w:top w:val="nil"/>
              <w:left w:val="single" w:sz="4" w:space="0" w:color="auto"/>
              <w:bottom w:val="nil"/>
              <w:right w:val="nil"/>
            </w:tcBorders>
            <w:shd w:val="clear" w:color="auto" w:fill="auto"/>
            <w:noWrap/>
            <w:vAlign w:val="bottom"/>
            <w:hideMark/>
          </w:tcPr>
          <w:p w14:paraId="7B64B9F4"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Lymphovascular space invasion</w:t>
            </w:r>
          </w:p>
        </w:tc>
        <w:tc>
          <w:tcPr>
            <w:tcW w:w="1460" w:type="dxa"/>
            <w:tcBorders>
              <w:top w:val="nil"/>
              <w:left w:val="nil"/>
              <w:bottom w:val="nil"/>
              <w:right w:val="nil"/>
            </w:tcBorders>
            <w:shd w:val="clear" w:color="auto" w:fill="auto"/>
            <w:noWrap/>
            <w:vAlign w:val="bottom"/>
            <w:hideMark/>
          </w:tcPr>
          <w:p w14:paraId="623EC218"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CA907AF"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1B988CCF"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0.045</w:t>
            </w:r>
            <w:r w:rsidRPr="0053341C">
              <w:rPr>
                <w:rFonts w:ascii="Times New Roman" w:eastAsia="Times New Roman" w:hAnsi="Times New Roman" w:cs="Times New Roman"/>
                <w:b/>
                <w:bCs/>
                <w:color w:val="000000"/>
                <w:sz w:val="20"/>
                <w:szCs w:val="20"/>
                <w:vertAlign w:val="superscript"/>
                <w:lang w:eastAsia="nl-NL"/>
              </w:rPr>
              <w:t>1</w:t>
            </w:r>
          </w:p>
        </w:tc>
      </w:tr>
      <w:tr w:rsidR="0053341C" w:rsidRPr="0053341C" w14:paraId="7DF7050A"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360FFBC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None</w:t>
            </w:r>
          </w:p>
        </w:tc>
        <w:tc>
          <w:tcPr>
            <w:tcW w:w="1460" w:type="dxa"/>
            <w:tcBorders>
              <w:top w:val="nil"/>
              <w:left w:val="nil"/>
              <w:bottom w:val="nil"/>
              <w:right w:val="nil"/>
            </w:tcBorders>
            <w:shd w:val="clear" w:color="auto" w:fill="auto"/>
            <w:noWrap/>
            <w:vAlign w:val="bottom"/>
            <w:hideMark/>
          </w:tcPr>
          <w:p w14:paraId="1E3B8406"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120 (44.8%)</w:t>
            </w:r>
          </w:p>
        </w:tc>
        <w:tc>
          <w:tcPr>
            <w:tcW w:w="1460" w:type="dxa"/>
            <w:tcBorders>
              <w:top w:val="nil"/>
              <w:left w:val="nil"/>
              <w:bottom w:val="nil"/>
              <w:right w:val="nil"/>
            </w:tcBorders>
            <w:shd w:val="clear" w:color="auto" w:fill="auto"/>
            <w:noWrap/>
            <w:vAlign w:val="bottom"/>
            <w:hideMark/>
          </w:tcPr>
          <w:p w14:paraId="6C44958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104 (38.2%)</w:t>
            </w:r>
          </w:p>
        </w:tc>
        <w:tc>
          <w:tcPr>
            <w:tcW w:w="1460" w:type="dxa"/>
            <w:tcBorders>
              <w:top w:val="nil"/>
              <w:left w:val="nil"/>
              <w:bottom w:val="nil"/>
              <w:right w:val="nil"/>
            </w:tcBorders>
            <w:shd w:val="clear" w:color="auto" w:fill="auto"/>
            <w:noWrap/>
            <w:vAlign w:val="bottom"/>
            <w:hideMark/>
          </w:tcPr>
          <w:p w14:paraId="1E290A2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47 (39.2%)</w:t>
            </w:r>
          </w:p>
        </w:tc>
        <w:tc>
          <w:tcPr>
            <w:tcW w:w="1460" w:type="dxa"/>
            <w:tcBorders>
              <w:top w:val="nil"/>
              <w:left w:val="nil"/>
              <w:bottom w:val="nil"/>
              <w:right w:val="single" w:sz="4" w:space="0" w:color="auto"/>
            </w:tcBorders>
            <w:shd w:val="clear" w:color="auto" w:fill="auto"/>
            <w:noWrap/>
            <w:vAlign w:val="bottom"/>
            <w:hideMark/>
          </w:tcPr>
          <w:p w14:paraId="27763C6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02C581CB"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08894C7E"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Any</w:t>
            </w:r>
          </w:p>
        </w:tc>
        <w:tc>
          <w:tcPr>
            <w:tcW w:w="1460" w:type="dxa"/>
            <w:tcBorders>
              <w:top w:val="nil"/>
              <w:left w:val="nil"/>
              <w:bottom w:val="nil"/>
              <w:right w:val="nil"/>
            </w:tcBorders>
            <w:shd w:val="clear" w:color="auto" w:fill="auto"/>
            <w:noWrap/>
            <w:vAlign w:val="bottom"/>
            <w:hideMark/>
          </w:tcPr>
          <w:p w14:paraId="16483AFE"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148 (55.2%)</w:t>
            </w:r>
          </w:p>
        </w:tc>
        <w:tc>
          <w:tcPr>
            <w:tcW w:w="1460" w:type="dxa"/>
            <w:tcBorders>
              <w:top w:val="nil"/>
              <w:left w:val="nil"/>
              <w:bottom w:val="nil"/>
              <w:right w:val="nil"/>
            </w:tcBorders>
            <w:shd w:val="clear" w:color="auto" w:fill="auto"/>
            <w:noWrap/>
            <w:vAlign w:val="bottom"/>
            <w:hideMark/>
          </w:tcPr>
          <w:p w14:paraId="6C0BE51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168 (61.8%)</w:t>
            </w:r>
          </w:p>
        </w:tc>
        <w:tc>
          <w:tcPr>
            <w:tcW w:w="1460" w:type="dxa"/>
            <w:tcBorders>
              <w:top w:val="nil"/>
              <w:left w:val="nil"/>
              <w:bottom w:val="nil"/>
              <w:right w:val="nil"/>
            </w:tcBorders>
            <w:shd w:val="clear" w:color="auto" w:fill="auto"/>
            <w:noWrap/>
            <w:vAlign w:val="bottom"/>
            <w:hideMark/>
          </w:tcPr>
          <w:p w14:paraId="1F613DE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73 (60.8%)</w:t>
            </w:r>
          </w:p>
        </w:tc>
        <w:tc>
          <w:tcPr>
            <w:tcW w:w="1460" w:type="dxa"/>
            <w:tcBorders>
              <w:top w:val="nil"/>
              <w:left w:val="nil"/>
              <w:bottom w:val="nil"/>
              <w:right w:val="single" w:sz="4" w:space="0" w:color="auto"/>
            </w:tcBorders>
            <w:shd w:val="clear" w:color="auto" w:fill="auto"/>
            <w:noWrap/>
            <w:vAlign w:val="bottom"/>
            <w:hideMark/>
          </w:tcPr>
          <w:p w14:paraId="7090EC4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40BF2226"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6E10F121"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Molecular class</w:t>
            </w:r>
            <w:r w:rsidRPr="0053341C">
              <w:rPr>
                <w:rFonts w:ascii="Times New Roman" w:eastAsia="Times New Roman" w:hAnsi="Times New Roman" w:cs="Times New Roman"/>
                <w:b/>
                <w:bCs/>
                <w:color w:val="000000"/>
                <w:sz w:val="20"/>
                <w:szCs w:val="20"/>
                <w:vertAlign w:val="superscript"/>
                <w:lang w:eastAsia="nl-NL"/>
              </w:rPr>
              <w:t>4</w:t>
            </w:r>
          </w:p>
        </w:tc>
        <w:tc>
          <w:tcPr>
            <w:tcW w:w="1460" w:type="dxa"/>
            <w:tcBorders>
              <w:top w:val="nil"/>
              <w:left w:val="nil"/>
              <w:bottom w:val="nil"/>
              <w:right w:val="nil"/>
            </w:tcBorders>
            <w:shd w:val="clear" w:color="auto" w:fill="auto"/>
            <w:noWrap/>
            <w:vAlign w:val="bottom"/>
            <w:hideMark/>
          </w:tcPr>
          <w:p w14:paraId="1AFF7B86"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563289E3"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6BE0AADF"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25080BF3"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&lt;0.0001</w:t>
            </w:r>
            <w:r w:rsidRPr="0053341C">
              <w:rPr>
                <w:rFonts w:ascii="Times New Roman" w:eastAsia="Times New Roman" w:hAnsi="Times New Roman" w:cs="Times New Roman"/>
                <w:b/>
                <w:bCs/>
                <w:color w:val="000000"/>
                <w:sz w:val="20"/>
                <w:szCs w:val="20"/>
                <w:vertAlign w:val="superscript"/>
                <w:lang w:eastAsia="nl-NL"/>
              </w:rPr>
              <w:t>2</w:t>
            </w:r>
          </w:p>
        </w:tc>
      </w:tr>
      <w:tr w:rsidR="0053341C" w:rsidRPr="0053341C" w14:paraId="24FA3E9B"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7F8DE07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w:t>
            </w:r>
            <w:r w:rsidRPr="0053341C">
              <w:rPr>
                <w:rFonts w:ascii="Times New Roman" w:eastAsia="Times New Roman" w:hAnsi="Times New Roman" w:cs="Times New Roman"/>
                <w:i/>
                <w:iCs/>
                <w:color w:val="000000"/>
                <w:sz w:val="20"/>
                <w:szCs w:val="20"/>
                <w:lang w:eastAsia="nl-NL"/>
              </w:rPr>
              <w:t>POLE</w:t>
            </w:r>
            <w:r w:rsidRPr="0053341C">
              <w:rPr>
                <w:rFonts w:ascii="Times New Roman" w:eastAsia="Times New Roman" w:hAnsi="Times New Roman" w:cs="Times New Roman"/>
                <w:color w:val="000000"/>
                <w:sz w:val="20"/>
                <w:szCs w:val="20"/>
                <w:lang w:eastAsia="nl-NL"/>
              </w:rPr>
              <w:t>mut</w:t>
            </w:r>
          </w:p>
        </w:tc>
        <w:tc>
          <w:tcPr>
            <w:tcW w:w="1460" w:type="dxa"/>
            <w:tcBorders>
              <w:top w:val="nil"/>
              <w:left w:val="nil"/>
              <w:bottom w:val="nil"/>
              <w:right w:val="nil"/>
            </w:tcBorders>
            <w:shd w:val="clear" w:color="auto" w:fill="auto"/>
            <w:noWrap/>
            <w:vAlign w:val="bottom"/>
            <w:hideMark/>
          </w:tcPr>
          <w:p w14:paraId="00E9658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37 (20.8%)</w:t>
            </w:r>
          </w:p>
        </w:tc>
        <w:tc>
          <w:tcPr>
            <w:tcW w:w="1460" w:type="dxa"/>
            <w:tcBorders>
              <w:top w:val="nil"/>
              <w:left w:val="nil"/>
              <w:bottom w:val="nil"/>
              <w:right w:val="nil"/>
            </w:tcBorders>
            <w:shd w:val="clear" w:color="auto" w:fill="auto"/>
            <w:noWrap/>
            <w:vAlign w:val="bottom"/>
            <w:hideMark/>
          </w:tcPr>
          <w:p w14:paraId="14E9220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11 (6.5%)</w:t>
            </w:r>
          </w:p>
        </w:tc>
        <w:tc>
          <w:tcPr>
            <w:tcW w:w="1460" w:type="dxa"/>
            <w:tcBorders>
              <w:top w:val="nil"/>
              <w:left w:val="nil"/>
              <w:bottom w:val="nil"/>
              <w:right w:val="nil"/>
            </w:tcBorders>
            <w:shd w:val="clear" w:color="auto" w:fill="auto"/>
            <w:noWrap/>
            <w:vAlign w:val="bottom"/>
            <w:hideMark/>
          </w:tcPr>
          <w:p w14:paraId="4ECBE1B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3 (4.7%)</w:t>
            </w:r>
          </w:p>
        </w:tc>
        <w:tc>
          <w:tcPr>
            <w:tcW w:w="1460" w:type="dxa"/>
            <w:tcBorders>
              <w:top w:val="nil"/>
              <w:left w:val="nil"/>
              <w:bottom w:val="nil"/>
              <w:right w:val="single" w:sz="4" w:space="0" w:color="auto"/>
            </w:tcBorders>
            <w:shd w:val="clear" w:color="auto" w:fill="auto"/>
            <w:noWrap/>
            <w:vAlign w:val="bottom"/>
            <w:hideMark/>
          </w:tcPr>
          <w:p w14:paraId="7E9E9655"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2FC8AA5F"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2F408060"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MMRd</w:t>
            </w:r>
          </w:p>
        </w:tc>
        <w:tc>
          <w:tcPr>
            <w:tcW w:w="1460" w:type="dxa"/>
            <w:tcBorders>
              <w:top w:val="nil"/>
              <w:left w:val="nil"/>
              <w:bottom w:val="nil"/>
              <w:right w:val="nil"/>
            </w:tcBorders>
            <w:shd w:val="clear" w:color="auto" w:fill="auto"/>
            <w:noWrap/>
            <w:vAlign w:val="bottom"/>
            <w:hideMark/>
          </w:tcPr>
          <w:p w14:paraId="5889A1F7"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66 (37.1%)</w:t>
            </w:r>
          </w:p>
        </w:tc>
        <w:tc>
          <w:tcPr>
            <w:tcW w:w="1460" w:type="dxa"/>
            <w:tcBorders>
              <w:top w:val="nil"/>
              <w:left w:val="nil"/>
              <w:bottom w:val="nil"/>
              <w:right w:val="nil"/>
            </w:tcBorders>
            <w:shd w:val="clear" w:color="auto" w:fill="auto"/>
            <w:noWrap/>
            <w:vAlign w:val="bottom"/>
            <w:hideMark/>
          </w:tcPr>
          <w:p w14:paraId="3317585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58 (34.3%)</w:t>
            </w:r>
          </w:p>
        </w:tc>
        <w:tc>
          <w:tcPr>
            <w:tcW w:w="1460" w:type="dxa"/>
            <w:tcBorders>
              <w:top w:val="nil"/>
              <w:left w:val="nil"/>
              <w:bottom w:val="nil"/>
              <w:right w:val="nil"/>
            </w:tcBorders>
            <w:shd w:val="clear" w:color="auto" w:fill="auto"/>
            <w:noWrap/>
            <w:vAlign w:val="bottom"/>
            <w:hideMark/>
          </w:tcPr>
          <w:p w14:paraId="21A42898"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15 (23.4%)</w:t>
            </w:r>
          </w:p>
        </w:tc>
        <w:tc>
          <w:tcPr>
            <w:tcW w:w="1460" w:type="dxa"/>
            <w:tcBorders>
              <w:top w:val="nil"/>
              <w:left w:val="nil"/>
              <w:bottom w:val="nil"/>
              <w:right w:val="single" w:sz="4" w:space="0" w:color="auto"/>
            </w:tcBorders>
            <w:shd w:val="clear" w:color="auto" w:fill="auto"/>
            <w:noWrap/>
            <w:vAlign w:val="bottom"/>
            <w:hideMark/>
          </w:tcPr>
          <w:p w14:paraId="31B60AC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0C96B199"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403CC0D3"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p53abn</w:t>
            </w:r>
          </w:p>
        </w:tc>
        <w:tc>
          <w:tcPr>
            <w:tcW w:w="1460" w:type="dxa"/>
            <w:tcBorders>
              <w:top w:val="nil"/>
              <w:left w:val="nil"/>
              <w:bottom w:val="nil"/>
              <w:right w:val="nil"/>
            </w:tcBorders>
            <w:shd w:val="clear" w:color="auto" w:fill="auto"/>
            <w:noWrap/>
            <w:vAlign w:val="bottom"/>
            <w:hideMark/>
          </w:tcPr>
          <w:p w14:paraId="75BE2EF9"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16 (9.0%)</w:t>
            </w:r>
          </w:p>
        </w:tc>
        <w:tc>
          <w:tcPr>
            <w:tcW w:w="1460" w:type="dxa"/>
            <w:tcBorders>
              <w:top w:val="nil"/>
              <w:left w:val="nil"/>
              <w:bottom w:val="nil"/>
              <w:right w:val="nil"/>
            </w:tcBorders>
            <w:shd w:val="clear" w:color="auto" w:fill="auto"/>
            <w:noWrap/>
            <w:vAlign w:val="bottom"/>
            <w:hideMark/>
          </w:tcPr>
          <w:p w14:paraId="1C1CFBD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54 (32.0%)</w:t>
            </w:r>
          </w:p>
        </w:tc>
        <w:tc>
          <w:tcPr>
            <w:tcW w:w="1460" w:type="dxa"/>
            <w:tcBorders>
              <w:top w:val="nil"/>
              <w:left w:val="nil"/>
              <w:bottom w:val="nil"/>
              <w:right w:val="nil"/>
            </w:tcBorders>
            <w:shd w:val="clear" w:color="auto" w:fill="auto"/>
            <w:noWrap/>
            <w:vAlign w:val="bottom"/>
            <w:hideMark/>
          </w:tcPr>
          <w:p w14:paraId="1EF765C4"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29 (45.3%)</w:t>
            </w:r>
          </w:p>
        </w:tc>
        <w:tc>
          <w:tcPr>
            <w:tcW w:w="1460" w:type="dxa"/>
            <w:tcBorders>
              <w:top w:val="nil"/>
              <w:left w:val="nil"/>
              <w:bottom w:val="nil"/>
              <w:right w:val="single" w:sz="4" w:space="0" w:color="auto"/>
            </w:tcBorders>
            <w:shd w:val="clear" w:color="auto" w:fill="auto"/>
            <w:noWrap/>
            <w:vAlign w:val="bottom"/>
            <w:hideMark/>
          </w:tcPr>
          <w:p w14:paraId="1407DC2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5688A250" w14:textId="77777777" w:rsidTr="0053341C">
        <w:trPr>
          <w:trHeight w:val="300"/>
        </w:trPr>
        <w:tc>
          <w:tcPr>
            <w:tcW w:w="2840" w:type="dxa"/>
            <w:tcBorders>
              <w:top w:val="nil"/>
              <w:left w:val="single" w:sz="4" w:space="0" w:color="auto"/>
              <w:bottom w:val="nil"/>
              <w:right w:val="nil"/>
            </w:tcBorders>
            <w:shd w:val="clear" w:color="auto" w:fill="auto"/>
            <w:noWrap/>
            <w:vAlign w:val="bottom"/>
            <w:hideMark/>
          </w:tcPr>
          <w:p w14:paraId="0C27E8BE"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xml:space="preserve">   NSMP</w:t>
            </w:r>
          </w:p>
        </w:tc>
        <w:tc>
          <w:tcPr>
            <w:tcW w:w="1460" w:type="dxa"/>
            <w:tcBorders>
              <w:top w:val="nil"/>
              <w:left w:val="nil"/>
              <w:bottom w:val="nil"/>
              <w:right w:val="nil"/>
            </w:tcBorders>
            <w:shd w:val="clear" w:color="auto" w:fill="auto"/>
            <w:noWrap/>
            <w:vAlign w:val="bottom"/>
            <w:hideMark/>
          </w:tcPr>
          <w:p w14:paraId="7218704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59 (33.1%)</w:t>
            </w:r>
          </w:p>
        </w:tc>
        <w:tc>
          <w:tcPr>
            <w:tcW w:w="1460" w:type="dxa"/>
            <w:tcBorders>
              <w:top w:val="nil"/>
              <w:left w:val="nil"/>
              <w:bottom w:val="nil"/>
              <w:right w:val="nil"/>
            </w:tcBorders>
            <w:shd w:val="clear" w:color="auto" w:fill="auto"/>
            <w:noWrap/>
            <w:vAlign w:val="bottom"/>
            <w:hideMark/>
          </w:tcPr>
          <w:p w14:paraId="2E992B6A"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46 (27.2%)</w:t>
            </w:r>
          </w:p>
        </w:tc>
        <w:tc>
          <w:tcPr>
            <w:tcW w:w="1460" w:type="dxa"/>
            <w:tcBorders>
              <w:top w:val="nil"/>
              <w:left w:val="nil"/>
              <w:bottom w:val="nil"/>
              <w:right w:val="nil"/>
            </w:tcBorders>
            <w:shd w:val="clear" w:color="auto" w:fill="auto"/>
            <w:noWrap/>
            <w:vAlign w:val="bottom"/>
            <w:hideMark/>
          </w:tcPr>
          <w:p w14:paraId="45235BA6"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17 (26.6%)</w:t>
            </w:r>
          </w:p>
        </w:tc>
        <w:tc>
          <w:tcPr>
            <w:tcW w:w="1460" w:type="dxa"/>
            <w:tcBorders>
              <w:top w:val="nil"/>
              <w:left w:val="nil"/>
              <w:bottom w:val="nil"/>
              <w:right w:val="single" w:sz="4" w:space="0" w:color="auto"/>
            </w:tcBorders>
            <w:shd w:val="clear" w:color="auto" w:fill="auto"/>
            <w:noWrap/>
            <w:vAlign w:val="bottom"/>
            <w:hideMark/>
          </w:tcPr>
          <w:p w14:paraId="787FB67C"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71252991" w14:textId="77777777" w:rsidTr="0053341C">
        <w:trPr>
          <w:trHeight w:val="345"/>
        </w:trPr>
        <w:tc>
          <w:tcPr>
            <w:tcW w:w="2840" w:type="dxa"/>
            <w:tcBorders>
              <w:top w:val="nil"/>
              <w:left w:val="single" w:sz="4" w:space="0" w:color="auto"/>
              <w:bottom w:val="nil"/>
              <w:right w:val="nil"/>
            </w:tcBorders>
            <w:shd w:val="clear" w:color="auto" w:fill="auto"/>
            <w:noWrap/>
            <w:vAlign w:val="bottom"/>
            <w:hideMark/>
          </w:tcPr>
          <w:p w14:paraId="52C7CD39"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ER status</w:t>
            </w:r>
            <w:r w:rsidRPr="0053341C">
              <w:rPr>
                <w:rFonts w:ascii="Times New Roman" w:eastAsia="Times New Roman" w:hAnsi="Times New Roman" w:cs="Times New Roman"/>
                <w:b/>
                <w:bCs/>
                <w:color w:val="000000"/>
                <w:sz w:val="20"/>
                <w:szCs w:val="20"/>
                <w:vertAlign w:val="superscript"/>
                <w:lang w:eastAsia="nl-NL"/>
              </w:rPr>
              <w:t>5</w:t>
            </w:r>
          </w:p>
        </w:tc>
        <w:tc>
          <w:tcPr>
            <w:tcW w:w="1460" w:type="dxa"/>
            <w:tcBorders>
              <w:top w:val="nil"/>
              <w:left w:val="nil"/>
              <w:bottom w:val="nil"/>
              <w:right w:val="nil"/>
            </w:tcBorders>
            <w:shd w:val="clear" w:color="auto" w:fill="auto"/>
            <w:noWrap/>
            <w:vAlign w:val="bottom"/>
            <w:hideMark/>
          </w:tcPr>
          <w:p w14:paraId="5618EEB4"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58A57EB"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75B94C1" w14:textId="77777777" w:rsidR="0053341C" w:rsidRPr="0053341C" w:rsidRDefault="0053341C" w:rsidP="0053341C">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single" w:sz="4" w:space="0" w:color="auto"/>
            </w:tcBorders>
            <w:shd w:val="clear" w:color="auto" w:fill="auto"/>
            <w:noWrap/>
            <w:vAlign w:val="bottom"/>
            <w:hideMark/>
          </w:tcPr>
          <w:p w14:paraId="0F66ADC5"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&lt;0.0001</w:t>
            </w:r>
            <w:r w:rsidRPr="0053341C">
              <w:rPr>
                <w:rFonts w:ascii="Times New Roman" w:eastAsia="Times New Roman" w:hAnsi="Times New Roman" w:cs="Times New Roman"/>
                <w:b/>
                <w:bCs/>
                <w:color w:val="000000"/>
                <w:sz w:val="20"/>
                <w:szCs w:val="20"/>
                <w:vertAlign w:val="superscript"/>
                <w:lang w:eastAsia="nl-NL"/>
              </w:rPr>
              <w:t>1</w:t>
            </w:r>
          </w:p>
        </w:tc>
      </w:tr>
      <w:tr w:rsidR="0053341C" w:rsidRPr="0053341C" w14:paraId="4ED51F79" w14:textId="77777777" w:rsidTr="0053341C">
        <w:trPr>
          <w:trHeight w:val="300"/>
        </w:trPr>
        <w:tc>
          <w:tcPr>
            <w:tcW w:w="2840" w:type="dxa"/>
            <w:tcBorders>
              <w:top w:val="nil"/>
              <w:left w:val="single" w:sz="4" w:space="0" w:color="auto"/>
              <w:right w:val="nil"/>
            </w:tcBorders>
            <w:shd w:val="clear" w:color="auto" w:fill="auto"/>
            <w:noWrap/>
            <w:vAlign w:val="bottom"/>
            <w:hideMark/>
          </w:tcPr>
          <w:p w14:paraId="39B8990F" w14:textId="77777777" w:rsidR="0053341C" w:rsidRPr="0053341C" w:rsidRDefault="0053341C" w:rsidP="0053341C">
            <w:pPr>
              <w:spacing w:after="0" w:line="240" w:lineRule="auto"/>
              <w:rPr>
                <w:rFonts w:ascii="Times New Roman" w:eastAsia="Times New Roman" w:hAnsi="Times New Roman" w:cs="Times New Roman"/>
                <w:b/>
                <w:bCs/>
                <w:color w:val="000000"/>
                <w:sz w:val="20"/>
                <w:szCs w:val="20"/>
                <w:lang w:eastAsia="nl-NL"/>
              </w:rPr>
            </w:pPr>
            <w:r w:rsidRPr="0053341C">
              <w:rPr>
                <w:rFonts w:ascii="Times New Roman" w:eastAsia="Times New Roman" w:hAnsi="Times New Roman" w:cs="Times New Roman"/>
                <w:b/>
                <w:bCs/>
                <w:color w:val="000000"/>
                <w:sz w:val="20"/>
                <w:szCs w:val="20"/>
                <w:lang w:eastAsia="nl-NL"/>
              </w:rPr>
              <w:t xml:space="preserve">   </w:t>
            </w:r>
            <w:r w:rsidRPr="0053341C">
              <w:rPr>
                <w:rFonts w:ascii="Times New Roman" w:eastAsia="Times New Roman" w:hAnsi="Times New Roman" w:cs="Times New Roman"/>
                <w:color w:val="000000"/>
                <w:sz w:val="20"/>
                <w:szCs w:val="20"/>
                <w:lang w:eastAsia="nl-NL"/>
              </w:rPr>
              <w:t>Negative</w:t>
            </w:r>
          </w:p>
        </w:tc>
        <w:tc>
          <w:tcPr>
            <w:tcW w:w="1460" w:type="dxa"/>
            <w:tcBorders>
              <w:top w:val="nil"/>
              <w:left w:val="nil"/>
              <w:right w:val="nil"/>
            </w:tcBorders>
            <w:shd w:val="clear" w:color="auto" w:fill="auto"/>
            <w:noWrap/>
            <w:vAlign w:val="bottom"/>
            <w:hideMark/>
          </w:tcPr>
          <w:p w14:paraId="79D4B82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23 (14.4%)</w:t>
            </w:r>
          </w:p>
        </w:tc>
        <w:tc>
          <w:tcPr>
            <w:tcW w:w="1460" w:type="dxa"/>
            <w:tcBorders>
              <w:top w:val="nil"/>
              <w:left w:val="nil"/>
              <w:right w:val="nil"/>
            </w:tcBorders>
            <w:shd w:val="clear" w:color="auto" w:fill="auto"/>
            <w:noWrap/>
            <w:vAlign w:val="bottom"/>
            <w:hideMark/>
          </w:tcPr>
          <w:p w14:paraId="70AA8D7B"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48 (29.4%)</w:t>
            </w:r>
          </w:p>
        </w:tc>
        <w:tc>
          <w:tcPr>
            <w:tcW w:w="1460" w:type="dxa"/>
            <w:tcBorders>
              <w:top w:val="nil"/>
              <w:left w:val="nil"/>
              <w:right w:val="nil"/>
            </w:tcBorders>
            <w:shd w:val="clear" w:color="auto" w:fill="auto"/>
            <w:noWrap/>
            <w:vAlign w:val="bottom"/>
            <w:hideMark/>
          </w:tcPr>
          <w:p w14:paraId="5A02A0B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22 (33.8%)</w:t>
            </w:r>
          </w:p>
        </w:tc>
        <w:tc>
          <w:tcPr>
            <w:tcW w:w="1460" w:type="dxa"/>
            <w:tcBorders>
              <w:top w:val="nil"/>
              <w:left w:val="nil"/>
              <w:right w:val="single" w:sz="4" w:space="0" w:color="auto"/>
            </w:tcBorders>
            <w:shd w:val="clear" w:color="auto" w:fill="auto"/>
            <w:noWrap/>
            <w:vAlign w:val="bottom"/>
            <w:hideMark/>
          </w:tcPr>
          <w:p w14:paraId="31DB8DA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r w:rsidR="0053341C" w:rsidRPr="0053341C" w14:paraId="38C8CC69" w14:textId="77777777" w:rsidTr="0053341C">
        <w:trPr>
          <w:trHeight w:val="300"/>
        </w:trPr>
        <w:tc>
          <w:tcPr>
            <w:tcW w:w="2840" w:type="dxa"/>
            <w:tcBorders>
              <w:top w:val="nil"/>
              <w:left w:val="single" w:sz="4" w:space="0" w:color="auto"/>
              <w:bottom w:val="single" w:sz="4" w:space="0" w:color="auto"/>
              <w:right w:val="nil"/>
            </w:tcBorders>
            <w:shd w:val="clear" w:color="auto" w:fill="auto"/>
            <w:noWrap/>
            <w:vAlign w:val="bottom"/>
            <w:hideMark/>
          </w:tcPr>
          <w:p w14:paraId="61253175" w14:textId="3BF0F8B7" w:rsidR="0053341C" w:rsidRPr="0053341C" w:rsidRDefault="0053341C" w:rsidP="0053341C">
            <w:pPr>
              <w:spacing w:after="0" w:line="240" w:lineRule="auto"/>
              <w:rPr>
                <w:rFonts w:ascii="Times New Roman" w:eastAsia="Times New Roman" w:hAnsi="Times New Roman" w:cs="Times New Roman"/>
                <w:b/>
                <w:bCs/>
                <w:color w:val="000000"/>
                <w:sz w:val="20"/>
                <w:szCs w:val="20"/>
                <w:vertAlign w:val="superscript"/>
                <w:lang w:eastAsia="nl-NL"/>
              </w:rPr>
            </w:pPr>
            <w:r w:rsidRPr="0053341C">
              <w:rPr>
                <w:rFonts w:ascii="Times New Roman" w:eastAsia="Times New Roman" w:hAnsi="Times New Roman" w:cs="Times New Roman"/>
                <w:b/>
                <w:bCs/>
                <w:color w:val="000000"/>
                <w:sz w:val="20"/>
                <w:szCs w:val="20"/>
                <w:lang w:eastAsia="nl-NL"/>
              </w:rPr>
              <w:t xml:space="preserve">   </w:t>
            </w:r>
            <w:r w:rsidRPr="0053341C">
              <w:rPr>
                <w:rFonts w:ascii="Times New Roman" w:eastAsia="Times New Roman" w:hAnsi="Times New Roman" w:cs="Times New Roman"/>
                <w:color w:val="000000"/>
                <w:sz w:val="20"/>
                <w:szCs w:val="20"/>
                <w:lang w:eastAsia="nl-NL"/>
              </w:rPr>
              <w:t>Positive</w:t>
            </w:r>
            <w:r w:rsidR="00A41977">
              <w:rPr>
                <w:rFonts w:ascii="Times New Roman" w:eastAsia="Times New Roman" w:hAnsi="Times New Roman" w:cs="Times New Roman"/>
                <w:color w:val="000000"/>
                <w:sz w:val="20"/>
                <w:szCs w:val="20"/>
                <w:vertAlign w:val="superscript"/>
                <w:lang w:eastAsia="nl-NL"/>
              </w:rPr>
              <w:t>6</w:t>
            </w:r>
          </w:p>
        </w:tc>
        <w:tc>
          <w:tcPr>
            <w:tcW w:w="1460" w:type="dxa"/>
            <w:tcBorders>
              <w:top w:val="nil"/>
              <w:left w:val="nil"/>
              <w:bottom w:val="single" w:sz="4" w:space="0" w:color="auto"/>
              <w:right w:val="nil"/>
            </w:tcBorders>
            <w:shd w:val="clear" w:color="auto" w:fill="auto"/>
            <w:noWrap/>
            <w:vAlign w:val="bottom"/>
            <w:hideMark/>
          </w:tcPr>
          <w:p w14:paraId="6AE740CD"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137 (85.6%)</w:t>
            </w:r>
          </w:p>
        </w:tc>
        <w:tc>
          <w:tcPr>
            <w:tcW w:w="1460" w:type="dxa"/>
            <w:tcBorders>
              <w:top w:val="nil"/>
              <w:left w:val="nil"/>
              <w:bottom w:val="single" w:sz="4" w:space="0" w:color="auto"/>
              <w:right w:val="nil"/>
            </w:tcBorders>
            <w:shd w:val="clear" w:color="auto" w:fill="auto"/>
            <w:noWrap/>
            <w:vAlign w:val="bottom"/>
            <w:hideMark/>
          </w:tcPr>
          <w:p w14:paraId="44ADD682"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115 (70.6%)</w:t>
            </w:r>
          </w:p>
        </w:tc>
        <w:tc>
          <w:tcPr>
            <w:tcW w:w="1460" w:type="dxa"/>
            <w:tcBorders>
              <w:top w:val="nil"/>
              <w:left w:val="nil"/>
              <w:bottom w:val="single" w:sz="4" w:space="0" w:color="auto"/>
              <w:right w:val="nil"/>
            </w:tcBorders>
            <w:shd w:val="clear" w:color="auto" w:fill="auto"/>
            <w:noWrap/>
            <w:vAlign w:val="bottom"/>
            <w:hideMark/>
          </w:tcPr>
          <w:p w14:paraId="5C0B1191"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43 (66.2%)</w:t>
            </w:r>
          </w:p>
        </w:tc>
        <w:tc>
          <w:tcPr>
            <w:tcW w:w="1460" w:type="dxa"/>
            <w:tcBorders>
              <w:top w:val="nil"/>
              <w:left w:val="nil"/>
              <w:bottom w:val="single" w:sz="4" w:space="0" w:color="auto"/>
              <w:right w:val="single" w:sz="4" w:space="0" w:color="auto"/>
            </w:tcBorders>
            <w:shd w:val="clear" w:color="auto" w:fill="auto"/>
            <w:noWrap/>
            <w:vAlign w:val="bottom"/>
            <w:hideMark/>
          </w:tcPr>
          <w:p w14:paraId="2FADC76F" w14:textId="77777777" w:rsidR="0053341C" w:rsidRPr="0053341C" w:rsidRDefault="0053341C" w:rsidP="0053341C">
            <w:pPr>
              <w:spacing w:after="0" w:line="240" w:lineRule="auto"/>
              <w:rPr>
                <w:rFonts w:ascii="Times New Roman" w:eastAsia="Times New Roman" w:hAnsi="Times New Roman" w:cs="Times New Roman"/>
                <w:color w:val="000000"/>
                <w:sz w:val="20"/>
                <w:szCs w:val="20"/>
                <w:lang w:eastAsia="nl-NL"/>
              </w:rPr>
            </w:pPr>
            <w:r w:rsidRPr="0053341C">
              <w:rPr>
                <w:rFonts w:ascii="Times New Roman" w:eastAsia="Times New Roman" w:hAnsi="Times New Roman" w:cs="Times New Roman"/>
                <w:color w:val="000000"/>
                <w:sz w:val="20"/>
                <w:szCs w:val="20"/>
                <w:lang w:eastAsia="nl-NL"/>
              </w:rPr>
              <w:t> </w:t>
            </w:r>
          </w:p>
        </w:tc>
      </w:tr>
    </w:tbl>
    <w:p w14:paraId="1B473B26" w14:textId="1598D71E" w:rsidR="00032D9B" w:rsidRPr="0053341C" w:rsidRDefault="0053341C" w:rsidP="0053341C">
      <w:pPr>
        <w:pStyle w:val="Heading1"/>
        <w:rPr>
          <w:lang w:val="en-GB"/>
        </w:rPr>
      </w:pPr>
      <w:bookmarkStart w:id="16" w:name="_Toc137065023"/>
      <w:bookmarkStart w:id="17" w:name="_Toc146143702"/>
      <w:bookmarkStart w:id="18" w:name="_Toc149307268"/>
      <w:r w:rsidRPr="0053341C">
        <w:rPr>
          <w:lang w:val="en-GB"/>
        </w:rPr>
        <w:t>Supplementary Table 3. Clinicopathological and molecular characteristics by age in the PORTEC-3 trial</w:t>
      </w:r>
      <w:bookmarkEnd w:id="16"/>
      <w:bookmarkEnd w:id="17"/>
      <w:bookmarkEnd w:id="18"/>
    </w:p>
    <w:p w14:paraId="633DFD85" w14:textId="7EE1F3EE" w:rsidR="0053341C" w:rsidRPr="0053341C" w:rsidRDefault="0053341C" w:rsidP="0053341C">
      <w:pPr>
        <w:pStyle w:val="NoSpacing"/>
        <w:rPr>
          <w:rFonts w:ascii="Times New Roman" w:hAnsi="Times New Roman" w:cs="Times New Roman"/>
          <w:sz w:val="20"/>
          <w:szCs w:val="20"/>
          <w:lang w:val="en-GB"/>
        </w:rPr>
      </w:pPr>
      <w:r w:rsidRPr="0053341C">
        <w:rPr>
          <w:rFonts w:ascii="Times New Roman" w:hAnsi="Times New Roman" w:cs="Times New Roman"/>
          <w:sz w:val="20"/>
          <w:szCs w:val="20"/>
          <w:lang w:val="en-GB"/>
        </w:rPr>
        <w:t xml:space="preserve">Data are n (%). Definition of abbreviations: </w:t>
      </w:r>
      <w:r w:rsidR="00A4759B">
        <w:rPr>
          <w:rFonts w:ascii="Times New Roman" w:hAnsi="Times New Roman" w:cs="Times New Roman"/>
          <w:sz w:val="20"/>
          <w:szCs w:val="20"/>
          <w:lang w:val="en-GB"/>
        </w:rPr>
        <w:t xml:space="preserve">RT = radiotherapy. </w:t>
      </w:r>
      <w:r w:rsidRPr="0053341C">
        <w:rPr>
          <w:rFonts w:ascii="Times New Roman" w:hAnsi="Times New Roman" w:cs="Times New Roman"/>
          <w:sz w:val="20"/>
          <w:szCs w:val="20"/>
          <w:lang w:val="en-GB"/>
        </w:rPr>
        <w:t xml:space="preserve">EEC = endometrioid endometrial cancer. </w:t>
      </w:r>
      <w:r w:rsidR="00805029" w:rsidRPr="00805029">
        <w:rPr>
          <w:rFonts w:ascii="Times New Roman" w:hAnsi="Times New Roman" w:cs="Times New Roman"/>
          <w:sz w:val="20"/>
          <w:szCs w:val="20"/>
          <w:lang w:val="en-GB"/>
        </w:rPr>
        <w:t>SEC = serous endometrial cancer. CCC = clear cell endometrial cancer</w:t>
      </w:r>
      <w:r w:rsidR="00805029">
        <w:rPr>
          <w:rFonts w:ascii="Times New Roman" w:hAnsi="Times New Roman" w:cs="Times New Roman"/>
          <w:sz w:val="20"/>
          <w:szCs w:val="20"/>
          <w:lang w:val="en-GB"/>
        </w:rPr>
        <w:t xml:space="preserve">. </w:t>
      </w:r>
      <w:r w:rsidRPr="00805029">
        <w:rPr>
          <w:rFonts w:ascii="Times New Roman" w:hAnsi="Times New Roman" w:cs="Times New Roman"/>
          <w:i/>
          <w:iCs/>
          <w:sz w:val="20"/>
          <w:szCs w:val="20"/>
          <w:lang w:val="en-GB"/>
        </w:rPr>
        <w:t>POLE</w:t>
      </w:r>
      <w:r w:rsidRPr="0053341C">
        <w:rPr>
          <w:rFonts w:ascii="Times New Roman" w:hAnsi="Times New Roman" w:cs="Times New Roman"/>
          <w:sz w:val="20"/>
          <w:szCs w:val="20"/>
          <w:lang w:val="en-GB"/>
        </w:rPr>
        <w:t xml:space="preserve">mut = POLE-ultramutated. MMRd = mismatch-repair deficient. p53abn = p53 abnormal. NSMP = no specific molecular profile. </w:t>
      </w:r>
    </w:p>
    <w:p w14:paraId="3287012A" w14:textId="0D37B439" w:rsidR="00032D9B" w:rsidRPr="0053341C" w:rsidRDefault="0053341C" w:rsidP="0053341C">
      <w:pPr>
        <w:pStyle w:val="NoSpacing"/>
        <w:rPr>
          <w:b/>
          <w:bCs/>
          <w:lang w:val="en-GB"/>
        </w:rPr>
      </w:pPr>
      <w:r w:rsidRPr="0053341C">
        <w:rPr>
          <w:rFonts w:ascii="Times New Roman" w:hAnsi="Times New Roman" w:cs="Times New Roman"/>
          <w:sz w:val="20"/>
          <w:szCs w:val="20"/>
          <w:lang w:val="en-GB"/>
        </w:rPr>
        <w:t xml:space="preserve">1) Mann-Whitney U test. 2) Kruskal-Wallis test. 3) 3 missing. 4) 249 missing. 5) 272 missing. 6) </w:t>
      </w:r>
      <w:bookmarkStart w:id="19" w:name="_Hlk136977634"/>
      <w:r w:rsidRPr="0053341C">
        <w:rPr>
          <w:rFonts w:ascii="Times New Roman" w:hAnsi="Times New Roman" w:cs="Times New Roman"/>
          <w:sz w:val="20"/>
          <w:szCs w:val="20"/>
          <w:lang w:val="en-GB"/>
        </w:rPr>
        <w:t xml:space="preserve">Other: mixed endometrioid and clear cell EC, or mixed serous and clear cell EC, or mucinous adenocarcinoma, or carcinosarcoma, or </w:t>
      </w:r>
      <w:r w:rsidRPr="00A41977">
        <w:rPr>
          <w:rFonts w:ascii="Times New Roman" w:hAnsi="Times New Roman" w:cs="Times New Roman"/>
          <w:sz w:val="20"/>
          <w:szCs w:val="20"/>
          <w:lang w:val="en-GB"/>
        </w:rPr>
        <w:t xml:space="preserve">undifferentiated. </w:t>
      </w:r>
      <w:r w:rsidR="00A41977" w:rsidRPr="00A41977">
        <w:rPr>
          <w:rFonts w:ascii="Times New Roman" w:hAnsi="Times New Roman" w:cs="Times New Roman"/>
          <w:sz w:val="20"/>
          <w:szCs w:val="20"/>
          <w:lang w:val="en-GB"/>
        </w:rPr>
        <w:t xml:space="preserve">6) &gt;10% nuclear ER expression </w:t>
      </w:r>
      <w:r w:rsidR="00477DC7">
        <w:rPr>
          <w:rFonts w:ascii="Times New Roman" w:hAnsi="Times New Roman" w:cs="Times New Roman"/>
          <w:sz w:val="20"/>
          <w:szCs w:val="20"/>
          <w:lang w:val="en-GB"/>
        </w:rPr>
        <w:t>was</w:t>
      </w:r>
      <w:r w:rsidR="00A41977" w:rsidRPr="00A41977">
        <w:rPr>
          <w:rFonts w:ascii="Times New Roman" w:hAnsi="Times New Roman" w:cs="Times New Roman"/>
          <w:sz w:val="20"/>
          <w:szCs w:val="20"/>
          <w:lang w:val="en-GB"/>
        </w:rPr>
        <w:t xml:space="preserve"> considered ER positive.</w:t>
      </w:r>
      <w:r w:rsidR="00A41977" w:rsidRPr="00A41977">
        <w:rPr>
          <w:lang w:val="en-GB"/>
        </w:rPr>
        <w:t xml:space="preserve"> </w:t>
      </w:r>
      <w:r w:rsidR="00032D9B" w:rsidRPr="0053341C">
        <w:rPr>
          <w:b/>
          <w:bCs/>
          <w:lang w:val="en-GB"/>
        </w:rPr>
        <w:br w:type="page"/>
      </w:r>
    </w:p>
    <w:p w14:paraId="03BE710B" w14:textId="2D3BA8E5" w:rsidR="000A02EC" w:rsidRDefault="00193E50" w:rsidP="00166581">
      <w:pPr>
        <w:pStyle w:val="Heading1"/>
        <w:rPr>
          <w:lang w:val="en-US"/>
        </w:rPr>
      </w:pPr>
      <w:bookmarkStart w:id="20" w:name="_Toc137065024"/>
      <w:bookmarkStart w:id="21" w:name="_Toc146143703"/>
      <w:bookmarkStart w:id="22" w:name="_Toc149307269"/>
      <w:bookmarkEnd w:id="19"/>
      <w:r w:rsidRPr="00193E50">
        <w:rPr>
          <w:lang w:val="en-US"/>
        </w:rPr>
        <w:lastRenderedPageBreak/>
        <w:t>Supplementary figure 2</w:t>
      </w:r>
      <w:r w:rsidR="00166581">
        <w:rPr>
          <w:lang w:val="en-US"/>
        </w:rPr>
        <w:t>.</w:t>
      </w:r>
      <w:r w:rsidRPr="00193E50">
        <w:rPr>
          <w:lang w:val="en-US"/>
        </w:rPr>
        <w:t xml:space="preserve"> Cumulative incidenc</w:t>
      </w:r>
      <w:r>
        <w:rPr>
          <w:lang w:val="en-US"/>
        </w:rPr>
        <w:t>e</w:t>
      </w:r>
      <w:r w:rsidR="005B5B22">
        <w:rPr>
          <w:lang w:val="en-US"/>
        </w:rPr>
        <w:t xml:space="preserve"> by age group</w:t>
      </w:r>
      <w:r w:rsidR="002B1414">
        <w:rPr>
          <w:lang w:val="en-US"/>
        </w:rPr>
        <w:t xml:space="preserve"> for</w:t>
      </w:r>
      <w:r w:rsidRPr="00193E50">
        <w:rPr>
          <w:lang w:val="en-US"/>
        </w:rPr>
        <w:t xml:space="preserve"> secondary outcomes  </w:t>
      </w:r>
      <w:bookmarkEnd w:id="20"/>
      <w:bookmarkEnd w:id="21"/>
      <w:bookmarkEnd w:id="22"/>
    </w:p>
    <w:p w14:paraId="5864BF59" w14:textId="1FDC7045" w:rsidR="001F0FC7" w:rsidRDefault="001F0FC7" w:rsidP="000A02EC">
      <w:pPr>
        <w:spacing w:line="360" w:lineRule="auto"/>
        <w:rPr>
          <w:b/>
          <w:bCs/>
          <w:lang w:val="en-US"/>
        </w:rPr>
      </w:pPr>
    </w:p>
    <w:p w14:paraId="66CBD417" w14:textId="1A384678" w:rsidR="001F0FC7" w:rsidRDefault="00F36993" w:rsidP="008448F0">
      <w:pPr>
        <w:spacing w:line="360" w:lineRule="auto"/>
        <w:rPr>
          <w:b/>
          <w:bCs/>
          <w:lang w:val="en-US"/>
        </w:rPr>
      </w:pPr>
      <w:r>
        <w:rPr>
          <w:b/>
          <w:bCs/>
          <w:noProof/>
          <w:lang w:val="en-US"/>
        </w:rPr>
        <w:drawing>
          <wp:anchor distT="0" distB="0" distL="114300" distR="114300" simplePos="0" relativeHeight="251680768" behindDoc="1" locked="0" layoutInCell="1" allowOverlap="1" wp14:anchorId="799A55E1" wp14:editId="2DD8AD41">
            <wp:simplePos x="0" y="0"/>
            <wp:positionH relativeFrom="margin">
              <wp:posOffset>3337560</wp:posOffset>
            </wp:positionH>
            <wp:positionV relativeFrom="paragraph">
              <wp:posOffset>178435</wp:posOffset>
            </wp:positionV>
            <wp:extent cx="2796540" cy="2796540"/>
            <wp:effectExtent l="0" t="0" r="3810" b="3810"/>
            <wp:wrapTight wrapText="bothSides">
              <wp:wrapPolygon edited="0">
                <wp:start x="0" y="0"/>
                <wp:lineTo x="0" y="21482"/>
                <wp:lineTo x="21482" y="21482"/>
                <wp:lineTo x="21482" y="0"/>
                <wp:lineTo x="0" y="0"/>
              </wp:wrapPolygon>
            </wp:wrapTight>
            <wp:docPr id="2015920571" name="Picture 4"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20571" name="Picture 4" descr="A graph with numbers and a 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6540" cy="2796540"/>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en-US"/>
        </w:rPr>
        <w:drawing>
          <wp:anchor distT="0" distB="0" distL="114300" distR="114300" simplePos="0" relativeHeight="251679744" behindDoc="1" locked="0" layoutInCell="1" allowOverlap="1" wp14:anchorId="3CDE3381" wp14:editId="3E84B4FB">
            <wp:simplePos x="0" y="0"/>
            <wp:positionH relativeFrom="column">
              <wp:posOffset>-83820</wp:posOffset>
            </wp:positionH>
            <wp:positionV relativeFrom="paragraph">
              <wp:posOffset>208915</wp:posOffset>
            </wp:positionV>
            <wp:extent cx="2682240" cy="2682240"/>
            <wp:effectExtent l="0" t="0" r="3810" b="3810"/>
            <wp:wrapTight wrapText="bothSides">
              <wp:wrapPolygon edited="0">
                <wp:start x="0" y="0"/>
                <wp:lineTo x="0" y="21477"/>
                <wp:lineTo x="21477" y="21477"/>
                <wp:lineTo x="21477" y="0"/>
                <wp:lineTo x="0" y="0"/>
              </wp:wrapPolygon>
            </wp:wrapTight>
            <wp:docPr id="781284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84615" name="Picture 781284615"/>
                    <pic:cNvPicPr/>
                  </pic:nvPicPr>
                  <pic:blipFill>
                    <a:blip r:embed="rId12">
                      <a:extLst>
                        <a:ext uri="{28A0092B-C50C-407E-A947-70E740481C1C}">
                          <a14:useLocalDpi xmlns:a14="http://schemas.microsoft.com/office/drawing/2010/main" val="0"/>
                        </a:ext>
                      </a:extLst>
                    </a:blip>
                    <a:stretch>
                      <a:fillRect/>
                    </a:stretch>
                  </pic:blipFill>
                  <pic:spPr>
                    <a:xfrm>
                      <a:off x="0" y="0"/>
                      <a:ext cx="2682240" cy="2682240"/>
                    </a:xfrm>
                    <a:prstGeom prst="rect">
                      <a:avLst/>
                    </a:prstGeom>
                  </pic:spPr>
                </pic:pic>
              </a:graphicData>
            </a:graphic>
            <wp14:sizeRelH relativeFrom="margin">
              <wp14:pctWidth>0</wp14:pctWidth>
            </wp14:sizeRelH>
            <wp14:sizeRelV relativeFrom="margin">
              <wp14:pctHeight>0</wp14:pctHeight>
            </wp14:sizeRelV>
          </wp:anchor>
        </w:drawing>
      </w:r>
      <w:r w:rsidR="008448F0">
        <w:rPr>
          <w:b/>
          <w:bCs/>
          <w:lang w:val="en-US"/>
        </w:rPr>
        <w:t>A</w:t>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t>B</w:t>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p>
    <w:p w14:paraId="596FAC64" w14:textId="7FD1D378" w:rsidR="008448F0" w:rsidRDefault="008448F0" w:rsidP="008448F0">
      <w:pPr>
        <w:spacing w:line="360" w:lineRule="auto"/>
        <w:rPr>
          <w:b/>
          <w:bCs/>
          <w:lang w:val="en-US"/>
        </w:rPr>
      </w:pPr>
    </w:p>
    <w:p w14:paraId="149E0D4C" w14:textId="26D43DE4" w:rsidR="008448F0" w:rsidRDefault="008448F0" w:rsidP="008448F0">
      <w:pPr>
        <w:spacing w:line="360" w:lineRule="auto"/>
        <w:rPr>
          <w:b/>
          <w:bCs/>
          <w:lang w:val="en-US"/>
        </w:rPr>
      </w:pPr>
    </w:p>
    <w:p w14:paraId="18DA6E71" w14:textId="37B94626" w:rsidR="008448F0" w:rsidRDefault="008448F0" w:rsidP="008448F0">
      <w:pPr>
        <w:spacing w:line="360" w:lineRule="auto"/>
        <w:rPr>
          <w:b/>
          <w:bCs/>
          <w:lang w:val="en-US"/>
        </w:rPr>
      </w:pPr>
    </w:p>
    <w:p w14:paraId="374A9AD0" w14:textId="42C072C8" w:rsidR="008448F0" w:rsidRDefault="008448F0" w:rsidP="008448F0">
      <w:pPr>
        <w:spacing w:line="360" w:lineRule="auto"/>
        <w:rPr>
          <w:b/>
          <w:bCs/>
          <w:lang w:val="en-US"/>
        </w:rPr>
      </w:pPr>
    </w:p>
    <w:p w14:paraId="2809FBAC" w14:textId="66CCD33E" w:rsidR="008448F0" w:rsidRDefault="008448F0" w:rsidP="008448F0">
      <w:pPr>
        <w:spacing w:line="360" w:lineRule="auto"/>
        <w:rPr>
          <w:b/>
          <w:bCs/>
          <w:lang w:val="en-US"/>
        </w:rPr>
      </w:pPr>
    </w:p>
    <w:p w14:paraId="34EC6109" w14:textId="229728F5" w:rsidR="008448F0" w:rsidRPr="008448F0" w:rsidRDefault="00BF1D6E" w:rsidP="008448F0">
      <w:pPr>
        <w:spacing w:line="360" w:lineRule="auto"/>
        <w:rPr>
          <w:b/>
          <w:bCs/>
          <w:lang w:val="en-US"/>
        </w:rPr>
      </w:pPr>
      <w:r>
        <w:rPr>
          <w:b/>
          <w:bCs/>
          <w:noProof/>
          <w:lang w:val="en-US"/>
        </w:rPr>
        <w:drawing>
          <wp:anchor distT="0" distB="0" distL="114300" distR="114300" simplePos="0" relativeHeight="251681792" behindDoc="1" locked="0" layoutInCell="1" allowOverlap="1" wp14:anchorId="7E2BBF46" wp14:editId="6E6C232B">
            <wp:simplePos x="0" y="0"/>
            <wp:positionH relativeFrom="margin">
              <wp:posOffset>-83820</wp:posOffset>
            </wp:positionH>
            <wp:positionV relativeFrom="paragraph">
              <wp:posOffset>328295</wp:posOffset>
            </wp:positionV>
            <wp:extent cx="2758440" cy="2758440"/>
            <wp:effectExtent l="0" t="0" r="3810" b="3810"/>
            <wp:wrapTight wrapText="bothSides">
              <wp:wrapPolygon edited="0">
                <wp:start x="0" y="0"/>
                <wp:lineTo x="0" y="21481"/>
                <wp:lineTo x="21481" y="21481"/>
                <wp:lineTo x="21481" y="0"/>
                <wp:lineTo x="0" y="0"/>
              </wp:wrapPolygon>
            </wp:wrapTight>
            <wp:docPr id="1956536821" name="Picture 5"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36821" name="Picture 5" descr="A graph with numbers and a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58440" cy="2758440"/>
                    </a:xfrm>
                    <a:prstGeom prst="rect">
                      <a:avLst/>
                    </a:prstGeom>
                  </pic:spPr>
                </pic:pic>
              </a:graphicData>
            </a:graphic>
            <wp14:sizeRelH relativeFrom="margin">
              <wp14:pctWidth>0</wp14:pctWidth>
            </wp14:sizeRelH>
            <wp14:sizeRelV relativeFrom="margin">
              <wp14:pctHeight>0</wp14:pctHeight>
            </wp14:sizeRelV>
          </wp:anchor>
        </w:drawing>
      </w:r>
      <w:r w:rsidR="008448F0">
        <w:rPr>
          <w:b/>
          <w:bCs/>
          <w:lang w:val="en-US"/>
        </w:rPr>
        <w:t>C</w:t>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r>
      <w:r w:rsidR="008448F0">
        <w:rPr>
          <w:b/>
          <w:bCs/>
          <w:lang w:val="en-US"/>
        </w:rPr>
        <w:tab/>
        <w:t>D</w:t>
      </w:r>
    </w:p>
    <w:p w14:paraId="3D02AFBA" w14:textId="1C0B092F" w:rsidR="001F0FC7" w:rsidRDefault="00BF1D6E" w:rsidP="000A02EC">
      <w:pPr>
        <w:spacing w:line="360" w:lineRule="auto"/>
        <w:rPr>
          <w:b/>
          <w:bCs/>
          <w:lang w:val="en-US"/>
        </w:rPr>
      </w:pPr>
      <w:r>
        <w:rPr>
          <w:noProof/>
          <w:lang w:val="en-US"/>
        </w:rPr>
        <w:drawing>
          <wp:anchor distT="0" distB="0" distL="114300" distR="114300" simplePos="0" relativeHeight="251682816" behindDoc="1" locked="0" layoutInCell="1" allowOverlap="1" wp14:anchorId="5665A894" wp14:editId="0E2606DD">
            <wp:simplePos x="0" y="0"/>
            <wp:positionH relativeFrom="margin">
              <wp:posOffset>3352800</wp:posOffset>
            </wp:positionH>
            <wp:positionV relativeFrom="paragraph">
              <wp:posOffset>15875</wp:posOffset>
            </wp:positionV>
            <wp:extent cx="2667000" cy="2667000"/>
            <wp:effectExtent l="0" t="0" r="0" b="0"/>
            <wp:wrapTight wrapText="bothSides">
              <wp:wrapPolygon edited="0">
                <wp:start x="0" y="0"/>
                <wp:lineTo x="0" y="21446"/>
                <wp:lineTo x="21446" y="21446"/>
                <wp:lineTo x="21446" y="0"/>
                <wp:lineTo x="0" y="0"/>
              </wp:wrapPolygon>
            </wp:wrapTight>
            <wp:docPr id="19147973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97301" name="Picture 1914797301"/>
                    <pic:cNvPicPr/>
                  </pic:nvPicPr>
                  <pic:blipFill>
                    <a:blip r:embed="rId14">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14:sizeRelH relativeFrom="margin">
              <wp14:pctWidth>0</wp14:pctWidth>
            </wp14:sizeRelH>
            <wp14:sizeRelV relativeFrom="margin">
              <wp14:pctHeight>0</wp14:pctHeight>
            </wp14:sizeRelV>
          </wp:anchor>
        </w:drawing>
      </w:r>
    </w:p>
    <w:p w14:paraId="77D46801" w14:textId="484C4A22" w:rsidR="001F0FC7" w:rsidRDefault="001F0FC7" w:rsidP="000A02EC">
      <w:pPr>
        <w:spacing w:line="360" w:lineRule="auto"/>
        <w:rPr>
          <w:b/>
          <w:bCs/>
          <w:lang w:val="en-US"/>
        </w:rPr>
      </w:pPr>
    </w:p>
    <w:p w14:paraId="5E242490" w14:textId="66C720A8" w:rsidR="001F0FC7" w:rsidRDefault="001F0FC7" w:rsidP="000A02EC">
      <w:pPr>
        <w:spacing w:line="360" w:lineRule="auto"/>
        <w:rPr>
          <w:b/>
          <w:bCs/>
          <w:lang w:val="en-US"/>
        </w:rPr>
      </w:pPr>
    </w:p>
    <w:p w14:paraId="0AE7E0CC" w14:textId="7CA7A0DC" w:rsidR="001F0FC7" w:rsidRDefault="001F0FC7" w:rsidP="000A02EC">
      <w:pPr>
        <w:spacing w:line="360" w:lineRule="auto"/>
        <w:rPr>
          <w:b/>
          <w:bCs/>
          <w:lang w:val="en-US"/>
        </w:rPr>
      </w:pPr>
    </w:p>
    <w:p w14:paraId="45D32550" w14:textId="255CE4BF" w:rsidR="001F0FC7" w:rsidRDefault="001F0FC7" w:rsidP="000A02EC">
      <w:pPr>
        <w:spacing w:line="360" w:lineRule="auto"/>
        <w:rPr>
          <w:b/>
          <w:bCs/>
          <w:lang w:val="en-US"/>
        </w:rPr>
      </w:pPr>
    </w:p>
    <w:p w14:paraId="71ADCAA0" w14:textId="334341CE" w:rsidR="001F0FC7" w:rsidRDefault="001F0FC7" w:rsidP="000A02EC">
      <w:pPr>
        <w:spacing w:line="360" w:lineRule="auto"/>
        <w:rPr>
          <w:b/>
          <w:bCs/>
          <w:lang w:val="en-US"/>
        </w:rPr>
      </w:pPr>
    </w:p>
    <w:p w14:paraId="3640420B" w14:textId="5A328167" w:rsidR="001F0FC7" w:rsidRDefault="001F0FC7" w:rsidP="000A02EC">
      <w:pPr>
        <w:spacing w:line="360" w:lineRule="auto"/>
        <w:rPr>
          <w:b/>
          <w:bCs/>
          <w:lang w:val="en-US"/>
        </w:rPr>
      </w:pPr>
    </w:p>
    <w:p w14:paraId="2632C7C2" w14:textId="7D496A53" w:rsidR="006B7E70" w:rsidRDefault="006B7E70" w:rsidP="00166581">
      <w:pPr>
        <w:pStyle w:val="Heading1"/>
        <w:rPr>
          <w:lang w:val="en-US"/>
        </w:rPr>
      </w:pPr>
      <w:bookmarkStart w:id="23" w:name="_Toc137065025"/>
    </w:p>
    <w:p w14:paraId="0F97B62D" w14:textId="77777777" w:rsidR="00BF1D6E" w:rsidRDefault="00BF1D6E" w:rsidP="00BF1D6E">
      <w:pPr>
        <w:rPr>
          <w:lang w:val="en-US"/>
        </w:rPr>
      </w:pPr>
    </w:p>
    <w:p w14:paraId="4EDBE40A" w14:textId="29B43B60" w:rsidR="000A4EEB" w:rsidRPr="008550C7" w:rsidRDefault="008550C7" w:rsidP="008550C7">
      <w:p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BF1D6E" w:rsidRPr="008550C7">
        <w:rPr>
          <w:rFonts w:ascii="Times New Roman" w:hAnsi="Times New Roman" w:cs="Times New Roman"/>
          <w:sz w:val="20"/>
          <w:szCs w:val="20"/>
          <w:lang w:val="en-US"/>
        </w:rPr>
        <w:t xml:space="preserve">Cumulative </w:t>
      </w:r>
      <w:r w:rsidR="0039736D" w:rsidRPr="008550C7">
        <w:rPr>
          <w:rFonts w:ascii="Times New Roman" w:hAnsi="Times New Roman" w:cs="Times New Roman"/>
          <w:sz w:val="20"/>
          <w:szCs w:val="20"/>
          <w:lang w:val="en-US"/>
        </w:rPr>
        <w:t xml:space="preserve">incidence </w:t>
      </w:r>
      <w:r w:rsidR="00EF33E8" w:rsidRPr="008550C7">
        <w:rPr>
          <w:rFonts w:ascii="Times New Roman" w:hAnsi="Times New Roman" w:cs="Times New Roman"/>
          <w:sz w:val="20"/>
          <w:szCs w:val="20"/>
          <w:lang w:val="en-US"/>
        </w:rPr>
        <w:t>of distant metastasis by age group</w:t>
      </w:r>
      <w:r w:rsidR="00D32DE5" w:rsidRPr="008550C7">
        <w:rPr>
          <w:rFonts w:ascii="Times New Roman" w:hAnsi="Times New Roman" w:cs="Times New Roman"/>
          <w:sz w:val="20"/>
          <w:szCs w:val="20"/>
          <w:lang w:val="en-US"/>
        </w:rPr>
        <w:t>. B) Cumulative incidence of locoregional recurrence by age group</w:t>
      </w:r>
      <w:r w:rsidR="000A4EEB" w:rsidRPr="008550C7">
        <w:rPr>
          <w:rFonts w:ascii="Times New Roman" w:hAnsi="Times New Roman" w:cs="Times New Roman"/>
          <w:sz w:val="20"/>
          <w:szCs w:val="20"/>
          <w:lang w:val="en-US"/>
        </w:rPr>
        <w:t xml:space="preserve">. C) Cumulative incidence of pelvic recurrence by age group. D) Cumulative </w:t>
      </w:r>
      <w:r w:rsidR="002B1414" w:rsidRPr="008550C7">
        <w:rPr>
          <w:rFonts w:ascii="Times New Roman" w:hAnsi="Times New Roman" w:cs="Times New Roman"/>
          <w:sz w:val="20"/>
          <w:szCs w:val="20"/>
          <w:lang w:val="en-US"/>
        </w:rPr>
        <w:t>i</w:t>
      </w:r>
      <w:r w:rsidR="000A4EEB" w:rsidRPr="008550C7">
        <w:rPr>
          <w:rFonts w:ascii="Times New Roman" w:hAnsi="Times New Roman" w:cs="Times New Roman"/>
          <w:sz w:val="20"/>
          <w:szCs w:val="20"/>
          <w:lang w:val="en-US"/>
        </w:rPr>
        <w:t>ncidence of vaginal recurrence by age group</w:t>
      </w:r>
      <w:r w:rsidR="002B1414" w:rsidRPr="008550C7">
        <w:rPr>
          <w:rFonts w:ascii="Times New Roman" w:hAnsi="Times New Roman" w:cs="Times New Roman"/>
          <w:sz w:val="20"/>
          <w:szCs w:val="20"/>
          <w:lang w:val="en-US"/>
        </w:rPr>
        <w:t xml:space="preserve">. </w:t>
      </w:r>
    </w:p>
    <w:p w14:paraId="31E19146" w14:textId="77777777" w:rsidR="008550C7" w:rsidRPr="008550C7" w:rsidRDefault="008550C7" w:rsidP="008550C7">
      <w:pPr>
        <w:rPr>
          <w:rFonts w:ascii="Times New Roman" w:hAnsi="Times New Roman" w:cs="Times New Roman"/>
          <w:sz w:val="20"/>
          <w:szCs w:val="20"/>
          <w:lang w:val="en-US"/>
        </w:rPr>
      </w:pPr>
    </w:p>
    <w:p w14:paraId="077689E9" w14:textId="09731262" w:rsidR="00CD35F0" w:rsidRPr="00CD35F0" w:rsidRDefault="00B846ED" w:rsidP="00CD35F0">
      <w:pPr>
        <w:pStyle w:val="Heading1"/>
        <w:rPr>
          <w:rFonts w:asciiTheme="minorHAnsi" w:eastAsiaTheme="minorHAnsi" w:hAnsiTheme="minorHAnsi" w:cstheme="minorBidi"/>
          <w:b w:val="0"/>
          <w:sz w:val="22"/>
          <w:szCs w:val="22"/>
          <w:lang w:val="en-GB"/>
        </w:rPr>
      </w:pPr>
      <w:bookmarkStart w:id="24" w:name="_Toc146143704"/>
      <w:bookmarkStart w:id="25" w:name="_Toc149307270"/>
      <w:r w:rsidRPr="008218E5">
        <w:rPr>
          <w:lang w:val="en-GB"/>
        </w:rPr>
        <w:lastRenderedPageBreak/>
        <w:t>Supplementary Table 4</w:t>
      </w:r>
      <w:r w:rsidR="003435A5" w:rsidRPr="008218E5">
        <w:rPr>
          <w:lang w:val="en-GB"/>
        </w:rPr>
        <w:t xml:space="preserve">. </w:t>
      </w:r>
      <w:r w:rsidR="00B13EB2" w:rsidRPr="008218E5">
        <w:rPr>
          <w:lang w:val="en-GB"/>
        </w:rPr>
        <w:t>Time-dependent AUC and Brier score for all outcomes</w:t>
      </w:r>
      <w:bookmarkEnd w:id="24"/>
      <w:bookmarkEnd w:id="25"/>
      <w:r w:rsidR="00B13EB2" w:rsidRPr="008218E5">
        <w:rPr>
          <w:lang w:val="en-GB"/>
        </w:rPr>
        <w:t xml:space="preserve"> </w:t>
      </w:r>
    </w:p>
    <w:tbl>
      <w:tblPr>
        <w:tblW w:w="9826" w:type="dxa"/>
        <w:tblCellMar>
          <w:left w:w="70" w:type="dxa"/>
          <w:right w:w="70" w:type="dxa"/>
        </w:tblCellMar>
        <w:tblLook w:val="04A0" w:firstRow="1" w:lastRow="0" w:firstColumn="1" w:lastColumn="0" w:noHBand="0" w:noVBand="1"/>
      </w:tblPr>
      <w:tblGrid>
        <w:gridCol w:w="3337"/>
        <w:gridCol w:w="2962"/>
        <w:gridCol w:w="3527"/>
      </w:tblGrid>
      <w:tr w:rsidR="00CD35F0" w:rsidRPr="00CD35F0" w14:paraId="2BC8D97A" w14:textId="77777777" w:rsidTr="00CD35F0">
        <w:trPr>
          <w:divId w:val="992100449"/>
          <w:trHeight w:val="321"/>
        </w:trPr>
        <w:tc>
          <w:tcPr>
            <w:tcW w:w="3337" w:type="dxa"/>
            <w:tcBorders>
              <w:top w:val="single" w:sz="4" w:space="0" w:color="auto"/>
              <w:left w:val="single" w:sz="4" w:space="0" w:color="auto"/>
              <w:bottom w:val="single" w:sz="4" w:space="0" w:color="auto"/>
              <w:right w:val="nil"/>
            </w:tcBorders>
            <w:shd w:val="clear" w:color="auto" w:fill="auto"/>
            <w:noWrap/>
            <w:vAlign w:val="bottom"/>
            <w:hideMark/>
          </w:tcPr>
          <w:p w14:paraId="687EC2B7" w14:textId="00E5B5A7" w:rsidR="00CD35F0" w:rsidRPr="00CD35F0" w:rsidRDefault="00CD35F0" w:rsidP="00CD35F0">
            <w:pPr>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 xml:space="preserve">Outcome </w:t>
            </w:r>
          </w:p>
        </w:tc>
        <w:tc>
          <w:tcPr>
            <w:tcW w:w="2962" w:type="dxa"/>
            <w:tcBorders>
              <w:top w:val="single" w:sz="4" w:space="0" w:color="auto"/>
              <w:left w:val="nil"/>
              <w:bottom w:val="single" w:sz="4" w:space="0" w:color="auto"/>
              <w:right w:val="nil"/>
            </w:tcBorders>
            <w:shd w:val="clear" w:color="auto" w:fill="auto"/>
            <w:noWrap/>
            <w:vAlign w:val="bottom"/>
            <w:hideMark/>
          </w:tcPr>
          <w:p w14:paraId="6200E110"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AUC (95%CI)</w:t>
            </w:r>
            <w:r w:rsidRPr="00CD35F0">
              <w:rPr>
                <w:rFonts w:ascii="Times New Roman" w:eastAsia="Times New Roman" w:hAnsi="Times New Roman" w:cs="Times New Roman"/>
                <w:b/>
                <w:bCs/>
                <w:color w:val="000000"/>
                <w:sz w:val="20"/>
                <w:szCs w:val="20"/>
                <w:vertAlign w:val="superscript"/>
                <w:lang w:val="en-GB" w:eastAsia="nl-NL"/>
              </w:rPr>
              <w:t>1</w:t>
            </w:r>
          </w:p>
        </w:tc>
        <w:tc>
          <w:tcPr>
            <w:tcW w:w="3526" w:type="dxa"/>
            <w:tcBorders>
              <w:top w:val="single" w:sz="4" w:space="0" w:color="auto"/>
              <w:left w:val="nil"/>
              <w:bottom w:val="single" w:sz="4" w:space="0" w:color="auto"/>
              <w:right w:val="single" w:sz="4" w:space="0" w:color="auto"/>
            </w:tcBorders>
            <w:shd w:val="clear" w:color="auto" w:fill="auto"/>
            <w:noWrap/>
            <w:vAlign w:val="bottom"/>
            <w:hideMark/>
          </w:tcPr>
          <w:p w14:paraId="56C702F2"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Brier score (95%CI)</w:t>
            </w:r>
          </w:p>
        </w:tc>
      </w:tr>
      <w:tr w:rsidR="00CD35F0" w:rsidRPr="00CD35F0" w14:paraId="372E73C1" w14:textId="77777777" w:rsidTr="00CD35F0">
        <w:trPr>
          <w:divId w:val="992100449"/>
          <w:trHeight w:val="351"/>
        </w:trPr>
        <w:tc>
          <w:tcPr>
            <w:tcW w:w="3337" w:type="dxa"/>
            <w:tcBorders>
              <w:top w:val="nil"/>
              <w:left w:val="single" w:sz="4" w:space="0" w:color="auto"/>
              <w:bottom w:val="nil"/>
              <w:right w:val="nil"/>
            </w:tcBorders>
            <w:shd w:val="clear" w:color="auto" w:fill="auto"/>
            <w:noWrap/>
            <w:vAlign w:val="bottom"/>
            <w:hideMark/>
          </w:tcPr>
          <w:p w14:paraId="534BF5CF"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Overall recurrence</w:t>
            </w:r>
          </w:p>
        </w:tc>
        <w:tc>
          <w:tcPr>
            <w:tcW w:w="2962" w:type="dxa"/>
            <w:tcBorders>
              <w:top w:val="nil"/>
              <w:left w:val="nil"/>
              <w:bottom w:val="nil"/>
              <w:right w:val="nil"/>
            </w:tcBorders>
            <w:shd w:val="clear" w:color="auto" w:fill="auto"/>
            <w:noWrap/>
            <w:vAlign w:val="bottom"/>
            <w:hideMark/>
          </w:tcPr>
          <w:p w14:paraId="2421F3E5"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0·78 (0·75-0·81)</w:t>
            </w:r>
          </w:p>
        </w:tc>
        <w:tc>
          <w:tcPr>
            <w:tcW w:w="3526" w:type="dxa"/>
            <w:tcBorders>
              <w:top w:val="nil"/>
              <w:left w:val="nil"/>
              <w:bottom w:val="nil"/>
              <w:right w:val="single" w:sz="4" w:space="0" w:color="auto"/>
            </w:tcBorders>
            <w:shd w:val="clear" w:color="auto" w:fill="auto"/>
            <w:noWrap/>
            <w:vAlign w:val="bottom"/>
            <w:hideMark/>
          </w:tcPr>
          <w:p w14:paraId="45966F09"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0·12 (0·11-0·13)</w:t>
            </w:r>
          </w:p>
        </w:tc>
      </w:tr>
      <w:tr w:rsidR="00CD35F0" w:rsidRPr="00CD35F0" w14:paraId="7ED6F226" w14:textId="77777777" w:rsidTr="00CD35F0">
        <w:trPr>
          <w:divId w:val="992100449"/>
          <w:trHeight w:val="351"/>
        </w:trPr>
        <w:tc>
          <w:tcPr>
            <w:tcW w:w="3337" w:type="dxa"/>
            <w:tcBorders>
              <w:top w:val="nil"/>
              <w:left w:val="single" w:sz="4" w:space="0" w:color="auto"/>
              <w:bottom w:val="nil"/>
              <w:right w:val="nil"/>
            </w:tcBorders>
            <w:shd w:val="clear" w:color="auto" w:fill="auto"/>
            <w:noWrap/>
            <w:vAlign w:val="bottom"/>
            <w:hideMark/>
          </w:tcPr>
          <w:p w14:paraId="0C1B7188"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 xml:space="preserve">EC-specific death </w:t>
            </w:r>
          </w:p>
        </w:tc>
        <w:tc>
          <w:tcPr>
            <w:tcW w:w="2962" w:type="dxa"/>
            <w:tcBorders>
              <w:top w:val="nil"/>
              <w:left w:val="nil"/>
              <w:bottom w:val="nil"/>
              <w:right w:val="nil"/>
            </w:tcBorders>
            <w:shd w:val="clear" w:color="auto" w:fill="auto"/>
            <w:noWrap/>
            <w:vAlign w:val="bottom"/>
            <w:hideMark/>
          </w:tcPr>
          <w:p w14:paraId="13DF2DA6"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0·82 (0·78-0·85)</w:t>
            </w:r>
          </w:p>
        </w:tc>
        <w:tc>
          <w:tcPr>
            <w:tcW w:w="3526" w:type="dxa"/>
            <w:tcBorders>
              <w:top w:val="nil"/>
              <w:left w:val="nil"/>
              <w:bottom w:val="nil"/>
              <w:right w:val="single" w:sz="4" w:space="0" w:color="auto"/>
            </w:tcBorders>
            <w:shd w:val="clear" w:color="auto" w:fill="auto"/>
            <w:noWrap/>
            <w:vAlign w:val="bottom"/>
            <w:hideMark/>
          </w:tcPr>
          <w:p w14:paraId="73E6F877"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0·08 (0·07-0·09)</w:t>
            </w:r>
          </w:p>
        </w:tc>
      </w:tr>
      <w:tr w:rsidR="00CD35F0" w:rsidRPr="00CD35F0" w14:paraId="0B27D9DE" w14:textId="77777777" w:rsidTr="00CD35F0">
        <w:trPr>
          <w:divId w:val="992100449"/>
          <w:trHeight w:val="351"/>
        </w:trPr>
        <w:tc>
          <w:tcPr>
            <w:tcW w:w="3337" w:type="dxa"/>
            <w:tcBorders>
              <w:top w:val="nil"/>
              <w:left w:val="single" w:sz="4" w:space="0" w:color="auto"/>
              <w:bottom w:val="nil"/>
              <w:right w:val="nil"/>
            </w:tcBorders>
            <w:shd w:val="clear" w:color="auto" w:fill="auto"/>
            <w:noWrap/>
            <w:vAlign w:val="bottom"/>
            <w:hideMark/>
          </w:tcPr>
          <w:p w14:paraId="1714A500"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 xml:space="preserve">Distant metastasis </w:t>
            </w:r>
          </w:p>
        </w:tc>
        <w:tc>
          <w:tcPr>
            <w:tcW w:w="2962" w:type="dxa"/>
            <w:tcBorders>
              <w:top w:val="nil"/>
              <w:left w:val="nil"/>
              <w:bottom w:val="nil"/>
              <w:right w:val="nil"/>
            </w:tcBorders>
            <w:shd w:val="clear" w:color="auto" w:fill="auto"/>
            <w:noWrap/>
            <w:vAlign w:val="bottom"/>
            <w:hideMark/>
          </w:tcPr>
          <w:p w14:paraId="0E0ABAF5"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0·83 (0·80-0·86)</w:t>
            </w:r>
          </w:p>
        </w:tc>
        <w:tc>
          <w:tcPr>
            <w:tcW w:w="3526" w:type="dxa"/>
            <w:tcBorders>
              <w:top w:val="nil"/>
              <w:left w:val="nil"/>
              <w:bottom w:val="nil"/>
              <w:right w:val="single" w:sz="4" w:space="0" w:color="auto"/>
            </w:tcBorders>
            <w:shd w:val="clear" w:color="auto" w:fill="auto"/>
            <w:noWrap/>
            <w:vAlign w:val="bottom"/>
            <w:hideMark/>
          </w:tcPr>
          <w:p w14:paraId="4CB30732"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0·09 (0·08-0·10)</w:t>
            </w:r>
          </w:p>
        </w:tc>
      </w:tr>
      <w:tr w:rsidR="00CD35F0" w:rsidRPr="00CD35F0" w14:paraId="18336680" w14:textId="77777777" w:rsidTr="00CD35F0">
        <w:trPr>
          <w:divId w:val="992100449"/>
          <w:trHeight w:val="351"/>
        </w:trPr>
        <w:tc>
          <w:tcPr>
            <w:tcW w:w="3337" w:type="dxa"/>
            <w:tcBorders>
              <w:top w:val="nil"/>
              <w:left w:val="single" w:sz="4" w:space="0" w:color="auto"/>
              <w:bottom w:val="nil"/>
              <w:right w:val="nil"/>
            </w:tcBorders>
            <w:shd w:val="clear" w:color="auto" w:fill="auto"/>
            <w:noWrap/>
            <w:vAlign w:val="bottom"/>
            <w:hideMark/>
          </w:tcPr>
          <w:p w14:paraId="12DDBED1"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 xml:space="preserve">Locoregional recurrence </w:t>
            </w:r>
          </w:p>
        </w:tc>
        <w:tc>
          <w:tcPr>
            <w:tcW w:w="2962" w:type="dxa"/>
            <w:tcBorders>
              <w:top w:val="nil"/>
              <w:left w:val="nil"/>
              <w:bottom w:val="nil"/>
              <w:right w:val="nil"/>
            </w:tcBorders>
            <w:shd w:val="clear" w:color="auto" w:fill="auto"/>
            <w:noWrap/>
            <w:vAlign w:val="bottom"/>
            <w:hideMark/>
          </w:tcPr>
          <w:p w14:paraId="5FEE0EFF"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0·78 (0·74-0·82)</w:t>
            </w:r>
          </w:p>
        </w:tc>
        <w:tc>
          <w:tcPr>
            <w:tcW w:w="3526" w:type="dxa"/>
            <w:tcBorders>
              <w:top w:val="nil"/>
              <w:left w:val="nil"/>
              <w:bottom w:val="nil"/>
              <w:right w:val="single" w:sz="4" w:space="0" w:color="auto"/>
            </w:tcBorders>
            <w:shd w:val="clear" w:color="auto" w:fill="auto"/>
            <w:noWrap/>
            <w:vAlign w:val="bottom"/>
            <w:hideMark/>
          </w:tcPr>
          <w:p w14:paraId="4AC239E2"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0·06 (0·05-0·07)</w:t>
            </w:r>
          </w:p>
        </w:tc>
      </w:tr>
      <w:tr w:rsidR="00CD35F0" w:rsidRPr="00CD35F0" w14:paraId="07BCDCB9" w14:textId="77777777" w:rsidTr="00CD35F0">
        <w:trPr>
          <w:divId w:val="992100449"/>
          <w:trHeight w:val="351"/>
        </w:trPr>
        <w:tc>
          <w:tcPr>
            <w:tcW w:w="3337" w:type="dxa"/>
            <w:tcBorders>
              <w:top w:val="nil"/>
              <w:left w:val="single" w:sz="4" w:space="0" w:color="auto"/>
              <w:right w:val="nil"/>
            </w:tcBorders>
            <w:shd w:val="clear" w:color="auto" w:fill="auto"/>
            <w:noWrap/>
            <w:vAlign w:val="bottom"/>
            <w:hideMark/>
          </w:tcPr>
          <w:p w14:paraId="06EFF659"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Pelvic recurrence</w:t>
            </w:r>
          </w:p>
        </w:tc>
        <w:tc>
          <w:tcPr>
            <w:tcW w:w="2962" w:type="dxa"/>
            <w:tcBorders>
              <w:top w:val="nil"/>
              <w:left w:val="nil"/>
              <w:right w:val="nil"/>
            </w:tcBorders>
            <w:shd w:val="clear" w:color="auto" w:fill="auto"/>
            <w:noWrap/>
            <w:vAlign w:val="bottom"/>
            <w:hideMark/>
          </w:tcPr>
          <w:p w14:paraId="3ECA7080"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0·83 (0·78-0·88)</w:t>
            </w:r>
          </w:p>
        </w:tc>
        <w:tc>
          <w:tcPr>
            <w:tcW w:w="3526" w:type="dxa"/>
            <w:tcBorders>
              <w:top w:val="nil"/>
              <w:left w:val="nil"/>
              <w:right w:val="single" w:sz="4" w:space="0" w:color="auto"/>
            </w:tcBorders>
            <w:shd w:val="clear" w:color="auto" w:fill="auto"/>
            <w:noWrap/>
            <w:vAlign w:val="bottom"/>
            <w:hideMark/>
          </w:tcPr>
          <w:p w14:paraId="774AB2DE"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0·04 (0·03-0·05)</w:t>
            </w:r>
          </w:p>
        </w:tc>
      </w:tr>
      <w:tr w:rsidR="00CD35F0" w:rsidRPr="00CD35F0" w14:paraId="6D2DBD94" w14:textId="77777777" w:rsidTr="00CD35F0">
        <w:trPr>
          <w:divId w:val="992100449"/>
          <w:trHeight w:val="351"/>
        </w:trPr>
        <w:tc>
          <w:tcPr>
            <w:tcW w:w="3337" w:type="dxa"/>
            <w:tcBorders>
              <w:top w:val="nil"/>
              <w:left w:val="single" w:sz="4" w:space="0" w:color="auto"/>
              <w:bottom w:val="single" w:sz="4" w:space="0" w:color="auto"/>
              <w:right w:val="nil"/>
            </w:tcBorders>
            <w:shd w:val="clear" w:color="auto" w:fill="auto"/>
            <w:noWrap/>
            <w:vAlign w:val="bottom"/>
            <w:hideMark/>
          </w:tcPr>
          <w:p w14:paraId="736C523C" w14:textId="77777777" w:rsidR="00CD35F0" w:rsidRPr="00CD35F0" w:rsidRDefault="00CD35F0" w:rsidP="00CD35F0">
            <w:pPr>
              <w:spacing w:after="0" w:line="240" w:lineRule="auto"/>
              <w:rPr>
                <w:rFonts w:ascii="Times New Roman" w:eastAsia="Times New Roman" w:hAnsi="Times New Roman" w:cs="Times New Roman"/>
                <w:b/>
                <w:bCs/>
                <w:color w:val="000000"/>
                <w:sz w:val="20"/>
                <w:szCs w:val="20"/>
                <w:lang w:val="en-GB" w:eastAsia="nl-NL"/>
              </w:rPr>
            </w:pPr>
            <w:r w:rsidRPr="00CD35F0">
              <w:rPr>
                <w:rFonts w:ascii="Times New Roman" w:eastAsia="Times New Roman" w:hAnsi="Times New Roman" w:cs="Times New Roman"/>
                <w:b/>
                <w:bCs/>
                <w:color w:val="000000"/>
                <w:sz w:val="20"/>
                <w:szCs w:val="20"/>
                <w:lang w:val="en-GB" w:eastAsia="nl-NL"/>
              </w:rPr>
              <w:t xml:space="preserve">Vaginal recurrence </w:t>
            </w:r>
          </w:p>
        </w:tc>
        <w:tc>
          <w:tcPr>
            <w:tcW w:w="2962" w:type="dxa"/>
            <w:tcBorders>
              <w:top w:val="nil"/>
              <w:left w:val="nil"/>
              <w:bottom w:val="single" w:sz="4" w:space="0" w:color="auto"/>
              <w:right w:val="nil"/>
            </w:tcBorders>
            <w:shd w:val="clear" w:color="auto" w:fill="auto"/>
            <w:noWrap/>
            <w:vAlign w:val="bottom"/>
            <w:hideMark/>
          </w:tcPr>
          <w:p w14:paraId="1D9BCE5F"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0·78 (0·73-0·84)</w:t>
            </w:r>
          </w:p>
        </w:tc>
        <w:tc>
          <w:tcPr>
            <w:tcW w:w="3526" w:type="dxa"/>
            <w:tcBorders>
              <w:top w:val="nil"/>
              <w:left w:val="nil"/>
              <w:bottom w:val="single" w:sz="4" w:space="0" w:color="auto"/>
              <w:right w:val="single" w:sz="4" w:space="0" w:color="auto"/>
            </w:tcBorders>
            <w:shd w:val="clear" w:color="auto" w:fill="auto"/>
            <w:noWrap/>
            <w:vAlign w:val="bottom"/>
            <w:hideMark/>
          </w:tcPr>
          <w:p w14:paraId="7D48CEAD" w14:textId="77777777" w:rsidR="00CD35F0" w:rsidRPr="00CD35F0" w:rsidRDefault="00CD35F0" w:rsidP="00CD35F0">
            <w:pPr>
              <w:spacing w:after="0" w:line="240" w:lineRule="auto"/>
              <w:rPr>
                <w:rFonts w:ascii="Times New Roman" w:eastAsia="Times New Roman" w:hAnsi="Times New Roman" w:cs="Times New Roman"/>
                <w:color w:val="000000"/>
                <w:sz w:val="20"/>
                <w:szCs w:val="20"/>
                <w:lang w:val="en-GB" w:eastAsia="nl-NL"/>
              </w:rPr>
            </w:pPr>
            <w:r w:rsidRPr="00CD35F0">
              <w:rPr>
                <w:rFonts w:ascii="Times New Roman" w:eastAsia="Times New Roman" w:hAnsi="Times New Roman" w:cs="Times New Roman"/>
                <w:color w:val="000000"/>
                <w:sz w:val="20"/>
                <w:szCs w:val="20"/>
                <w:lang w:val="en-GB" w:eastAsia="nl-NL"/>
              </w:rPr>
              <w:t xml:space="preserve">0·03 (0·03-0·04) </w:t>
            </w:r>
          </w:p>
        </w:tc>
      </w:tr>
      <w:tr w:rsidR="00CD35F0" w:rsidRPr="00CD35F0" w14:paraId="2D67D8E1" w14:textId="77777777" w:rsidTr="00CD35F0">
        <w:trPr>
          <w:divId w:val="992100449"/>
          <w:trHeight w:val="351"/>
        </w:trPr>
        <w:tc>
          <w:tcPr>
            <w:tcW w:w="9826" w:type="dxa"/>
            <w:gridSpan w:val="3"/>
            <w:tcBorders>
              <w:top w:val="single" w:sz="4" w:space="0" w:color="auto"/>
              <w:bottom w:val="nil"/>
              <w:right w:val="nil"/>
            </w:tcBorders>
            <w:shd w:val="clear" w:color="auto" w:fill="auto"/>
            <w:noWrap/>
            <w:vAlign w:val="bottom"/>
            <w:hideMark/>
          </w:tcPr>
          <w:p w14:paraId="0ECEC4FD" w14:textId="251EE29E" w:rsidR="00CD35F0" w:rsidRPr="00CD35F0" w:rsidRDefault="00CD35F0" w:rsidP="00CD35F0">
            <w:pPr>
              <w:pStyle w:val="NoSpacing"/>
              <w:rPr>
                <w:rFonts w:ascii="Times New Roman" w:eastAsia="Times New Roman" w:hAnsi="Times New Roman" w:cs="Times New Roman"/>
                <w:color w:val="000000"/>
                <w:sz w:val="20"/>
                <w:szCs w:val="20"/>
                <w:lang w:val="en-US" w:eastAsia="nl-NL"/>
              </w:rPr>
            </w:pPr>
            <w:r w:rsidRPr="00CD35F0">
              <w:rPr>
                <w:rFonts w:ascii="Times New Roman" w:hAnsi="Times New Roman" w:cs="Times New Roman"/>
                <w:sz w:val="20"/>
                <w:szCs w:val="20"/>
                <w:lang w:val="en-GB" w:eastAsia="nl-NL"/>
              </w:rPr>
              <w:t>Definition</w:t>
            </w:r>
            <w:r w:rsidRPr="00CD35F0">
              <w:rPr>
                <w:rFonts w:ascii="Times New Roman" w:eastAsia="Times New Roman" w:hAnsi="Times New Roman" w:cs="Times New Roman"/>
                <w:color w:val="000000"/>
                <w:sz w:val="20"/>
                <w:szCs w:val="20"/>
                <w:lang w:val="en-US" w:eastAsia="nl-NL"/>
              </w:rPr>
              <w:t xml:space="preserve"> of abbreviations: AUC =  area under receiver-operating characteristic curve. 1) Calculated at 5-year follow-up</w:t>
            </w:r>
          </w:p>
        </w:tc>
      </w:tr>
    </w:tbl>
    <w:p w14:paraId="3BEA0348" w14:textId="0EF42CD5" w:rsidR="00477DC7" w:rsidRPr="00477DC7" w:rsidRDefault="00477DC7" w:rsidP="00477DC7">
      <w:pPr>
        <w:rPr>
          <w:rFonts w:ascii="Times New Roman" w:hAnsi="Times New Roman" w:cs="Times New Roman"/>
          <w:sz w:val="20"/>
          <w:szCs w:val="20"/>
          <w:lang w:val="en-GB"/>
        </w:rPr>
      </w:pPr>
    </w:p>
    <w:p w14:paraId="6C21DB07" w14:textId="22D32C8E" w:rsidR="00477DC7" w:rsidRDefault="00477DC7">
      <w:pPr>
        <w:rPr>
          <w:rFonts w:ascii="Times New Roman" w:eastAsiaTheme="majorEastAsia" w:hAnsi="Times New Roman" w:cstheme="majorBidi"/>
          <w:b/>
          <w:sz w:val="20"/>
          <w:szCs w:val="32"/>
          <w:lang w:val="en-GB"/>
        </w:rPr>
      </w:pPr>
      <w:r>
        <w:rPr>
          <w:lang w:val="en-GB"/>
        </w:rPr>
        <w:br w:type="page"/>
      </w:r>
    </w:p>
    <w:p w14:paraId="6F6632AE" w14:textId="6591F79A" w:rsidR="004161E2" w:rsidRPr="004161E2" w:rsidRDefault="008B3B97" w:rsidP="004161E2">
      <w:pPr>
        <w:pStyle w:val="Heading1"/>
        <w:rPr>
          <w:lang w:val="en-US"/>
        </w:rPr>
      </w:pPr>
      <w:bookmarkStart w:id="26" w:name="_Toc146143705"/>
      <w:bookmarkStart w:id="27" w:name="_Toc149307271"/>
      <w:r>
        <w:rPr>
          <w:lang w:val="en-US"/>
        </w:rPr>
        <w:lastRenderedPageBreak/>
        <w:t>Supplementary Figure 3</w:t>
      </w:r>
      <w:r w:rsidR="00166581">
        <w:rPr>
          <w:lang w:val="en-US"/>
        </w:rPr>
        <w:t>.</w:t>
      </w:r>
      <w:r>
        <w:rPr>
          <w:lang w:val="en-US"/>
        </w:rPr>
        <w:t xml:space="preserve"> </w:t>
      </w:r>
      <w:r w:rsidR="00315705">
        <w:rPr>
          <w:lang w:val="en-US"/>
        </w:rPr>
        <w:t xml:space="preserve">Correlation of age with the risk of secondary outcomes </w:t>
      </w:r>
      <w:r w:rsidR="006B7E70">
        <w:rPr>
          <w:lang w:val="en-US"/>
        </w:rPr>
        <w:t>by statistical inference</w:t>
      </w:r>
      <w:bookmarkEnd w:id="26"/>
      <w:bookmarkEnd w:id="27"/>
      <w:r w:rsidR="006B7E70">
        <w:rPr>
          <w:lang w:val="en-US"/>
        </w:rPr>
        <w:t xml:space="preserve"> </w:t>
      </w:r>
      <w:bookmarkEnd w:id="23"/>
    </w:p>
    <w:p w14:paraId="1CFE87EE" w14:textId="07DCC1E5" w:rsidR="004161E2" w:rsidRDefault="002B44C5" w:rsidP="004161E2">
      <w:pPr>
        <w:rPr>
          <w:lang w:val="en-US"/>
        </w:rPr>
      </w:pPr>
      <w:r>
        <w:rPr>
          <w:noProof/>
          <w:lang w:val="en-US"/>
        </w:rPr>
        <w:drawing>
          <wp:anchor distT="0" distB="0" distL="114300" distR="114300" simplePos="0" relativeHeight="251657216" behindDoc="1" locked="0" layoutInCell="1" allowOverlap="1" wp14:anchorId="0A650F0C" wp14:editId="2F5D33B2">
            <wp:simplePos x="0" y="0"/>
            <wp:positionH relativeFrom="margin">
              <wp:align>center</wp:align>
            </wp:positionH>
            <wp:positionV relativeFrom="paragraph">
              <wp:posOffset>284480</wp:posOffset>
            </wp:positionV>
            <wp:extent cx="5951220" cy="6915837"/>
            <wp:effectExtent l="0" t="0" r="0" b="0"/>
            <wp:wrapTight wrapText="bothSides">
              <wp:wrapPolygon edited="0">
                <wp:start x="0" y="0"/>
                <wp:lineTo x="0" y="21539"/>
                <wp:lineTo x="21503" y="21539"/>
                <wp:lineTo x="21503" y="0"/>
                <wp:lineTo x="0" y="0"/>
              </wp:wrapPolygon>
            </wp:wrapTight>
            <wp:docPr id="176951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18178" name="Picture 176951817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51220" cy="6915837"/>
                    </a:xfrm>
                    <a:prstGeom prst="rect">
                      <a:avLst/>
                    </a:prstGeom>
                  </pic:spPr>
                </pic:pic>
              </a:graphicData>
            </a:graphic>
          </wp:anchor>
        </w:drawing>
      </w:r>
    </w:p>
    <w:p w14:paraId="615CF243" w14:textId="58DD6787" w:rsidR="00925171" w:rsidRPr="00925171" w:rsidRDefault="00925171" w:rsidP="00925171">
      <w:pPr>
        <w:rPr>
          <w:rFonts w:ascii="Times New Roman" w:hAnsi="Times New Roman" w:cs="Times New Roman"/>
          <w:sz w:val="20"/>
          <w:szCs w:val="20"/>
          <w:lang w:val="en-US"/>
        </w:rPr>
      </w:pPr>
      <w:r w:rsidRPr="00925171">
        <w:rPr>
          <w:rFonts w:ascii="Times New Roman" w:hAnsi="Times New Roman" w:cs="Times New Roman"/>
          <w:sz w:val="20"/>
          <w:szCs w:val="20"/>
          <w:lang w:val="en-US"/>
        </w:rPr>
        <w:t xml:space="preserve">A) </w:t>
      </w:r>
      <w:r w:rsidR="00E600B0" w:rsidRPr="00925171">
        <w:rPr>
          <w:rFonts w:ascii="Times New Roman" w:hAnsi="Times New Roman" w:cs="Times New Roman"/>
          <w:sz w:val="20"/>
          <w:szCs w:val="20"/>
          <w:lang w:val="en-US"/>
        </w:rPr>
        <w:t>Correlation of age with the risk of distant metastasis by statistical inference</w:t>
      </w:r>
      <w:r w:rsidR="00FC65ED" w:rsidRPr="00925171">
        <w:rPr>
          <w:rFonts w:ascii="Times New Roman" w:hAnsi="Times New Roman" w:cs="Times New Roman"/>
          <w:sz w:val="20"/>
          <w:szCs w:val="20"/>
          <w:lang w:val="en-US"/>
        </w:rPr>
        <w:t xml:space="preserve">. B) Correlation of age </w:t>
      </w:r>
      <w:r w:rsidR="00FC0E3C" w:rsidRPr="00925171">
        <w:rPr>
          <w:rFonts w:ascii="Times New Roman" w:hAnsi="Times New Roman" w:cs="Times New Roman"/>
          <w:sz w:val="20"/>
          <w:szCs w:val="20"/>
          <w:lang w:val="en-US"/>
        </w:rPr>
        <w:t xml:space="preserve">with the risk of </w:t>
      </w:r>
      <w:r w:rsidR="00FC65ED" w:rsidRPr="00925171">
        <w:rPr>
          <w:rFonts w:ascii="Times New Roman" w:hAnsi="Times New Roman" w:cs="Times New Roman"/>
          <w:sz w:val="20"/>
          <w:szCs w:val="20"/>
          <w:lang w:val="en-US"/>
        </w:rPr>
        <w:t xml:space="preserve">locoregional </w:t>
      </w:r>
      <w:r w:rsidR="001C6E72" w:rsidRPr="00925171">
        <w:rPr>
          <w:rFonts w:ascii="Times New Roman" w:hAnsi="Times New Roman" w:cs="Times New Roman"/>
          <w:sz w:val="20"/>
          <w:szCs w:val="20"/>
          <w:lang w:val="en-US"/>
        </w:rPr>
        <w:t xml:space="preserve">recurrence by statistical inference. C) Correlation of age with </w:t>
      </w:r>
      <w:r w:rsidR="00DC435C" w:rsidRPr="00925171">
        <w:rPr>
          <w:rFonts w:ascii="Times New Roman" w:hAnsi="Times New Roman" w:cs="Times New Roman"/>
          <w:sz w:val="20"/>
          <w:szCs w:val="20"/>
          <w:lang w:val="en-US"/>
        </w:rPr>
        <w:t>the risk of p</w:t>
      </w:r>
      <w:r w:rsidR="001C6E72" w:rsidRPr="00925171">
        <w:rPr>
          <w:rFonts w:ascii="Times New Roman" w:hAnsi="Times New Roman" w:cs="Times New Roman"/>
          <w:sz w:val="20"/>
          <w:szCs w:val="20"/>
          <w:lang w:val="en-US"/>
        </w:rPr>
        <w:t>elvic recurrence by statistical inference. D) Correlation of age with</w:t>
      </w:r>
      <w:r w:rsidR="00DC435C" w:rsidRPr="00925171">
        <w:rPr>
          <w:rFonts w:ascii="Times New Roman" w:hAnsi="Times New Roman" w:cs="Times New Roman"/>
          <w:sz w:val="20"/>
          <w:szCs w:val="20"/>
          <w:lang w:val="en-US"/>
        </w:rPr>
        <w:t xml:space="preserve"> the risk of </w:t>
      </w:r>
      <w:r w:rsidR="001C6E72" w:rsidRPr="00925171">
        <w:rPr>
          <w:rFonts w:ascii="Times New Roman" w:hAnsi="Times New Roman" w:cs="Times New Roman"/>
          <w:sz w:val="20"/>
          <w:szCs w:val="20"/>
          <w:lang w:val="en-US"/>
        </w:rPr>
        <w:t>vaginal recurrenc</w:t>
      </w:r>
      <w:r w:rsidR="00DC435C" w:rsidRPr="00925171">
        <w:rPr>
          <w:rFonts w:ascii="Times New Roman" w:hAnsi="Times New Roman" w:cs="Times New Roman"/>
          <w:sz w:val="20"/>
          <w:szCs w:val="20"/>
          <w:lang w:val="en-US"/>
        </w:rPr>
        <w:t xml:space="preserve">e by statistical inference. </w:t>
      </w:r>
      <w:r w:rsidRPr="00925171">
        <w:rPr>
          <w:rFonts w:ascii="Times New Roman" w:hAnsi="Times New Roman" w:cs="Times New Roman"/>
          <w:sz w:val="20"/>
          <w:szCs w:val="20"/>
          <w:lang w:val="en-US"/>
        </w:rPr>
        <w:t xml:space="preserve">Definition of abbreviations: HR = hazard ratio. Ref = reference line. </w:t>
      </w:r>
    </w:p>
    <w:p w14:paraId="03DFA86A" w14:textId="77777777" w:rsidR="004161E2" w:rsidRPr="002B44C5" w:rsidRDefault="004161E2" w:rsidP="004161E2">
      <w:pPr>
        <w:rPr>
          <w:lang w:val="en-US"/>
        </w:rPr>
      </w:pPr>
    </w:p>
    <w:p w14:paraId="72C7DF83" w14:textId="5D979B0D" w:rsidR="008B3B97" w:rsidRDefault="004819EC" w:rsidP="00166581">
      <w:pPr>
        <w:pStyle w:val="Heading1"/>
        <w:rPr>
          <w:lang w:val="en-US"/>
        </w:rPr>
      </w:pPr>
      <w:bookmarkStart w:id="28" w:name="_Toc137065026"/>
      <w:bookmarkStart w:id="29" w:name="_Toc146143706"/>
      <w:bookmarkStart w:id="30" w:name="_Toc149307272"/>
      <w:r>
        <w:rPr>
          <w:noProof/>
          <w:lang w:val="en-US"/>
        </w:rPr>
        <w:lastRenderedPageBreak/>
        <w:drawing>
          <wp:anchor distT="0" distB="0" distL="114300" distR="114300" simplePos="0" relativeHeight="251678720" behindDoc="1" locked="0" layoutInCell="1" allowOverlap="1" wp14:anchorId="3B184F23" wp14:editId="7F9E732D">
            <wp:simplePos x="0" y="0"/>
            <wp:positionH relativeFrom="margin">
              <wp:align>center</wp:align>
            </wp:positionH>
            <wp:positionV relativeFrom="paragraph">
              <wp:posOffset>304800</wp:posOffset>
            </wp:positionV>
            <wp:extent cx="6336030" cy="6012180"/>
            <wp:effectExtent l="0" t="0" r="7620" b="7620"/>
            <wp:wrapTight wrapText="bothSides">
              <wp:wrapPolygon edited="0">
                <wp:start x="0" y="0"/>
                <wp:lineTo x="0" y="21559"/>
                <wp:lineTo x="21561" y="21559"/>
                <wp:lineTo x="21561" y="0"/>
                <wp:lineTo x="0" y="0"/>
              </wp:wrapPolygon>
            </wp:wrapTight>
            <wp:docPr id="1098375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75305" name="Picture 10983753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36030" cy="6012180"/>
                    </a:xfrm>
                    <a:prstGeom prst="rect">
                      <a:avLst/>
                    </a:prstGeom>
                  </pic:spPr>
                </pic:pic>
              </a:graphicData>
            </a:graphic>
            <wp14:sizeRelH relativeFrom="page">
              <wp14:pctWidth>0</wp14:pctWidth>
            </wp14:sizeRelH>
            <wp14:sizeRelV relativeFrom="page">
              <wp14:pctHeight>0</wp14:pctHeight>
            </wp14:sizeRelV>
          </wp:anchor>
        </w:drawing>
      </w:r>
      <w:r w:rsidR="00DB02E4" w:rsidRPr="00DB02E4">
        <w:rPr>
          <w:lang w:val="en-US"/>
        </w:rPr>
        <w:t>Supplementary figure 4</w:t>
      </w:r>
      <w:r w:rsidR="00166581">
        <w:rPr>
          <w:lang w:val="en-US"/>
        </w:rPr>
        <w:t xml:space="preserve">. </w:t>
      </w:r>
      <w:r w:rsidR="00315705">
        <w:rPr>
          <w:lang w:val="en-US"/>
        </w:rPr>
        <w:t>Correlation of age with the risk of secondary outcomes using an AutoCI model</w:t>
      </w:r>
      <w:bookmarkEnd w:id="28"/>
      <w:bookmarkEnd w:id="29"/>
      <w:bookmarkEnd w:id="30"/>
      <w:r w:rsidR="00315705">
        <w:rPr>
          <w:lang w:val="en-US"/>
        </w:rPr>
        <w:t xml:space="preserve"> </w:t>
      </w:r>
    </w:p>
    <w:p w14:paraId="06953A8A" w14:textId="77777777" w:rsidR="004819EC" w:rsidRDefault="004819EC" w:rsidP="004819EC">
      <w:pPr>
        <w:rPr>
          <w:lang w:val="en-US"/>
        </w:rPr>
      </w:pPr>
    </w:p>
    <w:p w14:paraId="25F366CC" w14:textId="4C2D4435" w:rsidR="004819EC" w:rsidRPr="00925171" w:rsidRDefault="004819EC" w:rsidP="004819EC">
      <w:pPr>
        <w:rPr>
          <w:rFonts w:ascii="Times New Roman" w:hAnsi="Times New Roman" w:cs="Times New Roman"/>
          <w:sz w:val="20"/>
          <w:szCs w:val="20"/>
          <w:lang w:val="en-US"/>
        </w:rPr>
      </w:pPr>
      <w:r w:rsidRPr="00925171">
        <w:rPr>
          <w:rFonts w:ascii="Times New Roman" w:hAnsi="Times New Roman" w:cs="Times New Roman"/>
          <w:sz w:val="20"/>
          <w:szCs w:val="20"/>
          <w:lang w:val="en-US"/>
        </w:rPr>
        <w:t xml:space="preserve">A) Correlation of age with the risk of distant metastasis by </w:t>
      </w:r>
      <w:r>
        <w:rPr>
          <w:rFonts w:ascii="Times New Roman" w:hAnsi="Times New Roman" w:cs="Times New Roman"/>
          <w:sz w:val="20"/>
          <w:szCs w:val="20"/>
          <w:lang w:val="en-US"/>
        </w:rPr>
        <w:t>causal</w:t>
      </w:r>
      <w:r w:rsidRPr="00925171">
        <w:rPr>
          <w:rFonts w:ascii="Times New Roman" w:hAnsi="Times New Roman" w:cs="Times New Roman"/>
          <w:sz w:val="20"/>
          <w:szCs w:val="20"/>
          <w:lang w:val="en-US"/>
        </w:rPr>
        <w:t xml:space="preserve"> inference. B) Correlation of age with the risk of locoregional recurrence by </w:t>
      </w:r>
      <w:r>
        <w:rPr>
          <w:rFonts w:ascii="Times New Roman" w:hAnsi="Times New Roman" w:cs="Times New Roman"/>
          <w:sz w:val="20"/>
          <w:szCs w:val="20"/>
          <w:lang w:val="en-US"/>
        </w:rPr>
        <w:t>causal</w:t>
      </w:r>
      <w:r w:rsidRPr="00925171">
        <w:rPr>
          <w:rFonts w:ascii="Times New Roman" w:hAnsi="Times New Roman" w:cs="Times New Roman"/>
          <w:sz w:val="20"/>
          <w:szCs w:val="20"/>
          <w:lang w:val="en-US"/>
        </w:rPr>
        <w:t xml:space="preserve"> inference. C) Correlation of age with the risk of pelvic recurrence by </w:t>
      </w:r>
      <w:r>
        <w:rPr>
          <w:rFonts w:ascii="Times New Roman" w:hAnsi="Times New Roman" w:cs="Times New Roman"/>
          <w:sz w:val="20"/>
          <w:szCs w:val="20"/>
          <w:lang w:val="en-US"/>
        </w:rPr>
        <w:t>causal</w:t>
      </w:r>
      <w:r w:rsidRPr="00925171">
        <w:rPr>
          <w:rFonts w:ascii="Times New Roman" w:hAnsi="Times New Roman" w:cs="Times New Roman"/>
          <w:sz w:val="20"/>
          <w:szCs w:val="20"/>
          <w:lang w:val="en-US"/>
        </w:rPr>
        <w:t xml:space="preserve"> inference. D) Correlation of age with the risk of vaginal recurrence by </w:t>
      </w:r>
      <w:r>
        <w:rPr>
          <w:rFonts w:ascii="Times New Roman" w:hAnsi="Times New Roman" w:cs="Times New Roman"/>
          <w:sz w:val="20"/>
          <w:szCs w:val="20"/>
          <w:lang w:val="en-US"/>
        </w:rPr>
        <w:t>causal</w:t>
      </w:r>
      <w:r w:rsidRPr="00925171">
        <w:rPr>
          <w:rFonts w:ascii="Times New Roman" w:hAnsi="Times New Roman" w:cs="Times New Roman"/>
          <w:sz w:val="20"/>
          <w:szCs w:val="20"/>
          <w:lang w:val="en-US"/>
        </w:rPr>
        <w:t xml:space="preserve"> inference. Definition of abbreviations: HR = hazard ratio. Ref = reference line. </w:t>
      </w:r>
    </w:p>
    <w:p w14:paraId="09989EEF" w14:textId="73CEBF8E" w:rsidR="00880144" w:rsidRPr="00880144" w:rsidRDefault="00880144" w:rsidP="00880144">
      <w:pPr>
        <w:rPr>
          <w:lang w:val="en-US"/>
        </w:rPr>
      </w:pPr>
    </w:p>
    <w:p w14:paraId="00C0D6F8" w14:textId="495CB7B5" w:rsidR="00963D3F" w:rsidRDefault="00963D3F" w:rsidP="000A02EC">
      <w:pPr>
        <w:spacing w:line="360" w:lineRule="auto"/>
        <w:rPr>
          <w:rFonts w:ascii="Times New Roman" w:hAnsi="Times New Roman" w:cs="Times New Roman"/>
          <w:sz w:val="20"/>
          <w:szCs w:val="20"/>
          <w:lang w:val="en-US"/>
        </w:rPr>
      </w:pPr>
    </w:p>
    <w:p w14:paraId="0510FB27" w14:textId="32E3D447" w:rsidR="00DB02E4" w:rsidRPr="00880144" w:rsidRDefault="00DB02E4" w:rsidP="000A02EC">
      <w:pPr>
        <w:spacing w:line="360" w:lineRule="auto"/>
        <w:rPr>
          <w:rFonts w:ascii="Times New Roman" w:hAnsi="Times New Roman" w:cs="Times New Roman"/>
          <w:sz w:val="20"/>
          <w:szCs w:val="20"/>
          <w:lang w:val="en-US"/>
        </w:rPr>
      </w:pPr>
    </w:p>
    <w:p w14:paraId="794AC791" w14:textId="701169AB" w:rsidR="00DB02E4" w:rsidRDefault="00DB02E4" w:rsidP="000A02EC">
      <w:pPr>
        <w:spacing w:line="360" w:lineRule="auto"/>
        <w:rPr>
          <w:lang w:val="en-US"/>
        </w:rPr>
      </w:pPr>
    </w:p>
    <w:p w14:paraId="7EB09C2E" w14:textId="475CE232" w:rsidR="000A02EC" w:rsidRDefault="00166581" w:rsidP="00166581">
      <w:pPr>
        <w:pStyle w:val="Heading1"/>
        <w:rPr>
          <w:lang w:val="en-GB"/>
        </w:rPr>
      </w:pPr>
      <w:bookmarkStart w:id="31" w:name="_Toc137065027"/>
      <w:bookmarkStart w:id="32" w:name="_Toc146143707"/>
      <w:bookmarkStart w:id="33" w:name="_Toc149307273"/>
      <w:r>
        <w:rPr>
          <w:lang w:val="en-US"/>
        </w:rPr>
        <w:lastRenderedPageBreak/>
        <w:t>D</w:t>
      </w:r>
      <w:r w:rsidR="000A02EC" w:rsidRPr="00CA4457">
        <w:rPr>
          <w:lang w:val="en-US"/>
        </w:rPr>
        <w:t xml:space="preserve">ata Supplement </w:t>
      </w:r>
      <w:r w:rsidR="000A02EC">
        <w:rPr>
          <w:lang w:val="en-US"/>
        </w:rPr>
        <w:t>3</w:t>
      </w:r>
      <w:r>
        <w:rPr>
          <w:lang w:val="en-US"/>
        </w:rPr>
        <w:t>.</w:t>
      </w:r>
      <w:r w:rsidR="000A02EC" w:rsidRPr="00CA4457">
        <w:rPr>
          <w:lang w:val="en-US"/>
        </w:rPr>
        <w:t xml:space="preserve"> </w:t>
      </w:r>
      <w:r w:rsidR="000A02EC" w:rsidRPr="00CA4457">
        <w:rPr>
          <w:lang w:val="en-GB"/>
        </w:rPr>
        <w:t>Methods systematic literature search</w:t>
      </w:r>
      <w:bookmarkEnd w:id="31"/>
      <w:bookmarkEnd w:id="32"/>
      <w:bookmarkEnd w:id="33"/>
      <w:r w:rsidR="000A02EC" w:rsidRPr="00CA4457">
        <w:rPr>
          <w:lang w:val="en-GB"/>
        </w:rPr>
        <w:t xml:space="preserve"> </w:t>
      </w:r>
    </w:p>
    <w:p w14:paraId="515E6B55" w14:textId="77777777" w:rsidR="00166581" w:rsidRPr="00166581" w:rsidRDefault="00166581" w:rsidP="00166581">
      <w:pPr>
        <w:rPr>
          <w:lang w:val="en-GB"/>
        </w:rPr>
      </w:pPr>
    </w:p>
    <w:p w14:paraId="586486DF"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i/>
          <w:iCs/>
          <w:sz w:val="20"/>
          <w:szCs w:val="20"/>
          <w:lang w:val="en-GB"/>
        </w:rPr>
        <w:t>Eligibility criteria</w:t>
      </w:r>
      <w:r w:rsidRPr="00880144">
        <w:rPr>
          <w:rFonts w:ascii="Times New Roman" w:hAnsi="Times New Roman" w:cs="Times New Roman"/>
          <w:sz w:val="20"/>
          <w:szCs w:val="20"/>
          <w:lang w:val="en-GB"/>
        </w:rPr>
        <w:t xml:space="preserve"> </w:t>
      </w:r>
    </w:p>
    <w:p w14:paraId="23970416" w14:textId="242A29D8" w:rsidR="000A02EC" w:rsidRPr="00880144" w:rsidRDefault="000A02EC" w:rsidP="000A02EC">
      <w:pPr>
        <w:spacing w:line="360" w:lineRule="auto"/>
        <w:ind w:firstLine="708"/>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Articles that addressed the impact of calendar age by multivariable analysis on oncological outcomes in women with EC were included. Articles were excluded if: a) the study population consisted (mainly) of stage IV patients, or b) included uterine sarcomas, or c) the study was a case report, (systematic) review, or meta-analysis. </w:t>
      </w:r>
    </w:p>
    <w:p w14:paraId="7384891F" w14:textId="77777777" w:rsidR="000A02EC" w:rsidRPr="00880144" w:rsidRDefault="000A02EC" w:rsidP="000A02EC">
      <w:pPr>
        <w:spacing w:line="360" w:lineRule="auto"/>
        <w:rPr>
          <w:rFonts w:ascii="Times New Roman" w:hAnsi="Times New Roman" w:cs="Times New Roman"/>
          <w:i/>
          <w:iCs/>
          <w:sz w:val="20"/>
          <w:szCs w:val="20"/>
          <w:lang w:val="en-US"/>
        </w:rPr>
      </w:pPr>
      <w:r w:rsidRPr="00880144">
        <w:rPr>
          <w:rFonts w:ascii="Times New Roman" w:hAnsi="Times New Roman" w:cs="Times New Roman"/>
          <w:i/>
          <w:iCs/>
          <w:sz w:val="20"/>
          <w:szCs w:val="20"/>
          <w:lang w:val="en-GB"/>
        </w:rPr>
        <w:t>Search strategy</w:t>
      </w:r>
      <w:r w:rsidRPr="00880144">
        <w:rPr>
          <w:rFonts w:ascii="Times New Roman" w:hAnsi="Times New Roman" w:cs="Times New Roman"/>
          <w:i/>
          <w:iCs/>
          <w:sz w:val="20"/>
          <w:szCs w:val="20"/>
          <w:lang w:val="en-US"/>
        </w:rPr>
        <w:t xml:space="preserve"> and data selection</w:t>
      </w:r>
    </w:p>
    <w:p w14:paraId="3E8D4EE4" w14:textId="497AA655" w:rsidR="000A02EC" w:rsidRPr="00880144" w:rsidRDefault="000A02EC" w:rsidP="000A02EC">
      <w:pPr>
        <w:spacing w:line="360" w:lineRule="auto"/>
        <w:ind w:firstLine="708"/>
        <w:rPr>
          <w:rFonts w:ascii="Times New Roman" w:hAnsi="Times New Roman" w:cs="Times New Roman"/>
          <w:sz w:val="20"/>
          <w:szCs w:val="20"/>
          <w:lang w:val="en-GB"/>
        </w:rPr>
      </w:pPr>
      <w:r w:rsidRPr="00880144">
        <w:rPr>
          <w:rFonts w:ascii="Times New Roman" w:hAnsi="Times New Roman" w:cs="Times New Roman"/>
          <w:sz w:val="20"/>
          <w:szCs w:val="20"/>
          <w:lang w:val="en-GB"/>
        </w:rPr>
        <w:t>A systematic search was conducted on April 13</w:t>
      </w:r>
      <w:r w:rsidRPr="00880144">
        <w:rPr>
          <w:rFonts w:ascii="Times New Roman" w:hAnsi="Times New Roman" w:cs="Times New Roman"/>
          <w:sz w:val="20"/>
          <w:szCs w:val="20"/>
          <w:vertAlign w:val="superscript"/>
          <w:lang w:val="en-GB"/>
        </w:rPr>
        <w:t>th</w:t>
      </w:r>
      <w:r w:rsidRPr="00880144">
        <w:rPr>
          <w:rFonts w:ascii="Times New Roman" w:hAnsi="Times New Roman" w:cs="Times New Roman"/>
          <w:sz w:val="20"/>
          <w:szCs w:val="20"/>
          <w:lang w:val="en-GB"/>
        </w:rPr>
        <w:t xml:space="preserve"> 2022 in PubMed. The search string is provided in Data Supplement </w:t>
      </w:r>
      <w:r w:rsidR="00466C55" w:rsidRPr="00880144">
        <w:rPr>
          <w:rFonts w:ascii="Times New Roman" w:hAnsi="Times New Roman" w:cs="Times New Roman"/>
          <w:sz w:val="20"/>
          <w:szCs w:val="20"/>
          <w:lang w:val="en-GB"/>
        </w:rPr>
        <w:t>4</w:t>
      </w:r>
      <w:r w:rsidRPr="00880144">
        <w:rPr>
          <w:rFonts w:ascii="Times New Roman" w:hAnsi="Times New Roman" w:cs="Times New Roman"/>
          <w:sz w:val="20"/>
          <w:szCs w:val="20"/>
          <w:lang w:val="en-GB"/>
        </w:rPr>
        <w:t xml:space="preserve">. The identified references were exported to EndNote and screened for eligibility on title and abstract. Full texts were retrieved and eligible articles were selected. In case of &gt;1 article was selected of a single study, the most recent and complete article was used for analysis. </w:t>
      </w:r>
    </w:p>
    <w:p w14:paraId="4E185892"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i/>
          <w:iCs/>
          <w:sz w:val="20"/>
          <w:szCs w:val="20"/>
          <w:lang w:val="en-GB"/>
        </w:rPr>
        <w:t>Data extraction</w:t>
      </w:r>
      <w:r w:rsidRPr="00880144">
        <w:rPr>
          <w:rFonts w:ascii="Times New Roman" w:hAnsi="Times New Roman" w:cs="Times New Roman"/>
          <w:sz w:val="20"/>
          <w:szCs w:val="20"/>
          <w:lang w:val="en-GB"/>
        </w:rPr>
        <w:t xml:space="preserve"> </w:t>
      </w:r>
    </w:p>
    <w:p w14:paraId="170AA76B" w14:textId="77777777" w:rsidR="000A02EC" w:rsidRPr="00880144" w:rsidRDefault="000A02EC" w:rsidP="000A02EC">
      <w:pPr>
        <w:spacing w:line="360" w:lineRule="auto"/>
        <w:ind w:firstLine="708"/>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Uniform extraction of the following predefined data was performed: first author, country, year of publication, study design, number of patients, disease characteristics (tumour stage, grade, histology, lymphovascular space invasion [LVSI], and molecular class), treatment characteristics (lymphadenectomy, adjuvant treatment), the impact of age on oncological outcomes (vaginal-, pelvic-, and distant recurrences, recurrence-free survival, cancer-specific survival) in multivariable analysis, correction factors and definition of any cut-off for advanced age. </w:t>
      </w:r>
    </w:p>
    <w:p w14:paraId="0EC56733"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i/>
          <w:iCs/>
          <w:sz w:val="20"/>
          <w:szCs w:val="20"/>
          <w:lang w:val="en-GB"/>
        </w:rPr>
        <w:t>Data synthesis</w:t>
      </w:r>
      <w:r w:rsidRPr="00880144">
        <w:rPr>
          <w:rFonts w:ascii="Times New Roman" w:hAnsi="Times New Roman" w:cs="Times New Roman"/>
          <w:sz w:val="20"/>
          <w:szCs w:val="20"/>
          <w:lang w:val="en-GB"/>
        </w:rPr>
        <w:t xml:space="preserve"> </w:t>
      </w:r>
    </w:p>
    <w:p w14:paraId="4614D343" w14:textId="77777777" w:rsidR="000A02EC" w:rsidRPr="00880144" w:rsidRDefault="000A02EC" w:rsidP="000A02EC">
      <w:pPr>
        <w:spacing w:line="360" w:lineRule="auto"/>
        <w:ind w:firstLine="708"/>
        <w:rPr>
          <w:rFonts w:ascii="Times New Roman" w:hAnsi="Times New Roman" w:cs="Times New Roman"/>
          <w:sz w:val="20"/>
          <w:szCs w:val="20"/>
          <w:lang w:val="en-GB"/>
        </w:rPr>
      </w:pPr>
      <w:r w:rsidRPr="00880144">
        <w:rPr>
          <w:rFonts w:ascii="Times New Roman" w:hAnsi="Times New Roman" w:cs="Times New Roman"/>
          <w:sz w:val="20"/>
          <w:szCs w:val="20"/>
          <w:lang w:val="en-GB"/>
        </w:rPr>
        <w:t>The aforementioned predefined data of all selected articles were aggregated to create an overview of the current knowledge on prognostic impact of age on oncological outcomes. This includes: the applied definition of advanced age (use of any cut-offs), the type of oncological outcome(s), significance of the prognostic impact of age in multivariable analysis. In addition, the quality of the correction for confounding on any of the five established prognostic factors (stage, histotype, grade, LVSI and the molecular classification) was summarized in a score ranging from 0 to 5. Finally, data synthesis was also stratified by study design, to investigate impact of confounding by indication (affecting result of non-randomised studies) on the relation between age and oncological outcomes.</w:t>
      </w:r>
    </w:p>
    <w:p w14:paraId="27F992F9" w14:textId="77777777" w:rsidR="000A02EC" w:rsidRPr="00880144" w:rsidRDefault="000A02EC" w:rsidP="000A02EC">
      <w:pPr>
        <w:spacing w:line="360" w:lineRule="auto"/>
        <w:rPr>
          <w:rFonts w:ascii="Times New Roman" w:hAnsi="Times New Roman" w:cs="Times New Roman"/>
          <w:i/>
          <w:iCs/>
          <w:sz w:val="20"/>
          <w:szCs w:val="20"/>
          <w:lang w:val="en-GB"/>
        </w:rPr>
      </w:pPr>
      <w:r w:rsidRPr="00880144">
        <w:rPr>
          <w:rFonts w:ascii="Times New Roman" w:hAnsi="Times New Roman" w:cs="Times New Roman"/>
          <w:i/>
          <w:iCs/>
          <w:sz w:val="20"/>
          <w:szCs w:val="20"/>
          <w:lang w:val="en-GB"/>
        </w:rPr>
        <w:t xml:space="preserve">Overview of search </w:t>
      </w:r>
    </w:p>
    <w:p w14:paraId="2C8827EF" w14:textId="60589EFD" w:rsidR="000A02EC" w:rsidRPr="00880144" w:rsidRDefault="000A02EC" w:rsidP="000A02EC">
      <w:pPr>
        <w:spacing w:line="360" w:lineRule="auto"/>
        <w:ind w:firstLine="708"/>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The systematic search identified 783 articles. 204 articles were selected for full-text review, of which 108 were included for data synthesis. </w:t>
      </w:r>
      <w:r w:rsidR="00120B82">
        <w:rPr>
          <w:rFonts w:ascii="Times New Roman" w:hAnsi="Times New Roman" w:cs="Times New Roman"/>
          <w:sz w:val="20"/>
          <w:szCs w:val="20"/>
          <w:lang w:val="en-GB"/>
        </w:rPr>
        <w:t xml:space="preserve">Results of the search can be found in Supplementary Table 4. </w:t>
      </w:r>
    </w:p>
    <w:p w14:paraId="1EC98756" w14:textId="42D82D92" w:rsidR="00166581" w:rsidRDefault="006B7E70" w:rsidP="00166581">
      <w:pPr>
        <w:rPr>
          <w:lang w:val="en-US"/>
        </w:rPr>
      </w:pPr>
      <w:r>
        <w:rPr>
          <w:rFonts w:ascii="Times New Roman" w:hAnsi="Times New Roman" w:cs="Times New Roman"/>
          <w:noProof/>
          <w:sz w:val="20"/>
          <w:szCs w:val="20"/>
          <w:lang w:val="en-GB"/>
        </w:rPr>
        <w:lastRenderedPageBreak/>
        <w:drawing>
          <wp:anchor distT="0" distB="0" distL="114300" distR="114300" simplePos="0" relativeHeight="251677696" behindDoc="1" locked="0" layoutInCell="1" allowOverlap="1" wp14:anchorId="522BD612" wp14:editId="58DCA24B">
            <wp:simplePos x="0" y="0"/>
            <wp:positionH relativeFrom="column">
              <wp:posOffset>517525</wp:posOffset>
            </wp:positionH>
            <wp:positionV relativeFrom="paragraph">
              <wp:posOffset>12700</wp:posOffset>
            </wp:positionV>
            <wp:extent cx="4468495" cy="3792220"/>
            <wp:effectExtent l="0" t="0" r="8255" b="0"/>
            <wp:wrapTight wrapText="bothSides">
              <wp:wrapPolygon edited="0">
                <wp:start x="0" y="0"/>
                <wp:lineTo x="0" y="21484"/>
                <wp:lineTo x="21548" y="21484"/>
                <wp:lineTo x="215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8495" cy="3792220"/>
                    </a:xfrm>
                    <a:prstGeom prst="rect">
                      <a:avLst/>
                    </a:prstGeom>
                    <a:noFill/>
                  </pic:spPr>
                </pic:pic>
              </a:graphicData>
            </a:graphic>
          </wp:anchor>
        </w:drawing>
      </w:r>
    </w:p>
    <w:p w14:paraId="34599EA6" w14:textId="79514278" w:rsidR="00166581" w:rsidRDefault="00166581" w:rsidP="00166581">
      <w:pPr>
        <w:rPr>
          <w:lang w:val="en-US"/>
        </w:rPr>
      </w:pPr>
    </w:p>
    <w:p w14:paraId="7E70CE9E" w14:textId="7E51E2F5" w:rsidR="000A02EC" w:rsidRDefault="000A02EC" w:rsidP="000A02EC">
      <w:pPr>
        <w:spacing w:line="360" w:lineRule="auto"/>
        <w:rPr>
          <w:lang w:val="en-GB"/>
        </w:rPr>
      </w:pPr>
    </w:p>
    <w:p w14:paraId="0ECF8203" w14:textId="77777777" w:rsidR="006B7E70" w:rsidRDefault="006B7E70" w:rsidP="00880144">
      <w:pPr>
        <w:pStyle w:val="Heading1"/>
        <w:rPr>
          <w:lang w:val="en-GB"/>
        </w:rPr>
      </w:pPr>
      <w:bookmarkStart w:id="34" w:name="_Toc137065028"/>
    </w:p>
    <w:p w14:paraId="3773E9D2" w14:textId="77777777" w:rsidR="006B7E70" w:rsidRDefault="006B7E70">
      <w:pPr>
        <w:rPr>
          <w:rFonts w:ascii="Times New Roman" w:eastAsiaTheme="majorEastAsia" w:hAnsi="Times New Roman" w:cstheme="majorBidi"/>
          <w:b/>
          <w:sz w:val="20"/>
          <w:szCs w:val="32"/>
          <w:lang w:val="en-GB"/>
        </w:rPr>
      </w:pPr>
      <w:r>
        <w:rPr>
          <w:lang w:val="en-GB"/>
        </w:rPr>
        <w:br w:type="page"/>
      </w:r>
    </w:p>
    <w:p w14:paraId="4D64ADDD" w14:textId="12891BAD" w:rsidR="00166581" w:rsidRDefault="000A02EC" w:rsidP="00880144">
      <w:pPr>
        <w:pStyle w:val="Heading1"/>
        <w:rPr>
          <w:lang w:val="en-GB"/>
        </w:rPr>
      </w:pPr>
      <w:bookmarkStart w:id="35" w:name="_Toc146143708"/>
      <w:bookmarkStart w:id="36" w:name="_Toc149307274"/>
      <w:r w:rsidRPr="00CA4457">
        <w:rPr>
          <w:lang w:val="en-GB"/>
        </w:rPr>
        <w:lastRenderedPageBreak/>
        <w:t xml:space="preserve">Data Supplement </w:t>
      </w:r>
      <w:r>
        <w:rPr>
          <w:lang w:val="en-GB"/>
        </w:rPr>
        <w:t>4</w:t>
      </w:r>
      <w:r w:rsidR="00166581">
        <w:rPr>
          <w:lang w:val="en-GB"/>
        </w:rPr>
        <w:t xml:space="preserve">. </w:t>
      </w:r>
      <w:r w:rsidRPr="00CA4457">
        <w:rPr>
          <w:lang w:val="en-GB"/>
        </w:rPr>
        <w:t xml:space="preserve">Search </w:t>
      </w:r>
      <w:r w:rsidR="00261876">
        <w:rPr>
          <w:lang w:val="en-GB"/>
        </w:rPr>
        <w:t>string</w:t>
      </w:r>
      <w:bookmarkEnd w:id="34"/>
      <w:bookmarkEnd w:id="35"/>
      <w:bookmarkEnd w:id="36"/>
    </w:p>
    <w:p w14:paraId="7356A092" w14:textId="77777777" w:rsidR="00880144" w:rsidRPr="00880144" w:rsidRDefault="00880144" w:rsidP="00880144">
      <w:pPr>
        <w:rPr>
          <w:lang w:val="en-GB"/>
        </w:rPr>
      </w:pPr>
    </w:p>
    <w:p w14:paraId="2825EFA1"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("Endometrial Neoplasms"[Mesh:NoExp] OR "Carcinoma, Endometrioid"[Mesh] OR "Endometrial cancer"[tiab] OR "Endometrial carcinoma"[tiab] OR "Uterine cancer"[tiab] NOT ("Endometrial Neoplasms/diagnostic imaging"[Majr] OR "Endometrial Neoplasms/diagnosis"[Majr] OR "Endometrial Neoplasms/metabolism"[Majr] OR "Endometrial Neoplasms/economics"[Majr] OR "Endometrial Neoplasms/immunology"[Majr] OR "Endometrial Neoplasms/genetics"[Majr])) </w:t>
      </w:r>
    </w:p>
    <w:p w14:paraId="5266C4DC"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AND </w:t>
      </w:r>
    </w:p>
    <w:p w14:paraId="4B9B0FCD"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("Age Factors"[Mesh:NoExp] OR "Age of Onset"[Mesh] OR "Adult"[Mesh] OR "Age"[tiab] OR "Elderly"[tiab]) </w:t>
      </w:r>
    </w:p>
    <w:p w14:paraId="16BA0A2F"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AND </w:t>
      </w:r>
    </w:p>
    <w:p w14:paraId="7A257753"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("Survival"[Mesh] OR "Survival Analysis"[Mesh] OR "Prognosis"[Mesh:NoExp] OR "Treatment Outcome"[Mesh:NoExp] OR "Disease-Free Survival"[Mesh] OR "Progression-Free Survival"[Mesh] OR "Treatment Failure"[Mesh:NoExp] OR "Neoplasm Recurrence, Local"[Mesh] OR "Neoplasm Metastasis"[Mesh:NoExp] OR "Survival Rate"[Mesh] OR "Prognosis"[tiab] OR "Locoregional recurrence"[tiab] OR "Recurrence"[tiab] OR "Overall survival"[tiab]) </w:t>
      </w:r>
    </w:p>
    <w:p w14:paraId="0A5FAB95"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AND </w:t>
      </w:r>
    </w:p>
    <w:p w14:paraId="1346337F"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("Risk Factors"[Mesh:NoExp] OR "Multivariate Analysis"[Mesh:NoExp] OR "Prognostic factor*"[tiab] OR "Risk Factor*"[tiab] OR "Multivariable"[tiab] OR "Multivariate"[tiab] OR "regression"[tiab] OR "Competing risk*"[tiab] OR "*stratif*"[tiab] OR "*standardi*"[tiab] ) </w:t>
      </w:r>
    </w:p>
    <w:p w14:paraId="073243BD"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NOT </w:t>
      </w:r>
    </w:p>
    <w:p w14:paraId="2E5D70C5" w14:textId="77777777" w:rsidR="000A02EC" w:rsidRPr="00880144" w:rsidRDefault="000A02EC" w:rsidP="000A02EC">
      <w:pPr>
        <w:spacing w:line="360" w:lineRule="auto"/>
        <w:rPr>
          <w:rFonts w:ascii="Times New Roman" w:hAnsi="Times New Roman" w:cs="Times New Roman"/>
          <w:sz w:val="20"/>
          <w:szCs w:val="20"/>
          <w:lang w:val="en-GB"/>
        </w:rPr>
      </w:pPr>
      <w:r w:rsidRPr="00880144">
        <w:rPr>
          <w:rFonts w:ascii="Times New Roman" w:hAnsi="Times New Roman" w:cs="Times New Roman"/>
          <w:sz w:val="20"/>
          <w:szCs w:val="20"/>
          <w:lang w:val="en-GB"/>
        </w:rPr>
        <w:t xml:space="preserve">("Case Reports"[Publication Type] OR "Meta-Analysis"[Publication Type] OR "Systematic Review"[Publication Type] OR "Review"[Publication Type] OR "Introductory Journal Article" [Publication Type] OR "Publication Components" [Publication Type] OR "Clinical Conference"[Publication Type] OR "Consensus Development Conference"[Publication Type] OR "Scientific Integrity Review"[Publication Type] OR "Antibodies"[Mesh] OR "Robotic Surgical Procedures"[Mesh] OR "Immunotherapy"[Mesh] OR "immunotherapy"[tiab] OR "Immunohistochemistry"[Mesh] OR "pembrolizumab"[tiab] OR "Immune Checkpoint Inhibitors"[Mesh] OR "DNA"[tiab] OR "RNA"[tiab] OR "pathway"[tiab] OR "signaling"[tiab] OR "Inoperable"[tiab] OR "Irresectable"[tiab] OR "endometriosis"[tiab] OR "adenomyosis"[tiab] OR "Endometriosis"[Mesh] OR "Adenomyosis"[Mesh] OR "Laparoscopy"[Mesh] OR "Laparotomy"[Mesh] OR "Uterine Myomectomy"[Mesh] OR "Fertility"[Mesh] OR "Fertility Preservation"[Mesh] OR "Insulin Resistance"[Mesh] OR "Endometrial Hyperplasia"[Mesh] OR "Ovarian Neoplasms"[Mesh] OR "Male"[Mesh] OR "Neoplasm, Residual"[Mesh] OR "Operative Time"[Mesh] OR "Length of stay"[Mesh] OR "Blood loss, surgical"[Mesh] OR "Blood Transfusion"[Mesh] OR "Cytoreduction Surgical Procedures"[Mesh] OR "Neoplasm Staging"[Majr] OR "Postoperative Nausea and Vomiting"[Mesh] OR "Radiation Injuries"[Mesh] OR "Lymph Node Excision"[Mesh] OR "Venous Thromboembolism"[Mesh] OR "African Americans/genetics"[Mesh] OR "Asians/genetics"[Mesh] OR "Hispanic or Latino/genetics"[Mesh] OR </w:t>
      </w:r>
      <w:r w:rsidRPr="00880144">
        <w:rPr>
          <w:rFonts w:ascii="Times New Roman" w:hAnsi="Times New Roman" w:cs="Times New Roman"/>
          <w:sz w:val="20"/>
          <w:szCs w:val="20"/>
          <w:lang w:val="en-GB"/>
        </w:rPr>
        <w:lastRenderedPageBreak/>
        <w:t xml:space="preserve">"Whites/genetics"[Mesh] OR "Palliative Care"[Mesh] OR "Time-to-Treatment/statistics and numerical data"[Mesh] OR "Ambulatory Surgical Procedures"[Mesh] OR "Hysterectomy/methods"[Mesh] OR "Peritoneal cytology"[tiab] OR "Poly-ADP-Ribose Binding Proteins"[Mesh] OR "Hysterectomy/adverse effects"[Mesh] OR  "Hysterectomy/methods"[Mesh] OR "Peritoneal Cavity"[Mesh] OR "Hysteroscopy"[Mesh] OR "Hysteroscopy"[tiab] OR "Neuroendocrine Tumors"[Mesh] OR "Breast Neoplasms"[Mesh] OR "Colorectal Neoplasms"[Mesh] OR "Uterine Cervical Neoplasms"[Mesh])  </w:t>
      </w:r>
    </w:p>
    <w:p w14:paraId="51BBF781" w14:textId="5D5AEEA8" w:rsidR="000A02EC" w:rsidRDefault="000A02EC" w:rsidP="000A02EC">
      <w:pPr>
        <w:spacing w:line="360" w:lineRule="auto"/>
        <w:rPr>
          <w:lang w:val="en-GB"/>
        </w:rPr>
      </w:pPr>
    </w:p>
    <w:p w14:paraId="04829959" w14:textId="2141978B" w:rsidR="00880144" w:rsidRDefault="00880144" w:rsidP="000A02EC">
      <w:pPr>
        <w:spacing w:line="360" w:lineRule="auto"/>
        <w:rPr>
          <w:lang w:val="en-GB"/>
        </w:rPr>
      </w:pPr>
    </w:p>
    <w:p w14:paraId="6C5F696A" w14:textId="5E805936" w:rsidR="00880144" w:rsidRDefault="00880144" w:rsidP="000A02EC">
      <w:pPr>
        <w:spacing w:line="360" w:lineRule="auto"/>
        <w:rPr>
          <w:lang w:val="en-GB"/>
        </w:rPr>
      </w:pPr>
    </w:p>
    <w:p w14:paraId="7CEB5AAF" w14:textId="6C02E541" w:rsidR="00175FA3" w:rsidRDefault="00175FA3" w:rsidP="000A02EC">
      <w:pPr>
        <w:spacing w:line="360" w:lineRule="auto"/>
        <w:rPr>
          <w:lang w:val="en-GB"/>
        </w:rPr>
      </w:pPr>
    </w:p>
    <w:p w14:paraId="4621EE37" w14:textId="1EBC9AB6" w:rsidR="00175FA3" w:rsidRDefault="00175FA3" w:rsidP="000A02EC">
      <w:pPr>
        <w:spacing w:line="360" w:lineRule="auto"/>
        <w:rPr>
          <w:lang w:val="en-GB"/>
        </w:rPr>
      </w:pPr>
    </w:p>
    <w:p w14:paraId="4487ECB8" w14:textId="2D9115F4" w:rsidR="00175FA3" w:rsidRDefault="00175FA3" w:rsidP="000A02EC">
      <w:pPr>
        <w:spacing w:line="360" w:lineRule="auto"/>
        <w:rPr>
          <w:lang w:val="en-GB"/>
        </w:rPr>
      </w:pPr>
    </w:p>
    <w:p w14:paraId="3203F394" w14:textId="5CA4489C" w:rsidR="00175FA3" w:rsidRDefault="00175FA3" w:rsidP="000A02EC">
      <w:pPr>
        <w:spacing w:line="360" w:lineRule="auto"/>
        <w:rPr>
          <w:lang w:val="en-GB"/>
        </w:rPr>
      </w:pPr>
    </w:p>
    <w:p w14:paraId="25826C54" w14:textId="17829C53" w:rsidR="00175FA3" w:rsidRDefault="00175FA3" w:rsidP="000A02EC">
      <w:pPr>
        <w:spacing w:line="360" w:lineRule="auto"/>
        <w:rPr>
          <w:lang w:val="en-GB"/>
        </w:rPr>
      </w:pPr>
    </w:p>
    <w:p w14:paraId="08B3CC69" w14:textId="74B58AB8" w:rsidR="00175FA3" w:rsidRDefault="00175FA3" w:rsidP="000A02EC">
      <w:pPr>
        <w:spacing w:line="360" w:lineRule="auto"/>
        <w:rPr>
          <w:lang w:val="en-GB"/>
        </w:rPr>
      </w:pPr>
    </w:p>
    <w:p w14:paraId="7397A5FC" w14:textId="1BC7992E" w:rsidR="00175FA3" w:rsidRDefault="00175FA3" w:rsidP="000A02EC">
      <w:pPr>
        <w:spacing w:line="360" w:lineRule="auto"/>
        <w:rPr>
          <w:lang w:val="en-GB"/>
        </w:rPr>
      </w:pPr>
    </w:p>
    <w:p w14:paraId="534C2B16" w14:textId="2C1DDFBB" w:rsidR="00175FA3" w:rsidRDefault="00175FA3" w:rsidP="000A02EC">
      <w:pPr>
        <w:spacing w:line="360" w:lineRule="auto"/>
        <w:rPr>
          <w:lang w:val="en-GB"/>
        </w:rPr>
      </w:pPr>
    </w:p>
    <w:p w14:paraId="111CE2A0" w14:textId="1C2ED7DD" w:rsidR="00175FA3" w:rsidRDefault="00175FA3" w:rsidP="000A02EC">
      <w:pPr>
        <w:spacing w:line="360" w:lineRule="auto"/>
        <w:rPr>
          <w:lang w:val="en-GB"/>
        </w:rPr>
      </w:pPr>
    </w:p>
    <w:p w14:paraId="4C1BF48E" w14:textId="6781B90F" w:rsidR="00175FA3" w:rsidRDefault="00175FA3" w:rsidP="000A02EC">
      <w:pPr>
        <w:spacing w:line="360" w:lineRule="auto"/>
        <w:rPr>
          <w:lang w:val="en-GB"/>
        </w:rPr>
      </w:pPr>
    </w:p>
    <w:p w14:paraId="76A56D9B" w14:textId="436AC87F" w:rsidR="00175FA3" w:rsidRDefault="00175FA3" w:rsidP="000A02EC">
      <w:pPr>
        <w:spacing w:line="360" w:lineRule="auto"/>
        <w:rPr>
          <w:lang w:val="en-GB"/>
        </w:rPr>
      </w:pPr>
    </w:p>
    <w:p w14:paraId="729A8D45" w14:textId="2E2A87CE" w:rsidR="00175FA3" w:rsidRDefault="00175FA3" w:rsidP="000A02EC">
      <w:pPr>
        <w:spacing w:line="360" w:lineRule="auto"/>
        <w:rPr>
          <w:lang w:val="en-GB"/>
        </w:rPr>
      </w:pPr>
    </w:p>
    <w:p w14:paraId="30A8A781" w14:textId="512EC625" w:rsidR="00175FA3" w:rsidRDefault="00175FA3" w:rsidP="000A02EC">
      <w:pPr>
        <w:spacing w:line="360" w:lineRule="auto"/>
        <w:rPr>
          <w:lang w:val="en-GB"/>
        </w:rPr>
      </w:pPr>
    </w:p>
    <w:p w14:paraId="0A7461D2" w14:textId="2DD969BE" w:rsidR="00175FA3" w:rsidRDefault="00175FA3" w:rsidP="000A02EC">
      <w:pPr>
        <w:spacing w:line="360" w:lineRule="auto"/>
        <w:rPr>
          <w:lang w:val="en-GB"/>
        </w:rPr>
      </w:pPr>
    </w:p>
    <w:p w14:paraId="08BA5733" w14:textId="6FAFE357" w:rsidR="00175FA3" w:rsidRDefault="00175FA3" w:rsidP="000A02EC">
      <w:pPr>
        <w:spacing w:line="360" w:lineRule="auto"/>
        <w:rPr>
          <w:lang w:val="en-GB"/>
        </w:rPr>
      </w:pPr>
    </w:p>
    <w:p w14:paraId="49B17A10" w14:textId="38A4A296" w:rsidR="00175FA3" w:rsidRDefault="00175FA3" w:rsidP="000A02EC">
      <w:pPr>
        <w:spacing w:line="360" w:lineRule="auto"/>
        <w:rPr>
          <w:lang w:val="en-GB"/>
        </w:rPr>
      </w:pPr>
    </w:p>
    <w:p w14:paraId="1EFE281D" w14:textId="1755AF4A" w:rsidR="00175FA3" w:rsidRDefault="00175FA3" w:rsidP="000A02EC">
      <w:pPr>
        <w:spacing w:line="360" w:lineRule="auto"/>
        <w:rPr>
          <w:lang w:val="en-GB"/>
        </w:rPr>
      </w:pPr>
    </w:p>
    <w:p w14:paraId="70ED0648" w14:textId="1059BD01" w:rsidR="00175FA3" w:rsidRDefault="00175FA3" w:rsidP="00175FA3">
      <w:pPr>
        <w:spacing w:line="360" w:lineRule="auto"/>
        <w:rPr>
          <w:noProof/>
          <w:lang w:val="en-GB"/>
        </w:rPr>
      </w:pPr>
    </w:p>
    <w:p w14:paraId="28E7D807" w14:textId="3DB5B164" w:rsidR="00F40B31" w:rsidRDefault="00166581" w:rsidP="00D2689B">
      <w:pPr>
        <w:pStyle w:val="Heading1"/>
        <w:rPr>
          <w:lang w:val="en-GB"/>
        </w:rPr>
      </w:pPr>
      <w:bookmarkStart w:id="37" w:name="_Toc137065030"/>
      <w:bookmarkStart w:id="38" w:name="_Toc146143709"/>
      <w:bookmarkStart w:id="39" w:name="_Toc149307275"/>
      <w:r>
        <w:rPr>
          <w:lang w:val="en-US"/>
        </w:rPr>
        <w:lastRenderedPageBreak/>
        <w:t xml:space="preserve">Supplementary Table </w:t>
      </w:r>
      <w:r w:rsidR="00A23AB1">
        <w:rPr>
          <w:lang w:val="en-US"/>
        </w:rPr>
        <w:t>5</w:t>
      </w:r>
      <w:r w:rsidR="00D2689B">
        <w:rPr>
          <w:lang w:val="en-US"/>
        </w:rPr>
        <w:t xml:space="preserve">. </w:t>
      </w:r>
      <w:r>
        <w:rPr>
          <w:lang w:val="en-US"/>
        </w:rPr>
        <w:t>Results systematic literature search</w:t>
      </w:r>
      <w:bookmarkEnd w:id="37"/>
      <w:bookmarkEnd w:id="38"/>
      <w:bookmarkEnd w:id="39"/>
    </w:p>
    <w:p w14:paraId="6E513858" w14:textId="3CEB6841" w:rsidR="00F40B31" w:rsidRDefault="00F40B31" w:rsidP="000A02EC">
      <w:pPr>
        <w:spacing w:line="360" w:lineRule="auto"/>
        <w:rPr>
          <w:lang w:val="en-GB"/>
        </w:rPr>
      </w:pPr>
    </w:p>
    <w:tbl>
      <w:tblPr>
        <w:tblpPr w:leftFromText="141" w:rightFromText="141" w:vertAnchor="page" w:horzAnchor="page" w:tblpX="391" w:tblpY="2291"/>
        <w:tblW w:w="11336" w:type="dxa"/>
        <w:tblCellMar>
          <w:left w:w="70" w:type="dxa"/>
          <w:right w:w="70" w:type="dxa"/>
        </w:tblCellMar>
        <w:tblLook w:val="04A0" w:firstRow="1" w:lastRow="0" w:firstColumn="1" w:lastColumn="0" w:noHBand="0" w:noVBand="1"/>
      </w:tblPr>
      <w:tblGrid>
        <w:gridCol w:w="2262"/>
        <w:gridCol w:w="1063"/>
        <w:gridCol w:w="2661"/>
        <w:gridCol w:w="1330"/>
        <w:gridCol w:w="1196"/>
        <w:gridCol w:w="1732"/>
        <w:gridCol w:w="1092"/>
      </w:tblGrid>
      <w:tr w:rsidR="00175FA3" w:rsidRPr="00AA424E" w14:paraId="2FA00B6C" w14:textId="77777777" w:rsidTr="002A2F3A">
        <w:trPr>
          <w:trHeight w:val="361"/>
        </w:trPr>
        <w:tc>
          <w:tcPr>
            <w:tcW w:w="332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DDC3D1A" w14:textId="2E9CDEED" w:rsidR="00175FA3" w:rsidRPr="00880144" w:rsidRDefault="00175FA3" w:rsidP="00175FA3">
            <w:pPr>
              <w:spacing w:after="0" w:line="240" w:lineRule="auto"/>
              <w:rPr>
                <w:rFonts w:ascii="Times New Roman" w:eastAsia="Times New Roman" w:hAnsi="Times New Roman" w:cs="Times New Roman"/>
                <w:b/>
                <w:bCs/>
                <w:color w:val="000000"/>
                <w:sz w:val="20"/>
                <w:szCs w:val="20"/>
                <w:lang w:eastAsia="nl-NL"/>
              </w:rPr>
            </w:pPr>
            <w:r w:rsidRPr="00880144">
              <w:rPr>
                <w:rFonts w:ascii="Times New Roman" w:eastAsia="Times New Roman" w:hAnsi="Times New Roman" w:cs="Times New Roman"/>
                <w:b/>
                <w:bCs/>
                <w:color w:val="000000"/>
                <w:sz w:val="20"/>
                <w:szCs w:val="20"/>
                <w:lang w:eastAsia="nl-NL"/>
              </w:rPr>
              <w:t>Oncological outcome</w:t>
            </w:r>
            <w:r w:rsidR="00FB649E">
              <w:rPr>
                <w:rFonts w:ascii="Times New Roman" w:eastAsia="Times New Roman" w:hAnsi="Times New Roman" w:cs="Times New Roman"/>
                <w:b/>
                <w:bCs/>
                <w:color w:val="000000"/>
                <w:sz w:val="20"/>
                <w:szCs w:val="20"/>
                <w:vertAlign w:val="superscript"/>
                <w:lang w:eastAsia="nl-NL"/>
              </w:rPr>
              <w:t>1</w:t>
            </w:r>
          </w:p>
        </w:tc>
        <w:tc>
          <w:tcPr>
            <w:tcW w:w="2661" w:type="dxa"/>
            <w:tcBorders>
              <w:top w:val="single" w:sz="4" w:space="0" w:color="auto"/>
              <w:left w:val="nil"/>
              <w:bottom w:val="single" w:sz="4" w:space="0" w:color="auto"/>
              <w:right w:val="nil"/>
            </w:tcBorders>
            <w:shd w:val="clear" w:color="auto" w:fill="auto"/>
            <w:noWrap/>
            <w:vAlign w:val="bottom"/>
            <w:hideMark/>
          </w:tcPr>
          <w:p w14:paraId="4520ED9B" w14:textId="3184A3AF" w:rsidR="00175FA3" w:rsidRPr="00880144" w:rsidRDefault="00175FA3" w:rsidP="00175FA3">
            <w:pPr>
              <w:spacing w:after="0" w:line="240" w:lineRule="auto"/>
              <w:rPr>
                <w:rFonts w:ascii="Times New Roman" w:eastAsia="Times New Roman" w:hAnsi="Times New Roman" w:cs="Times New Roman"/>
                <w:b/>
                <w:bCs/>
                <w:color w:val="000000"/>
                <w:sz w:val="20"/>
                <w:szCs w:val="20"/>
                <w:lang w:val="en-US" w:eastAsia="nl-NL"/>
              </w:rPr>
            </w:pPr>
            <w:r w:rsidRPr="00880144">
              <w:rPr>
                <w:rFonts w:ascii="Times New Roman" w:eastAsia="Times New Roman" w:hAnsi="Times New Roman" w:cs="Times New Roman"/>
                <w:b/>
                <w:bCs/>
                <w:color w:val="000000"/>
                <w:sz w:val="20"/>
                <w:szCs w:val="20"/>
                <w:lang w:val="en-US" w:eastAsia="nl-NL"/>
              </w:rPr>
              <w:t>Age identified as risk factor</w:t>
            </w:r>
            <w:r w:rsidR="00FB649E">
              <w:rPr>
                <w:rFonts w:ascii="Times New Roman" w:eastAsia="Times New Roman" w:hAnsi="Times New Roman" w:cs="Times New Roman"/>
                <w:b/>
                <w:bCs/>
                <w:color w:val="000000"/>
                <w:sz w:val="20"/>
                <w:szCs w:val="20"/>
                <w:vertAlign w:val="superscript"/>
                <w:lang w:val="en-US" w:eastAsia="nl-NL"/>
              </w:rPr>
              <w:t>2</w:t>
            </w:r>
          </w:p>
        </w:tc>
        <w:tc>
          <w:tcPr>
            <w:tcW w:w="2526" w:type="dxa"/>
            <w:gridSpan w:val="2"/>
            <w:tcBorders>
              <w:top w:val="single" w:sz="4" w:space="0" w:color="auto"/>
              <w:left w:val="nil"/>
              <w:bottom w:val="single" w:sz="4" w:space="0" w:color="auto"/>
              <w:right w:val="nil"/>
            </w:tcBorders>
            <w:shd w:val="clear" w:color="auto" w:fill="auto"/>
            <w:noWrap/>
            <w:vAlign w:val="bottom"/>
            <w:hideMark/>
          </w:tcPr>
          <w:p w14:paraId="1B482103" w14:textId="2E23071F" w:rsidR="00175FA3" w:rsidRPr="00880144" w:rsidRDefault="00175FA3" w:rsidP="00175FA3">
            <w:pPr>
              <w:spacing w:after="0" w:line="240" w:lineRule="auto"/>
              <w:rPr>
                <w:rFonts w:ascii="Times New Roman" w:eastAsia="Times New Roman" w:hAnsi="Times New Roman" w:cs="Times New Roman"/>
                <w:b/>
                <w:bCs/>
                <w:sz w:val="20"/>
                <w:szCs w:val="20"/>
                <w:lang w:eastAsia="nl-NL"/>
              </w:rPr>
            </w:pPr>
            <w:r w:rsidRPr="00880144">
              <w:rPr>
                <w:rFonts w:ascii="Times New Roman" w:eastAsia="Times New Roman" w:hAnsi="Times New Roman" w:cs="Times New Roman"/>
                <w:b/>
                <w:bCs/>
                <w:sz w:val="20"/>
                <w:szCs w:val="20"/>
                <w:lang w:eastAsia="nl-NL"/>
              </w:rPr>
              <w:t>Correction for confounding</w:t>
            </w:r>
            <w:r w:rsidR="00FB649E">
              <w:rPr>
                <w:rFonts w:ascii="Times New Roman" w:eastAsia="Times New Roman" w:hAnsi="Times New Roman" w:cs="Times New Roman"/>
                <w:b/>
                <w:bCs/>
                <w:sz w:val="20"/>
                <w:szCs w:val="20"/>
                <w:vertAlign w:val="superscript"/>
                <w:lang w:eastAsia="nl-NL"/>
              </w:rPr>
              <w:t>3</w:t>
            </w:r>
          </w:p>
        </w:tc>
        <w:tc>
          <w:tcPr>
            <w:tcW w:w="28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27316E" w14:textId="584A751B" w:rsidR="00175FA3" w:rsidRPr="00880144" w:rsidRDefault="00175FA3" w:rsidP="00175FA3">
            <w:pPr>
              <w:spacing w:after="0" w:line="240" w:lineRule="auto"/>
              <w:rPr>
                <w:rFonts w:ascii="Times New Roman" w:eastAsia="Times New Roman" w:hAnsi="Times New Roman" w:cs="Times New Roman"/>
                <w:b/>
                <w:bCs/>
                <w:color w:val="000000"/>
                <w:sz w:val="20"/>
                <w:szCs w:val="20"/>
                <w:lang w:eastAsia="nl-NL"/>
              </w:rPr>
            </w:pPr>
            <w:r w:rsidRPr="00880144">
              <w:rPr>
                <w:rFonts w:ascii="Times New Roman" w:eastAsia="Times New Roman" w:hAnsi="Times New Roman" w:cs="Times New Roman"/>
                <w:b/>
                <w:bCs/>
                <w:color w:val="000000"/>
                <w:sz w:val="20"/>
                <w:szCs w:val="20"/>
                <w:lang w:eastAsia="nl-NL"/>
              </w:rPr>
              <w:t>Definition of advanced age</w:t>
            </w:r>
            <w:r w:rsidR="00FB649E">
              <w:rPr>
                <w:rFonts w:ascii="Times New Roman" w:eastAsia="Times New Roman" w:hAnsi="Times New Roman" w:cs="Times New Roman"/>
                <w:b/>
                <w:bCs/>
                <w:color w:val="000000"/>
                <w:sz w:val="20"/>
                <w:szCs w:val="20"/>
                <w:vertAlign w:val="superscript"/>
                <w:lang w:eastAsia="nl-NL"/>
              </w:rPr>
              <w:t>4</w:t>
            </w:r>
          </w:p>
        </w:tc>
      </w:tr>
      <w:tr w:rsidR="00175FA3" w:rsidRPr="00AA424E" w14:paraId="3A2A8E6E" w14:textId="77777777" w:rsidTr="002A2F3A">
        <w:trPr>
          <w:trHeight w:val="314"/>
        </w:trPr>
        <w:tc>
          <w:tcPr>
            <w:tcW w:w="2262" w:type="dxa"/>
            <w:tcBorders>
              <w:top w:val="nil"/>
              <w:left w:val="single" w:sz="4" w:space="0" w:color="auto"/>
              <w:right w:val="nil"/>
            </w:tcBorders>
            <w:shd w:val="clear" w:color="auto" w:fill="auto"/>
            <w:noWrap/>
            <w:vAlign w:val="bottom"/>
            <w:hideMark/>
          </w:tcPr>
          <w:p w14:paraId="29E30C7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Disease-specific survival</w:t>
            </w:r>
          </w:p>
        </w:tc>
        <w:tc>
          <w:tcPr>
            <w:tcW w:w="1063" w:type="dxa"/>
            <w:tcBorders>
              <w:top w:val="nil"/>
              <w:left w:val="nil"/>
              <w:bottom w:val="nil"/>
              <w:right w:val="nil"/>
            </w:tcBorders>
            <w:shd w:val="clear" w:color="auto" w:fill="auto"/>
            <w:noWrap/>
            <w:vAlign w:val="bottom"/>
            <w:hideMark/>
          </w:tcPr>
          <w:p w14:paraId="06632AF3"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28 (21.5%)</w:t>
            </w:r>
          </w:p>
        </w:tc>
        <w:tc>
          <w:tcPr>
            <w:tcW w:w="2661" w:type="dxa"/>
            <w:tcBorders>
              <w:top w:val="nil"/>
              <w:left w:val="nil"/>
              <w:bottom w:val="nil"/>
              <w:right w:val="nil"/>
            </w:tcBorders>
            <w:shd w:val="clear" w:color="auto" w:fill="auto"/>
            <w:noWrap/>
            <w:vAlign w:val="bottom"/>
            <w:hideMark/>
          </w:tcPr>
          <w:p w14:paraId="25735258"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19 (67.9%)</w:t>
            </w:r>
          </w:p>
        </w:tc>
        <w:tc>
          <w:tcPr>
            <w:tcW w:w="1330" w:type="dxa"/>
            <w:tcBorders>
              <w:top w:val="nil"/>
              <w:left w:val="nil"/>
              <w:bottom w:val="nil"/>
              <w:right w:val="nil"/>
            </w:tcBorders>
            <w:shd w:val="clear" w:color="auto" w:fill="auto"/>
            <w:noWrap/>
            <w:vAlign w:val="bottom"/>
            <w:hideMark/>
          </w:tcPr>
          <w:p w14:paraId="542AB7E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0 factors</w:t>
            </w:r>
          </w:p>
        </w:tc>
        <w:tc>
          <w:tcPr>
            <w:tcW w:w="1196" w:type="dxa"/>
            <w:tcBorders>
              <w:top w:val="nil"/>
              <w:left w:val="nil"/>
              <w:bottom w:val="nil"/>
              <w:right w:val="nil"/>
            </w:tcBorders>
            <w:shd w:val="clear" w:color="auto" w:fill="auto"/>
            <w:noWrap/>
            <w:vAlign w:val="bottom"/>
            <w:hideMark/>
          </w:tcPr>
          <w:p w14:paraId="05DF2DFC"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6 (5.6%)</w:t>
            </w:r>
          </w:p>
        </w:tc>
        <w:tc>
          <w:tcPr>
            <w:tcW w:w="1732" w:type="dxa"/>
            <w:tcBorders>
              <w:top w:val="nil"/>
              <w:left w:val="nil"/>
              <w:bottom w:val="nil"/>
              <w:right w:val="nil"/>
            </w:tcBorders>
            <w:shd w:val="clear" w:color="auto" w:fill="auto"/>
            <w:noWrap/>
            <w:vAlign w:val="bottom"/>
            <w:hideMark/>
          </w:tcPr>
          <w:p w14:paraId="5DF3CE13"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Continuous</w:t>
            </w:r>
          </w:p>
        </w:tc>
        <w:tc>
          <w:tcPr>
            <w:tcW w:w="1091" w:type="dxa"/>
            <w:tcBorders>
              <w:top w:val="nil"/>
              <w:left w:val="nil"/>
              <w:bottom w:val="nil"/>
              <w:right w:val="single" w:sz="4" w:space="0" w:color="auto"/>
            </w:tcBorders>
            <w:shd w:val="clear" w:color="auto" w:fill="auto"/>
            <w:noWrap/>
            <w:vAlign w:val="bottom"/>
            <w:hideMark/>
          </w:tcPr>
          <w:p w14:paraId="6D358B36"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35 (35.4%)</w:t>
            </w:r>
          </w:p>
        </w:tc>
      </w:tr>
      <w:tr w:rsidR="00175FA3" w:rsidRPr="00AA424E" w14:paraId="7181F20F" w14:textId="77777777" w:rsidTr="002A2F3A">
        <w:trPr>
          <w:trHeight w:val="314"/>
        </w:trPr>
        <w:tc>
          <w:tcPr>
            <w:tcW w:w="2262" w:type="dxa"/>
            <w:tcBorders>
              <w:top w:val="nil"/>
              <w:left w:val="single" w:sz="4" w:space="0" w:color="auto"/>
              <w:bottom w:val="nil"/>
              <w:right w:val="nil"/>
            </w:tcBorders>
            <w:shd w:val="clear" w:color="auto" w:fill="auto"/>
            <w:noWrap/>
            <w:vAlign w:val="bottom"/>
            <w:hideMark/>
          </w:tcPr>
          <w:p w14:paraId="0DA6D686"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Recurrence-free survival</w:t>
            </w:r>
          </w:p>
        </w:tc>
        <w:tc>
          <w:tcPr>
            <w:tcW w:w="1063" w:type="dxa"/>
            <w:tcBorders>
              <w:top w:val="nil"/>
              <w:left w:val="nil"/>
              <w:bottom w:val="nil"/>
              <w:right w:val="nil"/>
            </w:tcBorders>
            <w:shd w:val="clear" w:color="auto" w:fill="auto"/>
            <w:noWrap/>
            <w:vAlign w:val="bottom"/>
            <w:hideMark/>
          </w:tcPr>
          <w:p w14:paraId="54808DD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84 (64.6%)</w:t>
            </w:r>
          </w:p>
        </w:tc>
        <w:tc>
          <w:tcPr>
            <w:tcW w:w="2661" w:type="dxa"/>
            <w:tcBorders>
              <w:top w:val="nil"/>
              <w:left w:val="nil"/>
              <w:bottom w:val="nil"/>
              <w:right w:val="nil"/>
            </w:tcBorders>
            <w:shd w:val="clear" w:color="auto" w:fill="auto"/>
            <w:noWrap/>
            <w:vAlign w:val="bottom"/>
            <w:hideMark/>
          </w:tcPr>
          <w:p w14:paraId="62CF90E1"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43 (51.2%)</w:t>
            </w:r>
          </w:p>
        </w:tc>
        <w:tc>
          <w:tcPr>
            <w:tcW w:w="1330" w:type="dxa"/>
            <w:tcBorders>
              <w:top w:val="nil"/>
              <w:left w:val="nil"/>
              <w:bottom w:val="nil"/>
              <w:right w:val="nil"/>
            </w:tcBorders>
            <w:shd w:val="clear" w:color="auto" w:fill="auto"/>
            <w:noWrap/>
            <w:vAlign w:val="bottom"/>
            <w:hideMark/>
          </w:tcPr>
          <w:p w14:paraId="4FF60505"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factor</w:t>
            </w:r>
          </w:p>
        </w:tc>
        <w:tc>
          <w:tcPr>
            <w:tcW w:w="1196" w:type="dxa"/>
            <w:tcBorders>
              <w:top w:val="nil"/>
              <w:left w:val="nil"/>
              <w:bottom w:val="nil"/>
              <w:right w:val="nil"/>
            </w:tcBorders>
            <w:shd w:val="clear" w:color="auto" w:fill="auto"/>
            <w:noWrap/>
            <w:vAlign w:val="bottom"/>
            <w:hideMark/>
          </w:tcPr>
          <w:p w14:paraId="2C2B5F45"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25 (23.1%)</w:t>
            </w:r>
          </w:p>
        </w:tc>
        <w:tc>
          <w:tcPr>
            <w:tcW w:w="1732" w:type="dxa"/>
            <w:tcBorders>
              <w:top w:val="nil"/>
              <w:left w:val="nil"/>
              <w:bottom w:val="nil"/>
              <w:right w:val="nil"/>
            </w:tcBorders>
            <w:shd w:val="clear" w:color="auto" w:fill="auto"/>
            <w:noWrap/>
            <w:vAlign w:val="bottom"/>
            <w:hideMark/>
          </w:tcPr>
          <w:p w14:paraId="16F2945D"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Ordinal</w:t>
            </w:r>
          </w:p>
        </w:tc>
        <w:tc>
          <w:tcPr>
            <w:tcW w:w="1091" w:type="dxa"/>
            <w:tcBorders>
              <w:top w:val="nil"/>
              <w:left w:val="nil"/>
              <w:bottom w:val="nil"/>
              <w:right w:val="single" w:sz="4" w:space="0" w:color="auto"/>
            </w:tcBorders>
            <w:shd w:val="clear" w:color="auto" w:fill="auto"/>
            <w:noWrap/>
            <w:vAlign w:val="bottom"/>
            <w:hideMark/>
          </w:tcPr>
          <w:p w14:paraId="73327365"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12 (12.1%)</w:t>
            </w:r>
          </w:p>
        </w:tc>
      </w:tr>
      <w:tr w:rsidR="00175FA3" w:rsidRPr="00AA424E" w14:paraId="45EA67A8" w14:textId="77777777" w:rsidTr="002A2F3A">
        <w:trPr>
          <w:trHeight w:val="314"/>
        </w:trPr>
        <w:tc>
          <w:tcPr>
            <w:tcW w:w="2262" w:type="dxa"/>
            <w:tcBorders>
              <w:top w:val="nil"/>
              <w:left w:val="single" w:sz="4" w:space="0" w:color="auto"/>
              <w:bottom w:val="nil"/>
              <w:right w:val="nil"/>
            </w:tcBorders>
            <w:shd w:val="clear" w:color="auto" w:fill="auto"/>
            <w:noWrap/>
            <w:vAlign w:val="bottom"/>
            <w:hideMark/>
          </w:tcPr>
          <w:p w14:paraId="213019C5"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Distant metastasis</w:t>
            </w:r>
          </w:p>
        </w:tc>
        <w:tc>
          <w:tcPr>
            <w:tcW w:w="1063" w:type="dxa"/>
            <w:tcBorders>
              <w:top w:val="nil"/>
              <w:left w:val="nil"/>
              <w:bottom w:val="nil"/>
              <w:right w:val="nil"/>
            </w:tcBorders>
            <w:shd w:val="clear" w:color="auto" w:fill="auto"/>
            <w:noWrap/>
            <w:vAlign w:val="bottom"/>
            <w:hideMark/>
          </w:tcPr>
          <w:p w14:paraId="4D5958D5"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8 (6.2%)</w:t>
            </w:r>
          </w:p>
        </w:tc>
        <w:tc>
          <w:tcPr>
            <w:tcW w:w="2661" w:type="dxa"/>
            <w:tcBorders>
              <w:top w:val="nil"/>
              <w:left w:val="nil"/>
              <w:bottom w:val="nil"/>
              <w:right w:val="nil"/>
            </w:tcBorders>
            <w:shd w:val="clear" w:color="auto" w:fill="auto"/>
            <w:noWrap/>
            <w:vAlign w:val="bottom"/>
            <w:hideMark/>
          </w:tcPr>
          <w:p w14:paraId="77B1BB0B"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2 (25.0%)</w:t>
            </w:r>
          </w:p>
        </w:tc>
        <w:tc>
          <w:tcPr>
            <w:tcW w:w="1330" w:type="dxa"/>
            <w:tcBorders>
              <w:top w:val="nil"/>
              <w:left w:val="nil"/>
              <w:bottom w:val="nil"/>
              <w:right w:val="nil"/>
            </w:tcBorders>
            <w:shd w:val="clear" w:color="auto" w:fill="auto"/>
            <w:noWrap/>
            <w:vAlign w:val="bottom"/>
            <w:hideMark/>
          </w:tcPr>
          <w:p w14:paraId="786182C3"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2 factors</w:t>
            </w:r>
          </w:p>
        </w:tc>
        <w:tc>
          <w:tcPr>
            <w:tcW w:w="1196" w:type="dxa"/>
            <w:tcBorders>
              <w:top w:val="nil"/>
              <w:left w:val="nil"/>
              <w:bottom w:val="nil"/>
              <w:right w:val="nil"/>
            </w:tcBorders>
            <w:shd w:val="clear" w:color="auto" w:fill="auto"/>
            <w:noWrap/>
            <w:vAlign w:val="bottom"/>
            <w:hideMark/>
          </w:tcPr>
          <w:p w14:paraId="4FE27716"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34 (31.5%)</w:t>
            </w:r>
          </w:p>
        </w:tc>
        <w:tc>
          <w:tcPr>
            <w:tcW w:w="1732" w:type="dxa"/>
            <w:tcBorders>
              <w:top w:val="nil"/>
              <w:left w:val="nil"/>
              <w:bottom w:val="nil"/>
              <w:right w:val="nil"/>
            </w:tcBorders>
            <w:shd w:val="clear" w:color="auto" w:fill="auto"/>
            <w:noWrap/>
            <w:vAlign w:val="bottom"/>
            <w:hideMark/>
          </w:tcPr>
          <w:p w14:paraId="3DFF77C2"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Binary  &gt;60 years</w:t>
            </w:r>
          </w:p>
        </w:tc>
        <w:tc>
          <w:tcPr>
            <w:tcW w:w="1091" w:type="dxa"/>
            <w:tcBorders>
              <w:top w:val="nil"/>
              <w:left w:val="nil"/>
              <w:bottom w:val="nil"/>
              <w:right w:val="single" w:sz="4" w:space="0" w:color="auto"/>
            </w:tcBorders>
            <w:shd w:val="clear" w:color="auto" w:fill="auto"/>
            <w:noWrap/>
            <w:vAlign w:val="bottom"/>
            <w:hideMark/>
          </w:tcPr>
          <w:p w14:paraId="0CA2357B"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 xml:space="preserve">33 (33.3%) </w:t>
            </w:r>
          </w:p>
        </w:tc>
      </w:tr>
      <w:tr w:rsidR="00175FA3" w:rsidRPr="00AA424E" w14:paraId="50277506" w14:textId="77777777" w:rsidTr="002A2F3A">
        <w:trPr>
          <w:trHeight w:val="314"/>
        </w:trPr>
        <w:tc>
          <w:tcPr>
            <w:tcW w:w="2262" w:type="dxa"/>
            <w:tcBorders>
              <w:top w:val="nil"/>
              <w:left w:val="single" w:sz="4" w:space="0" w:color="auto"/>
              <w:bottom w:val="nil"/>
              <w:right w:val="nil"/>
            </w:tcBorders>
            <w:shd w:val="clear" w:color="auto" w:fill="auto"/>
            <w:noWrap/>
            <w:vAlign w:val="bottom"/>
            <w:hideMark/>
          </w:tcPr>
          <w:p w14:paraId="4C9765CE"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Locoregional recurrence</w:t>
            </w:r>
          </w:p>
        </w:tc>
        <w:tc>
          <w:tcPr>
            <w:tcW w:w="1063" w:type="dxa"/>
            <w:tcBorders>
              <w:top w:val="nil"/>
              <w:left w:val="nil"/>
              <w:bottom w:val="nil"/>
              <w:right w:val="nil"/>
            </w:tcBorders>
            <w:shd w:val="clear" w:color="auto" w:fill="auto"/>
            <w:noWrap/>
            <w:vAlign w:val="bottom"/>
            <w:hideMark/>
          </w:tcPr>
          <w:p w14:paraId="67297E81"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8 (6.2%)</w:t>
            </w:r>
          </w:p>
        </w:tc>
        <w:tc>
          <w:tcPr>
            <w:tcW w:w="2661" w:type="dxa"/>
            <w:tcBorders>
              <w:top w:val="nil"/>
              <w:left w:val="nil"/>
              <w:bottom w:val="nil"/>
              <w:right w:val="nil"/>
            </w:tcBorders>
            <w:shd w:val="clear" w:color="auto" w:fill="auto"/>
            <w:noWrap/>
            <w:vAlign w:val="bottom"/>
            <w:hideMark/>
          </w:tcPr>
          <w:p w14:paraId="3DE6FF91"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 xml:space="preserve">5 (62.5%) </w:t>
            </w:r>
          </w:p>
        </w:tc>
        <w:tc>
          <w:tcPr>
            <w:tcW w:w="1330" w:type="dxa"/>
            <w:tcBorders>
              <w:top w:val="nil"/>
              <w:left w:val="nil"/>
              <w:bottom w:val="nil"/>
              <w:right w:val="nil"/>
            </w:tcBorders>
            <w:shd w:val="clear" w:color="auto" w:fill="auto"/>
            <w:noWrap/>
            <w:vAlign w:val="bottom"/>
            <w:hideMark/>
          </w:tcPr>
          <w:p w14:paraId="61E73C4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3 factors</w:t>
            </w:r>
          </w:p>
        </w:tc>
        <w:tc>
          <w:tcPr>
            <w:tcW w:w="1196" w:type="dxa"/>
            <w:tcBorders>
              <w:top w:val="nil"/>
              <w:left w:val="nil"/>
              <w:bottom w:val="nil"/>
              <w:right w:val="nil"/>
            </w:tcBorders>
            <w:shd w:val="clear" w:color="auto" w:fill="auto"/>
            <w:noWrap/>
            <w:vAlign w:val="bottom"/>
            <w:hideMark/>
          </w:tcPr>
          <w:p w14:paraId="7F018C58"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28 (25.9%)</w:t>
            </w:r>
          </w:p>
        </w:tc>
        <w:tc>
          <w:tcPr>
            <w:tcW w:w="1732" w:type="dxa"/>
            <w:tcBorders>
              <w:top w:val="nil"/>
              <w:left w:val="nil"/>
              <w:bottom w:val="nil"/>
              <w:right w:val="nil"/>
            </w:tcBorders>
            <w:shd w:val="clear" w:color="auto" w:fill="auto"/>
            <w:noWrap/>
            <w:vAlign w:val="bottom"/>
            <w:hideMark/>
          </w:tcPr>
          <w:p w14:paraId="79721084"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 xml:space="preserve">               &gt;65 years</w:t>
            </w:r>
          </w:p>
        </w:tc>
        <w:tc>
          <w:tcPr>
            <w:tcW w:w="1091" w:type="dxa"/>
            <w:tcBorders>
              <w:top w:val="nil"/>
              <w:left w:val="nil"/>
              <w:bottom w:val="nil"/>
              <w:right w:val="single" w:sz="4" w:space="0" w:color="auto"/>
            </w:tcBorders>
            <w:shd w:val="clear" w:color="auto" w:fill="auto"/>
            <w:noWrap/>
            <w:vAlign w:val="bottom"/>
            <w:hideMark/>
          </w:tcPr>
          <w:p w14:paraId="27F07E3B"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8 (8.1%)</w:t>
            </w:r>
          </w:p>
        </w:tc>
      </w:tr>
      <w:tr w:rsidR="00175FA3" w:rsidRPr="00AA424E" w14:paraId="3D3F39B7" w14:textId="77777777" w:rsidTr="002A2F3A">
        <w:trPr>
          <w:trHeight w:val="314"/>
        </w:trPr>
        <w:tc>
          <w:tcPr>
            <w:tcW w:w="2262" w:type="dxa"/>
            <w:tcBorders>
              <w:top w:val="nil"/>
              <w:left w:val="single" w:sz="4" w:space="0" w:color="auto"/>
              <w:bottom w:val="nil"/>
              <w:right w:val="nil"/>
            </w:tcBorders>
            <w:shd w:val="clear" w:color="auto" w:fill="auto"/>
            <w:noWrap/>
            <w:vAlign w:val="bottom"/>
            <w:hideMark/>
          </w:tcPr>
          <w:p w14:paraId="14C14DFC"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Pelvic recurrence</w:t>
            </w:r>
          </w:p>
        </w:tc>
        <w:tc>
          <w:tcPr>
            <w:tcW w:w="1063" w:type="dxa"/>
            <w:tcBorders>
              <w:top w:val="nil"/>
              <w:left w:val="nil"/>
              <w:bottom w:val="nil"/>
              <w:right w:val="nil"/>
            </w:tcBorders>
            <w:shd w:val="clear" w:color="auto" w:fill="auto"/>
            <w:noWrap/>
            <w:vAlign w:val="bottom"/>
            <w:hideMark/>
          </w:tcPr>
          <w:p w14:paraId="56D9781D"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(0.8%)</w:t>
            </w:r>
          </w:p>
        </w:tc>
        <w:tc>
          <w:tcPr>
            <w:tcW w:w="2661" w:type="dxa"/>
            <w:tcBorders>
              <w:top w:val="nil"/>
              <w:left w:val="nil"/>
              <w:bottom w:val="nil"/>
              <w:right w:val="nil"/>
            </w:tcBorders>
            <w:shd w:val="clear" w:color="auto" w:fill="auto"/>
            <w:noWrap/>
            <w:vAlign w:val="bottom"/>
            <w:hideMark/>
          </w:tcPr>
          <w:p w14:paraId="6FE1D9E2"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(100%)</w:t>
            </w:r>
          </w:p>
        </w:tc>
        <w:tc>
          <w:tcPr>
            <w:tcW w:w="1330" w:type="dxa"/>
            <w:tcBorders>
              <w:top w:val="nil"/>
              <w:left w:val="nil"/>
              <w:bottom w:val="nil"/>
              <w:right w:val="nil"/>
            </w:tcBorders>
            <w:shd w:val="clear" w:color="auto" w:fill="auto"/>
            <w:noWrap/>
            <w:vAlign w:val="bottom"/>
            <w:hideMark/>
          </w:tcPr>
          <w:p w14:paraId="46709BC7"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4 factors</w:t>
            </w:r>
          </w:p>
        </w:tc>
        <w:tc>
          <w:tcPr>
            <w:tcW w:w="1196" w:type="dxa"/>
            <w:tcBorders>
              <w:top w:val="nil"/>
              <w:left w:val="nil"/>
              <w:bottom w:val="nil"/>
              <w:right w:val="nil"/>
            </w:tcBorders>
            <w:shd w:val="clear" w:color="auto" w:fill="auto"/>
            <w:noWrap/>
            <w:vAlign w:val="bottom"/>
            <w:hideMark/>
          </w:tcPr>
          <w:p w14:paraId="6914F1B0"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14 (13.0%)</w:t>
            </w:r>
          </w:p>
        </w:tc>
        <w:tc>
          <w:tcPr>
            <w:tcW w:w="1732" w:type="dxa"/>
            <w:tcBorders>
              <w:top w:val="nil"/>
              <w:left w:val="nil"/>
              <w:bottom w:val="nil"/>
              <w:right w:val="nil"/>
            </w:tcBorders>
            <w:shd w:val="clear" w:color="auto" w:fill="auto"/>
            <w:noWrap/>
            <w:vAlign w:val="bottom"/>
            <w:hideMark/>
          </w:tcPr>
          <w:p w14:paraId="6388E951"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 xml:space="preserve">               &gt;70 years</w:t>
            </w:r>
          </w:p>
        </w:tc>
        <w:tc>
          <w:tcPr>
            <w:tcW w:w="1091" w:type="dxa"/>
            <w:tcBorders>
              <w:top w:val="nil"/>
              <w:left w:val="nil"/>
              <w:bottom w:val="nil"/>
              <w:right w:val="single" w:sz="4" w:space="0" w:color="auto"/>
            </w:tcBorders>
            <w:shd w:val="clear" w:color="auto" w:fill="auto"/>
            <w:noWrap/>
            <w:vAlign w:val="bottom"/>
            <w:hideMark/>
          </w:tcPr>
          <w:p w14:paraId="166BB659"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8 (8.1%)</w:t>
            </w:r>
          </w:p>
        </w:tc>
      </w:tr>
      <w:tr w:rsidR="00175FA3" w:rsidRPr="00AA424E" w14:paraId="69A39FB2" w14:textId="77777777" w:rsidTr="002A2F3A">
        <w:trPr>
          <w:trHeight w:val="314"/>
        </w:trPr>
        <w:tc>
          <w:tcPr>
            <w:tcW w:w="2262" w:type="dxa"/>
            <w:tcBorders>
              <w:top w:val="nil"/>
              <w:left w:val="single" w:sz="4" w:space="0" w:color="auto"/>
              <w:bottom w:val="single" w:sz="4" w:space="0" w:color="auto"/>
              <w:right w:val="nil"/>
            </w:tcBorders>
            <w:shd w:val="clear" w:color="auto" w:fill="auto"/>
            <w:noWrap/>
            <w:vAlign w:val="bottom"/>
            <w:hideMark/>
          </w:tcPr>
          <w:p w14:paraId="3D9602F6"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Vaginal recurrence</w:t>
            </w:r>
          </w:p>
        </w:tc>
        <w:tc>
          <w:tcPr>
            <w:tcW w:w="1063" w:type="dxa"/>
            <w:tcBorders>
              <w:top w:val="nil"/>
              <w:left w:val="nil"/>
              <w:bottom w:val="single" w:sz="4" w:space="0" w:color="auto"/>
              <w:right w:val="nil"/>
            </w:tcBorders>
            <w:shd w:val="clear" w:color="auto" w:fill="auto"/>
            <w:noWrap/>
            <w:vAlign w:val="bottom"/>
            <w:hideMark/>
          </w:tcPr>
          <w:p w14:paraId="3EFC7D45"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(0.8%)</w:t>
            </w:r>
          </w:p>
        </w:tc>
        <w:tc>
          <w:tcPr>
            <w:tcW w:w="2661" w:type="dxa"/>
            <w:tcBorders>
              <w:top w:val="nil"/>
              <w:left w:val="nil"/>
              <w:bottom w:val="single" w:sz="4" w:space="0" w:color="auto"/>
              <w:right w:val="nil"/>
            </w:tcBorders>
            <w:shd w:val="clear" w:color="auto" w:fill="auto"/>
            <w:noWrap/>
            <w:vAlign w:val="bottom"/>
            <w:hideMark/>
          </w:tcPr>
          <w:p w14:paraId="775E9B1A"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(100%)</w:t>
            </w:r>
          </w:p>
        </w:tc>
        <w:tc>
          <w:tcPr>
            <w:tcW w:w="1330" w:type="dxa"/>
            <w:tcBorders>
              <w:top w:val="nil"/>
              <w:left w:val="nil"/>
              <w:bottom w:val="single" w:sz="4" w:space="0" w:color="auto"/>
              <w:right w:val="nil"/>
            </w:tcBorders>
            <w:shd w:val="clear" w:color="auto" w:fill="auto"/>
            <w:noWrap/>
            <w:vAlign w:val="bottom"/>
            <w:hideMark/>
          </w:tcPr>
          <w:p w14:paraId="037128E3"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5 factors</w:t>
            </w:r>
          </w:p>
        </w:tc>
        <w:tc>
          <w:tcPr>
            <w:tcW w:w="1196" w:type="dxa"/>
            <w:tcBorders>
              <w:top w:val="nil"/>
              <w:left w:val="nil"/>
              <w:bottom w:val="single" w:sz="4" w:space="0" w:color="auto"/>
              <w:right w:val="nil"/>
            </w:tcBorders>
            <w:shd w:val="clear" w:color="auto" w:fill="auto"/>
            <w:noWrap/>
            <w:vAlign w:val="bottom"/>
            <w:hideMark/>
          </w:tcPr>
          <w:p w14:paraId="273A4A6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1 (0.9%)</w:t>
            </w:r>
          </w:p>
        </w:tc>
        <w:tc>
          <w:tcPr>
            <w:tcW w:w="1732" w:type="dxa"/>
            <w:tcBorders>
              <w:top w:val="nil"/>
              <w:left w:val="nil"/>
              <w:bottom w:val="single" w:sz="4" w:space="0" w:color="auto"/>
              <w:right w:val="nil"/>
            </w:tcBorders>
            <w:shd w:val="clear" w:color="auto" w:fill="auto"/>
            <w:noWrap/>
            <w:vAlign w:val="bottom"/>
            <w:hideMark/>
          </w:tcPr>
          <w:p w14:paraId="0246401F" w14:textId="77777777" w:rsidR="00175FA3" w:rsidRPr="00880144" w:rsidRDefault="00175FA3" w:rsidP="00175FA3">
            <w:pPr>
              <w:spacing w:after="0" w:line="240" w:lineRule="auto"/>
              <w:rPr>
                <w:rFonts w:ascii="Times New Roman" w:eastAsia="Times New Roman" w:hAnsi="Times New Roman" w:cs="Times New Roman"/>
                <w:color w:val="000000"/>
                <w:sz w:val="20"/>
                <w:szCs w:val="20"/>
                <w:lang w:eastAsia="nl-NL"/>
              </w:rPr>
            </w:pPr>
            <w:r w:rsidRPr="00880144">
              <w:rPr>
                <w:rFonts w:ascii="Times New Roman" w:eastAsia="Times New Roman" w:hAnsi="Times New Roman" w:cs="Times New Roman"/>
                <w:color w:val="000000"/>
                <w:sz w:val="20"/>
                <w:szCs w:val="20"/>
                <w:lang w:eastAsia="nl-NL"/>
              </w:rPr>
              <w:t xml:space="preserve">               &gt;75 years</w:t>
            </w:r>
          </w:p>
        </w:tc>
        <w:tc>
          <w:tcPr>
            <w:tcW w:w="1091" w:type="dxa"/>
            <w:tcBorders>
              <w:top w:val="nil"/>
              <w:left w:val="nil"/>
              <w:bottom w:val="single" w:sz="4" w:space="0" w:color="auto"/>
              <w:right w:val="single" w:sz="4" w:space="0" w:color="auto"/>
            </w:tcBorders>
            <w:shd w:val="clear" w:color="auto" w:fill="auto"/>
            <w:noWrap/>
            <w:vAlign w:val="bottom"/>
            <w:hideMark/>
          </w:tcPr>
          <w:p w14:paraId="5C1696CA" w14:textId="77777777" w:rsidR="00175FA3" w:rsidRPr="00681BC2" w:rsidRDefault="00175FA3" w:rsidP="00175FA3">
            <w:pPr>
              <w:spacing w:after="0" w:line="240" w:lineRule="auto"/>
              <w:rPr>
                <w:rFonts w:ascii="Times New Roman" w:eastAsia="Times New Roman" w:hAnsi="Times New Roman" w:cs="Times New Roman"/>
                <w:color w:val="000000"/>
                <w:sz w:val="20"/>
                <w:szCs w:val="20"/>
                <w:lang w:eastAsia="nl-NL"/>
              </w:rPr>
            </w:pPr>
            <w:r w:rsidRPr="00681BC2">
              <w:rPr>
                <w:rFonts w:ascii="Times New Roman" w:eastAsia="Times New Roman" w:hAnsi="Times New Roman" w:cs="Times New Roman"/>
                <w:color w:val="000000"/>
                <w:sz w:val="20"/>
                <w:szCs w:val="20"/>
                <w:lang w:eastAsia="nl-NL"/>
              </w:rPr>
              <w:t xml:space="preserve">3 (3.0%) </w:t>
            </w:r>
          </w:p>
        </w:tc>
      </w:tr>
    </w:tbl>
    <w:p w14:paraId="7C68CE33" w14:textId="77777777" w:rsidR="00DE402F" w:rsidRDefault="00DE402F" w:rsidP="00B36718">
      <w:pPr>
        <w:pStyle w:val="NoSpacing"/>
        <w:rPr>
          <w:rFonts w:ascii="Times New Roman" w:hAnsi="Times New Roman" w:cs="Times New Roman"/>
          <w:sz w:val="20"/>
          <w:szCs w:val="20"/>
          <w:lang w:val="en-US" w:eastAsia="nl-NL"/>
        </w:rPr>
      </w:pPr>
    </w:p>
    <w:p w14:paraId="2E0B48D3" w14:textId="5C9933E5" w:rsidR="00F40B31" w:rsidRPr="00B36718" w:rsidRDefault="00B36718" w:rsidP="00B36718">
      <w:pPr>
        <w:pStyle w:val="NoSpacing"/>
        <w:rPr>
          <w:rFonts w:ascii="Times New Roman" w:hAnsi="Times New Roman" w:cs="Times New Roman"/>
          <w:sz w:val="20"/>
          <w:szCs w:val="20"/>
          <w:lang w:val="en-GB"/>
        </w:rPr>
      </w:pPr>
      <w:r w:rsidRPr="00B36718">
        <w:rPr>
          <w:rFonts w:ascii="Times New Roman" w:hAnsi="Times New Roman" w:cs="Times New Roman"/>
          <w:sz w:val="20"/>
          <w:szCs w:val="20"/>
          <w:lang w:val="en-US" w:eastAsia="nl-NL"/>
        </w:rPr>
        <w:t xml:space="preserve">Data synthesis of a systematic literature search on the prognostic impact of age on oncological outcomes in women with stage I-III endometrial cancer. </w:t>
      </w:r>
      <w:r>
        <w:rPr>
          <w:rFonts w:ascii="Times New Roman" w:hAnsi="Times New Roman" w:cs="Times New Roman"/>
          <w:sz w:val="20"/>
          <w:szCs w:val="20"/>
          <w:lang w:val="en-US" w:eastAsia="nl-NL"/>
        </w:rPr>
        <w:t xml:space="preserve">108 studies were included in the analysis with a total of 196,862 patients. </w:t>
      </w:r>
      <w:r w:rsidR="00FB649E">
        <w:rPr>
          <w:rFonts w:ascii="Times New Roman" w:hAnsi="Times New Roman" w:cs="Times New Roman"/>
          <w:sz w:val="20"/>
          <w:szCs w:val="20"/>
          <w:lang w:val="en-US" w:eastAsia="nl-NL"/>
        </w:rPr>
        <w:t>1</w:t>
      </w:r>
      <w:r w:rsidRPr="00B36718">
        <w:rPr>
          <w:rFonts w:ascii="Times New Roman" w:hAnsi="Times New Roman" w:cs="Times New Roman"/>
          <w:sz w:val="20"/>
          <w:szCs w:val="20"/>
          <w:lang w:val="en-US" w:eastAsia="nl-NL"/>
        </w:rPr>
        <w:t>) Some studies reported on more than one outcome</w:t>
      </w:r>
      <w:r w:rsidR="00FB649E">
        <w:rPr>
          <w:rFonts w:ascii="Times New Roman" w:hAnsi="Times New Roman" w:cs="Times New Roman"/>
          <w:sz w:val="20"/>
          <w:szCs w:val="20"/>
          <w:lang w:val="en-US" w:eastAsia="nl-NL"/>
        </w:rPr>
        <w:t xml:space="preserve">. 2) </w:t>
      </w:r>
      <w:r w:rsidRPr="00B36718">
        <w:rPr>
          <w:rFonts w:ascii="Times New Roman" w:hAnsi="Times New Roman" w:cs="Times New Roman"/>
          <w:sz w:val="20"/>
          <w:szCs w:val="20"/>
          <w:lang w:val="en-US" w:eastAsia="nl-NL"/>
        </w:rPr>
        <w:t>Indicates whether age was identified as a risk factor for worse oncological outcomes by multivariable analysis</w:t>
      </w:r>
      <w:r w:rsidR="00FB649E">
        <w:rPr>
          <w:rFonts w:ascii="Times New Roman" w:hAnsi="Times New Roman" w:cs="Times New Roman"/>
          <w:sz w:val="20"/>
          <w:szCs w:val="20"/>
          <w:lang w:val="en-US" w:eastAsia="nl-NL"/>
        </w:rPr>
        <w:t xml:space="preserve">. 3) </w:t>
      </w:r>
      <w:r w:rsidRPr="00B36718">
        <w:rPr>
          <w:rFonts w:ascii="Times New Roman" w:hAnsi="Times New Roman" w:cs="Times New Roman"/>
          <w:sz w:val="20"/>
          <w:szCs w:val="20"/>
          <w:lang w:val="en-US" w:eastAsia="nl-NL"/>
        </w:rPr>
        <w:t>The number of the five established risk factors that was corrected for in multivariable analysis (stage, histotype, grade, lymphovascular space invasion and molecular class)</w:t>
      </w:r>
      <w:r w:rsidR="00FB649E">
        <w:rPr>
          <w:rFonts w:ascii="Times New Roman" w:hAnsi="Times New Roman" w:cs="Times New Roman"/>
          <w:sz w:val="20"/>
          <w:szCs w:val="20"/>
          <w:lang w:val="en-US" w:eastAsia="nl-NL"/>
        </w:rPr>
        <w:t>. 4</w:t>
      </w:r>
      <w:r w:rsidRPr="00B36718">
        <w:rPr>
          <w:rFonts w:ascii="Times New Roman" w:hAnsi="Times New Roman" w:cs="Times New Roman"/>
          <w:sz w:val="20"/>
          <w:szCs w:val="20"/>
          <w:lang w:val="en-US" w:eastAsia="nl-NL"/>
        </w:rPr>
        <w:t>) Nine of 108 studies had a different definition of age, namely they used the median age of their data set as cut-off, or random values (40, 50, 55, 58, 59, 68).</w:t>
      </w:r>
    </w:p>
    <w:p w14:paraId="46B637F9" w14:textId="578E1BA2" w:rsidR="00F40B31" w:rsidRDefault="00F40B31" w:rsidP="000A02EC">
      <w:pPr>
        <w:spacing w:line="360" w:lineRule="auto"/>
        <w:rPr>
          <w:lang w:val="en-GB"/>
        </w:rPr>
      </w:pPr>
    </w:p>
    <w:p w14:paraId="01C6EDF9" w14:textId="47A40DF2" w:rsidR="00F40B31" w:rsidRDefault="00F40B31" w:rsidP="000A02EC">
      <w:pPr>
        <w:spacing w:line="360" w:lineRule="auto"/>
        <w:rPr>
          <w:lang w:val="en-GB"/>
        </w:rPr>
      </w:pPr>
    </w:p>
    <w:p w14:paraId="7BB7E85C" w14:textId="595A1465" w:rsidR="00F40B31" w:rsidRDefault="00F40B31" w:rsidP="000A02EC">
      <w:pPr>
        <w:spacing w:line="360" w:lineRule="auto"/>
        <w:rPr>
          <w:lang w:val="en-GB"/>
        </w:rPr>
      </w:pPr>
    </w:p>
    <w:p w14:paraId="55067A59" w14:textId="74908577" w:rsidR="00F40B31" w:rsidRDefault="00F40B31">
      <w:pPr>
        <w:rPr>
          <w:lang w:val="en-US"/>
        </w:rPr>
      </w:pPr>
    </w:p>
    <w:p w14:paraId="675D1DF7" w14:textId="7A5370C2" w:rsidR="00F40B31" w:rsidRDefault="00F40B31">
      <w:pPr>
        <w:rPr>
          <w:lang w:val="en-US"/>
        </w:rPr>
      </w:pPr>
    </w:p>
    <w:p w14:paraId="6E19AF1F" w14:textId="6A6020C9" w:rsidR="00F40B31" w:rsidRDefault="00F40B31">
      <w:pPr>
        <w:rPr>
          <w:lang w:val="en-US"/>
        </w:rPr>
      </w:pPr>
    </w:p>
    <w:p w14:paraId="04D6A7D9" w14:textId="39F1E7BB" w:rsidR="00F40B31" w:rsidRDefault="00F40B31">
      <w:pPr>
        <w:rPr>
          <w:lang w:val="en-US"/>
        </w:rPr>
      </w:pPr>
    </w:p>
    <w:p w14:paraId="1053B7BE" w14:textId="76BCC073" w:rsidR="00F40B31" w:rsidRDefault="00F40B31">
      <w:pPr>
        <w:rPr>
          <w:lang w:val="en-US"/>
        </w:rPr>
      </w:pPr>
    </w:p>
    <w:p w14:paraId="422FE01B" w14:textId="2E0005F6" w:rsidR="00F40B31" w:rsidRDefault="00F40B31">
      <w:pPr>
        <w:rPr>
          <w:lang w:val="en-US"/>
        </w:rPr>
      </w:pPr>
    </w:p>
    <w:p w14:paraId="51F186C8" w14:textId="39CC8D62" w:rsidR="00F7309E" w:rsidRDefault="00F7309E">
      <w:pPr>
        <w:rPr>
          <w:lang w:val="en-US"/>
        </w:rPr>
      </w:pPr>
    </w:p>
    <w:p w14:paraId="7758C390" w14:textId="235358C9" w:rsidR="00F7309E" w:rsidRDefault="00F7309E">
      <w:pPr>
        <w:rPr>
          <w:lang w:val="en-US"/>
        </w:rPr>
      </w:pPr>
    </w:p>
    <w:p w14:paraId="4F81D908" w14:textId="436FE2B8" w:rsidR="00F7309E" w:rsidRDefault="00F7309E">
      <w:pPr>
        <w:rPr>
          <w:lang w:val="en-US"/>
        </w:rPr>
      </w:pPr>
    </w:p>
    <w:p w14:paraId="36598C61" w14:textId="246B2F6B" w:rsidR="00F7309E" w:rsidRDefault="00F7309E">
      <w:pPr>
        <w:rPr>
          <w:lang w:val="en-US"/>
        </w:rPr>
      </w:pPr>
    </w:p>
    <w:p w14:paraId="3F06EEF8" w14:textId="77777777" w:rsidR="00F7309E" w:rsidRDefault="00F7309E">
      <w:pPr>
        <w:rPr>
          <w:lang w:val="en-US"/>
        </w:rPr>
      </w:pPr>
    </w:p>
    <w:p w14:paraId="637FB47D" w14:textId="353C1DF7" w:rsidR="00F40B31" w:rsidRDefault="00F40B31">
      <w:pPr>
        <w:rPr>
          <w:lang w:val="en-US"/>
        </w:rPr>
      </w:pPr>
    </w:p>
    <w:p w14:paraId="5E565E8D" w14:textId="32762E8D" w:rsidR="00F40B31" w:rsidRDefault="00F40B31">
      <w:pPr>
        <w:rPr>
          <w:lang w:val="en-US"/>
        </w:rPr>
      </w:pPr>
    </w:p>
    <w:p w14:paraId="7AE49D34" w14:textId="2F6FC6C2" w:rsidR="00F40B31" w:rsidRDefault="00F40B31">
      <w:pPr>
        <w:rPr>
          <w:lang w:val="en-US"/>
        </w:rPr>
      </w:pPr>
    </w:p>
    <w:p w14:paraId="340DC5DE" w14:textId="3006E953" w:rsidR="00F40B31" w:rsidRDefault="00F40B31">
      <w:pPr>
        <w:rPr>
          <w:b/>
          <w:bCs/>
          <w:lang w:val="en-US"/>
        </w:rPr>
      </w:pPr>
    </w:p>
    <w:p w14:paraId="535860D5" w14:textId="77777777" w:rsidR="00F7309E" w:rsidRDefault="00F7309E">
      <w:pPr>
        <w:rPr>
          <w:b/>
          <w:bCs/>
          <w:lang w:val="en-US"/>
        </w:rPr>
      </w:pPr>
    </w:p>
    <w:p w14:paraId="565A1214" w14:textId="0139661A" w:rsidR="00F7309E" w:rsidRPr="00EB1395" w:rsidRDefault="000607BD" w:rsidP="00F7309E">
      <w:pPr>
        <w:pStyle w:val="Heading1"/>
        <w:rPr>
          <w:rFonts w:asciiTheme="minorHAnsi" w:hAnsiTheme="minorHAnsi" w:cstheme="minorHAnsi"/>
          <w:sz w:val="22"/>
          <w:szCs w:val="22"/>
          <w:lang w:val="en-US"/>
        </w:rPr>
      </w:pPr>
      <w:bookmarkStart w:id="40" w:name="_Toc146143710"/>
      <w:bookmarkStart w:id="41" w:name="_Toc149307276"/>
      <w:r w:rsidRPr="00EB1395">
        <w:rPr>
          <w:rFonts w:asciiTheme="minorHAnsi" w:hAnsiTheme="minorHAnsi" w:cstheme="minorHAnsi"/>
          <w:sz w:val="22"/>
          <w:szCs w:val="22"/>
          <w:lang w:val="en-US"/>
        </w:rPr>
        <w:lastRenderedPageBreak/>
        <w:t>Supplemental r</w:t>
      </w:r>
      <w:r w:rsidR="00F7309E" w:rsidRPr="00EB1395">
        <w:rPr>
          <w:rFonts w:asciiTheme="minorHAnsi" w:hAnsiTheme="minorHAnsi" w:cstheme="minorHAnsi"/>
          <w:sz w:val="22"/>
          <w:szCs w:val="22"/>
          <w:lang w:val="en-US"/>
        </w:rPr>
        <w:t>eferences</w:t>
      </w:r>
      <w:bookmarkEnd w:id="40"/>
      <w:bookmarkEnd w:id="41"/>
    </w:p>
    <w:p w14:paraId="07BC89F0" w14:textId="77777777" w:rsidR="00F7309E" w:rsidRPr="005F0F02" w:rsidRDefault="00F7309E" w:rsidP="00F7309E">
      <w:pPr>
        <w:pStyle w:val="EndNoteBibliography"/>
        <w:spacing w:after="0"/>
        <w:rPr>
          <w:rFonts w:ascii="Times New Roman" w:hAnsi="Times New Roman" w:cs="Times New Roman"/>
          <w:b/>
          <w:bCs/>
          <w:sz w:val="20"/>
          <w:szCs w:val="20"/>
        </w:rPr>
      </w:pPr>
    </w:p>
    <w:p w14:paraId="405FD03F" w14:textId="77777777" w:rsidR="009A33C5" w:rsidRPr="005F0F02" w:rsidRDefault="009A33C5" w:rsidP="009A33C5">
      <w:pPr>
        <w:pStyle w:val="EndNoteBibliography"/>
        <w:spacing w:after="0"/>
        <w:rPr>
          <w:rFonts w:ascii="Times New Roman" w:hAnsi="Times New Roman" w:cs="Times New Roman"/>
          <w:sz w:val="20"/>
          <w:szCs w:val="20"/>
        </w:rPr>
      </w:pPr>
      <w:r w:rsidRPr="005F0F02">
        <w:rPr>
          <w:rFonts w:ascii="Times New Roman" w:hAnsi="Times New Roman" w:cs="Times New Roman"/>
          <w:sz w:val="20"/>
          <w:szCs w:val="20"/>
        </w:rPr>
        <w:t>1.</w:t>
      </w:r>
      <w:r w:rsidRPr="005F0F02">
        <w:rPr>
          <w:rFonts w:ascii="Times New Roman" w:hAnsi="Times New Roman" w:cs="Times New Roman"/>
          <w:sz w:val="20"/>
          <w:szCs w:val="20"/>
        </w:rPr>
        <w:tab/>
        <w:t xml:space="preserve">Stelloo E, Nout RA, Osse EM, et al. Improved Risk Assessment by Integrating Molecular and Clinicopathological Factors in Early-stage Endometrial Cancer-Combined Analysis of the PORTEC Cohorts. </w:t>
      </w:r>
      <w:r w:rsidRPr="005F0F02">
        <w:rPr>
          <w:rFonts w:ascii="Times New Roman" w:hAnsi="Times New Roman" w:cs="Times New Roman"/>
          <w:i/>
          <w:sz w:val="20"/>
          <w:szCs w:val="20"/>
        </w:rPr>
        <w:t>Clin Cancer Res</w:t>
      </w:r>
      <w:r w:rsidRPr="005F0F02">
        <w:rPr>
          <w:rFonts w:ascii="Times New Roman" w:hAnsi="Times New Roman" w:cs="Times New Roman"/>
          <w:sz w:val="20"/>
          <w:szCs w:val="20"/>
        </w:rPr>
        <w:t>. Aug 15 2016;22(16):4215-24. doi:10.1158/1078-0432.CCR-15-2878</w:t>
      </w:r>
    </w:p>
    <w:p w14:paraId="51AFFA60" w14:textId="77777777" w:rsidR="009A33C5" w:rsidRPr="005F0F02" w:rsidRDefault="009A33C5" w:rsidP="009A33C5">
      <w:pPr>
        <w:pStyle w:val="EndNoteBibliography"/>
        <w:spacing w:after="0"/>
        <w:rPr>
          <w:rFonts w:ascii="Times New Roman" w:hAnsi="Times New Roman" w:cs="Times New Roman"/>
          <w:sz w:val="20"/>
          <w:szCs w:val="20"/>
        </w:rPr>
      </w:pPr>
      <w:r w:rsidRPr="005F0F02">
        <w:rPr>
          <w:rFonts w:ascii="Times New Roman" w:hAnsi="Times New Roman" w:cs="Times New Roman"/>
          <w:sz w:val="20"/>
          <w:szCs w:val="20"/>
        </w:rPr>
        <w:t>2.</w:t>
      </w:r>
      <w:r w:rsidRPr="005F0F02">
        <w:rPr>
          <w:rFonts w:ascii="Times New Roman" w:hAnsi="Times New Roman" w:cs="Times New Roman"/>
          <w:sz w:val="20"/>
          <w:szCs w:val="20"/>
        </w:rPr>
        <w:tab/>
        <w:t xml:space="preserve">Leon-Castillo A, de Boer SM, Powell ME, et al. Molecular Classification of the PORTEC-3 Trial for High-Risk Endometrial Cancer: Impact on Prognosis and Benefit From Adjuvant Therapy. </w:t>
      </w:r>
      <w:r w:rsidRPr="005F0F02">
        <w:rPr>
          <w:rFonts w:ascii="Times New Roman" w:hAnsi="Times New Roman" w:cs="Times New Roman"/>
          <w:i/>
          <w:sz w:val="20"/>
          <w:szCs w:val="20"/>
        </w:rPr>
        <w:t>J Clin Oncol</w:t>
      </w:r>
      <w:r w:rsidRPr="005F0F02">
        <w:rPr>
          <w:rFonts w:ascii="Times New Roman" w:hAnsi="Times New Roman" w:cs="Times New Roman"/>
          <w:sz w:val="20"/>
          <w:szCs w:val="20"/>
        </w:rPr>
        <w:t>. Oct 10 2020;38(29):3388-3397. doi:10.1200/JCO.20.00549</w:t>
      </w:r>
    </w:p>
    <w:p w14:paraId="1375F6DF" w14:textId="77777777" w:rsidR="009A33C5" w:rsidRPr="005F0F02" w:rsidRDefault="009A33C5" w:rsidP="009A33C5">
      <w:pPr>
        <w:pStyle w:val="EndNoteBibliography"/>
        <w:spacing w:after="0"/>
        <w:rPr>
          <w:rFonts w:ascii="Times New Roman" w:hAnsi="Times New Roman" w:cs="Times New Roman"/>
          <w:sz w:val="20"/>
          <w:szCs w:val="20"/>
        </w:rPr>
      </w:pPr>
      <w:r w:rsidRPr="005F0F02">
        <w:rPr>
          <w:rFonts w:ascii="Times New Roman" w:hAnsi="Times New Roman" w:cs="Times New Roman"/>
          <w:sz w:val="20"/>
          <w:szCs w:val="20"/>
        </w:rPr>
        <w:t>3.</w:t>
      </w:r>
      <w:r w:rsidRPr="005F0F02">
        <w:rPr>
          <w:rFonts w:ascii="Times New Roman" w:hAnsi="Times New Roman" w:cs="Times New Roman"/>
          <w:sz w:val="20"/>
          <w:szCs w:val="20"/>
        </w:rPr>
        <w:tab/>
        <w:t xml:space="preserve">Leon-Castillo A, Britton H, McConechy MK, et al. Interpretation of somatic POLE mutations in endometrial carcinoma. </w:t>
      </w:r>
      <w:r w:rsidRPr="005F0F02">
        <w:rPr>
          <w:rFonts w:ascii="Times New Roman" w:hAnsi="Times New Roman" w:cs="Times New Roman"/>
          <w:i/>
          <w:sz w:val="20"/>
          <w:szCs w:val="20"/>
        </w:rPr>
        <w:t>J Pathol</w:t>
      </w:r>
      <w:r w:rsidRPr="005F0F02">
        <w:rPr>
          <w:rFonts w:ascii="Times New Roman" w:hAnsi="Times New Roman" w:cs="Times New Roman"/>
          <w:sz w:val="20"/>
          <w:szCs w:val="20"/>
        </w:rPr>
        <w:t>. Mar 2020;250(3):323-335. doi:10.1002/path.5372</w:t>
      </w:r>
    </w:p>
    <w:p w14:paraId="0DAF485B" w14:textId="2C37D269" w:rsidR="009A33C5" w:rsidRPr="00D55538" w:rsidRDefault="009A33C5" w:rsidP="009A33C5">
      <w:pPr>
        <w:pStyle w:val="EndNoteBibliography"/>
        <w:spacing w:after="0"/>
        <w:rPr>
          <w:rFonts w:ascii="Times New Roman" w:hAnsi="Times New Roman" w:cs="Times New Roman"/>
          <w:sz w:val="20"/>
          <w:szCs w:val="20"/>
          <w:lang w:val="nl-NL"/>
        </w:rPr>
      </w:pPr>
      <w:r w:rsidRPr="005F0F02">
        <w:rPr>
          <w:rFonts w:ascii="Times New Roman" w:hAnsi="Times New Roman" w:cs="Times New Roman"/>
          <w:sz w:val="20"/>
          <w:szCs w:val="20"/>
        </w:rPr>
        <w:t>4.</w:t>
      </w:r>
      <w:r w:rsidRPr="005F0F02">
        <w:rPr>
          <w:rFonts w:ascii="Times New Roman" w:hAnsi="Times New Roman" w:cs="Times New Roman"/>
          <w:sz w:val="20"/>
          <w:szCs w:val="20"/>
        </w:rPr>
        <w:tab/>
        <w:t xml:space="preserve">Stelloo E, Bosse T, Nout RA, et al. Refining prognosis and identifying targetable pathways for high-risk endometrial cancer; a TransPORTEC initiative. </w:t>
      </w:r>
      <w:r w:rsidRPr="00D55538">
        <w:rPr>
          <w:rFonts w:ascii="Times New Roman" w:hAnsi="Times New Roman" w:cs="Times New Roman"/>
          <w:i/>
          <w:sz w:val="20"/>
          <w:szCs w:val="20"/>
          <w:lang w:val="nl-NL"/>
        </w:rPr>
        <w:t>Modern Pathology</w:t>
      </w:r>
      <w:r w:rsidRPr="00D55538">
        <w:rPr>
          <w:rFonts w:ascii="Times New Roman" w:hAnsi="Times New Roman" w:cs="Times New Roman"/>
          <w:sz w:val="20"/>
          <w:szCs w:val="20"/>
          <w:lang w:val="nl-NL"/>
        </w:rPr>
        <w:t>. 2015/06/01/ 2015;28(6):836-844. doi:</w:t>
      </w:r>
      <w:hyperlink r:id="rId18" w:history="1">
        <w:r w:rsidRPr="00D55538">
          <w:rPr>
            <w:rStyle w:val="Hyperlink"/>
            <w:rFonts w:ascii="Times New Roman" w:hAnsi="Times New Roman" w:cs="Times New Roman"/>
            <w:sz w:val="20"/>
            <w:szCs w:val="20"/>
            <w:lang w:val="nl-NL"/>
          </w:rPr>
          <w:t>https://doi.org/10.1038/modpathol.2015.43</w:t>
        </w:r>
      </w:hyperlink>
    </w:p>
    <w:p w14:paraId="41BBAC08" w14:textId="77777777" w:rsidR="009A33C5" w:rsidRPr="005F0F02" w:rsidRDefault="009A33C5" w:rsidP="009A33C5">
      <w:pPr>
        <w:pStyle w:val="EndNoteBibliography"/>
        <w:spacing w:after="0"/>
        <w:rPr>
          <w:rFonts w:ascii="Times New Roman" w:hAnsi="Times New Roman" w:cs="Times New Roman"/>
          <w:sz w:val="20"/>
          <w:szCs w:val="20"/>
        </w:rPr>
      </w:pPr>
      <w:r w:rsidRPr="00D55538">
        <w:rPr>
          <w:rFonts w:ascii="Times New Roman" w:hAnsi="Times New Roman" w:cs="Times New Roman"/>
          <w:sz w:val="20"/>
          <w:szCs w:val="20"/>
          <w:lang w:val="nl-NL"/>
        </w:rPr>
        <w:t>5.</w:t>
      </w:r>
      <w:r w:rsidRPr="00D55538">
        <w:rPr>
          <w:rFonts w:ascii="Times New Roman" w:hAnsi="Times New Roman" w:cs="Times New Roman"/>
          <w:sz w:val="20"/>
          <w:szCs w:val="20"/>
          <w:lang w:val="nl-NL"/>
        </w:rPr>
        <w:tab/>
        <w:t xml:space="preserve">Horeweg N, Workel HH, Loiero D, et al. </w:t>
      </w:r>
      <w:r w:rsidRPr="005F0F02">
        <w:rPr>
          <w:rFonts w:ascii="Times New Roman" w:hAnsi="Times New Roman" w:cs="Times New Roman"/>
          <w:sz w:val="20"/>
          <w:szCs w:val="20"/>
        </w:rPr>
        <w:t xml:space="preserve">Tertiary lymphoid structures critical for prognosis in endometrial cancer patients. </w:t>
      </w:r>
      <w:r w:rsidRPr="005F0F02">
        <w:rPr>
          <w:rFonts w:ascii="Times New Roman" w:hAnsi="Times New Roman" w:cs="Times New Roman"/>
          <w:i/>
          <w:sz w:val="20"/>
          <w:szCs w:val="20"/>
        </w:rPr>
        <w:t>Nature Communications</w:t>
      </w:r>
      <w:r w:rsidRPr="005F0F02">
        <w:rPr>
          <w:rFonts w:ascii="Times New Roman" w:hAnsi="Times New Roman" w:cs="Times New Roman"/>
          <w:sz w:val="20"/>
          <w:szCs w:val="20"/>
        </w:rPr>
        <w:t>. 2022/03/16 2022;13(1):1373. doi:10.1038/s41467-022-29040-x</w:t>
      </w:r>
    </w:p>
    <w:p w14:paraId="2E3FBBC4" w14:textId="77777777" w:rsidR="009A33C5" w:rsidRPr="005F0F02" w:rsidRDefault="009A33C5" w:rsidP="009A33C5">
      <w:pPr>
        <w:pStyle w:val="EndNoteBibliography"/>
        <w:spacing w:after="0"/>
        <w:rPr>
          <w:rFonts w:ascii="Times New Roman" w:hAnsi="Times New Roman" w:cs="Times New Roman"/>
          <w:sz w:val="20"/>
          <w:szCs w:val="20"/>
        </w:rPr>
      </w:pPr>
      <w:r w:rsidRPr="005F0F02">
        <w:rPr>
          <w:rFonts w:ascii="Times New Roman" w:hAnsi="Times New Roman" w:cs="Times New Roman"/>
          <w:sz w:val="20"/>
          <w:szCs w:val="20"/>
        </w:rPr>
        <w:t>6.</w:t>
      </w:r>
      <w:r w:rsidRPr="005F0F02">
        <w:rPr>
          <w:rFonts w:ascii="Times New Roman" w:hAnsi="Times New Roman" w:cs="Times New Roman"/>
          <w:sz w:val="20"/>
          <w:szCs w:val="20"/>
        </w:rPr>
        <w:tab/>
        <w:t xml:space="preserve">Vermij L, Leon-Castillo A, Singh N, et al. p53 immunohistochemistry in endometrial cancer: clinical and molecular correlates in the PORTEC-3 trial. </w:t>
      </w:r>
      <w:r w:rsidRPr="005F0F02">
        <w:rPr>
          <w:rFonts w:ascii="Times New Roman" w:hAnsi="Times New Roman" w:cs="Times New Roman"/>
          <w:i/>
          <w:sz w:val="20"/>
          <w:szCs w:val="20"/>
        </w:rPr>
        <w:t>Mod Pathol</w:t>
      </w:r>
      <w:r w:rsidRPr="005F0F02">
        <w:rPr>
          <w:rFonts w:ascii="Times New Roman" w:hAnsi="Times New Roman" w:cs="Times New Roman"/>
          <w:sz w:val="20"/>
          <w:szCs w:val="20"/>
        </w:rPr>
        <w:t>. Oct 2022;35(10):1475-1483. doi:10.1038/s41379-022-01102-x</w:t>
      </w:r>
    </w:p>
    <w:p w14:paraId="39583D14" w14:textId="77777777" w:rsidR="009A33C5" w:rsidRPr="005F0F02" w:rsidRDefault="009A33C5" w:rsidP="009A33C5">
      <w:pPr>
        <w:pStyle w:val="EndNoteBibliography"/>
        <w:spacing w:after="0"/>
        <w:rPr>
          <w:rFonts w:ascii="Times New Roman" w:hAnsi="Times New Roman" w:cs="Times New Roman"/>
          <w:sz w:val="20"/>
          <w:szCs w:val="20"/>
        </w:rPr>
      </w:pPr>
      <w:r w:rsidRPr="005F0F02">
        <w:rPr>
          <w:rFonts w:ascii="Times New Roman" w:hAnsi="Times New Roman" w:cs="Times New Roman"/>
          <w:sz w:val="20"/>
          <w:szCs w:val="20"/>
        </w:rPr>
        <w:t>7.</w:t>
      </w:r>
      <w:r w:rsidRPr="005F0F02">
        <w:rPr>
          <w:rFonts w:ascii="Times New Roman" w:hAnsi="Times New Roman" w:cs="Times New Roman"/>
          <w:sz w:val="20"/>
          <w:szCs w:val="20"/>
        </w:rPr>
        <w:tab/>
        <w:t xml:space="preserve">Vermij L, Smit V, Nout R, Bosse T. Incorporation of molecular characteristics into endometrial cancer management. </w:t>
      </w:r>
      <w:r w:rsidRPr="005F0F02">
        <w:rPr>
          <w:rFonts w:ascii="Times New Roman" w:hAnsi="Times New Roman" w:cs="Times New Roman"/>
          <w:i/>
          <w:sz w:val="20"/>
          <w:szCs w:val="20"/>
        </w:rPr>
        <w:t>Histopathology</w:t>
      </w:r>
      <w:r w:rsidRPr="005F0F02">
        <w:rPr>
          <w:rFonts w:ascii="Times New Roman" w:hAnsi="Times New Roman" w:cs="Times New Roman"/>
          <w:sz w:val="20"/>
          <w:szCs w:val="20"/>
        </w:rPr>
        <w:t>. Jan 2020;76(1):52-63. doi:10.1111/his.14015</w:t>
      </w:r>
    </w:p>
    <w:p w14:paraId="74ADA1C4" w14:textId="77777777" w:rsidR="009A33C5" w:rsidRPr="00D55538" w:rsidRDefault="009A33C5" w:rsidP="009A33C5">
      <w:pPr>
        <w:pStyle w:val="EndNoteBibliography"/>
        <w:spacing w:after="0"/>
        <w:rPr>
          <w:rFonts w:ascii="Times New Roman" w:hAnsi="Times New Roman" w:cs="Times New Roman"/>
          <w:sz w:val="20"/>
          <w:szCs w:val="20"/>
          <w:lang w:val="nl-NL"/>
        </w:rPr>
      </w:pPr>
      <w:r w:rsidRPr="005F0F02">
        <w:rPr>
          <w:rFonts w:ascii="Times New Roman" w:hAnsi="Times New Roman" w:cs="Times New Roman"/>
          <w:sz w:val="20"/>
          <w:szCs w:val="20"/>
        </w:rPr>
        <w:t>8.</w:t>
      </w:r>
      <w:r w:rsidRPr="005F0F02">
        <w:rPr>
          <w:rFonts w:ascii="Times New Roman" w:hAnsi="Times New Roman" w:cs="Times New Roman"/>
          <w:sz w:val="20"/>
          <w:szCs w:val="20"/>
        </w:rPr>
        <w:tab/>
        <w:t xml:space="preserve">Board WCoTE. </w:t>
      </w:r>
      <w:r w:rsidRPr="005F0F02">
        <w:rPr>
          <w:rFonts w:ascii="Times New Roman" w:hAnsi="Times New Roman" w:cs="Times New Roman"/>
          <w:i/>
          <w:sz w:val="20"/>
          <w:szCs w:val="20"/>
        </w:rPr>
        <w:t>Female Genital Tumours</w:t>
      </w:r>
      <w:r w:rsidRPr="005F0F02">
        <w:rPr>
          <w:rFonts w:ascii="Times New Roman" w:hAnsi="Times New Roman" w:cs="Times New Roman"/>
          <w:sz w:val="20"/>
          <w:szCs w:val="20"/>
        </w:rPr>
        <w:t xml:space="preserve">. vol 4. </w:t>
      </w:r>
      <w:r w:rsidRPr="00D55538">
        <w:rPr>
          <w:rFonts w:ascii="Times New Roman" w:hAnsi="Times New Roman" w:cs="Times New Roman"/>
          <w:sz w:val="20"/>
          <w:szCs w:val="20"/>
          <w:lang w:val="nl-NL"/>
        </w:rPr>
        <w:t>2020.</w:t>
      </w:r>
    </w:p>
    <w:p w14:paraId="338D89D2" w14:textId="77777777" w:rsidR="009A33C5" w:rsidRPr="00D55538" w:rsidRDefault="009A33C5" w:rsidP="009A33C5">
      <w:pPr>
        <w:pStyle w:val="EndNoteBibliography"/>
        <w:spacing w:after="0"/>
        <w:rPr>
          <w:rFonts w:ascii="Times New Roman" w:hAnsi="Times New Roman" w:cs="Times New Roman"/>
          <w:sz w:val="20"/>
          <w:szCs w:val="20"/>
          <w:lang w:val="nl-NL"/>
        </w:rPr>
      </w:pPr>
      <w:r w:rsidRPr="00D55538">
        <w:rPr>
          <w:rFonts w:ascii="Times New Roman" w:hAnsi="Times New Roman" w:cs="Times New Roman"/>
          <w:sz w:val="20"/>
          <w:szCs w:val="20"/>
          <w:lang w:val="nl-NL"/>
        </w:rPr>
        <w:t>9.</w:t>
      </w:r>
      <w:r w:rsidRPr="00D55538">
        <w:rPr>
          <w:rFonts w:ascii="Times New Roman" w:hAnsi="Times New Roman" w:cs="Times New Roman"/>
          <w:sz w:val="20"/>
          <w:szCs w:val="20"/>
          <w:lang w:val="nl-NL"/>
        </w:rPr>
        <w:tab/>
        <w:t xml:space="preserve">Trovik J, Wik E, Werner HM, et al. </w:t>
      </w:r>
      <w:r w:rsidRPr="005F0F02">
        <w:rPr>
          <w:rFonts w:ascii="Times New Roman" w:hAnsi="Times New Roman" w:cs="Times New Roman"/>
          <w:sz w:val="20"/>
          <w:szCs w:val="20"/>
        </w:rPr>
        <w:t xml:space="preserve">Hormone receptor loss in endometrial carcinoma curettage predicts lymph node metastasis and poor outcome in prospective multicentre trial. </w:t>
      </w:r>
      <w:r w:rsidRPr="00D55538">
        <w:rPr>
          <w:rFonts w:ascii="Times New Roman" w:hAnsi="Times New Roman" w:cs="Times New Roman"/>
          <w:i/>
          <w:sz w:val="20"/>
          <w:szCs w:val="20"/>
          <w:lang w:val="nl-NL"/>
        </w:rPr>
        <w:t>Eur J Cancer</w:t>
      </w:r>
      <w:r w:rsidRPr="00D55538">
        <w:rPr>
          <w:rFonts w:ascii="Times New Roman" w:hAnsi="Times New Roman" w:cs="Times New Roman"/>
          <w:sz w:val="20"/>
          <w:szCs w:val="20"/>
          <w:lang w:val="nl-NL"/>
        </w:rPr>
        <w:t>. Nov 2013;49(16):3431-41. doi:10.1016/j.ejca.2013.06.016</w:t>
      </w:r>
    </w:p>
    <w:p w14:paraId="3BEE7B81" w14:textId="77777777" w:rsidR="009A33C5" w:rsidRPr="00D55538" w:rsidRDefault="009A33C5" w:rsidP="009A33C5">
      <w:pPr>
        <w:pStyle w:val="EndNoteBibliography"/>
        <w:spacing w:after="0"/>
        <w:rPr>
          <w:rFonts w:ascii="Times New Roman" w:hAnsi="Times New Roman" w:cs="Times New Roman"/>
          <w:sz w:val="20"/>
          <w:szCs w:val="20"/>
          <w:lang w:val="nl-NL"/>
        </w:rPr>
      </w:pPr>
      <w:r w:rsidRPr="00D55538">
        <w:rPr>
          <w:rFonts w:ascii="Times New Roman" w:hAnsi="Times New Roman" w:cs="Times New Roman"/>
          <w:sz w:val="20"/>
          <w:szCs w:val="20"/>
          <w:lang w:val="nl-NL"/>
        </w:rPr>
        <w:t>10.</w:t>
      </w:r>
      <w:r w:rsidRPr="00D55538">
        <w:rPr>
          <w:rFonts w:ascii="Times New Roman" w:hAnsi="Times New Roman" w:cs="Times New Roman"/>
          <w:sz w:val="20"/>
          <w:szCs w:val="20"/>
          <w:lang w:val="nl-NL"/>
        </w:rPr>
        <w:tab/>
        <w:t xml:space="preserve">van der Putten LJM, Visser NCM, van de Vijver K, et al. </w:t>
      </w:r>
      <w:r w:rsidRPr="005F0F02">
        <w:rPr>
          <w:rFonts w:ascii="Times New Roman" w:hAnsi="Times New Roman" w:cs="Times New Roman"/>
          <w:sz w:val="20"/>
          <w:szCs w:val="20"/>
        </w:rPr>
        <w:t xml:space="preserve">Added Value of Estrogen Receptor, Progesterone Receptor, and L1 Cell Adhesion Molecule Expression to Histology-Based Endometrial Carcinoma Recurrence Prediction Models: An ENITEC Collaboration Study. </w:t>
      </w:r>
      <w:r w:rsidRPr="00D55538">
        <w:rPr>
          <w:rFonts w:ascii="Times New Roman" w:hAnsi="Times New Roman" w:cs="Times New Roman"/>
          <w:i/>
          <w:sz w:val="20"/>
          <w:szCs w:val="20"/>
          <w:lang w:val="nl-NL"/>
        </w:rPr>
        <w:t>Int J Gynecol Cancer</w:t>
      </w:r>
      <w:r w:rsidRPr="00D55538">
        <w:rPr>
          <w:rFonts w:ascii="Times New Roman" w:hAnsi="Times New Roman" w:cs="Times New Roman"/>
          <w:sz w:val="20"/>
          <w:szCs w:val="20"/>
          <w:lang w:val="nl-NL"/>
        </w:rPr>
        <w:t>. Mar 2018;28(3):514-523. doi:10.1097/igc.0000000000001187</w:t>
      </w:r>
    </w:p>
    <w:p w14:paraId="764071BF" w14:textId="77777777" w:rsidR="009A33C5" w:rsidRPr="00D55538" w:rsidRDefault="009A33C5" w:rsidP="009A33C5">
      <w:pPr>
        <w:pStyle w:val="EndNoteBibliography"/>
        <w:spacing w:after="0"/>
        <w:rPr>
          <w:rFonts w:ascii="Times New Roman" w:hAnsi="Times New Roman" w:cs="Times New Roman"/>
          <w:sz w:val="20"/>
          <w:szCs w:val="20"/>
          <w:lang w:val="nl-NL"/>
        </w:rPr>
      </w:pPr>
      <w:r w:rsidRPr="00D55538">
        <w:rPr>
          <w:rFonts w:ascii="Times New Roman" w:hAnsi="Times New Roman" w:cs="Times New Roman"/>
          <w:sz w:val="20"/>
          <w:szCs w:val="20"/>
          <w:lang w:val="nl-NL"/>
        </w:rPr>
        <w:t>11.</w:t>
      </w:r>
      <w:r w:rsidRPr="00D55538">
        <w:rPr>
          <w:rFonts w:ascii="Times New Roman" w:hAnsi="Times New Roman" w:cs="Times New Roman"/>
          <w:sz w:val="20"/>
          <w:szCs w:val="20"/>
          <w:lang w:val="nl-NL"/>
        </w:rPr>
        <w:tab/>
        <w:t xml:space="preserve">Jongen V, Briët J, de Jong R, et al. </w:t>
      </w:r>
      <w:r w:rsidRPr="005F0F02">
        <w:rPr>
          <w:rFonts w:ascii="Times New Roman" w:hAnsi="Times New Roman" w:cs="Times New Roman"/>
          <w:sz w:val="20"/>
          <w:szCs w:val="20"/>
        </w:rPr>
        <w:t xml:space="preserve">Expression of estrogen receptor-alpha and -beta and progesterone receptor-A and -B in a large cohort of patients with endometrioid endometrial cancer. </w:t>
      </w:r>
      <w:r w:rsidRPr="00D55538">
        <w:rPr>
          <w:rFonts w:ascii="Times New Roman" w:hAnsi="Times New Roman" w:cs="Times New Roman"/>
          <w:i/>
          <w:sz w:val="20"/>
          <w:szCs w:val="20"/>
          <w:lang w:val="nl-NL"/>
        </w:rPr>
        <w:t>Gynecol Oncol</w:t>
      </w:r>
      <w:r w:rsidRPr="00D55538">
        <w:rPr>
          <w:rFonts w:ascii="Times New Roman" w:hAnsi="Times New Roman" w:cs="Times New Roman"/>
          <w:sz w:val="20"/>
          <w:szCs w:val="20"/>
          <w:lang w:val="nl-NL"/>
        </w:rPr>
        <w:t>. Mar 2009;112(3):537-42. doi:10.1016/j.ygyno.2008.10.032</w:t>
      </w:r>
    </w:p>
    <w:p w14:paraId="2A08F5FC" w14:textId="77777777" w:rsidR="009A33C5" w:rsidRPr="005F0F02" w:rsidRDefault="009A33C5" w:rsidP="009A33C5">
      <w:pPr>
        <w:pStyle w:val="EndNoteBibliography"/>
        <w:spacing w:after="0"/>
        <w:rPr>
          <w:rFonts w:ascii="Times New Roman" w:hAnsi="Times New Roman" w:cs="Times New Roman"/>
          <w:sz w:val="20"/>
          <w:szCs w:val="20"/>
        </w:rPr>
      </w:pPr>
      <w:r w:rsidRPr="00D55538">
        <w:rPr>
          <w:rFonts w:ascii="Times New Roman" w:hAnsi="Times New Roman" w:cs="Times New Roman"/>
          <w:sz w:val="20"/>
          <w:szCs w:val="20"/>
          <w:lang w:val="nl-NL"/>
        </w:rPr>
        <w:t>12.</w:t>
      </w:r>
      <w:r w:rsidRPr="00D55538">
        <w:rPr>
          <w:rFonts w:ascii="Times New Roman" w:hAnsi="Times New Roman" w:cs="Times New Roman"/>
          <w:sz w:val="20"/>
          <w:szCs w:val="20"/>
          <w:lang w:val="nl-NL"/>
        </w:rPr>
        <w:tab/>
        <w:t xml:space="preserve">Wu JQ, Horeweg N, de Bruyn M, et al. </w:t>
      </w:r>
      <w:r w:rsidRPr="005F0F02">
        <w:rPr>
          <w:rFonts w:ascii="Times New Roman" w:hAnsi="Times New Roman" w:cs="Times New Roman"/>
          <w:sz w:val="20"/>
          <w:szCs w:val="20"/>
        </w:rPr>
        <w:t xml:space="preserve">Automated causal inference in application to randomized controlled clinical trials. </w:t>
      </w:r>
      <w:r w:rsidRPr="005F0F02">
        <w:rPr>
          <w:rFonts w:ascii="Times New Roman" w:hAnsi="Times New Roman" w:cs="Times New Roman"/>
          <w:i/>
          <w:sz w:val="20"/>
          <w:szCs w:val="20"/>
        </w:rPr>
        <w:t>Nature Machine Intelligence</w:t>
      </w:r>
      <w:r w:rsidRPr="005F0F02">
        <w:rPr>
          <w:rFonts w:ascii="Times New Roman" w:hAnsi="Times New Roman" w:cs="Times New Roman"/>
          <w:sz w:val="20"/>
          <w:szCs w:val="20"/>
        </w:rPr>
        <w:t>. 2022;4(5):436-444. doi:10.1038/s42256-022-00470-y</w:t>
      </w:r>
    </w:p>
    <w:p w14:paraId="1F8E6D02" w14:textId="77777777" w:rsidR="009A33C5" w:rsidRPr="005F0F02" w:rsidRDefault="009A33C5" w:rsidP="009A33C5">
      <w:pPr>
        <w:pStyle w:val="EndNoteBibliography"/>
        <w:rPr>
          <w:rFonts w:ascii="Times New Roman" w:hAnsi="Times New Roman" w:cs="Times New Roman"/>
          <w:sz w:val="20"/>
          <w:szCs w:val="20"/>
        </w:rPr>
      </w:pPr>
      <w:r w:rsidRPr="005F0F02">
        <w:rPr>
          <w:rFonts w:ascii="Times New Roman" w:hAnsi="Times New Roman" w:cs="Times New Roman"/>
          <w:sz w:val="20"/>
          <w:szCs w:val="20"/>
        </w:rPr>
        <w:t>13.</w:t>
      </w:r>
      <w:r w:rsidRPr="005F0F02">
        <w:rPr>
          <w:rFonts w:ascii="Times New Roman" w:hAnsi="Times New Roman" w:cs="Times New Roman"/>
          <w:sz w:val="20"/>
          <w:szCs w:val="20"/>
        </w:rPr>
        <w:tab/>
        <w:t xml:space="preserve">Katzman JL, Shaham U, Cloninger A, Bates J, Jiang T, Kluger Y. DeepSurv: personalized treatment recommender system using a Cox proportional hazards deep neural network. </w:t>
      </w:r>
      <w:r w:rsidRPr="005F0F02">
        <w:rPr>
          <w:rFonts w:ascii="Times New Roman" w:hAnsi="Times New Roman" w:cs="Times New Roman"/>
          <w:i/>
          <w:sz w:val="20"/>
          <w:szCs w:val="20"/>
        </w:rPr>
        <w:t>BMC Med Res Methodol</w:t>
      </w:r>
      <w:r w:rsidRPr="005F0F02">
        <w:rPr>
          <w:rFonts w:ascii="Times New Roman" w:hAnsi="Times New Roman" w:cs="Times New Roman"/>
          <w:sz w:val="20"/>
          <w:szCs w:val="20"/>
        </w:rPr>
        <w:t>. Feb 26 2018;18(1):24. doi:10.1186/s12874-018-0482-1</w:t>
      </w:r>
    </w:p>
    <w:p w14:paraId="756FE959" w14:textId="67BED8C2" w:rsidR="00F40B31" w:rsidRPr="00F40B31" w:rsidRDefault="00F40B31">
      <w:pPr>
        <w:rPr>
          <w:b/>
          <w:bCs/>
          <w:lang w:val="en-US"/>
        </w:rPr>
      </w:pPr>
    </w:p>
    <w:sectPr w:rsidR="00F40B31" w:rsidRPr="00F40B31" w:rsidSect="00862753">
      <w:footerReference w:type="defaul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D40C" w14:textId="77777777" w:rsidR="00226703" w:rsidRDefault="00226703" w:rsidP="00C41AB5">
      <w:pPr>
        <w:spacing w:after="0" w:line="240" w:lineRule="auto"/>
      </w:pPr>
      <w:r>
        <w:separator/>
      </w:r>
    </w:p>
  </w:endnote>
  <w:endnote w:type="continuationSeparator" w:id="0">
    <w:p w14:paraId="01270039" w14:textId="77777777" w:rsidR="00226703" w:rsidRDefault="00226703" w:rsidP="00C4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10166"/>
      <w:docPartObj>
        <w:docPartGallery w:val="Page Numbers (Bottom of Page)"/>
        <w:docPartUnique/>
      </w:docPartObj>
    </w:sdtPr>
    <w:sdtEndPr/>
    <w:sdtContent>
      <w:p w14:paraId="32A3B912" w14:textId="61B98951" w:rsidR="00862753" w:rsidRDefault="00862753">
        <w:pPr>
          <w:pStyle w:val="Footer"/>
          <w:jc w:val="right"/>
        </w:pPr>
        <w:r>
          <w:fldChar w:fldCharType="begin"/>
        </w:r>
        <w:r>
          <w:instrText>PAGE   \* MERGEFORMAT</w:instrText>
        </w:r>
        <w:r>
          <w:fldChar w:fldCharType="separate"/>
        </w:r>
        <w:r>
          <w:t>2</w:t>
        </w:r>
        <w:r>
          <w:fldChar w:fldCharType="end"/>
        </w:r>
      </w:p>
    </w:sdtContent>
  </w:sdt>
  <w:p w14:paraId="031D6817" w14:textId="77777777" w:rsidR="00F7309E" w:rsidRDefault="00F7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A0AF" w14:textId="0E6C3A6C" w:rsidR="000607BD" w:rsidRPr="00184DAD" w:rsidRDefault="00184DAD">
    <w:pPr>
      <w:pStyle w:val="Footer"/>
      <w:rPr>
        <w:rFonts w:ascii="Times New Roman" w:hAnsi="Times New Roman" w:cs="Times New Roman"/>
        <w:sz w:val="20"/>
        <w:szCs w:val="20"/>
        <w:lang w:val="en-GB"/>
      </w:rPr>
    </w:pPr>
    <w:r w:rsidRPr="00184DAD">
      <w:rPr>
        <w:rFonts w:ascii="Times New Roman" w:hAnsi="Times New Roman" w:cs="Times New Roman"/>
        <w:sz w:val="20"/>
        <w:szCs w:val="20"/>
      </w:rPr>
      <w:t xml:space="preserve">Wakkerman F.C. et al. </w:t>
    </w:r>
    <w:r w:rsidRPr="00184DAD">
      <w:rPr>
        <w:rFonts w:ascii="Times New Roman" w:hAnsi="Times New Roman" w:cs="Times New Roman"/>
        <w:sz w:val="20"/>
        <w:szCs w:val="20"/>
        <w:lang w:val="en-GB"/>
      </w:rPr>
      <w:t xml:space="preserve">Prognostic impact and causality of age in women with endometrial cancer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FB0A" w14:textId="77777777" w:rsidR="00226703" w:rsidRDefault="00226703" w:rsidP="00C41AB5">
      <w:pPr>
        <w:spacing w:after="0" w:line="240" w:lineRule="auto"/>
      </w:pPr>
      <w:r>
        <w:separator/>
      </w:r>
    </w:p>
  </w:footnote>
  <w:footnote w:type="continuationSeparator" w:id="0">
    <w:p w14:paraId="6A9097BF" w14:textId="77777777" w:rsidR="00226703" w:rsidRDefault="00226703" w:rsidP="00C41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233"/>
    <w:multiLevelType w:val="hybridMultilevel"/>
    <w:tmpl w:val="21C84B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C6C16"/>
    <w:multiLevelType w:val="hybridMultilevel"/>
    <w:tmpl w:val="AE020026"/>
    <w:lvl w:ilvl="0" w:tplc="8BB8B33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6047A5"/>
    <w:multiLevelType w:val="hybridMultilevel"/>
    <w:tmpl w:val="17AEBB6E"/>
    <w:lvl w:ilvl="0" w:tplc="0D0CE78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FA4E6F"/>
    <w:multiLevelType w:val="hybridMultilevel"/>
    <w:tmpl w:val="189C7A8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EA5150"/>
    <w:multiLevelType w:val="hybridMultilevel"/>
    <w:tmpl w:val="4560E644"/>
    <w:lvl w:ilvl="0" w:tplc="BF7694B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09B2972"/>
    <w:multiLevelType w:val="hybridMultilevel"/>
    <w:tmpl w:val="A58EC4B4"/>
    <w:lvl w:ilvl="0" w:tplc="1F6CCC3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34437BF"/>
    <w:multiLevelType w:val="hybridMultilevel"/>
    <w:tmpl w:val="D7E61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5942409">
    <w:abstractNumId w:val="6"/>
  </w:num>
  <w:num w:numId="2" w16cid:durableId="850290872">
    <w:abstractNumId w:val="0"/>
  </w:num>
  <w:num w:numId="3" w16cid:durableId="984088705">
    <w:abstractNumId w:val="3"/>
  </w:num>
  <w:num w:numId="4" w16cid:durableId="1144932513">
    <w:abstractNumId w:val="2"/>
  </w:num>
  <w:num w:numId="5" w16cid:durableId="1678775138">
    <w:abstractNumId w:val="1"/>
  </w:num>
  <w:num w:numId="6" w16cid:durableId="1418357039">
    <w:abstractNumId w:val="5"/>
  </w:num>
  <w:num w:numId="7" w16cid:durableId="1406416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vp025tqz59v7exx5pp9591zzd9rfpsdvrs&quot;&gt;EndNote References Manuscript&lt;record-ids&gt;&lt;item&gt;21&lt;/item&gt;&lt;item&gt;26&lt;/item&gt;&lt;item&gt;31&lt;/item&gt;&lt;item&gt;46&lt;/item&gt;&lt;item&gt;47&lt;/item&gt;&lt;item&gt;48&lt;/item&gt;&lt;item&gt;50&lt;/item&gt;&lt;item&gt;52&lt;/item&gt;&lt;item&gt;53&lt;/item&gt;&lt;item&gt;64&lt;/item&gt;&lt;item&gt;67&lt;/item&gt;&lt;item&gt;68&lt;/item&gt;&lt;item&gt;69&lt;/item&gt;&lt;/record-ids&gt;&lt;/item&gt;&lt;/Libraries&gt;"/>
  </w:docVars>
  <w:rsids>
    <w:rsidRoot w:val="000A02EC"/>
    <w:rsid w:val="000256E2"/>
    <w:rsid w:val="0002655F"/>
    <w:rsid w:val="00032D9B"/>
    <w:rsid w:val="000607BD"/>
    <w:rsid w:val="000834DD"/>
    <w:rsid w:val="000A02EC"/>
    <w:rsid w:val="000A4EEB"/>
    <w:rsid w:val="00120B82"/>
    <w:rsid w:val="0013225A"/>
    <w:rsid w:val="00150D29"/>
    <w:rsid w:val="001517FA"/>
    <w:rsid w:val="00166581"/>
    <w:rsid w:val="00170DF5"/>
    <w:rsid w:val="00175FA3"/>
    <w:rsid w:val="0018156F"/>
    <w:rsid w:val="00184D3F"/>
    <w:rsid w:val="00184DAD"/>
    <w:rsid w:val="00193E50"/>
    <w:rsid w:val="001A7E29"/>
    <w:rsid w:val="001C6E72"/>
    <w:rsid w:val="001F0C7B"/>
    <w:rsid w:val="001F0FC7"/>
    <w:rsid w:val="001F3090"/>
    <w:rsid w:val="001F48A6"/>
    <w:rsid w:val="001F59A6"/>
    <w:rsid w:val="002145B3"/>
    <w:rsid w:val="00226703"/>
    <w:rsid w:val="00261876"/>
    <w:rsid w:val="002824C3"/>
    <w:rsid w:val="002A2F3A"/>
    <w:rsid w:val="002B1414"/>
    <w:rsid w:val="002B44C5"/>
    <w:rsid w:val="002F7571"/>
    <w:rsid w:val="00304F20"/>
    <w:rsid w:val="00315705"/>
    <w:rsid w:val="0031715F"/>
    <w:rsid w:val="00332C38"/>
    <w:rsid w:val="003435A5"/>
    <w:rsid w:val="00367C09"/>
    <w:rsid w:val="0039736D"/>
    <w:rsid w:val="003C334E"/>
    <w:rsid w:val="003E0613"/>
    <w:rsid w:val="004161E2"/>
    <w:rsid w:val="00424BD0"/>
    <w:rsid w:val="004550E5"/>
    <w:rsid w:val="004633BA"/>
    <w:rsid w:val="0046391A"/>
    <w:rsid w:val="00466C55"/>
    <w:rsid w:val="00476751"/>
    <w:rsid w:val="00477DC7"/>
    <w:rsid w:val="004819EC"/>
    <w:rsid w:val="004A17C1"/>
    <w:rsid w:val="004B0C62"/>
    <w:rsid w:val="004C23E0"/>
    <w:rsid w:val="004D0136"/>
    <w:rsid w:val="004D5CE3"/>
    <w:rsid w:val="004F47BE"/>
    <w:rsid w:val="00507CE2"/>
    <w:rsid w:val="0053341C"/>
    <w:rsid w:val="00585AA5"/>
    <w:rsid w:val="005B5B22"/>
    <w:rsid w:val="005D0FD0"/>
    <w:rsid w:val="005E5813"/>
    <w:rsid w:val="005F0F02"/>
    <w:rsid w:val="006103DA"/>
    <w:rsid w:val="00646C6F"/>
    <w:rsid w:val="0066153F"/>
    <w:rsid w:val="00681BC2"/>
    <w:rsid w:val="006B4C91"/>
    <w:rsid w:val="006B7E70"/>
    <w:rsid w:val="006E5244"/>
    <w:rsid w:val="00725457"/>
    <w:rsid w:val="007436A8"/>
    <w:rsid w:val="00751E09"/>
    <w:rsid w:val="00754027"/>
    <w:rsid w:val="00767788"/>
    <w:rsid w:val="00774FE8"/>
    <w:rsid w:val="007827B6"/>
    <w:rsid w:val="00796D74"/>
    <w:rsid w:val="007B181C"/>
    <w:rsid w:val="007B21BF"/>
    <w:rsid w:val="007B3010"/>
    <w:rsid w:val="007D1562"/>
    <w:rsid w:val="007E2C43"/>
    <w:rsid w:val="007F030D"/>
    <w:rsid w:val="007F315A"/>
    <w:rsid w:val="00805029"/>
    <w:rsid w:val="008218E5"/>
    <w:rsid w:val="00836762"/>
    <w:rsid w:val="008448F0"/>
    <w:rsid w:val="008515E4"/>
    <w:rsid w:val="008544F9"/>
    <w:rsid w:val="008550C7"/>
    <w:rsid w:val="00862753"/>
    <w:rsid w:val="00880144"/>
    <w:rsid w:val="008B3B97"/>
    <w:rsid w:val="008C611C"/>
    <w:rsid w:val="008E76FB"/>
    <w:rsid w:val="00925171"/>
    <w:rsid w:val="009413B8"/>
    <w:rsid w:val="00941C0F"/>
    <w:rsid w:val="00945E5D"/>
    <w:rsid w:val="00963D3F"/>
    <w:rsid w:val="0097417F"/>
    <w:rsid w:val="009A33C5"/>
    <w:rsid w:val="009B19D1"/>
    <w:rsid w:val="009C3C5A"/>
    <w:rsid w:val="009D1D3F"/>
    <w:rsid w:val="00A02D5D"/>
    <w:rsid w:val="00A23AB1"/>
    <w:rsid w:val="00A41977"/>
    <w:rsid w:val="00A4759B"/>
    <w:rsid w:val="00A75556"/>
    <w:rsid w:val="00AA63D9"/>
    <w:rsid w:val="00AB2C36"/>
    <w:rsid w:val="00AD78A8"/>
    <w:rsid w:val="00B13EB2"/>
    <w:rsid w:val="00B36718"/>
    <w:rsid w:val="00B626CB"/>
    <w:rsid w:val="00B63A84"/>
    <w:rsid w:val="00B846ED"/>
    <w:rsid w:val="00BF1D6E"/>
    <w:rsid w:val="00C0592F"/>
    <w:rsid w:val="00C064E0"/>
    <w:rsid w:val="00C108DF"/>
    <w:rsid w:val="00C41AB5"/>
    <w:rsid w:val="00C64659"/>
    <w:rsid w:val="00C85D06"/>
    <w:rsid w:val="00CA36DD"/>
    <w:rsid w:val="00CC2A58"/>
    <w:rsid w:val="00CD35F0"/>
    <w:rsid w:val="00CE6720"/>
    <w:rsid w:val="00CF702B"/>
    <w:rsid w:val="00D2689B"/>
    <w:rsid w:val="00D26DE0"/>
    <w:rsid w:val="00D32DE5"/>
    <w:rsid w:val="00D55538"/>
    <w:rsid w:val="00D80233"/>
    <w:rsid w:val="00D96A1B"/>
    <w:rsid w:val="00DA3CF4"/>
    <w:rsid w:val="00DB02E4"/>
    <w:rsid w:val="00DB0C19"/>
    <w:rsid w:val="00DB7906"/>
    <w:rsid w:val="00DC435C"/>
    <w:rsid w:val="00DE402F"/>
    <w:rsid w:val="00E07EBB"/>
    <w:rsid w:val="00E5478F"/>
    <w:rsid w:val="00E55FA9"/>
    <w:rsid w:val="00E5667D"/>
    <w:rsid w:val="00E600B0"/>
    <w:rsid w:val="00E74AE4"/>
    <w:rsid w:val="00EA7905"/>
    <w:rsid w:val="00EB1395"/>
    <w:rsid w:val="00EE0222"/>
    <w:rsid w:val="00EF33E8"/>
    <w:rsid w:val="00F36993"/>
    <w:rsid w:val="00F40B31"/>
    <w:rsid w:val="00F7309E"/>
    <w:rsid w:val="00F84DCA"/>
    <w:rsid w:val="00FA0841"/>
    <w:rsid w:val="00FB649E"/>
    <w:rsid w:val="00FC0B2D"/>
    <w:rsid w:val="00FC0E3C"/>
    <w:rsid w:val="00FC65ED"/>
    <w:rsid w:val="00FF4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A91AD"/>
  <w15:chartTrackingRefBased/>
  <w15:docId w15:val="{80E69B87-8E99-4890-9298-54083FB0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9B"/>
  </w:style>
  <w:style w:type="paragraph" w:styleId="Heading1">
    <w:name w:val="heading 1"/>
    <w:basedOn w:val="Normal"/>
    <w:next w:val="Normal"/>
    <w:link w:val="Heading1Char"/>
    <w:uiPriority w:val="9"/>
    <w:qFormat/>
    <w:rsid w:val="00AD78A8"/>
    <w:pPr>
      <w:keepNext/>
      <w:keepLines/>
      <w:spacing w:before="240" w:after="0"/>
      <w:outlineLvl w:val="0"/>
    </w:pPr>
    <w:rPr>
      <w:rFonts w:ascii="Times New Roman" w:eastAsiaTheme="majorEastAsia" w:hAnsi="Times New Roman"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A02EC"/>
    <w:pPr>
      <w:spacing w:line="240" w:lineRule="auto"/>
    </w:pPr>
    <w:rPr>
      <w:sz w:val="20"/>
      <w:szCs w:val="20"/>
    </w:rPr>
  </w:style>
  <w:style w:type="character" w:customStyle="1" w:styleId="CommentTextChar">
    <w:name w:val="Comment Text Char"/>
    <w:basedOn w:val="DefaultParagraphFont"/>
    <w:link w:val="CommentText"/>
    <w:uiPriority w:val="99"/>
    <w:rsid w:val="000A02EC"/>
    <w:rPr>
      <w:sz w:val="20"/>
      <w:szCs w:val="20"/>
    </w:rPr>
  </w:style>
  <w:style w:type="character" w:styleId="CommentReference">
    <w:name w:val="annotation reference"/>
    <w:basedOn w:val="DefaultParagraphFont"/>
    <w:uiPriority w:val="99"/>
    <w:semiHidden/>
    <w:unhideWhenUsed/>
    <w:rsid w:val="000A02EC"/>
    <w:rPr>
      <w:sz w:val="16"/>
      <w:szCs w:val="16"/>
    </w:rPr>
  </w:style>
  <w:style w:type="paragraph" w:styleId="CommentSubject">
    <w:name w:val="annotation subject"/>
    <w:basedOn w:val="CommentText"/>
    <w:next w:val="CommentText"/>
    <w:link w:val="CommentSubjectChar"/>
    <w:uiPriority w:val="99"/>
    <w:semiHidden/>
    <w:unhideWhenUsed/>
    <w:rsid w:val="00193E50"/>
    <w:rPr>
      <w:b/>
      <w:bCs/>
    </w:rPr>
  </w:style>
  <w:style w:type="character" w:customStyle="1" w:styleId="CommentSubjectChar">
    <w:name w:val="Comment Subject Char"/>
    <w:basedOn w:val="CommentTextChar"/>
    <w:link w:val="CommentSubject"/>
    <w:uiPriority w:val="99"/>
    <w:semiHidden/>
    <w:rsid w:val="00193E50"/>
    <w:rPr>
      <w:b/>
      <w:bCs/>
      <w:sz w:val="20"/>
      <w:szCs w:val="20"/>
    </w:rPr>
  </w:style>
  <w:style w:type="paragraph" w:styleId="Revision">
    <w:name w:val="Revision"/>
    <w:hidden/>
    <w:uiPriority w:val="99"/>
    <w:semiHidden/>
    <w:rsid w:val="00FA0841"/>
    <w:pPr>
      <w:spacing w:after="0" w:line="240" w:lineRule="auto"/>
    </w:pPr>
  </w:style>
  <w:style w:type="paragraph" w:styleId="ListParagraph">
    <w:name w:val="List Paragraph"/>
    <w:basedOn w:val="Normal"/>
    <w:uiPriority w:val="34"/>
    <w:qFormat/>
    <w:rsid w:val="00C64659"/>
    <w:pPr>
      <w:ind w:left="720"/>
      <w:contextualSpacing/>
    </w:pPr>
  </w:style>
  <w:style w:type="paragraph" w:styleId="Header">
    <w:name w:val="header"/>
    <w:basedOn w:val="Normal"/>
    <w:link w:val="HeaderChar"/>
    <w:uiPriority w:val="99"/>
    <w:unhideWhenUsed/>
    <w:rsid w:val="00C41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AB5"/>
  </w:style>
  <w:style w:type="paragraph" w:styleId="Footer">
    <w:name w:val="footer"/>
    <w:basedOn w:val="Normal"/>
    <w:link w:val="FooterChar"/>
    <w:uiPriority w:val="99"/>
    <w:unhideWhenUsed/>
    <w:rsid w:val="00C41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AB5"/>
  </w:style>
  <w:style w:type="character" w:customStyle="1" w:styleId="Heading1Char">
    <w:name w:val="Heading 1 Char"/>
    <w:basedOn w:val="DefaultParagraphFont"/>
    <w:link w:val="Heading1"/>
    <w:uiPriority w:val="9"/>
    <w:rsid w:val="00AD78A8"/>
    <w:rPr>
      <w:rFonts w:ascii="Times New Roman" w:eastAsiaTheme="majorEastAsia" w:hAnsi="Times New Roman" w:cstheme="majorBidi"/>
      <w:b/>
      <w:sz w:val="20"/>
      <w:szCs w:val="32"/>
    </w:rPr>
  </w:style>
  <w:style w:type="paragraph" w:styleId="TOCHeading">
    <w:name w:val="TOC Heading"/>
    <w:basedOn w:val="Heading1"/>
    <w:next w:val="Normal"/>
    <w:uiPriority w:val="39"/>
    <w:unhideWhenUsed/>
    <w:qFormat/>
    <w:rsid w:val="00D2689B"/>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2689B"/>
    <w:pPr>
      <w:spacing w:after="100"/>
    </w:pPr>
  </w:style>
  <w:style w:type="character" w:styleId="Hyperlink">
    <w:name w:val="Hyperlink"/>
    <w:basedOn w:val="DefaultParagraphFont"/>
    <w:uiPriority w:val="99"/>
    <w:unhideWhenUsed/>
    <w:rsid w:val="00D2689B"/>
    <w:rPr>
      <w:color w:val="0563C1" w:themeColor="hyperlink"/>
      <w:u w:val="single"/>
    </w:rPr>
  </w:style>
  <w:style w:type="paragraph" w:styleId="NoSpacing">
    <w:name w:val="No Spacing"/>
    <w:link w:val="NoSpacingChar"/>
    <w:uiPriority w:val="1"/>
    <w:qFormat/>
    <w:rsid w:val="004D5CE3"/>
    <w:pPr>
      <w:spacing w:after="0" w:line="240" w:lineRule="auto"/>
    </w:pPr>
  </w:style>
  <w:style w:type="character" w:styleId="FollowedHyperlink">
    <w:name w:val="FollowedHyperlink"/>
    <w:basedOn w:val="DefaultParagraphFont"/>
    <w:uiPriority w:val="99"/>
    <w:semiHidden/>
    <w:unhideWhenUsed/>
    <w:rsid w:val="00F7309E"/>
    <w:rPr>
      <w:color w:val="954F72" w:themeColor="followedHyperlink"/>
      <w:u w:val="single"/>
    </w:rPr>
  </w:style>
  <w:style w:type="paragraph" w:customStyle="1" w:styleId="EndNoteBibliographyTitle">
    <w:name w:val="EndNote Bibliography Title"/>
    <w:basedOn w:val="Normal"/>
    <w:link w:val="EndNoteBibliographyTitleChar"/>
    <w:rsid w:val="00F7309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7309E"/>
    <w:rPr>
      <w:rFonts w:ascii="Calibri" w:hAnsi="Calibri" w:cs="Calibri"/>
      <w:noProof/>
      <w:lang w:val="en-US"/>
    </w:rPr>
  </w:style>
  <w:style w:type="paragraph" w:customStyle="1" w:styleId="EndNoteBibliography">
    <w:name w:val="EndNote Bibliography"/>
    <w:basedOn w:val="Normal"/>
    <w:link w:val="EndNoteBibliographyChar"/>
    <w:rsid w:val="00F7309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7309E"/>
    <w:rPr>
      <w:rFonts w:ascii="Calibri" w:hAnsi="Calibri" w:cs="Calibri"/>
      <w:noProof/>
      <w:lang w:val="en-US"/>
    </w:rPr>
  </w:style>
  <w:style w:type="character" w:styleId="UnresolvedMention">
    <w:name w:val="Unresolved Mention"/>
    <w:basedOn w:val="DefaultParagraphFont"/>
    <w:uiPriority w:val="99"/>
    <w:semiHidden/>
    <w:unhideWhenUsed/>
    <w:rsid w:val="00F7309E"/>
    <w:rPr>
      <w:color w:val="605E5C"/>
      <w:shd w:val="clear" w:color="auto" w:fill="E1DFDD"/>
    </w:rPr>
  </w:style>
  <w:style w:type="character" w:customStyle="1" w:styleId="NoSpacingChar">
    <w:name w:val="No Spacing Char"/>
    <w:basedOn w:val="DefaultParagraphFont"/>
    <w:link w:val="NoSpacing"/>
    <w:uiPriority w:val="1"/>
    <w:rsid w:val="0072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996">
      <w:bodyDiv w:val="1"/>
      <w:marLeft w:val="0"/>
      <w:marRight w:val="0"/>
      <w:marTop w:val="0"/>
      <w:marBottom w:val="0"/>
      <w:divBdr>
        <w:top w:val="none" w:sz="0" w:space="0" w:color="auto"/>
        <w:left w:val="none" w:sz="0" w:space="0" w:color="auto"/>
        <w:bottom w:val="none" w:sz="0" w:space="0" w:color="auto"/>
        <w:right w:val="none" w:sz="0" w:space="0" w:color="auto"/>
      </w:divBdr>
    </w:div>
    <w:div w:id="212427053">
      <w:bodyDiv w:val="1"/>
      <w:marLeft w:val="0"/>
      <w:marRight w:val="0"/>
      <w:marTop w:val="0"/>
      <w:marBottom w:val="0"/>
      <w:divBdr>
        <w:top w:val="none" w:sz="0" w:space="0" w:color="auto"/>
        <w:left w:val="none" w:sz="0" w:space="0" w:color="auto"/>
        <w:bottom w:val="none" w:sz="0" w:space="0" w:color="auto"/>
        <w:right w:val="none" w:sz="0" w:space="0" w:color="auto"/>
      </w:divBdr>
    </w:div>
    <w:div w:id="534540357">
      <w:bodyDiv w:val="1"/>
      <w:marLeft w:val="0"/>
      <w:marRight w:val="0"/>
      <w:marTop w:val="0"/>
      <w:marBottom w:val="0"/>
      <w:divBdr>
        <w:top w:val="none" w:sz="0" w:space="0" w:color="auto"/>
        <w:left w:val="none" w:sz="0" w:space="0" w:color="auto"/>
        <w:bottom w:val="none" w:sz="0" w:space="0" w:color="auto"/>
        <w:right w:val="none" w:sz="0" w:space="0" w:color="auto"/>
      </w:divBdr>
    </w:div>
    <w:div w:id="622732226">
      <w:bodyDiv w:val="1"/>
      <w:marLeft w:val="0"/>
      <w:marRight w:val="0"/>
      <w:marTop w:val="0"/>
      <w:marBottom w:val="0"/>
      <w:divBdr>
        <w:top w:val="none" w:sz="0" w:space="0" w:color="auto"/>
        <w:left w:val="none" w:sz="0" w:space="0" w:color="auto"/>
        <w:bottom w:val="none" w:sz="0" w:space="0" w:color="auto"/>
        <w:right w:val="none" w:sz="0" w:space="0" w:color="auto"/>
      </w:divBdr>
    </w:div>
    <w:div w:id="799958327">
      <w:bodyDiv w:val="1"/>
      <w:marLeft w:val="0"/>
      <w:marRight w:val="0"/>
      <w:marTop w:val="0"/>
      <w:marBottom w:val="0"/>
      <w:divBdr>
        <w:top w:val="none" w:sz="0" w:space="0" w:color="auto"/>
        <w:left w:val="none" w:sz="0" w:space="0" w:color="auto"/>
        <w:bottom w:val="none" w:sz="0" w:space="0" w:color="auto"/>
        <w:right w:val="none" w:sz="0" w:space="0" w:color="auto"/>
      </w:divBdr>
    </w:div>
    <w:div w:id="986933447">
      <w:bodyDiv w:val="1"/>
      <w:marLeft w:val="0"/>
      <w:marRight w:val="0"/>
      <w:marTop w:val="0"/>
      <w:marBottom w:val="0"/>
      <w:divBdr>
        <w:top w:val="none" w:sz="0" w:space="0" w:color="auto"/>
        <w:left w:val="none" w:sz="0" w:space="0" w:color="auto"/>
        <w:bottom w:val="none" w:sz="0" w:space="0" w:color="auto"/>
        <w:right w:val="none" w:sz="0" w:space="0" w:color="auto"/>
      </w:divBdr>
    </w:div>
    <w:div w:id="992100449">
      <w:bodyDiv w:val="1"/>
      <w:marLeft w:val="0"/>
      <w:marRight w:val="0"/>
      <w:marTop w:val="0"/>
      <w:marBottom w:val="0"/>
      <w:divBdr>
        <w:top w:val="none" w:sz="0" w:space="0" w:color="auto"/>
        <w:left w:val="none" w:sz="0" w:space="0" w:color="auto"/>
        <w:bottom w:val="none" w:sz="0" w:space="0" w:color="auto"/>
        <w:right w:val="none" w:sz="0" w:space="0" w:color="auto"/>
      </w:divBdr>
    </w:div>
    <w:div w:id="1251624962">
      <w:bodyDiv w:val="1"/>
      <w:marLeft w:val="0"/>
      <w:marRight w:val="0"/>
      <w:marTop w:val="0"/>
      <w:marBottom w:val="0"/>
      <w:divBdr>
        <w:top w:val="none" w:sz="0" w:space="0" w:color="auto"/>
        <w:left w:val="none" w:sz="0" w:space="0" w:color="auto"/>
        <w:bottom w:val="none" w:sz="0" w:space="0" w:color="auto"/>
        <w:right w:val="none" w:sz="0" w:space="0" w:color="auto"/>
      </w:divBdr>
    </w:div>
    <w:div w:id="1274902276">
      <w:bodyDiv w:val="1"/>
      <w:marLeft w:val="0"/>
      <w:marRight w:val="0"/>
      <w:marTop w:val="0"/>
      <w:marBottom w:val="0"/>
      <w:divBdr>
        <w:top w:val="none" w:sz="0" w:space="0" w:color="auto"/>
        <w:left w:val="none" w:sz="0" w:space="0" w:color="auto"/>
        <w:bottom w:val="none" w:sz="0" w:space="0" w:color="auto"/>
        <w:right w:val="none" w:sz="0" w:space="0" w:color="auto"/>
      </w:divBdr>
    </w:div>
    <w:div w:id="1399477547">
      <w:bodyDiv w:val="1"/>
      <w:marLeft w:val="0"/>
      <w:marRight w:val="0"/>
      <w:marTop w:val="0"/>
      <w:marBottom w:val="0"/>
      <w:divBdr>
        <w:top w:val="none" w:sz="0" w:space="0" w:color="auto"/>
        <w:left w:val="none" w:sz="0" w:space="0" w:color="auto"/>
        <w:bottom w:val="none" w:sz="0" w:space="0" w:color="auto"/>
        <w:right w:val="none" w:sz="0" w:space="0" w:color="auto"/>
      </w:divBdr>
    </w:div>
    <w:div w:id="1640576330">
      <w:bodyDiv w:val="1"/>
      <w:marLeft w:val="0"/>
      <w:marRight w:val="0"/>
      <w:marTop w:val="0"/>
      <w:marBottom w:val="0"/>
      <w:divBdr>
        <w:top w:val="none" w:sz="0" w:space="0" w:color="auto"/>
        <w:left w:val="none" w:sz="0" w:space="0" w:color="auto"/>
        <w:bottom w:val="none" w:sz="0" w:space="0" w:color="auto"/>
        <w:right w:val="none" w:sz="0" w:space="0" w:color="auto"/>
      </w:divBdr>
    </w:div>
    <w:div w:id="1709839012">
      <w:bodyDiv w:val="1"/>
      <w:marLeft w:val="0"/>
      <w:marRight w:val="0"/>
      <w:marTop w:val="0"/>
      <w:marBottom w:val="0"/>
      <w:divBdr>
        <w:top w:val="none" w:sz="0" w:space="0" w:color="auto"/>
        <w:left w:val="none" w:sz="0" w:space="0" w:color="auto"/>
        <w:bottom w:val="none" w:sz="0" w:space="0" w:color="auto"/>
        <w:right w:val="none" w:sz="0" w:space="0" w:color="auto"/>
      </w:divBdr>
    </w:div>
    <w:div w:id="20754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A176-04FE-4486-A826-31DC3448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Wakkerman, F.C. (PATH)</dc:creator>
  <cp:keywords/>
  <dc:description/>
  <cp:lastModifiedBy>Famke Wakkerman</cp:lastModifiedBy>
  <cp:revision>20</cp:revision>
  <dcterms:created xsi:type="dcterms:W3CDTF">2023-10-30T18:39:00Z</dcterms:created>
  <dcterms:modified xsi:type="dcterms:W3CDTF">2023-10-31T14:23:00Z</dcterms:modified>
</cp:coreProperties>
</file>