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DE96B" w14:textId="2E37685F" w:rsidR="00D113AF" w:rsidRDefault="00D113AF" w:rsidP="00D113AF">
      <w:pPr>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14:anchorId="49474EFC" wp14:editId="534C3919">
            <wp:extent cx="6390005" cy="4540250"/>
            <wp:effectExtent l="0" t="0" r="0" b="0"/>
            <wp:docPr id="1" name="Picture 1" descr="corr_within_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_within_G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4540250"/>
                    </a:xfrm>
                    <a:prstGeom prst="rect">
                      <a:avLst/>
                    </a:prstGeom>
                    <a:noFill/>
                    <a:ln>
                      <a:noFill/>
                    </a:ln>
                  </pic:spPr>
                </pic:pic>
              </a:graphicData>
            </a:graphic>
          </wp:inline>
        </w:drawing>
      </w:r>
    </w:p>
    <w:p w14:paraId="5DA97701" w14:textId="41F3FA93" w:rsidR="00D113AF" w:rsidRPr="00D113AF" w:rsidRDefault="00D113AF" w:rsidP="002B0037">
      <w:pPr>
        <w:rPr>
          <w:rFonts w:ascii="Times New Roman" w:hAnsi="Times New Roman" w:cs="Times New Roman"/>
          <w:bCs/>
          <w:sz w:val="24"/>
          <w:szCs w:val="24"/>
        </w:rPr>
      </w:pPr>
      <w:r>
        <w:rPr>
          <w:rFonts w:ascii="Times New Roman" w:hAnsi="Times New Roman" w:cs="Times New Roman"/>
          <w:b/>
          <w:sz w:val="24"/>
          <w:szCs w:val="24"/>
          <w:lang w:val="en-US"/>
        </w:rPr>
        <w:t>Supplementary Figure 1</w:t>
      </w:r>
      <w:r w:rsidRPr="00F853B1">
        <w:rPr>
          <w:rFonts w:ascii="Times New Roman" w:hAnsi="Times New Roman" w:cs="Times New Roman"/>
          <w:b/>
          <w:sz w:val="24"/>
          <w:szCs w:val="24"/>
          <w:lang w:val="en-US"/>
        </w:rPr>
        <w:t xml:space="preserve">. </w:t>
      </w:r>
      <w:r>
        <w:rPr>
          <w:rFonts w:ascii="Times New Roman" w:hAnsi="Times New Roman" w:cs="Times New Roman"/>
          <w:b/>
          <w:bCs/>
          <w:sz w:val="24"/>
          <w:szCs w:val="24"/>
        </w:rPr>
        <w:t xml:space="preserve">Pearson’s correlation structures between EpiScores and measured protein levels in Generation Scotland. </w:t>
      </w:r>
      <w:r>
        <w:rPr>
          <w:rFonts w:ascii="Times New Roman" w:hAnsi="Times New Roman" w:cs="Times New Roman"/>
          <w:bCs/>
          <w:sz w:val="24"/>
          <w:szCs w:val="24"/>
        </w:rPr>
        <w:t>EpiScores for GDF15 and NT</w:t>
      </w:r>
      <w:r w:rsidRPr="00426080">
        <w:rPr>
          <w:rFonts w:ascii="Times New Roman" w:hAnsi="Times New Roman" w:cs="Times New Roman"/>
          <w:bCs/>
          <w:sz w:val="24"/>
          <w:szCs w:val="24"/>
        </w:rPr>
        <w:t>-</w:t>
      </w:r>
      <w:proofErr w:type="spellStart"/>
      <w:r w:rsidRPr="00426080">
        <w:rPr>
          <w:rFonts w:ascii="Times New Roman" w:hAnsi="Times New Roman" w:cs="Times New Roman"/>
          <w:bCs/>
          <w:sz w:val="24"/>
          <w:szCs w:val="24"/>
        </w:rPr>
        <w:t>proBNP</w:t>
      </w:r>
      <w:proofErr w:type="spellEnd"/>
      <w:r w:rsidRPr="00426080">
        <w:rPr>
          <w:rFonts w:ascii="Times New Roman" w:hAnsi="Times New Roman" w:cs="Times New Roman"/>
          <w:bCs/>
          <w:sz w:val="24"/>
          <w:szCs w:val="24"/>
        </w:rPr>
        <w:t xml:space="preserve"> trained using 760,838 possible </w:t>
      </w:r>
      <w:proofErr w:type="spellStart"/>
      <w:r w:rsidRPr="00426080">
        <w:rPr>
          <w:rFonts w:ascii="Times New Roman" w:hAnsi="Times New Roman" w:cs="Times New Roman"/>
          <w:bCs/>
          <w:sz w:val="24"/>
          <w:szCs w:val="24"/>
        </w:rPr>
        <w:t>CpGs</w:t>
      </w:r>
      <w:proofErr w:type="spellEnd"/>
      <w:r w:rsidRPr="00426080">
        <w:rPr>
          <w:rFonts w:ascii="Times New Roman" w:hAnsi="Times New Roman" w:cs="Times New Roman"/>
          <w:bCs/>
          <w:sz w:val="24"/>
          <w:szCs w:val="24"/>
        </w:rPr>
        <w:t xml:space="preserve"> from the EPIC array (red) and EpiScores trained using a subset of 390,461 </w:t>
      </w:r>
      <w:proofErr w:type="spellStart"/>
      <w:r w:rsidRPr="00426080">
        <w:rPr>
          <w:rFonts w:ascii="Times New Roman" w:hAnsi="Times New Roman" w:cs="Times New Roman"/>
          <w:bCs/>
          <w:sz w:val="24"/>
          <w:szCs w:val="24"/>
        </w:rPr>
        <w:t>CpGs</w:t>
      </w:r>
      <w:proofErr w:type="spellEnd"/>
      <w:r w:rsidRPr="00426080">
        <w:rPr>
          <w:rFonts w:ascii="Times New Roman" w:hAnsi="Times New Roman" w:cs="Times New Roman"/>
          <w:bCs/>
          <w:sz w:val="24"/>
          <w:szCs w:val="24"/>
        </w:rPr>
        <w:t xml:space="preserve"> available on the 450K array (orange) are presented. </w:t>
      </w:r>
      <w:r>
        <w:rPr>
          <w:rFonts w:ascii="Times New Roman" w:hAnsi="Times New Roman" w:cs="Times New Roman"/>
          <w:bCs/>
          <w:sz w:val="24"/>
          <w:szCs w:val="24"/>
        </w:rPr>
        <w:t xml:space="preserve">Test sample protein levels were rank-based inverse normalised and scaled to have a mean of 0 and standard deviation of 1. Pearson correlation coefficients are annotated in each case. The test sample included 2,954 individuals with GDF15 measurements and 2,808 individuals with </w:t>
      </w:r>
      <w:proofErr w:type="spellStart"/>
      <w:r>
        <w:rPr>
          <w:rFonts w:ascii="Times New Roman" w:hAnsi="Times New Roman" w:cs="Times New Roman"/>
          <w:bCs/>
          <w:sz w:val="24"/>
          <w:szCs w:val="24"/>
        </w:rPr>
        <w:t>Nt-proBNP</w:t>
      </w:r>
      <w:proofErr w:type="spellEnd"/>
      <w:r>
        <w:rPr>
          <w:rFonts w:ascii="Times New Roman" w:hAnsi="Times New Roman" w:cs="Times New Roman"/>
          <w:bCs/>
          <w:sz w:val="24"/>
          <w:szCs w:val="24"/>
        </w:rPr>
        <w:t xml:space="preserve"> measurements.</w:t>
      </w:r>
    </w:p>
    <w:p w14:paraId="30AE7A77" w14:textId="6F95B764" w:rsidR="00857017" w:rsidRDefault="00C46FA3" w:rsidP="002B0037">
      <w:pPr>
        <w:rPr>
          <w:rFonts w:ascii="Times New Roman" w:hAnsi="Times New Roman" w:cs="Times New Roman"/>
          <w:b/>
          <w:noProof/>
          <w:sz w:val="24"/>
          <w:szCs w:val="24"/>
          <w:lang w:eastAsia="en-GB"/>
        </w:rPr>
      </w:pPr>
      <w:r>
        <w:rPr>
          <w:rFonts w:ascii="Times New Roman" w:hAnsi="Times New Roman" w:cs="Times New Roman"/>
          <w:bCs/>
          <w:noProof/>
          <w:sz w:val="24"/>
          <w:szCs w:val="24"/>
          <w:lang w:eastAsia="en-GB"/>
        </w:rPr>
        <w:drawing>
          <wp:inline distT="0" distB="0" distL="0" distR="0" wp14:anchorId="24903153" wp14:editId="63D9B68B">
            <wp:extent cx="8555525" cy="4298465"/>
            <wp:effectExtent l="0" t="0" r="0" b="6985"/>
            <wp:docPr id="3" name="Picture 3" descr="C:\Users\s1888864\AppData\Local\Microsoft\Windows\INetCache\Content.Word\Flow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1888864\AppData\Local\Microsoft\Windows\INetCache\Content.Word\Flow diagram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57876" cy="4299646"/>
                    </a:xfrm>
                    <a:prstGeom prst="rect">
                      <a:avLst/>
                    </a:prstGeom>
                    <a:noFill/>
                    <a:ln>
                      <a:noFill/>
                    </a:ln>
                  </pic:spPr>
                </pic:pic>
              </a:graphicData>
            </a:graphic>
          </wp:inline>
        </w:drawing>
      </w:r>
    </w:p>
    <w:p w14:paraId="69263678" w14:textId="2F512402" w:rsidR="002B0037" w:rsidRPr="0055408F" w:rsidRDefault="00D113AF" w:rsidP="003764E3">
      <w:pPr>
        <w:rPr>
          <w:rFonts w:ascii="Times New Roman" w:hAnsi="Times New Roman" w:cs="Times New Roman"/>
          <w:bCs/>
          <w:sz w:val="24"/>
          <w:szCs w:val="24"/>
        </w:rPr>
      </w:pPr>
      <w:r>
        <w:rPr>
          <w:rFonts w:ascii="Times New Roman" w:hAnsi="Times New Roman" w:cs="Times New Roman"/>
          <w:b/>
          <w:sz w:val="24"/>
          <w:szCs w:val="24"/>
          <w:lang w:val="en-US"/>
        </w:rPr>
        <w:t>Supplementary Figure 2</w:t>
      </w:r>
      <w:r w:rsidR="002B0037" w:rsidRPr="00F853B1">
        <w:rPr>
          <w:rFonts w:ascii="Times New Roman" w:hAnsi="Times New Roman" w:cs="Times New Roman"/>
          <w:b/>
          <w:sz w:val="24"/>
          <w:szCs w:val="24"/>
          <w:lang w:val="en-US"/>
        </w:rPr>
        <w:t xml:space="preserve">. </w:t>
      </w:r>
      <w:r w:rsidR="00C46FA3">
        <w:rPr>
          <w:rFonts w:ascii="Times New Roman" w:hAnsi="Times New Roman" w:cs="Times New Roman"/>
          <w:b/>
          <w:bCs/>
          <w:sz w:val="24"/>
          <w:szCs w:val="24"/>
        </w:rPr>
        <w:t>Initial t</w:t>
      </w:r>
      <w:r w:rsidR="002B0037">
        <w:rPr>
          <w:rFonts w:ascii="Times New Roman" w:hAnsi="Times New Roman" w:cs="Times New Roman"/>
          <w:b/>
          <w:bCs/>
          <w:sz w:val="24"/>
          <w:szCs w:val="24"/>
        </w:rPr>
        <w:t>raining and testing sample selection for the generation of pr</w:t>
      </w:r>
      <w:r w:rsidR="00216626">
        <w:rPr>
          <w:rFonts w:ascii="Times New Roman" w:hAnsi="Times New Roman" w:cs="Times New Roman"/>
          <w:b/>
          <w:bCs/>
          <w:sz w:val="24"/>
          <w:szCs w:val="24"/>
        </w:rPr>
        <w:t>otein EpiScores for GDF15 and NT</w:t>
      </w:r>
      <w:r w:rsidR="002B0037">
        <w:rPr>
          <w:rFonts w:ascii="Times New Roman" w:hAnsi="Times New Roman" w:cs="Times New Roman"/>
          <w:b/>
          <w:bCs/>
          <w:sz w:val="24"/>
          <w:szCs w:val="24"/>
        </w:rPr>
        <w:t>-</w:t>
      </w:r>
      <w:proofErr w:type="spellStart"/>
      <w:r w:rsidR="002B0037">
        <w:rPr>
          <w:rFonts w:ascii="Times New Roman" w:hAnsi="Times New Roman" w:cs="Times New Roman"/>
          <w:b/>
          <w:bCs/>
          <w:sz w:val="24"/>
          <w:szCs w:val="24"/>
        </w:rPr>
        <w:t>proBNP</w:t>
      </w:r>
      <w:proofErr w:type="spellEnd"/>
      <w:r w:rsidR="002B0037">
        <w:rPr>
          <w:rFonts w:ascii="Times New Roman" w:hAnsi="Times New Roman" w:cs="Times New Roman"/>
          <w:b/>
          <w:bCs/>
          <w:sz w:val="24"/>
          <w:szCs w:val="24"/>
        </w:rPr>
        <w:t xml:space="preserve"> in </w:t>
      </w:r>
      <w:r w:rsidR="00C46FA3">
        <w:rPr>
          <w:rFonts w:ascii="Times New Roman" w:hAnsi="Times New Roman" w:cs="Times New Roman"/>
          <w:b/>
          <w:bCs/>
          <w:sz w:val="24"/>
          <w:szCs w:val="24"/>
        </w:rPr>
        <w:t xml:space="preserve">subsets of </w:t>
      </w:r>
      <w:r w:rsidR="002B0037">
        <w:rPr>
          <w:rFonts w:ascii="Times New Roman" w:hAnsi="Times New Roman" w:cs="Times New Roman"/>
          <w:b/>
          <w:bCs/>
          <w:sz w:val="24"/>
          <w:szCs w:val="24"/>
        </w:rPr>
        <w:t xml:space="preserve">Generation Scotland. </w:t>
      </w:r>
      <w:r w:rsidR="00857017">
        <w:rPr>
          <w:rFonts w:ascii="Times New Roman" w:hAnsi="Times New Roman" w:cs="Times New Roman"/>
          <w:bCs/>
          <w:sz w:val="24"/>
          <w:szCs w:val="24"/>
        </w:rPr>
        <w:t>DNA methylation from Sets 1 and 2 was available for training and Set 3 was available for testing. Individuals without complete protein measurements were removed in each case (orange). Samples were then subset to mitigate effects of relatedness (red). This involved first removing any individuals in the training sample that were related to cases in the test sample. The test sample was then subset to remove any individuals that were related to those in the training sample. This maximised cases available in the test sample for incident disease analyses, while also ensuring th</w:t>
      </w:r>
      <w:r w:rsidR="00C46FA3">
        <w:rPr>
          <w:rFonts w:ascii="Times New Roman" w:hAnsi="Times New Roman" w:cs="Times New Roman"/>
          <w:bCs/>
          <w:sz w:val="24"/>
          <w:szCs w:val="24"/>
        </w:rPr>
        <w:t>ere were no individuals in the</w:t>
      </w:r>
      <w:r w:rsidR="00857017">
        <w:rPr>
          <w:rFonts w:ascii="Times New Roman" w:hAnsi="Times New Roman" w:cs="Times New Roman"/>
          <w:bCs/>
          <w:sz w:val="24"/>
          <w:szCs w:val="24"/>
        </w:rPr>
        <w:t xml:space="preserve"> training </w:t>
      </w:r>
      <w:r w:rsidR="00C46FA3">
        <w:rPr>
          <w:rFonts w:ascii="Times New Roman" w:hAnsi="Times New Roman" w:cs="Times New Roman"/>
          <w:bCs/>
          <w:sz w:val="24"/>
          <w:szCs w:val="24"/>
        </w:rPr>
        <w:t>set that were related to individuals in the testing set</w:t>
      </w:r>
      <w:r w:rsidR="00857017">
        <w:rPr>
          <w:rFonts w:ascii="Times New Roman" w:hAnsi="Times New Roman" w:cs="Times New Roman"/>
          <w:bCs/>
          <w:sz w:val="24"/>
          <w:szCs w:val="24"/>
        </w:rPr>
        <w:t>.</w:t>
      </w:r>
      <w:r w:rsidR="00613443">
        <w:rPr>
          <w:rFonts w:ascii="Times New Roman" w:hAnsi="Times New Roman" w:cs="Times New Roman"/>
          <w:bCs/>
          <w:sz w:val="24"/>
          <w:szCs w:val="24"/>
        </w:rPr>
        <w:t xml:space="preserve"> Demographics for these populations are presented in </w:t>
      </w:r>
      <w:r w:rsidR="00613443" w:rsidRPr="00613443">
        <w:rPr>
          <w:rFonts w:ascii="Times New Roman" w:hAnsi="Times New Roman" w:cs="Times New Roman"/>
          <w:b/>
          <w:bCs/>
          <w:sz w:val="24"/>
          <w:szCs w:val="24"/>
        </w:rPr>
        <w:t>Supplementary Table 1</w:t>
      </w:r>
      <w:r w:rsidR="00613443">
        <w:rPr>
          <w:rFonts w:ascii="Times New Roman" w:hAnsi="Times New Roman" w:cs="Times New Roman"/>
          <w:bCs/>
          <w:sz w:val="24"/>
          <w:szCs w:val="24"/>
        </w:rPr>
        <w:t>.</w:t>
      </w:r>
    </w:p>
    <w:p w14:paraId="46F88C90" w14:textId="17C82287" w:rsidR="00FC64C8" w:rsidRDefault="00D113AF" w:rsidP="003764E3">
      <w:pPr>
        <w:rPr>
          <w:rFonts w:ascii="Times New Roman" w:hAnsi="Times New Roman" w:cs="Times New Roman"/>
          <w:bCs/>
          <w:sz w:val="24"/>
          <w:szCs w:val="24"/>
        </w:rPr>
      </w:pPr>
      <w:r>
        <w:rPr>
          <w:rFonts w:ascii="Times New Roman" w:hAnsi="Times New Roman" w:cs="Times New Roman"/>
          <w:bCs/>
          <w:noProof/>
          <w:sz w:val="24"/>
          <w:szCs w:val="24"/>
          <w:lang w:eastAsia="en-GB"/>
        </w:rPr>
        <w:pict w14:anchorId="43D28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3.15pt;height:342.4pt">
            <v:imagedata r:id="rId7" o:title="Copy of Flow diagram (2)"/>
          </v:shape>
        </w:pict>
      </w:r>
    </w:p>
    <w:p w14:paraId="1F46FAD2" w14:textId="15DD0C42" w:rsidR="005837CF" w:rsidRPr="0055408F" w:rsidRDefault="00FC64C8" w:rsidP="00FC64C8">
      <w:pPr>
        <w:rPr>
          <w:rFonts w:ascii="Times New Roman" w:hAnsi="Times New Roman" w:cs="Times New Roman"/>
          <w:bCs/>
          <w:sz w:val="24"/>
          <w:szCs w:val="24"/>
        </w:rPr>
      </w:pPr>
      <w:r>
        <w:rPr>
          <w:rFonts w:ascii="Times New Roman" w:hAnsi="Times New Roman" w:cs="Times New Roman"/>
          <w:b/>
          <w:sz w:val="24"/>
          <w:szCs w:val="24"/>
          <w:lang w:val="en-US"/>
        </w:rPr>
        <w:t>Supplementary Figure 3</w:t>
      </w:r>
      <w:r w:rsidRPr="00F853B1">
        <w:rPr>
          <w:rFonts w:ascii="Times New Roman" w:hAnsi="Times New Roman" w:cs="Times New Roman"/>
          <w:b/>
          <w:sz w:val="24"/>
          <w:szCs w:val="24"/>
          <w:lang w:val="en-US"/>
        </w:rPr>
        <w:t xml:space="preserve">. </w:t>
      </w:r>
      <w:r>
        <w:rPr>
          <w:rFonts w:ascii="Times New Roman" w:hAnsi="Times New Roman" w:cs="Times New Roman"/>
          <w:b/>
          <w:bCs/>
          <w:sz w:val="24"/>
          <w:szCs w:val="24"/>
        </w:rPr>
        <w:t>Sample selection for training protein EpiScores for GDF15 and NT-</w:t>
      </w:r>
      <w:proofErr w:type="spellStart"/>
      <w:r>
        <w:rPr>
          <w:rFonts w:ascii="Times New Roman" w:hAnsi="Times New Roman" w:cs="Times New Roman"/>
          <w:b/>
          <w:bCs/>
          <w:sz w:val="24"/>
          <w:szCs w:val="24"/>
        </w:rPr>
        <w:t>proBNP</w:t>
      </w:r>
      <w:proofErr w:type="spellEnd"/>
      <w:r>
        <w:rPr>
          <w:rFonts w:ascii="Times New Roman" w:hAnsi="Times New Roman" w:cs="Times New Roman"/>
          <w:b/>
          <w:bCs/>
          <w:sz w:val="24"/>
          <w:szCs w:val="24"/>
        </w:rPr>
        <w:t xml:space="preserve"> in the full Generation Scotland sample and testing in the external LBC1936 cohort. </w:t>
      </w:r>
      <w:r>
        <w:rPr>
          <w:rFonts w:ascii="Times New Roman" w:hAnsi="Times New Roman" w:cs="Times New Roman"/>
          <w:bCs/>
          <w:sz w:val="24"/>
          <w:szCs w:val="24"/>
        </w:rPr>
        <w:t>DNA methylation from Sets 1, 2 and 3 were used for training in Generation Scotland. Measure</w:t>
      </w:r>
      <w:r w:rsidR="006642EE">
        <w:rPr>
          <w:rFonts w:ascii="Times New Roman" w:hAnsi="Times New Roman" w:cs="Times New Roman"/>
          <w:bCs/>
          <w:sz w:val="24"/>
          <w:szCs w:val="24"/>
        </w:rPr>
        <w:t>s of GDF15</w:t>
      </w:r>
      <w:r w:rsidR="001402D0">
        <w:rPr>
          <w:rFonts w:ascii="Times New Roman" w:hAnsi="Times New Roman" w:cs="Times New Roman"/>
          <w:bCs/>
          <w:sz w:val="24"/>
          <w:szCs w:val="24"/>
        </w:rPr>
        <w:t xml:space="preserve"> and NT-</w:t>
      </w:r>
      <w:proofErr w:type="spellStart"/>
      <w:r w:rsidR="001402D0">
        <w:rPr>
          <w:rFonts w:ascii="Times New Roman" w:hAnsi="Times New Roman" w:cs="Times New Roman"/>
          <w:bCs/>
          <w:sz w:val="24"/>
          <w:szCs w:val="24"/>
        </w:rPr>
        <w:t>proBNP</w:t>
      </w:r>
      <w:proofErr w:type="spellEnd"/>
      <w:r w:rsidR="006642EE">
        <w:rPr>
          <w:rFonts w:ascii="Times New Roman" w:hAnsi="Times New Roman" w:cs="Times New Roman"/>
          <w:bCs/>
          <w:sz w:val="24"/>
          <w:szCs w:val="24"/>
        </w:rPr>
        <w:t xml:space="preserve"> at LBC1936 Wave 4</w:t>
      </w:r>
      <w:r w:rsidR="001402D0">
        <w:rPr>
          <w:rFonts w:ascii="Times New Roman" w:hAnsi="Times New Roman" w:cs="Times New Roman"/>
          <w:bCs/>
          <w:sz w:val="24"/>
          <w:szCs w:val="24"/>
        </w:rPr>
        <w:t xml:space="preserve"> were available to test</w:t>
      </w:r>
      <w:r>
        <w:rPr>
          <w:rFonts w:ascii="Times New Roman" w:hAnsi="Times New Roman" w:cs="Times New Roman"/>
          <w:bCs/>
          <w:sz w:val="24"/>
          <w:szCs w:val="24"/>
        </w:rPr>
        <w:t xml:space="preserve"> performance of the scores externally. </w:t>
      </w:r>
      <w:r w:rsidR="001402D0">
        <w:rPr>
          <w:rFonts w:ascii="Times New Roman" w:hAnsi="Times New Roman" w:cs="Times New Roman"/>
          <w:bCs/>
          <w:sz w:val="24"/>
          <w:szCs w:val="24"/>
        </w:rPr>
        <w:t xml:space="preserve">Although versions of the EpiScores were trained using EPIC array and 450k sites, only the 450k was assessed in LBC1936 as measures of </w:t>
      </w:r>
      <w:proofErr w:type="spellStart"/>
      <w:r w:rsidR="001402D0">
        <w:rPr>
          <w:rFonts w:ascii="Times New Roman" w:hAnsi="Times New Roman" w:cs="Times New Roman"/>
          <w:bCs/>
          <w:sz w:val="24"/>
          <w:szCs w:val="24"/>
        </w:rPr>
        <w:t>DNAm</w:t>
      </w:r>
      <w:proofErr w:type="spellEnd"/>
      <w:r w:rsidR="001402D0">
        <w:rPr>
          <w:rFonts w:ascii="Times New Roman" w:hAnsi="Times New Roman" w:cs="Times New Roman"/>
          <w:bCs/>
          <w:sz w:val="24"/>
          <w:szCs w:val="24"/>
        </w:rPr>
        <w:t xml:space="preserve"> on the EPIC array were not available. </w:t>
      </w:r>
      <w:r>
        <w:rPr>
          <w:rFonts w:ascii="Times New Roman" w:hAnsi="Times New Roman" w:cs="Times New Roman"/>
          <w:bCs/>
          <w:sz w:val="24"/>
          <w:szCs w:val="24"/>
        </w:rPr>
        <w:t xml:space="preserve">Demographics for these populations are presented in </w:t>
      </w:r>
      <w:r w:rsidRPr="00613443">
        <w:rPr>
          <w:rFonts w:ascii="Times New Roman" w:hAnsi="Times New Roman" w:cs="Times New Roman"/>
          <w:b/>
          <w:bCs/>
          <w:sz w:val="24"/>
          <w:szCs w:val="24"/>
        </w:rPr>
        <w:t>Supplementary Table 1</w:t>
      </w:r>
      <w:r>
        <w:rPr>
          <w:rFonts w:ascii="Times New Roman" w:hAnsi="Times New Roman" w:cs="Times New Roman"/>
          <w:bCs/>
          <w:sz w:val="24"/>
          <w:szCs w:val="24"/>
        </w:rPr>
        <w:t>.</w:t>
      </w:r>
      <w:bookmarkStart w:id="0" w:name="_GoBack"/>
      <w:bookmarkEnd w:id="0"/>
    </w:p>
    <w:p w14:paraId="403EE642" w14:textId="77777777" w:rsidR="00FC64C8" w:rsidRPr="00EE5552" w:rsidRDefault="00FC64C8" w:rsidP="003764E3">
      <w:pPr>
        <w:rPr>
          <w:rFonts w:ascii="Times New Roman" w:hAnsi="Times New Roman" w:cs="Times New Roman"/>
          <w:bCs/>
          <w:sz w:val="24"/>
          <w:szCs w:val="24"/>
        </w:rPr>
      </w:pPr>
    </w:p>
    <w:sectPr w:rsidR="00FC64C8" w:rsidRPr="00EE5552" w:rsidSect="008A12EB">
      <w:pgSz w:w="16838" w:h="11906" w:orient="landscape"/>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74"/>
    <w:rsid w:val="0001503B"/>
    <w:rsid w:val="0007386A"/>
    <w:rsid w:val="00085B73"/>
    <w:rsid w:val="000978DD"/>
    <w:rsid w:val="000A28BC"/>
    <w:rsid w:val="000C435B"/>
    <w:rsid w:val="000D7B5B"/>
    <w:rsid w:val="001402D0"/>
    <w:rsid w:val="00145098"/>
    <w:rsid w:val="001461C5"/>
    <w:rsid w:val="00157F98"/>
    <w:rsid w:val="0017162F"/>
    <w:rsid w:val="00171AFA"/>
    <w:rsid w:val="0017321D"/>
    <w:rsid w:val="0017596F"/>
    <w:rsid w:val="00183FEB"/>
    <w:rsid w:val="00197DDD"/>
    <w:rsid w:val="001F07ED"/>
    <w:rsid w:val="0021317C"/>
    <w:rsid w:val="002161B0"/>
    <w:rsid w:val="00216626"/>
    <w:rsid w:val="00276E3F"/>
    <w:rsid w:val="002B0037"/>
    <w:rsid w:val="002C0C04"/>
    <w:rsid w:val="002E1514"/>
    <w:rsid w:val="002E763F"/>
    <w:rsid w:val="00314984"/>
    <w:rsid w:val="00333B61"/>
    <w:rsid w:val="00337F6C"/>
    <w:rsid w:val="00345C4A"/>
    <w:rsid w:val="0035086B"/>
    <w:rsid w:val="003764E3"/>
    <w:rsid w:val="00377A49"/>
    <w:rsid w:val="003A21B3"/>
    <w:rsid w:val="003D0C45"/>
    <w:rsid w:val="004107B7"/>
    <w:rsid w:val="00426080"/>
    <w:rsid w:val="00437DB5"/>
    <w:rsid w:val="0044295C"/>
    <w:rsid w:val="004949D8"/>
    <w:rsid w:val="004A0CF1"/>
    <w:rsid w:val="004C1E2B"/>
    <w:rsid w:val="00520CC7"/>
    <w:rsid w:val="00523869"/>
    <w:rsid w:val="0055408F"/>
    <w:rsid w:val="00564879"/>
    <w:rsid w:val="00580B45"/>
    <w:rsid w:val="005837CF"/>
    <w:rsid w:val="00591B1F"/>
    <w:rsid w:val="005A141D"/>
    <w:rsid w:val="005B2002"/>
    <w:rsid w:val="005C7804"/>
    <w:rsid w:val="00603272"/>
    <w:rsid w:val="00613443"/>
    <w:rsid w:val="006303ED"/>
    <w:rsid w:val="006642EE"/>
    <w:rsid w:val="006865D5"/>
    <w:rsid w:val="006A3678"/>
    <w:rsid w:val="006C66CE"/>
    <w:rsid w:val="00711A1A"/>
    <w:rsid w:val="00717316"/>
    <w:rsid w:val="00736882"/>
    <w:rsid w:val="00750DE2"/>
    <w:rsid w:val="007629D1"/>
    <w:rsid w:val="00770767"/>
    <w:rsid w:val="0077418F"/>
    <w:rsid w:val="00774528"/>
    <w:rsid w:val="007A572E"/>
    <w:rsid w:val="007B4524"/>
    <w:rsid w:val="007B6AED"/>
    <w:rsid w:val="007C1002"/>
    <w:rsid w:val="007E6D7C"/>
    <w:rsid w:val="007F3438"/>
    <w:rsid w:val="008009ED"/>
    <w:rsid w:val="008011BD"/>
    <w:rsid w:val="00811C29"/>
    <w:rsid w:val="0083137C"/>
    <w:rsid w:val="00843A74"/>
    <w:rsid w:val="0085314A"/>
    <w:rsid w:val="00856DD1"/>
    <w:rsid w:val="00857017"/>
    <w:rsid w:val="0089774A"/>
    <w:rsid w:val="008A12EB"/>
    <w:rsid w:val="008B1BDD"/>
    <w:rsid w:val="008C068A"/>
    <w:rsid w:val="008D4F01"/>
    <w:rsid w:val="008E788A"/>
    <w:rsid w:val="00904921"/>
    <w:rsid w:val="00917F57"/>
    <w:rsid w:val="00921523"/>
    <w:rsid w:val="00937D89"/>
    <w:rsid w:val="00956B60"/>
    <w:rsid w:val="00975D45"/>
    <w:rsid w:val="009B74CD"/>
    <w:rsid w:val="009D1A5D"/>
    <w:rsid w:val="009D5A9B"/>
    <w:rsid w:val="00A028FC"/>
    <w:rsid w:val="00A13E39"/>
    <w:rsid w:val="00A269CB"/>
    <w:rsid w:val="00A31C79"/>
    <w:rsid w:val="00A32A21"/>
    <w:rsid w:val="00A4491D"/>
    <w:rsid w:val="00A55E45"/>
    <w:rsid w:val="00AB6247"/>
    <w:rsid w:val="00AD193F"/>
    <w:rsid w:val="00AD6232"/>
    <w:rsid w:val="00AD73AF"/>
    <w:rsid w:val="00AF4A3C"/>
    <w:rsid w:val="00B0379E"/>
    <w:rsid w:val="00B42348"/>
    <w:rsid w:val="00B42CB1"/>
    <w:rsid w:val="00B47E7D"/>
    <w:rsid w:val="00B62CF9"/>
    <w:rsid w:val="00B67359"/>
    <w:rsid w:val="00B9394B"/>
    <w:rsid w:val="00BA63E8"/>
    <w:rsid w:val="00BA77A7"/>
    <w:rsid w:val="00BB2E19"/>
    <w:rsid w:val="00BD1A03"/>
    <w:rsid w:val="00BD7C79"/>
    <w:rsid w:val="00C1316D"/>
    <w:rsid w:val="00C25C49"/>
    <w:rsid w:val="00C46FA3"/>
    <w:rsid w:val="00C4708C"/>
    <w:rsid w:val="00C5638C"/>
    <w:rsid w:val="00C93C64"/>
    <w:rsid w:val="00C9782F"/>
    <w:rsid w:val="00CB7236"/>
    <w:rsid w:val="00CC0322"/>
    <w:rsid w:val="00CD3B37"/>
    <w:rsid w:val="00D113AF"/>
    <w:rsid w:val="00D16476"/>
    <w:rsid w:val="00D60BFA"/>
    <w:rsid w:val="00D667DE"/>
    <w:rsid w:val="00D94489"/>
    <w:rsid w:val="00DD47CC"/>
    <w:rsid w:val="00DF4D22"/>
    <w:rsid w:val="00DF640B"/>
    <w:rsid w:val="00E0064A"/>
    <w:rsid w:val="00E17422"/>
    <w:rsid w:val="00E3382E"/>
    <w:rsid w:val="00E624FB"/>
    <w:rsid w:val="00E73061"/>
    <w:rsid w:val="00EA568A"/>
    <w:rsid w:val="00EE5552"/>
    <w:rsid w:val="00F32487"/>
    <w:rsid w:val="00F334B2"/>
    <w:rsid w:val="00F71BDB"/>
    <w:rsid w:val="00F771FA"/>
    <w:rsid w:val="00F853B1"/>
    <w:rsid w:val="00FC64C8"/>
    <w:rsid w:val="00FC7B8B"/>
    <w:rsid w:val="00FD6707"/>
    <w:rsid w:val="00FE2F05"/>
    <w:rsid w:val="00FF0315"/>
    <w:rsid w:val="00FF4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5B9A11"/>
  <w15:chartTrackingRefBased/>
  <w15:docId w15:val="{F60B182F-AB18-4593-A563-9A0F7F17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7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56DD1"/>
    <w:rPr>
      <w:sz w:val="16"/>
      <w:szCs w:val="16"/>
    </w:rPr>
  </w:style>
  <w:style w:type="paragraph" w:styleId="CommentText">
    <w:name w:val="annotation text"/>
    <w:basedOn w:val="Normal"/>
    <w:link w:val="CommentTextChar"/>
    <w:uiPriority w:val="99"/>
    <w:semiHidden/>
    <w:unhideWhenUsed/>
    <w:rsid w:val="00856DD1"/>
    <w:pPr>
      <w:spacing w:line="240" w:lineRule="auto"/>
    </w:pPr>
    <w:rPr>
      <w:sz w:val="20"/>
      <w:szCs w:val="20"/>
    </w:rPr>
  </w:style>
  <w:style w:type="character" w:customStyle="1" w:styleId="CommentTextChar">
    <w:name w:val="Comment Text Char"/>
    <w:basedOn w:val="DefaultParagraphFont"/>
    <w:link w:val="CommentText"/>
    <w:uiPriority w:val="99"/>
    <w:semiHidden/>
    <w:rsid w:val="00856DD1"/>
    <w:rPr>
      <w:sz w:val="20"/>
      <w:szCs w:val="20"/>
    </w:rPr>
  </w:style>
  <w:style w:type="paragraph" w:styleId="CommentSubject">
    <w:name w:val="annotation subject"/>
    <w:basedOn w:val="CommentText"/>
    <w:next w:val="CommentText"/>
    <w:link w:val="CommentSubjectChar"/>
    <w:uiPriority w:val="99"/>
    <w:semiHidden/>
    <w:unhideWhenUsed/>
    <w:rsid w:val="00856DD1"/>
    <w:rPr>
      <w:b/>
      <w:bCs/>
    </w:rPr>
  </w:style>
  <w:style w:type="character" w:customStyle="1" w:styleId="CommentSubjectChar">
    <w:name w:val="Comment Subject Char"/>
    <w:basedOn w:val="CommentTextChar"/>
    <w:link w:val="CommentSubject"/>
    <w:uiPriority w:val="99"/>
    <w:semiHidden/>
    <w:rsid w:val="00856DD1"/>
    <w:rPr>
      <w:b/>
      <w:bCs/>
      <w:sz w:val="20"/>
      <w:szCs w:val="20"/>
    </w:rPr>
  </w:style>
  <w:style w:type="paragraph" w:styleId="BalloonText">
    <w:name w:val="Balloon Text"/>
    <w:basedOn w:val="Normal"/>
    <w:link w:val="BalloonTextChar"/>
    <w:uiPriority w:val="99"/>
    <w:semiHidden/>
    <w:unhideWhenUsed/>
    <w:rsid w:val="00856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D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AC620-235C-47FF-B451-25E7EBF8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 Danni</dc:creator>
  <cp:keywords/>
  <dc:description/>
  <cp:lastModifiedBy>Danni Gadd</cp:lastModifiedBy>
  <cp:revision>3</cp:revision>
  <dcterms:created xsi:type="dcterms:W3CDTF">2023-08-15T18:23:00Z</dcterms:created>
  <dcterms:modified xsi:type="dcterms:W3CDTF">2023-08-16T20:14:00Z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f5edcea2-defe-3fda-8366-566040976631</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