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337F" w14:textId="5C569A5C" w:rsidR="0066654C" w:rsidRPr="00E8678A" w:rsidRDefault="0066654C">
      <w:pPr>
        <w:rPr>
          <w:lang w:val="en-US"/>
        </w:rPr>
      </w:pPr>
      <w:r w:rsidRPr="00E8678A">
        <w:rPr>
          <w:lang w:val="en-US"/>
        </w:rPr>
        <w:t>Supplement to:</w:t>
      </w:r>
    </w:p>
    <w:p w14:paraId="2755BAF0" w14:textId="57BF0378" w:rsidR="00DB487E" w:rsidRPr="00E8678A" w:rsidRDefault="00DB487E" w:rsidP="00DB487E">
      <w:pPr>
        <w:pStyle w:val="HTML-voorafopgemaakt"/>
        <w:rPr>
          <w:rStyle w:val="y2iqfc"/>
          <w:rFonts w:asciiTheme="majorHAnsi" w:hAnsiTheme="majorHAnsi" w:cstheme="minorHAnsi"/>
          <w:color w:val="4F81BD" w:themeColor="accent1"/>
          <w:sz w:val="32"/>
          <w:szCs w:val="32"/>
          <w:lang w:val="en-US"/>
        </w:rPr>
      </w:pPr>
      <w:bookmarkStart w:id="0" w:name="_Hlk130846792"/>
      <w:r w:rsidRPr="00E8678A">
        <w:rPr>
          <w:rStyle w:val="y2iqfc"/>
          <w:rFonts w:asciiTheme="majorHAnsi" w:hAnsiTheme="majorHAnsi" w:cstheme="minorHAnsi"/>
          <w:color w:val="4F81BD" w:themeColor="accent1"/>
          <w:sz w:val="32"/>
          <w:szCs w:val="32"/>
          <w:lang w:val="en-US"/>
        </w:rPr>
        <w:t xml:space="preserve">Genome sequencing as </w:t>
      </w:r>
      <w:r w:rsidR="00764B8F" w:rsidRPr="00E8678A">
        <w:rPr>
          <w:rStyle w:val="y2iqfc"/>
          <w:rFonts w:asciiTheme="majorHAnsi" w:hAnsiTheme="majorHAnsi" w:cstheme="minorHAnsi"/>
          <w:color w:val="4F81BD" w:themeColor="accent1"/>
          <w:sz w:val="32"/>
          <w:szCs w:val="32"/>
          <w:lang w:val="en-US"/>
        </w:rPr>
        <w:t xml:space="preserve">a </w:t>
      </w:r>
      <w:r w:rsidRPr="00E8678A">
        <w:rPr>
          <w:rStyle w:val="y2iqfc"/>
          <w:rFonts w:asciiTheme="majorHAnsi" w:hAnsiTheme="majorHAnsi" w:cstheme="minorHAnsi"/>
          <w:color w:val="4F81BD" w:themeColor="accent1"/>
          <w:sz w:val="32"/>
          <w:szCs w:val="32"/>
          <w:lang w:val="en-US"/>
        </w:rPr>
        <w:t>generic diagnostic strategy for rare disease</w:t>
      </w:r>
    </w:p>
    <w:bookmarkEnd w:id="0"/>
    <w:p w14:paraId="1EF15D09" w14:textId="77777777" w:rsidR="00DB487E" w:rsidRPr="00E8678A" w:rsidRDefault="00DB487E" w:rsidP="00DB487E">
      <w:pPr>
        <w:pStyle w:val="HTML-voorafopgemaakt"/>
        <w:rPr>
          <w:rFonts w:asciiTheme="majorHAnsi" w:hAnsiTheme="majorHAnsi" w:cstheme="minorHAnsi"/>
          <w:color w:val="4F81BD" w:themeColor="accent1"/>
          <w:sz w:val="32"/>
          <w:szCs w:val="32"/>
          <w:lang w:val="en-US"/>
        </w:rPr>
      </w:pPr>
    </w:p>
    <w:p w14:paraId="47B694A9" w14:textId="5F2C648A" w:rsidR="004371D7" w:rsidRPr="00E8678A" w:rsidRDefault="004371D7" w:rsidP="004371D7">
      <w:pPr>
        <w:rPr>
          <w:lang w:val="en-US"/>
        </w:rPr>
      </w:pPr>
      <w:bookmarkStart w:id="1" w:name="_Hlk130846810"/>
      <w:r w:rsidRPr="00E8678A">
        <w:rPr>
          <w:lang w:val="en-US"/>
        </w:rPr>
        <w:t>Gaby Schobers</w:t>
      </w:r>
      <w:r w:rsidRPr="00E8678A">
        <w:rPr>
          <w:vertAlign w:val="superscript"/>
          <w:lang w:val="en-US"/>
        </w:rPr>
        <w:t>1,2</w:t>
      </w:r>
      <w:r w:rsidRPr="00E8678A">
        <w:rPr>
          <w:lang w:val="en-US"/>
        </w:rPr>
        <w:t>, Ronny Derks</w:t>
      </w:r>
      <w:r w:rsidRPr="00E8678A">
        <w:rPr>
          <w:vertAlign w:val="superscript"/>
          <w:lang w:val="en-US"/>
        </w:rPr>
        <w:t>1</w:t>
      </w:r>
      <w:r w:rsidRPr="00E8678A">
        <w:rPr>
          <w:lang w:val="en-US"/>
        </w:rPr>
        <w:t>, Amber den Ouden</w:t>
      </w:r>
      <w:r w:rsidRPr="00E8678A">
        <w:rPr>
          <w:vertAlign w:val="superscript"/>
          <w:lang w:val="en-US"/>
        </w:rPr>
        <w:t>1</w:t>
      </w:r>
      <w:r w:rsidRPr="00E8678A">
        <w:rPr>
          <w:lang w:val="en-US"/>
        </w:rPr>
        <w:t>, Hilde Swinkels</w:t>
      </w:r>
      <w:r w:rsidRPr="00E8678A">
        <w:rPr>
          <w:vertAlign w:val="superscript"/>
          <w:lang w:val="en-US"/>
        </w:rPr>
        <w:t>1</w:t>
      </w:r>
      <w:r w:rsidRPr="00E8678A">
        <w:rPr>
          <w:lang w:val="en-US"/>
        </w:rPr>
        <w:t>, Jeroen van Reeuwijk</w:t>
      </w:r>
      <w:r w:rsidRPr="00E8678A">
        <w:rPr>
          <w:vertAlign w:val="superscript"/>
          <w:lang w:val="en-US"/>
        </w:rPr>
        <w:t>1,2</w:t>
      </w:r>
      <w:r w:rsidRPr="00E8678A">
        <w:rPr>
          <w:lang w:val="en-US"/>
        </w:rPr>
        <w:t>, Ermanno Bosgoed</w:t>
      </w:r>
      <w:r w:rsidRPr="00E8678A">
        <w:rPr>
          <w:vertAlign w:val="superscript"/>
          <w:lang w:val="en-US"/>
        </w:rPr>
        <w:t>1</w:t>
      </w:r>
      <w:r w:rsidRPr="00E8678A">
        <w:rPr>
          <w:lang w:val="en-US"/>
        </w:rPr>
        <w:t>, Dorien Lugtenberg</w:t>
      </w:r>
      <w:r w:rsidRPr="00E8678A">
        <w:rPr>
          <w:vertAlign w:val="superscript"/>
          <w:lang w:val="en-US"/>
        </w:rPr>
        <w:t>1</w:t>
      </w:r>
      <w:r w:rsidRPr="00E8678A">
        <w:rPr>
          <w:lang w:val="en-US"/>
        </w:rPr>
        <w:t>, Su Ming Sun</w:t>
      </w:r>
      <w:r w:rsidRPr="00E8678A">
        <w:rPr>
          <w:vertAlign w:val="superscript"/>
          <w:lang w:val="en-US"/>
        </w:rPr>
        <w:t>3</w:t>
      </w:r>
      <w:r w:rsidRPr="00E8678A">
        <w:rPr>
          <w:lang w:val="en-US"/>
        </w:rPr>
        <w:t>, Jordi Corominas Galbany</w:t>
      </w:r>
      <w:r w:rsidRPr="00E8678A">
        <w:rPr>
          <w:vertAlign w:val="superscript"/>
          <w:lang w:val="en-US"/>
        </w:rPr>
        <w:t>1,2</w:t>
      </w:r>
      <w:r w:rsidRPr="00E8678A">
        <w:rPr>
          <w:lang w:val="en-US"/>
        </w:rPr>
        <w:t>, Marjan Weiss</w:t>
      </w:r>
      <w:r w:rsidRPr="00E8678A">
        <w:rPr>
          <w:vertAlign w:val="superscript"/>
          <w:lang w:val="en-US"/>
        </w:rPr>
        <w:t>1</w:t>
      </w:r>
      <w:r w:rsidRPr="00E8678A">
        <w:rPr>
          <w:lang w:val="en-US"/>
        </w:rPr>
        <w:t>, Marinus J. Blok</w:t>
      </w:r>
      <w:r w:rsidRPr="00E8678A">
        <w:rPr>
          <w:vertAlign w:val="superscript"/>
          <w:lang w:val="en-US"/>
        </w:rPr>
        <w:t>3</w:t>
      </w:r>
      <w:r w:rsidRPr="00E8678A">
        <w:rPr>
          <w:lang w:val="en-US"/>
        </w:rPr>
        <w:t xml:space="preserve">, Richelle </w:t>
      </w:r>
      <w:r w:rsidR="007F05C6">
        <w:rPr>
          <w:lang w:val="en-US"/>
        </w:rPr>
        <w:t xml:space="preserve">A.C.M. </w:t>
      </w:r>
      <w:r w:rsidRPr="00E8678A">
        <w:rPr>
          <w:lang w:val="en-US"/>
        </w:rPr>
        <w:t>Olde Keizer</w:t>
      </w:r>
      <w:r w:rsidRPr="00E8678A">
        <w:rPr>
          <w:vertAlign w:val="superscript"/>
          <w:lang w:val="en-US"/>
        </w:rPr>
        <w:t xml:space="preserve">1,2 </w:t>
      </w:r>
      <w:r w:rsidRPr="00E8678A">
        <w:rPr>
          <w:lang w:val="en-US"/>
        </w:rPr>
        <w:t>, Tom Hofste</w:t>
      </w:r>
      <w:r w:rsidRPr="00E8678A">
        <w:rPr>
          <w:vertAlign w:val="superscript"/>
          <w:lang w:val="en-US"/>
        </w:rPr>
        <w:t>1</w:t>
      </w:r>
      <w:r w:rsidRPr="00E8678A">
        <w:rPr>
          <w:lang w:val="en-US"/>
        </w:rPr>
        <w:t>,</w:t>
      </w:r>
      <w:r w:rsidRPr="00E8678A">
        <w:rPr>
          <w:vertAlign w:val="superscript"/>
          <w:lang w:val="en-US"/>
        </w:rPr>
        <w:t xml:space="preserve"> </w:t>
      </w:r>
      <w:r w:rsidRPr="00E8678A">
        <w:rPr>
          <w:lang w:val="en-US"/>
        </w:rPr>
        <w:t>Debby Hellebrekers</w:t>
      </w:r>
      <w:r w:rsidRPr="00E8678A">
        <w:rPr>
          <w:vertAlign w:val="superscript"/>
          <w:lang w:val="en-US"/>
        </w:rPr>
        <w:t>3</w:t>
      </w:r>
      <w:r w:rsidRPr="00E8678A">
        <w:rPr>
          <w:lang w:val="en-US"/>
        </w:rPr>
        <w:t>, Nicole de Leeuw</w:t>
      </w:r>
      <w:r w:rsidRPr="00E8678A">
        <w:rPr>
          <w:vertAlign w:val="superscript"/>
          <w:lang w:val="en-US"/>
        </w:rPr>
        <w:t>1</w:t>
      </w:r>
      <w:r w:rsidRPr="00E8678A">
        <w:rPr>
          <w:lang w:val="en-US"/>
        </w:rPr>
        <w:t>, Alexander Stegmann</w:t>
      </w:r>
      <w:r w:rsidRPr="00E8678A">
        <w:rPr>
          <w:vertAlign w:val="superscript"/>
          <w:lang w:val="en-US"/>
        </w:rPr>
        <w:t>3</w:t>
      </w:r>
      <w:r w:rsidRPr="00E8678A">
        <w:rPr>
          <w:lang w:val="en-US"/>
        </w:rPr>
        <w:t>, Erik-Jan Kamsteeg</w:t>
      </w:r>
      <w:r w:rsidRPr="00E8678A">
        <w:rPr>
          <w:vertAlign w:val="superscript"/>
          <w:lang w:val="en-US"/>
        </w:rPr>
        <w:t>1</w:t>
      </w:r>
      <w:r w:rsidRPr="00E8678A">
        <w:rPr>
          <w:lang w:val="en-US"/>
        </w:rPr>
        <w:t>, Aimee D.C. Paulussen</w:t>
      </w:r>
      <w:r w:rsidRPr="00E8678A">
        <w:rPr>
          <w:vertAlign w:val="superscript"/>
          <w:lang w:val="en-US"/>
        </w:rPr>
        <w:t>3</w:t>
      </w:r>
      <w:r w:rsidRPr="00E8678A">
        <w:rPr>
          <w:lang w:val="en-US"/>
        </w:rPr>
        <w:t>, Marjolijn J.L. Ligtenberg</w:t>
      </w:r>
      <w:r w:rsidRPr="00E8678A">
        <w:rPr>
          <w:vertAlign w:val="superscript"/>
          <w:lang w:val="en-US"/>
        </w:rPr>
        <w:t>1,2</w:t>
      </w:r>
      <w:r w:rsidRPr="00E8678A">
        <w:rPr>
          <w:lang w:val="en-US"/>
        </w:rPr>
        <w:t xml:space="preserve">, </w:t>
      </w:r>
      <w:bookmarkStart w:id="2" w:name="_Hlk140219678"/>
      <w:proofErr w:type="spellStart"/>
      <w:r w:rsidRPr="00E8678A">
        <w:rPr>
          <w:lang w:val="en-US"/>
        </w:rPr>
        <w:t>Xiangqun</w:t>
      </w:r>
      <w:proofErr w:type="spellEnd"/>
      <w:r w:rsidRPr="00E8678A">
        <w:rPr>
          <w:lang w:val="en-US"/>
        </w:rPr>
        <w:t xml:space="preserve"> Zheng Bradley</w:t>
      </w:r>
      <w:r w:rsidRPr="00E8678A">
        <w:rPr>
          <w:vertAlign w:val="superscript"/>
          <w:lang w:val="en-US"/>
        </w:rPr>
        <w:t>4</w:t>
      </w:r>
      <w:r w:rsidRPr="00E8678A">
        <w:rPr>
          <w:lang w:val="en-US"/>
        </w:rPr>
        <w:t>, John Peden</w:t>
      </w:r>
      <w:r w:rsidRPr="00E8678A">
        <w:rPr>
          <w:vertAlign w:val="superscript"/>
          <w:lang w:val="en-US"/>
        </w:rPr>
        <w:t>4</w:t>
      </w:r>
      <w:r w:rsidRPr="00E8678A">
        <w:rPr>
          <w:lang w:val="en-US"/>
        </w:rPr>
        <w:t xml:space="preserve">, </w:t>
      </w:r>
      <w:r w:rsidRPr="00E8678A">
        <w:rPr>
          <w:color w:val="000000"/>
          <w:shd w:val="clear" w:color="auto" w:fill="FFFFFF"/>
          <w:lang w:val="en-US"/>
        </w:rPr>
        <w:t>Alejandra Gutierrez</w:t>
      </w:r>
      <w:r w:rsidRPr="00E8678A">
        <w:rPr>
          <w:vertAlign w:val="superscript"/>
          <w:lang w:val="en-US"/>
        </w:rPr>
        <w:t>4</w:t>
      </w:r>
      <w:r w:rsidRPr="00E8678A">
        <w:rPr>
          <w:color w:val="000000"/>
          <w:shd w:val="clear" w:color="auto" w:fill="FFFFFF"/>
          <w:lang w:val="en-US"/>
        </w:rPr>
        <w:t xml:space="preserve">, </w:t>
      </w:r>
      <w:r w:rsidRPr="00E8678A">
        <w:rPr>
          <w:lang w:val="en-US"/>
        </w:rPr>
        <w:t>Adam Pullen</w:t>
      </w:r>
      <w:r w:rsidRPr="00E8678A">
        <w:rPr>
          <w:vertAlign w:val="superscript"/>
          <w:lang w:val="en-US"/>
        </w:rPr>
        <w:t>4</w:t>
      </w:r>
      <w:r w:rsidRPr="00E8678A">
        <w:rPr>
          <w:lang w:val="en-US"/>
        </w:rPr>
        <w:t>, Tom Payne</w:t>
      </w:r>
      <w:r w:rsidRPr="00E8678A">
        <w:rPr>
          <w:vertAlign w:val="superscript"/>
          <w:lang w:val="en-US"/>
        </w:rPr>
        <w:t>4</w:t>
      </w:r>
      <w:r w:rsidRPr="00E8678A">
        <w:rPr>
          <w:lang w:val="en-US"/>
        </w:rPr>
        <w:t xml:space="preserve">, </w:t>
      </w:r>
      <w:bookmarkEnd w:id="2"/>
      <w:r w:rsidRPr="00E8678A">
        <w:rPr>
          <w:lang w:val="en-US"/>
        </w:rPr>
        <w:t>Christian Gilissen</w:t>
      </w:r>
      <w:r w:rsidRPr="00E8678A">
        <w:rPr>
          <w:vertAlign w:val="superscript"/>
          <w:lang w:val="en-US"/>
        </w:rPr>
        <w:t>1,2</w:t>
      </w:r>
      <w:r w:rsidRPr="00E8678A">
        <w:rPr>
          <w:lang w:val="en-US"/>
        </w:rPr>
        <w:t>, Arthur van den Wijngaard</w:t>
      </w:r>
      <w:r w:rsidRPr="00E8678A">
        <w:rPr>
          <w:vertAlign w:val="superscript"/>
          <w:lang w:val="en-US"/>
        </w:rPr>
        <w:t>3</w:t>
      </w:r>
      <w:r w:rsidRPr="00E8678A">
        <w:rPr>
          <w:lang w:val="en-US"/>
        </w:rPr>
        <w:t>, Han G. Brunner</w:t>
      </w:r>
      <w:r w:rsidRPr="00E8678A">
        <w:rPr>
          <w:vertAlign w:val="superscript"/>
          <w:lang w:val="en-US"/>
        </w:rPr>
        <w:t>1,2</w:t>
      </w:r>
      <w:r w:rsidRPr="00E8678A">
        <w:rPr>
          <w:lang w:val="en-US"/>
        </w:rPr>
        <w:t>, Marcel Nelen</w:t>
      </w:r>
      <w:r w:rsidRPr="00E8678A">
        <w:rPr>
          <w:vertAlign w:val="superscript"/>
          <w:lang w:val="en-US"/>
        </w:rPr>
        <w:t>1*</w:t>
      </w:r>
      <w:r w:rsidRPr="00E8678A">
        <w:rPr>
          <w:lang w:val="en-US"/>
        </w:rPr>
        <w:t>, Helger G. Yntema</w:t>
      </w:r>
      <w:r w:rsidRPr="00E8678A">
        <w:rPr>
          <w:vertAlign w:val="superscript"/>
          <w:lang w:val="en-US"/>
        </w:rPr>
        <w:t>1,2*</w:t>
      </w:r>
      <w:r w:rsidRPr="00E8678A">
        <w:rPr>
          <w:lang w:val="en-US"/>
        </w:rPr>
        <w:t>, Lisenka E.L.M. Vissers</w:t>
      </w:r>
      <w:r w:rsidRPr="00E8678A">
        <w:rPr>
          <w:vertAlign w:val="superscript"/>
          <w:lang w:val="en-US"/>
        </w:rPr>
        <w:t>1,2*</w:t>
      </w:r>
      <w:r w:rsidRPr="00E8678A">
        <w:rPr>
          <w:lang w:val="en-US"/>
        </w:rPr>
        <w:t xml:space="preserve"> </w:t>
      </w:r>
    </w:p>
    <w:p w14:paraId="4271F9C7" w14:textId="77777777" w:rsidR="004371D7" w:rsidRPr="00E8678A" w:rsidRDefault="004371D7" w:rsidP="004371D7">
      <w:pPr>
        <w:rPr>
          <w:sz w:val="18"/>
          <w:szCs w:val="18"/>
          <w:lang w:val="en-US"/>
        </w:rPr>
      </w:pPr>
      <w:r w:rsidRPr="00E8678A">
        <w:rPr>
          <w:sz w:val="18"/>
          <w:szCs w:val="18"/>
          <w:vertAlign w:val="superscript"/>
          <w:lang w:val="en-US"/>
        </w:rPr>
        <w:t xml:space="preserve">1 </w:t>
      </w:r>
      <w:r w:rsidRPr="00E8678A">
        <w:rPr>
          <w:sz w:val="18"/>
          <w:szCs w:val="18"/>
          <w:lang w:val="en-US"/>
        </w:rPr>
        <w:t xml:space="preserve">Department of Human Genetics, Radboudumc, Nijmegen, Netherlands </w:t>
      </w:r>
      <w:r w:rsidRPr="00E8678A">
        <w:rPr>
          <w:sz w:val="18"/>
          <w:szCs w:val="18"/>
          <w:lang w:val="en-US"/>
        </w:rPr>
        <w:br/>
      </w:r>
      <w:r w:rsidRPr="00E8678A">
        <w:rPr>
          <w:sz w:val="18"/>
          <w:szCs w:val="18"/>
          <w:vertAlign w:val="superscript"/>
          <w:lang w:val="en-US"/>
        </w:rPr>
        <w:t xml:space="preserve">2 </w:t>
      </w:r>
      <w:r w:rsidRPr="00E8678A">
        <w:rPr>
          <w:sz w:val="18"/>
          <w:szCs w:val="18"/>
          <w:lang w:val="en-US"/>
        </w:rPr>
        <w:t>Research Institute for Medical Innovation, Radboudumc, Nijmegen, Netherlands</w:t>
      </w:r>
      <w:r w:rsidRPr="00E8678A" w:rsidDel="00C16BE9">
        <w:rPr>
          <w:sz w:val="18"/>
          <w:szCs w:val="18"/>
          <w:lang w:val="en-US"/>
        </w:rPr>
        <w:t xml:space="preserve"> </w:t>
      </w:r>
      <w:r w:rsidRPr="00E8678A">
        <w:rPr>
          <w:sz w:val="18"/>
          <w:szCs w:val="18"/>
          <w:lang w:val="en-US"/>
        </w:rPr>
        <w:br/>
      </w:r>
      <w:r w:rsidRPr="00E8678A">
        <w:rPr>
          <w:sz w:val="18"/>
          <w:szCs w:val="18"/>
          <w:vertAlign w:val="superscript"/>
          <w:lang w:val="en-US"/>
        </w:rPr>
        <w:t xml:space="preserve">3 </w:t>
      </w:r>
      <w:r w:rsidRPr="00E8678A">
        <w:rPr>
          <w:sz w:val="18"/>
          <w:szCs w:val="18"/>
          <w:lang w:val="en-US"/>
        </w:rPr>
        <w:t>Department of Clinical Genetics, Maastricht University Medical Center, Maastricht, Netherlands</w:t>
      </w:r>
      <w:r w:rsidRPr="00E8678A">
        <w:rPr>
          <w:sz w:val="18"/>
          <w:szCs w:val="18"/>
          <w:lang w:val="en-US"/>
        </w:rPr>
        <w:br/>
      </w:r>
      <w:r w:rsidRPr="00E8678A">
        <w:rPr>
          <w:sz w:val="18"/>
          <w:szCs w:val="18"/>
          <w:vertAlign w:val="superscript"/>
          <w:lang w:val="en-US"/>
        </w:rPr>
        <w:t>4</w:t>
      </w:r>
      <w:r w:rsidRPr="00E8678A">
        <w:rPr>
          <w:sz w:val="18"/>
          <w:szCs w:val="18"/>
          <w:lang w:val="en-US"/>
        </w:rPr>
        <w:t xml:space="preserve"> </w:t>
      </w:r>
      <w:bookmarkStart w:id="3" w:name="_Hlk140219691"/>
      <w:r w:rsidRPr="00E8678A">
        <w:rPr>
          <w:sz w:val="18"/>
          <w:szCs w:val="18"/>
          <w:lang w:val="en-US"/>
        </w:rPr>
        <w:t>Illumina Inc., Cambridge, United Kingdom</w:t>
      </w:r>
      <w:bookmarkEnd w:id="3"/>
    </w:p>
    <w:p w14:paraId="0AED7936" w14:textId="4AB534BB" w:rsidR="005C26A5" w:rsidRPr="00E8678A" w:rsidRDefault="00DB487E" w:rsidP="00A70BFB">
      <w:pPr>
        <w:rPr>
          <w:sz w:val="18"/>
          <w:szCs w:val="18"/>
          <w:lang w:val="en-US"/>
        </w:rPr>
      </w:pPr>
      <w:bookmarkStart w:id="4" w:name="_Hlk130846840"/>
      <w:bookmarkEnd w:id="1"/>
      <w:r w:rsidRPr="00E8678A">
        <w:rPr>
          <w:sz w:val="18"/>
          <w:szCs w:val="18"/>
          <w:lang w:val="en-US"/>
        </w:rPr>
        <w:t>*Contributed equally</w:t>
      </w:r>
      <w:bookmarkStart w:id="5" w:name="_Hlk140265930"/>
      <w:bookmarkEnd w:id="4"/>
    </w:p>
    <w:p w14:paraId="24B4C6C6" w14:textId="29365BAD" w:rsidR="00DA6D03" w:rsidRPr="00E8678A" w:rsidRDefault="00DA6D03" w:rsidP="00A70BFB">
      <w:pPr>
        <w:rPr>
          <w:sz w:val="18"/>
          <w:szCs w:val="18"/>
          <w:lang w:val="en-US"/>
        </w:rPr>
      </w:pPr>
    </w:p>
    <w:p w14:paraId="2429C596" w14:textId="230D4E50" w:rsidR="00DA6D03" w:rsidRPr="00E8678A" w:rsidRDefault="00DA6D03" w:rsidP="00A168C2">
      <w:pPr>
        <w:pStyle w:val="Inhopg1"/>
        <w:rPr>
          <w:rFonts w:eastAsiaTheme="minorEastAsia"/>
          <w:noProof/>
          <w:lang w:val="en-US" w:eastAsia="nl-NL"/>
        </w:rPr>
      </w:pPr>
      <w:r w:rsidRPr="00E8678A">
        <w:rPr>
          <w:rFonts w:ascii="Arial Nova" w:hAnsi="Arial Nova"/>
          <w:sz w:val="20"/>
          <w:szCs w:val="20"/>
          <w:lang w:val="en-US" w:eastAsia="nl-NL"/>
        </w:rPr>
        <w:fldChar w:fldCharType="begin"/>
      </w:r>
      <w:r w:rsidRPr="00E8678A">
        <w:rPr>
          <w:rFonts w:ascii="Arial Nova" w:hAnsi="Arial Nova"/>
          <w:sz w:val="20"/>
          <w:szCs w:val="20"/>
          <w:lang w:val="en-US" w:eastAsia="nl-NL"/>
        </w:rPr>
        <w:instrText xml:space="preserve"> TOC \h \z \u \t "Kop 3;1" </w:instrText>
      </w:r>
      <w:r w:rsidRPr="00E8678A">
        <w:rPr>
          <w:rFonts w:ascii="Arial Nova" w:hAnsi="Arial Nova"/>
          <w:sz w:val="20"/>
          <w:szCs w:val="20"/>
          <w:lang w:val="en-US" w:eastAsia="nl-NL"/>
        </w:rPr>
        <w:fldChar w:fldCharType="separate"/>
      </w:r>
      <w:hyperlink w:anchor="_Toc143873976" w:history="1">
        <w:r w:rsidRPr="00E8678A">
          <w:rPr>
            <w:rStyle w:val="Hyperlink"/>
            <w:rFonts w:eastAsia="Times New Roman" w:cstheme="minorHAnsi"/>
            <w:b/>
            <w:bCs/>
            <w:noProof/>
            <w:lang w:val="en-US" w:eastAsia="nl-NL"/>
          </w:rPr>
          <w:t xml:space="preserve">Supplementary Figure S1: </w:t>
        </w:r>
        <w:r w:rsidRPr="00E8678A">
          <w:rPr>
            <w:rStyle w:val="Hyperlink"/>
            <w:rFonts w:eastAsia="Times New Roman" w:cstheme="minorHAnsi"/>
            <w:noProof/>
            <w:lang w:val="en-US" w:eastAsia="nl-NL"/>
          </w:rPr>
          <w:t>Scenario model to determine individuals eligible for GS-first strategy</w:t>
        </w:r>
        <w:r w:rsidRPr="00E8678A">
          <w:rPr>
            <w:noProof/>
            <w:webHidden/>
            <w:lang w:val="en-US"/>
          </w:rPr>
          <w:tab/>
        </w:r>
        <w:r w:rsidRPr="00E8678A">
          <w:rPr>
            <w:noProof/>
            <w:webHidden/>
            <w:lang w:val="en-US"/>
          </w:rPr>
          <w:fldChar w:fldCharType="begin"/>
        </w:r>
        <w:r w:rsidRPr="00E8678A">
          <w:rPr>
            <w:noProof/>
            <w:webHidden/>
            <w:lang w:val="en-US"/>
          </w:rPr>
          <w:instrText xml:space="preserve"> PAGEREF _Toc143873976 \h </w:instrText>
        </w:r>
        <w:r w:rsidRPr="00E8678A">
          <w:rPr>
            <w:noProof/>
            <w:webHidden/>
            <w:lang w:val="en-US"/>
          </w:rPr>
        </w:r>
        <w:r w:rsidRPr="00E8678A">
          <w:rPr>
            <w:noProof/>
            <w:webHidden/>
            <w:lang w:val="en-US"/>
          </w:rPr>
          <w:fldChar w:fldCharType="separate"/>
        </w:r>
        <w:r w:rsidRPr="00E8678A">
          <w:rPr>
            <w:noProof/>
            <w:webHidden/>
            <w:lang w:val="en-US"/>
          </w:rPr>
          <w:t>2</w:t>
        </w:r>
        <w:r w:rsidRPr="00E8678A">
          <w:rPr>
            <w:noProof/>
            <w:webHidden/>
            <w:lang w:val="en-US"/>
          </w:rPr>
          <w:fldChar w:fldCharType="end"/>
        </w:r>
      </w:hyperlink>
    </w:p>
    <w:p w14:paraId="718DC782" w14:textId="21BEA241" w:rsidR="00DA6D03" w:rsidRPr="00E8678A" w:rsidRDefault="007F05C6" w:rsidP="00A168C2">
      <w:pPr>
        <w:pStyle w:val="Inhopg1"/>
        <w:rPr>
          <w:rFonts w:eastAsiaTheme="minorEastAsia"/>
          <w:noProof/>
          <w:lang w:val="en-US" w:eastAsia="nl-NL"/>
        </w:rPr>
      </w:pPr>
      <w:hyperlink w:anchor="_Toc143873977" w:history="1">
        <w:r w:rsidR="00DA6D03" w:rsidRPr="00E8678A">
          <w:rPr>
            <w:rStyle w:val="Hyperlink"/>
            <w:rFonts w:cstheme="minorHAnsi"/>
            <w:b/>
            <w:bCs/>
            <w:noProof/>
            <w:lang w:val="en-US"/>
          </w:rPr>
          <w:t xml:space="preserve">Supplementary Figure S2: </w:t>
        </w:r>
        <w:r w:rsidR="00DA6D03" w:rsidRPr="00E8678A">
          <w:rPr>
            <w:rStyle w:val="Hyperlink"/>
            <w:rFonts w:cstheme="minorHAnsi"/>
            <w:noProof/>
            <w:lang w:val="en-US"/>
          </w:rPr>
          <w:t>A cohort of 1000 cases with clinically relevant variants spanning the broad range of genome diagnostics</w:t>
        </w:r>
        <w:r w:rsidR="00DA6D03" w:rsidRPr="00E8678A">
          <w:rPr>
            <w:rStyle w:val="Hyperlink"/>
            <w:rFonts w:cstheme="minorHAnsi"/>
            <w:b/>
            <w:bCs/>
            <w:noProof/>
            <w:lang w:val="en-US"/>
          </w:rPr>
          <w:t>.</w:t>
        </w:r>
        <w:r w:rsidR="00DA6D03" w:rsidRPr="00E8678A">
          <w:rPr>
            <w:noProof/>
            <w:webHidden/>
            <w:lang w:val="en-US"/>
          </w:rPr>
          <w:tab/>
        </w:r>
        <w:r w:rsidR="00DA6D03" w:rsidRPr="00E8678A">
          <w:rPr>
            <w:noProof/>
            <w:webHidden/>
            <w:lang w:val="en-US"/>
          </w:rPr>
          <w:fldChar w:fldCharType="begin"/>
        </w:r>
        <w:r w:rsidR="00DA6D03" w:rsidRPr="00E8678A">
          <w:rPr>
            <w:noProof/>
            <w:webHidden/>
            <w:lang w:val="en-US"/>
          </w:rPr>
          <w:instrText xml:space="preserve"> PAGEREF _Toc143873977 \h </w:instrText>
        </w:r>
        <w:r w:rsidR="00DA6D03" w:rsidRPr="00E8678A">
          <w:rPr>
            <w:noProof/>
            <w:webHidden/>
            <w:lang w:val="en-US"/>
          </w:rPr>
        </w:r>
        <w:r w:rsidR="00DA6D03" w:rsidRPr="00E8678A">
          <w:rPr>
            <w:noProof/>
            <w:webHidden/>
            <w:lang w:val="en-US"/>
          </w:rPr>
          <w:fldChar w:fldCharType="separate"/>
        </w:r>
        <w:r w:rsidR="00DA6D03" w:rsidRPr="00E8678A">
          <w:rPr>
            <w:noProof/>
            <w:webHidden/>
            <w:lang w:val="en-US"/>
          </w:rPr>
          <w:t>2</w:t>
        </w:r>
        <w:r w:rsidR="00DA6D03" w:rsidRPr="00E8678A">
          <w:rPr>
            <w:noProof/>
            <w:webHidden/>
            <w:lang w:val="en-US"/>
          </w:rPr>
          <w:fldChar w:fldCharType="end"/>
        </w:r>
      </w:hyperlink>
    </w:p>
    <w:p w14:paraId="672BB305" w14:textId="25058578" w:rsidR="00DA6D03" w:rsidRPr="00E8678A" w:rsidRDefault="007F05C6" w:rsidP="00A168C2">
      <w:pPr>
        <w:pStyle w:val="Inhopg1"/>
        <w:rPr>
          <w:rFonts w:eastAsiaTheme="minorEastAsia"/>
          <w:noProof/>
          <w:lang w:val="en-US" w:eastAsia="nl-NL"/>
        </w:rPr>
      </w:pPr>
      <w:hyperlink w:anchor="_Toc143873978" w:history="1">
        <w:r w:rsidR="00DA6D03" w:rsidRPr="00E8678A">
          <w:rPr>
            <w:rStyle w:val="Hyperlink"/>
            <w:rFonts w:cstheme="minorHAnsi"/>
            <w:b/>
            <w:bCs/>
            <w:noProof/>
            <w:lang w:val="en-US"/>
          </w:rPr>
          <w:t xml:space="preserve">Supplementary Figure S3: </w:t>
        </w:r>
        <w:r w:rsidR="00DA6D03" w:rsidRPr="00E8678A">
          <w:rPr>
            <w:rStyle w:val="Hyperlink"/>
            <w:rFonts w:cstheme="minorHAnsi"/>
            <w:noProof/>
            <w:lang w:val="en-US"/>
          </w:rPr>
          <w:t>The average output of 1000 genomes.</w:t>
        </w:r>
        <w:r w:rsidR="00DA6D03" w:rsidRPr="00E8678A">
          <w:rPr>
            <w:noProof/>
            <w:webHidden/>
            <w:lang w:val="en-US"/>
          </w:rPr>
          <w:tab/>
        </w:r>
        <w:r w:rsidR="00DA6D03" w:rsidRPr="00E8678A">
          <w:rPr>
            <w:noProof/>
            <w:webHidden/>
            <w:lang w:val="en-US"/>
          </w:rPr>
          <w:fldChar w:fldCharType="begin"/>
        </w:r>
        <w:r w:rsidR="00DA6D03" w:rsidRPr="00E8678A">
          <w:rPr>
            <w:noProof/>
            <w:webHidden/>
            <w:lang w:val="en-US"/>
          </w:rPr>
          <w:instrText xml:space="preserve"> PAGEREF _Toc143873978 \h </w:instrText>
        </w:r>
        <w:r w:rsidR="00DA6D03" w:rsidRPr="00E8678A">
          <w:rPr>
            <w:noProof/>
            <w:webHidden/>
            <w:lang w:val="en-US"/>
          </w:rPr>
        </w:r>
        <w:r w:rsidR="00DA6D03" w:rsidRPr="00E8678A">
          <w:rPr>
            <w:noProof/>
            <w:webHidden/>
            <w:lang w:val="en-US"/>
          </w:rPr>
          <w:fldChar w:fldCharType="separate"/>
        </w:r>
        <w:r w:rsidR="00DA6D03" w:rsidRPr="00E8678A">
          <w:rPr>
            <w:noProof/>
            <w:webHidden/>
            <w:lang w:val="en-US"/>
          </w:rPr>
          <w:t>4</w:t>
        </w:r>
        <w:r w:rsidR="00DA6D03" w:rsidRPr="00E8678A">
          <w:rPr>
            <w:noProof/>
            <w:webHidden/>
            <w:lang w:val="en-US"/>
          </w:rPr>
          <w:fldChar w:fldCharType="end"/>
        </w:r>
      </w:hyperlink>
    </w:p>
    <w:p w14:paraId="127FBD22" w14:textId="3C3933AD" w:rsidR="00DA6D03" w:rsidRPr="00E8678A" w:rsidRDefault="007F05C6" w:rsidP="00A168C2">
      <w:pPr>
        <w:pStyle w:val="Inhopg1"/>
        <w:rPr>
          <w:rFonts w:eastAsiaTheme="minorEastAsia"/>
          <w:noProof/>
          <w:lang w:val="en-US" w:eastAsia="nl-NL"/>
        </w:rPr>
      </w:pPr>
      <w:hyperlink w:anchor="_Toc143873979" w:history="1">
        <w:r w:rsidR="00DA6D03" w:rsidRPr="00E8678A">
          <w:rPr>
            <w:rStyle w:val="Hyperlink"/>
            <w:rFonts w:cstheme="minorHAnsi"/>
            <w:b/>
            <w:bCs/>
            <w:noProof/>
            <w:lang w:val="en-US"/>
          </w:rPr>
          <w:t xml:space="preserve">Supplementary Figure S4: </w:t>
        </w:r>
        <w:r w:rsidR="00DA6D03" w:rsidRPr="00E8678A">
          <w:rPr>
            <w:rStyle w:val="Hyperlink"/>
            <w:rFonts w:cstheme="minorHAnsi"/>
            <w:noProof/>
            <w:lang w:val="en-US"/>
          </w:rPr>
          <w:t>GS Technical validation by variant size and assessment of why variants were not identified</w:t>
        </w:r>
        <w:r w:rsidR="00DA6D03" w:rsidRPr="00E8678A">
          <w:rPr>
            <w:noProof/>
            <w:webHidden/>
            <w:lang w:val="en-US"/>
          </w:rPr>
          <w:tab/>
        </w:r>
        <w:r w:rsidR="00DA6D03" w:rsidRPr="00E8678A">
          <w:rPr>
            <w:noProof/>
            <w:webHidden/>
            <w:lang w:val="en-US"/>
          </w:rPr>
          <w:fldChar w:fldCharType="begin"/>
        </w:r>
        <w:r w:rsidR="00DA6D03" w:rsidRPr="00E8678A">
          <w:rPr>
            <w:noProof/>
            <w:webHidden/>
            <w:lang w:val="en-US"/>
          </w:rPr>
          <w:instrText xml:space="preserve"> PAGEREF _Toc143873979 \h </w:instrText>
        </w:r>
        <w:r w:rsidR="00DA6D03" w:rsidRPr="00E8678A">
          <w:rPr>
            <w:noProof/>
            <w:webHidden/>
            <w:lang w:val="en-US"/>
          </w:rPr>
        </w:r>
        <w:r w:rsidR="00DA6D03" w:rsidRPr="00E8678A">
          <w:rPr>
            <w:noProof/>
            <w:webHidden/>
            <w:lang w:val="en-US"/>
          </w:rPr>
          <w:fldChar w:fldCharType="separate"/>
        </w:r>
        <w:r w:rsidR="00DA6D03" w:rsidRPr="00E8678A">
          <w:rPr>
            <w:noProof/>
            <w:webHidden/>
            <w:lang w:val="en-US"/>
          </w:rPr>
          <w:t>5</w:t>
        </w:r>
        <w:r w:rsidR="00DA6D03" w:rsidRPr="00E8678A">
          <w:rPr>
            <w:noProof/>
            <w:webHidden/>
            <w:lang w:val="en-US"/>
          </w:rPr>
          <w:fldChar w:fldCharType="end"/>
        </w:r>
      </w:hyperlink>
    </w:p>
    <w:p w14:paraId="49876D8F" w14:textId="7E400A5B" w:rsidR="00DA6D03" w:rsidRPr="00E8678A" w:rsidRDefault="007F05C6" w:rsidP="00A168C2">
      <w:pPr>
        <w:pStyle w:val="Inhopg1"/>
        <w:rPr>
          <w:rFonts w:eastAsiaTheme="minorEastAsia"/>
          <w:noProof/>
          <w:lang w:val="en-US" w:eastAsia="nl-NL"/>
        </w:rPr>
      </w:pPr>
      <w:hyperlink w:anchor="_Toc143873980" w:history="1">
        <w:r w:rsidR="00DA6D03" w:rsidRPr="00E8678A">
          <w:rPr>
            <w:rStyle w:val="Hyperlink"/>
            <w:rFonts w:cstheme="minorHAnsi"/>
            <w:b/>
            <w:bCs/>
            <w:noProof/>
            <w:lang w:val="en-US"/>
          </w:rPr>
          <w:t>Supplementary Figure S5:</w:t>
        </w:r>
        <w:r w:rsidR="00DA6D03" w:rsidRPr="00E8678A">
          <w:rPr>
            <w:rStyle w:val="Hyperlink"/>
            <w:rFonts w:cstheme="minorHAnsi"/>
            <w:noProof/>
            <w:lang w:val="en-US"/>
          </w:rPr>
          <w:t xml:space="preserve"> </w:t>
        </w:r>
        <w:r w:rsidR="00DA6D03" w:rsidRPr="00E8678A">
          <w:rPr>
            <w:rStyle w:val="Hyperlink"/>
            <w:rFonts w:cstheme="minorHAnsi"/>
            <w:i/>
            <w:iCs/>
            <w:noProof/>
            <w:lang w:val="en-US"/>
          </w:rPr>
          <w:t>In silico</w:t>
        </w:r>
        <w:r w:rsidR="00DA6D03" w:rsidRPr="00E8678A">
          <w:rPr>
            <w:rStyle w:val="Hyperlink"/>
            <w:rFonts w:cstheme="minorHAnsi"/>
            <w:noProof/>
            <w:lang w:val="en-US"/>
          </w:rPr>
          <w:t xml:space="preserve"> coverage statistics at variant level and disease genes</w:t>
        </w:r>
        <w:r w:rsidR="00DA6D03" w:rsidRPr="00E8678A">
          <w:rPr>
            <w:noProof/>
            <w:webHidden/>
            <w:lang w:val="en-US"/>
          </w:rPr>
          <w:tab/>
        </w:r>
        <w:r w:rsidR="00DA6D03" w:rsidRPr="00E8678A">
          <w:rPr>
            <w:noProof/>
            <w:webHidden/>
            <w:lang w:val="en-US"/>
          </w:rPr>
          <w:fldChar w:fldCharType="begin"/>
        </w:r>
        <w:r w:rsidR="00DA6D03" w:rsidRPr="00E8678A">
          <w:rPr>
            <w:noProof/>
            <w:webHidden/>
            <w:lang w:val="en-US"/>
          </w:rPr>
          <w:instrText xml:space="preserve"> PAGEREF _Toc143873980 \h </w:instrText>
        </w:r>
        <w:r w:rsidR="00DA6D03" w:rsidRPr="00E8678A">
          <w:rPr>
            <w:noProof/>
            <w:webHidden/>
            <w:lang w:val="en-US"/>
          </w:rPr>
        </w:r>
        <w:r w:rsidR="00DA6D03" w:rsidRPr="00E8678A">
          <w:rPr>
            <w:noProof/>
            <w:webHidden/>
            <w:lang w:val="en-US"/>
          </w:rPr>
          <w:fldChar w:fldCharType="separate"/>
        </w:r>
        <w:r w:rsidR="00DA6D03" w:rsidRPr="00E8678A">
          <w:rPr>
            <w:noProof/>
            <w:webHidden/>
            <w:lang w:val="en-US"/>
          </w:rPr>
          <w:t>6</w:t>
        </w:r>
        <w:r w:rsidR="00DA6D03" w:rsidRPr="00E8678A">
          <w:rPr>
            <w:noProof/>
            <w:webHidden/>
            <w:lang w:val="en-US"/>
          </w:rPr>
          <w:fldChar w:fldCharType="end"/>
        </w:r>
      </w:hyperlink>
    </w:p>
    <w:p w14:paraId="6B82E73B" w14:textId="48FC6749" w:rsidR="00DA6D03" w:rsidRPr="00E8678A" w:rsidRDefault="007F05C6" w:rsidP="00A168C2">
      <w:pPr>
        <w:pStyle w:val="Inhopg1"/>
        <w:rPr>
          <w:rFonts w:eastAsiaTheme="minorEastAsia"/>
          <w:noProof/>
          <w:lang w:val="en-US" w:eastAsia="nl-NL"/>
        </w:rPr>
      </w:pPr>
      <w:hyperlink w:anchor="_Toc143873981" w:history="1">
        <w:r w:rsidR="00DA6D03" w:rsidRPr="00E8678A">
          <w:rPr>
            <w:rStyle w:val="Hyperlink"/>
            <w:rFonts w:cstheme="minorHAnsi"/>
            <w:b/>
            <w:bCs/>
            <w:noProof/>
            <w:lang w:val="en-US"/>
          </w:rPr>
          <w:t>Supplementary Figure S6:</w:t>
        </w:r>
        <w:r w:rsidR="00DA6D03" w:rsidRPr="00E8678A">
          <w:rPr>
            <w:rStyle w:val="Hyperlink"/>
            <w:rFonts w:cstheme="minorHAnsi"/>
            <w:noProof/>
            <w:lang w:val="en-US"/>
          </w:rPr>
          <w:t xml:space="preserve"> Schematic representation of referrals to Radboudumc and MUMC+ in 2022</w:t>
        </w:r>
        <w:r w:rsidR="00DA6D03" w:rsidRPr="00E8678A">
          <w:rPr>
            <w:noProof/>
            <w:webHidden/>
            <w:lang w:val="en-US"/>
          </w:rPr>
          <w:tab/>
        </w:r>
        <w:r w:rsidR="00DA6D03" w:rsidRPr="00E8678A">
          <w:rPr>
            <w:noProof/>
            <w:webHidden/>
            <w:lang w:val="en-US"/>
          </w:rPr>
          <w:fldChar w:fldCharType="begin"/>
        </w:r>
        <w:r w:rsidR="00DA6D03" w:rsidRPr="00E8678A">
          <w:rPr>
            <w:noProof/>
            <w:webHidden/>
            <w:lang w:val="en-US"/>
          </w:rPr>
          <w:instrText xml:space="preserve"> PAGEREF _Toc143873981 \h </w:instrText>
        </w:r>
        <w:r w:rsidR="00DA6D03" w:rsidRPr="00E8678A">
          <w:rPr>
            <w:noProof/>
            <w:webHidden/>
            <w:lang w:val="en-US"/>
          </w:rPr>
        </w:r>
        <w:r w:rsidR="00DA6D03" w:rsidRPr="00E8678A">
          <w:rPr>
            <w:noProof/>
            <w:webHidden/>
            <w:lang w:val="en-US"/>
          </w:rPr>
          <w:fldChar w:fldCharType="separate"/>
        </w:r>
        <w:r w:rsidR="00DA6D03" w:rsidRPr="00E8678A">
          <w:rPr>
            <w:noProof/>
            <w:webHidden/>
            <w:lang w:val="en-US"/>
          </w:rPr>
          <w:t>7</w:t>
        </w:r>
        <w:r w:rsidR="00DA6D03" w:rsidRPr="00E8678A">
          <w:rPr>
            <w:noProof/>
            <w:webHidden/>
            <w:lang w:val="en-US"/>
          </w:rPr>
          <w:fldChar w:fldCharType="end"/>
        </w:r>
      </w:hyperlink>
    </w:p>
    <w:p w14:paraId="17EDABEF" w14:textId="0C868E1D" w:rsidR="00DA6D03" w:rsidRPr="00E8678A" w:rsidRDefault="007F05C6" w:rsidP="00A168C2">
      <w:pPr>
        <w:pStyle w:val="Inhopg1"/>
        <w:rPr>
          <w:rFonts w:eastAsiaTheme="minorEastAsia"/>
          <w:noProof/>
          <w:lang w:val="en-US" w:eastAsia="nl-NL"/>
        </w:rPr>
      </w:pPr>
      <w:hyperlink w:anchor="_Toc143873982" w:history="1">
        <w:r w:rsidR="00DA6D03" w:rsidRPr="00E8678A">
          <w:rPr>
            <w:rStyle w:val="Hyperlink"/>
            <w:rFonts w:eastAsia="Times New Roman" w:cstheme="minorHAnsi"/>
            <w:b/>
            <w:bCs/>
            <w:noProof/>
            <w:lang w:val="en-US" w:eastAsia="nl-NL"/>
          </w:rPr>
          <w:t>Supplementary Figure S7:</w:t>
        </w:r>
        <w:r w:rsidR="00DA6D03" w:rsidRPr="00E8678A">
          <w:rPr>
            <w:rStyle w:val="Hyperlink"/>
            <w:rFonts w:eastAsia="Times New Roman" w:cstheme="minorHAnsi"/>
            <w:noProof/>
            <w:lang w:val="en-US" w:eastAsia="nl-NL"/>
          </w:rPr>
          <w:t xml:space="preserve"> Schematic overview of assumptions made to evaluate the impact on diagnostic yield from transition to a generic GS approach</w:t>
        </w:r>
        <w:r w:rsidR="00DA6D03" w:rsidRPr="00E8678A">
          <w:rPr>
            <w:noProof/>
            <w:webHidden/>
            <w:lang w:val="en-US"/>
          </w:rPr>
          <w:tab/>
        </w:r>
        <w:r w:rsidR="00DA6D03" w:rsidRPr="00E8678A">
          <w:rPr>
            <w:noProof/>
            <w:webHidden/>
            <w:lang w:val="en-US"/>
          </w:rPr>
          <w:fldChar w:fldCharType="begin"/>
        </w:r>
        <w:r w:rsidR="00DA6D03" w:rsidRPr="00E8678A">
          <w:rPr>
            <w:noProof/>
            <w:webHidden/>
            <w:lang w:val="en-US"/>
          </w:rPr>
          <w:instrText xml:space="preserve"> PAGEREF _Toc143873982 \h </w:instrText>
        </w:r>
        <w:r w:rsidR="00DA6D03" w:rsidRPr="00E8678A">
          <w:rPr>
            <w:noProof/>
            <w:webHidden/>
            <w:lang w:val="en-US"/>
          </w:rPr>
        </w:r>
        <w:r w:rsidR="00DA6D03" w:rsidRPr="00E8678A">
          <w:rPr>
            <w:noProof/>
            <w:webHidden/>
            <w:lang w:val="en-US"/>
          </w:rPr>
          <w:fldChar w:fldCharType="separate"/>
        </w:r>
        <w:r w:rsidR="00DA6D03" w:rsidRPr="00E8678A">
          <w:rPr>
            <w:noProof/>
            <w:webHidden/>
            <w:lang w:val="en-US"/>
          </w:rPr>
          <w:t>8</w:t>
        </w:r>
        <w:r w:rsidR="00DA6D03" w:rsidRPr="00E8678A">
          <w:rPr>
            <w:noProof/>
            <w:webHidden/>
            <w:lang w:val="en-US"/>
          </w:rPr>
          <w:fldChar w:fldCharType="end"/>
        </w:r>
      </w:hyperlink>
    </w:p>
    <w:p w14:paraId="13E9C013" w14:textId="57D3E854" w:rsidR="00DA6D03" w:rsidRPr="00E8678A" w:rsidRDefault="007F05C6" w:rsidP="00A168C2">
      <w:pPr>
        <w:pStyle w:val="Inhopg1"/>
        <w:rPr>
          <w:noProof/>
          <w:lang w:val="en-US"/>
        </w:rPr>
      </w:pPr>
      <w:hyperlink w:anchor="_Toc143873983" w:history="1">
        <w:r w:rsidR="00DA6D03" w:rsidRPr="00E8678A">
          <w:rPr>
            <w:rStyle w:val="Hyperlink"/>
            <w:rFonts w:eastAsia="Times New Roman" w:cstheme="minorHAnsi"/>
            <w:b/>
            <w:bCs/>
            <w:noProof/>
            <w:lang w:val="en-US" w:eastAsia="nl-NL"/>
          </w:rPr>
          <w:t>Supplementary Table</w:t>
        </w:r>
        <w:r w:rsidR="00A168C2" w:rsidRPr="00E8678A">
          <w:rPr>
            <w:rStyle w:val="Hyperlink"/>
            <w:rFonts w:eastAsia="Times New Roman" w:cstheme="minorHAnsi"/>
            <w:b/>
            <w:bCs/>
            <w:noProof/>
            <w:lang w:val="en-US" w:eastAsia="nl-NL"/>
          </w:rPr>
          <w:t xml:space="preserve"> S1: </w:t>
        </w:r>
        <w:r w:rsidR="00A168C2" w:rsidRPr="00E8678A">
          <w:rPr>
            <w:rStyle w:val="Hyperlink"/>
            <w:rFonts w:eastAsia="Times New Roman" w:cstheme="minorHAnsi"/>
            <w:noProof/>
            <w:lang w:val="en-US" w:eastAsia="nl-NL"/>
          </w:rPr>
          <w:t>Online excel file providing overview of 1,000 individuals and workflows used</w:t>
        </w:r>
        <w:r w:rsidR="00DA6D03" w:rsidRPr="00E8678A">
          <w:rPr>
            <w:noProof/>
            <w:webHidden/>
            <w:lang w:val="en-US"/>
          </w:rPr>
          <w:tab/>
        </w:r>
      </w:hyperlink>
    </w:p>
    <w:p w14:paraId="3BF17217" w14:textId="299E1BDE" w:rsidR="00A168C2" w:rsidRPr="00E8678A" w:rsidRDefault="007F05C6" w:rsidP="00A168C2">
      <w:pPr>
        <w:pStyle w:val="Inhopg1"/>
        <w:rPr>
          <w:noProof/>
          <w:lang w:val="en-US"/>
        </w:rPr>
      </w:pPr>
      <w:hyperlink w:anchor="_Toc143873983" w:history="1">
        <w:r w:rsidR="00A168C2" w:rsidRPr="00E8678A">
          <w:rPr>
            <w:rStyle w:val="Hyperlink"/>
            <w:rFonts w:eastAsia="Times New Roman" w:cstheme="minorHAnsi"/>
            <w:b/>
            <w:bCs/>
            <w:noProof/>
            <w:lang w:val="en-US" w:eastAsia="nl-NL"/>
          </w:rPr>
          <w:t>Supplementary Table S</w:t>
        </w:r>
        <w:r w:rsidR="000C6D2A" w:rsidRPr="00E8678A">
          <w:rPr>
            <w:rStyle w:val="Hyperlink"/>
            <w:rFonts w:eastAsia="Times New Roman" w:cstheme="minorHAnsi"/>
            <w:b/>
            <w:bCs/>
            <w:noProof/>
            <w:lang w:val="en-US" w:eastAsia="nl-NL"/>
          </w:rPr>
          <w:t>2</w:t>
        </w:r>
        <w:r w:rsidR="00A168C2" w:rsidRPr="00E8678A">
          <w:rPr>
            <w:rStyle w:val="Hyperlink"/>
            <w:rFonts w:eastAsia="Times New Roman" w:cstheme="minorHAnsi"/>
            <w:b/>
            <w:bCs/>
            <w:noProof/>
            <w:lang w:val="en-US" w:eastAsia="nl-NL"/>
          </w:rPr>
          <w:t xml:space="preserve">: </w:t>
        </w:r>
        <w:r w:rsidR="00A168C2" w:rsidRPr="00E8678A">
          <w:rPr>
            <w:rStyle w:val="Hyperlink"/>
            <w:rFonts w:eastAsia="Times New Roman" w:cstheme="minorHAnsi"/>
            <w:noProof/>
            <w:lang w:val="en-US" w:eastAsia="nl-NL"/>
          </w:rPr>
          <w:t>Online excel file providing of 1,271 genetic variants in 1,000 individuals</w:t>
        </w:r>
        <w:r w:rsidR="00A168C2" w:rsidRPr="00E8678A">
          <w:rPr>
            <w:noProof/>
            <w:webHidden/>
            <w:lang w:val="en-US"/>
          </w:rPr>
          <w:tab/>
        </w:r>
      </w:hyperlink>
    </w:p>
    <w:p w14:paraId="097A60FD" w14:textId="54A374E8" w:rsidR="00DA6D03" w:rsidRPr="00E8678A" w:rsidRDefault="007F05C6" w:rsidP="00A168C2">
      <w:pPr>
        <w:pStyle w:val="Inhopg1"/>
        <w:rPr>
          <w:noProof/>
          <w:lang w:val="en-US"/>
        </w:rPr>
      </w:pPr>
      <w:hyperlink w:anchor="_Toc143873984" w:history="1">
        <w:r w:rsidR="00DA6D03" w:rsidRPr="00E8678A">
          <w:rPr>
            <w:rStyle w:val="Hyperlink"/>
            <w:rFonts w:eastAsia="Times New Roman" w:cstheme="minorHAnsi"/>
            <w:b/>
            <w:bCs/>
            <w:noProof/>
            <w:lang w:val="en-US" w:eastAsia="nl-NL"/>
          </w:rPr>
          <w:t xml:space="preserve">Supplementary Table S3: </w:t>
        </w:r>
        <w:r w:rsidR="00DA6D03" w:rsidRPr="00E8678A">
          <w:rPr>
            <w:rStyle w:val="Hyperlink"/>
            <w:rFonts w:eastAsia="Times New Roman" w:cstheme="minorHAnsi"/>
            <w:noProof/>
            <w:lang w:val="en-US" w:eastAsia="nl-NL"/>
          </w:rPr>
          <w:t>GS sensitivity</w:t>
        </w:r>
        <w:r w:rsidR="00DA6D03" w:rsidRPr="00E8678A">
          <w:rPr>
            <w:noProof/>
            <w:webHidden/>
            <w:lang w:val="en-US"/>
          </w:rPr>
          <w:tab/>
        </w:r>
      </w:hyperlink>
      <w:r w:rsidR="00A168C2" w:rsidRPr="00E8678A">
        <w:rPr>
          <w:noProof/>
          <w:lang w:val="en-US"/>
        </w:rPr>
        <w:t>9</w:t>
      </w:r>
    </w:p>
    <w:p w14:paraId="3028BC01" w14:textId="7B57E873" w:rsidR="00A168C2" w:rsidRPr="00E8678A" w:rsidRDefault="007F05C6" w:rsidP="00A168C2">
      <w:pPr>
        <w:pStyle w:val="Inhopg1"/>
        <w:rPr>
          <w:noProof/>
          <w:lang w:val="en-US"/>
        </w:rPr>
      </w:pPr>
      <w:hyperlink w:anchor="_Toc143873983" w:history="1">
        <w:r w:rsidR="00A168C2" w:rsidRPr="00E8678A">
          <w:rPr>
            <w:rStyle w:val="Hyperlink"/>
            <w:rFonts w:eastAsia="Times New Roman" w:cstheme="minorHAnsi"/>
            <w:b/>
            <w:bCs/>
            <w:noProof/>
            <w:lang w:val="en-US" w:eastAsia="nl-NL"/>
          </w:rPr>
          <w:t xml:space="preserve">Supplementary Table S4: </w:t>
        </w:r>
        <w:r w:rsidR="00A168C2" w:rsidRPr="00E8678A">
          <w:rPr>
            <w:rStyle w:val="Hyperlink"/>
            <w:rFonts w:eastAsia="Times New Roman" w:cstheme="minorHAnsi"/>
            <w:noProof/>
            <w:lang w:val="en-US" w:eastAsia="nl-NL"/>
          </w:rPr>
          <w:t>Online excel file providing Online excel file providing genomic coordinates [GRCh38] and coverage statistics for 58,393 variants for which previously (likely) pathogenic variants were described.</w:t>
        </w:r>
        <w:r w:rsidR="00A168C2" w:rsidRPr="00E8678A">
          <w:rPr>
            <w:noProof/>
            <w:webHidden/>
            <w:lang w:val="en-US"/>
          </w:rPr>
          <w:tab/>
        </w:r>
      </w:hyperlink>
    </w:p>
    <w:p w14:paraId="25C14BFB" w14:textId="3176EDBF" w:rsidR="00A168C2" w:rsidRPr="00E8678A" w:rsidRDefault="007F05C6" w:rsidP="00A168C2">
      <w:pPr>
        <w:pStyle w:val="Inhopg1"/>
        <w:rPr>
          <w:noProof/>
          <w:lang w:val="en-US"/>
        </w:rPr>
      </w:pPr>
      <w:hyperlink w:anchor="_Toc143873983" w:history="1">
        <w:r w:rsidR="00A168C2" w:rsidRPr="00E8678A">
          <w:rPr>
            <w:rStyle w:val="Hyperlink"/>
            <w:rFonts w:eastAsia="Times New Roman" w:cstheme="minorHAnsi"/>
            <w:b/>
            <w:bCs/>
            <w:noProof/>
            <w:lang w:val="en-US" w:eastAsia="nl-NL"/>
          </w:rPr>
          <w:t xml:space="preserve">Supplementary Table S5: </w:t>
        </w:r>
        <w:r w:rsidR="00A168C2" w:rsidRPr="00E8678A">
          <w:rPr>
            <w:rStyle w:val="Hyperlink"/>
            <w:rFonts w:eastAsia="Times New Roman" w:cstheme="minorHAnsi"/>
            <w:noProof/>
            <w:lang w:val="en-US" w:eastAsia="nl-NL"/>
          </w:rPr>
          <w:t>Online excel file providing coverage statistics for 4,266 disease-associated genes</w:t>
        </w:r>
        <w:r w:rsidR="00A168C2" w:rsidRPr="00E8678A">
          <w:rPr>
            <w:noProof/>
            <w:webHidden/>
            <w:lang w:val="en-US"/>
          </w:rPr>
          <w:tab/>
        </w:r>
      </w:hyperlink>
    </w:p>
    <w:p w14:paraId="3A357726" w14:textId="77777777" w:rsidR="00A168C2" w:rsidRPr="00E8678A" w:rsidRDefault="00A168C2" w:rsidP="00A168C2">
      <w:pPr>
        <w:rPr>
          <w:lang w:val="en-US"/>
        </w:rPr>
      </w:pPr>
    </w:p>
    <w:p w14:paraId="59F3DBD5" w14:textId="7E3CAA6A" w:rsidR="00BC3174" w:rsidRPr="00E8678A" w:rsidRDefault="00DA6D03" w:rsidP="000C6D2A">
      <w:pPr>
        <w:rPr>
          <w:rFonts w:eastAsia="Times New Roman" w:cstheme="minorHAnsi"/>
          <w:b/>
          <w:bCs/>
          <w:sz w:val="20"/>
          <w:szCs w:val="20"/>
          <w:lang w:val="en-US" w:eastAsia="nl-NL"/>
        </w:rPr>
      </w:pPr>
      <w:r w:rsidRPr="00E8678A">
        <w:rPr>
          <w:rFonts w:ascii="Arial Nova" w:eastAsia="Times New Roman" w:hAnsi="Arial Nova"/>
          <w:sz w:val="20"/>
          <w:szCs w:val="20"/>
          <w:lang w:val="en-US" w:eastAsia="nl-NL"/>
        </w:rPr>
        <w:lastRenderedPageBreak/>
        <w:fldChar w:fldCharType="end"/>
      </w:r>
      <w:bookmarkStart w:id="6" w:name="_Toc143873976"/>
      <w:r w:rsidR="00BC3174" w:rsidRPr="00E8678A">
        <w:rPr>
          <w:rFonts w:eastAsia="Times New Roman" w:cstheme="minorHAnsi"/>
          <w:b/>
          <w:bCs/>
          <w:sz w:val="20"/>
          <w:szCs w:val="20"/>
          <w:lang w:val="en-US" w:eastAsia="nl-NL"/>
        </w:rPr>
        <w:t>Supplementary Figure S1: Scenario model to determine individuals eligible for GS-first strategy</w:t>
      </w:r>
      <w:bookmarkEnd w:id="6"/>
    </w:p>
    <w:p w14:paraId="44AAFAF1" w14:textId="77777777" w:rsidR="00921A03" w:rsidRPr="00E8678A" w:rsidRDefault="00921A03" w:rsidP="00921A03">
      <w:pPr>
        <w:rPr>
          <w:lang w:val="en-US" w:eastAsia="nl-NL"/>
        </w:rPr>
      </w:pPr>
    </w:p>
    <w:p w14:paraId="1C5BD17E" w14:textId="16487E3E" w:rsidR="00BC3174" w:rsidRPr="00E8678A" w:rsidRDefault="00AC5B1D" w:rsidP="00952586">
      <w:pPr>
        <w:pStyle w:val="Kop3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bookmarkStart w:id="7" w:name="_Toc143873977"/>
      <w:bookmarkEnd w:id="5"/>
      <w:r w:rsidRPr="00E8678A">
        <w:rPr>
          <w:rFonts w:ascii="Calibri" w:eastAsia="Times New Roman" w:hAnsi="Calibri" w:cs="Calibri"/>
          <w:b/>
          <w:bCs/>
          <w:noProof/>
          <w:color w:val="000000"/>
          <w:lang w:val="en-US" w:eastAsia="nl-NL"/>
        </w:rPr>
        <w:drawing>
          <wp:inline distT="0" distB="0" distL="0" distR="0" wp14:anchorId="761FBFBA" wp14:editId="4C95C88E">
            <wp:extent cx="5760720" cy="760857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78A">
        <w:rPr>
          <w:rFonts w:ascii="Calibri" w:eastAsia="Times New Roman" w:hAnsi="Calibri" w:cs="Calibri"/>
          <w:b/>
          <w:bCs/>
          <w:color w:val="000000"/>
          <w:lang w:val="en-US" w:eastAsia="nl-NL"/>
        </w:rPr>
        <w:t xml:space="preserve"> </w:t>
      </w:r>
      <w:r w:rsidR="00BC3174" w:rsidRPr="00E8678A">
        <w:rPr>
          <w:rFonts w:ascii="Calibri" w:eastAsia="Times New Roman" w:hAnsi="Calibri" w:cs="Calibri"/>
          <w:b/>
          <w:bCs/>
          <w:color w:val="000000"/>
          <w:lang w:val="en-US" w:eastAsia="nl-NL"/>
        </w:rPr>
        <w:br w:type="page"/>
      </w:r>
      <w:r w:rsidR="00BC3174" w:rsidRPr="00E8678A">
        <w:rPr>
          <w:rStyle w:val="Kop1Char"/>
          <w:rFonts w:asciiTheme="minorHAnsi" w:hAnsiTheme="minorHAnsi" w:cstheme="minorHAnsi"/>
          <w:b/>
          <w:bCs/>
          <w:sz w:val="20"/>
          <w:szCs w:val="20"/>
          <w:lang w:val="en-US"/>
        </w:rPr>
        <w:lastRenderedPageBreak/>
        <w:t>Supplementary Figure S2: A cohort of 1000 cases with clinically relevant variants spanning the broad range of genome diagnostics</w:t>
      </w:r>
      <w:r w:rsidR="00BC3174"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bookmarkEnd w:id="7"/>
      <w:r w:rsidR="00BC3174"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</w:p>
    <w:p w14:paraId="63333A8E" w14:textId="637F673F" w:rsidR="005C26A5" w:rsidRPr="00E8678A" w:rsidRDefault="00921860" w:rsidP="006F3DAC">
      <w:pPr>
        <w:rPr>
          <w:noProof/>
          <w:lang w:val="en-US"/>
        </w:rPr>
      </w:pPr>
      <w:r w:rsidRPr="00E8678A"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7F22008A" wp14:editId="29A8D5A6">
            <wp:simplePos x="0" y="0"/>
            <wp:positionH relativeFrom="margin">
              <wp:align>right</wp:align>
            </wp:positionH>
            <wp:positionV relativeFrom="paragraph">
              <wp:posOffset>206147</wp:posOffset>
            </wp:positionV>
            <wp:extent cx="5760720" cy="225171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93462" w14:textId="0C98206C" w:rsidR="00921860" w:rsidRPr="00E8678A" w:rsidRDefault="00921860" w:rsidP="006F3DAC">
      <w:pPr>
        <w:rPr>
          <w:noProof/>
          <w:lang w:val="en-US"/>
        </w:rPr>
      </w:pPr>
      <w:r w:rsidRPr="00E8678A">
        <w:rPr>
          <w:noProof/>
          <w:lang w:val="en-US"/>
        </w:rPr>
        <w:t xml:space="preserve">    </w:t>
      </w:r>
      <w:r w:rsidR="006E63DE" w:rsidRPr="00E8678A">
        <w:rPr>
          <w:noProof/>
          <w:lang w:val="en-US"/>
        </w:rPr>
        <w:t>A</w:t>
      </w:r>
      <w:r w:rsidR="0058438F" w:rsidRPr="00E8678A">
        <w:rPr>
          <w:noProof/>
          <w:lang w:val="en-US"/>
        </w:rPr>
        <w:tab/>
      </w:r>
      <w:r w:rsidR="0058438F" w:rsidRPr="00E8678A">
        <w:rPr>
          <w:noProof/>
          <w:lang w:val="en-US"/>
        </w:rPr>
        <w:tab/>
      </w:r>
      <w:r w:rsidR="0058438F" w:rsidRPr="00E8678A">
        <w:rPr>
          <w:noProof/>
          <w:lang w:val="en-US"/>
        </w:rPr>
        <w:tab/>
      </w:r>
      <w:r w:rsidR="0058438F" w:rsidRPr="00E8678A">
        <w:rPr>
          <w:noProof/>
          <w:lang w:val="en-US"/>
        </w:rPr>
        <w:tab/>
      </w:r>
      <w:r w:rsidR="0058438F" w:rsidRPr="00E8678A">
        <w:rPr>
          <w:noProof/>
          <w:lang w:val="en-US"/>
        </w:rPr>
        <w:tab/>
      </w:r>
      <w:r w:rsidR="0058438F" w:rsidRPr="00E8678A">
        <w:rPr>
          <w:noProof/>
          <w:lang w:val="en-US"/>
        </w:rPr>
        <w:tab/>
      </w:r>
    </w:p>
    <w:p w14:paraId="4A5C402C" w14:textId="2FE837FC" w:rsidR="00AE5809" w:rsidRPr="00E8678A" w:rsidRDefault="00921860" w:rsidP="00921860">
      <w:pPr>
        <w:ind w:left="2832" w:firstLine="708"/>
        <w:rPr>
          <w:noProof/>
          <w:lang w:val="en-US"/>
        </w:rPr>
      </w:pPr>
      <w:r w:rsidRPr="00E8678A">
        <w:rPr>
          <w:noProof/>
          <w:lang w:val="en-US"/>
        </w:rPr>
        <w:t xml:space="preserve">        </w:t>
      </w:r>
      <w:r w:rsidR="006E63DE" w:rsidRPr="00E8678A">
        <w:rPr>
          <w:noProof/>
          <w:lang w:val="en-US"/>
        </w:rPr>
        <w:t>B</w:t>
      </w:r>
    </w:p>
    <w:p w14:paraId="3D9B42FF" w14:textId="2BC6474B" w:rsidR="00AE5809" w:rsidRPr="00E8678A" w:rsidRDefault="00AE5809" w:rsidP="006F3DAC">
      <w:pPr>
        <w:rPr>
          <w:noProof/>
          <w:lang w:val="en-US"/>
        </w:rPr>
      </w:pPr>
    </w:p>
    <w:p w14:paraId="70A9E574" w14:textId="40D491D8" w:rsidR="00AE5809" w:rsidRPr="00E8678A" w:rsidRDefault="00AE5809" w:rsidP="006F3DAC">
      <w:pPr>
        <w:rPr>
          <w:noProof/>
          <w:lang w:val="en-US"/>
        </w:rPr>
      </w:pPr>
    </w:p>
    <w:p w14:paraId="47E91BBA" w14:textId="77777777" w:rsidR="00921860" w:rsidRPr="00E8678A" w:rsidRDefault="00921860" w:rsidP="00921860">
      <w:pPr>
        <w:rPr>
          <w:noProof/>
          <w:lang w:val="en-US"/>
        </w:rPr>
      </w:pPr>
    </w:p>
    <w:p w14:paraId="5AD09AB6" w14:textId="4FA7A30C" w:rsidR="00AE5809" w:rsidRPr="00E8678A" w:rsidRDefault="00921860" w:rsidP="00921860">
      <w:pPr>
        <w:ind w:left="3540"/>
        <w:rPr>
          <w:noProof/>
          <w:lang w:val="en-US"/>
        </w:rPr>
      </w:pPr>
      <w:r w:rsidRPr="00E8678A">
        <w:rPr>
          <w:noProof/>
          <w:lang w:val="en-US"/>
        </w:rPr>
        <w:t xml:space="preserve">        </w:t>
      </w:r>
      <w:r w:rsidR="006E63DE" w:rsidRPr="00E8678A">
        <w:rPr>
          <w:noProof/>
          <w:lang w:val="en-US"/>
        </w:rPr>
        <w:t>C</w:t>
      </w:r>
    </w:p>
    <w:p w14:paraId="071A4207" w14:textId="77777777" w:rsidR="00921860" w:rsidRPr="00E8678A" w:rsidRDefault="00921860" w:rsidP="006F3DAC">
      <w:pPr>
        <w:rPr>
          <w:lang w:val="en-US"/>
        </w:rPr>
      </w:pPr>
    </w:p>
    <w:p w14:paraId="72AC2C95" w14:textId="3EBF45D0" w:rsidR="00DB487E" w:rsidRPr="00E8678A" w:rsidRDefault="0058438F" w:rsidP="006F3DAC">
      <w:pPr>
        <w:rPr>
          <w:sz w:val="20"/>
          <w:szCs w:val="20"/>
          <w:lang w:val="en-US"/>
        </w:rPr>
      </w:pPr>
      <w:r w:rsidRPr="00E8678A">
        <w:rPr>
          <w:b/>
          <w:bCs/>
          <w:sz w:val="20"/>
          <w:szCs w:val="20"/>
          <w:lang w:val="en-US"/>
        </w:rPr>
        <w:t>A</w:t>
      </w:r>
      <w:r w:rsidRPr="00E8678A">
        <w:rPr>
          <w:sz w:val="20"/>
          <w:szCs w:val="20"/>
          <w:lang w:val="en-US"/>
        </w:rPr>
        <w:t xml:space="preserve"> The 1000 genomes cohort consisted of 50</w:t>
      </w:r>
      <w:r w:rsidR="009A33E2" w:rsidRPr="00E8678A">
        <w:rPr>
          <w:sz w:val="20"/>
          <w:szCs w:val="20"/>
          <w:lang w:val="en-US"/>
        </w:rPr>
        <w:t>5</w:t>
      </w:r>
      <w:r w:rsidRPr="00E8678A">
        <w:rPr>
          <w:sz w:val="20"/>
          <w:szCs w:val="20"/>
          <w:lang w:val="en-US"/>
        </w:rPr>
        <w:t xml:space="preserve"> males and </w:t>
      </w:r>
      <w:r w:rsidR="009A33E2" w:rsidRPr="00E8678A">
        <w:rPr>
          <w:sz w:val="20"/>
          <w:szCs w:val="20"/>
          <w:lang w:val="en-US"/>
        </w:rPr>
        <w:t xml:space="preserve">495 </w:t>
      </w:r>
      <w:r w:rsidRPr="00E8678A">
        <w:rPr>
          <w:sz w:val="20"/>
          <w:szCs w:val="20"/>
          <w:lang w:val="en-US"/>
        </w:rPr>
        <w:t>females</w:t>
      </w:r>
      <w:r w:rsidR="009A33E2" w:rsidRPr="00E8678A">
        <w:rPr>
          <w:sz w:val="20"/>
          <w:szCs w:val="20"/>
          <w:lang w:val="en-US"/>
        </w:rPr>
        <w:t>,</w:t>
      </w:r>
      <w:r w:rsidRPr="00E8678A">
        <w:rPr>
          <w:sz w:val="20"/>
          <w:szCs w:val="20"/>
          <w:lang w:val="en-US"/>
        </w:rPr>
        <w:t xml:space="preserve"> who were genetically diagnosed in the Radboudumc or Maastricht UMC+</w:t>
      </w:r>
      <w:r w:rsidR="009A33E2" w:rsidRPr="00E8678A">
        <w:rPr>
          <w:sz w:val="20"/>
          <w:szCs w:val="20"/>
          <w:lang w:val="en-US"/>
        </w:rPr>
        <w:t xml:space="preserve"> in 2018</w:t>
      </w:r>
      <w:r w:rsidRPr="00E8678A">
        <w:rPr>
          <w:sz w:val="20"/>
          <w:szCs w:val="20"/>
          <w:lang w:val="en-US"/>
        </w:rPr>
        <w:t xml:space="preserve">. The assays that were performed to find these diagnoses were either targeting specific variants and single (or a small set of) genes or complete gene panels or chromosomes were analyzed based on the </w:t>
      </w:r>
      <w:r w:rsidR="009A33E2" w:rsidRPr="00E8678A">
        <w:rPr>
          <w:sz w:val="20"/>
          <w:szCs w:val="20"/>
          <w:lang w:val="en-US"/>
        </w:rPr>
        <w:t>patient’s</w:t>
      </w:r>
      <w:r w:rsidRPr="00E8678A">
        <w:rPr>
          <w:sz w:val="20"/>
          <w:szCs w:val="20"/>
          <w:lang w:val="en-US"/>
        </w:rPr>
        <w:t xml:space="preserve"> phenotype. </w:t>
      </w:r>
      <w:r w:rsidR="006E63DE" w:rsidRPr="00E8678A">
        <w:rPr>
          <w:b/>
          <w:bCs/>
          <w:sz w:val="20"/>
          <w:szCs w:val="20"/>
          <w:lang w:val="en-US"/>
        </w:rPr>
        <w:t>B</w:t>
      </w:r>
      <w:r w:rsidRPr="00E8678A">
        <w:rPr>
          <w:sz w:val="20"/>
          <w:szCs w:val="20"/>
          <w:lang w:val="en-US"/>
        </w:rPr>
        <w:t xml:space="preserve"> In these cases</w:t>
      </w:r>
      <w:r w:rsidR="009A33E2" w:rsidRPr="00E8678A">
        <w:rPr>
          <w:sz w:val="20"/>
          <w:szCs w:val="20"/>
          <w:lang w:val="en-US"/>
        </w:rPr>
        <w:t>,</w:t>
      </w:r>
      <w:r w:rsidRPr="00E8678A">
        <w:rPr>
          <w:sz w:val="20"/>
          <w:szCs w:val="20"/>
          <w:lang w:val="en-US"/>
        </w:rPr>
        <w:t xml:space="preserve"> a total of </w:t>
      </w:r>
      <w:r w:rsidR="009A33E2" w:rsidRPr="00E8678A">
        <w:rPr>
          <w:sz w:val="20"/>
          <w:szCs w:val="20"/>
          <w:lang w:val="en-US"/>
        </w:rPr>
        <w:t>1,271</w:t>
      </w:r>
      <w:r w:rsidRPr="00E8678A">
        <w:rPr>
          <w:sz w:val="20"/>
          <w:szCs w:val="20"/>
          <w:lang w:val="en-US"/>
        </w:rPr>
        <w:t xml:space="preserve"> variants w</w:t>
      </w:r>
      <w:r w:rsidR="00C90325">
        <w:rPr>
          <w:sz w:val="20"/>
          <w:szCs w:val="20"/>
          <w:lang w:val="en-US"/>
        </w:rPr>
        <w:t>ere</w:t>
      </w:r>
      <w:r w:rsidRPr="00E8678A">
        <w:rPr>
          <w:sz w:val="20"/>
          <w:szCs w:val="20"/>
          <w:lang w:val="en-US"/>
        </w:rPr>
        <w:t xml:space="preserve"> identified</w:t>
      </w:r>
      <w:r w:rsidR="009A33E2" w:rsidRPr="00E8678A">
        <w:rPr>
          <w:sz w:val="20"/>
          <w:szCs w:val="20"/>
          <w:lang w:val="en-US"/>
        </w:rPr>
        <w:t>, requiring &gt;</w:t>
      </w:r>
      <w:r w:rsidRPr="00E8678A">
        <w:rPr>
          <w:sz w:val="20"/>
          <w:szCs w:val="20"/>
          <w:lang w:val="en-US"/>
        </w:rPr>
        <w:t xml:space="preserve">10 different workflows </w:t>
      </w:r>
      <w:r w:rsidR="009A33E2" w:rsidRPr="00E8678A">
        <w:rPr>
          <w:sz w:val="20"/>
          <w:szCs w:val="20"/>
          <w:lang w:val="en-US"/>
        </w:rPr>
        <w:t xml:space="preserve">to </w:t>
      </w:r>
      <w:r w:rsidRPr="00E8678A">
        <w:rPr>
          <w:sz w:val="20"/>
          <w:szCs w:val="20"/>
          <w:lang w:val="en-US"/>
        </w:rPr>
        <w:t>diagnos</w:t>
      </w:r>
      <w:r w:rsidR="009A33E2" w:rsidRPr="00E8678A">
        <w:rPr>
          <w:sz w:val="20"/>
          <w:szCs w:val="20"/>
          <w:lang w:val="en-US"/>
        </w:rPr>
        <w:t>e them</w:t>
      </w:r>
      <w:r w:rsidRPr="00E8678A">
        <w:rPr>
          <w:sz w:val="20"/>
          <w:szCs w:val="20"/>
          <w:lang w:val="en-US"/>
        </w:rPr>
        <w:t xml:space="preserve">. </w:t>
      </w:r>
      <w:r w:rsidR="006E63DE" w:rsidRPr="00E8678A">
        <w:rPr>
          <w:b/>
          <w:bCs/>
          <w:sz w:val="20"/>
          <w:szCs w:val="20"/>
          <w:lang w:val="en-US"/>
        </w:rPr>
        <w:t>C</w:t>
      </w:r>
      <w:r w:rsidR="00AE5809" w:rsidRPr="00E8678A">
        <w:rPr>
          <w:sz w:val="20"/>
          <w:szCs w:val="20"/>
          <w:lang w:val="en-US"/>
        </w:rPr>
        <w:t xml:space="preserve"> </w:t>
      </w:r>
      <w:r w:rsidRPr="00E8678A">
        <w:rPr>
          <w:sz w:val="20"/>
          <w:szCs w:val="20"/>
          <w:lang w:val="en-US"/>
        </w:rPr>
        <w:t>The variants</w:t>
      </w:r>
      <w:r w:rsidR="009A33E2" w:rsidRPr="00E8678A">
        <w:rPr>
          <w:sz w:val="20"/>
          <w:szCs w:val="20"/>
          <w:lang w:val="en-US"/>
        </w:rPr>
        <w:t xml:space="preserve"> were</w:t>
      </w:r>
      <w:r w:rsidRPr="00E8678A">
        <w:rPr>
          <w:sz w:val="20"/>
          <w:szCs w:val="20"/>
          <w:lang w:val="en-US"/>
        </w:rPr>
        <w:t xml:space="preserve"> grouped in small</w:t>
      </w:r>
      <w:r w:rsidR="009A33E2" w:rsidRPr="00E8678A">
        <w:rPr>
          <w:sz w:val="20"/>
          <w:szCs w:val="20"/>
          <w:lang w:val="en-US"/>
        </w:rPr>
        <w:t xml:space="preserve"> (&lt;50 bp)</w:t>
      </w:r>
      <w:r w:rsidRPr="00E8678A">
        <w:rPr>
          <w:sz w:val="20"/>
          <w:szCs w:val="20"/>
          <w:lang w:val="en-US"/>
        </w:rPr>
        <w:t>, large</w:t>
      </w:r>
      <w:r w:rsidR="009A33E2" w:rsidRPr="00E8678A">
        <w:rPr>
          <w:sz w:val="20"/>
          <w:szCs w:val="20"/>
          <w:lang w:val="en-US"/>
        </w:rPr>
        <w:t xml:space="preserve"> (50 bp and up)</w:t>
      </w:r>
      <w:r w:rsidRPr="00E8678A">
        <w:rPr>
          <w:sz w:val="20"/>
          <w:szCs w:val="20"/>
          <w:lang w:val="en-US"/>
        </w:rPr>
        <w:t>, and other variants</w:t>
      </w:r>
      <w:r w:rsidR="009A33E2" w:rsidRPr="00E8678A">
        <w:rPr>
          <w:sz w:val="20"/>
          <w:szCs w:val="20"/>
          <w:lang w:val="en-US"/>
        </w:rPr>
        <w:t xml:space="preserve"> (SVs and CA)</w:t>
      </w:r>
      <w:r w:rsidRPr="00E8678A">
        <w:rPr>
          <w:sz w:val="20"/>
          <w:szCs w:val="20"/>
          <w:lang w:val="en-US"/>
        </w:rPr>
        <w:t xml:space="preserve">. </w:t>
      </w:r>
    </w:p>
    <w:p w14:paraId="1B1AE9FD" w14:textId="787B4BE7" w:rsidR="0058438F" w:rsidRPr="00E8678A" w:rsidRDefault="00DB487E" w:rsidP="006F3DAC">
      <w:pPr>
        <w:rPr>
          <w:sz w:val="18"/>
          <w:szCs w:val="18"/>
          <w:lang w:val="en-US"/>
        </w:rPr>
      </w:pPr>
      <w:r w:rsidRPr="00E8678A">
        <w:rPr>
          <w:sz w:val="18"/>
          <w:szCs w:val="18"/>
          <w:lang w:val="en-US"/>
        </w:rPr>
        <w:t xml:space="preserve">Abbreviations: </w:t>
      </w:r>
      <w:r w:rsidR="00F87776" w:rsidRPr="00E8678A">
        <w:rPr>
          <w:sz w:val="18"/>
          <w:szCs w:val="18"/>
          <w:lang w:val="en-US"/>
        </w:rPr>
        <w:t xml:space="preserve">targeted next generation sequencing ((t)NGS), deletion </w:t>
      </w:r>
      <w:r w:rsidR="0058438F" w:rsidRPr="00E8678A">
        <w:rPr>
          <w:sz w:val="18"/>
          <w:szCs w:val="18"/>
          <w:lang w:val="en-US"/>
        </w:rPr>
        <w:t>polymerase chain reaction (</w:t>
      </w:r>
      <w:proofErr w:type="spellStart"/>
      <w:r w:rsidR="00F87776" w:rsidRPr="00E8678A">
        <w:rPr>
          <w:sz w:val="18"/>
          <w:szCs w:val="18"/>
          <w:lang w:val="en-US"/>
        </w:rPr>
        <w:t>Del</w:t>
      </w:r>
      <w:r w:rsidR="0058438F" w:rsidRPr="00E8678A">
        <w:rPr>
          <w:sz w:val="18"/>
          <w:szCs w:val="18"/>
          <w:lang w:val="en-US"/>
        </w:rPr>
        <w:t>PCR</w:t>
      </w:r>
      <w:proofErr w:type="spellEnd"/>
      <w:r w:rsidR="0058438F" w:rsidRPr="00E8678A">
        <w:rPr>
          <w:sz w:val="18"/>
          <w:szCs w:val="18"/>
          <w:lang w:val="en-US"/>
        </w:rPr>
        <w:t>), multiplex ligation-</w:t>
      </w:r>
      <w:r w:rsidR="00B81A22" w:rsidRPr="00E8678A">
        <w:rPr>
          <w:sz w:val="18"/>
          <w:szCs w:val="18"/>
          <w:lang w:val="en-US"/>
        </w:rPr>
        <w:t>dependent</w:t>
      </w:r>
      <w:r w:rsidR="0058438F" w:rsidRPr="00E8678A">
        <w:rPr>
          <w:sz w:val="18"/>
          <w:szCs w:val="18"/>
          <w:lang w:val="en-US"/>
        </w:rPr>
        <w:t xml:space="preserve"> probe amplification (MLPA), fluorescent in situ </w:t>
      </w:r>
      <w:proofErr w:type="spellStart"/>
      <w:r w:rsidR="0058438F" w:rsidRPr="00E8678A">
        <w:rPr>
          <w:sz w:val="18"/>
          <w:szCs w:val="18"/>
          <w:lang w:val="en-US"/>
        </w:rPr>
        <w:t>hybridisation</w:t>
      </w:r>
      <w:proofErr w:type="spellEnd"/>
      <w:r w:rsidR="0058438F" w:rsidRPr="00E8678A">
        <w:rPr>
          <w:sz w:val="18"/>
          <w:szCs w:val="18"/>
          <w:lang w:val="en-US"/>
        </w:rPr>
        <w:t xml:space="preserve"> (FISH), exome sequencing (ES), single nucleotide variants (SNV), copy number variants (CNV), short tandem repeat expansions (STRs), uniparental </w:t>
      </w:r>
      <w:proofErr w:type="spellStart"/>
      <w:r w:rsidR="0058438F" w:rsidRPr="00E8678A">
        <w:rPr>
          <w:sz w:val="18"/>
          <w:szCs w:val="18"/>
          <w:lang w:val="en-US"/>
        </w:rPr>
        <w:t>disomy</w:t>
      </w:r>
      <w:proofErr w:type="spellEnd"/>
      <w:r w:rsidR="0058438F" w:rsidRPr="00E8678A">
        <w:rPr>
          <w:sz w:val="18"/>
          <w:szCs w:val="18"/>
          <w:lang w:val="en-US"/>
        </w:rPr>
        <w:t xml:space="preserve"> (UPD), structural variants (SV), chromosome anomalies (CA)</w:t>
      </w:r>
    </w:p>
    <w:p w14:paraId="462FAA8B" w14:textId="77777777" w:rsidR="00AE5809" w:rsidRPr="00E8678A" w:rsidRDefault="00AE5809" w:rsidP="0058438F">
      <w:pPr>
        <w:rPr>
          <w:lang w:val="en-US"/>
        </w:rPr>
      </w:pPr>
    </w:p>
    <w:p w14:paraId="284460B5" w14:textId="043A9D0A" w:rsidR="0066654C" w:rsidRPr="00E8678A" w:rsidRDefault="0066654C" w:rsidP="0066654C">
      <w:pPr>
        <w:pStyle w:val="Kop2"/>
        <w:rPr>
          <w:lang w:val="en-US"/>
        </w:rPr>
      </w:pPr>
    </w:p>
    <w:p w14:paraId="7AC67DC6" w14:textId="0B3874F9" w:rsidR="009A33E2" w:rsidRPr="00E8678A" w:rsidRDefault="009A33E2">
      <w:pPr>
        <w:rPr>
          <w:lang w:val="en-US"/>
        </w:rPr>
      </w:pPr>
      <w:r w:rsidRPr="00E8678A">
        <w:rPr>
          <w:lang w:val="en-US"/>
        </w:rPr>
        <w:br w:type="page"/>
      </w:r>
    </w:p>
    <w:p w14:paraId="6D0194E6" w14:textId="77777777" w:rsidR="00BC3174" w:rsidRPr="00E8678A" w:rsidRDefault="00BC3174" w:rsidP="00952586">
      <w:pPr>
        <w:pStyle w:val="Kop3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bookmarkStart w:id="8" w:name="_Toc143873978"/>
      <w:bookmarkStart w:id="9" w:name="_Hlk103252294"/>
      <w:r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lastRenderedPageBreak/>
        <w:t>Supplementary Figure S3: The average output of 1000 genomes.</w:t>
      </w:r>
      <w:bookmarkEnd w:id="8"/>
      <w:r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bookmarkEnd w:id="9"/>
    </w:p>
    <w:p w14:paraId="35C07209" w14:textId="65E71445" w:rsidR="0066654C" w:rsidRPr="00E8678A" w:rsidRDefault="0066654C">
      <w:pPr>
        <w:rPr>
          <w:lang w:val="en-US"/>
        </w:rPr>
      </w:pPr>
      <w:r w:rsidRPr="00E8678A">
        <w:rPr>
          <w:noProof/>
          <w:lang w:val="en-US"/>
        </w:rPr>
        <w:drawing>
          <wp:inline distT="0" distB="0" distL="0" distR="0" wp14:anchorId="1D6E2694" wp14:editId="7793DC66">
            <wp:extent cx="5760720" cy="2740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967"/>
                    <a:stretch/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CD152" w14:textId="23034B1E" w:rsidR="00E829C0" w:rsidRPr="00E8678A" w:rsidRDefault="0058438F" w:rsidP="00E829C0">
      <w:pPr>
        <w:rPr>
          <w:sz w:val="20"/>
          <w:szCs w:val="20"/>
          <w:lang w:val="en-US"/>
        </w:rPr>
      </w:pPr>
      <w:r w:rsidRPr="00E8678A">
        <w:rPr>
          <w:b/>
          <w:bCs/>
          <w:sz w:val="20"/>
          <w:szCs w:val="20"/>
          <w:lang w:val="en-US"/>
        </w:rPr>
        <w:t>A</w:t>
      </w:r>
      <w:r w:rsidRPr="00E8678A">
        <w:rPr>
          <w:sz w:val="20"/>
          <w:szCs w:val="20"/>
          <w:lang w:val="en-US"/>
        </w:rPr>
        <w:t xml:space="preserve"> </w:t>
      </w:r>
      <w:r w:rsidR="0066654C" w:rsidRPr="00E8678A">
        <w:rPr>
          <w:sz w:val="20"/>
          <w:szCs w:val="20"/>
          <w:lang w:val="en-US"/>
        </w:rPr>
        <w:t xml:space="preserve">As multiple observations per base are needed to come to a reliable base call, the recommended sequencing depth for </w:t>
      </w:r>
      <w:r w:rsidR="00A67ECB" w:rsidRPr="00E8678A">
        <w:rPr>
          <w:sz w:val="20"/>
          <w:szCs w:val="20"/>
          <w:lang w:val="en-US"/>
        </w:rPr>
        <w:t>genome sequencing</w:t>
      </w:r>
      <w:r w:rsidR="0066654C" w:rsidRPr="00E8678A">
        <w:rPr>
          <w:sz w:val="20"/>
          <w:szCs w:val="20"/>
          <w:lang w:val="en-US"/>
        </w:rPr>
        <w:t xml:space="preserve"> is 30x to 50x. </w:t>
      </w:r>
      <w:r w:rsidRPr="00E8678A">
        <w:rPr>
          <w:b/>
          <w:bCs/>
          <w:sz w:val="20"/>
          <w:szCs w:val="20"/>
          <w:lang w:val="en-US"/>
        </w:rPr>
        <w:t>B</w:t>
      </w:r>
      <w:r w:rsidRPr="00E8678A">
        <w:rPr>
          <w:sz w:val="20"/>
          <w:szCs w:val="20"/>
          <w:lang w:val="en-US"/>
        </w:rPr>
        <w:t xml:space="preserve"> </w:t>
      </w:r>
      <w:r w:rsidR="0066654C" w:rsidRPr="00E8678A">
        <w:rPr>
          <w:sz w:val="20"/>
          <w:szCs w:val="20"/>
          <w:lang w:val="en-US"/>
        </w:rPr>
        <w:t>Insert sizes are</w:t>
      </w:r>
      <w:r w:rsidR="00A67ECB" w:rsidRPr="00E8678A">
        <w:rPr>
          <w:sz w:val="20"/>
          <w:szCs w:val="20"/>
          <w:lang w:val="en-US"/>
        </w:rPr>
        <w:t xml:space="preserve"> also</w:t>
      </w:r>
      <w:r w:rsidR="0066654C" w:rsidRPr="00E8678A">
        <w:rPr>
          <w:sz w:val="20"/>
          <w:szCs w:val="20"/>
          <w:lang w:val="en-US"/>
        </w:rPr>
        <w:t xml:space="preserve"> important for the sequencing. </w:t>
      </w:r>
      <w:r w:rsidR="00132B66" w:rsidRPr="00E8678A">
        <w:rPr>
          <w:sz w:val="20"/>
          <w:szCs w:val="20"/>
          <w:lang w:val="en-US"/>
        </w:rPr>
        <w:t>For</w:t>
      </w:r>
      <w:r w:rsidR="0066654C" w:rsidRPr="00E8678A">
        <w:rPr>
          <w:sz w:val="20"/>
          <w:szCs w:val="20"/>
          <w:lang w:val="en-US"/>
        </w:rPr>
        <w:t xml:space="preserve"> efficient sequencing, small insert sizes (risk of overla</w:t>
      </w:r>
      <w:r w:rsidR="00A67ECB" w:rsidRPr="00E8678A">
        <w:rPr>
          <w:sz w:val="20"/>
          <w:szCs w:val="20"/>
          <w:lang w:val="en-US"/>
        </w:rPr>
        <w:t>p</w:t>
      </w:r>
      <w:r w:rsidR="0066654C" w:rsidRPr="00E8678A">
        <w:rPr>
          <w:sz w:val="20"/>
          <w:szCs w:val="20"/>
          <w:lang w:val="en-US"/>
        </w:rPr>
        <w:t xml:space="preserve">ping paired sequences) as well as larger fragments (decrease of cluster efficiency) </w:t>
      </w:r>
      <w:r w:rsidR="009A33E2" w:rsidRPr="00E8678A">
        <w:rPr>
          <w:sz w:val="20"/>
          <w:szCs w:val="20"/>
          <w:lang w:val="en-US"/>
        </w:rPr>
        <w:t>must</w:t>
      </w:r>
      <w:r w:rsidR="0066654C" w:rsidRPr="00E8678A">
        <w:rPr>
          <w:sz w:val="20"/>
          <w:szCs w:val="20"/>
          <w:lang w:val="en-US"/>
        </w:rPr>
        <w:t xml:space="preserve"> be avoided. </w:t>
      </w:r>
      <w:r w:rsidR="002068FB" w:rsidRPr="00E8678A">
        <w:rPr>
          <w:sz w:val="20"/>
          <w:szCs w:val="20"/>
          <w:lang w:val="en-US"/>
        </w:rPr>
        <w:t>W</w:t>
      </w:r>
      <w:r w:rsidR="0066654C" w:rsidRPr="00E8678A">
        <w:rPr>
          <w:sz w:val="20"/>
          <w:szCs w:val="20"/>
          <w:lang w:val="en-US"/>
        </w:rPr>
        <w:t xml:space="preserve">e therefore </w:t>
      </w:r>
      <w:r w:rsidR="00132B66" w:rsidRPr="00E8678A">
        <w:rPr>
          <w:sz w:val="20"/>
          <w:szCs w:val="20"/>
          <w:lang w:val="en-US"/>
        </w:rPr>
        <w:t>aimed for a</w:t>
      </w:r>
      <w:r w:rsidR="0066654C" w:rsidRPr="00E8678A">
        <w:rPr>
          <w:sz w:val="20"/>
          <w:szCs w:val="20"/>
          <w:lang w:val="en-US"/>
        </w:rPr>
        <w:t xml:space="preserve"> 300-500bp</w:t>
      </w:r>
      <w:r w:rsidR="002068FB" w:rsidRPr="00E8678A">
        <w:rPr>
          <w:sz w:val="20"/>
          <w:szCs w:val="20"/>
          <w:lang w:val="en-US"/>
        </w:rPr>
        <w:t xml:space="preserve"> range for our 2x150bp paired-end sequencing</w:t>
      </w:r>
      <w:r w:rsidR="0066654C" w:rsidRPr="00E8678A">
        <w:rPr>
          <w:sz w:val="20"/>
          <w:szCs w:val="20"/>
          <w:lang w:val="en-US"/>
        </w:rPr>
        <w:t>.</w:t>
      </w:r>
      <w:r w:rsidR="003C7CD5" w:rsidRPr="00E8678A">
        <w:rPr>
          <w:sz w:val="20"/>
          <w:szCs w:val="20"/>
          <w:lang w:val="en-US"/>
        </w:rPr>
        <w:t xml:space="preserve"> </w:t>
      </w:r>
      <w:bookmarkStart w:id="10" w:name="_Hlk131068265"/>
      <w:bookmarkStart w:id="11" w:name="_Hlk131068419"/>
      <w:r w:rsidR="002068FB" w:rsidRPr="00E8678A">
        <w:rPr>
          <w:sz w:val="20"/>
          <w:szCs w:val="20"/>
          <w:lang w:val="en-US"/>
        </w:rPr>
        <w:t xml:space="preserve">In this </w:t>
      </w:r>
      <w:r w:rsidR="003C7CD5" w:rsidRPr="00E8678A">
        <w:rPr>
          <w:sz w:val="20"/>
          <w:szCs w:val="20"/>
          <w:lang w:val="en-US"/>
        </w:rPr>
        <w:t xml:space="preserve">project we reached an average sequencing depth of 37x </w:t>
      </w:r>
      <w:bookmarkEnd w:id="10"/>
      <w:r w:rsidR="003C7CD5" w:rsidRPr="00E8678A">
        <w:rPr>
          <w:sz w:val="20"/>
          <w:szCs w:val="20"/>
          <w:lang w:val="en-US"/>
        </w:rPr>
        <w:t>and an insert size of around 400-45</w:t>
      </w:r>
      <w:r w:rsidR="00E70F0B" w:rsidRPr="00E8678A">
        <w:rPr>
          <w:sz w:val="20"/>
          <w:szCs w:val="20"/>
          <w:lang w:val="en-US"/>
        </w:rPr>
        <w:t>0bp.</w:t>
      </w:r>
      <w:bookmarkEnd w:id="11"/>
    </w:p>
    <w:p w14:paraId="26660E17" w14:textId="343749FE" w:rsidR="00EE21CF" w:rsidRPr="00E8678A" w:rsidRDefault="00EE21CF">
      <w:pPr>
        <w:rPr>
          <w:lang w:val="en-US"/>
        </w:rPr>
      </w:pPr>
      <w:r w:rsidRPr="00E8678A">
        <w:rPr>
          <w:lang w:val="en-US"/>
        </w:rPr>
        <w:br w:type="page"/>
      </w:r>
    </w:p>
    <w:p w14:paraId="560E6AA8" w14:textId="6B63E2ED" w:rsidR="00BC3174" w:rsidRPr="00E8678A" w:rsidRDefault="00BC3174" w:rsidP="00952586">
      <w:pPr>
        <w:pStyle w:val="Kop3"/>
        <w:rPr>
          <w:rFonts w:asciiTheme="minorHAnsi" w:eastAsiaTheme="minorHAnsi" w:hAnsiTheme="minorHAnsi" w:cstheme="minorHAnsi"/>
          <w:b/>
          <w:bCs/>
          <w:sz w:val="20"/>
          <w:szCs w:val="20"/>
          <w:lang w:val="en-US"/>
        </w:rPr>
      </w:pPr>
      <w:bookmarkStart w:id="12" w:name="_Toc143873979"/>
      <w:r w:rsidRPr="00E8678A">
        <w:rPr>
          <w:rFonts w:asciiTheme="minorHAnsi" w:eastAsiaTheme="minorHAnsi" w:hAnsiTheme="minorHAnsi" w:cstheme="minorHAnsi"/>
          <w:b/>
          <w:bCs/>
          <w:sz w:val="20"/>
          <w:szCs w:val="20"/>
          <w:lang w:val="en-US"/>
        </w:rPr>
        <w:lastRenderedPageBreak/>
        <w:t>Supplementary Figure S4:</w:t>
      </w:r>
      <w:r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Pr="00E8678A">
        <w:rPr>
          <w:rFonts w:asciiTheme="minorHAnsi" w:eastAsiaTheme="minorHAnsi" w:hAnsiTheme="minorHAnsi" w:cstheme="minorHAnsi"/>
          <w:b/>
          <w:bCs/>
          <w:sz w:val="20"/>
          <w:szCs w:val="20"/>
          <w:lang w:val="en-US"/>
        </w:rPr>
        <w:t>GS Technical validation by variant size and assessment of why variants were not identified</w:t>
      </w:r>
      <w:bookmarkEnd w:id="12"/>
    </w:p>
    <w:p w14:paraId="7154A3AE" w14:textId="3F0C8671" w:rsidR="00E829C0" w:rsidRPr="00E8678A" w:rsidRDefault="00E829C0" w:rsidP="00015B91">
      <w:pPr>
        <w:rPr>
          <w:lang w:val="en-US"/>
        </w:rPr>
      </w:pPr>
    </w:p>
    <w:p w14:paraId="3AAE4296" w14:textId="132623BF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  <w:bookmarkStart w:id="13" w:name="_Hlk121396982"/>
      <w:r w:rsidRPr="00E8678A"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0A3E4CCE" wp14:editId="7AA94568">
            <wp:simplePos x="0" y="0"/>
            <wp:positionH relativeFrom="margin">
              <wp:posOffset>180975</wp:posOffset>
            </wp:positionH>
            <wp:positionV relativeFrom="paragraph">
              <wp:posOffset>5715</wp:posOffset>
            </wp:positionV>
            <wp:extent cx="5760720" cy="2675255"/>
            <wp:effectExtent l="0" t="0" r="0" b="0"/>
            <wp:wrapNone/>
            <wp:docPr id="4" name="Grafiek 4">
              <a:extLst xmlns:a="http://schemas.openxmlformats.org/drawingml/2006/main">
                <a:ext uri="{FF2B5EF4-FFF2-40B4-BE49-F238E27FC236}">
                  <a16:creationId xmlns:a16="http://schemas.microsoft.com/office/drawing/2014/main" id="{839F5E05-A815-4E14-8E71-9DF5F3216E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78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>A</w:t>
      </w:r>
    </w:p>
    <w:p w14:paraId="775BC0DB" w14:textId="6F907003" w:rsidR="002B4CA3" w:rsidRPr="00E8678A" w:rsidRDefault="002B4CA3" w:rsidP="002B4CA3">
      <w:pPr>
        <w:rPr>
          <w:lang w:val="en-US"/>
        </w:rPr>
      </w:pPr>
    </w:p>
    <w:p w14:paraId="29D6A860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290E6319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19C3809D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6BADB9AD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666172D1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6D522EB2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2E487FA8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39AE0BE7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00D284F1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46E3D6D9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3C504CE3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442CF72F" w14:textId="7393AE6A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03970203" w14:textId="786C13CC" w:rsidR="002B4CA3" w:rsidRPr="00E8678A" w:rsidRDefault="002B4CA3" w:rsidP="002B4CA3">
      <w:pPr>
        <w:rPr>
          <w:b/>
          <w:bCs/>
          <w:lang w:val="en-US"/>
        </w:rPr>
      </w:pPr>
      <w:r w:rsidRPr="00E8678A"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44F30C15" wp14:editId="523D3E29">
            <wp:simplePos x="0" y="0"/>
            <wp:positionH relativeFrom="column">
              <wp:posOffset>414655</wp:posOffset>
            </wp:positionH>
            <wp:positionV relativeFrom="paragraph">
              <wp:posOffset>3810</wp:posOffset>
            </wp:positionV>
            <wp:extent cx="4507200" cy="1980000"/>
            <wp:effectExtent l="0" t="0" r="8255" b="1270"/>
            <wp:wrapThrough wrapText="bothSides">
              <wp:wrapPolygon edited="0">
                <wp:start x="0" y="0"/>
                <wp:lineTo x="0" y="21406"/>
                <wp:lineTo x="21548" y="21406"/>
                <wp:lineTo x="21548" y="0"/>
                <wp:lineTo x="0" y="0"/>
              </wp:wrapPolygon>
            </wp:wrapThrough>
            <wp:docPr id="2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BC099D4E-6B21-462C-8C6C-5A6EBBC86B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78A">
        <w:rPr>
          <w:b/>
          <w:bCs/>
          <w:lang w:val="en-US"/>
        </w:rPr>
        <w:t>B</w:t>
      </w:r>
    </w:p>
    <w:p w14:paraId="23629B26" w14:textId="18E6D148" w:rsidR="002B4CA3" w:rsidRPr="00E8678A" w:rsidRDefault="002B4CA3" w:rsidP="002B4CA3">
      <w:pPr>
        <w:rPr>
          <w:b/>
          <w:bCs/>
          <w:lang w:val="en-US"/>
        </w:rPr>
      </w:pPr>
    </w:p>
    <w:p w14:paraId="69F76DC7" w14:textId="0946B4D6" w:rsidR="002B4CA3" w:rsidRPr="00E8678A" w:rsidRDefault="002B4CA3" w:rsidP="002B4CA3">
      <w:pPr>
        <w:rPr>
          <w:b/>
          <w:bCs/>
          <w:lang w:val="en-US"/>
        </w:rPr>
      </w:pPr>
    </w:p>
    <w:p w14:paraId="033C3F7B" w14:textId="63342651" w:rsidR="002B4CA3" w:rsidRPr="00E8678A" w:rsidRDefault="002B4CA3" w:rsidP="002B4CA3">
      <w:pPr>
        <w:rPr>
          <w:b/>
          <w:bCs/>
          <w:lang w:val="en-US"/>
        </w:rPr>
      </w:pPr>
    </w:p>
    <w:p w14:paraId="1ADCE075" w14:textId="242E2EA9" w:rsidR="002B4CA3" w:rsidRPr="00E8678A" w:rsidRDefault="002B4CA3" w:rsidP="002B4CA3">
      <w:pPr>
        <w:rPr>
          <w:b/>
          <w:bCs/>
          <w:lang w:val="en-US"/>
        </w:rPr>
      </w:pPr>
    </w:p>
    <w:p w14:paraId="3EA410DA" w14:textId="77777777" w:rsidR="002B4CA3" w:rsidRPr="00E8678A" w:rsidRDefault="002B4CA3" w:rsidP="002B4CA3">
      <w:pPr>
        <w:rPr>
          <w:b/>
          <w:bCs/>
          <w:lang w:val="en-US"/>
        </w:rPr>
      </w:pPr>
    </w:p>
    <w:p w14:paraId="692117B6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118E0113" w14:textId="77777777" w:rsidR="002B4CA3" w:rsidRPr="00E8678A" w:rsidRDefault="002B4CA3" w:rsidP="00EE21CF">
      <w:pPr>
        <w:pStyle w:val="Kop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14:paraId="688F849E" w14:textId="62645763" w:rsidR="00C545A4" w:rsidRPr="00E8678A" w:rsidRDefault="002B4CA3" w:rsidP="009A33E2">
      <w:pPr>
        <w:rPr>
          <w:sz w:val="20"/>
          <w:szCs w:val="20"/>
          <w:lang w:val="en-US"/>
        </w:rPr>
      </w:pPr>
      <w:bookmarkStart w:id="14" w:name="_Hlk119317244"/>
      <w:bookmarkEnd w:id="13"/>
      <w:r w:rsidRPr="00E8678A">
        <w:rPr>
          <w:b/>
          <w:bCs/>
          <w:sz w:val="20"/>
          <w:szCs w:val="20"/>
          <w:lang w:val="en-US"/>
        </w:rPr>
        <w:t>A</w:t>
      </w:r>
      <w:r w:rsidRPr="00E8678A">
        <w:rPr>
          <w:sz w:val="20"/>
          <w:szCs w:val="20"/>
          <w:lang w:val="en-US"/>
        </w:rPr>
        <w:t xml:space="preserve"> </w:t>
      </w:r>
      <w:r w:rsidR="00EE21CF" w:rsidRPr="00E8678A">
        <w:rPr>
          <w:sz w:val="20"/>
          <w:szCs w:val="20"/>
          <w:lang w:val="en-US"/>
        </w:rPr>
        <w:t>In total, 94.</w:t>
      </w:r>
      <w:r w:rsidR="009A33E2" w:rsidRPr="00E8678A">
        <w:rPr>
          <w:sz w:val="20"/>
          <w:szCs w:val="20"/>
          <w:lang w:val="en-US"/>
        </w:rPr>
        <w:t xml:space="preserve">9 </w:t>
      </w:r>
      <w:r w:rsidR="00EE21CF" w:rsidRPr="00E8678A">
        <w:rPr>
          <w:sz w:val="20"/>
          <w:szCs w:val="20"/>
          <w:lang w:val="en-US"/>
        </w:rPr>
        <w:t>% (1</w:t>
      </w:r>
      <w:r w:rsidR="009A33E2" w:rsidRPr="00E8678A">
        <w:rPr>
          <w:sz w:val="20"/>
          <w:szCs w:val="20"/>
          <w:lang w:val="en-US"/>
        </w:rPr>
        <w:t>,</w:t>
      </w:r>
      <w:r w:rsidR="00EE21CF" w:rsidRPr="00E8678A">
        <w:rPr>
          <w:sz w:val="20"/>
          <w:szCs w:val="20"/>
          <w:lang w:val="en-US"/>
        </w:rPr>
        <w:t>206/1</w:t>
      </w:r>
      <w:r w:rsidR="009A33E2" w:rsidRPr="00E8678A">
        <w:rPr>
          <w:sz w:val="20"/>
          <w:szCs w:val="20"/>
          <w:lang w:val="en-US"/>
        </w:rPr>
        <w:t>,</w:t>
      </w:r>
      <w:r w:rsidR="00EE21CF" w:rsidRPr="00E8678A">
        <w:rPr>
          <w:sz w:val="20"/>
          <w:szCs w:val="20"/>
          <w:lang w:val="en-US"/>
        </w:rPr>
        <w:t>271) of all variants were detected with GS. Small variants (&lt;50bp) were detected in 96.</w:t>
      </w:r>
      <w:r w:rsidR="009A33E2" w:rsidRPr="00E8678A">
        <w:rPr>
          <w:sz w:val="20"/>
          <w:szCs w:val="20"/>
          <w:lang w:val="en-US"/>
        </w:rPr>
        <w:t>1</w:t>
      </w:r>
      <w:r w:rsidR="00EE21CF" w:rsidRPr="00E8678A">
        <w:rPr>
          <w:sz w:val="20"/>
          <w:szCs w:val="20"/>
          <w:lang w:val="en-US"/>
        </w:rPr>
        <w:t xml:space="preserve">% (833/867), large variants (123 bp </w:t>
      </w:r>
      <w:r w:rsidR="009A33E2" w:rsidRPr="00E8678A">
        <w:rPr>
          <w:sz w:val="20"/>
          <w:szCs w:val="20"/>
          <w:lang w:val="en-US"/>
        </w:rPr>
        <w:t>-</w:t>
      </w:r>
      <w:r w:rsidR="00EE21CF" w:rsidRPr="00E8678A">
        <w:rPr>
          <w:sz w:val="20"/>
          <w:szCs w:val="20"/>
          <w:lang w:val="en-US"/>
        </w:rPr>
        <w:t xml:space="preserve"> 72.8Mb) in 93.3% (334/359), and other variants in 86.7% (39/45). </w:t>
      </w:r>
      <w:bookmarkEnd w:id="14"/>
      <w:r w:rsidR="00EE21CF" w:rsidRPr="00E8678A">
        <w:rPr>
          <w:sz w:val="20"/>
          <w:szCs w:val="20"/>
          <w:lang w:val="en-US"/>
        </w:rPr>
        <w:t>The total list of variants and whether they were present in the GS data (‘</w:t>
      </w:r>
      <w:r w:rsidR="00E70F0B" w:rsidRPr="00E8678A">
        <w:rPr>
          <w:sz w:val="20"/>
          <w:szCs w:val="20"/>
          <w:lang w:val="en-US"/>
        </w:rPr>
        <w:t>detected</w:t>
      </w:r>
      <w:r w:rsidR="00EE21CF" w:rsidRPr="00E8678A">
        <w:rPr>
          <w:sz w:val="20"/>
          <w:szCs w:val="20"/>
          <w:lang w:val="en-US"/>
        </w:rPr>
        <w:t>’</w:t>
      </w:r>
      <w:r w:rsidR="00E70F0B" w:rsidRPr="00E8678A">
        <w:rPr>
          <w:sz w:val="20"/>
          <w:szCs w:val="20"/>
          <w:lang w:val="en-US"/>
        </w:rPr>
        <w:t xml:space="preserve"> </w:t>
      </w:r>
      <w:r w:rsidR="00EE21CF" w:rsidRPr="00E8678A">
        <w:rPr>
          <w:sz w:val="20"/>
          <w:szCs w:val="20"/>
          <w:lang w:val="en-US"/>
        </w:rPr>
        <w:t>vs</w:t>
      </w:r>
      <w:r w:rsidR="009A33E2" w:rsidRPr="00E8678A">
        <w:rPr>
          <w:sz w:val="20"/>
          <w:szCs w:val="20"/>
          <w:lang w:val="en-US"/>
        </w:rPr>
        <w:t>.</w:t>
      </w:r>
      <w:r w:rsidR="00EE21CF" w:rsidRPr="00E8678A">
        <w:rPr>
          <w:sz w:val="20"/>
          <w:szCs w:val="20"/>
          <w:lang w:val="en-US"/>
        </w:rPr>
        <w:t xml:space="preserve"> ’</w:t>
      </w:r>
      <w:r w:rsidR="00E70F0B" w:rsidRPr="00E8678A">
        <w:rPr>
          <w:sz w:val="20"/>
          <w:szCs w:val="20"/>
          <w:lang w:val="en-US"/>
        </w:rPr>
        <w:t>not detected</w:t>
      </w:r>
      <w:r w:rsidR="00EE21CF" w:rsidRPr="00E8678A">
        <w:rPr>
          <w:sz w:val="20"/>
          <w:szCs w:val="20"/>
          <w:lang w:val="en-US"/>
        </w:rPr>
        <w:t xml:space="preserve">‘) can be found in </w:t>
      </w:r>
      <w:r w:rsidR="00EE21CF" w:rsidRPr="00E8678A">
        <w:rPr>
          <w:b/>
          <w:bCs/>
          <w:sz w:val="20"/>
          <w:szCs w:val="20"/>
          <w:lang w:val="en-US"/>
        </w:rPr>
        <w:t>Supplementary Table S2</w:t>
      </w:r>
      <w:r w:rsidR="00EE21CF" w:rsidRPr="00E8678A">
        <w:rPr>
          <w:sz w:val="20"/>
          <w:szCs w:val="20"/>
          <w:lang w:val="en-US"/>
        </w:rPr>
        <w:t xml:space="preserve">. </w:t>
      </w:r>
      <w:r w:rsidR="009A33E2" w:rsidRPr="00E8678A">
        <w:rPr>
          <w:sz w:val="20"/>
          <w:szCs w:val="20"/>
          <w:lang w:val="en-US"/>
        </w:rPr>
        <w:t>+: detected; -: not detected.</w:t>
      </w:r>
      <w:r w:rsidRPr="00E8678A">
        <w:rPr>
          <w:sz w:val="20"/>
          <w:szCs w:val="20"/>
          <w:lang w:val="en-US"/>
        </w:rPr>
        <w:t xml:space="preserve">  </w:t>
      </w:r>
      <w:r w:rsidRPr="00E8678A">
        <w:rPr>
          <w:b/>
          <w:bCs/>
          <w:sz w:val="20"/>
          <w:szCs w:val="20"/>
          <w:lang w:val="en-US"/>
        </w:rPr>
        <w:t>B</w:t>
      </w:r>
      <w:r w:rsidRPr="00E8678A">
        <w:rPr>
          <w:sz w:val="20"/>
          <w:szCs w:val="20"/>
          <w:lang w:val="en-US"/>
        </w:rPr>
        <w:t xml:space="preserve"> </w:t>
      </w:r>
      <w:r w:rsidR="009A33E2" w:rsidRPr="00E8678A">
        <w:rPr>
          <w:sz w:val="20"/>
          <w:szCs w:val="20"/>
          <w:lang w:val="en-US"/>
        </w:rPr>
        <w:t>In the 5% undetected variants (N=65), we identified common themes that are attributable to short-read 30x</w:t>
      </w:r>
      <w:r w:rsidR="009A33E2" w:rsidRPr="00E8678A" w:rsidDel="001A472D">
        <w:rPr>
          <w:sz w:val="20"/>
          <w:szCs w:val="20"/>
          <w:lang w:val="en-US"/>
        </w:rPr>
        <w:t xml:space="preserve"> </w:t>
      </w:r>
      <w:r w:rsidR="009A33E2" w:rsidRPr="00E8678A">
        <w:rPr>
          <w:sz w:val="20"/>
          <w:szCs w:val="20"/>
          <w:lang w:val="en-US"/>
        </w:rPr>
        <w:t>GS and downstream analysis. Undetected variants were mostly found in mosaic cases (n=27, 2.4-20%), homologues regions (n=25), i.e. pseudogenes or paralogues genes, or likewise in repetitive regions (n=10), i.e. repeats, telomeres or centromeres.</w:t>
      </w:r>
    </w:p>
    <w:p w14:paraId="5E008199" w14:textId="77777777" w:rsidR="00C545A4" w:rsidRPr="00E8678A" w:rsidRDefault="00C545A4">
      <w:pPr>
        <w:rPr>
          <w:lang w:val="en-US"/>
        </w:rPr>
      </w:pPr>
      <w:r w:rsidRPr="00E8678A">
        <w:rPr>
          <w:lang w:val="en-US"/>
        </w:rPr>
        <w:br w:type="page"/>
      </w:r>
    </w:p>
    <w:p w14:paraId="5020197D" w14:textId="77777777" w:rsidR="00A70BFB" w:rsidRPr="00E8678A" w:rsidRDefault="00C545A4" w:rsidP="00952586">
      <w:pPr>
        <w:pStyle w:val="Kop3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bookmarkStart w:id="15" w:name="_Toc143873980"/>
      <w:r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lastRenderedPageBreak/>
        <w:t>Supplementary Figure S</w:t>
      </w:r>
      <w:r w:rsidR="00BC3174"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>5:</w:t>
      </w:r>
      <w:r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27425B" w:rsidRPr="00E8678A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In silico</w:t>
      </w:r>
      <w:r w:rsidR="0027425B"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505606"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>coverage statistics at variant level and disease genes</w:t>
      </w:r>
      <w:bookmarkEnd w:id="15"/>
    </w:p>
    <w:p w14:paraId="58B8DFB2" w14:textId="11539FA4" w:rsidR="00C545A4" w:rsidRPr="00E8678A" w:rsidRDefault="00505606" w:rsidP="005C26A5">
      <w:pPr>
        <w:pStyle w:val="Kop1"/>
        <w:rPr>
          <w:rFonts w:ascii="Arial Nova" w:hAnsi="Arial Nova"/>
          <w:sz w:val="20"/>
          <w:szCs w:val="20"/>
          <w:lang w:val="en-US"/>
        </w:rPr>
      </w:pPr>
      <w:r w:rsidRPr="00E8678A">
        <w:rPr>
          <w:rFonts w:ascii="Arial Nova" w:hAnsi="Arial Nova"/>
          <w:sz w:val="20"/>
          <w:szCs w:val="20"/>
          <w:lang w:val="en-US"/>
        </w:rPr>
        <w:t xml:space="preserve"> </w:t>
      </w:r>
    </w:p>
    <w:p w14:paraId="33BBB8D0" w14:textId="093B28BC" w:rsidR="0027425B" w:rsidRPr="00E8678A" w:rsidRDefault="00505606" w:rsidP="00C545A4">
      <w:pPr>
        <w:rPr>
          <w:b/>
          <w:bCs/>
          <w:i/>
          <w:iCs/>
          <w:lang w:val="en-US"/>
        </w:rPr>
      </w:pPr>
      <w:r w:rsidRPr="00E8678A">
        <w:rPr>
          <w:b/>
          <w:bCs/>
          <w:i/>
          <w:iCs/>
          <w:lang w:val="en-US"/>
        </w:rPr>
        <w:t>A:</w:t>
      </w:r>
      <w:r w:rsidR="007E20A1" w:rsidRPr="00E8678A">
        <w:rPr>
          <w:b/>
          <w:bCs/>
          <w:i/>
          <w:iCs/>
          <w:lang w:val="en-US"/>
        </w:rPr>
        <w:t>C</w:t>
      </w:r>
      <w:r w:rsidRPr="00E8678A">
        <w:rPr>
          <w:b/>
          <w:bCs/>
          <w:i/>
          <w:iCs/>
          <w:lang w:val="en-US"/>
        </w:rPr>
        <w:t>overage stat</w:t>
      </w:r>
      <w:r w:rsidR="000441A5" w:rsidRPr="00E8678A">
        <w:rPr>
          <w:b/>
          <w:bCs/>
          <w:i/>
          <w:iCs/>
          <w:lang w:val="en-US"/>
        </w:rPr>
        <w:t>istic</w:t>
      </w:r>
      <w:r w:rsidRPr="00E8678A">
        <w:rPr>
          <w:b/>
          <w:bCs/>
          <w:i/>
          <w:iCs/>
          <w:lang w:val="en-US"/>
        </w:rPr>
        <w:t xml:space="preserve">s for </w:t>
      </w:r>
      <w:r w:rsidR="007E20A1" w:rsidRPr="00E8678A">
        <w:rPr>
          <w:b/>
          <w:bCs/>
          <w:i/>
          <w:iCs/>
          <w:lang w:val="en-US"/>
        </w:rPr>
        <w:t>79</w:t>
      </w:r>
      <w:r w:rsidR="00BC3174" w:rsidRPr="00E8678A">
        <w:rPr>
          <w:b/>
          <w:bCs/>
          <w:i/>
          <w:iCs/>
          <w:lang w:val="en-US"/>
        </w:rPr>
        <w:t>4</w:t>
      </w:r>
      <w:r w:rsidR="007E20A1" w:rsidRPr="00E8678A">
        <w:rPr>
          <w:b/>
          <w:bCs/>
          <w:i/>
          <w:iCs/>
          <w:lang w:val="en-US"/>
        </w:rPr>
        <w:t xml:space="preserve"> detected </w:t>
      </w:r>
      <w:r w:rsidRPr="00E8678A">
        <w:rPr>
          <w:b/>
          <w:bCs/>
          <w:i/>
          <w:iCs/>
          <w:lang w:val="en-US"/>
        </w:rPr>
        <w:t xml:space="preserve">SNVs </w:t>
      </w:r>
      <w:r w:rsidR="007E20A1" w:rsidRPr="00E8678A">
        <w:rPr>
          <w:b/>
          <w:bCs/>
          <w:i/>
          <w:iCs/>
          <w:lang w:val="en-US"/>
        </w:rPr>
        <w:t>from</w:t>
      </w:r>
      <w:r w:rsidRPr="00E8678A">
        <w:rPr>
          <w:b/>
          <w:bCs/>
          <w:i/>
          <w:iCs/>
          <w:lang w:val="en-US"/>
        </w:rPr>
        <w:t xml:space="preserve"> </w:t>
      </w:r>
      <w:r w:rsidR="007E20A1" w:rsidRPr="00E8678A">
        <w:rPr>
          <w:b/>
          <w:bCs/>
          <w:i/>
          <w:iCs/>
          <w:lang w:val="en-US"/>
        </w:rPr>
        <w:t xml:space="preserve">the </w:t>
      </w:r>
      <w:r w:rsidRPr="00E8678A">
        <w:rPr>
          <w:b/>
          <w:bCs/>
          <w:i/>
          <w:iCs/>
          <w:lang w:val="en-US"/>
        </w:rPr>
        <w:t>1000 G</w:t>
      </w:r>
      <w:r w:rsidR="007E20A1" w:rsidRPr="00E8678A">
        <w:rPr>
          <w:b/>
          <w:bCs/>
          <w:i/>
          <w:iCs/>
          <w:lang w:val="en-US"/>
        </w:rPr>
        <w:t>enomes</w:t>
      </w:r>
    </w:p>
    <w:p w14:paraId="4758E282" w14:textId="411CBC40" w:rsidR="00505606" w:rsidRPr="00E8678A" w:rsidRDefault="00E97B16" w:rsidP="00C545A4">
      <w:pPr>
        <w:rPr>
          <w:b/>
          <w:bCs/>
          <w:i/>
          <w:iCs/>
          <w:lang w:val="en-US"/>
        </w:rPr>
      </w:pPr>
      <w:r w:rsidRPr="00E8678A">
        <w:rPr>
          <w:b/>
          <w:bCs/>
          <w:i/>
          <w:iCs/>
          <w:noProof/>
          <w:lang w:val="en-US"/>
        </w:rPr>
        <w:drawing>
          <wp:inline distT="0" distB="0" distL="0" distR="0" wp14:anchorId="066EACAF" wp14:editId="129532F3">
            <wp:extent cx="2576536" cy="2142921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179"/>
                    <a:stretch/>
                  </pic:blipFill>
                  <pic:spPr bwMode="auto">
                    <a:xfrm>
                      <a:off x="0" y="0"/>
                      <a:ext cx="2591430" cy="2155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3BF64" w14:textId="757041D3" w:rsidR="00505606" w:rsidRPr="00E8678A" w:rsidRDefault="00505606" w:rsidP="00C545A4">
      <w:pPr>
        <w:rPr>
          <w:b/>
          <w:bCs/>
          <w:i/>
          <w:iCs/>
          <w:lang w:val="en-US"/>
        </w:rPr>
      </w:pPr>
      <w:r w:rsidRPr="00E8678A">
        <w:rPr>
          <w:b/>
          <w:bCs/>
          <w:i/>
          <w:iCs/>
          <w:lang w:val="en-US"/>
        </w:rPr>
        <w:t>B: Coverage stat</w:t>
      </w:r>
      <w:r w:rsidR="000441A5" w:rsidRPr="00E8678A">
        <w:rPr>
          <w:b/>
          <w:bCs/>
          <w:i/>
          <w:iCs/>
          <w:lang w:val="en-US"/>
        </w:rPr>
        <w:t>istic</w:t>
      </w:r>
      <w:r w:rsidRPr="00E8678A">
        <w:rPr>
          <w:b/>
          <w:bCs/>
          <w:i/>
          <w:iCs/>
          <w:lang w:val="en-US"/>
        </w:rPr>
        <w:t xml:space="preserve">s </w:t>
      </w:r>
      <w:r w:rsidR="00387792" w:rsidRPr="00E8678A">
        <w:rPr>
          <w:b/>
          <w:bCs/>
          <w:i/>
          <w:iCs/>
          <w:lang w:val="en-US"/>
        </w:rPr>
        <w:t xml:space="preserve">of </w:t>
      </w:r>
      <w:r w:rsidR="00F72856" w:rsidRPr="00E8678A">
        <w:rPr>
          <w:b/>
          <w:bCs/>
          <w:i/>
          <w:iCs/>
          <w:lang w:val="en-US"/>
        </w:rPr>
        <w:t>58,393</w:t>
      </w:r>
      <w:r w:rsidRPr="00E8678A">
        <w:rPr>
          <w:b/>
          <w:bCs/>
          <w:i/>
          <w:iCs/>
          <w:lang w:val="en-US"/>
        </w:rPr>
        <w:t xml:space="preserve"> </w:t>
      </w:r>
      <w:proofErr w:type="spellStart"/>
      <w:r w:rsidR="00C50EB2" w:rsidRPr="00E8678A">
        <w:rPr>
          <w:b/>
          <w:bCs/>
          <w:i/>
          <w:iCs/>
          <w:lang w:val="en-US"/>
        </w:rPr>
        <w:t>ClinVar</w:t>
      </w:r>
      <w:proofErr w:type="spellEnd"/>
      <w:r w:rsidR="00C50EB2" w:rsidRPr="00E8678A">
        <w:rPr>
          <w:b/>
          <w:bCs/>
          <w:i/>
          <w:iCs/>
          <w:lang w:val="en-US"/>
        </w:rPr>
        <w:t xml:space="preserve"> and VKGL </w:t>
      </w:r>
      <w:r w:rsidRPr="00E8678A">
        <w:rPr>
          <w:b/>
          <w:bCs/>
          <w:i/>
          <w:iCs/>
          <w:lang w:val="en-US"/>
        </w:rPr>
        <w:t>variants</w:t>
      </w:r>
    </w:p>
    <w:p w14:paraId="476A9C16" w14:textId="75213F39" w:rsidR="00C545A4" w:rsidRPr="00E8678A" w:rsidRDefault="00383426" w:rsidP="00C545A4">
      <w:pPr>
        <w:rPr>
          <w:lang w:val="en-US"/>
        </w:rPr>
      </w:pPr>
      <w:r w:rsidRPr="00E8678A">
        <w:rPr>
          <w:noProof/>
          <w:lang w:val="en-US"/>
        </w:rPr>
        <w:t xml:space="preserve"> </w:t>
      </w:r>
      <w:r w:rsidRPr="00E8678A">
        <w:rPr>
          <w:noProof/>
          <w:lang w:val="en-US"/>
        </w:rPr>
        <w:drawing>
          <wp:inline distT="0" distB="0" distL="0" distR="0" wp14:anchorId="144EB4D5" wp14:editId="1A133BE1">
            <wp:extent cx="2877674" cy="1754372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2866" cy="176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FA8D6" w14:textId="3232A3F3" w:rsidR="00505606" w:rsidRPr="00E8678A" w:rsidRDefault="00387792" w:rsidP="00815907">
      <w:pPr>
        <w:spacing w:after="0"/>
        <w:rPr>
          <w:b/>
          <w:bCs/>
          <w:i/>
          <w:iCs/>
          <w:lang w:val="en-US"/>
        </w:rPr>
      </w:pPr>
      <w:r w:rsidRPr="00E8678A">
        <w:rPr>
          <w:b/>
          <w:bCs/>
          <w:i/>
          <w:iCs/>
          <w:lang w:val="en-US"/>
        </w:rPr>
        <w:t>C-D: Coverage stat</w:t>
      </w:r>
      <w:r w:rsidR="000441A5" w:rsidRPr="00E8678A">
        <w:rPr>
          <w:b/>
          <w:bCs/>
          <w:i/>
          <w:iCs/>
          <w:lang w:val="en-US"/>
        </w:rPr>
        <w:t>istic</w:t>
      </w:r>
      <w:r w:rsidRPr="00E8678A">
        <w:rPr>
          <w:b/>
          <w:bCs/>
          <w:i/>
          <w:iCs/>
          <w:lang w:val="en-US"/>
        </w:rPr>
        <w:t>s of 4</w:t>
      </w:r>
      <w:r w:rsidR="007E20A1" w:rsidRPr="00E8678A">
        <w:rPr>
          <w:b/>
          <w:bCs/>
          <w:i/>
          <w:iCs/>
          <w:lang w:val="en-US"/>
        </w:rPr>
        <w:t>,</w:t>
      </w:r>
      <w:r w:rsidRPr="00E8678A">
        <w:rPr>
          <w:b/>
          <w:bCs/>
          <w:i/>
          <w:iCs/>
          <w:lang w:val="en-US"/>
        </w:rPr>
        <w:t xml:space="preserve">266 disease genes </w:t>
      </w:r>
    </w:p>
    <w:p w14:paraId="0EBE8A31" w14:textId="7EB697FE" w:rsidR="00FE1ABE" w:rsidRPr="00E8678A" w:rsidRDefault="00815907" w:rsidP="00815907">
      <w:pPr>
        <w:spacing w:after="0"/>
        <w:rPr>
          <w:noProof/>
          <w:lang w:val="en-US"/>
        </w:rPr>
      </w:pPr>
      <w:r w:rsidRPr="00E8678A">
        <w:rPr>
          <w:noProof/>
          <w:lang w:val="en-US"/>
        </w:rPr>
        <w:drawing>
          <wp:inline distT="0" distB="0" distL="0" distR="0" wp14:anchorId="3DF1E482" wp14:editId="3E94506C">
            <wp:extent cx="1753438" cy="2326457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6984" cy="237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0A1" w:rsidRPr="00E8678A">
        <w:rPr>
          <w:noProof/>
          <w:lang w:val="en-US"/>
        </w:rPr>
        <w:t xml:space="preserve"> </w:t>
      </w:r>
      <w:r w:rsidR="00FA68AF" w:rsidRPr="00E8678A">
        <w:rPr>
          <w:noProof/>
          <w:lang w:val="en-US"/>
        </w:rPr>
        <w:t xml:space="preserve"> </w:t>
      </w:r>
      <w:r w:rsidRPr="00E8678A">
        <w:rPr>
          <w:noProof/>
          <w:lang w:val="en-US"/>
        </w:rPr>
        <w:drawing>
          <wp:inline distT="0" distB="0" distL="0" distR="0" wp14:anchorId="72494557" wp14:editId="5105332B">
            <wp:extent cx="3874789" cy="2311121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4617" cy="23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ABE" w:rsidRPr="00E8678A">
        <w:rPr>
          <w:noProof/>
          <w:lang w:val="en-US"/>
        </w:rPr>
        <w:t xml:space="preserve"> </w:t>
      </w:r>
    </w:p>
    <w:p w14:paraId="2F8CDB64" w14:textId="257AA9EA" w:rsidR="00C545A4" w:rsidRPr="00E8678A" w:rsidRDefault="00F72856">
      <w:pPr>
        <w:rPr>
          <w:sz w:val="20"/>
          <w:szCs w:val="20"/>
          <w:lang w:val="en-US"/>
        </w:rPr>
      </w:pPr>
      <w:r w:rsidRPr="00E8678A">
        <w:rPr>
          <w:b/>
          <w:bCs/>
          <w:sz w:val="20"/>
          <w:szCs w:val="20"/>
          <w:lang w:val="en-US"/>
        </w:rPr>
        <w:t>A</w:t>
      </w:r>
      <w:r w:rsidRPr="00E8678A">
        <w:rPr>
          <w:sz w:val="20"/>
          <w:szCs w:val="20"/>
          <w:lang w:val="en-US"/>
        </w:rPr>
        <w:t xml:space="preserve"> </w:t>
      </w:r>
      <w:r w:rsidR="00EF2722" w:rsidRPr="00E8678A">
        <w:rPr>
          <w:sz w:val="20"/>
          <w:szCs w:val="20"/>
          <w:lang w:val="en-US"/>
        </w:rPr>
        <w:t>C</w:t>
      </w:r>
      <w:r w:rsidRPr="00E8678A">
        <w:rPr>
          <w:sz w:val="20"/>
          <w:szCs w:val="20"/>
          <w:lang w:val="en-US"/>
        </w:rPr>
        <w:t>overage data of 794 detected SNVs in our cohort</w:t>
      </w:r>
      <w:r w:rsidR="00EF2722" w:rsidRPr="00E8678A">
        <w:rPr>
          <w:sz w:val="20"/>
          <w:szCs w:val="20"/>
          <w:lang w:val="en-US"/>
        </w:rPr>
        <w:t xml:space="preserve">, where allele depth ranged from 1-105, and (variant) alternative allele depth ranged from 1-62, with a </w:t>
      </w:r>
      <w:r w:rsidR="006E5645" w:rsidRPr="00E8678A">
        <w:rPr>
          <w:sz w:val="20"/>
          <w:szCs w:val="20"/>
          <w:lang w:val="en-US"/>
        </w:rPr>
        <w:t>13-100% variant range</w:t>
      </w:r>
      <w:r w:rsidR="00EF2722" w:rsidRPr="00E8678A">
        <w:rPr>
          <w:sz w:val="20"/>
          <w:szCs w:val="20"/>
          <w:lang w:val="en-US"/>
        </w:rPr>
        <w:t xml:space="preserve">. </w:t>
      </w:r>
      <w:r w:rsidRPr="00E8678A">
        <w:rPr>
          <w:sz w:val="20"/>
          <w:szCs w:val="20"/>
          <w:lang w:val="en-US"/>
        </w:rPr>
        <w:t xml:space="preserve"> </w:t>
      </w:r>
      <w:r w:rsidRPr="00E8678A">
        <w:rPr>
          <w:b/>
          <w:bCs/>
          <w:sz w:val="20"/>
          <w:szCs w:val="20"/>
          <w:lang w:val="en-US"/>
        </w:rPr>
        <w:t>B</w:t>
      </w:r>
      <w:r w:rsidRPr="00E8678A">
        <w:rPr>
          <w:sz w:val="20"/>
          <w:szCs w:val="20"/>
          <w:lang w:val="en-US"/>
        </w:rPr>
        <w:t xml:space="preserve"> Sequence depth at genomic positions that are known to harbor (likely) pathogenic variation </w:t>
      </w:r>
      <w:r w:rsidR="00FE1ABE" w:rsidRPr="00E8678A">
        <w:rPr>
          <w:sz w:val="20"/>
          <w:szCs w:val="20"/>
          <w:lang w:val="en-US"/>
        </w:rPr>
        <w:t xml:space="preserve">and </w:t>
      </w:r>
      <w:r w:rsidRPr="00E8678A">
        <w:rPr>
          <w:b/>
          <w:bCs/>
          <w:sz w:val="20"/>
          <w:szCs w:val="20"/>
          <w:lang w:val="en-US"/>
        </w:rPr>
        <w:t>C</w:t>
      </w:r>
      <w:r w:rsidRPr="00E8678A">
        <w:rPr>
          <w:sz w:val="20"/>
          <w:szCs w:val="20"/>
          <w:lang w:val="en-US"/>
        </w:rPr>
        <w:t xml:space="preserve"> Mean coverages for all coding positions of genes with well-established rare disease associations</w:t>
      </w:r>
      <w:r w:rsidR="00FE1ABE" w:rsidRPr="00E8678A">
        <w:rPr>
          <w:sz w:val="20"/>
          <w:szCs w:val="20"/>
          <w:lang w:val="en-US"/>
        </w:rPr>
        <w:t xml:space="preserve"> were calculated from 35 randomly selected genomes.</w:t>
      </w:r>
      <w:r w:rsidRPr="00E8678A">
        <w:rPr>
          <w:sz w:val="20"/>
          <w:szCs w:val="20"/>
          <w:lang w:val="en-US"/>
        </w:rPr>
        <w:t xml:space="preserve"> </w:t>
      </w:r>
      <w:r w:rsidRPr="00E8678A">
        <w:rPr>
          <w:b/>
          <w:bCs/>
          <w:sz w:val="20"/>
          <w:szCs w:val="20"/>
          <w:lang w:val="en-US"/>
        </w:rPr>
        <w:t>D</w:t>
      </w:r>
      <w:r w:rsidRPr="00E8678A">
        <w:rPr>
          <w:sz w:val="20"/>
          <w:szCs w:val="20"/>
          <w:lang w:val="en-US"/>
        </w:rPr>
        <w:t xml:space="preserve"> The fraction of </w:t>
      </w:r>
      <w:r w:rsidR="00EF2722" w:rsidRPr="00E8678A">
        <w:rPr>
          <w:sz w:val="20"/>
          <w:szCs w:val="20"/>
          <w:lang w:val="en-US"/>
        </w:rPr>
        <w:t>genes</w:t>
      </w:r>
      <w:r w:rsidRPr="00E8678A">
        <w:rPr>
          <w:sz w:val="20"/>
          <w:szCs w:val="20"/>
          <w:lang w:val="en-US"/>
        </w:rPr>
        <w:t xml:space="preserve"> </w:t>
      </w:r>
      <w:r w:rsidR="00FA68AF" w:rsidRPr="00E8678A">
        <w:rPr>
          <w:sz w:val="20"/>
          <w:szCs w:val="20"/>
          <w:lang w:val="en-US"/>
        </w:rPr>
        <w:t xml:space="preserve">versus the percentage of bases of the gene </w:t>
      </w:r>
      <w:r w:rsidRPr="00E8678A">
        <w:rPr>
          <w:sz w:val="20"/>
          <w:szCs w:val="20"/>
          <w:lang w:val="en-US"/>
        </w:rPr>
        <w:t xml:space="preserve">with </w:t>
      </w:r>
      <w:r w:rsidR="00EF2722" w:rsidRPr="00E8678A">
        <w:rPr>
          <w:rFonts w:cstheme="minorHAnsi"/>
          <w:sz w:val="20"/>
          <w:szCs w:val="20"/>
          <w:lang w:val="en-US"/>
        </w:rPr>
        <w:t>≥</w:t>
      </w:r>
      <w:r w:rsidR="00EF2722" w:rsidRPr="00E8678A">
        <w:rPr>
          <w:sz w:val="20"/>
          <w:szCs w:val="20"/>
          <w:lang w:val="en-US"/>
        </w:rPr>
        <w:t>10x coverage</w:t>
      </w:r>
      <w:r w:rsidRPr="00E8678A">
        <w:rPr>
          <w:sz w:val="20"/>
          <w:szCs w:val="20"/>
          <w:lang w:val="en-US"/>
        </w:rPr>
        <w:t xml:space="preserve">. </w:t>
      </w:r>
      <w:r w:rsidR="00C545A4" w:rsidRPr="00E8678A">
        <w:rPr>
          <w:b/>
          <w:bCs/>
          <w:sz w:val="20"/>
          <w:szCs w:val="20"/>
          <w:lang w:val="en-US"/>
        </w:rPr>
        <w:br w:type="page"/>
      </w:r>
    </w:p>
    <w:p w14:paraId="1DE4F65B" w14:textId="137CE111" w:rsidR="00C545A4" w:rsidRPr="00E8678A" w:rsidRDefault="009621FA" w:rsidP="00A70BFB">
      <w:pPr>
        <w:pStyle w:val="Kop3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bookmarkStart w:id="16" w:name="_Hlk143872563"/>
      <w:bookmarkStart w:id="17" w:name="_Toc143873981"/>
      <w:bookmarkStart w:id="18" w:name="_Hlk140265987"/>
      <w:r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lastRenderedPageBreak/>
        <w:t>Supplementary Figure S</w:t>
      </w:r>
      <w:r w:rsidR="003B01C2"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>6</w:t>
      </w:r>
      <w:r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: Schematic representation </w:t>
      </w:r>
      <w:bookmarkEnd w:id="16"/>
      <w:r w:rsidRPr="00E8678A">
        <w:rPr>
          <w:rFonts w:asciiTheme="minorHAnsi" w:hAnsiTheme="minorHAnsi" w:cstheme="minorHAnsi"/>
          <w:b/>
          <w:bCs/>
          <w:sz w:val="20"/>
          <w:szCs w:val="20"/>
          <w:lang w:val="en-US"/>
        </w:rPr>
        <w:t>of referrals to Radboudumc and MUMC+ in 2022</w:t>
      </w:r>
      <w:bookmarkEnd w:id="17"/>
    </w:p>
    <w:p w14:paraId="41E15119" w14:textId="77777777" w:rsidR="00A70BFB" w:rsidRPr="00E8678A" w:rsidRDefault="00A70BFB" w:rsidP="00952586">
      <w:pPr>
        <w:rPr>
          <w:lang w:val="en-US"/>
        </w:rPr>
      </w:pPr>
    </w:p>
    <w:bookmarkEnd w:id="18"/>
    <w:p w14:paraId="4D0D4C86" w14:textId="0168A6C9" w:rsidR="009A33E2" w:rsidRPr="00E8678A" w:rsidRDefault="00537DD7" w:rsidP="009A33E2">
      <w:pPr>
        <w:rPr>
          <w:lang w:val="en-US"/>
        </w:rPr>
      </w:pPr>
      <w:r w:rsidRPr="00E8678A">
        <w:rPr>
          <w:noProof/>
          <w:lang w:val="en-US"/>
        </w:rPr>
        <w:drawing>
          <wp:inline distT="0" distB="0" distL="0" distR="0" wp14:anchorId="26D3151C" wp14:editId="2BDD8D8D">
            <wp:extent cx="5760720" cy="671385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537EF" w14:textId="77777777" w:rsidR="009A33E2" w:rsidRPr="00E8678A" w:rsidRDefault="009A33E2">
      <w:pPr>
        <w:rPr>
          <w:lang w:val="en-US"/>
        </w:rPr>
      </w:pPr>
    </w:p>
    <w:p w14:paraId="29F583E2" w14:textId="5440EDE9" w:rsidR="00BC3174" w:rsidRPr="00E8678A" w:rsidRDefault="00BF758C" w:rsidP="00BC3174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  <w:r w:rsidRPr="00E8678A">
        <w:rPr>
          <w:rFonts w:ascii="Calibri" w:eastAsia="Times New Roman" w:hAnsi="Calibri" w:cs="Calibri"/>
          <w:b/>
          <w:bCs/>
          <w:color w:val="000000"/>
          <w:lang w:val="en-US" w:eastAsia="nl-NL"/>
        </w:rPr>
        <w:br w:type="page"/>
      </w:r>
    </w:p>
    <w:p w14:paraId="6EAA0CA1" w14:textId="0DB07B25" w:rsidR="005E2BFF" w:rsidRPr="00E8678A" w:rsidRDefault="003F039E" w:rsidP="00952586">
      <w:pPr>
        <w:pStyle w:val="Kop3"/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nl-NL"/>
        </w:rPr>
      </w:pPr>
      <w:bookmarkStart w:id="19" w:name="_Toc143873982"/>
      <w:bookmarkStart w:id="20" w:name="_Hlk140266006"/>
      <w:r w:rsidRPr="00E8678A"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nl-NL"/>
        </w:rPr>
        <w:lastRenderedPageBreak/>
        <w:t>Supplementary Figure S</w:t>
      </w:r>
      <w:r w:rsidR="00E77A75" w:rsidRPr="00E8678A"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nl-NL"/>
        </w:rPr>
        <w:t>7</w:t>
      </w:r>
      <w:r w:rsidRPr="00E8678A"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nl-NL"/>
        </w:rPr>
        <w:t xml:space="preserve">: </w:t>
      </w:r>
      <w:r w:rsidR="005E2BFF" w:rsidRPr="00E8678A"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nl-NL"/>
        </w:rPr>
        <w:t>Schematic overview of assumptions made to evaluate the impact on diagnostic yield from transition to a generic GS approach</w:t>
      </w:r>
      <w:bookmarkEnd w:id="19"/>
    </w:p>
    <w:bookmarkEnd w:id="20"/>
    <w:p w14:paraId="5A0043DC" w14:textId="45F7E7ED" w:rsidR="005E2BFF" w:rsidRPr="00E8678A" w:rsidRDefault="005E2BFF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</w:p>
    <w:p w14:paraId="2E320350" w14:textId="52894125" w:rsidR="005E2BFF" w:rsidRPr="00E8678A" w:rsidRDefault="00BC3352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  <w:r w:rsidRPr="00E8678A">
        <w:rPr>
          <w:rFonts w:ascii="Calibri" w:eastAsia="Times New Roman" w:hAnsi="Calibri" w:cs="Calibri"/>
          <w:b/>
          <w:bCs/>
          <w:noProof/>
          <w:color w:val="000000"/>
          <w:lang w:val="en-US" w:eastAsia="nl-NL"/>
        </w:rPr>
        <w:drawing>
          <wp:anchor distT="0" distB="0" distL="114300" distR="114300" simplePos="0" relativeHeight="251665408" behindDoc="0" locked="0" layoutInCell="1" allowOverlap="1" wp14:anchorId="41D4C63C" wp14:editId="1C640CE9">
            <wp:simplePos x="0" y="0"/>
            <wp:positionH relativeFrom="margin">
              <wp:posOffset>221339</wp:posOffset>
            </wp:positionH>
            <wp:positionV relativeFrom="paragraph">
              <wp:posOffset>6846</wp:posOffset>
            </wp:positionV>
            <wp:extent cx="5512524" cy="27113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43" cy="2713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BFF" w:rsidRPr="00E8678A">
        <w:rPr>
          <w:rFonts w:ascii="Calibri" w:eastAsia="Times New Roman" w:hAnsi="Calibri" w:cs="Calibri"/>
          <w:b/>
          <w:bCs/>
          <w:color w:val="000000"/>
          <w:lang w:val="en-US" w:eastAsia="nl-NL"/>
        </w:rPr>
        <w:t>A</w:t>
      </w:r>
    </w:p>
    <w:p w14:paraId="23ED4B12" w14:textId="7694FE4E" w:rsidR="005E2BFF" w:rsidRPr="00E8678A" w:rsidRDefault="005E2BFF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</w:p>
    <w:p w14:paraId="4CECFCAF" w14:textId="3AA69347" w:rsidR="00BC3352" w:rsidRPr="00E8678A" w:rsidRDefault="00BC3352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</w:p>
    <w:p w14:paraId="236CCC22" w14:textId="1FDFF6D1" w:rsidR="00BC3352" w:rsidRPr="00E8678A" w:rsidRDefault="00BC3352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</w:p>
    <w:p w14:paraId="6E0C67D2" w14:textId="6CF7D075" w:rsidR="00BC3352" w:rsidRPr="00E8678A" w:rsidRDefault="00BC3352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</w:p>
    <w:p w14:paraId="7A050B5E" w14:textId="2E920086" w:rsidR="00BC3352" w:rsidRPr="00E8678A" w:rsidRDefault="00BC3352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</w:p>
    <w:p w14:paraId="322AD365" w14:textId="2FFCA4CE" w:rsidR="00BC3352" w:rsidRPr="00E8678A" w:rsidRDefault="00BC3352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</w:p>
    <w:p w14:paraId="0A4B47E2" w14:textId="051162CD" w:rsidR="00BC3352" w:rsidRPr="00E8678A" w:rsidRDefault="00BC3352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</w:p>
    <w:p w14:paraId="070800B5" w14:textId="2AFE6A0E" w:rsidR="00BC3352" w:rsidRPr="00E8678A" w:rsidRDefault="00E27E0D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  <w:r w:rsidRPr="00E8678A">
        <w:rPr>
          <w:rFonts w:ascii="Calibri" w:eastAsia="Times New Roman" w:hAnsi="Calibri" w:cs="Calibri"/>
          <w:b/>
          <w:bCs/>
          <w:noProof/>
          <w:color w:val="000000"/>
          <w:lang w:val="en-US" w:eastAsia="nl-NL"/>
        </w:rPr>
        <w:drawing>
          <wp:anchor distT="0" distB="0" distL="114300" distR="114300" simplePos="0" relativeHeight="251669504" behindDoc="0" locked="0" layoutInCell="1" allowOverlap="1" wp14:anchorId="7A135253" wp14:editId="500C26A4">
            <wp:simplePos x="0" y="0"/>
            <wp:positionH relativeFrom="margin">
              <wp:align>right</wp:align>
            </wp:positionH>
            <wp:positionV relativeFrom="paragraph">
              <wp:posOffset>435610</wp:posOffset>
            </wp:positionV>
            <wp:extent cx="5522595" cy="1456055"/>
            <wp:effectExtent l="0" t="0" r="190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2C8C8" w14:textId="6FEE26C8" w:rsidR="005E2BFF" w:rsidRPr="00E8678A" w:rsidRDefault="005E2BFF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  <w:r w:rsidRPr="00E8678A">
        <w:rPr>
          <w:rFonts w:ascii="Calibri" w:eastAsia="Times New Roman" w:hAnsi="Calibri" w:cs="Calibri"/>
          <w:b/>
          <w:bCs/>
          <w:color w:val="000000"/>
          <w:lang w:val="en-US" w:eastAsia="nl-NL"/>
        </w:rPr>
        <w:t>B</w:t>
      </w:r>
      <w:r w:rsidR="00E27E0D" w:rsidRPr="00E8678A">
        <w:rPr>
          <w:noProof/>
          <w:lang w:val="en-US"/>
        </w:rPr>
        <w:t xml:space="preserve"> </w:t>
      </w:r>
    </w:p>
    <w:p w14:paraId="4EEE0FE0" w14:textId="0CBCB2DE" w:rsidR="005E2BFF" w:rsidRPr="00E8678A" w:rsidRDefault="005E2BFF">
      <w:pPr>
        <w:rPr>
          <w:rFonts w:ascii="Calibri" w:eastAsia="Times New Roman" w:hAnsi="Calibri" w:cs="Calibri"/>
          <w:i/>
          <w:iCs/>
          <w:color w:val="000000"/>
          <w:lang w:val="en-US" w:eastAsia="nl-NL"/>
        </w:rPr>
      </w:pPr>
    </w:p>
    <w:p w14:paraId="3E269A1B" w14:textId="77DF8656" w:rsidR="005E2BFF" w:rsidRPr="00E8678A" w:rsidRDefault="005E2BFF">
      <w:pPr>
        <w:rPr>
          <w:rFonts w:ascii="Calibri" w:eastAsia="Times New Roman" w:hAnsi="Calibri" w:cs="Calibri"/>
          <w:i/>
          <w:iCs/>
          <w:color w:val="000000"/>
          <w:lang w:val="en-US" w:eastAsia="nl-NL"/>
        </w:rPr>
      </w:pPr>
    </w:p>
    <w:p w14:paraId="553195A4" w14:textId="6A468CEB" w:rsidR="005E2BFF" w:rsidRPr="00E8678A" w:rsidRDefault="005E2BFF">
      <w:pPr>
        <w:rPr>
          <w:rFonts w:ascii="Calibri" w:eastAsia="Times New Roman" w:hAnsi="Calibri" w:cs="Calibri"/>
          <w:i/>
          <w:iCs/>
          <w:color w:val="000000"/>
          <w:lang w:val="en-US" w:eastAsia="nl-NL"/>
        </w:rPr>
      </w:pPr>
    </w:p>
    <w:p w14:paraId="2F98F321" w14:textId="19B41813" w:rsidR="005E2BFF" w:rsidRPr="00E8678A" w:rsidRDefault="005E2BFF">
      <w:pPr>
        <w:rPr>
          <w:rFonts w:ascii="Calibri" w:eastAsia="Times New Roman" w:hAnsi="Calibri" w:cs="Calibri"/>
          <w:i/>
          <w:iCs/>
          <w:color w:val="000000"/>
          <w:lang w:val="en-US" w:eastAsia="nl-NL"/>
        </w:rPr>
      </w:pPr>
    </w:p>
    <w:p w14:paraId="2D0C57A3" w14:textId="4D8ACDAC" w:rsidR="005E2BFF" w:rsidRPr="00E8678A" w:rsidRDefault="005E2BFF">
      <w:pPr>
        <w:rPr>
          <w:rFonts w:ascii="Calibri" w:eastAsia="Times New Roman" w:hAnsi="Calibri" w:cs="Calibri"/>
          <w:i/>
          <w:iCs/>
          <w:color w:val="000000"/>
          <w:lang w:val="en-US" w:eastAsia="nl-NL"/>
        </w:rPr>
      </w:pPr>
    </w:p>
    <w:p w14:paraId="5D85A9C2" w14:textId="24C89CC6" w:rsidR="005E2BFF" w:rsidRPr="00E8678A" w:rsidRDefault="005E2BFF" w:rsidP="005E2BFF">
      <w:pPr>
        <w:rPr>
          <w:rFonts w:ascii="Calibri" w:eastAsia="Times New Roman" w:hAnsi="Calibri" w:cs="Calibri"/>
          <w:color w:val="000000"/>
          <w:sz w:val="20"/>
          <w:szCs w:val="20"/>
          <w:lang w:val="en-US" w:eastAsia="nl-NL"/>
        </w:rPr>
      </w:pPr>
      <w:r w:rsidRPr="00E8678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nl-NL"/>
        </w:rPr>
        <w:t>A</w:t>
      </w:r>
      <w:r w:rsidRPr="00E8678A">
        <w:rPr>
          <w:rFonts w:ascii="Calibri" w:eastAsia="Times New Roman" w:hAnsi="Calibri" w:cs="Calibri"/>
          <w:color w:val="000000"/>
          <w:sz w:val="20"/>
          <w:szCs w:val="20"/>
          <w:lang w:val="en-US" w:eastAsia="nl-NL"/>
        </w:rPr>
        <w:t>) Based on clinical referrals being transferable to generic GS, the impact on diagnosis was evaluated for all 24,570. Top row shows original diagnosis per individual, where ‘</w:t>
      </w:r>
      <w:r w:rsidRPr="00E8678A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US" w:eastAsia="nl-NL"/>
        </w:rPr>
        <w:t>n</w:t>
      </w:r>
      <w:r w:rsidRPr="00E8678A">
        <w:rPr>
          <w:rFonts w:ascii="Calibri" w:eastAsia="Times New Roman" w:hAnsi="Calibri" w:cs="Calibri"/>
          <w:color w:val="000000"/>
          <w:sz w:val="20"/>
          <w:szCs w:val="20"/>
          <w:lang w:val="en-US" w:eastAsia="nl-NL"/>
        </w:rPr>
        <w:t xml:space="preserve">’ refers to number of individuals; *Offset with workflow specific TPRs are provided in </w:t>
      </w:r>
      <w:r w:rsidRPr="00E8678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nl-NL"/>
        </w:rPr>
        <w:t>B</w:t>
      </w:r>
      <w:r w:rsidRPr="00E8678A">
        <w:rPr>
          <w:rFonts w:ascii="Calibri" w:eastAsia="Times New Roman" w:hAnsi="Calibri" w:cs="Calibri"/>
          <w:color w:val="000000"/>
          <w:sz w:val="20"/>
          <w:szCs w:val="20"/>
          <w:lang w:val="en-US" w:eastAsia="nl-NL"/>
        </w:rPr>
        <w:t>.</w:t>
      </w:r>
      <w:r w:rsidR="00CE4CD8" w:rsidRPr="00E8678A">
        <w:rPr>
          <w:rFonts w:ascii="Calibri" w:eastAsia="Times New Roman" w:hAnsi="Calibri" w:cs="Calibri"/>
          <w:color w:val="000000"/>
          <w:sz w:val="20"/>
          <w:szCs w:val="20"/>
          <w:lang w:val="en-US" w:eastAsia="nl-NL"/>
        </w:rPr>
        <w:t xml:space="preserve"> Assuming all negative diagnoses remain negative, this translates</w:t>
      </w:r>
      <w:r w:rsidR="00CE4CD8" w:rsidRPr="00E8678A">
        <w:rPr>
          <w:sz w:val="20"/>
          <w:szCs w:val="20"/>
          <w:lang w:val="en-US"/>
        </w:rPr>
        <w:t xml:space="preserve"> to a possible false negative diagnostic rate of 0.3% (17/6232).</w:t>
      </w:r>
    </w:p>
    <w:p w14:paraId="52F35EB8" w14:textId="77777777" w:rsidR="005E2BFF" w:rsidRPr="00E8678A" w:rsidRDefault="005E2BFF">
      <w:pPr>
        <w:rPr>
          <w:rFonts w:ascii="Calibri" w:eastAsia="Times New Roman" w:hAnsi="Calibri" w:cs="Calibri"/>
          <w:i/>
          <w:iCs/>
          <w:color w:val="000000"/>
          <w:lang w:val="en-US" w:eastAsia="nl-NL"/>
        </w:rPr>
      </w:pPr>
    </w:p>
    <w:p w14:paraId="4FE97447" w14:textId="1514A272" w:rsidR="003F039E" w:rsidRPr="00E8678A" w:rsidRDefault="003F039E">
      <w:pPr>
        <w:rPr>
          <w:rFonts w:ascii="Calibri" w:eastAsia="Times New Roman" w:hAnsi="Calibri" w:cs="Calibri"/>
          <w:b/>
          <w:bCs/>
          <w:color w:val="000000"/>
          <w:lang w:val="en-US" w:eastAsia="nl-NL"/>
        </w:rPr>
      </w:pPr>
      <w:r w:rsidRPr="00E8678A">
        <w:rPr>
          <w:rFonts w:ascii="Calibri" w:eastAsia="Times New Roman" w:hAnsi="Calibri" w:cs="Calibri"/>
          <w:b/>
          <w:bCs/>
          <w:color w:val="000000"/>
          <w:lang w:val="en-US" w:eastAsia="nl-NL"/>
        </w:rPr>
        <w:br w:type="page"/>
      </w:r>
    </w:p>
    <w:p w14:paraId="08228E44" w14:textId="087AE367" w:rsidR="00AE14B6" w:rsidRPr="00E8678A" w:rsidRDefault="00AE14B6" w:rsidP="00952586">
      <w:pPr>
        <w:pStyle w:val="Kop3"/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nl-NL"/>
        </w:rPr>
      </w:pPr>
      <w:bookmarkStart w:id="21" w:name="_Toc143873984"/>
      <w:r w:rsidRPr="00E8678A"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nl-NL"/>
        </w:rPr>
        <w:lastRenderedPageBreak/>
        <w:t>Supplementary Table S3</w:t>
      </w:r>
      <w:r w:rsidR="005F143E" w:rsidRPr="00E8678A"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nl-NL"/>
        </w:rPr>
        <w:t>: GS sensitivity</w:t>
      </w:r>
      <w:bookmarkEnd w:id="21"/>
    </w:p>
    <w:p w14:paraId="03E2E6F6" w14:textId="079D89CD" w:rsidR="002F0BF5" w:rsidRPr="00E8678A" w:rsidRDefault="00912874" w:rsidP="00EE21CF">
      <w:pPr>
        <w:rPr>
          <w:rFonts w:ascii="Calibri" w:eastAsia="Times New Roman" w:hAnsi="Calibri" w:cs="Calibri"/>
          <w:sz w:val="20"/>
          <w:szCs w:val="20"/>
          <w:lang w:val="en-US" w:eastAsia="nl-NL"/>
        </w:rPr>
      </w:pPr>
      <w:r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t>*Excluded indications: Adenomatous polyposis coli, Chronic lymphocytic leukemia, PTEN Hamartoma tumor syndrome (diagnostic referrals that are under suspicion of harboring mosaic variants and/or added to include mosa</w:t>
      </w:r>
      <w:r w:rsidR="00F90875"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t>i</w:t>
      </w:r>
      <w:r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t>c variants although not primarily aimed at germline testing)</w:t>
      </w:r>
      <w:r w:rsidR="007F5E1C"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t xml:space="preserve">; </w:t>
      </w:r>
      <w:r w:rsidR="00AE14B6"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t xml:space="preserve">Excluded variants: mosaic variants &lt;20%, variants in the </w:t>
      </w:r>
      <w:r w:rsidRPr="00E8678A">
        <w:rPr>
          <w:rFonts w:ascii="Calibri" w:eastAsia="Times New Roman" w:hAnsi="Calibri" w:cs="Calibri"/>
          <w:i/>
          <w:iCs/>
          <w:sz w:val="20"/>
          <w:szCs w:val="20"/>
          <w:lang w:val="en-US" w:eastAsia="nl-NL"/>
        </w:rPr>
        <w:t>CYP21A2</w:t>
      </w:r>
      <w:r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t xml:space="preserve">, </w:t>
      </w:r>
      <w:r w:rsidR="00AE14B6" w:rsidRPr="00E8678A">
        <w:rPr>
          <w:rFonts w:ascii="Calibri" w:eastAsia="Times New Roman" w:hAnsi="Calibri" w:cs="Calibri"/>
          <w:i/>
          <w:iCs/>
          <w:sz w:val="20"/>
          <w:szCs w:val="20"/>
          <w:lang w:val="en-US" w:eastAsia="nl-NL"/>
        </w:rPr>
        <w:t>SMN1</w:t>
      </w:r>
      <w:r w:rsidR="00AE14B6"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t xml:space="preserve">, </w:t>
      </w:r>
      <w:r w:rsidR="00AE14B6" w:rsidRPr="00E8678A">
        <w:rPr>
          <w:rFonts w:ascii="Calibri" w:eastAsia="Times New Roman" w:hAnsi="Calibri" w:cs="Calibri"/>
          <w:i/>
          <w:iCs/>
          <w:sz w:val="20"/>
          <w:szCs w:val="20"/>
          <w:lang w:val="en-US" w:eastAsia="nl-NL"/>
        </w:rPr>
        <w:t>OTOA</w:t>
      </w:r>
      <w:r w:rsidR="00AE14B6"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t xml:space="preserve">, </w:t>
      </w:r>
      <w:r w:rsidR="00AE14B6" w:rsidRPr="00E8678A">
        <w:rPr>
          <w:rFonts w:ascii="Calibri" w:eastAsia="Times New Roman" w:hAnsi="Calibri" w:cs="Calibri"/>
          <w:i/>
          <w:iCs/>
          <w:sz w:val="20"/>
          <w:szCs w:val="20"/>
          <w:lang w:val="en-US" w:eastAsia="nl-NL"/>
        </w:rPr>
        <w:t>STRC</w:t>
      </w:r>
      <w:r w:rsidR="00AE14B6"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t xml:space="preserve"> or OPSIN genes</w:t>
      </w:r>
      <w:r w:rsidR="007F5E1C"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t>.</w:t>
      </w:r>
      <w:r w:rsidR="002F0BF5" w:rsidRPr="00E8678A">
        <w:rPr>
          <w:rFonts w:ascii="Calibri" w:eastAsia="Times New Roman" w:hAnsi="Calibri" w:cs="Calibri"/>
          <w:sz w:val="20"/>
          <w:szCs w:val="20"/>
          <w:lang w:val="en-US" w:eastAsia="nl-NL"/>
        </w:rPr>
        <w:br/>
        <w:t>TPR</w:t>
      </w:r>
      <w:r w:rsidR="007F5E1C" w:rsidRPr="00E8678A">
        <w:rPr>
          <w:rFonts w:ascii="Calibri" w:hAnsi="Calibri" w:cs="Calibri"/>
          <w:sz w:val="20"/>
          <w:szCs w:val="20"/>
          <w:lang w:val="en-US"/>
        </w:rPr>
        <w:t>≥</w:t>
      </w:r>
      <w:r w:rsidR="002F0BF5" w:rsidRPr="00E8678A">
        <w:rPr>
          <w:rFonts w:ascii="Calibri" w:hAnsi="Calibri" w:cs="Calibri"/>
          <w:sz w:val="20"/>
          <w:szCs w:val="20"/>
          <w:lang w:val="en-US"/>
        </w:rPr>
        <w:t>98%</w:t>
      </w:r>
      <w:r w:rsidR="00963AC5" w:rsidRPr="00E8678A">
        <w:rPr>
          <w:rFonts w:ascii="Calibri" w:hAnsi="Calibri" w:cs="Calibri"/>
          <w:sz w:val="20"/>
          <w:szCs w:val="20"/>
          <w:lang w:val="en-US"/>
        </w:rPr>
        <w:t xml:space="preserve"> indicated by grey marking</w:t>
      </w:r>
    </w:p>
    <w:tbl>
      <w:tblPr>
        <w:tblW w:w="9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789"/>
        <w:gridCol w:w="854"/>
        <w:gridCol w:w="931"/>
        <w:gridCol w:w="970"/>
        <w:gridCol w:w="992"/>
        <w:gridCol w:w="1087"/>
      </w:tblGrid>
      <w:tr w:rsidR="00F36D77" w:rsidRPr="007F05C6" w14:paraId="7C0F331F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6D4F8" w14:textId="77777777" w:rsidR="00F36D77" w:rsidRPr="00E8678A" w:rsidRDefault="00F36D77" w:rsidP="0055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# variants</w:t>
            </w:r>
          </w:p>
        </w:tc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437F" w14:textId="77777777" w:rsidR="00F36D77" w:rsidRPr="00E8678A" w:rsidRDefault="00F36D77" w:rsidP="00AE1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1) Technical validation</w:t>
            </w:r>
          </w:p>
          <w:p w14:paraId="4C5ED66F" w14:textId="4565B825" w:rsidR="00F36D77" w:rsidRPr="00E8678A" w:rsidRDefault="00F36D77" w:rsidP="00AE1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 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472D" w14:textId="77777777" w:rsidR="00F36D77" w:rsidRPr="00E8678A" w:rsidRDefault="00F36D77" w:rsidP="00AE1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 xml:space="preserve">2) Technical validation </w:t>
            </w:r>
          </w:p>
          <w:p w14:paraId="6D554A45" w14:textId="188D0ADC" w:rsidR="00F36D77" w:rsidRPr="00E8678A" w:rsidRDefault="00F36D77" w:rsidP="00AE1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+ exclusion expected false negatives*</w:t>
            </w:r>
          </w:p>
        </w:tc>
      </w:tr>
      <w:tr w:rsidR="00F36D77" w:rsidRPr="00E8678A" w14:paraId="6B02B219" w14:textId="77777777" w:rsidTr="00F36D77">
        <w:trPr>
          <w:trHeight w:val="300"/>
        </w:trPr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C967" w14:textId="5E05DF17" w:rsidR="00F36D77" w:rsidRPr="00E8678A" w:rsidRDefault="00F36D77" w:rsidP="00AE1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Workflow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C7153" w14:textId="1F37DDA6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positive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44F33" w14:textId="799623AF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false negative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F2D65" w14:textId="7622033F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total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5BAD" w14:textId="4908B55A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TPR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C98C" w14:textId="1B94B05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positive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AE78F" w14:textId="41BBF1AA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false negative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22731" w14:textId="02B51171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total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499B" w14:textId="28D35D36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TPR</w:t>
            </w:r>
          </w:p>
        </w:tc>
      </w:tr>
      <w:tr w:rsidR="00F36D77" w:rsidRPr="00E8678A" w14:paraId="618CB09C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68BD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Sanger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E3B6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C124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5E05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946B" w14:textId="25E31829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94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3%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CC52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178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F64F1" w14:textId="08F0CB76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54D5" w14:textId="38206085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178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933CB5" w14:textId="4C0C0BC1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100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</w:tr>
      <w:tr w:rsidR="00F36D77" w:rsidRPr="00E8678A" w14:paraId="6415F162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E19" w14:textId="5EF52D39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(t)NGS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17D6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1EDF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1857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BED0" w14:textId="11EEA5CD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94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5%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F90B" w14:textId="5DBE74F0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</w:t>
            </w:r>
            <w:r w:rsidR="00912874" w:rsidRPr="00E8678A">
              <w:rPr>
                <w:rFonts w:ascii="Calibri" w:eastAsia="Times New Roman" w:hAnsi="Calibri" w:cs="Calibri"/>
                <w:lang w:val="en-US" w:eastAsia="nl-NL"/>
              </w:rPr>
              <w:t>91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1FFC6" w14:textId="18BA32A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3488" w14:textId="38945AC9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</w:t>
            </w:r>
            <w:r w:rsidR="00912874" w:rsidRPr="00E8678A">
              <w:rPr>
                <w:rFonts w:ascii="Calibri" w:eastAsia="Times New Roman" w:hAnsi="Calibri" w:cs="Calibri"/>
                <w:lang w:val="en-US" w:eastAsia="nl-NL"/>
              </w:rPr>
              <w:t>91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622AEF" w14:textId="7C940646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100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</w:tr>
      <w:tr w:rsidR="00F36D77" w:rsidRPr="00E8678A" w14:paraId="58200BD7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F48" w14:textId="481CB1AC" w:rsidR="00F36D77" w:rsidRPr="00E8678A" w:rsidRDefault="00AF41EE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nl-NL"/>
              </w:rPr>
            </w:pPr>
            <w:proofErr w:type="spellStart"/>
            <w:r w:rsidRPr="00E8678A">
              <w:rPr>
                <w:rFonts w:ascii="Calibri" w:eastAsia="Times New Roman" w:hAnsi="Calibri" w:cs="Calibri"/>
                <w:lang w:val="en-US" w:eastAsia="nl-NL"/>
              </w:rPr>
              <w:t>DelPCR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EF77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67B2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EBBC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D7D" w14:textId="4BE9DDDD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85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7%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8E93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09B81" w14:textId="3A3600C4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98AD" w14:textId="39680545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400581" w14:textId="7FF98D95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100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</w:tr>
      <w:tr w:rsidR="00F36D77" w:rsidRPr="00E8678A" w14:paraId="0B662E98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91C" w14:textId="6E02F5F4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Blot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377D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9AF7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C66D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2357D" w14:textId="711D5429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100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D9D8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420B7" w14:textId="44C83FB6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E006" w14:textId="79EB778D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6A3453" w14:textId="1D2B4D30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100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</w:tr>
      <w:tr w:rsidR="00F36D77" w:rsidRPr="00E8678A" w14:paraId="1331C429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39E9" w14:textId="17FB6432" w:rsidR="00F36D77" w:rsidRPr="00E8678A" w:rsidRDefault="00AF41EE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Fragment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7E6D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132F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C804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2867" w14:textId="6885D8BF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89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5%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E748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0BCB3" w14:textId="7222D44E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0F7E" w14:textId="5DA0DBE6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743" w14:textId="38873B42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89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5%</w:t>
            </w:r>
          </w:p>
        </w:tc>
      </w:tr>
      <w:tr w:rsidR="00F36D77" w:rsidRPr="00E8678A" w14:paraId="6833C70A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253E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MLPA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BF3F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BA51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7484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48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C38B" w14:textId="2BAAE43C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91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7%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924D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E4F8A" w14:textId="45D645C8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4A7B" w14:textId="2B27F60C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CC505C" w14:textId="0C762AED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100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</w:tr>
      <w:tr w:rsidR="00F36D77" w:rsidRPr="00E8678A" w14:paraId="1298007E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C0F2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Array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D67D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3354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0704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197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F4B3" w14:textId="3C3803A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92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9%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6579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168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EA2C2" w14:textId="4BE3CD5C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B11C" w14:textId="058252D0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170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567B2" w14:textId="7F746FC0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98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8%</w:t>
            </w:r>
          </w:p>
        </w:tc>
      </w:tr>
      <w:tr w:rsidR="00F36D77" w:rsidRPr="00E8678A" w14:paraId="390CC20E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99AB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nl-NL"/>
              </w:rPr>
            </w:pPr>
            <w:proofErr w:type="spellStart"/>
            <w:r w:rsidRPr="00E8678A">
              <w:rPr>
                <w:rFonts w:ascii="Calibri" w:eastAsia="Times New Roman" w:hAnsi="Calibri" w:cs="Calibri"/>
                <w:lang w:val="en-US" w:eastAsia="nl-NL"/>
              </w:rPr>
              <w:t>Karyo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224A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63C0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81C3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D47C" w14:textId="729F7293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78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9%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46D4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A0C2E" w14:textId="28EA5E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2065" w14:textId="3356C8EE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ACE" w14:textId="083060D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93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8%</w:t>
            </w:r>
          </w:p>
        </w:tc>
      </w:tr>
      <w:tr w:rsidR="00F36D77" w:rsidRPr="00E8678A" w14:paraId="34FFC930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583F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FISH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3577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E223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0C44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558" w14:textId="7804BB45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80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B63C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10C2" w14:textId="50A41ADC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D112" w14:textId="4501FB5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7D46" w14:textId="6932104F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80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</w:tr>
      <w:tr w:rsidR="00F36D77" w:rsidRPr="00E8678A" w14:paraId="11E105DF" w14:textId="77777777" w:rsidTr="00F36D77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F959" w14:textId="4740FE70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E</w:t>
            </w:r>
            <w:r w:rsidR="00AF41EE" w:rsidRPr="00E8678A">
              <w:rPr>
                <w:rFonts w:ascii="Calibri" w:eastAsia="Times New Roman" w:hAnsi="Calibri" w:cs="Calibri"/>
                <w:lang w:val="en-US" w:eastAsia="nl-NL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AD0A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A2D13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26F2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503</w:t>
            </w:r>
          </w:p>
        </w:tc>
        <w:tc>
          <w:tcPr>
            <w:tcW w:w="8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C2BAC1" w14:textId="250E5BBF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98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  <w:tc>
          <w:tcPr>
            <w:tcW w:w="9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3315D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3099FEB" w14:textId="7D4A12E4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B9C3" w14:textId="32FDC924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491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0B3AF0" w14:textId="1E7FBB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99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4%</w:t>
            </w:r>
          </w:p>
        </w:tc>
      </w:tr>
      <w:tr w:rsidR="00F36D77" w:rsidRPr="00E8678A" w14:paraId="3A339132" w14:textId="77777777" w:rsidTr="007F05C6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F915" w14:textId="77777777" w:rsidR="00F36D77" w:rsidRPr="00E8678A" w:rsidRDefault="00F36D77" w:rsidP="00AE1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4F87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1206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D106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CB676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1271</w:t>
            </w:r>
          </w:p>
        </w:tc>
        <w:tc>
          <w:tcPr>
            <w:tcW w:w="8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A32" w14:textId="37600CF1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94</w:t>
            </w:r>
            <w:r w:rsidR="00E8678A"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9%</w:t>
            </w:r>
          </w:p>
        </w:tc>
        <w:tc>
          <w:tcPr>
            <w:tcW w:w="9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83506" w14:textId="729DB611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113</w:t>
            </w:r>
            <w:r w:rsidR="00912874"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FE3F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9345" w14:textId="7DAF876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11</w:t>
            </w:r>
            <w:r w:rsidR="00912874"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BCD8" w14:textId="46659746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98</w:t>
            </w:r>
            <w:r w:rsidR="00E8678A"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8%</w:t>
            </w:r>
          </w:p>
        </w:tc>
      </w:tr>
      <w:tr w:rsidR="007F05C6" w:rsidRPr="00E8678A" w14:paraId="59421EA7" w14:textId="77777777" w:rsidTr="007F05C6">
        <w:trPr>
          <w:trHeight w:val="330"/>
        </w:trPr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A156" w14:textId="0B57E2FA" w:rsidR="007F05C6" w:rsidRPr="00E8678A" w:rsidRDefault="007F05C6" w:rsidP="00AE1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b/>
                <w:bCs/>
                <w:color w:val="000000"/>
                <w:lang w:val="en-US" w:eastAsia="nl-NL"/>
              </w:rPr>
              <w:t>Type variant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216DD" w14:textId="77777777" w:rsidR="007F05C6" w:rsidRPr="00E8678A" w:rsidRDefault="007F05C6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40616" w14:textId="77777777" w:rsidR="007F05C6" w:rsidRPr="00E8678A" w:rsidRDefault="007F05C6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</w:p>
        </w:tc>
        <w:tc>
          <w:tcPr>
            <w:tcW w:w="78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A3FC1" w14:textId="77777777" w:rsidR="007F05C6" w:rsidRPr="00E8678A" w:rsidRDefault="007F05C6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</w:p>
        </w:tc>
        <w:tc>
          <w:tcPr>
            <w:tcW w:w="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86B6" w14:textId="77777777" w:rsidR="007F05C6" w:rsidRPr="00E8678A" w:rsidRDefault="007F05C6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8C56B" w14:textId="77777777" w:rsidR="007F05C6" w:rsidRPr="00E8678A" w:rsidRDefault="007F05C6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</w:p>
        </w:tc>
        <w:tc>
          <w:tcPr>
            <w:tcW w:w="97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A506B" w14:textId="77777777" w:rsidR="007F05C6" w:rsidRPr="00E8678A" w:rsidRDefault="007F05C6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BFBB5" w14:textId="77777777" w:rsidR="007F05C6" w:rsidRPr="00E8678A" w:rsidRDefault="007F05C6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</w:p>
        </w:tc>
        <w:tc>
          <w:tcPr>
            <w:tcW w:w="10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F245" w14:textId="77777777" w:rsidR="007F05C6" w:rsidRPr="00E8678A" w:rsidRDefault="007F05C6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</w:p>
        </w:tc>
      </w:tr>
      <w:tr w:rsidR="00F36D77" w:rsidRPr="00E8678A" w14:paraId="2B3FFD24" w14:textId="77777777" w:rsidTr="007F05C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633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SNV, indels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C6F7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827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D5E9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34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1FDD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861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16B" w14:textId="16C3E14A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96</w:t>
            </w:r>
            <w:r w:rsidR="00E8678A"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1%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8182" w14:textId="2916329D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78</w:t>
            </w:r>
            <w:r w:rsidR="00912874" w:rsidRPr="00E8678A">
              <w:rPr>
                <w:rFonts w:ascii="Calibri" w:eastAsia="Times New Roman" w:hAnsi="Calibri" w:cs="Calibri"/>
                <w:lang w:val="en-US" w:eastAsia="nl-NL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37B0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1E26" w14:textId="0E534D80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7</w:t>
            </w:r>
            <w:r w:rsidR="00912874"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D06F05" w14:textId="57CBBD79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99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6%</w:t>
            </w:r>
          </w:p>
        </w:tc>
      </w:tr>
      <w:tr w:rsidR="00F36D77" w:rsidRPr="00E8678A" w14:paraId="7629E93B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1E40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STR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64BB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077D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310A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EBF5" w14:textId="57C31929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89</w:t>
            </w:r>
            <w:r w:rsidR="00E8678A"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7%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C6A2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2145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4DFA" w14:textId="56E33B0F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379A" w14:textId="6AA21E1E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89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7%</w:t>
            </w:r>
          </w:p>
        </w:tc>
      </w:tr>
      <w:tr w:rsidR="00F36D77" w:rsidRPr="00E8678A" w14:paraId="70A2F697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77EA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ROH, UPD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3309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B0BE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4602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A486" w14:textId="5CD6D46A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96</w:t>
            </w:r>
            <w:r w:rsidR="00E8678A"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3%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94CD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5A82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057D" w14:textId="2F9275EA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9C8B90" w14:textId="506879A6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100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</w:tr>
      <w:tr w:rsidR="00F36D77" w:rsidRPr="00E8678A" w14:paraId="3200639C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F28C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CNV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A9B9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CEE9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9D08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1453" w14:textId="650757F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93</w:t>
            </w:r>
            <w:r w:rsidR="00E8678A"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6%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7483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239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C6EB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EC7A" w14:textId="5CE13ED0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241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96EC9F" w14:textId="1C7F8773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99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2%</w:t>
            </w:r>
          </w:p>
        </w:tc>
      </w:tr>
      <w:tr w:rsidR="00F36D77" w:rsidRPr="00E8678A" w14:paraId="5D241F8B" w14:textId="77777777" w:rsidTr="00F36D7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4F6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1189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8B63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2DE7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E810" w14:textId="0DE35E7C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93</w:t>
            </w:r>
            <w:r w:rsidR="00E8678A"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3%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6C15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12EF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223B" w14:textId="009F503E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0C2640" w14:textId="2AC88CE9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100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0%</w:t>
            </w:r>
          </w:p>
        </w:tc>
      </w:tr>
      <w:tr w:rsidR="00F36D77" w:rsidRPr="00E8678A" w14:paraId="6E3E57EC" w14:textId="77777777" w:rsidTr="007F05C6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D79" w14:textId="77777777" w:rsidR="00F36D77" w:rsidRPr="00E8678A" w:rsidRDefault="00F36D77" w:rsidP="00AE1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SV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ECF6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89B0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E320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39AF" w14:textId="0188CBCD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73</w:t>
            </w:r>
            <w:r w:rsidR="00E8678A"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3%</w:t>
            </w:r>
          </w:p>
        </w:tc>
        <w:tc>
          <w:tcPr>
            <w:tcW w:w="93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E08A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F289" w14:textId="77777777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5AE5" w14:textId="024857A4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color w:val="000000"/>
                <w:lang w:val="en-US" w:eastAsia="nl-NL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D709" w14:textId="2A69C8FE" w:rsidR="00F36D77" w:rsidRPr="00E8678A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nl-NL"/>
              </w:rPr>
            </w:pPr>
            <w:r w:rsidRPr="00E8678A">
              <w:rPr>
                <w:rFonts w:ascii="Calibri" w:eastAsia="Times New Roman" w:hAnsi="Calibri" w:cs="Calibri"/>
                <w:lang w:val="en-US" w:eastAsia="nl-NL"/>
              </w:rPr>
              <w:t>78</w:t>
            </w:r>
            <w:r w:rsidR="00E8678A" w:rsidRPr="00E8678A">
              <w:rPr>
                <w:rFonts w:ascii="Calibri" w:eastAsia="Times New Roman" w:hAnsi="Calibri" w:cs="Calibri"/>
                <w:lang w:val="en-US" w:eastAsia="nl-NL"/>
              </w:rPr>
              <w:t>.</w:t>
            </w:r>
            <w:r w:rsidRPr="00E8678A">
              <w:rPr>
                <w:rFonts w:ascii="Calibri" w:eastAsia="Times New Roman" w:hAnsi="Calibri" w:cs="Calibri"/>
                <w:lang w:val="en-US" w:eastAsia="nl-NL"/>
              </w:rPr>
              <w:t>6%</w:t>
            </w:r>
          </w:p>
        </w:tc>
      </w:tr>
      <w:tr w:rsidR="00F36D77" w:rsidRPr="00E8678A" w14:paraId="436DC2C1" w14:textId="77777777" w:rsidTr="007F05C6">
        <w:trPr>
          <w:trHeight w:val="300"/>
        </w:trPr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E8E6" w14:textId="22314314" w:rsidR="00F36D77" w:rsidRPr="007F05C6" w:rsidRDefault="007F05C6" w:rsidP="00AE1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7F05C6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Total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6BC9D" w14:textId="77777777" w:rsidR="00F36D77" w:rsidRPr="007F05C6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7F05C6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1206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8C95" w14:textId="77777777" w:rsidR="00F36D77" w:rsidRPr="007F05C6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7F05C6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65</w:t>
            </w:r>
          </w:p>
        </w:tc>
        <w:tc>
          <w:tcPr>
            <w:tcW w:w="7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3F6C9" w14:textId="77777777" w:rsidR="00F36D77" w:rsidRPr="007F05C6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7F05C6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1271</w:t>
            </w:r>
          </w:p>
        </w:tc>
        <w:tc>
          <w:tcPr>
            <w:tcW w:w="8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61DF" w14:textId="77777777" w:rsidR="00F36D77" w:rsidRPr="007F05C6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A94BB" w14:textId="62E0AC54" w:rsidR="00F36D77" w:rsidRPr="007F05C6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7F05C6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113</w:t>
            </w:r>
            <w:r w:rsidR="00912874" w:rsidRPr="007F05C6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8</w:t>
            </w:r>
          </w:p>
        </w:tc>
        <w:tc>
          <w:tcPr>
            <w:tcW w:w="9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B95A" w14:textId="77777777" w:rsidR="00F36D77" w:rsidRPr="007F05C6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7F05C6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14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B8F6F" w14:textId="722D663A" w:rsidR="00F36D77" w:rsidRPr="007F05C6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  <w:r w:rsidRPr="007F05C6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11</w:t>
            </w:r>
            <w:r w:rsidR="00912874" w:rsidRPr="007F05C6">
              <w:rPr>
                <w:rFonts w:ascii="Calibri" w:eastAsia="Times New Roman" w:hAnsi="Calibri" w:cs="Calibri"/>
                <w:b/>
                <w:bCs/>
                <w:lang w:val="en-US" w:eastAsia="nl-NL"/>
              </w:rPr>
              <w:t>52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51B7" w14:textId="70A8B4AB" w:rsidR="00F36D77" w:rsidRPr="007F05C6" w:rsidRDefault="00F36D77" w:rsidP="00F3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nl-NL"/>
              </w:rPr>
            </w:pPr>
          </w:p>
        </w:tc>
      </w:tr>
    </w:tbl>
    <w:p w14:paraId="3008EA53" w14:textId="6A9EB74A" w:rsidR="00AE14B6" w:rsidRPr="00E8678A" w:rsidRDefault="00AE14B6" w:rsidP="00EE21CF">
      <w:pPr>
        <w:rPr>
          <w:lang w:val="en-US"/>
        </w:rPr>
      </w:pPr>
    </w:p>
    <w:p w14:paraId="711BBCDF" w14:textId="6F947D65" w:rsidR="00AF41EE" w:rsidRPr="00E8678A" w:rsidRDefault="00AF41EE" w:rsidP="00AF41EE">
      <w:pPr>
        <w:rPr>
          <w:i/>
          <w:iCs/>
          <w:lang w:val="en-US"/>
        </w:rPr>
      </w:pPr>
      <w:r w:rsidRPr="00E8678A">
        <w:rPr>
          <w:i/>
          <w:iCs/>
          <w:sz w:val="18"/>
          <w:szCs w:val="18"/>
          <w:lang w:val="en-US"/>
        </w:rPr>
        <w:t xml:space="preserve">Abbreviations: </w:t>
      </w:r>
      <w:bookmarkStart w:id="22" w:name="_Hlk140181056"/>
      <w:r w:rsidRPr="00E8678A">
        <w:rPr>
          <w:i/>
          <w:iCs/>
          <w:sz w:val="18"/>
          <w:szCs w:val="18"/>
          <w:lang w:val="en-US"/>
        </w:rPr>
        <w:t>targeted next generation sequencing ((t)NGS), deletion polymerase chain reaction (</w:t>
      </w:r>
      <w:proofErr w:type="spellStart"/>
      <w:r w:rsidRPr="00E8678A">
        <w:rPr>
          <w:i/>
          <w:iCs/>
          <w:sz w:val="18"/>
          <w:szCs w:val="18"/>
          <w:lang w:val="en-US"/>
        </w:rPr>
        <w:t>DelPCR</w:t>
      </w:r>
      <w:proofErr w:type="spellEnd"/>
      <w:r w:rsidRPr="00E8678A">
        <w:rPr>
          <w:i/>
          <w:iCs/>
          <w:sz w:val="18"/>
          <w:szCs w:val="18"/>
          <w:lang w:val="en-US"/>
        </w:rPr>
        <w:t xml:space="preserve">) </w:t>
      </w:r>
      <w:bookmarkEnd w:id="22"/>
      <w:r w:rsidRPr="00E8678A">
        <w:rPr>
          <w:i/>
          <w:iCs/>
          <w:sz w:val="18"/>
          <w:szCs w:val="18"/>
          <w:lang w:val="en-US"/>
        </w:rPr>
        <w:t>multiplex ligation-</w:t>
      </w:r>
      <w:r w:rsidR="00740FD8" w:rsidRPr="00E8678A">
        <w:rPr>
          <w:i/>
          <w:iCs/>
          <w:sz w:val="18"/>
          <w:szCs w:val="18"/>
          <w:lang w:val="en-US"/>
        </w:rPr>
        <w:t>dependent</w:t>
      </w:r>
      <w:r w:rsidRPr="00E8678A">
        <w:rPr>
          <w:i/>
          <w:iCs/>
          <w:sz w:val="18"/>
          <w:szCs w:val="18"/>
          <w:lang w:val="en-US"/>
        </w:rPr>
        <w:t xml:space="preserve"> probe amplification (MLPA), fluorescen</w:t>
      </w:r>
      <w:r w:rsidR="00537DD7" w:rsidRPr="00E8678A">
        <w:rPr>
          <w:i/>
          <w:iCs/>
          <w:sz w:val="18"/>
          <w:szCs w:val="18"/>
          <w:lang w:val="en-US"/>
        </w:rPr>
        <w:t>ce</w:t>
      </w:r>
      <w:r w:rsidRPr="00E8678A">
        <w:rPr>
          <w:i/>
          <w:iCs/>
          <w:sz w:val="18"/>
          <w:szCs w:val="18"/>
          <w:lang w:val="en-US"/>
        </w:rPr>
        <w:t xml:space="preserve"> in situ </w:t>
      </w:r>
      <w:proofErr w:type="spellStart"/>
      <w:r w:rsidRPr="00E8678A">
        <w:rPr>
          <w:i/>
          <w:iCs/>
          <w:sz w:val="18"/>
          <w:szCs w:val="18"/>
          <w:lang w:val="en-US"/>
        </w:rPr>
        <w:t>hybridisation</w:t>
      </w:r>
      <w:proofErr w:type="spellEnd"/>
      <w:r w:rsidRPr="00E8678A">
        <w:rPr>
          <w:i/>
          <w:iCs/>
          <w:sz w:val="18"/>
          <w:szCs w:val="18"/>
          <w:lang w:val="en-US"/>
        </w:rPr>
        <w:t xml:space="preserve"> (FISH), exome sequencing (ES), single nucleotide variants (SNV), copy number variants (CNV), short tandem repeat expansions (STRs), uniparental </w:t>
      </w:r>
      <w:proofErr w:type="spellStart"/>
      <w:r w:rsidRPr="00E8678A">
        <w:rPr>
          <w:i/>
          <w:iCs/>
          <w:sz w:val="18"/>
          <w:szCs w:val="18"/>
          <w:lang w:val="en-US"/>
        </w:rPr>
        <w:t>disomy</w:t>
      </w:r>
      <w:proofErr w:type="spellEnd"/>
      <w:r w:rsidRPr="00E8678A">
        <w:rPr>
          <w:i/>
          <w:iCs/>
          <w:sz w:val="18"/>
          <w:szCs w:val="18"/>
          <w:lang w:val="en-US"/>
        </w:rPr>
        <w:t xml:space="preserve"> (UPD), structural variants (SV), chromosome anomalies (CA)</w:t>
      </w:r>
    </w:p>
    <w:p w14:paraId="65EA85CB" w14:textId="77777777" w:rsidR="00AF41EE" w:rsidRPr="00E8678A" w:rsidRDefault="00AF41EE" w:rsidP="00EE21CF">
      <w:pPr>
        <w:rPr>
          <w:lang w:val="en-US"/>
        </w:rPr>
      </w:pPr>
    </w:p>
    <w:p w14:paraId="46F83FA4" w14:textId="77777777" w:rsidR="00E70F0B" w:rsidRPr="00E8678A" w:rsidRDefault="00E70F0B" w:rsidP="00015B91">
      <w:pPr>
        <w:rPr>
          <w:b/>
          <w:bCs/>
          <w:lang w:val="en-US"/>
        </w:rPr>
      </w:pPr>
    </w:p>
    <w:sectPr w:rsidR="00E70F0B" w:rsidRPr="00E8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6738"/>
    <w:multiLevelType w:val="hybridMultilevel"/>
    <w:tmpl w:val="38708FB8"/>
    <w:lvl w:ilvl="0" w:tplc="6BC287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B222A"/>
    <w:multiLevelType w:val="hybridMultilevel"/>
    <w:tmpl w:val="8E363120"/>
    <w:lvl w:ilvl="0" w:tplc="86ACDB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61116">
    <w:abstractNumId w:val="0"/>
  </w:num>
  <w:num w:numId="2" w16cid:durableId="87936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4C"/>
    <w:rsid w:val="00015B91"/>
    <w:rsid w:val="000441A5"/>
    <w:rsid w:val="00066D98"/>
    <w:rsid w:val="000C46D4"/>
    <w:rsid w:val="000C6D2A"/>
    <w:rsid w:val="000D484B"/>
    <w:rsid w:val="000D669E"/>
    <w:rsid w:val="00116FD5"/>
    <w:rsid w:val="0012111A"/>
    <w:rsid w:val="00124F8D"/>
    <w:rsid w:val="00132B66"/>
    <w:rsid w:val="00132E36"/>
    <w:rsid w:val="001401D9"/>
    <w:rsid w:val="001B58F1"/>
    <w:rsid w:val="001C6DC9"/>
    <w:rsid w:val="002068FB"/>
    <w:rsid w:val="00252DF5"/>
    <w:rsid w:val="00255E3E"/>
    <w:rsid w:val="0027425B"/>
    <w:rsid w:val="002B4CA3"/>
    <w:rsid w:val="002E3EB4"/>
    <w:rsid w:val="002F0BF5"/>
    <w:rsid w:val="002F36FC"/>
    <w:rsid w:val="0038318E"/>
    <w:rsid w:val="00383426"/>
    <w:rsid w:val="00387792"/>
    <w:rsid w:val="003905A4"/>
    <w:rsid w:val="003A419C"/>
    <w:rsid w:val="003B01C2"/>
    <w:rsid w:val="003C7CD5"/>
    <w:rsid w:val="003F039E"/>
    <w:rsid w:val="004073BE"/>
    <w:rsid w:val="004371D7"/>
    <w:rsid w:val="00453A86"/>
    <w:rsid w:val="0046062F"/>
    <w:rsid w:val="00473C4D"/>
    <w:rsid w:val="004815F7"/>
    <w:rsid w:val="004A22C7"/>
    <w:rsid w:val="004D2253"/>
    <w:rsid w:val="00505606"/>
    <w:rsid w:val="00537DD7"/>
    <w:rsid w:val="0055061D"/>
    <w:rsid w:val="005578C3"/>
    <w:rsid w:val="00564EF4"/>
    <w:rsid w:val="0058438F"/>
    <w:rsid w:val="00585708"/>
    <w:rsid w:val="005C26A5"/>
    <w:rsid w:val="005D6A65"/>
    <w:rsid w:val="005E2BFF"/>
    <w:rsid w:val="005F143E"/>
    <w:rsid w:val="00601577"/>
    <w:rsid w:val="00647C91"/>
    <w:rsid w:val="00657F22"/>
    <w:rsid w:val="0066654C"/>
    <w:rsid w:val="00666A36"/>
    <w:rsid w:val="006772F2"/>
    <w:rsid w:val="00690E49"/>
    <w:rsid w:val="0069426D"/>
    <w:rsid w:val="006E5645"/>
    <w:rsid w:val="006E63DE"/>
    <w:rsid w:val="006F3DAC"/>
    <w:rsid w:val="00716360"/>
    <w:rsid w:val="00723464"/>
    <w:rsid w:val="0072477A"/>
    <w:rsid w:val="00740FD8"/>
    <w:rsid w:val="00741FE7"/>
    <w:rsid w:val="00753198"/>
    <w:rsid w:val="00764B8F"/>
    <w:rsid w:val="00785D3B"/>
    <w:rsid w:val="007956F3"/>
    <w:rsid w:val="007E20A1"/>
    <w:rsid w:val="007F05C6"/>
    <w:rsid w:val="007F5E1C"/>
    <w:rsid w:val="007F72E9"/>
    <w:rsid w:val="00815907"/>
    <w:rsid w:val="00861EBA"/>
    <w:rsid w:val="00870610"/>
    <w:rsid w:val="008771EE"/>
    <w:rsid w:val="00890633"/>
    <w:rsid w:val="008A2EC7"/>
    <w:rsid w:val="008F0F0F"/>
    <w:rsid w:val="008F2FCA"/>
    <w:rsid w:val="00900241"/>
    <w:rsid w:val="00911EEE"/>
    <w:rsid w:val="00912874"/>
    <w:rsid w:val="00921860"/>
    <w:rsid w:val="00921A03"/>
    <w:rsid w:val="009309D8"/>
    <w:rsid w:val="00952586"/>
    <w:rsid w:val="009621FA"/>
    <w:rsid w:val="00963AC5"/>
    <w:rsid w:val="00993BC5"/>
    <w:rsid w:val="009A33E2"/>
    <w:rsid w:val="009A6532"/>
    <w:rsid w:val="009C6B4F"/>
    <w:rsid w:val="009D24AE"/>
    <w:rsid w:val="009D4624"/>
    <w:rsid w:val="009D4998"/>
    <w:rsid w:val="00A168C2"/>
    <w:rsid w:val="00A54DA2"/>
    <w:rsid w:val="00A66D67"/>
    <w:rsid w:val="00A67ECB"/>
    <w:rsid w:val="00A70BFB"/>
    <w:rsid w:val="00A72E5B"/>
    <w:rsid w:val="00A841CD"/>
    <w:rsid w:val="00A95FA6"/>
    <w:rsid w:val="00A964B4"/>
    <w:rsid w:val="00AA5FD7"/>
    <w:rsid w:val="00AC5B1D"/>
    <w:rsid w:val="00AE14B6"/>
    <w:rsid w:val="00AE5809"/>
    <w:rsid w:val="00AE6679"/>
    <w:rsid w:val="00AF41EE"/>
    <w:rsid w:val="00B26907"/>
    <w:rsid w:val="00B74F0E"/>
    <w:rsid w:val="00B81A22"/>
    <w:rsid w:val="00B945F7"/>
    <w:rsid w:val="00BC3174"/>
    <w:rsid w:val="00BC3352"/>
    <w:rsid w:val="00BD754D"/>
    <w:rsid w:val="00BF758C"/>
    <w:rsid w:val="00C05AD4"/>
    <w:rsid w:val="00C2585A"/>
    <w:rsid w:val="00C406E8"/>
    <w:rsid w:val="00C50EB2"/>
    <w:rsid w:val="00C545A4"/>
    <w:rsid w:val="00C550D9"/>
    <w:rsid w:val="00C55935"/>
    <w:rsid w:val="00C90325"/>
    <w:rsid w:val="00C94CEA"/>
    <w:rsid w:val="00CA3404"/>
    <w:rsid w:val="00CB0E8A"/>
    <w:rsid w:val="00CB3DAD"/>
    <w:rsid w:val="00CE4CD8"/>
    <w:rsid w:val="00CE55A9"/>
    <w:rsid w:val="00D34114"/>
    <w:rsid w:val="00D71642"/>
    <w:rsid w:val="00DA6D03"/>
    <w:rsid w:val="00DB487E"/>
    <w:rsid w:val="00E27E0D"/>
    <w:rsid w:val="00E320CF"/>
    <w:rsid w:val="00E540AC"/>
    <w:rsid w:val="00E66BAB"/>
    <w:rsid w:val="00E70F0B"/>
    <w:rsid w:val="00E77A75"/>
    <w:rsid w:val="00E829C0"/>
    <w:rsid w:val="00E8678A"/>
    <w:rsid w:val="00E97B16"/>
    <w:rsid w:val="00EC5D0F"/>
    <w:rsid w:val="00EE21CF"/>
    <w:rsid w:val="00EF2722"/>
    <w:rsid w:val="00F224A3"/>
    <w:rsid w:val="00F36D77"/>
    <w:rsid w:val="00F72856"/>
    <w:rsid w:val="00F87776"/>
    <w:rsid w:val="00F90875"/>
    <w:rsid w:val="00FA68AF"/>
    <w:rsid w:val="00FB4FB3"/>
    <w:rsid w:val="00FC27C5"/>
    <w:rsid w:val="00FD7D9C"/>
    <w:rsid w:val="00FE1ABE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9D6D"/>
  <w15:docId w15:val="{F8025CB2-C50E-4CCD-A35D-7455C55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3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66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21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6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665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3E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32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320CF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E320CF"/>
  </w:style>
  <w:style w:type="character" w:styleId="Verwijzingopmerking">
    <w:name w:val="annotation reference"/>
    <w:basedOn w:val="Standaardalinea-lettertype"/>
    <w:uiPriority w:val="99"/>
    <w:semiHidden/>
    <w:unhideWhenUsed/>
    <w:rsid w:val="00993B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93B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93B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3B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3BC5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4A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D4624"/>
    <w:pPr>
      <w:ind w:left="720"/>
      <w:contextualSpacing/>
    </w:pPr>
  </w:style>
  <w:style w:type="paragraph" w:styleId="Revisie">
    <w:name w:val="Revision"/>
    <w:hidden/>
    <w:uiPriority w:val="99"/>
    <w:semiHidden/>
    <w:rsid w:val="00764B8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4371D7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371D7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4371D7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921A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A168C2"/>
    <w:pPr>
      <w:tabs>
        <w:tab w:val="right" w:leader="dot" w:pos="9062"/>
      </w:tabs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A70BFB"/>
    <w:pPr>
      <w:spacing w:after="100" w:line="259" w:lineRule="auto"/>
      <w:ind w:left="440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MCfs020\ANTRGdata$\GD%20Translational%20Genomics\Gaby\WGS%20positives\1000WGS\Manuscript\1000G_supplemental_tables(V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MCfs020\ANTRGdata$\GD%20Translational%20Genomics\Gaby\WGS%20positives\1000WGS\Manuscript\V1\Supplementary%20tables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pivotSource>
    <c:name>[1000G_supplemental_tables(V2).xlsx]Figure2!Draaitabel2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  <c:dLblPos val="inBase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  <c:dLblPos val="inBase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  <c:dLblPos val="inBase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5.2676720494683929E-2"/>
          <c:y val="8.0387761748759501E-2"/>
          <c:w val="0.84826489909100344"/>
          <c:h val="0.8256047921017172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Figure2!$B$21:$B$22</c:f>
              <c:strCache>
                <c:ptCount val="1"/>
                <c:pt idx="0">
                  <c:v> + 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Figure2!$A$23:$A$29</c:f>
              <c:strCache>
                <c:ptCount val="6"/>
                <c:pt idx="0">
                  <c:v>CA</c:v>
                </c:pt>
                <c:pt idx="1">
                  <c:v>CNV</c:v>
                </c:pt>
                <c:pt idx="2">
                  <c:v>ROH, UPD</c:v>
                </c:pt>
                <c:pt idx="3">
                  <c:v>SNV, indel</c:v>
                </c:pt>
                <c:pt idx="4">
                  <c:v>STR</c:v>
                </c:pt>
                <c:pt idx="5">
                  <c:v>SV</c:v>
                </c:pt>
              </c:strCache>
            </c:strRef>
          </c:cat>
          <c:val>
            <c:numRef>
              <c:f>Figure2!$B$23:$B$29</c:f>
              <c:numCache>
                <c:formatCode>General</c:formatCode>
                <c:ptCount val="6"/>
                <c:pt idx="0">
                  <c:v>28</c:v>
                </c:pt>
                <c:pt idx="1">
                  <c:v>262</c:v>
                </c:pt>
                <c:pt idx="2">
                  <c:v>26</c:v>
                </c:pt>
                <c:pt idx="3">
                  <c:v>827</c:v>
                </c:pt>
                <c:pt idx="4">
                  <c:v>52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A5-41BE-B752-8D17E1BB9262}"/>
            </c:ext>
          </c:extLst>
        </c:ser>
        <c:ser>
          <c:idx val="1"/>
          <c:order val="1"/>
          <c:tx>
            <c:strRef>
              <c:f>Figure2!$C$21:$C$22</c:f>
              <c:strCache>
                <c:ptCount val="1"/>
                <c:pt idx="0">
                  <c:v> - 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Figure2!$A$23:$A$29</c:f>
              <c:strCache>
                <c:ptCount val="6"/>
                <c:pt idx="0">
                  <c:v>CA</c:v>
                </c:pt>
                <c:pt idx="1">
                  <c:v>CNV</c:v>
                </c:pt>
                <c:pt idx="2">
                  <c:v>ROH, UPD</c:v>
                </c:pt>
                <c:pt idx="3">
                  <c:v>SNV, indel</c:v>
                </c:pt>
                <c:pt idx="4">
                  <c:v>STR</c:v>
                </c:pt>
                <c:pt idx="5">
                  <c:v>SV</c:v>
                </c:pt>
              </c:strCache>
            </c:strRef>
          </c:cat>
          <c:val>
            <c:numRef>
              <c:f>Figure2!$C$23:$C$29</c:f>
              <c:numCache>
                <c:formatCode>General</c:formatCode>
                <c:ptCount val="6"/>
                <c:pt idx="0">
                  <c:v>2</c:v>
                </c:pt>
                <c:pt idx="1">
                  <c:v>18</c:v>
                </c:pt>
                <c:pt idx="2">
                  <c:v>1</c:v>
                </c:pt>
                <c:pt idx="3">
                  <c:v>34</c:v>
                </c:pt>
                <c:pt idx="4">
                  <c:v>6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A5-41BE-B752-8D17E1BB9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990672792"/>
        <c:axId val="990673448"/>
      </c:barChart>
      <c:catAx>
        <c:axId val="990672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990673448"/>
        <c:crosses val="autoZero"/>
        <c:auto val="1"/>
        <c:lblAlgn val="ctr"/>
        <c:lblOffset val="100"/>
        <c:noMultiLvlLbl val="0"/>
      </c:catAx>
      <c:valAx>
        <c:axId val="990673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cross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990672792"/>
        <c:crosses val="autoZero"/>
        <c:crossBetween val="between"/>
        <c:majorUnit val="0.1"/>
        <c:minorUnit val="2.0000000000000004E-2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[Supplementary tables(2).xlsx]filters!Draaitabel6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>
        <c:manualLayout>
          <c:layoutTarget val="inner"/>
          <c:xMode val="edge"/>
          <c:yMode val="edge"/>
          <c:x val="0.10699874295338277"/>
          <c:y val="5.4822645245033913E-2"/>
          <c:w val="0.44096485825106957"/>
          <c:h val="0.79123258631132642"/>
        </c:manualLayout>
      </c:layout>
      <c:pieChart>
        <c:varyColors val="1"/>
        <c:ser>
          <c:idx val="0"/>
          <c:order val="0"/>
          <c:tx>
            <c:strRef>
              <c:f>filters!$B$31</c:f>
              <c:strCache>
                <c:ptCount val="1"/>
                <c:pt idx="0">
                  <c:v>Totaal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84-4D95-932A-9751BC48EB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84-4D95-932A-9751BC48EB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84-4D95-932A-9751BC48EB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484-4D95-932A-9751BC48EB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484-4D95-932A-9751BC48EB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filters!$A$32:$A$36</c:f>
              <c:strCache>
                <c:ptCount val="4"/>
                <c:pt idx="0">
                  <c:v>mosaicism</c:v>
                </c:pt>
                <c:pt idx="1">
                  <c:v>homologues region</c:v>
                </c:pt>
                <c:pt idx="2">
                  <c:v>repetitive region</c:v>
                </c:pt>
                <c:pt idx="3">
                  <c:v>other</c:v>
                </c:pt>
              </c:strCache>
            </c:strRef>
          </c:cat>
          <c:val>
            <c:numRef>
              <c:f>filters!$B$32:$B$36</c:f>
              <c:numCache>
                <c:formatCode>General</c:formatCode>
                <c:ptCount val="4"/>
                <c:pt idx="0">
                  <c:v>27</c:v>
                </c:pt>
                <c:pt idx="1">
                  <c:v>25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484-4D95-932A-9751BC48EB2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289190619525384"/>
          <c:y val="0.1578161854206967"/>
          <c:w val="0.39869281045751637"/>
          <c:h val="0.586367381160688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8F41-0572-4974-9567-5DA0CE32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1370</Words>
  <Characters>7537</Characters>
  <Application>Microsoft Office Word</Application>
  <DocSecurity>4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Schobers, Gaby</dc:creator>
  <cp:keywords/>
  <dc:description/>
  <cp:lastModifiedBy>Schobers, Gaby</cp:lastModifiedBy>
  <cp:revision>2</cp:revision>
  <dcterms:created xsi:type="dcterms:W3CDTF">2023-09-20T18:28:00Z</dcterms:created>
  <dcterms:modified xsi:type="dcterms:W3CDTF">2023-09-20T18:28:00Z</dcterms:modified>
</cp:coreProperties>
</file>